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footer163.xml" ContentType="application/vnd.openxmlformats-officedocument.wordprocessingml.footer+xml"/>
  <Override PartName="/word/header164.xml" ContentType="application/vnd.openxmlformats-officedocument.wordprocessingml.header+xml"/>
  <Override PartName="/word/header165.xml" ContentType="application/vnd.openxmlformats-officedocument.wordprocessingml.header+xml"/>
  <Override PartName="/word/footer164.xml" ContentType="application/vnd.openxmlformats-officedocument.wordprocessingml.footer+xml"/>
  <Override PartName="/word/footer165.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167.xml" ContentType="application/vnd.openxmlformats-officedocument.wordprocessingml.header+xml"/>
  <Override PartName="/word/header168.xml" ContentType="application/vnd.openxmlformats-officedocument.wordprocessingml.header+xml"/>
  <Override PartName="/word/footer167.xml" ContentType="application/vnd.openxmlformats-officedocument.wordprocessingml.footer+xml"/>
  <Override PartName="/word/footer168.xml" ContentType="application/vnd.openxmlformats-officedocument.wordprocessingml.footer+xml"/>
  <Override PartName="/word/header169.xml" ContentType="application/vnd.openxmlformats-officedocument.wordprocessingml.header+xml"/>
  <Override PartName="/word/footer169.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footer170.xml" ContentType="application/vnd.openxmlformats-officedocument.wordprocessingml.footer+xml"/>
  <Override PartName="/word/footer171.xml" ContentType="application/vnd.openxmlformats-officedocument.wordprocessingml.footer+xml"/>
  <Override PartName="/word/header172.xml" ContentType="application/vnd.openxmlformats-officedocument.wordprocessingml.header+xml"/>
  <Override PartName="/word/footer172.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footer173.xml" ContentType="application/vnd.openxmlformats-officedocument.wordprocessingml.footer+xml"/>
  <Override PartName="/word/footer174.xml" ContentType="application/vnd.openxmlformats-officedocument.wordprocessingml.footer+xml"/>
  <Override PartName="/word/header175.xml" ContentType="application/vnd.openxmlformats-officedocument.wordprocessingml.header+xml"/>
  <Override PartName="/word/footer175.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footer176.xml" ContentType="application/vnd.openxmlformats-officedocument.wordprocessingml.footer+xml"/>
  <Override PartName="/word/footer177.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header179.xml" ContentType="application/vnd.openxmlformats-officedocument.wordprocessingml.header+xml"/>
  <Override PartName="/word/header180.xml" ContentType="application/vnd.openxmlformats-officedocument.wordprocessingml.header+xml"/>
  <Override PartName="/word/footer179.xml" ContentType="application/vnd.openxmlformats-officedocument.wordprocessingml.footer+xml"/>
  <Override PartName="/word/footer180.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footer182.xml" ContentType="application/vnd.openxmlformats-officedocument.wordprocessingml.footer+xml"/>
  <Override PartName="/word/footer183.xml" ContentType="application/vnd.openxmlformats-officedocument.wordprocessingml.footer+xml"/>
  <Override PartName="/word/header184.xml" ContentType="application/vnd.openxmlformats-officedocument.wordprocessingml.header+xml"/>
  <Override PartName="/word/footer1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CA883" w14:textId="766A45C8" w:rsidR="00515398" w:rsidRDefault="006711E6" w:rsidP="006711E6">
      <w:pPr>
        <w:pStyle w:val="Pagedecouverture"/>
        <w:rPr>
          <w:noProof/>
        </w:rPr>
      </w:pPr>
      <w:bookmarkStart w:id="0" w:name="LW_BM_COVERPAGE"/>
      <w:r>
        <w:rPr>
          <w:noProof/>
        </w:rPr>
        <w:pict w14:anchorId="35883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F1F8099-CAA4-4363-84FC-E0F5100FCDBE" style="width:455.25pt;height:396.75pt">
            <v:imagedata r:id="rId12" o:title=""/>
          </v:shape>
        </w:pict>
      </w:r>
    </w:p>
    <w:bookmarkEnd w:id="0"/>
    <w:p w14:paraId="77D7706F" w14:textId="77777777" w:rsidR="00515398" w:rsidRDefault="00515398">
      <w:pPr>
        <w:rPr>
          <w:noProof/>
        </w:rPr>
        <w:sectPr w:rsidR="00515398" w:rsidSect="006711E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14:paraId="745C6217" w14:textId="02BC9429" w:rsidR="00515398" w:rsidRDefault="006711E6">
      <w:pPr>
        <w:pStyle w:val="P68B1DB1-Normal1"/>
        <w:spacing w:before="120" w:after="120" w:line="240" w:lineRule="auto"/>
        <w:jc w:val="center"/>
        <w:rPr>
          <w:bCs/>
          <w:noProof/>
        </w:rPr>
      </w:pPr>
      <w:bookmarkStart w:id="1" w:name="_GoBack"/>
      <w:bookmarkEnd w:id="1"/>
      <w:r>
        <w:rPr>
          <w:noProof/>
        </w:rPr>
        <w:lastRenderedPageBreak/>
        <w:t>PŘÍLOHA</w:t>
      </w:r>
    </w:p>
    <w:p w14:paraId="172BFAA7" w14:textId="77777777" w:rsidR="00515398" w:rsidRDefault="00515398">
      <w:pPr>
        <w:spacing w:before="120" w:after="120" w:line="240" w:lineRule="auto"/>
        <w:jc w:val="center"/>
        <w:rPr>
          <w:rFonts w:ascii="Times New Roman" w:hAnsi="Times New Roman" w:cs="Times New Roman"/>
          <w:b/>
          <w:bCs/>
          <w:noProof/>
        </w:rPr>
      </w:pPr>
    </w:p>
    <w:p w14:paraId="0D3B9A89" w14:textId="77777777" w:rsidR="00515398" w:rsidRDefault="006711E6">
      <w:pPr>
        <w:pStyle w:val="Heading4"/>
        <w:ind w:left="0" w:firstLine="0"/>
        <w:rPr>
          <w:noProof/>
        </w:rPr>
      </w:pPr>
      <w:r>
        <w:rPr>
          <w:noProof/>
        </w:rPr>
        <w:t>ODDÍL 1: REFORMY A INVESTICE V RÁMCI PLÁNU PRO OŽIVENÍ A ODOLNOST</w:t>
      </w:r>
    </w:p>
    <w:p w14:paraId="42A42048" w14:textId="77777777" w:rsidR="00515398" w:rsidRDefault="00515398">
      <w:pPr>
        <w:spacing w:before="120" w:after="120" w:line="240" w:lineRule="auto"/>
        <w:jc w:val="both"/>
        <w:rPr>
          <w:rFonts w:ascii="Times New Roman" w:hAnsi="Times New Roman" w:cs="Times New Roman"/>
          <w:noProof/>
          <w:sz w:val="24"/>
        </w:rPr>
      </w:pPr>
    </w:p>
    <w:p w14:paraId="2D7751EF" w14:textId="77777777" w:rsidR="00515398" w:rsidRDefault="006711E6">
      <w:pPr>
        <w:pStyle w:val="P68B1DB1-Normal2"/>
        <w:numPr>
          <w:ilvl w:val="6"/>
          <w:numId w:val="9"/>
        </w:numPr>
        <w:spacing w:before="120" w:after="120" w:line="240" w:lineRule="auto"/>
        <w:ind w:left="0" w:firstLine="0"/>
        <w:jc w:val="both"/>
        <w:rPr>
          <w:rFonts w:cs="Times New Roman"/>
          <w:noProof/>
        </w:rPr>
      </w:pPr>
      <w:r>
        <w:rPr>
          <w:noProof/>
        </w:rPr>
        <w:t xml:space="preserve">Popis reforem a investic </w:t>
      </w:r>
    </w:p>
    <w:p w14:paraId="558F0741" w14:textId="77777777" w:rsidR="00515398" w:rsidRDefault="00515398">
      <w:pPr>
        <w:spacing w:before="120" w:after="120" w:line="240" w:lineRule="auto"/>
        <w:jc w:val="both"/>
        <w:rPr>
          <w:rFonts w:ascii="Times New Roman" w:hAnsi="Times New Roman" w:cs="Times New Roman"/>
          <w:b/>
          <w:noProof/>
          <w:sz w:val="24"/>
        </w:rPr>
      </w:pPr>
    </w:p>
    <w:p w14:paraId="6B1622C0" w14:textId="77777777" w:rsidR="00515398" w:rsidRDefault="006711E6">
      <w:pPr>
        <w:pStyle w:val="P68B1DB1-ListParagraph3"/>
        <w:numPr>
          <w:ilvl w:val="0"/>
          <w:numId w:val="90"/>
        </w:numPr>
        <w:spacing w:before="120" w:after="120" w:line="240" w:lineRule="auto"/>
        <w:jc w:val="both"/>
        <w:outlineLvl w:val="3"/>
        <w:rPr>
          <w:rFonts w:cs="Times New Roman"/>
          <w:bCs/>
          <w:noProof/>
        </w:rPr>
      </w:pPr>
      <w:r>
        <w:rPr>
          <w:noProof/>
        </w:rPr>
        <w:t>SLOŽCE 1.1: NABÍRÁNÍ NA SÍLE</w:t>
      </w:r>
    </w:p>
    <w:p w14:paraId="4B400D4B" w14:textId="77777777" w:rsidR="00515398" w:rsidRDefault="006711E6">
      <w:pPr>
        <w:pStyle w:val="P68B1DB1-Normal4"/>
        <w:jc w:val="both"/>
        <w:rPr>
          <w:rFonts w:cs="Times New Roman"/>
          <w:b/>
          <w:bCs/>
          <w:noProof/>
        </w:rPr>
      </w:pPr>
      <w:r>
        <w:rPr>
          <w:noProof/>
        </w:rPr>
        <w:t xml:space="preserve">Tato složka řeckého </w:t>
      </w:r>
      <w:r>
        <w:rPr>
          <w:noProof/>
        </w:rPr>
        <w:t>plánu pro oživení a odolnost se zaměřuje na reformy a investice s cílem zvýšit váhu obnovitelných zdrojů energie v elektrizační soustavě a usnadnit řecký proces dekarbonizace. Reformy zjednoduší licenční pravidla pro investice do energie z obnovitelných zd</w:t>
      </w:r>
      <w:r>
        <w:rPr>
          <w:noProof/>
        </w:rPr>
        <w:t>rojů, zvýší účinnost trhu s elektřinou a zajistí finanční udržitelnost režimů podpory. Tato složka rovněž zahrnuje klíčové investice do sítí s cílem dokončit propojení s ostrovy Cyclades a učinit distribuci elektřiny šetrnější k životnímu prostředí a schop</w:t>
      </w:r>
      <w:r>
        <w:rPr>
          <w:noProof/>
        </w:rPr>
        <w:t>nou absorbovat větší podíl energie z obnovitelných zdrojů. Systémy skladování rovněž podporují dekarbonizaci hospodářství prostřednictvím akumulace přebytku elektřiny z obnovitelných zdrojů. Obnova půdy je rovněž podporována v oblastech, které jsou v souča</w:t>
      </w:r>
      <w:r>
        <w:rPr>
          <w:noProof/>
        </w:rPr>
        <w:t>sné době využívány jako hnědouhelné doly, jako krok procesu spravedlivé transformace na územích nejvíce postižených postupným ukončením využívání hnědého uhlí. Složka je v souladu s vnitrostátním plánem v oblasti energetiky a klimatu a podporuje plnění dop</w:t>
      </w:r>
      <w:r>
        <w:rPr>
          <w:noProof/>
        </w:rPr>
        <w:t xml:space="preserve">oručení pro jednotlivé země týkajících se veřejných a soukromých investic (doporučení pro jednotlivé země č. 3 z roku 2020 a doporučení pro jednotlivé země č. 2 z roku 2019). Očekává se, že žádné opatření v této složce významně nepoškozuje environmentální </w:t>
      </w:r>
      <w:r>
        <w:rPr>
          <w:noProof/>
        </w:rPr>
        <w:t>cíle ve smyslu článku 17 nařízení (EU) 2020/852, s přihlédnutím k popisu opatření a zmírňujícím krokům stanoveným v plánu pro oživení a odolnost v souladu s technickými pokyny „významně nepoškozovat“ (2021/C58/01).</w:t>
      </w:r>
    </w:p>
    <w:p w14:paraId="734AE5A9" w14:textId="77777777" w:rsidR="00515398" w:rsidRDefault="006711E6">
      <w:pPr>
        <w:spacing w:before="120" w:after="120" w:line="240" w:lineRule="auto"/>
        <w:jc w:val="both"/>
        <w:rPr>
          <w:rFonts w:ascii="Times New Roman" w:hAnsi="Times New Roman" w:cs="Times New Roman"/>
          <w:noProof/>
          <w:sz w:val="24"/>
        </w:rPr>
      </w:pPr>
      <w:r>
        <w:rPr>
          <w:rFonts w:ascii="Times New Roman" w:hAnsi="Times New Roman"/>
          <w:b/>
          <w:noProof/>
          <w:sz w:val="24"/>
          <w:u w:val="single"/>
        </w:rPr>
        <w:t xml:space="preserve">A.1. </w:t>
      </w:r>
      <w:r>
        <w:rPr>
          <w:noProof/>
        </w:rPr>
        <w:t xml:space="preserve"> </w:t>
      </w:r>
      <w:r>
        <w:rPr>
          <w:rFonts w:ascii="Times New Roman" w:hAnsi="Times New Roman"/>
          <w:b/>
          <w:noProof/>
          <w:sz w:val="24"/>
          <w:u w:val="single"/>
        </w:rPr>
        <w:t>Popis reforem a investic pro nevrat</w:t>
      </w:r>
      <w:r>
        <w:rPr>
          <w:rFonts w:ascii="Times New Roman" w:hAnsi="Times New Roman"/>
          <w:b/>
          <w:noProof/>
          <w:sz w:val="24"/>
          <w:u w:val="single"/>
        </w:rPr>
        <w:t>nou finanční podporu</w:t>
      </w:r>
    </w:p>
    <w:p w14:paraId="1B59886C" w14:textId="77777777" w:rsidR="00515398" w:rsidRDefault="006711E6">
      <w:pPr>
        <w:pStyle w:val="P68B1DB1-Normal4"/>
        <w:spacing w:before="120" w:after="120" w:line="240" w:lineRule="auto"/>
        <w:jc w:val="both"/>
        <w:rPr>
          <w:rFonts w:cs="Times New Roman"/>
          <w:noProof/>
        </w:rPr>
      </w:pPr>
      <w:r>
        <w:rPr>
          <w:b/>
          <w:noProof/>
        </w:rPr>
        <w:t xml:space="preserve">Investice: </w:t>
      </w:r>
      <w:r>
        <w:rPr>
          <w:noProof/>
        </w:rPr>
        <w:t>Podpora instalace systémů skladování s cílem zlepšit pronikání energie z obnovitelných zdrojů (ID opatření: 16926)</w:t>
      </w:r>
    </w:p>
    <w:p w14:paraId="54D34CCF" w14:textId="77777777" w:rsidR="00515398" w:rsidRDefault="006711E6">
      <w:pPr>
        <w:pStyle w:val="P68B1DB1-Normal5"/>
        <w:spacing w:before="120" w:after="120" w:line="240" w:lineRule="auto"/>
        <w:jc w:val="both"/>
        <w:rPr>
          <w:rFonts w:cs="Times New Roman"/>
          <w:noProof/>
        </w:rPr>
      </w:pPr>
      <w:r>
        <w:rPr>
          <w:noProof/>
        </w:rPr>
        <w:t>Investice poskytuje veřejné granty na instalaci kapacity skladování energie v elektrizační soustavě až do výš</w:t>
      </w:r>
      <w:r>
        <w:rPr>
          <w:noProof/>
        </w:rPr>
        <w:t>e 1 380 MW. Cílem těchto investic je umožnit systémovou integraci nové kapacity obnovitelných zdrojů energie, která je nezbytná pro dosažení cílů NKEP. Kromě toho je cílem tohoto opatření rovněž zmírnit přetížení sítě, zvýšit flexibilitu elektroenergetické</w:t>
      </w:r>
      <w:r>
        <w:rPr>
          <w:noProof/>
        </w:rPr>
        <w:t xml:space="preserve"> soustavy a likviditu vyrovnávacího trhu, zvýšit přiměřenost soustavy, umožnit energetickou účinnost, podpořit transparentnost při tvorbě cen elektřiny a snížit náklady na energii. Investice musí být provedena do 31. prosince 2025.</w:t>
      </w:r>
    </w:p>
    <w:p w14:paraId="4936762B" w14:textId="77777777" w:rsidR="00515398" w:rsidRDefault="006711E6">
      <w:pPr>
        <w:pStyle w:val="P68B1DB1-Normal4"/>
        <w:spacing w:before="120" w:after="120" w:line="240" w:lineRule="auto"/>
        <w:jc w:val="both"/>
        <w:rPr>
          <w:rFonts w:cs="Times New Roman"/>
          <w:noProof/>
        </w:rPr>
      </w:pPr>
      <w:r>
        <w:rPr>
          <w:b/>
          <w:noProof/>
        </w:rPr>
        <w:t xml:space="preserve">Investice: </w:t>
      </w:r>
      <w:r>
        <w:rPr>
          <w:noProof/>
        </w:rPr>
        <w:t xml:space="preserve">Revitalizace </w:t>
      </w:r>
      <w:r>
        <w:rPr>
          <w:noProof/>
        </w:rPr>
        <w:t>nejvíce postižených území (území pro spravedlivou transformaci) (ID opatření: 16871)</w:t>
      </w:r>
    </w:p>
    <w:p w14:paraId="496028B6" w14:textId="57DC83C4" w:rsidR="00515398" w:rsidRDefault="006711E6">
      <w:pPr>
        <w:pStyle w:val="P68B1DB1-Normal4"/>
        <w:spacing w:before="120" w:after="120" w:line="240" w:lineRule="auto"/>
        <w:jc w:val="both"/>
        <w:rPr>
          <w:rFonts w:cs="Times New Roman"/>
          <w:noProof/>
          <w:szCs w:val="24"/>
        </w:rPr>
      </w:pPr>
      <w:r>
        <w:rPr>
          <w:noProof/>
        </w:rPr>
        <w:t>Investice sestává z grantů na financování obnovy půdy v oblastech bývalých lignitových dolů v západní Makedonii a Megalopolis. Opatření se zaměří na oblasti</w:t>
      </w:r>
      <w:r>
        <w:rPr>
          <w:noProof/>
        </w:rPr>
        <w:t xml:space="preserve"> spravedlivé transformace s environmentálními a hospodářskými zásahy, jako je sanace půdy, obnova a provádění zásahů týkajících se obnovy krajiny a životního prostředí, úpravy ve využívání půdy a vytváření organizovaných receptorů činností. Provádění této </w:t>
      </w:r>
      <w:r>
        <w:rPr>
          <w:noProof/>
        </w:rPr>
        <w:t xml:space="preserve">investice řídí zvláštní účelová jednotka, která bude zřízena tím, že Řecko vstoupí v platnost příslušný legislativní rámec. Tento rámec zahrnuje ustanovení, že </w:t>
      </w:r>
      <w:r>
        <w:rPr>
          <w:noProof/>
          <w:szCs w:val="24"/>
        </w:rPr>
        <w:t xml:space="preserve">se zvláštní účelová jednotka stane novým oprávněným vlastníkem a developerem </w:t>
      </w:r>
      <w:r>
        <w:rPr>
          <w:noProof/>
          <w:szCs w:val="24"/>
        </w:rPr>
        <w:lastRenderedPageBreak/>
        <w:t>převáděných zeměpis</w:t>
      </w:r>
      <w:r>
        <w:rPr>
          <w:noProof/>
          <w:szCs w:val="24"/>
        </w:rPr>
        <w:t>ných oblastí. Zvláštní projektový nástroj odpovídá za financování a provádění sanitačních, rekultivačních, rekultivačních a modernizačních prací. Investice musí být provedena do 31. prosince 2025.</w:t>
      </w:r>
    </w:p>
    <w:p w14:paraId="0906A6D6"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Intervence pro propojení elektrických sítí ostro</w:t>
      </w:r>
      <w:r>
        <w:rPr>
          <w:noProof/>
        </w:rPr>
        <w:t>vů a modernizaci elektrické sítě (ID opatření: 16870)</w:t>
      </w:r>
    </w:p>
    <w:p w14:paraId="5F3B159D" w14:textId="25ABF329" w:rsidR="00515398" w:rsidRDefault="006711E6">
      <w:pPr>
        <w:pStyle w:val="P68B1DB1-Normal5"/>
        <w:spacing w:before="120" w:after="120" w:line="240" w:lineRule="auto"/>
        <w:jc w:val="both"/>
        <w:rPr>
          <w:rFonts w:cs="Times New Roman"/>
          <w:noProof/>
        </w:rPr>
      </w:pPr>
      <w:r>
        <w:rPr>
          <w:noProof/>
        </w:rPr>
        <w:t>Investice zahrnuje propojení elektrických sítí Cycladesových ostrovů (fáze D), trolejového vedení spojujícího extra vysokonapěťové centrum (EHVC) Corinth a EHVC Koumoundouros a doprovodné projekty. Cíle</w:t>
      </w:r>
      <w:r>
        <w:rPr>
          <w:noProof/>
        </w:rPr>
        <w:t>m projektů je zvýšit bezpečnost energetického systému a zároveň zvýšit potenciál pro výrobu elektřiny z obnovitelných zdrojů energie na ostrovech a v Peloponésu. Cílem investice je snížit náklady na energii, což povede k novým investicím a pracovním místům</w:t>
      </w:r>
      <w:r>
        <w:rPr>
          <w:noProof/>
        </w:rPr>
        <w:t xml:space="preserve"> v energeticky náročných hospodářských odvětvích. Investice musí být provedena do 31. prosince 2025.</w:t>
      </w:r>
    </w:p>
    <w:p w14:paraId="78B918E0" w14:textId="77777777" w:rsidR="00515398" w:rsidRDefault="006711E6">
      <w:pPr>
        <w:pStyle w:val="P68B1DB1-Normal4"/>
        <w:spacing w:before="120" w:after="120" w:line="240" w:lineRule="auto"/>
        <w:jc w:val="both"/>
        <w:rPr>
          <w:rFonts w:cs="Times New Roman"/>
          <w:noProof/>
        </w:rPr>
      </w:pPr>
      <w:r>
        <w:rPr>
          <w:b/>
          <w:noProof/>
        </w:rPr>
        <w:t xml:space="preserve">Investice: </w:t>
      </w:r>
      <w:r>
        <w:rPr>
          <w:noProof/>
        </w:rPr>
        <w:t>Modernizace sítě provozovatele řecké distribuční sítě (HEDNO) zaměřené na zvýšení odolnosti a ochranu životního prostředí (ID opatření: 16901)</w:t>
      </w:r>
    </w:p>
    <w:p w14:paraId="6FFC3857" w14:textId="2A58A285" w:rsidR="00515398" w:rsidRDefault="006711E6">
      <w:pPr>
        <w:pStyle w:val="P68B1DB1-Normal5"/>
        <w:spacing w:before="120" w:after="120" w:line="240" w:lineRule="auto"/>
        <w:jc w:val="both"/>
        <w:rPr>
          <w:rFonts w:cs="Times New Roman"/>
          <w:noProof/>
        </w:rPr>
      </w:pPr>
      <w:r>
        <w:rPr>
          <w:noProof/>
        </w:rPr>
        <w:t>I</w:t>
      </w:r>
      <w:r>
        <w:rPr>
          <w:noProof/>
        </w:rPr>
        <w:t>nvestice spočívá v podzemním pozemku a přesměrování elektrické distribuční sítě v osadách zvláštního významu z hlediska kultury nebo cestovního ruchu, jakož i v městských oblastech, přičemž přednost mají oblasti, kde je infrastruktura citlivá na extrémní p</w:t>
      </w:r>
      <w:r>
        <w:rPr>
          <w:noProof/>
        </w:rPr>
        <w:t>očasí. Jeho cílem je zlepšit odolnost distribuční sítě a přispět k ochraně životního prostředí. Investice musí být provedena do 31. prosince 2025.</w:t>
      </w:r>
    </w:p>
    <w:p w14:paraId="3A0A6242"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Provozovatel řecké elektrické distribuční sítě (HEDNO) modernizace nadzemní sítě v lesních oblaste</w:t>
      </w:r>
      <w:r>
        <w:rPr>
          <w:noProof/>
        </w:rPr>
        <w:t>ch (ID opatření: 16900)</w:t>
      </w:r>
    </w:p>
    <w:p w14:paraId="3B68532C" w14:textId="77777777" w:rsidR="00515398" w:rsidRDefault="006711E6">
      <w:pPr>
        <w:pStyle w:val="P68B1DB1-Normal5"/>
        <w:spacing w:before="120" w:after="120" w:line="240" w:lineRule="auto"/>
        <w:jc w:val="both"/>
        <w:rPr>
          <w:rFonts w:cs="Times New Roman"/>
          <w:noProof/>
        </w:rPr>
      </w:pPr>
      <w:r>
        <w:rPr>
          <w:noProof/>
        </w:rPr>
        <w:t>Investice spočívá v nahrazení holých vodičů v nadzemní elektrické distribuční síti (s krytými vodičemi nebo krouceným kabelem), instalaci izolačních krytů a podzemním nebo přemisťování elektrické distribuční sítě procházející lesním</w:t>
      </w:r>
      <w:r>
        <w:rPr>
          <w:noProof/>
        </w:rPr>
        <w:t>i oblastmi. Cílem projektu je zlepšit odolnost a spolehlivost sítě (ukazatele energetické kvality SAIDI, SAIFI) a lépe chránit životní prostředí (lesy, volně žijící a planě rostoucí druhy). Investice musí být provedena do 31. prosince 2025.</w:t>
      </w:r>
    </w:p>
    <w:p w14:paraId="2C4B869E"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Zvýš</w:t>
      </w:r>
      <w:r>
        <w:rPr>
          <w:noProof/>
        </w:rPr>
        <w:t>ení instalovaného výkonu ve vysokonapěťových/středních napájecích stanicích Řecké elektroenergetické distribuční sítě (HEDNO) pro nové připojení k obnovitelným zdrojům energie (ID opatření: 16899)</w:t>
      </w:r>
    </w:p>
    <w:p w14:paraId="687827C0" w14:textId="77777777" w:rsidR="00515398" w:rsidRDefault="006711E6">
      <w:pPr>
        <w:pStyle w:val="P68B1DB1-Normal5"/>
        <w:spacing w:before="120" w:after="120" w:line="240" w:lineRule="auto"/>
        <w:jc w:val="both"/>
        <w:rPr>
          <w:rFonts w:cs="Times New Roman"/>
          <w:noProof/>
        </w:rPr>
      </w:pPr>
      <w:r>
        <w:rPr>
          <w:noProof/>
        </w:rPr>
        <w:t xml:space="preserve">Investice zvýší kapacitu stávajících rozvoden sítě s cílem </w:t>
      </w:r>
      <w:r>
        <w:rPr>
          <w:noProof/>
        </w:rPr>
        <w:t>řešit přetížení distribuční sítě, které v současné době brání dalším investicím do energie z obnovitelných zdrojů. Investice musí být provedena do 31. prosince 2025.</w:t>
      </w:r>
    </w:p>
    <w:p w14:paraId="6499CE1C"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Restrukturalizace a posílení příjmů účtu pro kombinovanou výrobu tepla a elektřin</w:t>
      </w:r>
      <w:r>
        <w:rPr>
          <w:noProof/>
        </w:rPr>
        <w:t>y z obnovitelných zdrojů (RES-CHP) (ID opatření: 16865)</w:t>
      </w:r>
    </w:p>
    <w:p w14:paraId="5F824DEC" w14:textId="0FA4D6A7" w:rsidR="00515398" w:rsidRDefault="006711E6">
      <w:pPr>
        <w:pStyle w:val="P68B1DB1-Normal4"/>
        <w:spacing w:before="120" w:after="120" w:line="240" w:lineRule="auto"/>
        <w:jc w:val="both"/>
        <w:rPr>
          <w:noProof/>
        </w:rPr>
      </w:pPr>
      <w:r>
        <w:rPr>
          <w:noProof/>
        </w:rPr>
        <w:t>Reforma sestává z: a) restrukturalizace stávající struktury odměňování výrobců energie z obnovitelných zdrojů zřízením nového účtu OZE pro nové jednotky OZE (zadaného po 1. lednu 2021) nahrazujícího s</w:t>
      </w:r>
      <w:r>
        <w:rPr>
          <w:noProof/>
        </w:rPr>
        <w:t>távající účet doplněný novými mechanismy, které zaručí finanční životaschopnost jak stávajících, tak nových účtů OZE-CHP; a b) zavedení systému obchodování se zárukami původu, mimořádného „Celu COVID-19“ pro výrobce a dodavatele energie z obnovitelných zdr</w:t>
      </w:r>
      <w:r>
        <w:rPr>
          <w:noProof/>
        </w:rPr>
        <w:t>ojů a trvalé „uhlíkové daně“ na motorovou naftu. Opatření zajistí životaschopnost stávající instalované kapacity obnovitelných zdrojů energie a usnadní financování nových projektů v oblasti obnovitelných zdrojů energie, neboť jakýkoli neočekávaný příliv/od</w:t>
      </w:r>
      <w:r>
        <w:rPr>
          <w:noProof/>
        </w:rPr>
        <w:t xml:space="preserve">liv vedoucí k negativnímu dopadu na účet (účty) energie z obnovitelných zdrojů se řeší prostřednictvím regulačních poplatků, které se přenášejí na zákazníky. </w:t>
      </w:r>
    </w:p>
    <w:p w14:paraId="7B84EE72" w14:textId="6791CD6A" w:rsidR="00515398" w:rsidRDefault="006711E6">
      <w:pPr>
        <w:pStyle w:val="P68B1DB1-Normal4"/>
        <w:spacing w:before="120" w:after="120" w:line="240" w:lineRule="auto"/>
        <w:jc w:val="both"/>
        <w:rPr>
          <w:rFonts w:cs="Times New Roman"/>
          <w:noProof/>
        </w:rPr>
      </w:pPr>
      <w:r>
        <w:rPr>
          <w:noProof/>
        </w:rPr>
        <w:t>Provádění reformy, včetně zvýšení kapacity výroby elektřiny z obnovitelných zdrojů o 3 gigawatty,</w:t>
      </w:r>
      <w:r>
        <w:rPr>
          <w:noProof/>
        </w:rPr>
        <w:t xml:space="preserve"> bude dokončeno do 30. června 2025.</w:t>
      </w:r>
    </w:p>
    <w:p w14:paraId="35BC894B"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Zefektivnit účinné fungování nového modelu trhu s elektřinou a rozvoj nových zařízení na výrobu energie z obnovitelných zdrojů s cílem dosáhnout cílů NKEP prostřednictvím zavedení monitorovacího mechanismu, účas</w:t>
      </w:r>
      <w:r>
        <w:rPr>
          <w:noProof/>
        </w:rPr>
        <w:t>ti odezvy na straně poptávky a rozsáhlé reformy postupu udělování licencí pro nové obnovitelné zdroje energie (ID opatření: 16860)</w:t>
      </w:r>
    </w:p>
    <w:p w14:paraId="1CEBE215" w14:textId="77777777" w:rsidR="00515398" w:rsidRDefault="006711E6">
      <w:pPr>
        <w:pStyle w:val="P68B1DB1-Normal4"/>
        <w:spacing w:before="120" w:after="120" w:line="240" w:lineRule="auto"/>
        <w:jc w:val="both"/>
        <w:rPr>
          <w:rFonts w:cs="Times New Roman"/>
          <w:noProof/>
        </w:rPr>
      </w:pPr>
      <w:r>
        <w:rPr>
          <w:noProof/>
        </w:rPr>
        <w:t>Reforma spočívá ve zjednodušení licenčního rámce pro energii z obnovitelných zdrojů, včetně zjednodušení a digitalizace postu</w:t>
      </w:r>
      <w:r>
        <w:rPr>
          <w:noProof/>
        </w:rPr>
        <w:t>pů, krátkých a závazných dobách správní reakce a postupů odpovědnosti za zbytečná zpoždění, omezení nezbytné dokumentace a postupů, jakož i v novém specializovaném rámci pro zařízení na výrobu energie z obnovitelných zdrojů na moři. Cílem je urychlit zdvoj</w:t>
      </w:r>
      <w:r>
        <w:rPr>
          <w:noProof/>
        </w:rPr>
        <w:t>násobení instalovaného výkonu obnovitelných zdrojů energie s ohledem na postupné ukončení výroby elektřiny z hnědého uhlí v Řecku.</w:t>
      </w:r>
    </w:p>
    <w:p w14:paraId="204CFF52" w14:textId="77777777" w:rsidR="00515398" w:rsidRDefault="006711E6">
      <w:pPr>
        <w:pStyle w:val="P68B1DB1-Normal4"/>
        <w:spacing w:before="120" w:after="120" w:line="240" w:lineRule="auto"/>
        <w:jc w:val="both"/>
        <w:rPr>
          <w:rFonts w:cs="Times New Roman"/>
          <w:noProof/>
        </w:rPr>
      </w:pPr>
      <w:r>
        <w:rPr>
          <w:noProof/>
        </w:rPr>
        <w:t>Reforma rovněž zavede systém sledování trhu pro vnitrostátní regulační orgán (RAE) a účast odezvy na straně poptávky na vyrov</w:t>
      </w:r>
      <w:r>
        <w:rPr>
          <w:noProof/>
        </w:rPr>
        <w:t xml:space="preserve">návacím trhu. </w:t>
      </w:r>
    </w:p>
    <w:p w14:paraId="44EBAF66" w14:textId="77777777" w:rsidR="00515398" w:rsidRDefault="006711E6">
      <w:pPr>
        <w:pStyle w:val="P68B1DB1-Normal4"/>
        <w:spacing w:before="120" w:after="120" w:line="240" w:lineRule="auto"/>
        <w:jc w:val="both"/>
        <w:rPr>
          <w:rFonts w:cs="Times New Roman"/>
          <w:noProof/>
        </w:rPr>
      </w:pPr>
      <w:r>
        <w:rPr>
          <w:noProof/>
        </w:rPr>
        <w:t>Provádění reformy se dokončí do 30. června 2022.</w:t>
      </w:r>
    </w:p>
    <w:p w14:paraId="20B4C841" w14:textId="77777777" w:rsidR="00515398" w:rsidRDefault="00515398">
      <w:pPr>
        <w:spacing w:before="120" w:after="120" w:line="240" w:lineRule="auto"/>
        <w:ind w:left="709"/>
        <w:jc w:val="both"/>
        <w:rPr>
          <w:rFonts w:ascii="Times New Roman" w:hAnsi="Times New Roman" w:cs="Times New Roman"/>
          <w:noProof/>
          <w:sz w:val="24"/>
        </w:rPr>
      </w:pPr>
    </w:p>
    <w:p w14:paraId="3D17B1D6" w14:textId="77777777" w:rsidR="00515398" w:rsidRDefault="00515398">
      <w:pPr>
        <w:spacing w:before="120" w:after="120" w:line="240" w:lineRule="auto"/>
        <w:ind w:left="709"/>
        <w:jc w:val="both"/>
        <w:rPr>
          <w:rFonts w:ascii="Times New Roman" w:hAnsi="Times New Roman" w:cs="Times New Roman"/>
          <w:noProof/>
          <w:sz w:val="24"/>
        </w:rPr>
        <w:sectPr w:rsidR="00515398" w:rsidSect="00F72C9B">
          <w:headerReference w:type="even" r:id="rId19"/>
          <w:headerReference w:type="default" r:id="rId20"/>
          <w:footerReference w:type="even" r:id="rId21"/>
          <w:footerReference w:type="default" r:id="rId22"/>
          <w:headerReference w:type="first" r:id="rId23"/>
          <w:footerReference w:type="first" r:id="rId24"/>
          <w:pgSz w:w="11907" w:h="16839"/>
          <w:pgMar w:top="1134" w:right="1134" w:bottom="1134" w:left="1134" w:header="567" w:footer="567" w:gutter="0"/>
          <w:cols w:space="720"/>
          <w:docGrid w:linePitch="360"/>
        </w:sectPr>
      </w:pPr>
    </w:p>
    <w:p w14:paraId="510E3BCD" w14:textId="77777777" w:rsidR="00515398" w:rsidRDefault="006711E6">
      <w:pPr>
        <w:keepNext/>
        <w:keepLines/>
        <w:spacing w:before="240" w:after="0" w:line="240" w:lineRule="auto"/>
        <w:jc w:val="both"/>
        <w:outlineLvl w:val="4"/>
        <w:rPr>
          <w:rFonts w:ascii="Cambria" w:eastAsia="Times New Roman" w:hAnsi="Cambria"/>
          <w:noProof/>
          <w:color w:val="365F91"/>
          <w:sz w:val="24"/>
        </w:rPr>
      </w:pPr>
      <w:r>
        <w:rPr>
          <w:rFonts w:ascii="Times New Roman" w:hAnsi="Times New Roman"/>
          <w:b/>
          <w:noProof/>
          <w:sz w:val="24"/>
          <w:u w:val="single"/>
        </w:rPr>
        <w:t xml:space="preserve">A.2. </w:t>
      </w:r>
      <w:r>
        <w:rPr>
          <w:noProof/>
        </w:rPr>
        <w:t xml:space="preserve"> </w:t>
      </w:r>
      <w:r>
        <w:rPr>
          <w:rFonts w:ascii="Times New Roman" w:hAnsi="Times New Roman"/>
          <w:b/>
          <w:noProof/>
          <w:sz w:val="24"/>
          <w:u w:val="single"/>
        </w:rPr>
        <w:t>Milníky, cíle, ukazatele a harmonogram monitorování a provádění nevratné finanční podpory</w:t>
      </w:r>
    </w:p>
    <w:p w14:paraId="2A19183E" w14:textId="77777777" w:rsidR="00515398" w:rsidRDefault="006711E6">
      <w:pPr>
        <w:pStyle w:val="P68B1DB1-Normal6"/>
        <w:keepNext/>
        <w:keepLines/>
        <w:spacing w:before="240" w:after="0" w:line="240" w:lineRule="auto"/>
        <w:jc w:val="both"/>
        <w:outlineLvl w:val="4"/>
        <w:rPr>
          <w:rFonts w:eastAsia="Times New Roman"/>
          <w:noProof/>
        </w:rPr>
      </w:pPr>
      <w:r>
        <w:rPr>
          <w:noProof/>
        </w:rPr>
        <w:t xml:space="preserve">Nejvyšší investice 1: Zásahy do </w:t>
      </w:r>
      <w:r>
        <w:rPr>
          <w:noProof/>
        </w:rPr>
        <w:t>propojení elektrických sítí ostrovů a modernizace elektrické sítě</w:t>
      </w:r>
    </w:p>
    <w:p w14:paraId="1FC3C42A" w14:textId="77777777" w:rsidR="00515398" w:rsidRDefault="00515398">
      <w:pPr>
        <w:jc w:val="right"/>
        <w:rPr>
          <w:rFonts w:ascii="Cambria" w:eastAsia="Times New Roman" w:hAnsi="Cambria"/>
          <w:noProof/>
          <w:sz w:val="24"/>
        </w:rPr>
      </w:pPr>
    </w:p>
    <w:tbl>
      <w:tblPr>
        <w:tblW w:w="14737" w:type="dxa"/>
        <w:tblLayout w:type="fixed"/>
        <w:tblLook w:val="04A0" w:firstRow="1" w:lastRow="0" w:firstColumn="1" w:lastColumn="0" w:noHBand="0" w:noVBand="1"/>
      </w:tblPr>
      <w:tblGrid>
        <w:gridCol w:w="562"/>
        <w:gridCol w:w="2127"/>
        <w:gridCol w:w="992"/>
        <w:gridCol w:w="1513"/>
        <w:gridCol w:w="1690"/>
        <w:gridCol w:w="951"/>
        <w:gridCol w:w="1047"/>
        <w:gridCol w:w="651"/>
        <w:gridCol w:w="896"/>
        <w:gridCol w:w="10"/>
        <w:gridCol w:w="887"/>
        <w:gridCol w:w="3411"/>
      </w:tblGrid>
      <w:tr w:rsidR="00515398" w14:paraId="488A1750" w14:textId="77777777">
        <w:trPr>
          <w:trHeight w:val="1125"/>
          <w:tblHeader/>
        </w:trPr>
        <w:tc>
          <w:tcPr>
            <w:tcW w:w="562" w:type="dxa"/>
            <w:vMerge w:val="restart"/>
            <w:tcBorders>
              <w:top w:val="single" w:sz="4" w:space="0" w:color="auto"/>
              <w:left w:val="single" w:sz="4" w:space="0" w:color="auto"/>
              <w:right w:val="single" w:sz="4" w:space="0" w:color="auto"/>
            </w:tcBorders>
            <w:shd w:val="clear" w:color="auto" w:fill="BDD7EE"/>
            <w:vAlign w:val="center"/>
            <w:hideMark/>
          </w:tcPr>
          <w:p w14:paraId="3449373B" w14:textId="3A516D62" w:rsidR="00515398" w:rsidRDefault="006711E6">
            <w:pPr>
              <w:pStyle w:val="P68B1DB1-Normal7"/>
              <w:spacing w:before="120" w:after="120" w:line="240" w:lineRule="auto"/>
              <w:jc w:val="center"/>
              <w:rPr>
                <w:rFonts w:cs="Times New Roman"/>
                <w:noProof/>
                <w:sz w:val="24"/>
              </w:rPr>
            </w:pPr>
            <w:r>
              <w:rPr>
                <w:noProof/>
              </w:rPr>
              <w:t>Č.</w:t>
            </w:r>
          </w:p>
          <w:p w14:paraId="77D8A035" w14:textId="77777777" w:rsidR="00515398" w:rsidRDefault="00515398">
            <w:pPr>
              <w:spacing w:before="120" w:after="120" w:line="240" w:lineRule="auto"/>
              <w:jc w:val="center"/>
              <w:rPr>
                <w:rFonts w:ascii="Times New Roman" w:hAnsi="Times New Roman" w:cs="Times New Roman"/>
                <w:noProof/>
                <w:sz w:val="24"/>
              </w:rPr>
            </w:pPr>
          </w:p>
        </w:tc>
        <w:tc>
          <w:tcPr>
            <w:tcW w:w="2127" w:type="dxa"/>
            <w:vMerge w:val="restart"/>
            <w:tcBorders>
              <w:top w:val="single" w:sz="4" w:space="0" w:color="auto"/>
              <w:left w:val="single" w:sz="4" w:space="0" w:color="auto"/>
              <w:right w:val="single" w:sz="4" w:space="0" w:color="auto"/>
            </w:tcBorders>
            <w:shd w:val="clear" w:color="auto" w:fill="BDD7EE"/>
            <w:vAlign w:val="center"/>
            <w:hideMark/>
          </w:tcPr>
          <w:p w14:paraId="4C86FFEC" w14:textId="77777777" w:rsidR="00515398" w:rsidRDefault="006711E6">
            <w:pPr>
              <w:pStyle w:val="P68B1DB1-Normal7"/>
              <w:spacing w:before="120" w:after="120" w:line="240" w:lineRule="auto"/>
              <w:jc w:val="center"/>
              <w:rPr>
                <w:rFonts w:cs="Times New Roman"/>
                <w:noProof/>
                <w:sz w:val="24"/>
              </w:rPr>
            </w:pPr>
            <w:r>
              <w:rPr>
                <w:noProof/>
              </w:rPr>
              <w:t>Související opatření (reforma nebo investice)</w:t>
            </w:r>
          </w:p>
        </w:tc>
        <w:tc>
          <w:tcPr>
            <w:tcW w:w="992" w:type="dxa"/>
            <w:vMerge w:val="restart"/>
            <w:tcBorders>
              <w:top w:val="single" w:sz="4" w:space="0" w:color="auto"/>
              <w:left w:val="single" w:sz="4" w:space="0" w:color="auto"/>
              <w:right w:val="single" w:sz="4" w:space="0" w:color="auto"/>
            </w:tcBorders>
            <w:shd w:val="clear" w:color="auto" w:fill="BDD7EE"/>
            <w:vAlign w:val="center"/>
            <w:hideMark/>
          </w:tcPr>
          <w:p w14:paraId="7214E583" w14:textId="77777777" w:rsidR="00515398" w:rsidRDefault="006711E6">
            <w:pPr>
              <w:pStyle w:val="P68B1DB1-Normal7"/>
              <w:spacing w:before="120" w:after="120" w:line="240" w:lineRule="auto"/>
              <w:jc w:val="center"/>
              <w:rPr>
                <w:rFonts w:cs="Times New Roman"/>
                <w:noProof/>
                <w:sz w:val="24"/>
              </w:rPr>
            </w:pPr>
            <w:r>
              <w:rPr>
                <w:noProof/>
              </w:rPr>
              <w:t>Milník/cíl</w:t>
            </w:r>
          </w:p>
        </w:tc>
        <w:tc>
          <w:tcPr>
            <w:tcW w:w="1513" w:type="dxa"/>
            <w:vMerge w:val="restart"/>
            <w:tcBorders>
              <w:top w:val="single" w:sz="4" w:space="0" w:color="auto"/>
              <w:left w:val="nil"/>
              <w:right w:val="single" w:sz="4" w:space="0" w:color="auto"/>
            </w:tcBorders>
            <w:shd w:val="clear" w:color="auto" w:fill="BDD7EE"/>
            <w:vAlign w:val="center"/>
            <w:hideMark/>
          </w:tcPr>
          <w:p w14:paraId="26B5B832" w14:textId="77777777" w:rsidR="00515398" w:rsidRDefault="006711E6">
            <w:pPr>
              <w:pStyle w:val="P68B1DB1-Normal7"/>
              <w:spacing w:before="120" w:after="120" w:line="240" w:lineRule="auto"/>
              <w:jc w:val="center"/>
              <w:rPr>
                <w:rFonts w:cs="Times New Roman"/>
                <w:noProof/>
                <w:sz w:val="24"/>
              </w:rPr>
            </w:pPr>
            <w:r>
              <w:rPr>
                <w:noProof/>
              </w:rPr>
              <w:t>Jméno</w:t>
            </w:r>
          </w:p>
        </w:tc>
        <w:tc>
          <w:tcPr>
            <w:tcW w:w="1690" w:type="dxa"/>
            <w:vMerge w:val="restart"/>
            <w:tcBorders>
              <w:top w:val="single" w:sz="4" w:space="0" w:color="auto"/>
              <w:left w:val="single" w:sz="4" w:space="0" w:color="auto"/>
              <w:right w:val="single" w:sz="4" w:space="0" w:color="auto"/>
            </w:tcBorders>
            <w:shd w:val="clear" w:color="auto" w:fill="BDD7EE"/>
            <w:vAlign w:val="center"/>
            <w:hideMark/>
          </w:tcPr>
          <w:p w14:paraId="24681555" w14:textId="77777777" w:rsidR="00515398" w:rsidRDefault="006711E6">
            <w:pPr>
              <w:pStyle w:val="P68B1DB1-Normal7"/>
              <w:spacing w:before="120" w:after="120" w:line="240" w:lineRule="auto"/>
              <w:jc w:val="center"/>
              <w:rPr>
                <w:rFonts w:cs="Times New Roman"/>
                <w:noProof/>
                <w:sz w:val="24"/>
              </w:rPr>
            </w:pPr>
            <w:r>
              <w:rPr>
                <w:noProof/>
              </w:rPr>
              <w:t>Kvalitativní ukazatele (pro milníky)</w:t>
            </w:r>
          </w:p>
        </w:tc>
        <w:tc>
          <w:tcPr>
            <w:tcW w:w="2649" w:type="dxa"/>
            <w:gridSpan w:val="3"/>
            <w:tcBorders>
              <w:top w:val="single" w:sz="4" w:space="0" w:color="auto"/>
              <w:left w:val="nil"/>
              <w:bottom w:val="single" w:sz="4" w:space="0" w:color="auto"/>
              <w:right w:val="single" w:sz="4" w:space="0" w:color="auto"/>
            </w:tcBorders>
            <w:shd w:val="clear" w:color="auto" w:fill="BDD7EE"/>
            <w:vAlign w:val="center"/>
            <w:hideMark/>
          </w:tcPr>
          <w:p w14:paraId="48071613" w14:textId="77777777" w:rsidR="00515398" w:rsidRDefault="006711E6">
            <w:pPr>
              <w:pStyle w:val="P68B1DB1-Normal7"/>
              <w:spacing w:before="120" w:after="120" w:line="240" w:lineRule="auto"/>
              <w:jc w:val="center"/>
              <w:rPr>
                <w:rFonts w:cs="Times New Roman"/>
                <w:noProof/>
                <w:sz w:val="24"/>
              </w:rPr>
            </w:pPr>
            <w:r>
              <w:rPr>
                <w:noProof/>
              </w:rPr>
              <w:t>Kvantitativní ukazatele (pro cíle)</w:t>
            </w:r>
          </w:p>
        </w:tc>
        <w:tc>
          <w:tcPr>
            <w:tcW w:w="1793" w:type="dxa"/>
            <w:gridSpan w:val="3"/>
            <w:tcBorders>
              <w:top w:val="single" w:sz="4" w:space="0" w:color="auto"/>
              <w:left w:val="nil"/>
              <w:bottom w:val="single" w:sz="4" w:space="0" w:color="auto"/>
              <w:right w:val="single" w:sz="4" w:space="0" w:color="auto"/>
            </w:tcBorders>
            <w:shd w:val="clear" w:color="auto" w:fill="BDD7EE"/>
            <w:vAlign w:val="center"/>
            <w:hideMark/>
          </w:tcPr>
          <w:p w14:paraId="52E6B995" w14:textId="77777777" w:rsidR="00515398" w:rsidRDefault="006711E6">
            <w:pPr>
              <w:pStyle w:val="P68B1DB1-Normal7"/>
              <w:spacing w:before="120" w:after="120" w:line="240" w:lineRule="auto"/>
              <w:jc w:val="center"/>
              <w:rPr>
                <w:rFonts w:cs="Times New Roman"/>
                <w:noProof/>
                <w:sz w:val="24"/>
              </w:rPr>
            </w:pPr>
            <w:r>
              <w:rPr>
                <w:noProof/>
              </w:rPr>
              <w:t>Orientační harmonogram pro dokončení</w:t>
            </w:r>
          </w:p>
        </w:tc>
        <w:tc>
          <w:tcPr>
            <w:tcW w:w="34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A6B6F" w14:textId="77777777" w:rsidR="00515398" w:rsidRDefault="006711E6">
            <w:pPr>
              <w:pStyle w:val="P68B1DB1-Normal7"/>
              <w:spacing w:before="120" w:after="120" w:line="240" w:lineRule="auto"/>
              <w:jc w:val="center"/>
              <w:rPr>
                <w:rFonts w:cs="Times New Roman"/>
                <w:noProof/>
                <w:sz w:val="24"/>
              </w:rPr>
            </w:pPr>
            <w:r>
              <w:rPr>
                <w:noProof/>
              </w:rPr>
              <w:t>Popis každého</w:t>
            </w:r>
            <w:r>
              <w:rPr>
                <w:noProof/>
              </w:rPr>
              <w:t xml:space="preserve"> milníku a cíle</w:t>
            </w:r>
          </w:p>
          <w:p w14:paraId="25A86727" w14:textId="77777777" w:rsidR="00515398" w:rsidRDefault="00515398">
            <w:pPr>
              <w:spacing w:before="120" w:after="120" w:line="240" w:lineRule="auto"/>
              <w:jc w:val="center"/>
              <w:rPr>
                <w:rFonts w:ascii="Times New Roman" w:hAnsi="Times New Roman" w:cs="Times New Roman"/>
                <w:noProof/>
                <w:sz w:val="24"/>
              </w:rPr>
            </w:pPr>
          </w:p>
        </w:tc>
      </w:tr>
      <w:tr w:rsidR="00515398" w14:paraId="6F0ED93F" w14:textId="77777777">
        <w:trPr>
          <w:trHeight w:val="848"/>
          <w:tblHeader/>
        </w:trPr>
        <w:tc>
          <w:tcPr>
            <w:tcW w:w="562" w:type="dxa"/>
            <w:vMerge/>
            <w:tcBorders>
              <w:left w:val="single" w:sz="4" w:space="0" w:color="auto"/>
              <w:bottom w:val="single" w:sz="4" w:space="0" w:color="000000"/>
              <w:right w:val="single" w:sz="4" w:space="0" w:color="auto"/>
            </w:tcBorders>
            <w:shd w:val="clear" w:color="auto" w:fill="BDD7EE"/>
            <w:vAlign w:val="center"/>
          </w:tcPr>
          <w:p w14:paraId="74AD3139"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2127" w:type="dxa"/>
            <w:vMerge/>
            <w:tcBorders>
              <w:left w:val="single" w:sz="4" w:space="0" w:color="auto"/>
              <w:bottom w:val="single" w:sz="4" w:space="0" w:color="auto"/>
              <w:right w:val="single" w:sz="4" w:space="0" w:color="auto"/>
            </w:tcBorders>
            <w:shd w:val="clear" w:color="auto" w:fill="BDD7EE"/>
            <w:vAlign w:val="center"/>
          </w:tcPr>
          <w:p w14:paraId="33465DC1"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992" w:type="dxa"/>
            <w:vMerge/>
            <w:tcBorders>
              <w:left w:val="single" w:sz="4" w:space="0" w:color="auto"/>
              <w:bottom w:val="single" w:sz="4" w:space="0" w:color="auto"/>
              <w:right w:val="single" w:sz="4" w:space="0" w:color="auto"/>
            </w:tcBorders>
            <w:shd w:val="clear" w:color="auto" w:fill="BDD7EE"/>
            <w:vAlign w:val="center"/>
          </w:tcPr>
          <w:p w14:paraId="2D878D4E"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513" w:type="dxa"/>
            <w:vMerge/>
            <w:tcBorders>
              <w:left w:val="nil"/>
              <w:bottom w:val="single" w:sz="4" w:space="0" w:color="auto"/>
              <w:right w:val="single" w:sz="4" w:space="0" w:color="auto"/>
            </w:tcBorders>
            <w:shd w:val="clear" w:color="auto" w:fill="BDD7EE"/>
            <w:vAlign w:val="center"/>
          </w:tcPr>
          <w:p w14:paraId="4444BB28"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690" w:type="dxa"/>
            <w:vMerge/>
            <w:tcBorders>
              <w:left w:val="single" w:sz="4" w:space="0" w:color="auto"/>
              <w:bottom w:val="single" w:sz="4" w:space="0" w:color="auto"/>
              <w:right w:val="single" w:sz="4" w:space="0" w:color="auto"/>
            </w:tcBorders>
            <w:shd w:val="clear" w:color="auto" w:fill="BDD7EE"/>
            <w:vAlign w:val="center"/>
          </w:tcPr>
          <w:p w14:paraId="1BCCD4DC"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951" w:type="dxa"/>
            <w:tcBorders>
              <w:top w:val="single" w:sz="4" w:space="0" w:color="auto"/>
              <w:left w:val="nil"/>
              <w:bottom w:val="single" w:sz="4" w:space="0" w:color="auto"/>
              <w:right w:val="single" w:sz="4" w:space="0" w:color="auto"/>
            </w:tcBorders>
            <w:shd w:val="clear" w:color="auto" w:fill="BDD7EE"/>
            <w:vAlign w:val="center"/>
          </w:tcPr>
          <w:p w14:paraId="1C0EC1E8"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1047" w:type="dxa"/>
            <w:tcBorders>
              <w:top w:val="single" w:sz="4" w:space="0" w:color="auto"/>
              <w:left w:val="nil"/>
              <w:bottom w:val="single" w:sz="4" w:space="0" w:color="auto"/>
              <w:right w:val="single" w:sz="4" w:space="0" w:color="auto"/>
            </w:tcBorders>
            <w:shd w:val="clear" w:color="auto" w:fill="BDD7EE"/>
            <w:vAlign w:val="center"/>
          </w:tcPr>
          <w:p w14:paraId="7D31ADC8"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651" w:type="dxa"/>
            <w:tcBorders>
              <w:top w:val="single" w:sz="4" w:space="0" w:color="auto"/>
              <w:left w:val="nil"/>
              <w:bottom w:val="single" w:sz="4" w:space="0" w:color="auto"/>
              <w:right w:val="single" w:sz="4" w:space="0" w:color="auto"/>
            </w:tcBorders>
            <w:shd w:val="clear" w:color="auto" w:fill="BDD7EE"/>
            <w:vAlign w:val="center"/>
          </w:tcPr>
          <w:p w14:paraId="75E4BCF3"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896" w:type="dxa"/>
            <w:tcBorders>
              <w:top w:val="single" w:sz="4" w:space="0" w:color="auto"/>
              <w:left w:val="nil"/>
              <w:bottom w:val="single" w:sz="4" w:space="0" w:color="auto"/>
              <w:right w:val="single" w:sz="4" w:space="0" w:color="auto"/>
            </w:tcBorders>
            <w:shd w:val="clear" w:color="auto" w:fill="BDD7EE"/>
            <w:vAlign w:val="center"/>
          </w:tcPr>
          <w:p w14:paraId="6331BAAC"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897" w:type="dxa"/>
            <w:gridSpan w:val="2"/>
            <w:tcBorders>
              <w:top w:val="single" w:sz="4" w:space="0" w:color="auto"/>
              <w:left w:val="nil"/>
              <w:bottom w:val="single" w:sz="4" w:space="0" w:color="auto"/>
              <w:right w:val="single" w:sz="4" w:space="0" w:color="auto"/>
            </w:tcBorders>
            <w:shd w:val="clear" w:color="auto" w:fill="BDD7EE"/>
            <w:vAlign w:val="center"/>
          </w:tcPr>
          <w:p w14:paraId="05D35731"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411" w:type="dxa"/>
            <w:vMerge/>
            <w:tcBorders>
              <w:left w:val="single" w:sz="4" w:space="0" w:color="auto"/>
              <w:bottom w:val="single" w:sz="4" w:space="0" w:color="auto"/>
              <w:right w:val="single" w:sz="4" w:space="0" w:color="auto"/>
            </w:tcBorders>
            <w:shd w:val="clear" w:color="auto" w:fill="BDD7EE"/>
            <w:vAlign w:val="center"/>
          </w:tcPr>
          <w:p w14:paraId="17C4AC33"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r>
      <w:tr w:rsidR="00515398" w14:paraId="6696AAC2" w14:textId="77777777">
        <w:tc>
          <w:tcPr>
            <w:tcW w:w="562" w:type="dxa"/>
            <w:tcBorders>
              <w:top w:val="nil"/>
              <w:left w:val="single" w:sz="4" w:space="0" w:color="auto"/>
              <w:bottom w:val="single" w:sz="4" w:space="0" w:color="auto"/>
              <w:right w:val="single" w:sz="4" w:space="0" w:color="auto"/>
            </w:tcBorders>
            <w:shd w:val="clear" w:color="auto" w:fill="C6EFCE"/>
            <w:noWrap/>
          </w:tcPr>
          <w:p w14:paraId="27B132FC" w14:textId="77777777" w:rsidR="00515398" w:rsidRDefault="006711E6">
            <w:pPr>
              <w:pStyle w:val="P68B1DB1-Normal8"/>
              <w:spacing w:after="0" w:line="240" w:lineRule="auto"/>
              <w:rPr>
                <w:rFonts w:eastAsia="Times New Roman" w:cs="Times New Roman"/>
                <w:noProof/>
                <w:szCs w:val="18"/>
              </w:rPr>
            </w:pPr>
            <w:r>
              <w:rPr>
                <w:noProof/>
              </w:rPr>
              <w:t>1</w:t>
            </w:r>
          </w:p>
        </w:tc>
        <w:tc>
          <w:tcPr>
            <w:tcW w:w="2127" w:type="dxa"/>
            <w:tcBorders>
              <w:top w:val="single" w:sz="4" w:space="0" w:color="auto"/>
              <w:left w:val="nil"/>
              <w:bottom w:val="single" w:sz="4" w:space="0" w:color="auto"/>
              <w:right w:val="single" w:sz="4" w:space="0" w:color="auto"/>
            </w:tcBorders>
            <w:shd w:val="clear" w:color="auto" w:fill="C6EFCE"/>
            <w:noWrap/>
          </w:tcPr>
          <w:p w14:paraId="53FDB301" w14:textId="77777777" w:rsidR="00515398" w:rsidRDefault="006711E6">
            <w:pPr>
              <w:pStyle w:val="P68B1DB1-Normal9"/>
              <w:spacing w:after="0" w:line="240" w:lineRule="auto"/>
              <w:rPr>
                <w:rFonts w:eastAsia="Times New Roman" w:cs="Calibri"/>
                <w:noProof/>
                <w:szCs w:val="18"/>
              </w:rPr>
            </w:pPr>
            <w:r>
              <w:rPr>
                <w:noProof/>
              </w:rPr>
              <w:t>1–1.1 Zvýšení výkonu – 16870_Intervence pro propojení elektrických sítí ostrovů a modernizaci elektrické sítě</w:t>
            </w:r>
          </w:p>
        </w:tc>
        <w:tc>
          <w:tcPr>
            <w:tcW w:w="992" w:type="dxa"/>
            <w:tcBorders>
              <w:top w:val="single" w:sz="4" w:space="0" w:color="auto"/>
              <w:left w:val="nil"/>
              <w:bottom w:val="single" w:sz="4" w:space="0" w:color="auto"/>
              <w:right w:val="single" w:sz="4" w:space="0" w:color="auto"/>
            </w:tcBorders>
            <w:shd w:val="clear" w:color="auto" w:fill="C6EFCE"/>
            <w:noWrap/>
          </w:tcPr>
          <w:p w14:paraId="46C915D0" w14:textId="77777777" w:rsidR="00515398" w:rsidRDefault="006711E6">
            <w:pPr>
              <w:pStyle w:val="P68B1DB1-Normal9"/>
              <w:spacing w:after="0" w:line="240" w:lineRule="auto"/>
              <w:rPr>
                <w:rFonts w:eastAsia="Times New Roman" w:cs="Calibri"/>
                <w:noProof/>
                <w:szCs w:val="18"/>
              </w:rPr>
            </w:pPr>
            <w:r>
              <w:rPr>
                <w:noProof/>
              </w:rPr>
              <w:t>Milník</w:t>
            </w:r>
          </w:p>
        </w:tc>
        <w:tc>
          <w:tcPr>
            <w:tcW w:w="1513" w:type="dxa"/>
            <w:tcBorders>
              <w:top w:val="single" w:sz="4" w:space="0" w:color="auto"/>
              <w:left w:val="nil"/>
              <w:bottom w:val="single" w:sz="4" w:space="0" w:color="auto"/>
              <w:right w:val="single" w:sz="4" w:space="0" w:color="auto"/>
            </w:tcBorders>
            <w:shd w:val="clear" w:color="auto" w:fill="C6EFCE"/>
            <w:noWrap/>
          </w:tcPr>
          <w:p w14:paraId="2B56AE58"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Propojení ostrovů – zadávání zakázek</w:t>
            </w:r>
          </w:p>
        </w:tc>
        <w:tc>
          <w:tcPr>
            <w:tcW w:w="1690" w:type="dxa"/>
            <w:tcBorders>
              <w:top w:val="single" w:sz="4" w:space="0" w:color="auto"/>
              <w:left w:val="nil"/>
              <w:bottom w:val="single" w:sz="4" w:space="0" w:color="auto"/>
              <w:right w:val="single" w:sz="4" w:space="0" w:color="auto"/>
            </w:tcBorders>
            <w:shd w:val="clear" w:color="auto" w:fill="C6EFCE"/>
            <w:noWrap/>
          </w:tcPr>
          <w:p w14:paraId="376B4162" w14:textId="77777777" w:rsidR="00515398" w:rsidRDefault="006711E6">
            <w:pPr>
              <w:pStyle w:val="P68B1DB1-Normal9"/>
              <w:spacing w:after="120" w:line="240" w:lineRule="auto"/>
              <w:rPr>
                <w:rFonts w:ascii="Times New Roman" w:eastAsia="Times New Roman" w:hAnsi="Times New Roman" w:cs="Times New Roman"/>
                <w:noProof/>
                <w:szCs w:val="18"/>
              </w:rPr>
            </w:pPr>
            <w:r>
              <w:rPr>
                <w:noProof/>
              </w:rPr>
              <w:t>Oznámení o zadání všech zakázek</w:t>
            </w:r>
          </w:p>
        </w:tc>
        <w:tc>
          <w:tcPr>
            <w:tcW w:w="951" w:type="dxa"/>
            <w:tcBorders>
              <w:top w:val="nil"/>
              <w:left w:val="nil"/>
              <w:bottom w:val="single" w:sz="4" w:space="0" w:color="auto"/>
              <w:right w:val="single" w:sz="4" w:space="0" w:color="auto"/>
            </w:tcBorders>
            <w:shd w:val="clear" w:color="auto" w:fill="C6EFCE"/>
            <w:noWrap/>
          </w:tcPr>
          <w:p w14:paraId="28B81728" w14:textId="77777777" w:rsidR="00515398" w:rsidRDefault="00515398">
            <w:pPr>
              <w:spacing w:after="0" w:line="240" w:lineRule="auto"/>
              <w:rPr>
                <w:rFonts w:ascii="Times New Roman" w:eastAsia="Times New Roman" w:hAnsi="Times New Roman" w:cs="Times New Roman"/>
                <w:noProof/>
                <w:sz w:val="18"/>
                <w:szCs w:val="18"/>
              </w:rPr>
            </w:pPr>
          </w:p>
        </w:tc>
        <w:tc>
          <w:tcPr>
            <w:tcW w:w="1047" w:type="dxa"/>
            <w:tcBorders>
              <w:top w:val="nil"/>
              <w:left w:val="nil"/>
              <w:bottom w:val="single" w:sz="4" w:space="0" w:color="auto"/>
              <w:right w:val="single" w:sz="4" w:space="0" w:color="auto"/>
            </w:tcBorders>
            <w:shd w:val="clear" w:color="auto" w:fill="C6EFCE"/>
            <w:noWrap/>
          </w:tcPr>
          <w:p w14:paraId="395D291B" w14:textId="77777777" w:rsidR="00515398" w:rsidRDefault="00515398">
            <w:pPr>
              <w:spacing w:after="0" w:line="240" w:lineRule="auto"/>
              <w:rPr>
                <w:rFonts w:ascii="Times New Roman" w:eastAsia="Times New Roman" w:hAnsi="Times New Roman" w:cs="Times New Roman"/>
                <w:noProof/>
                <w:sz w:val="18"/>
                <w:szCs w:val="18"/>
              </w:rPr>
            </w:pPr>
          </w:p>
        </w:tc>
        <w:tc>
          <w:tcPr>
            <w:tcW w:w="651" w:type="dxa"/>
            <w:tcBorders>
              <w:top w:val="nil"/>
              <w:left w:val="nil"/>
              <w:bottom w:val="single" w:sz="4" w:space="0" w:color="auto"/>
              <w:right w:val="single" w:sz="4" w:space="0" w:color="auto"/>
            </w:tcBorders>
            <w:shd w:val="clear" w:color="auto" w:fill="C6EFCE"/>
            <w:noWrap/>
          </w:tcPr>
          <w:p w14:paraId="45FEC6E7" w14:textId="77777777" w:rsidR="00515398" w:rsidRDefault="00515398">
            <w:pPr>
              <w:spacing w:after="0" w:line="240" w:lineRule="auto"/>
              <w:rPr>
                <w:rFonts w:ascii="Times New Roman" w:eastAsia="Times New Roman" w:hAnsi="Times New Roman" w:cs="Times New Roman"/>
                <w:noProof/>
                <w:sz w:val="18"/>
                <w:szCs w:val="18"/>
              </w:rPr>
            </w:pPr>
          </w:p>
        </w:tc>
        <w:tc>
          <w:tcPr>
            <w:tcW w:w="906" w:type="dxa"/>
            <w:gridSpan w:val="2"/>
            <w:tcBorders>
              <w:top w:val="nil"/>
              <w:left w:val="nil"/>
              <w:bottom w:val="single" w:sz="4" w:space="0" w:color="auto"/>
              <w:right w:val="single" w:sz="4" w:space="0" w:color="auto"/>
            </w:tcBorders>
            <w:shd w:val="clear" w:color="auto" w:fill="C6EFCE"/>
            <w:noWrap/>
          </w:tcPr>
          <w:p w14:paraId="5A215A71" w14:textId="77777777" w:rsidR="00515398" w:rsidRDefault="006711E6">
            <w:pPr>
              <w:pStyle w:val="P68B1DB1-Normal9"/>
              <w:spacing w:after="120" w:line="240" w:lineRule="auto"/>
              <w:rPr>
                <w:rFonts w:eastAsia="Times New Roman"/>
                <w:noProof/>
                <w:szCs w:val="18"/>
              </w:rPr>
            </w:pPr>
            <w:r>
              <w:rPr>
                <w:noProof/>
              </w:rPr>
              <w:t>ČTVRTLETÍ</w:t>
            </w:r>
          </w:p>
        </w:tc>
        <w:tc>
          <w:tcPr>
            <w:tcW w:w="887" w:type="dxa"/>
            <w:tcBorders>
              <w:top w:val="nil"/>
              <w:left w:val="nil"/>
              <w:bottom w:val="single" w:sz="4" w:space="0" w:color="auto"/>
              <w:right w:val="single" w:sz="4" w:space="0" w:color="auto"/>
            </w:tcBorders>
            <w:shd w:val="clear" w:color="auto" w:fill="C6EFCE"/>
            <w:noWrap/>
          </w:tcPr>
          <w:p w14:paraId="4C9788AD" w14:textId="77777777" w:rsidR="00515398" w:rsidRDefault="006711E6">
            <w:pPr>
              <w:pStyle w:val="P68B1DB1-Normal9"/>
              <w:spacing w:after="120" w:line="240" w:lineRule="auto"/>
              <w:rPr>
                <w:rFonts w:eastAsia="Times New Roman"/>
                <w:noProof/>
                <w:szCs w:val="18"/>
              </w:rPr>
            </w:pPr>
            <w:r>
              <w:rPr>
                <w:noProof/>
              </w:rPr>
              <w:t>2023</w:t>
            </w:r>
          </w:p>
        </w:tc>
        <w:tc>
          <w:tcPr>
            <w:tcW w:w="3411" w:type="dxa"/>
            <w:tcBorders>
              <w:top w:val="single" w:sz="4" w:space="0" w:color="auto"/>
              <w:left w:val="nil"/>
              <w:bottom w:val="single" w:sz="4" w:space="0" w:color="auto"/>
              <w:right w:val="single" w:sz="4" w:space="0" w:color="auto"/>
            </w:tcBorders>
            <w:shd w:val="clear" w:color="auto" w:fill="C6EFCE"/>
            <w:noWrap/>
          </w:tcPr>
          <w:p w14:paraId="6C6336B4" w14:textId="77777777" w:rsidR="00515398" w:rsidRDefault="006711E6">
            <w:pPr>
              <w:pStyle w:val="P68B1DB1-Normal9"/>
              <w:spacing w:after="0" w:line="240" w:lineRule="auto"/>
              <w:rPr>
                <w:rFonts w:eastAsia="Times New Roman" w:cs="Calibri"/>
                <w:noProof/>
                <w:szCs w:val="18"/>
              </w:rPr>
            </w:pPr>
            <w:r>
              <w:rPr>
                <w:noProof/>
              </w:rPr>
              <w:t xml:space="preserve">Oznámení o zadání všech zakázek nezávislým </w:t>
            </w:r>
            <w:r>
              <w:rPr>
                <w:noProof/>
              </w:rPr>
              <w:t>provozovatelem přenosové soustavy (IPTO) na úplnou instalaci:</w:t>
            </w:r>
          </w:p>
          <w:p w14:paraId="353679C6" w14:textId="77777777" w:rsidR="00515398" w:rsidRDefault="006711E6">
            <w:pPr>
              <w:pStyle w:val="P68B1DB1-Normal9"/>
              <w:spacing w:after="0" w:line="240" w:lineRule="auto"/>
              <w:rPr>
                <w:rFonts w:eastAsia="Times New Roman" w:cs="Calibri"/>
                <w:noProof/>
                <w:szCs w:val="18"/>
              </w:rPr>
            </w:pPr>
            <w:r>
              <w:rPr>
                <w:noProof/>
              </w:rPr>
              <w:t>1) kabelové připojení Naxos – Thira;</w:t>
            </w:r>
          </w:p>
          <w:p w14:paraId="05EA6771" w14:textId="77777777" w:rsidR="00515398" w:rsidRDefault="006711E6">
            <w:pPr>
              <w:pStyle w:val="P68B1DB1-Normal9"/>
              <w:spacing w:after="0" w:line="240" w:lineRule="auto"/>
              <w:rPr>
                <w:rFonts w:eastAsia="Times New Roman" w:cs="Calibri"/>
                <w:noProof/>
                <w:szCs w:val="18"/>
              </w:rPr>
            </w:pPr>
            <w:r>
              <w:rPr>
                <w:noProof/>
              </w:rPr>
              <w:t>2) kabel s externím vysokým napětím (EHVC) Koumoundoros – Korinthos (části 1 a 2); a pokud</w:t>
            </w:r>
          </w:p>
          <w:p w14:paraId="0C8F0A9C"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3) Substations Milos, Folegandros, Serifos a kabelové spoje Lavrio</w:t>
            </w:r>
            <w:r>
              <w:rPr>
                <w:noProof/>
              </w:rPr>
              <w:t>-Serifos, Serifos-Milos, Milos-Folegandros, Folegandros-Thira.</w:t>
            </w:r>
          </w:p>
        </w:tc>
      </w:tr>
      <w:tr w:rsidR="00515398" w14:paraId="15A94FCC" w14:textId="77777777">
        <w:tc>
          <w:tcPr>
            <w:tcW w:w="562" w:type="dxa"/>
            <w:tcBorders>
              <w:top w:val="single" w:sz="4" w:space="0" w:color="auto"/>
              <w:left w:val="single" w:sz="4" w:space="0" w:color="auto"/>
              <w:bottom w:val="single" w:sz="4" w:space="0" w:color="auto"/>
              <w:right w:val="single" w:sz="4" w:space="0" w:color="auto"/>
            </w:tcBorders>
            <w:shd w:val="clear" w:color="auto" w:fill="C6EFCE"/>
            <w:noWrap/>
            <w:hideMark/>
          </w:tcPr>
          <w:p w14:paraId="6EB6377E" w14:textId="77777777" w:rsidR="00515398" w:rsidRDefault="006711E6">
            <w:pPr>
              <w:pStyle w:val="P68B1DB1-Normal9"/>
              <w:spacing w:before="120" w:after="120" w:line="240" w:lineRule="auto"/>
              <w:rPr>
                <w:rFonts w:ascii="Times New Roman" w:hAnsi="Times New Roman" w:cs="Times New Roman"/>
                <w:noProof/>
                <w:sz w:val="24"/>
              </w:rPr>
            </w:pPr>
            <w:r>
              <w:rPr>
                <w:noProof/>
              </w:rPr>
              <w:t>3</w:t>
            </w:r>
          </w:p>
        </w:tc>
        <w:tc>
          <w:tcPr>
            <w:tcW w:w="2127" w:type="dxa"/>
            <w:tcBorders>
              <w:top w:val="single" w:sz="4" w:space="0" w:color="auto"/>
              <w:left w:val="nil"/>
              <w:bottom w:val="single" w:sz="4" w:space="0" w:color="auto"/>
              <w:right w:val="single" w:sz="4" w:space="0" w:color="auto"/>
            </w:tcBorders>
            <w:shd w:val="clear" w:color="auto" w:fill="C6EFCE"/>
            <w:noWrap/>
            <w:hideMark/>
          </w:tcPr>
          <w:p w14:paraId="5F7BE0CC" w14:textId="77777777" w:rsidR="00515398" w:rsidRDefault="006711E6">
            <w:pPr>
              <w:pStyle w:val="P68B1DB1-Normal9"/>
              <w:spacing w:after="120" w:line="240" w:lineRule="auto"/>
              <w:rPr>
                <w:rFonts w:ascii="Times New Roman" w:hAnsi="Times New Roman" w:cs="Times New Roman"/>
                <w:noProof/>
                <w:sz w:val="24"/>
              </w:rPr>
            </w:pPr>
            <w:r>
              <w:rPr>
                <w:noProof/>
              </w:rPr>
              <w:t>1–1.1 Zvýšení výkonu – 16870_Intervence pro propojení elektrických sítí ostrovů a modernizaci elektrické sítě</w:t>
            </w:r>
          </w:p>
        </w:tc>
        <w:tc>
          <w:tcPr>
            <w:tcW w:w="992" w:type="dxa"/>
            <w:tcBorders>
              <w:top w:val="single" w:sz="4" w:space="0" w:color="auto"/>
              <w:left w:val="nil"/>
              <w:bottom w:val="single" w:sz="4" w:space="0" w:color="auto"/>
              <w:right w:val="single" w:sz="4" w:space="0" w:color="auto"/>
            </w:tcBorders>
            <w:shd w:val="clear" w:color="auto" w:fill="C6EFCE"/>
            <w:noWrap/>
            <w:hideMark/>
          </w:tcPr>
          <w:p w14:paraId="2E6BCE0C" w14:textId="30E666BB" w:rsidR="00515398" w:rsidRDefault="006711E6">
            <w:pPr>
              <w:pStyle w:val="P68B1DB1-Normal9"/>
              <w:spacing w:after="120" w:line="240" w:lineRule="auto"/>
              <w:rPr>
                <w:rFonts w:ascii="Times New Roman" w:hAnsi="Times New Roman" w:cs="Times New Roman"/>
                <w:noProof/>
                <w:sz w:val="24"/>
              </w:rPr>
            </w:pPr>
            <w:r>
              <w:rPr>
                <w:noProof/>
              </w:rPr>
              <w:t>Milník</w:t>
            </w:r>
          </w:p>
        </w:tc>
        <w:tc>
          <w:tcPr>
            <w:tcW w:w="1513" w:type="dxa"/>
            <w:tcBorders>
              <w:top w:val="single" w:sz="4" w:space="0" w:color="auto"/>
              <w:left w:val="nil"/>
              <w:bottom w:val="single" w:sz="4" w:space="0" w:color="auto"/>
              <w:right w:val="single" w:sz="4" w:space="0" w:color="auto"/>
            </w:tcBorders>
            <w:shd w:val="clear" w:color="auto" w:fill="C6EFCE"/>
            <w:noWrap/>
            <w:hideMark/>
          </w:tcPr>
          <w:p w14:paraId="78CC7753" w14:textId="77777777" w:rsidR="00515398" w:rsidRDefault="006711E6">
            <w:pPr>
              <w:pStyle w:val="P68B1DB1-Normal9"/>
              <w:spacing w:after="120" w:line="240" w:lineRule="auto"/>
              <w:rPr>
                <w:rFonts w:ascii="Times New Roman" w:hAnsi="Times New Roman" w:cs="Times New Roman"/>
                <w:noProof/>
                <w:sz w:val="24"/>
              </w:rPr>
            </w:pPr>
            <w:r>
              <w:rPr>
                <w:noProof/>
              </w:rPr>
              <w:t>Propojení ostrovů – dokončení</w:t>
            </w:r>
          </w:p>
        </w:tc>
        <w:tc>
          <w:tcPr>
            <w:tcW w:w="1690" w:type="dxa"/>
            <w:tcBorders>
              <w:top w:val="single" w:sz="4" w:space="0" w:color="auto"/>
              <w:left w:val="nil"/>
              <w:bottom w:val="single" w:sz="4" w:space="0" w:color="auto"/>
              <w:right w:val="single" w:sz="4" w:space="0" w:color="auto"/>
            </w:tcBorders>
            <w:shd w:val="clear" w:color="auto" w:fill="C6EFCE"/>
            <w:noWrap/>
            <w:hideMark/>
          </w:tcPr>
          <w:p w14:paraId="570AAA9B" w14:textId="77777777" w:rsidR="00515398" w:rsidRDefault="006711E6">
            <w:pPr>
              <w:pStyle w:val="P68B1DB1-Normal9"/>
              <w:spacing w:after="120" w:line="240" w:lineRule="auto"/>
              <w:rPr>
                <w:rFonts w:ascii="Times New Roman" w:hAnsi="Times New Roman" w:cs="Times New Roman"/>
                <w:noProof/>
                <w:sz w:val="24"/>
              </w:rPr>
            </w:pPr>
            <w:r>
              <w:rPr>
                <w:noProof/>
              </w:rPr>
              <w:t xml:space="preserve">Úspěšné zahájení provozu/elektrifikace </w:t>
            </w:r>
            <w:r>
              <w:rPr>
                <w:noProof/>
              </w:rPr>
              <w:t>potvrzené IPTO; vydávání osvědčení o úspěšném zkušebním provozu</w:t>
            </w:r>
          </w:p>
        </w:tc>
        <w:tc>
          <w:tcPr>
            <w:tcW w:w="951" w:type="dxa"/>
            <w:tcBorders>
              <w:top w:val="single" w:sz="4" w:space="0" w:color="auto"/>
              <w:left w:val="nil"/>
              <w:bottom w:val="single" w:sz="4" w:space="0" w:color="auto"/>
              <w:right w:val="single" w:sz="4" w:space="0" w:color="auto"/>
            </w:tcBorders>
            <w:shd w:val="clear" w:color="auto" w:fill="C6EFCE"/>
            <w:noWrap/>
            <w:hideMark/>
          </w:tcPr>
          <w:p w14:paraId="4F3FD519" w14:textId="77777777" w:rsidR="00515398" w:rsidRDefault="006711E6">
            <w:pPr>
              <w:pStyle w:val="P68B1DB1-Normal9"/>
              <w:spacing w:after="120" w:line="240" w:lineRule="auto"/>
              <w:rPr>
                <w:rFonts w:ascii="Times New Roman" w:hAnsi="Times New Roman" w:cs="Times New Roman"/>
                <w:noProof/>
                <w:sz w:val="24"/>
              </w:rPr>
            </w:pPr>
            <w:r>
              <w:rPr>
                <w:noProof/>
              </w:rPr>
              <w:t xml:space="preserve"> </w:t>
            </w:r>
          </w:p>
        </w:tc>
        <w:tc>
          <w:tcPr>
            <w:tcW w:w="1047" w:type="dxa"/>
            <w:tcBorders>
              <w:top w:val="single" w:sz="4" w:space="0" w:color="auto"/>
              <w:left w:val="nil"/>
              <w:bottom w:val="single" w:sz="4" w:space="0" w:color="auto"/>
              <w:right w:val="single" w:sz="4" w:space="0" w:color="auto"/>
            </w:tcBorders>
            <w:shd w:val="clear" w:color="auto" w:fill="C6EFCE"/>
            <w:noWrap/>
            <w:hideMark/>
          </w:tcPr>
          <w:p w14:paraId="5EDF0349" w14:textId="77777777" w:rsidR="00515398" w:rsidRDefault="006711E6">
            <w:pPr>
              <w:pStyle w:val="P68B1DB1-Normal9"/>
              <w:spacing w:after="120" w:line="240" w:lineRule="auto"/>
              <w:rPr>
                <w:rFonts w:ascii="Times New Roman" w:hAnsi="Times New Roman" w:cs="Times New Roman"/>
                <w:noProof/>
                <w:sz w:val="24"/>
              </w:rPr>
            </w:pPr>
            <w:r>
              <w:rPr>
                <w:noProof/>
              </w:rPr>
              <w:t xml:space="preserve"> </w:t>
            </w:r>
          </w:p>
        </w:tc>
        <w:tc>
          <w:tcPr>
            <w:tcW w:w="651" w:type="dxa"/>
            <w:tcBorders>
              <w:top w:val="single" w:sz="4" w:space="0" w:color="auto"/>
              <w:left w:val="nil"/>
              <w:bottom w:val="single" w:sz="4" w:space="0" w:color="auto"/>
              <w:right w:val="single" w:sz="4" w:space="0" w:color="auto"/>
            </w:tcBorders>
            <w:shd w:val="clear" w:color="auto" w:fill="C6EFCE"/>
            <w:noWrap/>
            <w:hideMark/>
          </w:tcPr>
          <w:p w14:paraId="2C8DF43E" w14:textId="77777777" w:rsidR="00515398" w:rsidRDefault="006711E6">
            <w:pPr>
              <w:pStyle w:val="P68B1DB1-Normal9"/>
              <w:spacing w:after="120" w:line="240" w:lineRule="auto"/>
              <w:rPr>
                <w:rFonts w:ascii="Times New Roman" w:hAnsi="Times New Roman" w:cs="Times New Roman"/>
                <w:noProof/>
                <w:sz w:val="24"/>
              </w:rPr>
            </w:pPr>
            <w:r>
              <w:rPr>
                <w:noProof/>
              </w:rPr>
              <w:t xml:space="preserve"> </w:t>
            </w:r>
          </w:p>
        </w:tc>
        <w:tc>
          <w:tcPr>
            <w:tcW w:w="906" w:type="dxa"/>
            <w:gridSpan w:val="2"/>
            <w:tcBorders>
              <w:top w:val="single" w:sz="4" w:space="0" w:color="auto"/>
              <w:left w:val="nil"/>
              <w:bottom w:val="single" w:sz="4" w:space="0" w:color="auto"/>
              <w:right w:val="single" w:sz="4" w:space="0" w:color="auto"/>
            </w:tcBorders>
            <w:shd w:val="clear" w:color="auto" w:fill="C6EFCE"/>
            <w:noWrap/>
            <w:hideMark/>
          </w:tcPr>
          <w:p w14:paraId="5CDFB781" w14:textId="77777777" w:rsidR="00515398" w:rsidRDefault="006711E6">
            <w:pPr>
              <w:pStyle w:val="P68B1DB1-Normal9"/>
              <w:spacing w:after="120" w:line="240" w:lineRule="auto"/>
              <w:rPr>
                <w:rFonts w:ascii="Times New Roman" w:hAnsi="Times New Roman" w:cs="Times New Roman"/>
                <w:noProof/>
                <w:sz w:val="24"/>
              </w:rPr>
            </w:pPr>
            <w:r>
              <w:rPr>
                <w:noProof/>
              </w:rPr>
              <w:t>ČTVRTLETÍ ČTVRT</w:t>
            </w:r>
          </w:p>
        </w:tc>
        <w:tc>
          <w:tcPr>
            <w:tcW w:w="887" w:type="dxa"/>
            <w:tcBorders>
              <w:top w:val="single" w:sz="4" w:space="0" w:color="auto"/>
              <w:left w:val="nil"/>
              <w:bottom w:val="single" w:sz="4" w:space="0" w:color="auto"/>
              <w:right w:val="single" w:sz="4" w:space="0" w:color="auto"/>
            </w:tcBorders>
            <w:shd w:val="clear" w:color="auto" w:fill="C6EFCE"/>
            <w:noWrap/>
            <w:hideMark/>
          </w:tcPr>
          <w:p w14:paraId="0D8FA68F" w14:textId="77777777" w:rsidR="00515398" w:rsidRDefault="006711E6">
            <w:pPr>
              <w:pStyle w:val="P68B1DB1-Normal9"/>
              <w:spacing w:after="120" w:line="240" w:lineRule="auto"/>
              <w:rPr>
                <w:rFonts w:ascii="Times New Roman" w:hAnsi="Times New Roman" w:cs="Times New Roman"/>
                <w:noProof/>
                <w:sz w:val="24"/>
              </w:rPr>
            </w:pPr>
            <w:r>
              <w:rPr>
                <w:noProof/>
              </w:rPr>
              <w:t>2025 </w:t>
            </w:r>
          </w:p>
        </w:tc>
        <w:tc>
          <w:tcPr>
            <w:tcW w:w="3411" w:type="dxa"/>
            <w:tcBorders>
              <w:top w:val="single" w:sz="4" w:space="0" w:color="auto"/>
              <w:left w:val="nil"/>
              <w:bottom w:val="single" w:sz="4" w:space="0" w:color="auto"/>
              <w:right w:val="single" w:sz="4" w:space="0" w:color="auto"/>
            </w:tcBorders>
            <w:shd w:val="clear" w:color="auto" w:fill="C6EFCE"/>
            <w:noWrap/>
            <w:hideMark/>
          </w:tcPr>
          <w:p w14:paraId="5AF5757E" w14:textId="77777777" w:rsidR="00515398" w:rsidRDefault="006711E6">
            <w:pPr>
              <w:pStyle w:val="P68B1DB1-Normal9"/>
              <w:spacing w:after="120" w:line="240" w:lineRule="auto"/>
              <w:rPr>
                <w:noProof/>
                <w:szCs w:val="18"/>
              </w:rPr>
            </w:pPr>
            <w:r>
              <w:rPr>
                <w:noProof/>
              </w:rPr>
              <w:t>Dokončení všech tří dílčích projektů (spoj Naxos-Thira, EHVC Koumoundoros-Korinthos, rozvodny a další spojení) úspěšného začlenění do řeckého elektroenergetického p</w:t>
            </w:r>
            <w:r>
              <w:rPr>
                <w:noProof/>
              </w:rPr>
              <w:t>řepravního systému a zahájení provozu.</w:t>
            </w:r>
          </w:p>
        </w:tc>
      </w:tr>
    </w:tbl>
    <w:p w14:paraId="1B67039A" w14:textId="77777777" w:rsidR="00515398" w:rsidRDefault="006711E6">
      <w:pPr>
        <w:pStyle w:val="P68B1DB1-Normal6"/>
        <w:keepNext/>
        <w:keepLines/>
        <w:spacing w:before="240" w:after="240" w:line="240" w:lineRule="auto"/>
        <w:jc w:val="both"/>
        <w:outlineLvl w:val="4"/>
        <w:rPr>
          <w:rFonts w:eastAsia="Times New Roman"/>
          <w:noProof/>
        </w:rPr>
      </w:pPr>
      <w:r>
        <w:rPr>
          <w:noProof/>
        </w:rPr>
        <w:t>Klíčová reforma 1: Restrukturalizace a zvýšení příjmů z účtu OZE-CHP – Zjednodušení účinného fungování nového modelu trhu s elektřinou a rozvoje nových zařízení na výrobu energie z obnovitelných</w:t>
      </w:r>
      <w:r>
        <w:rPr>
          <w:noProof/>
        </w:rPr>
        <w:t xml:space="preserve"> zdrojů za účelem dosažení cílů NKEP prostřednictvím zavedení monitorovacího mechanismu, účasti odezvy na straně poptávky a rozsáhlé reformy licenčního řízení pro nové obnovitelné zdroje energie</w:t>
      </w:r>
    </w:p>
    <w:tbl>
      <w:tblPr>
        <w:tblpPr w:leftFromText="180" w:rightFromText="180" w:vertAnchor="text" w:tblpX="113" w:tblpY="1"/>
        <w:tblOverlap w:val="never"/>
        <w:tblW w:w="14737" w:type="dxa"/>
        <w:tblLook w:val="04A0" w:firstRow="1" w:lastRow="0" w:firstColumn="1" w:lastColumn="0" w:noHBand="0" w:noVBand="1"/>
      </w:tblPr>
      <w:tblGrid>
        <w:gridCol w:w="1043"/>
        <w:gridCol w:w="2029"/>
        <w:gridCol w:w="1142"/>
        <w:gridCol w:w="1256"/>
        <w:gridCol w:w="1286"/>
        <w:gridCol w:w="1256"/>
        <w:gridCol w:w="994"/>
        <w:gridCol w:w="648"/>
        <w:gridCol w:w="984"/>
        <w:gridCol w:w="956"/>
        <w:gridCol w:w="3278"/>
      </w:tblGrid>
      <w:tr w:rsidR="00515398" w14:paraId="4F272FCD" w14:textId="77777777">
        <w:trPr>
          <w:trHeight w:val="558"/>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5A01F127" w14:textId="77777777" w:rsidR="00515398" w:rsidRDefault="006711E6">
            <w:pPr>
              <w:pStyle w:val="P68B1DB1-Normal7"/>
              <w:spacing w:after="0" w:line="240" w:lineRule="auto"/>
              <w:jc w:val="center"/>
              <w:rPr>
                <w:rFonts w:eastAsia="Times New Roman" w:cs="Calibri"/>
                <w:noProof/>
                <w:color w:val="006100"/>
                <w:szCs w:val="18"/>
              </w:rPr>
            </w:pPr>
            <w:r>
              <w:rPr>
                <w:noProof/>
              </w:rPr>
              <w:t>Pořadové číslo</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178D4694" w14:textId="77777777" w:rsidR="00515398" w:rsidRDefault="006711E6">
            <w:pPr>
              <w:pStyle w:val="P68B1DB1-Normal7"/>
              <w:spacing w:after="0" w:line="240" w:lineRule="auto"/>
              <w:jc w:val="center"/>
              <w:rPr>
                <w:rFonts w:eastAsia="Times New Roman" w:cs="Calibri"/>
                <w:noProof/>
                <w:color w:val="006100"/>
                <w:szCs w:val="18"/>
              </w:rPr>
            </w:pPr>
            <w:r>
              <w:rPr>
                <w:noProof/>
              </w:rPr>
              <w:t>Související opatření (reforma nebo investice)</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21D95457" w14:textId="77777777" w:rsidR="00515398" w:rsidRDefault="006711E6">
            <w:pPr>
              <w:pStyle w:val="P68B1DB1-Normal7"/>
              <w:spacing w:after="0" w:line="240" w:lineRule="auto"/>
              <w:jc w:val="center"/>
              <w:rPr>
                <w:rFonts w:eastAsia="Times New Roman" w:cs="Calibri"/>
                <w:noProof/>
                <w:color w:val="006100"/>
                <w:szCs w:val="18"/>
              </w:rPr>
            </w:pPr>
            <w:r>
              <w:rPr>
                <w:noProof/>
              </w:rPr>
              <w:t>Milník/cíl</w:t>
            </w:r>
          </w:p>
        </w:tc>
        <w:tc>
          <w:tcPr>
            <w:tcW w:w="1234" w:type="dxa"/>
            <w:vMerge w:val="restart"/>
            <w:tcBorders>
              <w:top w:val="single" w:sz="4" w:space="0" w:color="auto"/>
              <w:left w:val="nil"/>
              <w:bottom w:val="single" w:sz="4" w:space="0" w:color="auto"/>
              <w:right w:val="single" w:sz="4" w:space="0" w:color="auto"/>
            </w:tcBorders>
            <w:shd w:val="clear" w:color="auto" w:fill="B8CCE4"/>
            <w:noWrap/>
            <w:vAlign w:val="center"/>
          </w:tcPr>
          <w:p w14:paraId="29854667" w14:textId="77777777" w:rsidR="00515398" w:rsidRDefault="006711E6">
            <w:pPr>
              <w:pStyle w:val="P68B1DB1-Normal7"/>
              <w:spacing w:after="0" w:line="240" w:lineRule="auto"/>
              <w:jc w:val="center"/>
              <w:rPr>
                <w:rFonts w:eastAsia="Times New Roman" w:cs="Calibri"/>
                <w:noProof/>
                <w:color w:val="006100"/>
                <w:szCs w:val="18"/>
              </w:rPr>
            </w:pPr>
            <w:r>
              <w:rPr>
                <w:noProof/>
              </w:rPr>
              <w:t>Jméno</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14:paraId="78EAAB1E" w14:textId="77777777" w:rsidR="00515398" w:rsidRDefault="006711E6">
            <w:pPr>
              <w:pStyle w:val="P68B1DB1-Normal7"/>
              <w:spacing w:after="0" w:line="240" w:lineRule="auto"/>
              <w:jc w:val="center"/>
              <w:rPr>
                <w:rFonts w:eastAsia="Times New Roman" w:cs="Calibri"/>
                <w:noProof/>
                <w:color w:val="006100"/>
                <w:szCs w:val="18"/>
              </w:rPr>
            </w:pPr>
            <w:r>
              <w:rPr>
                <w:noProof/>
              </w:rPr>
              <w:t>Kvalitativní ukazatele (pro milníky)</w:t>
            </w:r>
          </w:p>
        </w:tc>
        <w:tc>
          <w:tcPr>
            <w:tcW w:w="2890" w:type="dxa"/>
            <w:gridSpan w:val="3"/>
            <w:tcBorders>
              <w:top w:val="single" w:sz="4" w:space="0" w:color="auto"/>
              <w:left w:val="nil"/>
              <w:bottom w:val="single" w:sz="4" w:space="0" w:color="auto"/>
              <w:right w:val="single" w:sz="4" w:space="0" w:color="auto"/>
            </w:tcBorders>
            <w:shd w:val="clear" w:color="auto" w:fill="B8CCE4"/>
            <w:noWrap/>
            <w:vAlign w:val="center"/>
          </w:tcPr>
          <w:p w14:paraId="5DB38599" w14:textId="77777777" w:rsidR="00515398" w:rsidRDefault="006711E6">
            <w:pPr>
              <w:pStyle w:val="P68B1DB1-Normal7"/>
              <w:spacing w:after="0" w:line="240" w:lineRule="auto"/>
              <w:jc w:val="center"/>
              <w:rPr>
                <w:rFonts w:eastAsia="Times New Roman" w:cs="Calibri"/>
                <w:noProof/>
                <w:color w:val="006100"/>
                <w:szCs w:val="18"/>
              </w:rPr>
            </w:pPr>
            <w:r>
              <w:rPr>
                <w:noProof/>
              </w:rPr>
              <w:t>Kvantitativní ukazatele (pro cíle)</w:t>
            </w:r>
          </w:p>
        </w:tc>
        <w:tc>
          <w:tcPr>
            <w:tcW w:w="1912" w:type="dxa"/>
            <w:gridSpan w:val="2"/>
            <w:tcBorders>
              <w:top w:val="single" w:sz="4" w:space="0" w:color="auto"/>
              <w:left w:val="nil"/>
              <w:bottom w:val="single" w:sz="4" w:space="0" w:color="auto"/>
              <w:right w:val="single" w:sz="4" w:space="0" w:color="auto"/>
            </w:tcBorders>
            <w:shd w:val="clear" w:color="auto" w:fill="B8CCE4"/>
            <w:noWrap/>
            <w:vAlign w:val="center"/>
          </w:tcPr>
          <w:p w14:paraId="4B192768" w14:textId="77777777" w:rsidR="00515398" w:rsidRDefault="006711E6">
            <w:pPr>
              <w:pStyle w:val="P68B1DB1-Normal7"/>
              <w:spacing w:after="0" w:line="240" w:lineRule="auto"/>
              <w:jc w:val="center"/>
              <w:rPr>
                <w:rFonts w:eastAsia="Times New Roman" w:cs="Calibri"/>
                <w:noProof/>
                <w:color w:val="006100"/>
                <w:szCs w:val="18"/>
              </w:rPr>
            </w:pPr>
            <w:r>
              <w:rPr>
                <w:noProof/>
              </w:rPr>
              <w:t>Orientační harmonogram pro dokončení</w:t>
            </w:r>
          </w:p>
        </w:tc>
        <w:tc>
          <w:tcPr>
            <w:tcW w:w="3278" w:type="dxa"/>
            <w:vMerge w:val="restart"/>
            <w:tcBorders>
              <w:top w:val="single" w:sz="4" w:space="0" w:color="auto"/>
              <w:left w:val="nil"/>
              <w:bottom w:val="single" w:sz="4" w:space="0" w:color="auto"/>
              <w:right w:val="single" w:sz="4" w:space="0" w:color="auto"/>
            </w:tcBorders>
            <w:shd w:val="clear" w:color="auto" w:fill="B8CCE4"/>
            <w:noWrap/>
            <w:vAlign w:val="center"/>
          </w:tcPr>
          <w:p w14:paraId="1F099F0B" w14:textId="77777777" w:rsidR="00515398" w:rsidRDefault="006711E6">
            <w:pPr>
              <w:pStyle w:val="P68B1DB1-Normal7"/>
              <w:spacing w:after="0" w:line="240" w:lineRule="auto"/>
              <w:rPr>
                <w:rFonts w:eastAsia="Times New Roman" w:cs="Calibri"/>
                <w:noProof/>
                <w:color w:val="006100"/>
                <w:szCs w:val="18"/>
              </w:rPr>
            </w:pPr>
            <w:r>
              <w:rPr>
                <w:noProof/>
              </w:rPr>
              <w:t>Popis každého milníku a cíle</w:t>
            </w:r>
          </w:p>
        </w:tc>
      </w:tr>
      <w:tr w:rsidR="00515398" w14:paraId="5E9F5D4D" w14:textId="77777777">
        <w:trPr>
          <w:trHeight w:val="557"/>
        </w:trPr>
        <w:tc>
          <w:tcPr>
            <w:tcW w:w="1043"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2D61BE44" w14:textId="77777777" w:rsidR="00515398" w:rsidRDefault="00515398">
            <w:pPr>
              <w:spacing w:after="0" w:line="240" w:lineRule="auto"/>
              <w:rPr>
                <w:rFonts w:ascii="Times New Roman" w:eastAsia="Times New Roman" w:hAnsi="Times New Roman" w:cs="Times New Roman"/>
                <w:b/>
                <w:bCs/>
                <w:noProof/>
                <w:sz w:val="18"/>
                <w:szCs w:val="18"/>
              </w:rPr>
            </w:pPr>
          </w:p>
        </w:tc>
        <w:tc>
          <w:tcPr>
            <w:tcW w:w="195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19CCF4AC" w14:textId="77777777" w:rsidR="00515398" w:rsidRDefault="00515398">
            <w:pPr>
              <w:spacing w:after="0" w:line="240" w:lineRule="auto"/>
              <w:rPr>
                <w:rFonts w:ascii="Times New Roman" w:eastAsia="Times New Roman" w:hAnsi="Times New Roman" w:cs="Times New Roman"/>
                <w:b/>
                <w:bCs/>
                <w:noProof/>
                <w:sz w:val="18"/>
                <w:szCs w:val="18"/>
              </w:rPr>
            </w:pPr>
          </w:p>
        </w:tc>
        <w:tc>
          <w:tcPr>
            <w:tcW w:w="114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66D32646" w14:textId="77777777" w:rsidR="00515398" w:rsidRDefault="00515398">
            <w:pPr>
              <w:spacing w:after="0" w:line="240" w:lineRule="auto"/>
              <w:rPr>
                <w:rFonts w:ascii="Times New Roman" w:eastAsia="Times New Roman" w:hAnsi="Times New Roman" w:cs="Times New Roman"/>
                <w:b/>
                <w:bCs/>
                <w:noProof/>
                <w:sz w:val="18"/>
                <w:szCs w:val="18"/>
              </w:rPr>
            </w:pPr>
          </w:p>
        </w:tc>
        <w:tc>
          <w:tcPr>
            <w:tcW w:w="1234" w:type="dxa"/>
            <w:vMerge/>
            <w:tcBorders>
              <w:top w:val="single" w:sz="4" w:space="0" w:color="auto"/>
              <w:left w:val="nil"/>
              <w:bottom w:val="single" w:sz="4" w:space="0" w:color="auto"/>
              <w:right w:val="single" w:sz="4" w:space="0" w:color="auto"/>
            </w:tcBorders>
            <w:shd w:val="clear" w:color="auto" w:fill="B8CCE4"/>
            <w:noWrap/>
            <w:vAlign w:val="center"/>
          </w:tcPr>
          <w:p w14:paraId="4D7049AF" w14:textId="77777777" w:rsidR="00515398" w:rsidRDefault="00515398">
            <w:pPr>
              <w:spacing w:after="0" w:line="240" w:lineRule="auto"/>
              <w:rPr>
                <w:rFonts w:ascii="Times New Roman" w:eastAsia="Times New Roman" w:hAnsi="Times New Roman" w:cs="Times New Roman"/>
                <w:b/>
                <w:bCs/>
                <w:noProof/>
                <w:sz w:val="18"/>
                <w:szCs w:val="18"/>
              </w:rPr>
            </w:pPr>
          </w:p>
        </w:tc>
        <w:tc>
          <w:tcPr>
            <w:tcW w:w="128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14:paraId="67C79AE2" w14:textId="77777777" w:rsidR="00515398" w:rsidRDefault="00515398">
            <w:pPr>
              <w:spacing w:after="0" w:line="240" w:lineRule="auto"/>
              <w:rPr>
                <w:rFonts w:ascii="Times New Roman" w:eastAsia="Times New Roman" w:hAnsi="Times New Roman" w:cs="Times New Roman"/>
                <w:b/>
                <w:bCs/>
                <w:noProof/>
                <w:sz w:val="18"/>
                <w:szCs w:val="18"/>
              </w:rPr>
            </w:pPr>
          </w:p>
        </w:tc>
        <w:tc>
          <w:tcPr>
            <w:tcW w:w="1248" w:type="dxa"/>
            <w:tcBorders>
              <w:top w:val="single" w:sz="4" w:space="0" w:color="auto"/>
              <w:left w:val="nil"/>
              <w:bottom w:val="single" w:sz="4" w:space="0" w:color="auto"/>
              <w:right w:val="single" w:sz="4" w:space="0" w:color="auto"/>
            </w:tcBorders>
            <w:shd w:val="clear" w:color="auto" w:fill="B8CCE4"/>
            <w:noWrap/>
            <w:vAlign w:val="center"/>
          </w:tcPr>
          <w:p w14:paraId="6F8DC7E9"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94" w:type="dxa"/>
            <w:tcBorders>
              <w:top w:val="single" w:sz="4" w:space="0" w:color="auto"/>
              <w:left w:val="nil"/>
              <w:bottom w:val="single" w:sz="4" w:space="0" w:color="auto"/>
              <w:right w:val="single" w:sz="4" w:space="0" w:color="auto"/>
            </w:tcBorders>
            <w:shd w:val="clear" w:color="auto" w:fill="B8CCE4"/>
            <w:vAlign w:val="center"/>
          </w:tcPr>
          <w:p w14:paraId="2D3B207E" w14:textId="77777777" w:rsidR="00515398" w:rsidRDefault="006711E6">
            <w:pPr>
              <w:pStyle w:val="P68B1DB1-Normal7"/>
              <w:spacing w:after="0" w:line="240" w:lineRule="auto"/>
              <w:jc w:val="center"/>
              <w:rPr>
                <w:rFonts w:eastAsia="Times New Roman" w:cs="Times New Roman"/>
                <w:bCs/>
                <w:noProof/>
                <w:szCs w:val="18"/>
              </w:rPr>
            </w:pPr>
            <w:r>
              <w:rPr>
                <w:noProof/>
              </w:rPr>
              <w:t>Výchozí stav</w:t>
            </w:r>
          </w:p>
        </w:tc>
        <w:tc>
          <w:tcPr>
            <w:tcW w:w="648" w:type="dxa"/>
            <w:tcBorders>
              <w:top w:val="single" w:sz="4" w:space="0" w:color="auto"/>
              <w:left w:val="nil"/>
              <w:bottom w:val="single" w:sz="4" w:space="0" w:color="auto"/>
              <w:right w:val="single" w:sz="4" w:space="0" w:color="auto"/>
            </w:tcBorders>
            <w:shd w:val="clear" w:color="auto" w:fill="B8CCE4"/>
            <w:vAlign w:val="center"/>
          </w:tcPr>
          <w:p w14:paraId="505A5C83" w14:textId="77777777" w:rsidR="00515398" w:rsidRDefault="006711E6">
            <w:pPr>
              <w:pStyle w:val="P68B1DB1-Normal7"/>
              <w:spacing w:after="0" w:line="240" w:lineRule="auto"/>
              <w:jc w:val="center"/>
              <w:rPr>
                <w:rFonts w:eastAsia="Times New Roman" w:cs="Times New Roman"/>
                <w:bCs/>
                <w:noProof/>
                <w:szCs w:val="18"/>
              </w:rPr>
            </w:pPr>
            <w:r>
              <w:rPr>
                <w:noProof/>
              </w:rPr>
              <w:t>Cíl</w:t>
            </w:r>
          </w:p>
        </w:tc>
        <w:tc>
          <w:tcPr>
            <w:tcW w:w="956" w:type="dxa"/>
            <w:tcBorders>
              <w:top w:val="single" w:sz="4" w:space="0" w:color="auto"/>
              <w:left w:val="nil"/>
              <w:bottom w:val="single" w:sz="4" w:space="0" w:color="auto"/>
              <w:right w:val="single" w:sz="4" w:space="0" w:color="auto"/>
            </w:tcBorders>
            <w:shd w:val="clear" w:color="auto" w:fill="B8CCE4"/>
            <w:noWrap/>
            <w:vAlign w:val="center"/>
          </w:tcPr>
          <w:p w14:paraId="359BE628"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956" w:type="dxa"/>
            <w:tcBorders>
              <w:top w:val="single" w:sz="4" w:space="0" w:color="auto"/>
              <w:left w:val="nil"/>
              <w:bottom w:val="single" w:sz="4" w:space="0" w:color="auto"/>
              <w:right w:val="single" w:sz="4" w:space="0" w:color="auto"/>
            </w:tcBorders>
            <w:shd w:val="clear" w:color="auto" w:fill="B8CCE4"/>
            <w:vAlign w:val="center"/>
          </w:tcPr>
          <w:p w14:paraId="38D95AD5"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278" w:type="dxa"/>
            <w:vMerge/>
            <w:tcBorders>
              <w:top w:val="single" w:sz="4" w:space="0" w:color="auto"/>
              <w:left w:val="nil"/>
              <w:bottom w:val="single" w:sz="4" w:space="0" w:color="auto"/>
              <w:right w:val="single" w:sz="4" w:space="0" w:color="auto"/>
            </w:tcBorders>
            <w:shd w:val="clear" w:color="auto" w:fill="B8CCE4"/>
            <w:noWrap/>
          </w:tcPr>
          <w:p w14:paraId="057E701B"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FB5E2FA" w14:textId="77777777">
        <w:tc>
          <w:tcPr>
            <w:tcW w:w="1043" w:type="dxa"/>
            <w:tcBorders>
              <w:top w:val="single" w:sz="4" w:space="0" w:color="auto"/>
              <w:left w:val="single" w:sz="4" w:space="0" w:color="auto"/>
              <w:bottom w:val="single" w:sz="4" w:space="0" w:color="auto"/>
              <w:right w:val="single" w:sz="4" w:space="0" w:color="auto"/>
            </w:tcBorders>
            <w:shd w:val="clear" w:color="auto" w:fill="C6EFCE"/>
            <w:noWrap/>
          </w:tcPr>
          <w:p w14:paraId="22CB343B" w14:textId="77777777" w:rsidR="00515398" w:rsidRDefault="006711E6">
            <w:pPr>
              <w:pStyle w:val="P68B1DB1-Normal9"/>
              <w:spacing w:after="0" w:line="240" w:lineRule="auto"/>
              <w:rPr>
                <w:rFonts w:eastAsia="Times New Roman" w:cs="Calibri"/>
                <w:noProof/>
                <w:szCs w:val="18"/>
              </w:rPr>
            </w:pPr>
            <w:r>
              <w:rPr>
                <w:noProof/>
              </w:rPr>
              <w:t>4</w:t>
            </w:r>
          </w:p>
        </w:tc>
        <w:tc>
          <w:tcPr>
            <w:tcW w:w="1952" w:type="dxa"/>
            <w:tcBorders>
              <w:top w:val="single" w:sz="4" w:space="0" w:color="auto"/>
              <w:left w:val="nil"/>
              <w:bottom w:val="single" w:sz="4" w:space="0" w:color="auto"/>
              <w:right w:val="single" w:sz="4" w:space="0" w:color="auto"/>
            </w:tcBorders>
            <w:shd w:val="clear" w:color="auto" w:fill="C6EFCE"/>
            <w:noWrap/>
          </w:tcPr>
          <w:p w14:paraId="689F8C6E" w14:textId="77777777" w:rsidR="00515398" w:rsidRDefault="006711E6">
            <w:pPr>
              <w:pStyle w:val="P68B1DB1-Normal9"/>
              <w:spacing w:after="0" w:line="240" w:lineRule="auto"/>
              <w:rPr>
                <w:rFonts w:eastAsia="Times New Roman" w:cs="Calibri"/>
                <w:noProof/>
                <w:szCs w:val="18"/>
              </w:rPr>
            </w:pPr>
            <w:r>
              <w:rPr>
                <w:noProof/>
              </w:rPr>
              <w:t>1–1</w:t>
            </w:r>
            <w:r>
              <w:rPr>
                <w:noProof/>
              </w:rPr>
              <w:t>.1 Zvýšení výkonu – 16865_Restrukturalizace a posílení příjmů účtu CHP OZE</w:t>
            </w:r>
          </w:p>
        </w:tc>
        <w:tc>
          <w:tcPr>
            <w:tcW w:w="1142" w:type="dxa"/>
            <w:tcBorders>
              <w:top w:val="single" w:sz="4" w:space="0" w:color="auto"/>
              <w:left w:val="nil"/>
              <w:bottom w:val="single" w:sz="4" w:space="0" w:color="auto"/>
              <w:right w:val="single" w:sz="4" w:space="0" w:color="auto"/>
            </w:tcBorders>
            <w:shd w:val="clear" w:color="auto" w:fill="C6EFCE"/>
            <w:noWrap/>
          </w:tcPr>
          <w:p w14:paraId="4BDB3F5D" w14:textId="77777777" w:rsidR="00515398" w:rsidRDefault="006711E6">
            <w:pPr>
              <w:pStyle w:val="P68B1DB1-Normal9"/>
              <w:spacing w:after="0" w:line="240" w:lineRule="auto"/>
              <w:rPr>
                <w:rFonts w:eastAsia="Times New Roman" w:cs="Calibri"/>
                <w:noProof/>
                <w:szCs w:val="18"/>
              </w:rPr>
            </w:pPr>
            <w:r>
              <w:rPr>
                <w:noProof/>
              </w:rPr>
              <w:t>Milník</w:t>
            </w:r>
          </w:p>
        </w:tc>
        <w:tc>
          <w:tcPr>
            <w:tcW w:w="1234" w:type="dxa"/>
            <w:tcBorders>
              <w:top w:val="single" w:sz="4" w:space="0" w:color="auto"/>
              <w:left w:val="nil"/>
              <w:bottom w:val="single" w:sz="4" w:space="0" w:color="auto"/>
              <w:right w:val="single" w:sz="4" w:space="0" w:color="auto"/>
            </w:tcBorders>
            <w:shd w:val="clear" w:color="auto" w:fill="C6EFCE"/>
            <w:noWrap/>
          </w:tcPr>
          <w:p w14:paraId="351A9FBD" w14:textId="77777777" w:rsidR="00515398" w:rsidRDefault="006711E6">
            <w:pPr>
              <w:pStyle w:val="P68B1DB1-Normal9"/>
              <w:spacing w:after="0" w:line="240" w:lineRule="auto"/>
              <w:rPr>
                <w:rFonts w:eastAsia="Times New Roman" w:cs="Calibri"/>
                <w:noProof/>
                <w:szCs w:val="18"/>
              </w:rPr>
            </w:pPr>
            <w:r>
              <w:rPr>
                <w:noProof/>
              </w:rPr>
              <w:t>Účet obnovitelných zdrojů energie – právní předpisy, kterými se mění L. 4001/2011; vstup v platnost všech příslušných rozhodnutí, včetně kodexů, vydaných ministerstvy, vnitro</w:t>
            </w:r>
            <w:r>
              <w:rPr>
                <w:noProof/>
              </w:rPr>
              <w:t>státním regulačním orgánem (RAE) a správcem obnovitelných zdrojů energie a záruk původu (DAPEEP).</w:t>
            </w:r>
          </w:p>
        </w:tc>
        <w:tc>
          <w:tcPr>
            <w:tcW w:w="1286" w:type="dxa"/>
            <w:tcBorders>
              <w:top w:val="single" w:sz="4" w:space="0" w:color="auto"/>
              <w:left w:val="nil"/>
              <w:bottom w:val="single" w:sz="4" w:space="0" w:color="auto"/>
              <w:right w:val="single" w:sz="4" w:space="0" w:color="auto"/>
            </w:tcBorders>
            <w:shd w:val="clear" w:color="auto" w:fill="C6EFCE"/>
            <w:noWrap/>
          </w:tcPr>
          <w:p w14:paraId="596EDE0A" w14:textId="77777777" w:rsidR="00515398" w:rsidRDefault="006711E6">
            <w:pPr>
              <w:pStyle w:val="P68B1DB1-Normal9"/>
              <w:spacing w:after="0" w:line="240" w:lineRule="auto"/>
              <w:rPr>
                <w:rFonts w:eastAsia="Times New Roman" w:cs="Calibri"/>
                <w:noProof/>
                <w:szCs w:val="18"/>
              </w:rPr>
            </w:pPr>
            <w:r>
              <w:rPr>
                <w:noProof/>
              </w:rPr>
              <w:t>Vstup v platnost právních předpisů a příslušných výkonných rozhodnutí.</w:t>
            </w:r>
          </w:p>
        </w:tc>
        <w:tc>
          <w:tcPr>
            <w:tcW w:w="1248" w:type="dxa"/>
            <w:tcBorders>
              <w:top w:val="single" w:sz="4" w:space="0" w:color="auto"/>
              <w:left w:val="nil"/>
              <w:bottom w:val="single" w:sz="4" w:space="0" w:color="auto"/>
              <w:right w:val="single" w:sz="4" w:space="0" w:color="auto"/>
            </w:tcBorders>
            <w:shd w:val="clear" w:color="auto" w:fill="C6EFCE"/>
            <w:noWrap/>
          </w:tcPr>
          <w:p w14:paraId="0D49114F" w14:textId="77777777" w:rsidR="00515398" w:rsidRDefault="00515398">
            <w:pPr>
              <w:spacing w:after="0" w:line="240" w:lineRule="auto"/>
              <w:rPr>
                <w:rFonts w:eastAsia="Times New Roman" w:cs="Calibri"/>
                <w:noProof/>
                <w:color w:val="006100"/>
                <w:sz w:val="18"/>
                <w:szCs w:val="18"/>
              </w:rPr>
            </w:pPr>
          </w:p>
        </w:tc>
        <w:tc>
          <w:tcPr>
            <w:tcW w:w="994" w:type="dxa"/>
            <w:tcBorders>
              <w:top w:val="single" w:sz="4" w:space="0" w:color="auto"/>
              <w:left w:val="nil"/>
              <w:bottom w:val="single" w:sz="4" w:space="0" w:color="auto"/>
              <w:right w:val="single" w:sz="4" w:space="0" w:color="auto"/>
            </w:tcBorders>
            <w:shd w:val="clear" w:color="auto" w:fill="C6EFCE"/>
            <w:noWrap/>
          </w:tcPr>
          <w:p w14:paraId="4729B7D9" w14:textId="77777777" w:rsidR="00515398" w:rsidRDefault="00515398">
            <w:pPr>
              <w:spacing w:after="0" w:line="240" w:lineRule="auto"/>
              <w:rPr>
                <w:rFonts w:eastAsia="Times New Roman" w:cs="Calibri"/>
                <w:noProof/>
                <w:color w:val="006100"/>
                <w:sz w:val="18"/>
                <w:szCs w:val="18"/>
              </w:rPr>
            </w:pPr>
          </w:p>
        </w:tc>
        <w:tc>
          <w:tcPr>
            <w:tcW w:w="648" w:type="dxa"/>
            <w:tcBorders>
              <w:top w:val="single" w:sz="4" w:space="0" w:color="auto"/>
              <w:left w:val="nil"/>
              <w:bottom w:val="single" w:sz="4" w:space="0" w:color="auto"/>
              <w:right w:val="single" w:sz="4" w:space="0" w:color="auto"/>
            </w:tcBorders>
            <w:shd w:val="clear" w:color="auto" w:fill="C6EFCE"/>
            <w:noWrap/>
          </w:tcPr>
          <w:p w14:paraId="267EE9DC" w14:textId="77777777" w:rsidR="00515398" w:rsidRDefault="00515398">
            <w:pPr>
              <w:spacing w:after="0" w:line="240" w:lineRule="auto"/>
              <w:rPr>
                <w:rFonts w:eastAsia="Times New Roman" w:cs="Calibri"/>
                <w:noProof/>
                <w:color w:val="006100"/>
                <w:sz w:val="18"/>
                <w:szCs w:val="18"/>
              </w:rPr>
            </w:pPr>
          </w:p>
        </w:tc>
        <w:tc>
          <w:tcPr>
            <w:tcW w:w="956" w:type="dxa"/>
            <w:tcBorders>
              <w:top w:val="single" w:sz="4" w:space="0" w:color="auto"/>
              <w:left w:val="nil"/>
              <w:bottom w:val="single" w:sz="4" w:space="0" w:color="auto"/>
              <w:right w:val="single" w:sz="4" w:space="0" w:color="auto"/>
            </w:tcBorders>
            <w:shd w:val="clear" w:color="auto" w:fill="C6EFCE"/>
            <w:noWrap/>
          </w:tcPr>
          <w:p w14:paraId="6DDE5138" w14:textId="77777777" w:rsidR="00515398" w:rsidRDefault="006711E6">
            <w:pPr>
              <w:pStyle w:val="P68B1DB1-Normal9"/>
              <w:spacing w:after="0" w:line="240" w:lineRule="auto"/>
              <w:rPr>
                <w:rFonts w:eastAsia="Times New Roman" w:cs="Calibri"/>
                <w:noProof/>
                <w:szCs w:val="18"/>
              </w:rPr>
            </w:pPr>
            <w:r>
              <w:rPr>
                <w:noProof/>
              </w:rPr>
              <w:t>ČTVRTLETÍ</w:t>
            </w:r>
          </w:p>
        </w:tc>
        <w:tc>
          <w:tcPr>
            <w:tcW w:w="956" w:type="dxa"/>
            <w:tcBorders>
              <w:top w:val="single" w:sz="4" w:space="0" w:color="auto"/>
              <w:left w:val="nil"/>
              <w:bottom w:val="single" w:sz="4" w:space="0" w:color="auto"/>
              <w:right w:val="single" w:sz="4" w:space="0" w:color="auto"/>
            </w:tcBorders>
            <w:shd w:val="clear" w:color="auto" w:fill="C6EFCE"/>
            <w:noWrap/>
          </w:tcPr>
          <w:p w14:paraId="04DEC94F" w14:textId="77777777" w:rsidR="00515398" w:rsidRDefault="006711E6">
            <w:pPr>
              <w:pStyle w:val="P68B1DB1-Normal9"/>
              <w:spacing w:after="0" w:line="240" w:lineRule="auto"/>
              <w:rPr>
                <w:rFonts w:eastAsia="Times New Roman" w:cs="Calibri"/>
                <w:noProof/>
                <w:szCs w:val="18"/>
              </w:rPr>
            </w:pPr>
            <w:r>
              <w:rPr>
                <w:noProof/>
              </w:rPr>
              <w:t>2022</w:t>
            </w:r>
          </w:p>
        </w:tc>
        <w:tc>
          <w:tcPr>
            <w:tcW w:w="3278" w:type="dxa"/>
            <w:tcBorders>
              <w:top w:val="single" w:sz="4" w:space="0" w:color="auto"/>
              <w:left w:val="nil"/>
              <w:bottom w:val="single" w:sz="4" w:space="0" w:color="auto"/>
              <w:right w:val="single" w:sz="4" w:space="0" w:color="auto"/>
            </w:tcBorders>
            <w:shd w:val="clear" w:color="auto" w:fill="C6EFCE"/>
            <w:noWrap/>
          </w:tcPr>
          <w:p w14:paraId="71DD87D4" w14:textId="77777777" w:rsidR="00515398" w:rsidRDefault="006711E6">
            <w:pPr>
              <w:pStyle w:val="P68B1DB1-Normal9"/>
              <w:spacing w:after="0" w:line="240" w:lineRule="auto"/>
              <w:rPr>
                <w:rFonts w:eastAsia="Times New Roman" w:cs="Calibri"/>
                <w:noProof/>
                <w:szCs w:val="18"/>
              </w:rPr>
            </w:pPr>
            <w:r>
              <w:rPr>
                <w:noProof/>
              </w:rPr>
              <w:t>1) Účet zřízení nového účtu obnovitelných zdrojů energie pro jednotky</w:t>
            </w:r>
            <w:r>
              <w:rPr>
                <w:noProof/>
              </w:rPr>
              <w:t xml:space="preserve"> uvedené do provozu od 1. ledna 2021, včetně pozměňujících právních předpisů, ministerských rozhodnutí a regulačních rozhodnutí (kodexů). Nový účet OZE bude zahrnovat mechanismy k zajištění jeho finanční životaschopnosti, a to i v případě nepředvídaných ne</w:t>
            </w:r>
            <w:r>
              <w:rPr>
                <w:noProof/>
              </w:rPr>
              <w:t>rovnováh.</w:t>
            </w:r>
          </w:p>
          <w:p w14:paraId="5AB0CFB1" w14:textId="77777777" w:rsidR="00515398" w:rsidRDefault="00515398">
            <w:pPr>
              <w:spacing w:after="0" w:line="240" w:lineRule="auto"/>
              <w:rPr>
                <w:rFonts w:eastAsia="Times New Roman" w:cs="Calibri"/>
                <w:noProof/>
                <w:color w:val="006100"/>
                <w:sz w:val="18"/>
                <w:szCs w:val="18"/>
              </w:rPr>
            </w:pPr>
          </w:p>
          <w:p w14:paraId="4C1CA6EC" w14:textId="77777777" w:rsidR="00515398" w:rsidRDefault="006711E6">
            <w:pPr>
              <w:pStyle w:val="P68B1DB1-Normal9"/>
              <w:spacing w:after="0" w:line="240" w:lineRule="auto"/>
              <w:rPr>
                <w:rFonts w:eastAsia="Times New Roman" w:cs="Calibri"/>
                <w:noProof/>
                <w:szCs w:val="18"/>
              </w:rPr>
            </w:pPr>
            <w:r>
              <w:rPr>
                <w:noProof/>
              </w:rPr>
              <w:t>2) Vstup v platnost systému obchodování se zárukami původu, který spotřebitelům umožní dobrovolně podporovat elektřinu z obnovitelných zdrojů.</w:t>
            </w:r>
          </w:p>
          <w:p w14:paraId="023C7B9D" w14:textId="77777777" w:rsidR="00515398" w:rsidRDefault="006711E6">
            <w:pPr>
              <w:pStyle w:val="P68B1DB1-Normal9"/>
              <w:spacing w:after="0" w:line="240" w:lineRule="auto"/>
              <w:rPr>
                <w:rFonts w:eastAsia="Times New Roman" w:cs="Calibri"/>
                <w:noProof/>
                <w:szCs w:val="18"/>
              </w:rPr>
            </w:pPr>
            <w:r>
              <w:rPr>
                <w:noProof/>
              </w:rPr>
              <w:t xml:space="preserve">Systém záruk původu zahrnuje: </w:t>
            </w:r>
          </w:p>
          <w:p w14:paraId="655EDB46" w14:textId="77777777" w:rsidR="00515398" w:rsidRDefault="006711E6">
            <w:pPr>
              <w:pStyle w:val="P68B1DB1-Normal9"/>
              <w:numPr>
                <w:ilvl w:val="0"/>
                <w:numId w:val="29"/>
              </w:numPr>
              <w:spacing w:before="120" w:after="0" w:line="259" w:lineRule="auto"/>
              <w:contextualSpacing/>
              <w:jc w:val="both"/>
              <w:rPr>
                <w:rFonts w:eastAsia="Times New Roman" w:cs="Calibri"/>
                <w:noProof/>
                <w:szCs w:val="18"/>
              </w:rPr>
            </w:pPr>
            <w:r>
              <w:rPr>
                <w:noProof/>
              </w:rPr>
              <w:t>Přijetí systému vydávání/dražby GO pro vstupní ceny OZE</w:t>
            </w:r>
          </w:p>
          <w:p w14:paraId="030EF0D7" w14:textId="77777777" w:rsidR="00515398" w:rsidRDefault="006711E6">
            <w:pPr>
              <w:pStyle w:val="P68B1DB1-Normal9"/>
              <w:numPr>
                <w:ilvl w:val="0"/>
                <w:numId w:val="29"/>
              </w:numPr>
              <w:spacing w:before="120" w:after="0" w:line="259" w:lineRule="auto"/>
              <w:contextualSpacing/>
              <w:jc w:val="both"/>
              <w:rPr>
                <w:rFonts w:eastAsia="Times New Roman" w:cs="Calibri"/>
                <w:noProof/>
                <w:szCs w:val="18"/>
              </w:rPr>
            </w:pPr>
            <w:r>
              <w:rPr>
                <w:noProof/>
              </w:rPr>
              <w:t xml:space="preserve">Akreditace </w:t>
            </w:r>
            <w:r>
              <w:rPr>
                <w:noProof/>
              </w:rPr>
              <w:t>„zelených“ maloobchodních výrobků</w:t>
            </w:r>
          </w:p>
          <w:p w14:paraId="6F3A1B81" w14:textId="77777777" w:rsidR="00515398" w:rsidRDefault="006711E6">
            <w:pPr>
              <w:pStyle w:val="P68B1DB1-Normal9"/>
              <w:numPr>
                <w:ilvl w:val="0"/>
                <w:numId w:val="29"/>
              </w:numPr>
              <w:spacing w:before="120" w:after="0" w:line="259" w:lineRule="auto"/>
              <w:contextualSpacing/>
              <w:jc w:val="both"/>
              <w:rPr>
                <w:rFonts w:eastAsia="Times New Roman" w:cs="Calibri"/>
                <w:noProof/>
                <w:szCs w:val="18"/>
              </w:rPr>
            </w:pPr>
            <w:r>
              <w:rPr>
                <w:noProof/>
              </w:rPr>
              <w:t>Akreditace norem „ekologického podnikání“.</w:t>
            </w:r>
          </w:p>
          <w:p w14:paraId="233E14EF" w14:textId="77777777" w:rsidR="00515398" w:rsidRDefault="006711E6">
            <w:pPr>
              <w:pStyle w:val="P68B1DB1-Normal9"/>
              <w:spacing w:after="0" w:line="240" w:lineRule="auto"/>
              <w:rPr>
                <w:rFonts w:eastAsia="Times New Roman" w:cs="Calibri"/>
                <w:noProof/>
                <w:szCs w:val="18"/>
              </w:rPr>
            </w:pPr>
            <w:r>
              <w:rPr>
                <w:noProof/>
              </w:rPr>
              <w:t xml:space="preserve"> </w:t>
            </w:r>
          </w:p>
        </w:tc>
      </w:tr>
      <w:tr w:rsidR="00515398" w14:paraId="114D527E" w14:textId="77777777">
        <w:tc>
          <w:tcPr>
            <w:tcW w:w="1043" w:type="dxa"/>
            <w:tcBorders>
              <w:top w:val="nil"/>
              <w:left w:val="single" w:sz="4" w:space="0" w:color="auto"/>
              <w:bottom w:val="single" w:sz="4" w:space="0" w:color="auto"/>
              <w:right w:val="single" w:sz="4" w:space="0" w:color="auto"/>
            </w:tcBorders>
            <w:shd w:val="clear" w:color="auto" w:fill="C6EFCE"/>
            <w:noWrap/>
          </w:tcPr>
          <w:p w14:paraId="1FD1559B" w14:textId="77777777" w:rsidR="00515398" w:rsidRDefault="006711E6">
            <w:pPr>
              <w:pStyle w:val="P68B1DB1-Normal9"/>
              <w:spacing w:after="0" w:line="240" w:lineRule="auto"/>
              <w:rPr>
                <w:rFonts w:eastAsia="Times New Roman" w:cs="Calibri"/>
                <w:noProof/>
                <w:szCs w:val="18"/>
              </w:rPr>
            </w:pPr>
            <w:r>
              <w:rPr>
                <w:noProof/>
              </w:rPr>
              <w:t>5</w:t>
            </w:r>
          </w:p>
        </w:tc>
        <w:tc>
          <w:tcPr>
            <w:tcW w:w="1952" w:type="dxa"/>
            <w:tcBorders>
              <w:top w:val="nil"/>
              <w:left w:val="nil"/>
              <w:bottom w:val="single" w:sz="4" w:space="0" w:color="auto"/>
              <w:right w:val="single" w:sz="4" w:space="0" w:color="auto"/>
            </w:tcBorders>
            <w:shd w:val="clear" w:color="auto" w:fill="C6EFCE"/>
            <w:noWrap/>
          </w:tcPr>
          <w:p w14:paraId="3CCDEB68" w14:textId="77777777" w:rsidR="00515398" w:rsidRDefault="006711E6">
            <w:pPr>
              <w:pStyle w:val="P68B1DB1-Normal9"/>
              <w:spacing w:after="0" w:line="240" w:lineRule="auto"/>
              <w:rPr>
                <w:rFonts w:eastAsia="Times New Roman" w:cs="Calibri"/>
                <w:noProof/>
                <w:szCs w:val="18"/>
              </w:rPr>
            </w:pPr>
            <w:r>
              <w:rPr>
                <w:noProof/>
              </w:rPr>
              <w:t>1–1.1 Zvýšení výkonu – 16860_Změnit účinné fungování nového modelu trhu s elektřinou a rozvoj nových zařízení na výrobu energie z obnovitelných zdrojů za účelem dosažení cílů</w:t>
            </w:r>
            <w:r>
              <w:rPr>
                <w:noProof/>
              </w:rPr>
              <w:t xml:space="preserve"> NKEP prostřednictvím zavedení monitorovacího mechanismu, účasti odezvy na straně poptávky a rozsáhlé reformy licenčního řízení pro nové obnovitelné zdroje energie</w:t>
            </w:r>
          </w:p>
        </w:tc>
        <w:tc>
          <w:tcPr>
            <w:tcW w:w="1142" w:type="dxa"/>
            <w:tcBorders>
              <w:top w:val="nil"/>
              <w:left w:val="nil"/>
              <w:bottom w:val="single" w:sz="4" w:space="0" w:color="auto"/>
              <w:right w:val="single" w:sz="4" w:space="0" w:color="auto"/>
            </w:tcBorders>
            <w:shd w:val="clear" w:color="auto" w:fill="C6EFCE"/>
            <w:noWrap/>
          </w:tcPr>
          <w:p w14:paraId="42CCD54A" w14:textId="77777777" w:rsidR="00515398" w:rsidRDefault="006711E6">
            <w:pPr>
              <w:pStyle w:val="P68B1DB1-Normal9"/>
              <w:spacing w:after="0" w:line="240" w:lineRule="auto"/>
              <w:rPr>
                <w:rFonts w:eastAsia="Times New Roman" w:cs="Calibri"/>
                <w:noProof/>
                <w:szCs w:val="18"/>
                <w:highlight w:val="yellow"/>
              </w:rPr>
            </w:pPr>
            <w:r>
              <w:rPr>
                <w:noProof/>
              </w:rPr>
              <w:t>Milník</w:t>
            </w:r>
          </w:p>
        </w:tc>
        <w:tc>
          <w:tcPr>
            <w:tcW w:w="1234" w:type="dxa"/>
            <w:tcBorders>
              <w:top w:val="nil"/>
              <w:left w:val="nil"/>
              <w:bottom w:val="single" w:sz="4" w:space="0" w:color="auto"/>
              <w:right w:val="single" w:sz="4" w:space="0" w:color="auto"/>
            </w:tcBorders>
            <w:shd w:val="clear" w:color="auto" w:fill="C6EFCE"/>
            <w:noWrap/>
          </w:tcPr>
          <w:p w14:paraId="471F4FEC" w14:textId="77777777" w:rsidR="00515398" w:rsidRDefault="006711E6">
            <w:pPr>
              <w:pStyle w:val="P68B1DB1-Normal9"/>
              <w:spacing w:after="0" w:line="240" w:lineRule="auto"/>
              <w:rPr>
                <w:rFonts w:eastAsia="Times New Roman" w:cs="Calibri"/>
                <w:noProof/>
                <w:szCs w:val="18"/>
              </w:rPr>
            </w:pPr>
            <w:r>
              <w:rPr>
                <w:noProof/>
              </w:rPr>
              <w:t>Účet OZE – reformy trhu a zjednodušení udělování licencí</w:t>
            </w:r>
          </w:p>
        </w:tc>
        <w:tc>
          <w:tcPr>
            <w:tcW w:w="1286" w:type="dxa"/>
            <w:tcBorders>
              <w:top w:val="nil"/>
              <w:left w:val="nil"/>
              <w:bottom w:val="single" w:sz="4" w:space="0" w:color="auto"/>
              <w:right w:val="single" w:sz="4" w:space="0" w:color="auto"/>
            </w:tcBorders>
            <w:shd w:val="clear" w:color="auto" w:fill="C6EFCE"/>
            <w:noWrap/>
          </w:tcPr>
          <w:p w14:paraId="1749FAFC" w14:textId="77777777" w:rsidR="00515398" w:rsidRDefault="006711E6">
            <w:pPr>
              <w:pStyle w:val="P68B1DB1-Normal9"/>
              <w:spacing w:after="0" w:line="240" w:lineRule="auto"/>
              <w:rPr>
                <w:rFonts w:eastAsia="Times New Roman" w:cs="Calibri"/>
                <w:noProof/>
                <w:szCs w:val="18"/>
              </w:rPr>
            </w:pPr>
            <w:r>
              <w:rPr>
                <w:noProof/>
              </w:rPr>
              <w:t xml:space="preserve">Vstup v platnost všech </w:t>
            </w:r>
            <w:r>
              <w:rPr>
                <w:noProof/>
              </w:rPr>
              <w:t>příslušných právních předpisů, včetně ministerských rozhodnutí, a regulačního rámce ze strany RAE a DAPEEP</w:t>
            </w:r>
          </w:p>
        </w:tc>
        <w:tc>
          <w:tcPr>
            <w:tcW w:w="1248" w:type="dxa"/>
            <w:tcBorders>
              <w:top w:val="nil"/>
              <w:left w:val="nil"/>
              <w:bottom w:val="single" w:sz="4" w:space="0" w:color="auto"/>
              <w:right w:val="single" w:sz="4" w:space="0" w:color="auto"/>
            </w:tcBorders>
            <w:shd w:val="clear" w:color="auto" w:fill="C6EFCE"/>
            <w:noWrap/>
          </w:tcPr>
          <w:p w14:paraId="0C2E5EC1" w14:textId="77777777" w:rsidR="00515398" w:rsidRDefault="00515398">
            <w:pPr>
              <w:spacing w:after="0" w:line="240" w:lineRule="auto"/>
              <w:rPr>
                <w:rFonts w:eastAsia="Times New Roman" w:cs="Calibri"/>
                <w:noProof/>
                <w:color w:val="006100"/>
                <w:sz w:val="18"/>
                <w:szCs w:val="18"/>
              </w:rPr>
            </w:pPr>
          </w:p>
        </w:tc>
        <w:tc>
          <w:tcPr>
            <w:tcW w:w="994" w:type="dxa"/>
            <w:tcBorders>
              <w:top w:val="nil"/>
              <w:left w:val="nil"/>
              <w:bottom w:val="single" w:sz="4" w:space="0" w:color="auto"/>
              <w:right w:val="single" w:sz="4" w:space="0" w:color="auto"/>
            </w:tcBorders>
            <w:shd w:val="clear" w:color="auto" w:fill="C6EFCE"/>
            <w:noWrap/>
          </w:tcPr>
          <w:p w14:paraId="69F5D758" w14:textId="77777777" w:rsidR="00515398" w:rsidRDefault="00515398">
            <w:pPr>
              <w:spacing w:after="0" w:line="240" w:lineRule="auto"/>
              <w:rPr>
                <w:rFonts w:eastAsia="Times New Roman" w:cs="Calibri"/>
                <w:noProof/>
                <w:color w:val="006100"/>
                <w:sz w:val="18"/>
                <w:szCs w:val="18"/>
              </w:rPr>
            </w:pPr>
          </w:p>
        </w:tc>
        <w:tc>
          <w:tcPr>
            <w:tcW w:w="648" w:type="dxa"/>
            <w:tcBorders>
              <w:top w:val="nil"/>
              <w:left w:val="nil"/>
              <w:bottom w:val="single" w:sz="4" w:space="0" w:color="auto"/>
              <w:right w:val="single" w:sz="4" w:space="0" w:color="auto"/>
            </w:tcBorders>
            <w:shd w:val="clear" w:color="auto" w:fill="C6EFCE"/>
            <w:noWrap/>
          </w:tcPr>
          <w:p w14:paraId="175344E1" w14:textId="77777777" w:rsidR="00515398" w:rsidRDefault="00515398">
            <w:pPr>
              <w:spacing w:after="0" w:line="240" w:lineRule="auto"/>
              <w:rPr>
                <w:rFonts w:eastAsia="Times New Roman" w:cs="Calibri"/>
                <w:noProof/>
                <w:color w:val="006100"/>
                <w:sz w:val="18"/>
                <w:szCs w:val="18"/>
              </w:rPr>
            </w:pPr>
          </w:p>
        </w:tc>
        <w:tc>
          <w:tcPr>
            <w:tcW w:w="956" w:type="dxa"/>
            <w:tcBorders>
              <w:top w:val="nil"/>
              <w:left w:val="nil"/>
              <w:bottom w:val="single" w:sz="4" w:space="0" w:color="auto"/>
              <w:right w:val="single" w:sz="4" w:space="0" w:color="auto"/>
            </w:tcBorders>
            <w:shd w:val="clear" w:color="auto" w:fill="C6EFCE"/>
            <w:noWrap/>
          </w:tcPr>
          <w:p w14:paraId="70863384" w14:textId="77777777" w:rsidR="00515398" w:rsidRDefault="006711E6">
            <w:pPr>
              <w:pStyle w:val="P68B1DB1-Normal9"/>
              <w:spacing w:after="0" w:line="240" w:lineRule="auto"/>
              <w:rPr>
                <w:rFonts w:eastAsia="Times New Roman" w:cs="Calibri"/>
                <w:noProof/>
                <w:szCs w:val="18"/>
              </w:rPr>
            </w:pPr>
            <w:r>
              <w:rPr>
                <w:noProof/>
              </w:rPr>
              <w:t>ČTVRTLETÍ</w:t>
            </w:r>
          </w:p>
        </w:tc>
        <w:tc>
          <w:tcPr>
            <w:tcW w:w="956" w:type="dxa"/>
            <w:tcBorders>
              <w:top w:val="nil"/>
              <w:left w:val="nil"/>
              <w:bottom w:val="single" w:sz="4" w:space="0" w:color="auto"/>
              <w:right w:val="single" w:sz="4" w:space="0" w:color="auto"/>
            </w:tcBorders>
            <w:shd w:val="clear" w:color="auto" w:fill="C6EFCE"/>
            <w:noWrap/>
          </w:tcPr>
          <w:p w14:paraId="67734F9A" w14:textId="77777777" w:rsidR="00515398" w:rsidRDefault="006711E6">
            <w:pPr>
              <w:pStyle w:val="P68B1DB1-Normal9"/>
              <w:spacing w:after="0" w:line="240" w:lineRule="auto"/>
              <w:rPr>
                <w:rFonts w:eastAsia="Times New Roman" w:cs="Calibri"/>
                <w:noProof/>
                <w:szCs w:val="18"/>
              </w:rPr>
            </w:pPr>
            <w:r>
              <w:rPr>
                <w:noProof/>
              </w:rPr>
              <w:t>2022</w:t>
            </w:r>
          </w:p>
        </w:tc>
        <w:tc>
          <w:tcPr>
            <w:tcW w:w="3278" w:type="dxa"/>
            <w:tcBorders>
              <w:top w:val="nil"/>
              <w:left w:val="nil"/>
              <w:bottom w:val="single" w:sz="4" w:space="0" w:color="auto"/>
              <w:right w:val="single" w:sz="4" w:space="0" w:color="auto"/>
            </w:tcBorders>
            <w:shd w:val="clear" w:color="auto" w:fill="C6EFCE"/>
            <w:noWrap/>
          </w:tcPr>
          <w:p w14:paraId="4DC1C280" w14:textId="77777777" w:rsidR="00515398" w:rsidRDefault="006711E6">
            <w:pPr>
              <w:pStyle w:val="P68B1DB1-Normal9"/>
              <w:spacing w:after="0" w:line="240" w:lineRule="auto"/>
              <w:rPr>
                <w:rFonts w:eastAsia="Times New Roman" w:cs="Calibri"/>
                <w:noProof/>
                <w:szCs w:val="18"/>
              </w:rPr>
            </w:pPr>
            <w:r>
              <w:rPr>
                <w:noProof/>
              </w:rPr>
              <w:t>1) zřízení a plné fungování mechanismu sledování trhu a dozoru nad trhem, jakož i plná účast odpovědi na straně poptávky na vyrovná</w:t>
            </w:r>
            <w:r>
              <w:rPr>
                <w:noProof/>
              </w:rPr>
              <w:t>vacím trhu.</w:t>
            </w:r>
          </w:p>
          <w:p w14:paraId="1D4F967F" w14:textId="77777777" w:rsidR="00515398" w:rsidRDefault="006711E6">
            <w:pPr>
              <w:pStyle w:val="P68B1DB1-Normal9"/>
              <w:spacing w:after="0" w:line="240" w:lineRule="auto"/>
              <w:rPr>
                <w:rFonts w:eastAsia="Times New Roman" w:cs="Calibri"/>
                <w:noProof/>
                <w:szCs w:val="18"/>
                <w:highlight w:val="yellow"/>
              </w:rPr>
            </w:pPr>
            <w:r>
              <w:rPr>
                <w:noProof/>
              </w:rPr>
              <w:t>2) Dokončení reformy týkající se zjednodušení udělování licencí na energii z obnovitelných zdrojů, včetně zjednodušení a digitalizace postupů, krátké a závazné doby správní reakce a postupů odpovědnosti za zbytečná zpoždění, omezení nezbytné do</w:t>
            </w:r>
            <w:r>
              <w:rPr>
                <w:noProof/>
              </w:rPr>
              <w:t>kumentace a postupů, jakož i nový specializovaný rámec pro zařízení na výrobu energie z obnovitelných zdrojů na moři.</w:t>
            </w:r>
          </w:p>
        </w:tc>
      </w:tr>
      <w:tr w:rsidR="00515398" w14:paraId="04E04BCC" w14:textId="77777777">
        <w:tc>
          <w:tcPr>
            <w:tcW w:w="1043" w:type="dxa"/>
            <w:tcBorders>
              <w:top w:val="nil"/>
              <w:left w:val="single" w:sz="4" w:space="0" w:color="auto"/>
              <w:bottom w:val="single" w:sz="4" w:space="0" w:color="auto"/>
              <w:right w:val="single" w:sz="4" w:space="0" w:color="auto"/>
            </w:tcBorders>
            <w:shd w:val="clear" w:color="auto" w:fill="C6EFCE"/>
            <w:noWrap/>
          </w:tcPr>
          <w:p w14:paraId="5E6262C5" w14:textId="77777777" w:rsidR="00515398" w:rsidRDefault="006711E6">
            <w:pPr>
              <w:pStyle w:val="P68B1DB1-Normal9"/>
              <w:spacing w:after="0" w:line="240" w:lineRule="auto"/>
              <w:rPr>
                <w:rFonts w:eastAsia="Times New Roman" w:cs="Calibri"/>
                <w:noProof/>
                <w:szCs w:val="18"/>
              </w:rPr>
            </w:pPr>
            <w:r>
              <w:rPr>
                <w:noProof/>
              </w:rPr>
              <w:t>6</w:t>
            </w:r>
          </w:p>
        </w:tc>
        <w:tc>
          <w:tcPr>
            <w:tcW w:w="1952" w:type="dxa"/>
            <w:tcBorders>
              <w:top w:val="nil"/>
              <w:left w:val="nil"/>
              <w:bottom w:val="single" w:sz="4" w:space="0" w:color="auto"/>
              <w:right w:val="single" w:sz="4" w:space="0" w:color="auto"/>
            </w:tcBorders>
            <w:shd w:val="clear" w:color="auto" w:fill="C6EFCE"/>
            <w:noWrap/>
          </w:tcPr>
          <w:p w14:paraId="7F7405D7" w14:textId="77777777" w:rsidR="00515398" w:rsidRDefault="006711E6">
            <w:pPr>
              <w:pStyle w:val="P68B1DB1-Normal9"/>
              <w:spacing w:after="0" w:line="240" w:lineRule="auto"/>
              <w:rPr>
                <w:rFonts w:eastAsia="Times New Roman" w:cs="Calibri"/>
                <w:noProof/>
                <w:szCs w:val="18"/>
              </w:rPr>
            </w:pPr>
            <w:r>
              <w:rPr>
                <w:noProof/>
              </w:rPr>
              <w:t>1–1.1 Zvýšení výkonu – 16865_Restrukturalizace a posílení příjmů účtu CHP OZE</w:t>
            </w:r>
          </w:p>
        </w:tc>
        <w:tc>
          <w:tcPr>
            <w:tcW w:w="1142" w:type="dxa"/>
            <w:tcBorders>
              <w:top w:val="nil"/>
              <w:left w:val="nil"/>
              <w:bottom w:val="single" w:sz="4" w:space="0" w:color="auto"/>
              <w:right w:val="single" w:sz="4" w:space="0" w:color="auto"/>
            </w:tcBorders>
            <w:shd w:val="clear" w:color="auto" w:fill="C6EFCE"/>
            <w:noWrap/>
          </w:tcPr>
          <w:p w14:paraId="211106FD" w14:textId="77777777" w:rsidR="00515398" w:rsidRDefault="006711E6">
            <w:pPr>
              <w:pStyle w:val="P68B1DB1-Normal9"/>
              <w:spacing w:after="0" w:line="240" w:lineRule="auto"/>
              <w:rPr>
                <w:rFonts w:eastAsia="Times New Roman" w:cs="Calibri"/>
                <w:noProof/>
                <w:szCs w:val="18"/>
              </w:rPr>
            </w:pPr>
            <w:r>
              <w:rPr>
                <w:noProof/>
              </w:rPr>
              <w:t>Cílová</w:t>
            </w:r>
          </w:p>
        </w:tc>
        <w:tc>
          <w:tcPr>
            <w:tcW w:w="1234" w:type="dxa"/>
            <w:tcBorders>
              <w:top w:val="nil"/>
              <w:left w:val="nil"/>
              <w:bottom w:val="single" w:sz="4" w:space="0" w:color="auto"/>
              <w:right w:val="single" w:sz="4" w:space="0" w:color="auto"/>
            </w:tcBorders>
            <w:shd w:val="clear" w:color="auto" w:fill="C6EFCE"/>
            <w:noWrap/>
          </w:tcPr>
          <w:p w14:paraId="2545D162" w14:textId="77777777" w:rsidR="00515398" w:rsidRDefault="006711E6">
            <w:pPr>
              <w:pStyle w:val="P68B1DB1-Normal9"/>
              <w:spacing w:after="0" w:line="240" w:lineRule="auto"/>
              <w:rPr>
                <w:rFonts w:eastAsia="Times New Roman" w:cs="Calibri"/>
                <w:noProof/>
                <w:szCs w:val="18"/>
              </w:rPr>
            </w:pPr>
            <w:r>
              <w:rPr>
                <w:noProof/>
              </w:rPr>
              <w:t>Účet OZE – cíl 1 zvýšení kapacity</w:t>
            </w:r>
          </w:p>
        </w:tc>
        <w:tc>
          <w:tcPr>
            <w:tcW w:w="1286" w:type="dxa"/>
            <w:tcBorders>
              <w:top w:val="nil"/>
              <w:left w:val="nil"/>
              <w:bottom w:val="single" w:sz="4" w:space="0" w:color="auto"/>
              <w:right w:val="single" w:sz="4" w:space="0" w:color="auto"/>
            </w:tcBorders>
            <w:shd w:val="clear" w:color="auto" w:fill="C6EFCE"/>
            <w:noWrap/>
          </w:tcPr>
          <w:p w14:paraId="027E5C4B" w14:textId="77777777" w:rsidR="00515398" w:rsidRDefault="00515398">
            <w:pPr>
              <w:spacing w:after="0" w:line="240" w:lineRule="auto"/>
              <w:rPr>
                <w:rFonts w:eastAsia="Times New Roman" w:cs="Calibri"/>
                <w:noProof/>
                <w:color w:val="006100"/>
                <w:sz w:val="18"/>
                <w:szCs w:val="18"/>
              </w:rPr>
            </w:pPr>
          </w:p>
        </w:tc>
        <w:tc>
          <w:tcPr>
            <w:tcW w:w="1248" w:type="dxa"/>
            <w:tcBorders>
              <w:top w:val="nil"/>
              <w:left w:val="nil"/>
              <w:bottom w:val="single" w:sz="4" w:space="0" w:color="auto"/>
              <w:right w:val="single" w:sz="4" w:space="0" w:color="auto"/>
            </w:tcBorders>
            <w:shd w:val="clear" w:color="auto" w:fill="C6EFCE"/>
            <w:noWrap/>
          </w:tcPr>
          <w:p w14:paraId="44A76BDB" w14:textId="77777777" w:rsidR="00515398" w:rsidRDefault="006711E6">
            <w:pPr>
              <w:pStyle w:val="P68B1DB1-Normal9"/>
              <w:spacing w:after="0" w:line="240" w:lineRule="auto"/>
              <w:rPr>
                <w:rFonts w:eastAsia="Times New Roman" w:cs="Calibri"/>
                <w:noProof/>
                <w:szCs w:val="18"/>
              </w:rPr>
            </w:pPr>
            <w:r>
              <w:rPr>
                <w:noProof/>
              </w:rPr>
              <w:t xml:space="preserve">Uvedení do </w:t>
            </w:r>
            <w:r>
              <w:rPr>
                <w:noProof/>
              </w:rPr>
              <w:t>provozu nové kapacity (GW) obnovitelných zdrojů energie</w:t>
            </w:r>
          </w:p>
        </w:tc>
        <w:tc>
          <w:tcPr>
            <w:tcW w:w="994" w:type="dxa"/>
            <w:tcBorders>
              <w:top w:val="nil"/>
              <w:left w:val="nil"/>
              <w:bottom w:val="single" w:sz="4" w:space="0" w:color="auto"/>
              <w:right w:val="single" w:sz="4" w:space="0" w:color="auto"/>
            </w:tcBorders>
            <w:shd w:val="clear" w:color="auto" w:fill="C6EFCE"/>
            <w:noWrap/>
          </w:tcPr>
          <w:p w14:paraId="65E19CC1" w14:textId="77777777" w:rsidR="00515398" w:rsidRDefault="006711E6">
            <w:pPr>
              <w:pStyle w:val="P68B1DB1-Normal9"/>
              <w:spacing w:after="0" w:line="240" w:lineRule="auto"/>
              <w:rPr>
                <w:rFonts w:eastAsia="Times New Roman" w:cs="Calibri"/>
                <w:noProof/>
                <w:szCs w:val="18"/>
              </w:rPr>
            </w:pPr>
            <w:r>
              <w:rPr>
                <w:noProof/>
              </w:rPr>
              <w:t>0</w:t>
            </w:r>
          </w:p>
        </w:tc>
        <w:tc>
          <w:tcPr>
            <w:tcW w:w="648" w:type="dxa"/>
            <w:tcBorders>
              <w:top w:val="nil"/>
              <w:left w:val="nil"/>
              <w:bottom w:val="single" w:sz="4" w:space="0" w:color="auto"/>
              <w:right w:val="single" w:sz="4" w:space="0" w:color="auto"/>
            </w:tcBorders>
            <w:shd w:val="clear" w:color="auto" w:fill="C6EFCE"/>
            <w:noWrap/>
          </w:tcPr>
          <w:p w14:paraId="1B47940C" w14:textId="77777777" w:rsidR="00515398" w:rsidRDefault="006711E6">
            <w:pPr>
              <w:pStyle w:val="P68B1DB1-Normal9"/>
              <w:spacing w:after="0" w:line="240" w:lineRule="auto"/>
              <w:rPr>
                <w:rFonts w:eastAsia="Times New Roman" w:cs="Calibri"/>
                <w:noProof/>
                <w:szCs w:val="18"/>
              </w:rPr>
            </w:pPr>
            <w:r>
              <w:rPr>
                <w:noProof/>
              </w:rPr>
              <w:t>1</w:t>
            </w:r>
          </w:p>
        </w:tc>
        <w:tc>
          <w:tcPr>
            <w:tcW w:w="956" w:type="dxa"/>
            <w:tcBorders>
              <w:top w:val="nil"/>
              <w:left w:val="nil"/>
              <w:bottom w:val="single" w:sz="4" w:space="0" w:color="auto"/>
              <w:right w:val="single" w:sz="4" w:space="0" w:color="auto"/>
            </w:tcBorders>
            <w:shd w:val="clear" w:color="auto" w:fill="C6EFCE"/>
            <w:noWrap/>
          </w:tcPr>
          <w:p w14:paraId="24075479" w14:textId="77777777" w:rsidR="00515398" w:rsidRDefault="006711E6">
            <w:pPr>
              <w:pStyle w:val="P68B1DB1-Normal9"/>
              <w:spacing w:after="0" w:line="240" w:lineRule="auto"/>
              <w:rPr>
                <w:rFonts w:eastAsia="Times New Roman" w:cs="Calibri"/>
                <w:noProof/>
                <w:szCs w:val="18"/>
              </w:rPr>
            </w:pPr>
            <w:r>
              <w:rPr>
                <w:noProof/>
              </w:rPr>
              <w:t>ČTVRTLETÍ</w:t>
            </w:r>
          </w:p>
        </w:tc>
        <w:tc>
          <w:tcPr>
            <w:tcW w:w="956" w:type="dxa"/>
            <w:tcBorders>
              <w:top w:val="nil"/>
              <w:left w:val="nil"/>
              <w:bottom w:val="single" w:sz="4" w:space="0" w:color="auto"/>
              <w:right w:val="single" w:sz="4" w:space="0" w:color="auto"/>
            </w:tcBorders>
            <w:shd w:val="clear" w:color="auto" w:fill="C6EFCE"/>
            <w:noWrap/>
          </w:tcPr>
          <w:p w14:paraId="48405DB4" w14:textId="77777777" w:rsidR="00515398" w:rsidRDefault="006711E6">
            <w:pPr>
              <w:pStyle w:val="P68B1DB1-Normal9"/>
              <w:spacing w:after="0" w:line="240" w:lineRule="auto"/>
              <w:rPr>
                <w:rFonts w:eastAsia="Times New Roman" w:cs="Calibri"/>
                <w:noProof/>
                <w:szCs w:val="18"/>
              </w:rPr>
            </w:pPr>
            <w:r>
              <w:rPr>
                <w:noProof/>
              </w:rPr>
              <w:t>2023</w:t>
            </w:r>
          </w:p>
        </w:tc>
        <w:tc>
          <w:tcPr>
            <w:tcW w:w="3278" w:type="dxa"/>
            <w:tcBorders>
              <w:top w:val="nil"/>
              <w:left w:val="nil"/>
              <w:bottom w:val="single" w:sz="4" w:space="0" w:color="auto"/>
              <w:right w:val="single" w:sz="4" w:space="0" w:color="auto"/>
            </w:tcBorders>
            <w:shd w:val="clear" w:color="auto" w:fill="C6EFCE"/>
            <w:noWrap/>
          </w:tcPr>
          <w:p w14:paraId="6857A19F" w14:textId="77777777" w:rsidR="00515398" w:rsidRDefault="006711E6">
            <w:pPr>
              <w:pStyle w:val="P68B1DB1-Normal9"/>
              <w:spacing w:after="0" w:line="240" w:lineRule="auto"/>
              <w:rPr>
                <w:rFonts w:eastAsia="Times New Roman" w:cs="Calibri"/>
                <w:noProof/>
                <w:szCs w:val="18"/>
              </w:rPr>
            </w:pPr>
            <w:r>
              <w:rPr>
                <w:noProof/>
              </w:rPr>
              <w:t>Nová instalovaná a provozuschopná kapacita OZE</w:t>
            </w:r>
          </w:p>
        </w:tc>
      </w:tr>
      <w:tr w:rsidR="00515398" w14:paraId="49D38A46" w14:textId="77777777">
        <w:tc>
          <w:tcPr>
            <w:tcW w:w="1043" w:type="dxa"/>
            <w:tcBorders>
              <w:top w:val="nil"/>
              <w:left w:val="single" w:sz="4" w:space="0" w:color="auto"/>
              <w:bottom w:val="single" w:sz="4" w:space="0" w:color="auto"/>
              <w:right w:val="single" w:sz="4" w:space="0" w:color="auto"/>
            </w:tcBorders>
            <w:shd w:val="clear" w:color="auto" w:fill="C6EFCE"/>
            <w:noWrap/>
            <w:hideMark/>
          </w:tcPr>
          <w:p w14:paraId="2BC88E54" w14:textId="77777777" w:rsidR="00515398" w:rsidRDefault="006711E6">
            <w:pPr>
              <w:pStyle w:val="P68B1DB1-Normal9"/>
              <w:spacing w:after="0" w:line="240" w:lineRule="auto"/>
              <w:rPr>
                <w:rFonts w:eastAsia="Times New Roman" w:cs="Calibri"/>
                <w:noProof/>
                <w:szCs w:val="18"/>
              </w:rPr>
            </w:pPr>
            <w:r>
              <w:rPr>
                <w:noProof/>
              </w:rPr>
              <w:t> 7</w:t>
            </w:r>
          </w:p>
        </w:tc>
        <w:tc>
          <w:tcPr>
            <w:tcW w:w="1952" w:type="dxa"/>
            <w:tcBorders>
              <w:top w:val="nil"/>
              <w:left w:val="nil"/>
              <w:bottom w:val="single" w:sz="4" w:space="0" w:color="auto"/>
              <w:right w:val="single" w:sz="4" w:space="0" w:color="auto"/>
            </w:tcBorders>
            <w:shd w:val="clear" w:color="auto" w:fill="C6EFCE"/>
            <w:noWrap/>
          </w:tcPr>
          <w:p w14:paraId="4808EF5A" w14:textId="77777777" w:rsidR="00515398" w:rsidRDefault="006711E6">
            <w:pPr>
              <w:pStyle w:val="P68B1DB1-Normal9"/>
              <w:spacing w:after="0" w:line="240" w:lineRule="auto"/>
              <w:rPr>
                <w:rFonts w:eastAsia="Times New Roman" w:cs="Calibri"/>
                <w:noProof/>
                <w:szCs w:val="18"/>
              </w:rPr>
            </w:pPr>
            <w:r>
              <w:rPr>
                <w:noProof/>
              </w:rPr>
              <w:t>1–1.1 Zvýšení výkonu – 16865_Restrukturalizace a posílení příjmů účtu CHP OZE</w:t>
            </w:r>
          </w:p>
        </w:tc>
        <w:tc>
          <w:tcPr>
            <w:tcW w:w="1142" w:type="dxa"/>
            <w:tcBorders>
              <w:top w:val="nil"/>
              <w:left w:val="nil"/>
              <w:bottom w:val="single" w:sz="4" w:space="0" w:color="auto"/>
              <w:right w:val="single" w:sz="4" w:space="0" w:color="auto"/>
            </w:tcBorders>
            <w:shd w:val="clear" w:color="auto" w:fill="C6EFCE"/>
            <w:noWrap/>
            <w:hideMark/>
          </w:tcPr>
          <w:p w14:paraId="19D32A70" w14:textId="77777777" w:rsidR="00515398" w:rsidRDefault="006711E6">
            <w:pPr>
              <w:pStyle w:val="P68B1DB1-Normal9"/>
              <w:spacing w:after="0" w:line="240" w:lineRule="auto"/>
              <w:rPr>
                <w:rFonts w:eastAsia="Times New Roman" w:cs="Calibri"/>
                <w:noProof/>
                <w:szCs w:val="18"/>
              </w:rPr>
            </w:pPr>
            <w:r>
              <w:rPr>
                <w:noProof/>
              </w:rPr>
              <w:t> Cílová</w:t>
            </w:r>
          </w:p>
        </w:tc>
        <w:tc>
          <w:tcPr>
            <w:tcW w:w="1234" w:type="dxa"/>
            <w:tcBorders>
              <w:top w:val="nil"/>
              <w:left w:val="nil"/>
              <w:bottom w:val="single" w:sz="4" w:space="0" w:color="auto"/>
              <w:right w:val="single" w:sz="4" w:space="0" w:color="auto"/>
            </w:tcBorders>
            <w:shd w:val="clear" w:color="auto" w:fill="C6EFCE"/>
            <w:noWrap/>
            <w:hideMark/>
          </w:tcPr>
          <w:p w14:paraId="550FBCE3" w14:textId="77777777" w:rsidR="00515398" w:rsidRDefault="006711E6">
            <w:pPr>
              <w:pStyle w:val="P68B1DB1-Normal9"/>
              <w:spacing w:after="0" w:line="240" w:lineRule="auto"/>
              <w:rPr>
                <w:rFonts w:eastAsia="Times New Roman" w:cs="Calibri"/>
                <w:noProof/>
                <w:szCs w:val="18"/>
              </w:rPr>
            </w:pPr>
            <w:r>
              <w:rPr>
                <w:noProof/>
              </w:rPr>
              <w:t>Účet OZE – cíl 2 zvýšení kapacity</w:t>
            </w:r>
          </w:p>
        </w:tc>
        <w:tc>
          <w:tcPr>
            <w:tcW w:w="1286" w:type="dxa"/>
            <w:tcBorders>
              <w:top w:val="nil"/>
              <w:left w:val="nil"/>
              <w:bottom w:val="single" w:sz="4" w:space="0" w:color="auto"/>
              <w:right w:val="single" w:sz="4" w:space="0" w:color="auto"/>
            </w:tcBorders>
            <w:shd w:val="clear" w:color="auto" w:fill="C6EFCE"/>
            <w:noWrap/>
            <w:hideMark/>
          </w:tcPr>
          <w:p w14:paraId="57CE4521"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1248" w:type="dxa"/>
            <w:tcBorders>
              <w:top w:val="nil"/>
              <w:left w:val="nil"/>
              <w:bottom w:val="single" w:sz="4" w:space="0" w:color="auto"/>
              <w:right w:val="single" w:sz="4" w:space="0" w:color="auto"/>
            </w:tcBorders>
            <w:shd w:val="clear" w:color="auto" w:fill="C6EFCE"/>
            <w:noWrap/>
            <w:hideMark/>
          </w:tcPr>
          <w:p w14:paraId="1F3ED5B6" w14:textId="77777777" w:rsidR="00515398" w:rsidRDefault="006711E6">
            <w:pPr>
              <w:pStyle w:val="P68B1DB1-Normal9"/>
              <w:spacing w:after="0" w:line="240" w:lineRule="auto"/>
              <w:rPr>
                <w:rFonts w:eastAsia="Times New Roman" w:cs="Calibri"/>
                <w:noProof/>
                <w:szCs w:val="18"/>
              </w:rPr>
            </w:pPr>
            <w:r>
              <w:rPr>
                <w:noProof/>
              </w:rPr>
              <w:t xml:space="preserve">Uvedení </w:t>
            </w:r>
            <w:r>
              <w:rPr>
                <w:noProof/>
              </w:rPr>
              <w:t>do provozu nové kapacity (GW) obnovitelných zdrojů energie</w:t>
            </w:r>
          </w:p>
        </w:tc>
        <w:tc>
          <w:tcPr>
            <w:tcW w:w="994" w:type="dxa"/>
            <w:tcBorders>
              <w:top w:val="nil"/>
              <w:left w:val="nil"/>
              <w:bottom w:val="single" w:sz="4" w:space="0" w:color="auto"/>
              <w:right w:val="single" w:sz="4" w:space="0" w:color="auto"/>
            </w:tcBorders>
            <w:shd w:val="clear" w:color="auto" w:fill="C6EFCE"/>
            <w:noWrap/>
            <w:hideMark/>
          </w:tcPr>
          <w:p w14:paraId="48996EF9" w14:textId="77777777" w:rsidR="00515398" w:rsidRDefault="006711E6">
            <w:pPr>
              <w:pStyle w:val="P68B1DB1-Normal9"/>
              <w:spacing w:after="0" w:line="240" w:lineRule="auto"/>
              <w:rPr>
                <w:rFonts w:eastAsia="Times New Roman" w:cs="Calibri"/>
                <w:noProof/>
                <w:szCs w:val="18"/>
              </w:rPr>
            </w:pPr>
            <w:r>
              <w:rPr>
                <w:noProof/>
              </w:rPr>
              <w:t> 1</w:t>
            </w:r>
          </w:p>
        </w:tc>
        <w:tc>
          <w:tcPr>
            <w:tcW w:w="648" w:type="dxa"/>
            <w:tcBorders>
              <w:top w:val="nil"/>
              <w:left w:val="nil"/>
              <w:bottom w:val="single" w:sz="4" w:space="0" w:color="auto"/>
              <w:right w:val="single" w:sz="4" w:space="0" w:color="auto"/>
            </w:tcBorders>
            <w:shd w:val="clear" w:color="auto" w:fill="C6EFCE"/>
            <w:noWrap/>
            <w:hideMark/>
          </w:tcPr>
          <w:p w14:paraId="414327B7" w14:textId="77777777" w:rsidR="00515398" w:rsidRDefault="006711E6">
            <w:pPr>
              <w:pStyle w:val="P68B1DB1-Normal9"/>
              <w:spacing w:after="0" w:line="240" w:lineRule="auto"/>
              <w:rPr>
                <w:rFonts w:eastAsia="Times New Roman" w:cs="Calibri"/>
                <w:noProof/>
                <w:szCs w:val="18"/>
              </w:rPr>
            </w:pPr>
            <w:r>
              <w:rPr>
                <w:noProof/>
              </w:rPr>
              <w:t> 2</w:t>
            </w:r>
          </w:p>
        </w:tc>
        <w:tc>
          <w:tcPr>
            <w:tcW w:w="956" w:type="dxa"/>
            <w:tcBorders>
              <w:top w:val="nil"/>
              <w:left w:val="nil"/>
              <w:bottom w:val="single" w:sz="4" w:space="0" w:color="auto"/>
              <w:right w:val="single" w:sz="4" w:space="0" w:color="auto"/>
            </w:tcBorders>
            <w:shd w:val="clear" w:color="auto" w:fill="C6EFCE"/>
            <w:noWrap/>
            <w:hideMark/>
          </w:tcPr>
          <w:p w14:paraId="4857687A" w14:textId="77777777" w:rsidR="00515398" w:rsidRDefault="006711E6">
            <w:pPr>
              <w:pStyle w:val="P68B1DB1-Normal9"/>
              <w:spacing w:after="0" w:line="240" w:lineRule="auto"/>
              <w:rPr>
                <w:rFonts w:eastAsia="Times New Roman" w:cs="Calibri"/>
                <w:noProof/>
                <w:szCs w:val="18"/>
              </w:rPr>
            </w:pPr>
            <w:r>
              <w:rPr>
                <w:noProof/>
              </w:rPr>
              <w:t>ČTVRTLETÍ</w:t>
            </w:r>
          </w:p>
        </w:tc>
        <w:tc>
          <w:tcPr>
            <w:tcW w:w="956" w:type="dxa"/>
            <w:tcBorders>
              <w:top w:val="nil"/>
              <w:left w:val="nil"/>
              <w:bottom w:val="single" w:sz="4" w:space="0" w:color="auto"/>
              <w:right w:val="single" w:sz="4" w:space="0" w:color="auto"/>
            </w:tcBorders>
            <w:shd w:val="clear" w:color="auto" w:fill="C6EFCE"/>
            <w:noWrap/>
            <w:hideMark/>
          </w:tcPr>
          <w:p w14:paraId="5C4FF7B8" w14:textId="77777777" w:rsidR="00515398" w:rsidRDefault="006711E6">
            <w:pPr>
              <w:pStyle w:val="P68B1DB1-Normal9"/>
              <w:spacing w:after="0" w:line="240" w:lineRule="auto"/>
              <w:rPr>
                <w:rFonts w:eastAsia="Times New Roman" w:cs="Calibri"/>
                <w:noProof/>
                <w:szCs w:val="18"/>
              </w:rPr>
            </w:pPr>
            <w:r>
              <w:rPr>
                <w:noProof/>
              </w:rPr>
              <w:t>2024</w:t>
            </w:r>
          </w:p>
        </w:tc>
        <w:tc>
          <w:tcPr>
            <w:tcW w:w="3278" w:type="dxa"/>
            <w:tcBorders>
              <w:top w:val="nil"/>
              <w:left w:val="nil"/>
              <w:bottom w:val="single" w:sz="4" w:space="0" w:color="auto"/>
              <w:right w:val="single" w:sz="4" w:space="0" w:color="auto"/>
            </w:tcBorders>
            <w:shd w:val="clear" w:color="auto" w:fill="C6EFCE"/>
            <w:noWrap/>
            <w:hideMark/>
          </w:tcPr>
          <w:p w14:paraId="02DF412A" w14:textId="77777777" w:rsidR="00515398" w:rsidRDefault="006711E6">
            <w:pPr>
              <w:pStyle w:val="P68B1DB1-Normal9"/>
              <w:spacing w:after="0" w:line="240" w:lineRule="auto"/>
              <w:rPr>
                <w:rFonts w:eastAsia="Times New Roman" w:cs="Calibri"/>
                <w:noProof/>
                <w:szCs w:val="18"/>
              </w:rPr>
            </w:pPr>
            <w:r>
              <w:rPr>
                <w:noProof/>
              </w:rPr>
              <w:t>Nová instalovaná a provozuschopná kapacita OZE</w:t>
            </w:r>
          </w:p>
        </w:tc>
      </w:tr>
      <w:tr w:rsidR="00515398" w14:paraId="0960AE76" w14:textId="77777777">
        <w:trPr>
          <w:trHeight w:val="1362"/>
        </w:trPr>
        <w:tc>
          <w:tcPr>
            <w:tcW w:w="1043" w:type="dxa"/>
            <w:tcBorders>
              <w:top w:val="nil"/>
              <w:left w:val="single" w:sz="4" w:space="0" w:color="auto"/>
              <w:bottom w:val="single" w:sz="4" w:space="0" w:color="auto"/>
              <w:right w:val="single" w:sz="4" w:space="0" w:color="auto"/>
            </w:tcBorders>
            <w:shd w:val="clear" w:color="auto" w:fill="C6EFCE"/>
            <w:noWrap/>
            <w:hideMark/>
          </w:tcPr>
          <w:p w14:paraId="536C8B1A" w14:textId="77777777" w:rsidR="00515398" w:rsidRDefault="006711E6">
            <w:pPr>
              <w:pStyle w:val="P68B1DB1-Normal9"/>
              <w:spacing w:after="0" w:line="240" w:lineRule="auto"/>
              <w:rPr>
                <w:rFonts w:eastAsia="Times New Roman" w:cs="Calibri"/>
                <w:noProof/>
                <w:szCs w:val="18"/>
              </w:rPr>
            </w:pPr>
            <w:r>
              <w:rPr>
                <w:noProof/>
              </w:rPr>
              <w:t> 8</w:t>
            </w:r>
          </w:p>
        </w:tc>
        <w:tc>
          <w:tcPr>
            <w:tcW w:w="1952" w:type="dxa"/>
            <w:tcBorders>
              <w:top w:val="nil"/>
              <w:left w:val="nil"/>
              <w:bottom w:val="single" w:sz="4" w:space="0" w:color="auto"/>
              <w:right w:val="single" w:sz="4" w:space="0" w:color="auto"/>
            </w:tcBorders>
            <w:shd w:val="clear" w:color="auto" w:fill="C6EFCE"/>
            <w:noWrap/>
          </w:tcPr>
          <w:p w14:paraId="062155F7" w14:textId="77777777" w:rsidR="00515398" w:rsidRDefault="006711E6">
            <w:pPr>
              <w:pStyle w:val="P68B1DB1-Normal9"/>
              <w:spacing w:after="0" w:line="240" w:lineRule="auto"/>
              <w:rPr>
                <w:rFonts w:eastAsia="Times New Roman" w:cs="Calibri"/>
                <w:noProof/>
                <w:szCs w:val="18"/>
              </w:rPr>
            </w:pPr>
            <w:r>
              <w:rPr>
                <w:noProof/>
              </w:rPr>
              <w:t>1–1.1 Zvýšení výkonu – 16865_Restrukturalizace a posílení příjmů účtu CHP OZE</w:t>
            </w:r>
          </w:p>
        </w:tc>
        <w:tc>
          <w:tcPr>
            <w:tcW w:w="1142" w:type="dxa"/>
            <w:tcBorders>
              <w:top w:val="nil"/>
              <w:left w:val="nil"/>
              <w:bottom w:val="single" w:sz="4" w:space="0" w:color="auto"/>
              <w:right w:val="single" w:sz="4" w:space="0" w:color="auto"/>
            </w:tcBorders>
            <w:shd w:val="clear" w:color="auto" w:fill="C6EFCE"/>
            <w:noWrap/>
            <w:hideMark/>
          </w:tcPr>
          <w:p w14:paraId="47EB9F53" w14:textId="77777777" w:rsidR="00515398" w:rsidRDefault="006711E6">
            <w:pPr>
              <w:pStyle w:val="P68B1DB1-Normal9"/>
              <w:spacing w:after="0" w:line="240" w:lineRule="auto"/>
              <w:rPr>
                <w:rFonts w:eastAsia="Times New Roman" w:cs="Calibri"/>
                <w:noProof/>
                <w:szCs w:val="18"/>
              </w:rPr>
            </w:pPr>
            <w:r>
              <w:rPr>
                <w:noProof/>
              </w:rPr>
              <w:t> Cílová</w:t>
            </w:r>
          </w:p>
        </w:tc>
        <w:tc>
          <w:tcPr>
            <w:tcW w:w="1234" w:type="dxa"/>
            <w:tcBorders>
              <w:top w:val="nil"/>
              <w:left w:val="nil"/>
              <w:bottom w:val="single" w:sz="4" w:space="0" w:color="auto"/>
              <w:right w:val="single" w:sz="4" w:space="0" w:color="auto"/>
            </w:tcBorders>
            <w:shd w:val="clear" w:color="auto" w:fill="C6EFCE"/>
            <w:noWrap/>
            <w:hideMark/>
          </w:tcPr>
          <w:p w14:paraId="354C0EA4" w14:textId="77777777" w:rsidR="00515398" w:rsidRDefault="006711E6">
            <w:pPr>
              <w:pStyle w:val="P68B1DB1-Normal9"/>
              <w:spacing w:after="0" w:line="240" w:lineRule="auto"/>
              <w:rPr>
                <w:rFonts w:eastAsia="Times New Roman" w:cs="Calibri"/>
                <w:noProof/>
                <w:szCs w:val="18"/>
              </w:rPr>
            </w:pPr>
            <w:r>
              <w:rPr>
                <w:noProof/>
              </w:rPr>
              <w:t>Účet OZE – cíl 3 zvýšení kapacity </w:t>
            </w:r>
          </w:p>
        </w:tc>
        <w:tc>
          <w:tcPr>
            <w:tcW w:w="1286" w:type="dxa"/>
            <w:tcBorders>
              <w:top w:val="nil"/>
              <w:left w:val="nil"/>
              <w:bottom w:val="single" w:sz="4" w:space="0" w:color="auto"/>
              <w:right w:val="single" w:sz="4" w:space="0" w:color="auto"/>
            </w:tcBorders>
            <w:shd w:val="clear" w:color="auto" w:fill="C6EFCE"/>
            <w:noWrap/>
            <w:hideMark/>
          </w:tcPr>
          <w:p w14:paraId="41DA7B1A"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1248" w:type="dxa"/>
            <w:tcBorders>
              <w:top w:val="nil"/>
              <w:left w:val="nil"/>
              <w:bottom w:val="single" w:sz="4" w:space="0" w:color="auto"/>
              <w:right w:val="single" w:sz="4" w:space="0" w:color="auto"/>
            </w:tcBorders>
            <w:shd w:val="clear" w:color="auto" w:fill="C6EFCE"/>
            <w:noWrap/>
            <w:hideMark/>
          </w:tcPr>
          <w:p w14:paraId="75B15FE5" w14:textId="77777777" w:rsidR="00515398" w:rsidRDefault="006711E6">
            <w:pPr>
              <w:pStyle w:val="P68B1DB1-Normal9"/>
              <w:spacing w:after="0" w:line="240" w:lineRule="auto"/>
              <w:rPr>
                <w:rFonts w:eastAsia="Times New Roman" w:cs="Calibri"/>
                <w:noProof/>
                <w:szCs w:val="18"/>
              </w:rPr>
            </w:pPr>
            <w:r>
              <w:rPr>
                <w:noProof/>
              </w:rPr>
              <w:t>Uvedení do provozu nové kapacity (GW) obnovitelných zdrojů energie</w:t>
            </w:r>
          </w:p>
        </w:tc>
        <w:tc>
          <w:tcPr>
            <w:tcW w:w="994" w:type="dxa"/>
            <w:tcBorders>
              <w:top w:val="nil"/>
              <w:left w:val="nil"/>
              <w:bottom w:val="single" w:sz="4" w:space="0" w:color="auto"/>
              <w:right w:val="single" w:sz="4" w:space="0" w:color="auto"/>
            </w:tcBorders>
            <w:shd w:val="clear" w:color="auto" w:fill="C6EFCE"/>
            <w:noWrap/>
            <w:hideMark/>
          </w:tcPr>
          <w:p w14:paraId="30B8D106" w14:textId="77777777" w:rsidR="00515398" w:rsidRDefault="006711E6">
            <w:pPr>
              <w:pStyle w:val="P68B1DB1-Normal9"/>
              <w:spacing w:after="0" w:line="240" w:lineRule="auto"/>
              <w:rPr>
                <w:rFonts w:eastAsia="Times New Roman" w:cs="Calibri"/>
                <w:noProof/>
                <w:szCs w:val="18"/>
              </w:rPr>
            </w:pPr>
            <w:r>
              <w:rPr>
                <w:noProof/>
              </w:rPr>
              <w:t> 2</w:t>
            </w:r>
          </w:p>
        </w:tc>
        <w:tc>
          <w:tcPr>
            <w:tcW w:w="648" w:type="dxa"/>
            <w:tcBorders>
              <w:top w:val="nil"/>
              <w:left w:val="nil"/>
              <w:bottom w:val="single" w:sz="4" w:space="0" w:color="auto"/>
              <w:right w:val="single" w:sz="4" w:space="0" w:color="auto"/>
            </w:tcBorders>
            <w:shd w:val="clear" w:color="auto" w:fill="C6EFCE"/>
            <w:noWrap/>
            <w:hideMark/>
          </w:tcPr>
          <w:p w14:paraId="3D379E55" w14:textId="77777777" w:rsidR="00515398" w:rsidRDefault="006711E6">
            <w:pPr>
              <w:pStyle w:val="P68B1DB1-Normal9"/>
              <w:spacing w:after="0" w:line="240" w:lineRule="auto"/>
              <w:rPr>
                <w:rFonts w:eastAsia="Times New Roman" w:cs="Calibri"/>
                <w:noProof/>
                <w:szCs w:val="18"/>
              </w:rPr>
            </w:pPr>
            <w:r>
              <w:rPr>
                <w:noProof/>
              </w:rPr>
              <w:t> 3</w:t>
            </w:r>
          </w:p>
        </w:tc>
        <w:tc>
          <w:tcPr>
            <w:tcW w:w="956" w:type="dxa"/>
            <w:tcBorders>
              <w:top w:val="nil"/>
              <w:left w:val="nil"/>
              <w:bottom w:val="single" w:sz="4" w:space="0" w:color="auto"/>
              <w:right w:val="single" w:sz="4" w:space="0" w:color="auto"/>
            </w:tcBorders>
            <w:shd w:val="clear" w:color="auto" w:fill="C6EFCE"/>
            <w:noWrap/>
            <w:hideMark/>
          </w:tcPr>
          <w:p w14:paraId="19C203D7" w14:textId="77777777" w:rsidR="00515398" w:rsidRDefault="006711E6">
            <w:pPr>
              <w:pStyle w:val="P68B1DB1-Normal9"/>
              <w:spacing w:after="0" w:line="240" w:lineRule="auto"/>
              <w:rPr>
                <w:rFonts w:eastAsia="Times New Roman" w:cs="Calibri"/>
                <w:noProof/>
                <w:szCs w:val="18"/>
              </w:rPr>
            </w:pPr>
            <w:r>
              <w:rPr>
                <w:noProof/>
              </w:rPr>
              <w:t>ČTVRTLETÍ</w:t>
            </w:r>
          </w:p>
        </w:tc>
        <w:tc>
          <w:tcPr>
            <w:tcW w:w="956" w:type="dxa"/>
            <w:tcBorders>
              <w:top w:val="nil"/>
              <w:left w:val="nil"/>
              <w:bottom w:val="single" w:sz="4" w:space="0" w:color="auto"/>
              <w:right w:val="single" w:sz="4" w:space="0" w:color="auto"/>
            </w:tcBorders>
            <w:shd w:val="clear" w:color="auto" w:fill="C6EFCE"/>
            <w:noWrap/>
            <w:hideMark/>
          </w:tcPr>
          <w:p w14:paraId="431A043B" w14:textId="3142F475" w:rsidR="00515398" w:rsidRDefault="006711E6">
            <w:pPr>
              <w:pStyle w:val="P68B1DB1-Normal9"/>
              <w:spacing w:after="0" w:line="240" w:lineRule="auto"/>
              <w:rPr>
                <w:rFonts w:eastAsia="Times New Roman" w:cs="Calibri"/>
                <w:noProof/>
                <w:szCs w:val="18"/>
              </w:rPr>
            </w:pPr>
            <w:r>
              <w:rPr>
                <w:noProof/>
              </w:rPr>
              <w:t>2024</w:t>
            </w:r>
          </w:p>
        </w:tc>
        <w:tc>
          <w:tcPr>
            <w:tcW w:w="3278" w:type="dxa"/>
            <w:tcBorders>
              <w:top w:val="nil"/>
              <w:left w:val="nil"/>
              <w:bottom w:val="single" w:sz="4" w:space="0" w:color="auto"/>
              <w:right w:val="single" w:sz="4" w:space="0" w:color="auto"/>
            </w:tcBorders>
            <w:shd w:val="clear" w:color="auto" w:fill="C6EFCE"/>
            <w:noWrap/>
            <w:hideMark/>
          </w:tcPr>
          <w:p w14:paraId="58211CF4" w14:textId="77777777" w:rsidR="00515398" w:rsidRDefault="006711E6">
            <w:pPr>
              <w:pStyle w:val="P68B1DB1-Normal9"/>
              <w:spacing w:after="0" w:line="240" w:lineRule="auto"/>
              <w:rPr>
                <w:rFonts w:eastAsia="Times New Roman" w:cs="Calibri"/>
                <w:noProof/>
                <w:szCs w:val="18"/>
              </w:rPr>
            </w:pPr>
            <w:r>
              <w:rPr>
                <w:noProof/>
              </w:rPr>
              <w:t>Nová instalovaná a provozuschopná kapacita OZE</w:t>
            </w:r>
          </w:p>
        </w:tc>
      </w:tr>
    </w:tbl>
    <w:p w14:paraId="5D1194F8" w14:textId="77777777" w:rsidR="00515398" w:rsidRDefault="00515398">
      <w:pPr>
        <w:rPr>
          <w:rFonts w:ascii="Cambria" w:hAnsi="Cambria"/>
          <w:noProof/>
          <w:color w:val="365F91"/>
          <w:sz w:val="24"/>
        </w:rPr>
      </w:pPr>
    </w:p>
    <w:p w14:paraId="068CDF77"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1: Napájení</w:t>
      </w:r>
    </w:p>
    <w:p w14:paraId="656584E3" w14:textId="77777777" w:rsidR="00515398" w:rsidRDefault="006711E6">
      <w:pPr>
        <w:pStyle w:val="P68B1DB1-Normal4"/>
        <w:spacing w:before="120" w:after="120" w:line="240" w:lineRule="auto"/>
        <w:rPr>
          <w:rFonts w:cs="Times New Roman"/>
          <w:noProof/>
        </w:rPr>
      </w:pPr>
      <w:r>
        <w:rPr>
          <w:noProof/>
        </w:rPr>
        <w:t>Opatření zahrnutá do této skupiny jsou:</w:t>
      </w:r>
    </w:p>
    <w:p w14:paraId="02A7DC33"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 xml:space="preserve">Podpora instalace systémů skladování s cílem zlepšit </w:t>
      </w:r>
      <w:r>
        <w:rPr>
          <w:rFonts w:ascii="Times New Roman" w:hAnsi="Times New Roman"/>
          <w:noProof/>
          <w:sz w:val="24"/>
        </w:rPr>
        <w:t>pronikání energie z obnovitelných zdrojů (ID: 16926)</w:t>
      </w:r>
    </w:p>
    <w:p w14:paraId="7CB73AEF"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Revitalizace nejvíce postižených území (území pro spravedlivou transformaci) (ID: 16871)</w:t>
      </w:r>
    </w:p>
    <w:p w14:paraId="1C5CDBB0"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Modernizace sítě HEDNO zaměřené na zvýšení odolnosti a ochranu životního prostředí (ID: 16901)</w:t>
      </w:r>
    </w:p>
    <w:p w14:paraId="3164B8E5"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Modernizace n</w:t>
      </w:r>
      <w:r>
        <w:rPr>
          <w:rFonts w:ascii="Times New Roman" w:hAnsi="Times New Roman"/>
          <w:noProof/>
          <w:sz w:val="24"/>
        </w:rPr>
        <w:t>adzemní sítě HEDNO v lesních oblastech (ID: 16900)</w:t>
      </w:r>
    </w:p>
    <w:p w14:paraId="0015E763"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Zvýšení instalované kapacity v rozvodnách HV/MV v řeckých provozovatelích elektrické distribuční sítě (HEDNO) pro nové připojení k obnovitelným zdrojům energie (ID: 16899)</w:t>
      </w:r>
    </w:p>
    <w:tbl>
      <w:tblPr>
        <w:tblW w:w="14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750"/>
        <w:gridCol w:w="1094"/>
        <w:gridCol w:w="1206"/>
        <w:gridCol w:w="1553"/>
        <w:gridCol w:w="1338"/>
        <w:gridCol w:w="927"/>
        <w:gridCol w:w="805"/>
        <w:gridCol w:w="984"/>
        <w:gridCol w:w="720"/>
        <w:gridCol w:w="3331"/>
      </w:tblGrid>
      <w:tr w:rsidR="00515398" w14:paraId="4AF45036" w14:textId="77777777">
        <w:trPr>
          <w:trHeight w:val="927"/>
          <w:tblHeader/>
          <w:jc w:val="center"/>
        </w:trPr>
        <w:tc>
          <w:tcPr>
            <w:tcW w:w="1120" w:type="dxa"/>
            <w:vMerge w:val="restart"/>
            <w:shd w:val="clear" w:color="auto" w:fill="BDD7EE"/>
            <w:vAlign w:val="center"/>
            <w:hideMark/>
          </w:tcPr>
          <w:p w14:paraId="635A6B4C"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50" w:type="dxa"/>
            <w:vMerge w:val="restart"/>
            <w:shd w:val="clear" w:color="auto" w:fill="BDD7EE"/>
            <w:vAlign w:val="center"/>
            <w:hideMark/>
          </w:tcPr>
          <w:p w14:paraId="1ED33481"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w:t>
            </w:r>
            <w:r>
              <w:rPr>
                <w:noProof/>
              </w:rPr>
              <w:t>ření (reforma nebo investice)</w:t>
            </w:r>
          </w:p>
        </w:tc>
        <w:tc>
          <w:tcPr>
            <w:tcW w:w="1094" w:type="dxa"/>
            <w:vMerge w:val="restart"/>
            <w:shd w:val="clear" w:color="auto" w:fill="BDD7EE"/>
            <w:vAlign w:val="center"/>
            <w:hideMark/>
          </w:tcPr>
          <w:p w14:paraId="2791FD93"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206" w:type="dxa"/>
            <w:vMerge w:val="restart"/>
            <w:shd w:val="clear" w:color="auto" w:fill="BDD7EE"/>
            <w:vAlign w:val="center"/>
            <w:hideMark/>
          </w:tcPr>
          <w:p w14:paraId="26B9B989"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53" w:type="dxa"/>
            <w:vMerge w:val="restart"/>
            <w:shd w:val="clear" w:color="auto" w:fill="BDD7EE"/>
            <w:vAlign w:val="center"/>
            <w:hideMark/>
          </w:tcPr>
          <w:p w14:paraId="3E0F7B09"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070" w:type="dxa"/>
            <w:gridSpan w:val="3"/>
            <w:shd w:val="clear" w:color="auto" w:fill="BDD7EE"/>
            <w:vAlign w:val="center"/>
            <w:hideMark/>
          </w:tcPr>
          <w:p w14:paraId="72EFDFEF"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642" w:type="dxa"/>
            <w:gridSpan w:val="2"/>
            <w:shd w:val="clear" w:color="auto" w:fill="BDD7EE"/>
            <w:vAlign w:val="center"/>
            <w:hideMark/>
          </w:tcPr>
          <w:p w14:paraId="776EC197"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331" w:type="dxa"/>
            <w:vMerge w:val="restart"/>
            <w:shd w:val="clear" w:color="auto" w:fill="BDD7EE"/>
            <w:vAlign w:val="center"/>
            <w:hideMark/>
          </w:tcPr>
          <w:p w14:paraId="6F05C21A"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7EF62856" w14:textId="77777777">
        <w:trPr>
          <w:trHeight w:val="1013"/>
          <w:jc w:val="center"/>
        </w:trPr>
        <w:tc>
          <w:tcPr>
            <w:tcW w:w="1120" w:type="dxa"/>
            <w:vMerge/>
            <w:vAlign w:val="center"/>
            <w:hideMark/>
          </w:tcPr>
          <w:p w14:paraId="19B60FB2" w14:textId="77777777" w:rsidR="00515398" w:rsidRDefault="00515398">
            <w:pPr>
              <w:spacing w:after="0" w:line="240" w:lineRule="auto"/>
              <w:rPr>
                <w:rFonts w:ascii="Times New Roman" w:eastAsia="Times New Roman" w:hAnsi="Times New Roman" w:cs="Times New Roman"/>
                <w:b/>
                <w:bCs/>
                <w:noProof/>
                <w:sz w:val="18"/>
                <w:szCs w:val="18"/>
              </w:rPr>
            </w:pPr>
          </w:p>
        </w:tc>
        <w:tc>
          <w:tcPr>
            <w:tcW w:w="1750" w:type="dxa"/>
            <w:vMerge/>
            <w:vAlign w:val="center"/>
            <w:hideMark/>
          </w:tcPr>
          <w:p w14:paraId="7884DE9A" w14:textId="77777777" w:rsidR="00515398" w:rsidRDefault="00515398">
            <w:pPr>
              <w:spacing w:after="0" w:line="240" w:lineRule="auto"/>
              <w:rPr>
                <w:rFonts w:ascii="Times New Roman" w:eastAsia="Times New Roman" w:hAnsi="Times New Roman" w:cs="Times New Roman"/>
                <w:b/>
                <w:bCs/>
                <w:noProof/>
                <w:sz w:val="18"/>
                <w:szCs w:val="18"/>
              </w:rPr>
            </w:pPr>
          </w:p>
        </w:tc>
        <w:tc>
          <w:tcPr>
            <w:tcW w:w="1094" w:type="dxa"/>
            <w:vMerge/>
            <w:vAlign w:val="center"/>
            <w:hideMark/>
          </w:tcPr>
          <w:p w14:paraId="1C5CA9F7" w14:textId="77777777" w:rsidR="00515398" w:rsidRDefault="00515398">
            <w:pPr>
              <w:spacing w:after="0" w:line="240" w:lineRule="auto"/>
              <w:rPr>
                <w:rFonts w:ascii="Times New Roman" w:eastAsia="Times New Roman" w:hAnsi="Times New Roman" w:cs="Times New Roman"/>
                <w:b/>
                <w:bCs/>
                <w:noProof/>
                <w:sz w:val="18"/>
                <w:szCs w:val="18"/>
              </w:rPr>
            </w:pPr>
          </w:p>
        </w:tc>
        <w:tc>
          <w:tcPr>
            <w:tcW w:w="1206" w:type="dxa"/>
            <w:vMerge/>
            <w:vAlign w:val="center"/>
            <w:hideMark/>
          </w:tcPr>
          <w:p w14:paraId="29F1317D" w14:textId="77777777" w:rsidR="00515398" w:rsidRDefault="00515398">
            <w:pPr>
              <w:spacing w:after="0" w:line="240" w:lineRule="auto"/>
              <w:rPr>
                <w:rFonts w:ascii="Times New Roman" w:eastAsia="Times New Roman" w:hAnsi="Times New Roman" w:cs="Times New Roman"/>
                <w:b/>
                <w:bCs/>
                <w:noProof/>
                <w:sz w:val="18"/>
                <w:szCs w:val="18"/>
              </w:rPr>
            </w:pPr>
          </w:p>
        </w:tc>
        <w:tc>
          <w:tcPr>
            <w:tcW w:w="1553" w:type="dxa"/>
            <w:vMerge/>
            <w:vAlign w:val="center"/>
            <w:hideMark/>
          </w:tcPr>
          <w:p w14:paraId="25044A33" w14:textId="77777777" w:rsidR="00515398" w:rsidRDefault="00515398">
            <w:pPr>
              <w:spacing w:after="0" w:line="240" w:lineRule="auto"/>
              <w:rPr>
                <w:rFonts w:ascii="Times New Roman" w:eastAsia="Times New Roman" w:hAnsi="Times New Roman" w:cs="Times New Roman"/>
                <w:b/>
                <w:bCs/>
                <w:noProof/>
                <w:sz w:val="18"/>
                <w:szCs w:val="18"/>
              </w:rPr>
            </w:pPr>
          </w:p>
        </w:tc>
        <w:tc>
          <w:tcPr>
            <w:tcW w:w="1338" w:type="dxa"/>
            <w:shd w:val="clear" w:color="auto" w:fill="BDD7EE"/>
            <w:vAlign w:val="center"/>
            <w:hideMark/>
          </w:tcPr>
          <w:p w14:paraId="309F4C70"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27" w:type="dxa"/>
            <w:shd w:val="clear" w:color="auto" w:fill="BDD7EE"/>
            <w:vAlign w:val="center"/>
            <w:hideMark/>
          </w:tcPr>
          <w:p w14:paraId="6A442A38"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05" w:type="dxa"/>
            <w:shd w:val="clear" w:color="auto" w:fill="BDD7EE"/>
            <w:vAlign w:val="center"/>
            <w:hideMark/>
          </w:tcPr>
          <w:p w14:paraId="541495C3"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22" w:type="dxa"/>
            <w:shd w:val="clear" w:color="auto" w:fill="BDD7EE"/>
            <w:vAlign w:val="center"/>
            <w:hideMark/>
          </w:tcPr>
          <w:p w14:paraId="34C23780"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20" w:type="dxa"/>
            <w:shd w:val="clear" w:color="auto" w:fill="BDD7EE"/>
            <w:vAlign w:val="center"/>
            <w:hideMark/>
          </w:tcPr>
          <w:p w14:paraId="19D8054A"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331" w:type="dxa"/>
            <w:vMerge/>
            <w:vAlign w:val="center"/>
            <w:hideMark/>
          </w:tcPr>
          <w:p w14:paraId="0F4FAEEB"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5E231E9" w14:textId="77777777">
        <w:trPr>
          <w:jc w:val="center"/>
        </w:trPr>
        <w:tc>
          <w:tcPr>
            <w:tcW w:w="1120" w:type="dxa"/>
            <w:shd w:val="clear" w:color="auto" w:fill="C6EFCE"/>
            <w:noWrap/>
          </w:tcPr>
          <w:p w14:paraId="44766992" w14:textId="77777777" w:rsidR="00515398" w:rsidRDefault="006711E6">
            <w:pPr>
              <w:pStyle w:val="P68B1DB1-Normal9"/>
              <w:spacing w:after="0" w:line="240" w:lineRule="auto"/>
              <w:rPr>
                <w:rFonts w:eastAsia="Times New Roman" w:cs="Calibri"/>
                <w:noProof/>
                <w:szCs w:val="18"/>
              </w:rPr>
            </w:pPr>
            <w:r>
              <w:rPr>
                <w:noProof/>
              </w:rPr>
              <w:t>9</w:t>
            </w:r>
          </w:p>
        </w:tc>
        <w:tc>
          <w:tcPr>
            <w:tcW w:w="1750" w:type="dxa"/>
            <w:shd w:val="clear" w:color="auto" w:fill="C6EFCE"/>
            <w:noWrap/>
          </w:tcPr>
          <w:p w14:paraId="0DBCE979" w14:textId="77777777" w:rsidR="00515398" w:rsidRDefault="006711E6">
            <w:pPr>
              <w:pStyle w:val="P68B1DB1-Normal9"/>
              <w:spacing w:after="0" w:line="240" w:lineRule="auto"/>
              <w:rPr>
                <w:rFonts w:eastAsia="Times New Roman" w:cs="Calibri"/>
                <w:noProof/>
                <w:szCs w:val="18"/>
              </w:rPr>
            </w:pPr>
            <w:r>
              <w:rPr>
                <w:noProof/>
              </w:rPr>
              <w:t xml:space="preserve">1–1.1 </w:t>
            </w:r>
            <w:r>
              <w:rPr>
                <w:noProof/>
              </w:rPr>
              <w:t>Posílení moci – 16871_Opatření v oblasti revitalizace nejvíce postižených území (území pro spravedlivou transformaci)</w:t>
            </w:r>
          </w:p>
        </w:tc>
        <w:tc>
          <w:tcPr>
            <w:tcW w:w="1094" w:type="dxa"/>
            <w:shd w:val="clear" w:color="auto" w:fill="C6EFCE"/>
            <w:noWrap/>
          </w:tcPr>
          <w:p w14:paraId="23557BDC"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217D638B" w14:textId="77777777" w:rsidR="00515398" w:rsidRDefault="006711E6">
            <w:pPr>
              <w:pStyle w:val="P68B1DB1-Normal9"/>
              <w:spacing w:after="0" w:line="240" w:lineRule="auto"/>
              <w:rPr>
                <w:rFonts w:eastAsia="Times New Roman" w:cs="Calibri"/>
                <w:noProof/>
                <w:szCs w:val="18"/>
              </w:rPr>
            </w:pPr>
            <w:r>
              <w:rPr>
                <w:noProof/>
              </w:rPr>
              <w:t>Sanace půdy – rámcový zákon</w:t>
            </w:r>
          </w:p>
        </w:tc>
        <w:tc>
          <w:tcPr>
            <w:tcW w:w="1553" w:type="dxa"/>
            <w:shd w:val="clear" w:color="auto" w:fill="C6EFCE"/>
            <w:noWrap/>
          </w:tcPr>
          <w:p w14:paraId="62607CF2" w14:textId="77777777" w:rsidR="00515398" w:rsidRDefault="006711E6">
            <w:pPr>
              <w:pStyle w:val="P68B1DB1-Normal9"/>
              <w:spacing w:after="0" w:line="240" w:lineRule="auto"/>
              <w:rPr>
                <w:rFonts w:eastAsia="Times New Roman" w:cs="Calibri"/>
                <w:noProof/>
                <w:szCs w:val="18"/>
              </w:rPr>
            </w:pPr>
            <w:r>
              <w:rPr>
                <w:noProof/>
              </w:rPr>
              <w:t>Vstup v platnost</w:t>
            </w:r>
          </w:p>
        </w:tc>
        <w:tc>
          <w:tcPr>
            <w:tcW w:w="1338" w:type="dxa"/>
            <w:shd w:val="clear" w:color="auto" w:fill="C6EFCE"/>
            <w:noWrap/>
          </w:tcPr>
          <w:p w14:paraId="2AA64B9F"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48AFE854"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1F70C8FE"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44DB7005" w14:textId="77777777" w:rsidR="00515398" w:rsidRDefault="006711E6">
            <w:pPr>
              <w:pStyle w:val="P68B1DB1-Normal9"/>
              <w:spacing w:after="0" w:line="240" w:lineRule="auto"/>
              <w:rPr>
                <w:rFonts w:eastAsia="Times New Roman" w:cs="Calibri"/>
                <w:noProof/>
                <w:szCs w:val="18"/>
              </w:rPr>
            </w:pPr>
            <w:r>
              <w:rPr>
                <w:noProof/>
              </w:rPr>
              <w:t>ČTVRTLETÍ 1</w:t>
            </w:r>
          </w:p>
        </w:tc>
        <w:tc>
          <w:tcPr>
            <w:tcW w:w="720" w:type="dxa"/>
            <w:shd w:val="clear" w:color="auto" w:fill="C6EFCE"/>
            <w:noWrap/>
          </w:tcPr>
          <w:p w14:paraId="31654F0D" w14:textId="77777777" w:rsidR="00515398" w:rsidRDefault="006711E6">
            <w:pPr>
              <w:pStyle w:val="P68B1DB1-Normal9"/>
              <w:spacing w:after="0" w:line="240" w:lineRule="auto"/>
              <w:rPr>
                <w:rFonts w:eastAsia="Times New Roman" w:cs="Calibri"/>
                <w:noProof/>
                <w:szCs w:val="18"/>
              </w:rPr>
            </w:pPr>
            <w:r>
              <w:rPr>
                <w:noProof/>
              </w:rPr>
              <w:t>2022</w:t>
            </w:r>
          </w:p>
        </w:tc>
        <w:tc>
          <w:tcPr>
            <w:tcW w:w="3331" w:type="dxa"/>
            <w:shd w:val="clear" w:color="auto" w:fill="C6EFCE"/>
            <w:noWrap/>
          </w:tcPr>
          <w:p w14:paraId="16967A65" w14:textId="77777777" w:rsidR="00515398" w:rsidRDefault="006711E6">
            <w:pPr>
              <w:pStyle w:val="P68B1DB1-Normal9"/>
              <w:spacing w:after="0" w:line="240" w:lineRule="auto"/>
              <w:rPr>
                <w:rFonts w:eastAsia="Times New Roman" w:cs="Calibri"/>
                <w:noProof/>
                <w:szCs w:val="18"/>
              </w:rPr>
            </w:pPr>
            <w:r>
              <w:rPr>
                <w:noProof/>
              </w:rPr>
              <w:t xml:space="preserve">Schválení a vstup v platnost zákona o rámcové smlouvě o programu, </w:t>
            </w:r>
            <w:r>
              <w:rPr>
                <w:noProof/>
              </w:rPr>
              <w:t>který stanoví zeměpisné oblasti, které mají být převedeny z veřejné energetické korporace na stát, obsah studií projektů, rozdělení odpovědnosti mezi všechny zúčastněné strany, mechanismy řízení, harmonogram provádění a rozpočet.</w:t>
            </w:r>
          </w:p>
        </w:tc>
      </w:tr>
      <w:tr w:rsidR="00515398" w14:paraId="342971C3" w14:textId="77777777">
        <w:trPr>
          <w:jc w:val="center"/>
        </w:trPr>
        <w:tc>
          <w:tcPr>
            <w:tcW w:w="1120" w:type="dxa"/>
            <w:shd w:val="clear" w:color="auto" w:fill="C6EFCE"/>
            <w:noWrap/>
          </w:tcPr>
          <w:p w14:paraId="71A17A7A" w14:textId="77777777" w:rsidR="00515398" w:rsidRDefault="006711E6">
            <w:pPr>
              <w:pStyle w:val="P68B1DB1-Normal9"/>
              <w:spacing w:after="0" w:line="240" w:lineRule="auto"/>
              <w:rPr>
                <w:rFonts w:eastAsia="Times New Roman" w:cs="Calibri"/>
                <w:noProof/>
                <w:szCs w:val="18"/>
              </w:rPr>
            </w:pPr>
            <w:r>
              <w:rPr>
                <w:noProof/>
              </w:rPr>
              <w:t>10</w:t>
            </w:r>
          </w:p>
        </w:tc>
        <w:tc>
          <w:tcPr>
            <w:tcW w:w="1750" w:type="dxa"/>
            <w:shd w:val="clear" w:color="auto" w:fill="C6EFCE"/>
            <w:noWrap/>
          </w:tcPr>
          <w:p w14:paraId="548679BA" w14:textId="77777777" w:rsidR="00515398" w:rsidRDefault="006711E6">
            <w:pPr>
              <w:pStyle w:val="P68B1DB1-Normal9"/>
              <w:spacing w:after="0" w:line="240" w:lineRule="auto"/>
              <w:rPr>
                <w:noProof/>
              </w:rPr>
            </w:pPr>
            <w:r>
              <w:rPr>
                <w:noProof/>
              </w:rPr>
              <w:t xml:space="preserve">1–1.1 Posílení moci – </w:t>
            </w:r>
            <w:r>
              <w:rPr>
                <w:noProof/>
              </w:rPr>
              <w:t>16871_Opatření v oblasti revitalizace nejvíce postižených území (spravedlivá transformace)</w:t>
            </w:r>
          </w:p>
          <w:p w14:paraId="6F1CD144" w14:textId="77777777" w:rsidR="00515398" w:rsidRDefault="00515398">
            <w:pPr>
              <w:spacing w:after="0" w:line="240" w:lineRule="auto"/>
              <w:rPr>
                <w:noProof/>
                <w:color w:val="006100"/>
                <w:sz w:val="18"/>
              </w:rPr>
            </w:pPr>
          </w:p>
          <w:p w14:paraId="5AE49B6C" w14:textId="45F8A69E" w:rsidR="00515398" w:rsidRDefault="006711E6">
            <w:pPr>
              <w:pStyle w:val="P68B1DB1-Normal9"/>
              <w:spacing w:after="0" w:line="240" w:lineRule="auto"/>
              <w:rPr>
                <w:rFonts w:eastAsia="Times New Roman" w:cs="Calibri"/>
                <w:noProof/>
                <w:szCs w:val="18"/>
              </w:rPr>
            </w:pPr>
            <w:r>
              <w:rPr>
                <w:noProof/>
              </w:rPr>
              <w:t xml:space="preserve"> území)</w:t>
            </w:r>
          </w:p>
        </w:tc>
        <w:tc>
          <w:tcPr>
            <w:tcW w:w="1094" w:type="dxa"/>
            <w:shd w:val="clear" w:color="auto" w:fill="C6EFCE"/>
            <w:noWrap/>
          </w:tcPr>
          <w:p w14:paraId="0F2B56E1"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0CB0A4A6" w14:textId="77777777" w:rsidR="00515398" w:rsidRDefault="006711E6">
            <w:pPr>
              <w:pStyle w:val="P68B1DB1-Normal9"/>
              <w:spacing w:after="0" w:line="240" w:lineRule="auto"/>
              <w:rPr>
                <w:rFonts w:eastAsia="Times New Roman" w:cs="Calibri"/>
                <w:noProof/>
                <w:szCs w:val="18"/>
              </w:rPr>
            </w:pPr>
            <w:r>
              <w:rPr>
                <w:noProof/>
              </w:rPr>
              <w:t>Sanace půdy – městské plány</w:t>
            </w:r>
          </w:p>
        </w:tc>
        <w:tc>
          <w:tcPr>
            <w:tcW w:w="1553" w:type="dxa"/>
            <w:shd w:val="clear" w:color="auto" w:fill="C6EFCE"/>
            <w:noWrap/>
          </w:tcPr>
          <w:p w14:paraId="6FA91C8A" w14:textId="1C90D03C" w:rsidR="00515398" w:rsidRDefault="006711E6">
            <w:pPr>
              <w:pStyle w:val="P68B1DB1-Normal9"/>
              <w:spacing w:after="0" w:line="240" w:lineRule="auto"/>
              <w:rPr>
                <w:rFonts w:eastAsia="Times New Roman" w:cs="Calibri"/>
                <w:noProof/>
                <w:szCs w:val="18"/>
              </w:rPr>
            </w:pPr>
            <w:r>
              <w:rPr>
                <w:noProof/>
              </w:rPr>
              <w:t xml:space="preserve">Schválení zvláštních městských plánů </w:t>
            </w:r>
            <w:r>
              <w:rPr>
                <w:noProof/>
                <w:szCs w:val="18"/>
              </w:rPr>
              <w:t>Ústřední radou pro otázky územního plánování a spory</w:t>
            </w:r>
            <w:r>
              <w:rPr>
                <w:noProof/>
              </w:rPr>
              <w:t>;</w:t>
            </w:r>
          </w:p>
          <w:p w14:paraId="45B8C8BA" w14:textId="7A9143AB" w:rsidR="00515398" w:rsidRDefault="006711E6">
            <w:pPr>
              <w:spacing w:after="0" w:line="240" w:lineRule="auto"/>
              <w:rPr>
                <w:rFonts w:eastAsia="Times New Roman" w:cs="Calibri"/>
                <w:noProof/>
                <w:color w:val="006100"/>
                <w:sz w:val="18"/>
                <w:szCs w:val="18"/>
              </w:rPr>
            </w:pPr>
            <w:r>
              <w:rPr>
                <w:noProof/>
              </w:rPr>
              <w:t xml:space="preserve"> </w:t>
            </w:r>
            <w:r>
              <w:rPr>
                <w:noProof/>
                <w:color w:val="006100"/>
                <w:sz w:val="18"/>
              </w:rPr>
              <w:t xml:space="preserve">Rekultivace půdy (ha) </w:t>
            </w:r>
            <w:r>
              <w:rPr>
                <w:noProof/>
                <w:color w:val="006100"/>
                <w:sz w:val="18"/>
              </w:rPr>
              <w:t>provedená a osvědčená nezávislým ověřovatelem</w:t>
            </w:r>
          </w:p>
        </w:tc>
        <w:tc>
          <w:tcPr>
            <w:tcW w:w="1338" w:type="dxa"/>
            <w:shd w:val="clear" w:color="auto" w:fill="C6EFCE"/>
            <w:noWrap/>
          </w:tcPr>
          <w:p w14:paraId="5CF9654E"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66B04417"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13310FA2"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5C317532" w14:textId="77777777" w:rsidR="00515398" w:rsidRDefault="006711E6">
            <w:pPr>
              <w:pStyle w:val="P68B1DB1-Normal9"/>
              <w:spacing w:after="0" w:line="240" w:lineRule="auto"/>
              <w:rPr>
                <w:rFonts w:eastAsia="Times New Roman" w:cs="Calibri"/>
                <w:noProof/>
                <w:szCs w:val="18"/>
              </w:rPr>
            </w:pPr>
            <w:r>
              <w:rPr>
                <w:noProof/>
              </w:rPr>
              <w:t>ČTVRTLETÍ 1</w:t>
            </w:r>
          </w:p>
        </w:tc>
        <w:tc>
          <w:tcPr>
            <w:tcW w:w="720" w:type="dxa"/>
            <w:shd w:val="clear" w:color="auto" w:fill="C6EFCE"/>
            <w:noWrap/>
          </w:tcPr>
          <w:p w14:paraId="7069D39B" w14:textId="77777777" w:rsidR="00515398" w:rsidRDefault="006711E6">
            <w:pPr>
              <w:pStyle w:val="P68B1DB1-Normal9"/>
              <w:spacing w:after="0" w:line="240" w:lineRule="auto"/>
              <w:rPr>
                <w:rFonts w:eastAsia="Times New Roman" w:cs="Calibri"/>
                <w:noProof/>
                <w:szCs w:val="18"/>
              </w:rPr>
            </w:pPr>
            <w:r>
              <w:rPr>
                <w:noProof/>
              </w:rPr>
              <w:t>2024</w:t>
            </w:r>
          </w:p>
        </w:tc>
        <w:tc>
          <w:tcPr>
            <w:tcW w:w="3331" w:type="dxa"/>
            <w:shd w:val="clear" w:color="auto" w:fill="C6EFCE"/>
            <w:noWrap/>
          </w:tcPr>
          <w:p w14:paraId="26E7D659" w14:textId="31DDE7F7" w:rsidR="00515398" w:rsidRDefault="006711E6">
            <w:pPr>
              <w:pStyle w:val="P68B1DB1-Normal10"/>
              <w:spacing w:after="0" w:line="240" w:lineRule="auto"/>
              <w:rPr>
                <w:rFonts w:eastAsia="Times New Roman" w:cs="Calibri"/>
                <w:noProof/>
              </w:rPr>
            </w:pPr>
            <w:r>
              <w:rPr>
                <w:noProof/>
              </w:rPr>
              <w:t xml:space="preserve">1) Schválení zvláštních plánů měst Ústřední radou pro otázky územního plánování a spory. Zvláštní městské plány definují povolené způsoby využití půdy, obecné stavební podmínky a omezení a </w:t>
            </w:r>
            <w:r>
              <w:rPr>
                <w:noProof/>
              </w:rPr>
              <w:t>veškerá další požadovaná opatření, termíny nebo omezení.</w:t>
            </w:r>
          </w:p>
          <w:p w14:paraId="2716E3AF" w14:textId="38B9C839" w:rsidR="00515398" w:rsidRDefault="006711E6">
            <w:pPr>
              <w:pStyle w:val="P68B1DB1-Normal10"/>
              <w:spacing w:after="0" w:line="240" w:lineRule="auto"/>
              <w:rPr>
                <w:rFonts w:eastAsia="Times New Roman" w:cs="Calibri"/>
                <w:noProof/>
              </w:rPr>
            </w:pPr>
            <w:r>
              <w:rPr>
                <w:noProof/>
              </w:rPr>
              <w:t>2) Výzva společnosti PPC SA (podle bodu 6.5.3 rámcové dohody – ratifikované zákonem č. 4956/2022) určená smluvním stranám, aby přijaly 5 438 ha obnovených nebo nenarušených pozemků, po nichž následuj</w:t>
            </w:r>
            <w:r>
              <w:rPr>
                <w:noProof/>
              </w:rPr>
              <w:t xml:space="preserve">e certifikace nezávislého ověřovatele. </w:t>
            </w:r>
          </w:p>
        </w:tc>
      </w:tr>
      <w:tr w:rsidR="00515398" w14:paraId="7FF4CDD4" w14:textId="77777777">
        <w:trPr>
          <w:jc w:val="center"/>
        </w:trPr>
        <w:tc>
          <w:tcPr>
            <w:tcW w:w="1120" w:type="dxa"/>
            <w:shd w:val="clear" w:color="auto" w:fill="C6EFCE"/>
            <w:noWrap/>
          </w:tcPr>
          <w:p w14:paraId="34FE20BB" w14:textId="77777777" w:rsidR="00515398" w:rsidRDefault="006711E6">
            <w:pPr>
              <w:pStyle w:val="P68B1DB1-Normal9"/>
              <w:spacing w:after="0" w:line="240" w:lineRule="auto"/>
              <w:rPr>
                <w:rFonts w:eastAsia="Times New Roman" w:cs="Calibri"/>
                <w:noProof/>
                <w:szCs w:val="18"/>
              </w:rPr>
            </w:pPr>
            <w:r>
              <w:rPr>
                <w:noProof/>
              </w:rPr>
              <w:t>11</w:t>
            </w:r>
          </w:p>
        </w:tc>
        <w:tc>
          <w:tcPr>
            <w:tcW w:w="1750" w:type="dxa"/>
            <w:shd w:val="clear" w:color="auto" w:fill="C6EFCE"/>
            <w:noWrap/>
          </w:tcPr>
          <w:p w14:paraId="143A6613" w14:textId="77777777" w:rsidR="00515398" w:rsidRDefault="006711E6">
            <w:pPr>
              <w:pStyle w:val="P68B1DB1-Normal9"/>
              <w:spacing w:after="0" w:line="240" w:lineRule="auto"/>
              <w:rPr>
                <w:rFonts w:eastAsia="Times New Roman" w:cs="Calibri"/>
                <w:noProof/>
                <w:szCs w:val="18"/>
              </w:rPr>
            </w:pPr>
            <w:r>
              <w:rPr>
                <w:noProof/>
              </w:rPr>
              <w:t>1–1.1 Zvýšení výkonu – 16926_Podpora instalace akumulačních systémů za účelem zlepšení pronikání energie z obnovitelných zdrojů</w:t>
            </w:r>
          </w:p>
        </w:tc>
        <w:tc>
          <w:tcPr>
            <w:tcW w:w="1094" w:type="dxa"/>
            <w:shd w:val="clear" w:color="auto" w:fill="C6EFCE"/>
            <w:noWrap/>
          </w:tcPr>
          <w:p w14:paraId="1F6AACF6"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5A7A2CD6" w14:textId="77777777" w:rsidR="00515398" w:rsidRDefault="006711E6">
            <w:pPr>
              <w:pStyle w:val="P68B1DB1-Normal9"/>
              <w:spacing w:after="0" w:line="240" w:lineRule="auto"/>
              <w:rPr>
                <w:rFonts w:eastAsia="Times New Roman" w:cs="Calibri"/>
                <w:noProof/>
                <w:szCs w:val="18"/>
              </w:rPr>
            </w:pPr>
            <w:r>
              <w:rPr>
                <w:noProof/>
              </w:rPr>
              <w:t>Skladování – smlouvy</w:t>
            </w:r>
          </w:p>
        </w:tc>
        <w:tc>
          <w:tcPr>
            <w:tcW w:w="1553" w:type="dxa"/>
            <w:shd w:val="clear" w:color="auto" w:fill="C6EFCE"/>
            <w:noWrap/>
          </w:tcPr>
          <w:p w14:paraId="1C16F4EC" w14:textId="77777777" w:rsidR="00515398" w:rsidRDefault="006711E6">
            <w:pPr>
              <w:pStyle w:val="P68B1DB1-Normal9"/>
              <w:spacing w:after="0" w:line="240" w:lineRule="auto"/>
              <w:rPr>
                <w:rFonts w:eastAsia="Times New Roman" w:cs="Calibri"/>
                <w:noProof/>
                <w:szCs w:val="18"/>
              </w:rPr>
            </w:pPr>
            <w:r>
              <w:rPr>
                <w:noProof/>
              </w:rPr>
              <w:t>Oznámení o zadání všech zakázek</w:t>
            </w:r>
          </w:p>
        </w:tc>
        <w:tc>
          <w:tcPr>
            <w:tcW w:w="1338" w:type="dxa"/>
            <w:shd w:val="clear" w:color="auto" w:fill="C6EFCE"/>
            <w:noWrap/>
          </w:tcPr>
          <w:p w14:paraId="37BEB9C8"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2AEA0267"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6E6AED9A"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172A1207" w14:textId="77777777" w:rsidR="00515398" w:rsidRDefault="006711E6">
            <w:pPr>
              <w:pStyle w:val="P68B1DB1-Normal9"/>
              <w:spacing w:after="0" w:line="240" w:lineRule="auto"/>
              <w:rPr>
                <w:rFonts w:eastAsia="Times New Roman" w:cs="Calibri"/>
                <w:noProof/>
                <w:szCs w:val="18"/>
              </w:rPr>
            </w:pPr>
            <w:r>
              <w:rPr>
                <w:noProof/>
              </w:rPr>
              <w:t>ČTVRTLETÍ</w:t>
            </w:r>
          </w:p>
        </w:tc>
        <w:tc>
          <w:tcPr>
            <w:tcW w:w="720" w:type="dxa"/>
            <w:shd w:val="clear" w:color="auto" w:fill="C6EFCE"/>
            <w:noWrap/>
          </w:tcPr>
          <w:p w14:paraId="44024B5E" w14:textId="77777777" w:rsidR="00515398" w:rsidRDefault="006711E6">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2712312A" w14:textId="77777777" w:rsidR="00515398" w:rsidRDefault="006711E6">
            <w:pPr>
              <w:pStyle w:val="P68B1DB1-Normal9"/>
              <w:spacing w:after="0" w:line="240" w:lineRule="auto"/>
              <w:rPr>
                <w:rFonts w:eastAsia="Times New Roman" w:cs="Calibri"/>
                <w:noProof/>
                <w:szCs w:val="18"/>
                <w:highlight w:val="yellow"/>
              </w:rPr>
            </w:pPr>
            <w:r>
              <w:rPr>
                <w:noProof/>
              </w:rPr>
              <w:t>Oznámení o zadání všech zakázek na vybrané projekty (tj. kromě dlouhé doby trvání amfilochia Pumped Hydro Storage, které je vybráno individuálním procesem) na celkovou kapacitu až 700 MW (a minimální kapacitu 500 MW).</w:t>
            </w:r>
          </w:p>
        </w:tc>
      </w:tr>
      <w:tr w:rsidR="00515398" w14:paraId="4F427C33" w14:textId="77777777">
        <w:trPr>
          <w:jc w:val="center"/>
        </w:trPr>
        <w:tc>
          <w:tcPr>
            <w:tcW w:w="1120" w:type="dxa"/>
            <w:shd w:val="clear" w:color="auto" w:fill="C6EFCE"/>
            <w:noWrap/>
          </w:tcPr>
          <w:p w14:paraId="6D893958" w14:textId="77777777" w:rsidR="00515398" w:rsidRDefault="006711E6">
            <w:pPr>
              <w:pStyle w:val="P68B1DB1-Normal10"/>
              <w:spacing w:after="0" w:line="240" w:lineRule="auto"/>
              <w:rPr>
                <w:rFonts w:eastAsia="Times New Roman" w:cs="Calibri"/>
                <w:noProof/>
              </w:rPr>
            </w:pPr>
            <w:r>
              <w:rPr>
                <w:noProof/>
              </w:rPr>
              <w:t>12</w:t>
            </w:r>
          </w:p>
        </w:tc>
        <w:tc>
          <w:tcPr>
            <w:tcW w:w="1750" w:type="dxa"/>
            <w:shd w:val="clear" w:color="auto" w:fill="C6EFCE"/>
            <w:noWrap/>
          </w:tcPr>
          <w:p w14:paraId="4469E492" w14:textId="77777777" w:rsidR="00515398" w:rsidRDefault="006711E6">
            <w:pPr>
              <w:pStyle w:val="P68B1DB1-Normal9"/>
              <w:spacing w:after="0" w:line="240" w:lineRule="auto"/>
              <w:rPr>
                <w:rFonts w:eastAsia="Times New Roman" w:cs="Calibri"/>
                <w:noProof/>
                <w:szCs w:val="18"/>
              </w:rPr>
            </w:pPr>
            <w:r>
              <w:rPr>
                <w:noProof/>
              </w:rPr>
              <w:t xml:space="preserve">1–1.1 Zvýšení výkonu – </w:t>
            </w:r>
            <w:r>
              <w:rPr>
                <w:noProof/>
              </w:rPr>
              <w:t>16901_modernizace sítě HEDNO s cílem zvýšit odolnost a chránit životní prostředí</w:t>
            </w:r>
          </w:p>
        </w:tc>
        <w:tc>
          <w:tcPr>
            <w:tcW w:w="1094" w:type="dxa"/>
            <w:shd w:val="clear" w:color="auto" w:fill="C6EFCE"/>
            <w:noWrap/>
          </w:tcPr>
          <w:p w14:paraId="2D729BC4"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20CE892B" w14:textId="77777777" w:rsidR="00515398" w:rsidRDefault="006711E6">
            <w:pPr>
              <w:pStyle w:val="P68B1DB1-Normal9"/>
              <w:spacing w:after="0" w:line="240" w:lineRule="auto"/>
              <w:rPr>
                <w:rFonts w:eastAsia="Times New Roman" w:cs="Calibri"/>
                <w:noProof/>
                <w:szCs w:val="18"/>
              </w:rPr>
            </w:pPr>
            <w:r>
              <w:rPr>
                <w:noProof/>
              </w:rPr>
              <w:t>HEDNO – smlouvy 1</w:t>
            </w:r>
          </w:p>
        </w:tc>
        <w:tc>
          <w:tcPr>
            <w:tcW w:w="1553" w:type="dxa"/>
            <w:shd w:val="clear" w:color="auto" w:fill="C6EFCE"/>
            <w:noWrap/>
          </w:tcPr>
          <w:p w14:paraId="2E70FDBB" w14:textId="77777777" w:rsidR="00515398" w:rsidRDefault="006711E6">
            <w:pPr>
              <w:pStyle w:val="P68B1DB1-Normal9"/>
              <w:spacing w:after="0" w:line="240" w:lineRule="auto"/>
              <w:rPr>
                <w:rFonts w:eastAsia="Times New Roman" w:cs="Calibri"/>
                <w:noProof/>
                <w:szCs w:val="18"/>
              </w:rPr>
            </w:pPr>
            <w:r>
              <w:rPr>
                <w:noProof/>
              </w:rPr>
              <w:t>Oznámení o zadání všech zakázek</w:t>
            </w:r>
          </w:p>
        </w:tc>
        <w:tc>
          <w:tcPr>
            <w:tcW w:w="1338" w:type="dxa"/>
            <w:shd w:val="clear" w:color="auto" w:fill="C6EFCE"/>
            <w:noWrap/>
          </w:tcPr>
          <w:p w14:paraId="3FC2B0DF"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2B082EDC"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73FA6B36"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68EFE6C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567583B6" w14:textId="77777777" w:rsidR="00515398" w:rsidRDefault="006711E6">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754ABD06" w14:textId="5D1115EA" w:rsidR="00515398" w:rsidRDefault="006711E6">
            <w:pPr>
              <w:pStyle w:val="P68B1DB1-Normal10"/>
              <w:spacing w:after="0" w:line="240" w:lineRule="auto"/>
              <w:rPr>
                <w:rFonts w:eastAsia="Times New Roman" w:cs="Calibri"/>
                <w:noProof/>
              </w:rPr>
            </w:pPr>
            <w:r>
              <w:rPr>
                <w:noProof/>
              </w:rPr>
              <w:t xml:space="preserve">Oznámení o zadání všech zakázek týkajících se projektů Řeckého provozovatele elektrické </w:t>
            </w:r>
            <w:r>
              <w:rPr>
                <w:noProof/>
              </w:rPr>
              <w:t>distribuční sítě (HEDNO) týkajících se modernizace pro odolnost a životní prostředí, jejichž cílem je usnadnit další pronikání energie z obnovitelných zdrojů a zlepšit spolehlivost a odolnost sítě při současné ochraně životního prostředí.</w:t>
            </w:r>
          </w:p>
        </w:tc>
      </w:tr>
      <w:tr w:rsidR="00515398" w14:paraId="2F30EFE5" w14:textId="77777777">
        <w:trPr>
          <w:jc w:val="center"/>
        </w:trPr>
        <w:tc>
          <w:tcPr>
            <w:tcW w:w="1120" w:type="dxa"/>
            <w:shd w:val="clear" w:color="auto" w:fill="C6EFCE"/>
            <w:noWrap/>
          </w:tcPr>
          <w:p w14:paraId="44A39575" w14:textId="77777777" w:rsidR="00515398" w:rsidRDefault="006711E6">
            <w:pPr>
              <w:pStyle w:val="P68B1DB1-Normal10"/>
              <w:spacing w:after="0" w:line="240" w:lineRule="auto"/>
              <w:rPr>
                <w:rFonts w:eastAsia="Times New Roman" w:cs="Calibri"/>
                <w:noProof/>
              </w:rPr>
            </w:pPr>
            <w:r>
              <w:rPr>
                <w:noProof/>
              </w:rPr>
              <w:t>13</w:t>
            </w:r>
          </w:p>
        </w:tc>
        <w:tc>
          <w:tcPr>
            <w:tcW w:w="1750" w:type="dxa"/>
            <w:shd w:val="clear" w:color="auto" w:fill="C6EFCE"/>
            <w:noWrap/>
          </w:tcPr>
          <w:p w14:paraId="52A976AE" w14:textId="77777777" w:rsidR="00515398" w:rsidRDefault="006711E6">
            <w:pPr>
              <w:pStyle w:val="P68B1DB1-Normal9"/>
              <w:spacing w:after="0" w:line="240" w:lineRule="auto"/>
              <w:rPr>
                <w:rFonts w:eastAsia="Times New Roman" w:cs="Calibri"/>
                <w:noProof/>
                <w:szCs w:val="18"/>
              </w:rPr>
            </w:pPr>
            <w:r>
              <w:rPr>
                <w:noProof/>
              </w:rPr>
              <w:t xml:space="preserve">1–1.1 </w:t>
            </w:r>
            <w:r>
              <w:rPr>
                <w:noProof/>
              </w:rPr>
              <w:t>Navýšení elektrické energie – 16900_HEDNO – modernizace nadzemní sítě v lesních oblastech</w:t>
            </w:r>
          </w:p>
        </w:tc>
        <w:tc>
          <w:tcPr>
            <w:tcW w:w="1094" w:type="dxa"/>
            <w:shd w:val="clear" w:color="auto" w:fill="C6EFCE"/>
            <w:noWrap/>
          </w:tcPr>
          <w:p w14:paraId="4A3ACE7F"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4D10BD72" w14:textId="77777777" w:rsidR="00515398" w:rsidRDefault="006711E6">
            <w:pPr>
              <w:pStyle w:val="P68B1DB1-Normal9"/>
              <w:spacing w:after="0" w:line="240" w:lineRule="auto"/>
              <w:rPr>
                <w:rFonts w:eastAsia="Times New Roman" w:cs="Calibri"/>
                <w:noProof/>
                <w:szCs w:val="18"/>
              </w:rPr>
            </w:pPr>
            <w:r>
              <w:rPr>
                <w:noProof/>
              </w:rPr>
              <w:t>HEDNO – smlouvy 2</w:t>
            </w:r>
          </w:p>
        </w:tc>
        <w:tc>
          <w:tcPr>
            <w:tcW w:w="1553" w:type="dxa"/>
            <w:shd w:val="clear" w:color="auto" w:fill="C6EFCE"/>
            <w:noWrap/>
          </w:tcPr>
          <w:p w14:paraId="16409A0E" w14:textId="77777777" w:rsidR="00515398" w:rsidRDefault="006711E6">
            <w:pPr>
              <w:pStyle w:val="P68B1DB1-Normal9"/>
              <w:spacing w:after="0" w:line="240" w:lineRule="auto"/>
              <w:rPr>
                <w:rFonts w:eastAsia="Times New Roman" w:cs="Calibri"/>
                <w:noProof/>
                <w:szCs w:val="18"/>
              </w:rPr>
            </w:pPr>
            <w:r>
              <w:rPr>
                <w:noProof/>
              </w:rPr>
              <w:t>Oznámení o zadání všech zakázek</w:t>
            </w:r>
          </w:p>
        </w:tc>
        <w:tc>
          <w:tcPr>
            <w:tcW w:w="1338" w:type="dxa"/>
            <w:shd w:val="clear" w:color="auto" w:fill="C6EFCE"/>
            <w:noWrap/>
          </w:tcPr>
          <w:p w14:paraId="4762C42E"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330D0249"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151D81BD"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2806F39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2DBCEAF0" w14:textId="77777777" w:rsidR="00515398" w:rsidRDefault="006711E6">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438DBA4D" w14:textId="7382973C" w:rsidR="00515398" w:rsidRDefault="006711E6">
            <w:pPr>
              <w:pStyle w:val="P68B1DB1-Normal10"/>
              <w:spacing w:after="0" w:line="240" w:lineRule="auto"/>
              <w:rPr>
                <w:rFonts w:eastAsia="Times New Roman" w:cs="Calibri"/>
                <w:noProof/>
              </w:rPr>
            </w:pPr>
            <w:r>
              <w:rPr>
                <w:noProof/>
              </w:rPr>
              <w:t>Oznámení o zadání všech zakázek týkajících se projektů HEDNO týkajících se nadzemních</w:t>
            </w:r>
            <w:r>
              <w:rPr>
                <w:noProof/>
              </w:rPr>
              <w:t xml:space="preserve"> sítí v lesních oblastech, jehož cílem je usnadnit další pronikání energie z obnovitelných zdrojů a zlepšit spolehlivost a odolnost sítě při současné ochraně životního prostředí.</w:t>
            </w:r>
          </w:p>
        </w:tc>
      </w:tr>
      <w:tr w:rsidR="00515398" w14:paraId="411F7792" w14:textId="77777777">
        <w:trPr>
          <w:jc w:val="center"/>
        </w:trPr>
        <w:tc>
          <w:tcPr>
            <w:tcW w:w="1120" w:type="dxa"/>
            <w:shd w:val="clear" w:color="auto" w:fill="C6EFCE"/>
            <w:noWrap/>
          </w:tcPr>
          <w:p w14:paraId="036FE875" w14:textId="77777777" w:rsidR="00515398" w:rsidRDefault="006711E6">
            <w:pPr>
              <w:pStyle w:val="P68B1DB1-Normal10"/>
              <w:spacing w:after="0" w:line="240" w:lineRule="auto"/>
              <w:rPr>
                <w:rFonts w:eastAsia="Times New Roman" w:cs="Calibri"/>
                <w:noProof/>
              </w:rPr>
            </w:pPr>
            <w:r>
              <w:rPr>
                <w:noProof/>
              </w:rPr>
              <w:t>14</w:t>
            </w:r>
          </w:p>
        </w:tc>
        <w:tc>
          <w:tcPr>
            <w:tcW w:w="1750" w:type="dxa"/>
            <w:shd w:val="clear" w:color="auto" w:fill="C6EFCE"/>
            <w:noWrap/>
          </w:tcPr>
          <w:p w14:paraId="77356FD2" w14:textId="77777777" w:rsidR="00515398" w:rsidRDefault="006711E6">
            <w:pPr>
              <w:pStyle w:val="P68B1DB1-Normal9"/>
              <w:spacing w:after="0" w:line="240" w:lineRule="auto"/>
              <w:rPr>
                <w:rFonts w:eastAsia="Times New Roman" w:cs="Calibri"/>
                <w:noProof/>
                <w:szCs w:val="18"/>
              </w:rPr>
            </w:pPr>
            <w:r>
              <w:rPr>
                <w:noProof/>
              </w:rPr>
              <w:t>1–1.1 Zvýšení výkonu – 16899_Zvýšení kapacity v rozvodnách HV/MV v Řeckém</w:t>
            </w:r>
            <w:r>
              <w:rPr>
                <w:noProof/>
              </w:rPr>
              <w:t xml:space="preserve"> provozovateli elektrické distribuční sítě (HEDNO) pro nové připojení k obnovitelným zdrojům energie</w:t>
            </w:r>
          </w:p>
        </w:tc>
        <w:tc>
          <w:tcPr>
            <w:tcW w:w="1094" w:type="dxa"/>
            <w:shd w:val="clear" w:color="auto" w:fill="C6EFCE"/>
            <w:noWrap/>
          </w:tcPr>
          <w:p w14:paraId="580FC8A5"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7091376F" w14:textId="77777777" w:rsidR="00515398" w:rsidRDefault="006711E6">
            <w:pPr>
              <w:pStyle w:val="P68B1DB1-Normal9"/>
              <w:spacing w:after="0" w:line="240" w:lineRule="auto"/>
              <w:rPr>
                <w:rFonts w:eastAsia="Times New Roman" w:cs="Calibri"/>
                <w:noProof/>
                <w:szCs w:val="18"/>
              </w:rPr>
            </w:pPr>
            <w:r>
              <w:rPr>
                <w:noProof/>
              </w:rPr>
              <w:t>HEDNO – smlouvy 3</w:t>
            </w:r>
          </w:p>
        </w:tc>
        <w:tc>
          <w:tcPr>
            <w:tcW w:w="1553" w:type="dxa"/>
            <w:shd w:val="clear" w:color="auto" w:fill="C6EFCE"/>
            <w:noWrap/>
          </w:tcPr>
          <w:p w14:paraId="0E0880D5" w14:textId="77777777" w:rsidR="00515398" w:rsidRDefault="006711E6">
            <w:pPr>
              <w:pStyle w:val="P68B1DB1-Normal9"/>
              <w:spacing w:after="0" w:line="240" w:lineRule="auto"/>
              <w:rPr>
                <w:rFonts w:eastAsia="Times New Roman" w:cs="Calibri"/>
                <w:noProof/>
                <w:szCs w:val="18"/>
              </w:rPr>
            </w:pPr>
            <w:r>
              <w:rPr>
                <w:noProof/>
              </w:rPr>
              <w:t>Oznámení o zadání všech zakázek</w:t>
            </w:r>
          </w:p>
        </w:tc>
        <w:tc>
          <w:tcPr>
            <w:tcW w:w="1338" w:type="dxa"/>
            <w:shd w:val="clear" w:color="auto" w:fill="C6EFCE"/>
            <w:noWrap/>
          </w:tcPr>
          <w:p w14:paraId="7743273E"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66457ABE"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1282C9BB"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3E81C454"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1355A99A" w14:textId="77777777" w:rsidR="00515398" w:rsidRDefault="006711E6">
            <w:pPr>
              <w:pStyle w:val="P68B1DB1-Normal9"/>
              <w:spacing w:after="0" w:line="240" w:lineRule="auto"/>
              <w:rPr>
                <w:rFonts w:eastAsia="Times New Roman" w:cs="Calibri"/>
                <w:noProof/>
                <w:szCs w:val="18"/>
              </w:rPr>
            </w:pPr>
            <w:r>
              <w:rPr>
                <w:noProof/>
              </w:rPr>
              <w:t>2023</w:t>
            </w:r>
          </w:p>
        </w:tc>
        <w:tc>
          <w:tcPr>
            <w:tcW w:w="3331" w:type="dxa"/>
            <w:shd w:val="clear" w:color="auto" w:fill="C6EFCE"/>
            <w:noWrap/>
          </w:tcPr>
          <w:p w14:paraId="58583FAD" w14:textId="48DADD86" w:rsidR="00515398" w:rsidRDefault="006711E6">
            <w:pPr>
              <w:pStyle w:val="P68B1DB1-Normal10"/>
              <w:spacing w:after="0" w:line="240" w:lineRule="auto"/>
              <w:rPr>
                <w:rFonts w:eastAsia="Times New Roman" w:cs="Calibri"/>
                <w:noProof/>
              </w:rPr>
            </w:pPr>
            <w:r>
              <w:rPr>
                <w:noProof/>
              </w:rPr>
              <w:t>Oznámení o zadání všech zakázek týkajících se projektů HEDNO týkajících se</w:t>
            </w:r>
            <w:r>
              <w:rPr>
                <w:noProof/>
              </w:rPr>
              <w:t xml:space="preserve"> zvýšení kapacity vysokonapěťových/středních napájecích stanic, jehož cílem je usnadnit další pronikání energie z obnovitelných zdrojů a zlepšit spolehlivost a odolnost sítě při současné ochraně životního prostředí.</w:t>
            </w:r>
          </w:p>
          <w:p w14:paraId="4C8FBBAB" w14:textId="77777777" w:rsidR="00515398" w:rsidRDefault="00515398">
            <w:pPr>
              <w:spacing w:after="0" w:line="240" w:lineRule="auto"/>
              <w:rPr>
                <w:rFonts w:eastAsia="Times New Roman" w:cs="Calibri"/>
                <w:noProof/>
                <w:color w:val="006100"/>
                <w:sz w:val="18"/>
                <w:szCs w:val="18"/>
              </w:rPr>
            </w:pPr>
          </w:p>
        </w:tc>
      </w:tr>
      <w:tr w:rsidR="00515398" w14:paraId="0D5E3D08" w14:textId="77777777">
        <w:trPr>
          <w:jc w:val="center"/>
        </w:trPr>
        <w:tc>
          <w:tcPr>
            <w:tcW w:w="1120" w:type="dxa"/>
            <w:shd w:val="clear" w:color="auto" w:fill="C6EFCE"/>
            <w:noWrap/>
          </w:tcPr>
          <w:p w14:paraId="6F3AFDD1" w14:textId="77777777" w:rsidR="00515398" w:rsidRDefault="006711E6">
            <w:pPr>
              <w:pStyle w:val="P68B1DB1-Normal9"/>
              <w:spacing w:after="0" w:line="240" w:lineRule="auto"/>
              <w:rPr>
                <w:rFonts w:eastAsia="Times New Roman" w:cs="Calibri"/>
                <w:noProof/>
                <w:szCs w:val="18"/>
              </w:rPr>
            </w:pPr>
            <w:r>
              <w:rPr>
                <w:noProof/>
              </w:rPr>
              <w:t>15</w:t>
            </w:r>
          </w:p>
        </w:tc>
        <w:tc>
          <w:tcPr>
            <w:tcW w:w="1750" w:type="dxa"/>
            <w:shd w:val="clear" w:color="auto" w:fill="C6EFCE"/>
            <w:noWrap/>
          </w:tcPr>
          <w:p w14:paraId="45283CB4" w14:textId="77777777" w:rsidR="00515398" w:rsidRDefault="006711E6">
            <w:pPr>
              <w:pStyle w:val="P68B1DB1-Normal9"/>
              <w:spacing w:after="0" w:line="240" w:lineRule="auto"/>
              <w:rPr>
                <w:rFonts w:eastAsia="Times New Roman" w:cs="Calibri"/>
                <w:noProof/>
                <w:szCs w:val="18"/>
              </w:rPr>
            </w:pPr>
            <w:r>
              <w:rPr>
                <w:noProof/>
              </w:rPr>
              <w:t xml:space="preserve">1–1.1 Posílení moci – </w:t>
            </w:r>
            <w:r>
              <w:rPr>
                <w:noProof/>
              </w:rPr>
              <w:t>16871_Opatření v oblasti revitalizace nejvíce postižených území (území pro spravedlivou transformaci)</w:t>
            </w:r>
          </w:p>
        </w:tc>
        <w:tc>
          <w:tcPr>
            <w:tcW w:w="1094" w:type="dxa"/>
            <w:shd w:val="clear" w:color="auto" w:fill="C6EFCE"/>
            <w:noWrap/>
          </w:tcPr>
          <w:p w14:paraId="33AD8FF2" w14:textId="77777777" w:rsidR="00515398" w:rsidRDefault="006711E6">
            <w:pPr>
              <w:pStyle w:val="P68B1DB1-Normal9"/>
              <w:spacing w:after="0" w:line="240" w:lineRule="auto"/>
              <w:rPr>
                <w:rFonts w:eastAsia="Times New Roman" w:cs="Calibri"/>
                <w:noProof/>
                <w:szCs w:val="18"/>
              </w:rPr>
            </w:pPr>
            <w:r>
              <w:rPr>
                <w:noProof/>
              </w:rPr>
              <w:t>Cílová</w:t>
            </w:r>
          </w:p>
          <w:p w14:paraId="2478067D" w14:textId="77777777" w:rsidR="00515398" w:rsidRDefault="00515398">
            <w:pPr>
              <w:spacing w:after="0" w:line="240" w:lineRule="auto"/>
              <w:rPr>
                <w:rFonts w:eastAsia="Times New Roman" w:cs="Calibri"/>
                <w:noProof/>
                <w:color w:val="006100"/>
                <w:sz w:val="18"/>
                <w:szCs w:val="18"/>
              </w:rPr>
            </w:pPr>
          </w:p>
          <w:p w14:paraId="2B9DBF81" w14:textId="77777777" w:rsidR="00515398" w:rsidRDefault="00515398">
            <w:pPr>
              <w:spacing w:after="0" w:line="240" w:lineRule="auto"/>
              <w:rPr>
                <w:rFonts w:eastAsia="Times New Roman" w:cs="Calibri"/>
                <w:noProof/>
                <w:color w:val="006100"/>
                <w:sz w:val="18"/>
                <w:szCs w:val="18"/>
              </w:rPr>
            </w:pPr>
          </w:p>
        </w:tc>
        <w:tc>
          <w:tcPr>
            <w:tcW w:w="1206" w:type="dxa"/>
            <w:shd w:val="clear" w:color="auto" w:fill="C6EFCE"/>
            <w:noWrap/>
          </w:tcPr>
          <w:p w14:paraId="5DC88663" w14:textId="77777777" w:rsidR="00515398" w:rsidRDefault="006711E6">
            <w:pPr>
              <w:pStyle w:val="P68B1DB1-Normal9"/>
              <w:spacing w:after="0" w:line="240" w:lineRule="auto"/>
              <w:rPr>
                <w:rFonts w:eastAsia="Times New Roman" w:cs="Calibri"/>
                <w:noProof/>
                <w:szCs w:val="18"/>
              </w:rPr>
            </w:pPr>
            <w:r>
              <w:rPr>
                <w:noProof/>
              </w:rPr>
              <w:t>Sanace půdy – dokončení</w:t>
            </w:r>
          </w:p>
        </w:tc>
        <w:tc>
          <w:tcPr>
            <w:tcW w:w="1553" w:type="dxa"/>
            <w:shd w:val="clear" w:color="auto" w:fill="C6EFCE"/>
            <w:noWrap/>
          </w:tcPr>
          <w:p w14:paraId="70D86B97" w14:textId="41485F01" w:rsidR="00515398" w:rsidRDefault="00515398">
            <w:pPr>
              <w:spacing w:before="120" w:after="0" w:line="240" w:lineRule="auto"/>
              <w:jc w:val="both"/>
              <w:rPr>
                <w:rFonts w:eastAsia="Times New Roman" w:cs="Calibri"/>
                <w:noProof/>
                <w:color w:val="006100"/>
                <w:sz w:val="18"/>
                <w:szCs w:val="18"/>
              </w:rPr>
            </w:pPr>
          </w:p>
        </w:tc>
        <w:tc>
          <w:tcPr>
            <w:tcW w:w="1338" w:type="dxa"/>
            <w:shd w:val="clear" w:color="auto" w:fill="C6EFCE"/>
            <w:noWrap/>
          </w:tcPr>
          <w:p w14:paraId="39A461B6" w14:textId="4A42FBC3" w:rsidR="00515398" w:rsidRDefault="006711E6">
            <w:pPr>
              <w:pStyle w:val="P68B1DB1-Normal9"/>
              <w:spacing w:after="0" w:line="240" w:lineRule="auto"/>
              <w:rPr>
                <w:rFonts w:eastAsia="Times New Roman" w:cs="Calibri"/>
                <w:noProof/>
                <w:szCs w:val="18"/>
              </w:rPr>
            </w:pPr>
            <w:r>
              <w:rPr>
                <w:noProof/>
              </w:rPr>
              <w:t>Rekultivace půdy (ha) provedená a osvědčená nezávislým ověřovatelem</w:t>
            </w:r>
          </w:p>
        </w:tc>
        <w:tc>
          <w:tcPr>
            <w:tcW w:w="927" w:type="dxa"/>
            <w:shd w:val="clear" w:color="auto" w:fill="C6EFCE"/>
            <w:noWrap/>
          </w:tcPr>
          <w:p w14:paraId="724565A5" w14:textId="06C14581" w:rsidR="00515398" w:rsidRDefault="006711E6">
            <w:pPr>
              <w:pStyle w:val="P68B1DB1-Normal9"/>
              <w:spacing w:after="0" w:line="240" w:lineRule="auto"/>
              <w:rPr>
                <w:rFonts w:eastAsia="Times New Roman" w:cs="Calibri"/>
                <w:noProof/>
                <w:szCs w:val="18"/>
              </w:rPr>
            </w:pPr>
            <w:r>
              <w:rPr>
                <w:noProof/>
              </w:rPr>
              <w:t>5 438</w:t>
            </w:r>
          </w:p>
        </w:tc>
        <w:tc>
          <w:tcPr>
            <w:tcW w:w="805" w:type="dxa"/>
            <w:shd w:val="clear" w:color="auto" w:fill="C6EFCE"/>
            <w:noWrap/>
          </w:tcPr>
          <w:p w14:paraId="265A51B2" w14:textId="3F941B4A" w:rsidR="00515398" w:rsidRDefault="00515398">
            <w:pPr>
              <w:spacing w:after="0" w:line="240" w:lineRule="auto"/>
              <w:rPr>
                <w:noProof/>
                <w:color w:val="006100"/>
                <w:sz w:val="18"/>
              </w:rPr>
            </w:pPr>
          </w:p>
          <w:p w14:paraId="6B5965AC" w14:textId="1608B888" w:rsidR="00515398" w:rsidRDefault="006711E6">
            <w:pPr>
              <w:pStyle w:val="P68B1DB1-Normal9"/>
              <w:spacing w:after="0" w:line="240" w:lineRule="auto"/>
              <w:rPr>
                <w:rFonts w:eastAsia="Times New Roman" w:cs="Calibri"/>
                <w:noProof/>
                <w:szCs w:val="18"/>
              </w:rPr>
            </w:pPr>
            <w:r>
              <w:rPr>
                <w:noProof/>
              </w:rPr>
              <w:t>8 102</w:t>
            </w:r>
          </w:p>
        </w:tc>
        <w:tc>
          <w:tcPr>
            <w:tcW w:w="922" w:type="dxa"/>
            <w:shd w:val="clear" w:color="auto" w:fill="C6EFCE"/>
            <w:noWrap/>
          </w:tcPr>
          <w:p w14:paraId="5F9E65B4"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5AB08BB9" w14:textId="77777777" w:rsidR="00515398" w:rsidRDefault="006711E6">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41ED102C" w14:textId="26981A1E" w:rsidR="00515398" w:rsidRDefault="006711E6">
            <w:pPr>
              <w:pStyle w:val="P68B1DB1-Normal10"/>
              <w:spacing w:after="0" w:line="240" w:lineRule="auto"/>
              <w:rPr>
                <w:rFonts w:eastAsia="Times New Roman" w:cs="Calibri"/>
                <w:noProof/>
              </w:rPr>
            </w:pPr>
            <w:r>
              <w:rPr>
                <w:noProof/>
              </w:rPr>
              <w:t>Výzva PPC SA (podle bodu 6.5.3 rámcové dohody – ratifikované zákonem č. 4956/2022) určená smluvním stranám, aby přijaly obnovovanou nebo nenarušenou půdu o rozloze 2 664 ha, po níž následuje certifikace nezávislého ověřovatele.</w:t>
            </w:r>
          </w:p>
          <w:p w14:paraId="3E924B44" w14:textId="77777777" w:rsidR="00515398" w:rsidRDefault="00515398">
            <w:pPr>
              <w:spacing w:after="0" w:line="240" w:lineRule="auto"/>
              <w:rPr>
                <w:rFonts w:eastAsia="Times New Roman" w:cs="Calibri"/>
                <w:noProof/>
                <w:color w:val="006100"/>
                <w:sz w:val="18"/>
                <w:szCs w:val="18"/>
              </w:rPr>
            </w:pPr>
          </w:p>
        </w:tc>
      </w:tr>
      <w:tr w:rsidR="00515398" w14:paraId="42E859AC" w14:textId="77777777">
        <w:trPr>
          <w:jc w:val="center"/>
        </w:trPr>
        <w:tc>
          <w:tcPr>
            <w:tcW w:w="1120" w:type="dxa"/>
            <w:shd w:val="clear" w:color="auto" w:fill="C6EFCE"/>
            <w:noWrap/>
          </w:tcPr>
          <w:p w14:paraId="735820C3" w14:textId="77777777" w:rsidR="00515398" w:rsidRDefault="006711E6">
            <w:pPr>
              <w:pStyle w:val="P68B1DB1-Normal9"/>
              <w:spacing w:after="0" w:line="240" w:lineRule="auto"/>
              <w:rPr>
                <w:rFonts w:eastAsia="Times New Roman" w:cs="Calibri"/>
                <w:noProof/>
                <w:szCs w:val="18"/>
              </w:rPr>
            </w:pPr>
            <w:r>
              <w:rPr>
                <w:noProof/>
              </w:rPr>
              <w:t>16</w:t>
            </w:r>
          </w:p>
        </w:tc>
        <w:tc>
          <w:tcPr>
            <w:tcW w:w="1750" w:type="dxa"/>
            <w:shd w:val="clear" w:color="auto" w:fill="C6EFCE"/>
            <w:noWrap/>
          </w:tcPr>
          <w:p w14:paraId="16EDD646" w14:textId="77777777" w:rsidR="00515398" w:rsidRDefault="006711E6">
            <w:pPr>
              <w:pStyle w:val="P68B1DB1-Normal9"/>
              <w:spacing w:after="0" w:line="240" w:lineRule="auto"/>
              <w:rPr>
                <w:rFonts w:eastAsia="Times New Roman" w:cs="Calibri"/>
                <w:noProof/>
                <w:szCs w:val="18"/>
              </w:rPr>
            </w:pPr>
            <w:r>
              <w:rPr>
                <w:noProof/>
              </w:rPr>
              <w:t xml:space="preserve">1–1.1 Zvýšení výkonu – </w:t>
            </w:r>
            <w:r>
              <w:rPr>
                <w:noProof/>
              </w:rPr>
              <w:t>16926_Podpora instalace akumulačních systémů za účelem zlepšení pronikání energie z obnovitelných zdrojů</w:t>
            </w:r>
          </w:p>
        </w:tc>
        <w:tc>
          <w:tcPr>
            <w:tcW w:w="1094" w:type="dxa"/>
            <w:shd w:val="clear" w:color="auto" w:fill="C6EFCE"/>
            <w:noWrap/>
          </w:tcPr>
          <w:p w14:paraId="3D41F19A"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25DE874D" w14:textId="77777777" w:rsidR="00515398" w:rsidRDefault="006711E6">
            <w:pPr>
              <w:pStyle w:val="P68B1DB1-Normal9"/>
              <w:spacing w:after="0" w:line="240" w:lineRule="auto"/>
              <w:rPr>
                <w:rFonts w:eastAsia="Times New Roman" w:cs="Calibri"/>
                <w:noProof/>
                <w:szCs w:val="18"/>
              </w:rPr>
            </w:pPr>
            <w:r>
              <w:rPr>
                <w:noProof/>
              </w:rPr>
              <w:t>Skladování energie – dokončení</w:t>
            </w:r>
          </w:p>
        </w:tc>
        <w:tc>
          <w:tcPr>
            <w:tcW w:w="1553" w:type="dxa"/>
            <w:shd w:val="clear" w:color="auto" w:fill="C6EFCE"/>
            <w:noWrap/>
          </w:tcPr>
          <w:p w14:paraId="64F94D18" w14:textId="7EFFAA8A" w:rsidR="00515398" w:rsidRDefault="006711E6">
            <w:pPr>
              <w:pStyle w:val="P68B1DB1-Normal9"/>
              <w:spacing w:after="0" w:line="240" w:lineRule="auto"/>
              <w:rPr>
                <w:rFonts w:eastAsia="Times New Roman" w:cs="Calibri"/>
                <w:noProof/>
                <w:szCs w:val="18"/>
              </w:rPr>
            </w:pPr>
            <w:r>
              <w:rPr>
                <w:noProof/>
              </w:rPr>
              <w:t xml:space="preserve">Dokončení instalací projektů skladování energie o výkonu 700 MW. Dokončení inženýrských prací elektrárny </w:t>
            </w:r>
            <w:r>
              <w:rPr>
                <w:noProof/>
              </w:rPr>
              <w:t>Amfilochia Pumped Hydro Storage Storage Station.</w:t>
            </w:r>
          </w:p>
        </w:tc>
        <w:tc>
          <w:tcPr>
            <w:tcW w:w="1338" w:type="dxa"/>
            <w:shd w:val="clear" w:color="auto" w:fill="C6EFCE"/>
            <w:noWrap/>
          </w:tcPr>
          <w:p w14:paraId="4B0F6D6E"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29E5FB64"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76E9EA6A"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06D2E27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6346AFBE" w14:textId="77777777" w:rsidR="00515398" w:rsidRDefault="006711E6">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29D0F4ED" w14:textId="313E72E2" w:rsidR="00515398" w:rsidRDefault="006711E6">
            <w:pPr>
              <w:spacing w:after="0" w:line="240" w:lineRule="auto"/>
              <w:rPr>
                <w:rFonts w:eastAsia="Times New Roman" w:cs="Calibri"/>
                <w:noProof/>
                <w:color w:val="006100"/>
                <w:sz w:val="18"/>
                <w:szCs w:val="18"/>
              </w:rPr>
            </w:pPr>
            <w:r>
              <w:rPr>
                <w:noProof/>
                <w:color w:val="006100"/>
                <w:sz w:val="18"/>
              </w:rPr>
              <w:t>Instalace „samostatných“ projektů skladování energie o výkonu 700 MW</w:t>
            </w:r>
            <w:r>
              <w:rPr>
                <w:noProof/>
              </w:rPr>
              <w:t xml:space="preserve"> </w:t>
            </w:r>
            <w:r>
              <w:rPr>
                <w:noProof/>
                <w:color w:val="006100"/>
                <w:sz w:val="18"/>
              </w:rPr>
              <w:t xml:space="preserve">a dokončení inženýrských prací elektrárny Amfilochia Pumped Hydro Storage Storage Station. </w:t>
            </w:r>
          </w:p>
          <w:p w14:paraId="5050E6F6" w14:textId="77777777" w:rsidR="00515398" w:rsidRDefault="00515398">
            <w:pPr>
              <w:spacing w:after="0" w:line="240" w:lineRule="auto"/>
              <w:rPr>
                <w:rFonts w:eastAsia="Times New Roman" w:cs="Calibri"/>
                <w:noProof/>
                <w:color w:val="006100"/>
                <w:sz w:val="18"/>
                <w:szCs w:val="18"/>
              </w:rPr>
            </w:pPr>
          </w:p>
          <w:p w14:paraId="4AB9546B" w14:textId="77777777" w:rsidR="00515398" w:rsidRDefault="00515398">
            <w:pPr>
              <w:spacing w:after="0" w:line="240" w:lineRule="auto"/>
              <w:rPr>
                <w:rFonts w:eastAsia="Times New Roman" w:cs="Calibri"/>
                <w:noProof/>
                <w:color w:val="006100"/>
                <w:sz w:val="18"/>
                <w:szCs w:val="18"/>
              </w:rPr>
            </w:pPr>
          </w:p>
        </w:tc>
      </w:tr>
      <w:tr w:rsidR="00515398" w14:paraId="5DA84821" w14:textId="77777777">
        <w:trPr>
          <w:jc w:val="center"/>
        </w:trPr>
        <w:tc>
          <w:tcPr>
            <w:tcW w:w="1120" w:type="dxa"/>
            <w:shd w:val="clear" w:color="auto" w:fill="C6EFCE"/>
            <w:noWrap/>
          </w:tcPr>
          <w:p w14:paraId="66C4FC4A" w14:textId="77777777" w:rsidR="00515398" w:rsidRDefault="006711E6">
            <w:pPr>
              <w:pStyle w:val="P68B1DB1-Normal9"/>
              <w:spacing w:after="0" w:line="240" w:lineRule="auto"/>
              <w:rPr>
                <w:rFonts w:eastAsia="Times New Roman" w:cs="Calibri"/>
                <w:noProof/>
                <w:szCs w:val="18"/>
              </w:rPr>
            </w:pPr>
            <w:r>
              <w:rPr>
                <w:noProof/>
              </w:rPr>
              <w:t>17</w:t>
            </w:r>
          </w:p>
        </w:tc>
        <w:tc>
          <w:tcPr>
            <w:tcW w:w="1750" w:type="dxa"/>
            <w:shd w:val="clear" w:color="auto" w:fill="C6EFCE"/>
            <w:noWrap/>
          </w:tcPr>
          <w:p w14:paraId="2E0F96CC" w14:textId="77777777" w:rsidR="00515398" w:rsidRDefault="006711E6">
            <w:pPr>
              <w:pStyle w:val="P68B1DB1-Normal9"/>
              <w:spacing w:after="0" w:line="240" w:lineRule="auto"/>
              <w:rPr>
                <w:rFonts w:eastAsia="Times New Roman" w:cs="Calibri"/>
                <w:noProof/>
                <w:szCs w:val="18"/>
              </w:rPr>
            </w:pPr>
            <w:r>
              <w:rPr>
                <w:noProof/>
              </w:rPr>
              <w:t xml:space="preserve">1–1.1 Zvýšení </w:t>
            </w:r>
            <w:r>
              <w:rPr>
                <w:noProof/>
              </w:rPr>
              <w:t>výkonu – 16901_modernizace sítě HEDNO s cílem zvýšit odolnost a chránit životní prostředí</w:t>
            </w:r>
          </w:p>
        </w:tc>
        <w:tc>
          <w:tcPr>
            <w:tcW w:w="1094" w:type="dxa"/>
            <w:shd w:val="clear" w:color="auto" w:fill="C6EFCE"/>
            <w:noWrap/>
          </w:tcPr>
          <w:p w14:paraId="2718E9E0"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01D10115" w14:textId="77777777" w:rsidR="00515398" w:rsidRDefault="006711E6">
            <w:pPr>
              <w:pStyle w:val="P68B1DB1-Normal9"/>
              <w:spacing w:after="0" w:line="240" w:lineRule="auto"/>
              <w:rPr>
                <w:rFonts w:eastAsia="Times New Roman" w:cs="Calibri"/>
                <w:noProof/>
                <w:szCs w:val="18"/>
              </w:rPr>
            </w:pPr>
            <w:r>
              <w:rPr>
                <w:noProof/>
              </w:rPr>
              <w:t>HEDNO – dokončení 1</w:t>
            </w:r>
          </w:p>
        </w:tc>
        <w:tc>
          <w:tcPr>
            <w:tcW w:w="1553" w:type="dxa"/>
            <w:shd w:val="clear" w:color="auto" w:fill="C6EFCE"/>
            <w:noWrap/>
          </w:tcPr>
          <w:p w14:paraId="4A2339C7" w14:textId="77777777" w:rsidR="00515398" w:rsidRDefault="006711E6">
            <w:pPr>
              <w:pStyle w:val="P68B1DB1-Normal9"/>
              <w:spacing w:after="0" w:line="240" w:lineRule="auto"/>
              <w:rPr>
                <w:rFonts w:eastAsia="Times New Roman" w:cs="Calibri"/>
                <w:noProof/>
                <w:szCs w:val="18"/>
              </w:rPr>
            </w:pPr>
            <w:r>
              <w:rPr>
                <w:noProof/>
              </w:rPr>
              <w:t xml:space="preserve">HEDNO poskytne důkazy o dokončení projektu u všech intervencí souvisejících s modernizací pro odolnost a životní prostředí a osvědčení o </w:t>
            </w:r>
            <w:r>
              <w:rPr>
                <w:noProof/>
              </w:rPr>
              <w:t>uvedení do provozu</w:t>
            </w:r>
          </w:p>
        </w:tc>
        <w:tc>
          <w:tcPr>
            <w:tcW w:w="1338" w:type="dxa"/>
            <w:shd w:val="clear" w:color="auto" w:fill="C6EFCE"/>
            <w:noWrap/>
          </w:tcPr>
          <w:p w14:paraId="446C5525"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0B0B52B9"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4C71345C"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2DF28D4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4D21DCAA" w14:textId="77777777" w:rsidR="00515398" w:rsidRDefault="006711E6">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271B4EBC" w14:textId="77777777" w:rsidR="00515398" w:rsidRDefault="006711E6">
            <w:pPr>
              <w:pStyle w:val="P68B1DB1-Normal9"/>
              <w:spacing w:after="0" w:line="240" w:lineRule="auto"/>
              <w:rPr>
                <w:rFonts w:eastAsia="Times New Roman" w:cs="Calibri"/>
                <w:noProof/>
                <w:szCs w:val="18"/>
              </w:rPr>
            </w:pPr>
            <w:r>
              <w:rPr>
                <w:noProof/>
              </w:rPr>
              <w:t xml:space="preserve">Intervence související s modernizací sítě pro odolnost a životní prostředí dokončeny a v provozu. </w:t>
            </w:r>
          </w:p>
        </w:tc>
      </w:tr>
      <w:tr w:rsidR="00515398" w14:paraId="6B696750" w14:textId="77777777">
        <w:trPr>
          <w:jc w:val="center"/>
        </w:trPr>
        <w:tc>
          <w:tcPr>
            <w:tcW w:w="1120" w:type="dxa"/>
            <w:shd w:val="clear" w:color="auto" w:fill="C6EFCE"/>
            <w:noWrap/>
          </w:tcPr>
          <w:p w14:paraId="1BE3FEEB" w14:textId="77777777" w:rsidR="00515398" w:rsidRDefault="006711E6">
            <w:pPr>
              <w:pStyle w:val="P68B1DB1-Normal9"/>
              <w:spacing w:after="0" w:line="240" w:lineRule="auto"/>
              <w:rPr>
                <w:rFonts w:eastAsia="Times New Roman" w:cs="Calibri"/>
                <w:noProof/>
                <w:szCs w:val="18"/>
              </w:rPr>
            </w:pPr>
            <w:r>
              <w:rPr>
                <w:noProof/>
              </w:rPr>
              <w:t>18</w:t>
            </w:r>
          </w:p>
        </w:tc>
        <w:tc>
          <w:tcPr>
            <w:tcW w:w="1750" w:type="dxa"/>
            <w:shd w:val="clear" w:color="auto" w:fill="C6EFCE"/>
            <w:noWrap/>
          </w:tcPr>
          <w:p w14:paraId="14B74A8D" w14:textId="77777777" w:rsidR="00515398" w:rsidRDefault="006711E6">
            <w:pPr>
              <w:pStyle w:val="P68B1DB1-Normal9"/>
              <w:spacing w:after="0" w:line="240" w:lineRule="auto"/>
              <w:rPr>
                <w:rFonts w:eastAsia="Times New Roman" w:cs="Calibri"/>
                <w:noProof/>
                <w:szCs w:val="18"/>
              </w:rPr>
            </w:pPr>
            <w:r>
              <w:rPr>
                <w:noProof/>
              </w:rPr>
              <w:t>1–1.1 Navýšení elektrické energie – 16900_HEDNO – modernizace nadzemní sítě v lesních oblastech</w:t>
            </w:r>
          </w:p>
        </w:tc>
        <w:tc>
          <w:tcPr>
            <w:tcW w:w="1094" w:type="dxa"/>
            <w:shd w:val="clear" w:color="auto" w:fill="C6EFCE"/>
            <w:noWrap/>
          </w:tcPr>
          <w:p w14:paraId="56B3BA25"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47F8FCC0" w14:textId="77777777" w:rsidR="00515398" w:rsidRDefault="006711E6">
            <w:pPr>
              <w:pStyle w:val="P68B1DB1-Normal9"/>
              <w:spacing w:after="0" w:line="240" w:lineRule="auto"/>
              <w:rPr>
                <w:rFonts w:eastAsia="Times New Roman" w:cs="Calibri"/>
                <w:noProof/>
                <w:szCs w:val="18"/>
              </w:rPr>
            </w:pPr>
            <w:r>
              <w:rPr>
                <w:noProof/>
              </w:rPr>
              <w:t>HEDNO –</w:t>
            </w:r>
            <w:r>
              <w:rPr>
                <w:noProof/>
              </w:rPr>
              <w:t xml:space="preserve"> dokončení 2</w:t>
            </w:r>
          </w:p>
        </w:tc>
        <w:tc>
          <w:tcPr>
            <w:tcW w:w="1553" w:type="dxa"/>
            <w:shd w:val="clear" w:color="auto" w:fill="C6EFCE"/>
            <w:noWrap/>
          </w:tcPr>
          <w:p w14:paraId="36052D63" w14:textId="77777777" w:rsidR="00515398" w:rsidRDefault="006711E6">
            <w:pPr>
              <w:pStyle w:val="P68B1DB1-Normal9"/>
              <w:spacing w:after="0" w:line="240" w:lineRule="auto"/>
              <w:rPr>
                <w:rFonts w:eastAsia="Times New Roman" w:cs="Calibri"/>
                <w:noProof/>
                <w:szCs w:val="18"/>
              </w:rPr>
            </w:pPr>
            <w:r>
              <w:rPr>
                <w:noProof/>
              </w:rPr>
              <w:t>HEDNO poskytne důkazy o dokončení projektu pro všechny zásahy související s modernizací nadzemní sítě v lesních oblastech a osvědčení o uvedení do provozu</w:t>
            </w:r>
          </w:p>
        </w:tc>
        <w:tc>
          <w:tcPr>
            <w:tcW w:w="1338" w:type="dxa"/>
            <w:shd w:val="clear" w:color="auto" w:fill="C6EFCE"/>
            <w:noWrap/>
          </w:tcPr>
          <w:p w14:paraId="7FAB0E6C"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60552ECF"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3EF1927E"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548DB6B3"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5BA6E371" w14:textId="77777777" w:rsidR="00515398" w:rsidRDefault="006711E6">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2C704DE7" w14:textId="77777777" w:rsidR="00515398" w:rsidRDefault="006711E6">
            <w:pPr>
              <w:pStyle w:val="P68B1DB1-Normal9"/>
              <w:spacing w:after="0" w:line="240" w:lineRule="auto"/>
              <w:rPr>
                <w:rFonts w:eastAsia="Times New Roman" w:cs="Calibri"/>
                <w:noProof/>
                <w:szCs w:val="18"/>
              </w:rPr>
            </w:pPr>
            <w:r>
              <w:rPr>
                <w:noProof/>
              </w:rPr>
              <w:t xml:space="preserve">Intervence související s modernizací nadzemní sítě v lesních </w:t>
            </w:r>
            <w:r>
              <w:rPr>
                <w:noProof/>
              </w:rPr>
              <w:t>oblastech, které byly dokončeny a jsou v provozu.</w:t>
            </w:r>
          </w:p>
        </w:tc>
      </w:tr>
      <w:tr w:rsidR="00515398" w14:paraId="298944D9" w14:textId="77777777">
        <w:trPr>
          <w:jc w:val="center"/>
        </w:trPr>
        <w:tc>
          <w:tcPr>
            <w:tcW w:w="1120" w:type="dxa"/>
            <w:shd w:val="clear" w:color="auto" w:fill="C6EFCE"/>
            <w:noWrap/>
          </w:tcPr>
          <w:p w14:paraId="45AD6472" w14:textId="77777777" w:rsidR="00515398" w:rsidRDefault="006711E6">
            <w:pPr>
              <w:pStyle w:val="P68B1DB1-Normal9"/>
              <w:spacing w:after="0" w:line="240" w:lineRule="auto"/>
              <w:rPr>
                <w:rFonts w:eastAsia="Times New Roman" w:cs="Calibri"/>
                <w:noProof/>
                <w:szCs w:val="18"/>
              </w:rPr>
            </w:pPr>
            <w:r>
              <w:rPr>
                <w:noProof/>
              </w:rPr>
              <w:t>19</w:t>
            </w:r>
          </w:p>
        </w:tc>
        <w:tc>
          <w:tcPr>
            <w:tcW w:w="1750" w:type="dxa"/>
            <w:shd w:val="clear" w:color="auto" w:fill="C6EFCE"/>
            <w:noWrap/>
          </w:tcPr>
          <w:p w14:paraId="27F330F9" w14:textId="77777777" w:rsidR="00515398" w:rsidRDefault="006711E6">
            <w:pPr>
              <w:pStyle w:val="P68B1DB1-Normal9"/>
              <w:spacing w:after="0" w:line="240" w:lineRule="auto"/>
              <w:rPr>
                <w:rFonts w:eastAsia="Times New Roman" w:cs="Calibri"/>
                <w:noProof/>
                <w:szCs w:val="18"/>
              </w:rPr>
            </w:pPr>
            <w:r>
              <w:rPr>
                <w:noProof/>
              </w:rPr>
              <w:t>1–1.1 Zvýšení výkonu – 16899_Zvýšení kapacity v rozvodnách HV/MV v Řeckém provozovateli elektrické distribuční sítě (HEDNO) pro nové připojení k obnovitelným zdrojům energie</w:t>
            </w:r>
          </w:p>
        </w:tc>
        <w:tc>
          <w:tcPr>
            <w:tcW w:w="1094" w:type="dxa"/>
            <w:shd w:val="clear" w:color="auto" w:fill="C6EFCE"/>
            <w:noWrap/>
          </w:tcPr>
          <w:p w14:paraId="37AA85D7" w14:textId="77777777" w:rsidR="00515398" w:rsidRDefault="006711E6">
            <w:pPr>
              <w:pStyle w:val="P68B1DB1-Normal9"/>
              <w:spacing w:after="0" w:line="240" w:lineRule="auto"/>
              <w:rPr>
                <w:rFonts w:eastAsia="Times New Roman" w:cs="Calibri"/>
                <w:noProof/>
                <w:szCs w:val="18"/>
              </w:rPr>
            </w:pPr>
            <w:r>
              <w:rPr>
                <w:noProof/>
              </w:rPr>
              <w:t>Milník</w:t>
            </w:r>
          </w:p>
        </w:tc>
        <w:tc>
          <w:tcPr>
            <w:tcW w:w="1206" w:type="dxa"/>
            <w:shd w:val="clear" w:color="auto" w:fill="C6EFCE"/>
            <w:noWrap/>
          </w:tcPr>
          <w:p w14:paraId="23DD6A97" w14:textId="77777777" w:rsidR="00515398" w:rsidRDefault="006711E6">
            <w:pPr>
              <w:pStyle w:val="P68B1DB1-Normal9"/>
              <w:spacing w:after="0" w:line="240" w:lineRule="auto"/>
              <w:rPr>
                <w:rFonts w:eastAsia="Times New Roman" w:cs="Calibri"/>
                <w:noProof/>
                <w:szCs w:val="18"/>
              </w:rPr>
            </w:pPr>
            <w:r>
              <w:rPr>
                <w:noProof/>
              </w:rPr>
              <w:t>HEDNO – dokončení 3</w:t>
            </w:r>
          </w:p>
        </w:tc>
        <w:tc>
          <w:tcPr>
            <w:tcW w:w="1553" w:type="dxa"/>
            <w:shd w:val="clear" w:color="auto" w:fill="C6EFCE"/>
            <w:noWrap/>
          </w:tcPr>
          <w:p w14:paraId="004EE266" w14:textId="77777777" w:rsidR="00515398" w:rsidRDefault="006711E6">
            <w:pPr>
              <w:pStyle w:val="P68B1DB1-Normal9"/>
              <w:spacing w:after="0" w:line="240" w:lineRule="auto"/>
              <w:rPr>
                <w:rFonts w:eastAsia="Times New Roman" w:cs="Calibri"/>
                <w:noProof/>
                <w:szCs w:val="18"/>
              </w:rPr>
            </w:pPr>
            <w:r>
              <w:rPr>
                <w:noProof/>
              </w:rPr>
              <w:t>HEDNO poskytne důkazy o dokončení projektu pro všechny intervence související se zvýšením kapacity rozvoden HV/MV a osvědčení o zahájení provozu</w:t>
            </w:r>
          </w:p>
        </w:tc>
        <w:tc>
          <w:tcPr>
            <w:tcW w:w="1338" w:type="dxa"/>
            <w:shd w:val="clear" w:color="auto" w:fill="C6EFCE"/>
            <w:noWrap/>
          </w:tcPr>
          <w:p w14:paraId="6D5017BA" w14:textId="77777777" w:rsidR="00515398" w:rsidRDefault="00515398">
            <w:pPr>
              <w:spacing w:after="0" w:line="240" w:lineRule="auto"/>
              <w:rPr>
                <w:rFonts w:eastAsia="Times New Roman" w:cs="Calibri"/>
                <w:noProof/>
                <w:color w:val="006100"/>
                <w:sz w:val="18"/>
                <w:szCs w:val="18"/>
              </w:rPr>
            </w:pPr>
          </w:p>
        </w:tc>
        <w:tc>
          <w:tcPr>
            <w:tcW w:w="927" w:type="dxa"/>
            <w:shd w:val="clear" w:color="auto" w:fill="C6EFCE"/>
            <w:noWrap/>
          </w:tcPr>
          <w:p w14:paraId="34AB2F03" w14:textId="77777777" w:rsidR="00515398" w:rsidRDefault="00515398">
            <w:pPr>
              <w:spacing w:after="0" w:line="240" w:lineRule="auto"/>
              <w:rPr>
                <w:rFonts w:eastAsia="Times New Roman" w:cs="Calibri"/>
                <w:noProof/>
                <w:color w:val="006100"/>
                <w:sz w:val="18"/>
                <w:szCs w:val="18"/>
              </w:rPr>
            </w:pPr>
          </w:p>
        </w:tc>
        <w:tc>
          <w:tcPr>
            <w:tcW w:w="805" w:type="dxa"/>
            <w:shd w:val="clear" w:color="auto" w:fill="C6EFCE"/>
            <w:noWrap/>
          </w:tcPr>
          <w:p w14:paraId="2637524B" w14:textId="77777777" w:rsidR="00515398" w:rsidRDefault="00515398">
            <w:pPr>
              <w:spacing w:after="0" w:line="240" w:lineRule="auto"/>
              <w:rPr>
                <w:rFonts w:eastAsia="Times New Roman" w:cs="Calibri"/>
                <w:noProof/>
                <w:color w:val="006100"/>
                <w:sz w:val="18"/>
                <w:szCs w:val="18"/>
              </w:rPr>
            </w:pPr>
          </w:p>
        </w:tc>
        <w:tc>
          <w:tcPr>
            <w:tcW w:w="922" w:type="dxa"/>
            <w:shd w:val="clear" w:color="auto" w:fill="C6EFCE"/>
            <w:noWrap/>
          </w:tcPr>
          <w:p w14:paraId="335CD6A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shd w:val="clear" w:color="auto" w:fill="C6EFCE"/>
            <w:noWrap/>
          </w:tcPr>
          <w:p w14:paraId="0BA44CA5" w14:textId="77777777" w:rsidR="00515398" w:rsidRDefault="006711E6">
            <w:pPr>
              <w:pStyle w:val="P68B1DB1-Normal9"/>
              <w:spacing w:after="0" w:line="240" w:lineRule="auto"/>
              <w:rPr>
                <w:rFonts w:eastAsia="Times New Roman" w:cs="Calibri"/>
                <w:noProof/>
                <w:szCs w:val="18"/>
              </w:rPr>
            </w:pPr>
            <w:r>
              <w:rPr>
                <w:noProof/>
              </w:rPr>
              <w:t>2025</w:t>
            </w:r>
          </w:p>
        </w:tc>
        <w:tc>
          <w:tcPr>
            <w:tcW w:w="3331" w:type="dxa"/>
            <w:shd w:val="clear" w:color="auto" w:fill="C6EFCE"/>
            <w:noWrap/>
          </w:tcPr>
          <w:p w14:paraId="391D0659" w14:textId="77777777" w:rsidR="00515398" w:rsidRDefault="006711E6">
            <w:pPr>
              <w:pStyle w:val="P68B1DB1-Normal9"/>
              <w:spacing w:after="0" w:line="240" w:lineRule="auto"/>
              <w:rPr>
                <w:rFonts w:eastAsia="Times New Roman" w:cs="Calibri"/>
                <w:noProof/>
                <w:szCs w:val="18"/>
              </w:rPr>
            </w:pPr>
            <w:r>
              <w:rPr>
                <w:noProof/>
              </w:rPr>
              <w:t>Intervence související se zvýšením kapacity rozvoden HV/MV dokončených a v provozu.</w:t>
            </w:r>
          </w:p>
        </w:tc>
      </w:tr>
    </w:tbl>
    <w:p w14:paraId="396D45C0" w14:textId="77777777" w:rsidR="00515398" w:rsidRDefault="00515398">
      <w:pPr>
        <w:spacing w:before="120" w:after="120" w:line="240" w:lineRule="auto"/>
        <w:rPr>
          <w:rFonts w:ascii="Times New Roman" w:hAnsi="Times New Roman" w:cs="Times New Roman"/>
          <w:noProof/>
          <w:sz w:val="24"/>
        </w:rPr>
        <w:sectPr w:rsidR="00515398" w:rsidSect="00271D33">
          <w:headerReference w:type="even" r:id="rId25"/>
          <w:headerReference w:type="default" r:id="rId26"/>
          <w:footerReference w:type="even" r:id="rId27"/>
          <w:footerReference w:type="default" r:id="rId28"/>
          <w:headerReference w:type="first" r:id="rId29"/>
          <w:footerReference w:type="first" r:id="rId30"/>
          <w:pgSz w:w="16839" w:h="11907" w:orient="landscape"/>
          <w:pgMar w:top="1134" w:right="1134" w:bottom="1134" w:left="1134" w:header="567" w:footer="567" w:gutter="0"/>
          <w:cols w:space="720"/>
          <w:docGrid w:linePitch="360"/>
        </w:sectPr>
      </w:pPr>
    </w:p>
    <w:p w14:paraId="3019A607" w14:textId="77777777" w:rsidR="00515398" w:rsidRDefault="006711E6">
      <w:pPr>
        <w:pStyle w:val="P68B1DB1-Normal2"/>
        <w:spacing w:before="120" w:after="120" w:line="240" w:lineRule="auto"/>
        <w:ind w:firstLine="6"/>
        <w:jc w:val="both"/>
        <w:outlineLvl w:val="3"/>
        <w:rPr>
          <w:rFonts w:cs="Times New Roman"/>
          <w:bCs/>
          <w:noProof/>
        </w:rPr>
      </w:pPr>
      <w:r>
        <w:rPr>
          <w:noProof/>
        </w:rPr>
        <w:t>B. SLOŽKA 1.2: RENOVOVAT</w:t>
      </w:r>
    </w:p>
    <w:p w14:paraId="630314C3" w14:textId="77777777" w:rsidR="00515398" w:rsidRDefault="006711E6">
      <w:pPr>
        <w:pStyle w:val="P68B1DB1-Normal4"/>
        <w:spacing w:before="120" w:after="120" w:line="240" w:lineRule="auto"/>
        <w:jc w:val="both"/>
        <w:rPr>
          <w:rFonts w:cs="Times New Roman"/>
          <w:noProof/>
        </w:rPr>
      </w:pPr>
      <w:r>
        <w:rPr>
          <w:noProof/>
        </w:rPr>
        <w:t>Renovační složka řeckého plánu pro oživení a odolnost v rámci zeleného pilíře zvýší energetickou účinnost, posílí hospodářský růst, vytvoří pracovní příležitosti a podpoří</w:t>
      </w:r>
      <w:r>
        <w:rPr>
          <w:noProof/>
        </w:rPr>
        <w:t xml:space="preserve"> sociální odolnost. Zahrnuje cílené reformy a investice ke snížení emisí CO</w:t>
      </w:r>
      <w:r>
        <w:rPr>
          <w:noProof/>
          <w:vertAlign w:val="subscript"/>
        </w:rPr>
        <w:t>2</w:t>
      </w:r>
      <w:r>
        <w:rPr>
          <w:noProof/>
        </w:rPr>
        <w:t>, podporu dosažení klimatické neutrality městských oblastí a zvýšení odolnosti měst a jejich budov vůči změně klimatu. Složka poskytuje pobídky pro renovace budov a energetické mod</w:t>
      </w:r>
      <w:r>
        <w:rPr>
          <w:noProof/>
        </w:rPr>
        <w:t>ernizace, které mají zásadní význam pro obnovu městských oblastí a zmírňování energetické chudoby a přispívají k dosažení cílů stanovených ve vnitrostátním plánu Řecka v oblasti energetiky a klimatu. Tato složka podporuje plnění doporučení pro jednotlivé z</w:t>
      </w:r>
      <w:r>
        <w:rPr>
          <w:noProof/>
        </w:rPr>
        <w:t xml:space="preserve">emě č. 3 z roku 2020 a doporučení pro jednotlivé země č. 2 z roku 2019 o veřejných a soukromých investicích. Očekává se, že žádné opatření v této složce významně nepoškozuje environmentální cíle ve smyslu článku 17 nařízení (EU) 2020/852, s přihlédnutím k </w:t>
      </w:r>
      <w:r>
        <w:rPr>
          <w:noProof/>
        </w:rPr>
        <w:t>popisu opatření a zmírňujícím krokům stanoveným v plánu pro oživení a odolnost v souladu s technickými pokyny „významně nepoškozovat“ (2021/C58/01).</w:t>
      </w:r>
    </w:p>
    <w:p w14:paraId="08405BDA"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B.1. </w:t>
      </w:r>
      <w:r>
        <w:rPr>
          <w:noProof/>
        </w:rPr>
        <w:t xml:space="preserve"> </w:t>
      </w:r>
      <w:r>
        <w:rPr>
          <w:rFonts w:ascii="Times New Roman" w:hAnsi="Times New Roman"/>
          <w:b/>
          <w:noProof/>
          <w:sz w:val="24"/>
          <w:u w:val="single"/>
        </w:rPr>
        <w:t>Popis reforem a investic pro nevratnou finanční podporu</w:t>
      </w:r>
    </w:p>
    <w:p w14:paraId="281079F6"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Akční plán pro energetickou chudobu </w:t>
      </w:r>
      <w:r>
        <w:rPr>
          <w:noProof/>
        </w:rPr>
        <w:t>(ID opatření: 16920)</w:t>
      </w:r>
    </w:p>
    <w:p w14:paraId="1B239BF3" w14:textId="77777777" w:rsidR="00515398" w:rsidRDefault="006711E6">
      <w:pPr>
        <w:pStyle w:val="P68B1DB1-Normal4"/>
        <w:spacing w:before="120" w:after="120" w:line="240" w:lineRule="auto"/>
        <w:jc w:val="both"/>
        <w:rPr>
          <w:rFonts w:cs="Times New Roman"/>
          <w:noProof/>
        </w:rPr>
      </w:pPr>
      <w:r>
        <w:rPr>
          <w:noProof/>
        </w:rPr>
        <w:t>Reforma spočívá v přijetí akčního plánu pro řešení problému energetické chudoby. V roce 2019 nebylo přibližně 18 % celkového obyvatelstva schopno vytápět své domovy ve srovnání s přibližně 34 % v podmnožině ekonomicky zranitelného obyv</w:t>
      </w:r>
      <w:r>
        <w:rPr>
          <w:noProof/>
        </w:rPr>
        <w:t>atelstva (Eurostat, šetření EU-SILC). Strategie nastíní cílená politická opatření ke zlepšení energetické účinnosti obytných budov mezi ekonomicky zranitelnými domácnostmi. Provádění reformy se dokončí do 30. září 2021.</w:t>
      </w:r>
    </w:p>
    <w:p w14:paraId="40227AFD"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Energetická renovace obyt</w:t>
      </w:r>
      <w:r>
        <w:rPr>
          <w:noProof/>
        </w:rPr>
        <w:t>ných budov (opatření ID: 16872)</w:t>
      </w:r>
    </w:p>
    <w:p w14:paraId="05D52138" w14:textId="7A2BDD79" w:rsidR="00515398" w:rsidRDefault="006711E6">
      <w:pPr>
        <w:pStyle w:val="P68B1DB1-Normal5"/>
        <w:spacing w:before="120" w:after="120" w:line="240" w:lineRule="auto"/>
        <w:jc w:val="both"/>
        <w:rPr>
          <w:rFonts w:cs="Times New Roman"/>
          <w:noProof/>
        </w:rPr>
      </w:pPr>
      <w:r>
        <w:rPr>
          <w:noProof/>
        </w:rPr>
        <w:t>Investice zlepší energetickou účinnost obytných budov. Zahrnuje renovace, které přinášejí významné úspory primární energie, a přispívají tak k příslušným cílům NKEP. Mezi příklady intervencí patří zlepšení digitalizace koneč</w:t>
      </w:r>
      <w:r>
        <w:rPr>
          <w:noProof/>
        </w:rPr>
        <w:t>né spotřeby energie prostřednictvím systémů hospodaření s energií a podpora zavádění infrastruktury pro elektromobilitu, jako jsou dobíjecí stanice pro elektrická vozidla. Poskytne rovněž vyčleněné finanční prostředky zaměřené na energeticky chudé bydlení,</w:t>
      </w:r>
      <w:r>
        <w:rPr>
          <w:noProof/>
        </w:rPr>
        <w:t xml:space="preserve"> čímž vytvoří vazbu na reformu zaměřenou na přípravu akčního plánu pro energetickou chudobu. Očekává se, že toto opatření významně nepoškodí environmentální cíle ve smyslu článku 17 nařízení (EU) 2020/852, s přihlédnutím k popisu opatření a zmírňujícím kro</w:t>
      </w:r>
      <w:r>
        <w:rPr>
          <w:noProof/>
        </w:rPr>
        <w:t>kům stanoveným v plánu na podporu oživení a odolnosti v souladu s technickými pokyny „nezpůsobit významnou újmu“ (2021/C58/01). Opatření zejména vyžaduje, aby hospodářské subjekty provádějící stavební práce zajistily, že nejméně 70 % (hmotnostních) konstru</w:t>
      </w:r>
      <w:r>
        <w:rPr>
          <w:noProof/>
        </w:rPr>
        <w:t>kčních a demoličních odpadů neklasifikovaných jako nebezpečné (s výjimkou přirozeně se vyskytujících materiálů uvedených v kategorii 17 05 04 na evropském seznamu odpadů stanoveném rozhodnutím 2000/532/ES ze dne 3. května 2000, kterým se nahrazuje rozhodnu</w:t>
      </w:r>
      <w:r>
        <w:rPr>
          <w:noProof/>
        </w:rPr>
        <w:t>tí 94/3/ES, kterým se stanoví seznam odpadů podle čl. 1 písm. a) směrnice Rady 75/442/EHS o odpadech a rozhodnutí Rady 94/904/ES, kterým se stanoví seznam nebezpečných odpadů ve smyslu čl. 1 odst. 4 směrnice Rady 91/689/EHS o nebezpečných odpadech (oznámen</w:t>
      </w:r>
      <w:r>
        <w:rPr>
          <w:noProof/>
        </w:rPr>
        <w:t>o pod číslem K(2000) 1147)) vzniklých na staveništi, bude připraveno k opětovnému použití, recyklace a jiné materiálové využití, včetně zasypávání odpadů za účelem nahrazení jiných materiálů, v souladu s hierarchií způsobů nakládání s odpady a protokolem E</w:t>
      </w:r>
      <w:r>
        <w:rPr>
          <w:noProof/>
        </w:rPr>
        <w:t>U o nakládání se stavebním a demoličním odpadem. Investice musí být provedena do 31. prosince 2025.</w:t>
      </w:r>
    </w:p>
    <w:p w14:paraId="5C6804A2"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Intervence v obytných oblastech a ve fondu budov (opatření ID: 16873)</w:t>
      </w:r>
    </w:p>
    <w:p w14:paraId="029DB7BB" w14:textId="43CA2098" w:rsidR="00515398" w:rsidRDefault="006711E6">
      <w:pPr>
        <w:pStyle w:val="P68B1DB1-Normal4"/>
        <w:spacing w:before="120" w:after="120" w:line="240" w:lineRule="auto"/>
        <w:jc w:val="both"/>
        <w:rPr>
          <w:noProof/>
        </w:rPr>
      </w:pPr>
      <w:r>
        <w:rPr>
          <w:noProof/>
        </w:rPr>
        <w:t>Tato investice zahrnuje: 1) intervence v oblasti přizpůsobování se změně kl</w:t>
      </w:r>
      <w:r>
        <w:rPr>
          <w:noProof/>
        </w:rPr>
        <w:t xml:space="preserve">imatu a jejího zmírňování v 19 městských a pobřežních oblastech, jako je ochrana městských přelomů značného významu a podpora klimatické neutrality měst; </w:t>
      </w:r>
      <w:r>
        <w:rPr>
          <w:noProof/>
        </w:rPr>
        <w:br w:type="page"/>
      </w:r>
    </w:p>
    <w:p w14:paraId="1D86A9E6" w14:textId="7F2B5154" w:rsidR="00515398" w:rsidRDefault="006711E6">
      <w:pPr>
        <w:pStyle w:val="P68B1DB1-Normal4"/>
        <w:spacing w:before="120" w:after="120" w:line="240" w:lineRule="auto"/>
        <w:jc w:val="both"/>
        <w:rPr>
          <w:rFonts w:cs="Times New Roman"/>
          <w:noProof/>
        </w:rPr>
      </w:pPr>
      <w:r>
        <w:rPr>
          <w:noProof/>
        </w:rPr>
        <w:t>2) regenerace bývalé průmyslové oblasti Votanikos/Elaionas v centru Atén; 3) modernizace mořské čáry</w:t>
      </w:r>
      <w:r>
        <w:rPr>
          <w:noProof/>
        </w:rPr>
        <w:t xml:space="preserve"> tak, aby byla přístupná cyklistům a chodcům podél pobřeží Atén (Atény Riviera – z Kallithey do Vari – Voula – Vouliagmeni); a 4) Jiné strategické intervence vybrané prostřednictvím otevřené výzvy obcím, které podporují přizpůsobování se změně klimatu a př</w:t>
      </w:r>
      <w:r>
        <w:rPr>
          <w:noProof/>
        </w:rPr>
        <w:t xml:space="preserve">ispívají k úsporám primární energie a snižování emisí CO2. Očekává se, že toto opatření významně nepoškodí environmentální cíle ve smyslu článku 17 nařízení (EU) 2020/852, s přihlédnutím k popisu opatření a zmírňujícím krokům stanoveným v plánu na podporu </w:t>
      </w:r>
      <w:r>
        <w:rPr>
          <w:noProof/>
        </w:rPr>
        <w:t>oživení a odolnosti v souladu s technickými pokyny „nezpůsobit významnou újmu“ (2021/C58/01). Opatření zejména vyžaduje, aby hospodářské subjekty provádějící stavební práce zajistily, že nejméně 70 % (hmotnostních) konstrukčních a demoličních odpadů neklas</w:t>
      </w:r>
      <w:r>
        <w:rPr>
          <w:noProof/>
        </w:rPr>
        <w:t>ifikovaných jako nebezpečné (s výjimkou přirozeně se vyskytujících materiálů uvedených v kategorii 17 05 04 na evropském seznamu odpadů stanoveném rozhodnutím 2000/532/ES ze dne 3. května 2000, kterým se nahrazuje rozhodnutí 94/3/ES, kterým se stanoví sezn</w:t>
      </w:r>
      <w:r>
        <w:rPr>
          <w:noProof/>
        </w:rPr>
        <w:t>am odpadů podle čl. 1 písm. a) směrnice Rady 75/442/EHS o odpadech a rozhodnutí Rady 94/904/ES, kterým se stanoví seznam nebezpečných odpadů ve smyslu čl. 1 odst. 4 směrnice Rady 91/689/EHS o nebezpečných odpadech (oznámeno pod číslem K(2000) 1147)) vznikl</w:t>
      </w:r>
      <w:r>
        <w:rPr>
          <w:noProof/>
        </w:rPr>
        <w:t>ých na staveništi, bude připraveno k opětovnému použití, recyklace a jiné materiálové využití, včetně zasypávání odpadů za účelem nahrazení jiných materiálů, v souladu s hierarchií způsobů nakládání s odpady a protokolem EU o nakládání se stavebním a demol</w:t>
      </w:r>
      <w:r>
        <w:rPr>
          <w:noProof/>
        </w:rPr>
        <w:t>ičním odpadem. Investice musí být provedena do 31. prosince 2025.</w:t>
      </w:r>
    </w:p>
    <w:p w14:paraId="5230975F" w14:textId="77777777" w:rsidR="00515398" w:rsidRDefault="006711E6">
      <w:pPr>
        <w:pStyle w:val="P68B1DB1-Normal5"/>
        <w:spacing w:before="120" w:after="120" w:line="240" w:lineRule="auto"/>
        <w:jc w:val="both"/>
        <w:rPr>
          <w:rFonts w:cs="Times New Roman"/>
          <w:noProof/>
        </w:rPr>
      </w:pPr>
      <w:r>
        <w:rPr>
          <w:b/>
          <w:noProof/>
        </w:rPr>
        <w:t>Investice</w:t>
      </w:r>
      <w:r>
        <w:rPr>
          <w:noProof/>
        </w:rPr>
        <w:t>: Energetika a podnikání (ID opatření: 16874)</w:t>
      </w:r>
    </w:p>
    <w:p w14:paraId="2D2C07E8" w14:textId="649F40AA" w:rsidR="00515398" w:rsidRDefault="006711E6">
      <w:pPr>
        <w:pStyle w:val="P68B1DB1-Normal4"/>
        <w:spacing w:before="120" w:after="120" w:line="240" w:lineRule="auto"/>
        <w:jc w:val="both"/>
        <w:rPr>
          <w:rFonts w:cs="Times New Roman"/>
          <w:noProof/>
        </w:rPr>
      </w:pPr>
      <w:r>
        <w:rPr>
          <w:noProof/>
        </w:rPr>
        <w:t>Investice poskytuje finanční podporu soukromým společnostem na energeticky účinné renovace jejich budov a procesů. Zahrnuje dva podprog</w:t>
      </w:r>
      <w:r>
        <w:rPr>
          <w:noProof/>
        </w:rPr>
        <w:t>ramy: a) energeticky účinné renovace pro velmi malé, malé, střední a velké podniky a b) instalace energeticky účinných zařízení ve velmi malých, malých, středních a velkých podnicích. Díky instalaci energeticky účinných zařízení a systémů pro úsporu energi</w:t>
      </w:r>
      <w:r>
        <w:rPr>
          <w:noProof/>
        </w:rPr>
        <w:t>e při výrobě, skladování, distribuci výrobků a provozu společností přispívá toto opatření ke zvýšení energetické účinnosti budov, procesů a/nebo jednotlivých zařízení v souladu s cíli stanovenými ve vnitrostátním plánu v oblasti energetiky a klimatu a ke s</w:t>
      </w:r>
      <w:r>
        <w:rPr>
          <w:noProof/>
        </w:rPr>
        <w:t xml:space="preserve">nížení emisí skleníkových plynů. </w:t>
      </w:r>
    </w:p>
    <w:p w14:paraId="1AF694DF" w14:textId="00B9EE1B" w:rsidR="00515398" w:rsidRDefault="006711E6">
      <w:pPr>
        <w:pStyle w:val="P68B1DB1-Normal4"/>
        <w:spacing w:before="120" w:after="120" w:line="240" w:lineRule="auto"/>
        <w:jc w:val="both"/>
        <w:rPr>
          <w:noProof/>
        </w:rPr>
      </w:pPr>
      <w:r>
        <w:rPr>
          <w:noProof/>
        </w:rPr>
        <w:t>Aby se zajistilo, že opatření je v souladu s technickými pokyny „významně nepoškozovat“ (2021/C58/01), kritéria způsobilosti obsažená v mandátu pro výzvy k předkládání projektů vylučují tento seznam činností:</w:t>
      </w:r>
      <w:r>
        <w:rPr>
          <w:noProof/>
          <w:color w:val="FF0000"/>
        </w:rPr>
        <w:t xml:space="preserve"> </w:t>
      </w:r>
      <w:r>
        <w:rPr>
          <w:noProof/>
        </w:rPr>
        <w:t>i) činnosti s</w:t>
      </w:r>
      <w:r>
        <w:rPr>
          <w:noProof/>
        </w:rPr>
        <w:t>ouvisející s fosilními palivy, včetně následného využití</w:t>
      </w:r>
      <w:r>
        <w:rPr>
          <w:noProof/>
        </w:rPr>
        <w:footnoteReference w:id="2"/>
      </w:r>
      <w:r>
        <w:rPr>
          <w:noProof/>
        </w:rPr>
        <w:t>; II) činnosti v rámci systému EU pro obchodování s emisemi (ETS) dosahující předpokládaných emisí skleníkových plynů, které nejsou nižší než příslušné referenční hodnoty</w:t>
      </w:r>
      <w:r>
        <w:rPr>
          <w:noProof/>
        </w:rPr>
        <w:footnoteReference w:id="3"/>
      </w:r>
      <w:r>
        <w:rPr>
          <w:noProof/>
        </w:rPr>
        <w:t xml:space="preserve">; III) činnosti související </w:t>
      </w:r>
      <w:r>
        <w:rPr>
          <w:noProof/>
        </w:rPr>
        <w:t>se skládkami odpadů, spalovnami</w:t>
      </w:r>
      <w:r>
        <w:rPr>
          <w:noProof/>
        </w:rPr>
        <w:footnoteReference w:id="4"/>
      </w:r>
      <w:r>
        <w:rPr>
          <w:noProof/>
        </w:rPr>
        <w:t xml:space="preserve"> a mechanicko-biologickými čistírnami odpadů</w:t>
      </w:r>
      <w:r>
        <w:rPr>
          <w:noProof/>
        </w:rPr>
        <w:footnoteReference w:id="5"/>
      </w:r>
      <w:r>
        <w:rPr>
          <w:noProof/>
        </w:rPr>
        <w:t xml:space="preserve">; a iv) činnosti, při nichž dlouhodobé odstraňování odpadů může poškodit životní prostředí. </w:t>
      </w:r>
      <w:r>
        <w:rPr>
          <w:noProof/>
        </w:rPr>
        <w:br w:type="page"/>
      </w:r>
    </w:p>
    <w:p w14:paraId="0D381472" w14:textId="1ABB3540" w:rsidR="00515398" w:rsidRDefault="006711E6">
      <w:pPr>
        <w:pStyle w:val="P68B1DB1-Normal4"/>
        <w:spacing w:before="120" w:after="120" w:line="240" w:lineRule="auto"/>
        <w:jc w:val="both"/>
        <w:rPr>
          <w:rFonts w:cs="Times New Roman"/>
          <w:noProof/>
        </w:rPr>
      </w:pPr>
      <w:r>
        <w:rPr>
          <w:noProof/>
        </w:rPr>
        <w:t>Mandát navíc vyžaduje, aby mohly být vybrány pouze činnosti, které jsou v souladu s p</w:t>
      </w:r>
      <w:r>
        <w:rPr>
          <w:noProof/>
        </w:rPr>
        <w:t xml:space="preserve">říslušnými právními předpisy EU a vnitrostátními právními předpisy v oblasti životního prostředí. Investice musí být rovněž v souladu s technickými pokyny „významně nepoškozovat“ s odkazem na zásady oběhového hospodářství pro recyklaci stavebního odpadu a </w:t>
      </w:r>
      <w:r>
        <w:rPr>
          <w:noProof/>
        </w:rPr>
        <w:t>v souladu se směrnicí o energetické náročnosti budov (2010/31/EU). Investice musí být provedena do 31. prosince 2025.</w:t>
      </w:r>
    </w:p>
    <w:p w14:paraId="767411CA"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Energetická modernizace budov veřejného sektoru (ID opatření: 16876)</w:t>
      </w:r>
    </w:p>
    <w:p w14:paraId="5DDB6EEA" w14:textId="77777777" w:rsidR="00515398" w:rsidRDefault="006711E6">
      <w:pPr>
        <w:pStyle w:val="P68B1DB1-Normal5"/>
        <w:spacing w:before="120" w:after="120" w:line="240" w:lineRule="auto"/>
        <w:jc w:val="both"/>
        <w:rPr>
          <w:rFonts w:cs="Times New Roman"/>
          <w:noProof/>
        </w:rPr>
      </w:pPr>
      <w:r>
        <w:rPr>
          <w:noProof/>
        </w:rPr>
        <w:t>Tato investice zahrnuje renovaci budov veřejného sektoru s</w:t>
      </w:r>
      <w:r>
        <w:rPr>
          <w:noProof/>
        </w:rPr>
        <w:t xml:space="preserve"> cílem zvýšit jejich energetickou účinnost prostřednictvím zapojení společností zabývajících se úsporami energie. Investice rovněž zahrnuje energetickou modernizaci infrastruktur pro pouliční osvětlení. Cílem této investice je přispět ke splnění cílů v obl</w:t>
      </w:r>
      <w:r>
        <w:rPr>
          <w:noProof/>
        </w:rPr>
        <w:t>asti energetické účinnosti přijatých v rámci vnitrostátního plánu v oblasti energetiky a klimatu a ke snížení emisí CO2. Očekává se, že toto opatření významně nepoškodí environmentální cíle ve smyslu článku 17 nařízení (EU) 2020/852, s přihlédnutím k popis</w:t>
      </w:r>
      <w:r>
        <w:rPr>
          <w:noProof/>
        </w:rPr>
        <w:t>u opatření a zmírňujícím krokům stanoveným v plánu na podporu oživení a odolnosti v souladu s technickými pokyny „nezpůsobit významnou újmu“ (2021/C58/01). Opatření zejména vyžaduje, aby hospodářské subjekty provádějící stavební práce zajistily, že nejméně</w:t>
      </w:r>
      <w:r>
        <w:rPr>
          <w:noProof/>
        </w:rPr>
        <w:t xml:space="preserve"> 70 % (hmotnostních) konstrukčních a demoličních odpadů neklasifikovaných jako nebezpečné (s výjimkou přirozeně se vyskytujících materiálů uvedených v kategorii 17 05 04 na evropském seznamu odpadů stanoveném rozhodnutím 2000/532/ES ze dne 3. května 2000, </w:t>
      </w:r>
      <w:r>
        <w:rPr>
          <w:noProof/>
        </w:rPr>
        <w:t>kterým se nahrazuje rozhodnutí 94/3/ES, kterým se stanoví seznam odpadů podle čl. 1 písm. a) směrnice Rady 75/442/EHS o odpadech a rozhodnutí Rady 94/904/ES, kterým se stanoví seznam nebezpečných odpadů ve smyslu čl. 1 odst. 4 směrnice Rady 91/689/EHS o ne</w:t>
      </w:r>
      <w:r>
        <w:rPr>
          <w:noProof/>
        </w:rPr>
        <w:t>bezpečných odpadech (oznámeno pod číslem K(2000) 1147)) vzniklých na staveništi, bude připraveno k opětovnému použití, recyklace a jiné materiálové využití, včetně zasypávání odpadů za účelem nahrazení jiných materiálů, v souladu s hierarchií způsobů naklá</w:t>
      </w:r>
      <w:r>
        <w:rPr>
          <w:noProof/>
        </w:rPr>
        <w:t>dání s odpady a protokolem EU o nakládání se stavebním a demoličním odpadem. Investice musí být provedena do 31. prosince 2025.</w:t>
      </w:r>
    </w:p>
    <w:p w14:paraId="463ADCA7"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Rozvoj infrastruktury a restaurování budov v bývalé královské pozemcích v Tatoi (Identifikační číslo opatření: 16875)</w:t>
      </w:r>
    </w:p>
    <w:p w14:paraId="5B2FBDBF" w14:textId="4B5EAE58" w:rsidR="00515398" w:rsidRDefault="006711E6">
      <w:pPr>
        <w:pStyle w:val="P68B1DB1-Normal4"/>
        <w:spacing w:before="120" w:after="120" w:line="240" w:lineRule="auto"/>
        <w:jc w:val="both"/>
        <w:rPr>
          <w:rFonts w:cs="Times New Roman"/>
          <w:noProof/>
        </w:rPr>
      </w:pPr>
      <w:r>
        <w:rPr>
          <w:noProof/>
        </w:rPr>
        <w:t>Investice zahrnuje renovaci budov a modernizaci jejich energetické účinnosti a infrastrukturních sítí v budově Tatoi a vytvoření pěších tras v jejich blízkosti. Projekt poskytne obyvatelům regionu Attika zelený, renovovaný a volně přístupný prostor pro re</w:t>
      </w:r>
      <w:r>
        <w:rPr>
          <w:noProof/>
        </w:rPr>
        <w:t>kreaci, jakož i nový mezník pro návštěvníky. Očekává se, že toto opatření významně nepoškodí environmentální cíle ve smyslu článku 17 nařízení (EU) 2020/852, s přihlédnutím k popisu opatření a zmírňujícím krokům stanoveným v plánu na podporu oživení a odol</w:t>
      </w:r>
      <w:r>
        <w:rPr>
          <w:noProof/>
        </w:rPr>
        <w:t xml:space="preserve">nosti v souladu s technickými pokyny „nezpůsobit významnou újmu“ (2021/C58/01). Opatření zejména vyžaduje, aby hospodářské subjekty provádějící stavební práce zajistily, že nejméně 70 % (hmotnostních) stavebního a demoličního odpadu neklasifikovaného jako </w:t>
      </w:r>
      <w:r>
        <w:rPr>
          <w:noProof/>
        </w:rPr>
        <w:t>nebezpečný (s výjimkou přirozeně se vyskytujících materiálů uvedených v kategorii 17 05 04 v Evropském seznamu odpadů stanoveném rozhodnutím 2000/532/ES ze dne 3. května 2000, kterým se nahrazuje rozhodnutí 94/3/ES, kterým se stanoví seznam odpadů podle čl</w:t>
      </w:r>
      <w:r>
        <w:rPr>
          <w:noProof/>
        </w:rPr>
        <w:t>. 1 písm. a) směrnice Rady 75/442/EHS o odpadech a rozhodnutí Rady 94/904/ES, kterým se stanoví seznam nebezpečných odpadů podle čl. 1 odst. 4 směrnice Rady 91/689/EHS o nebezpečných odpadech (oznámeno pod číslem C(2000) 1147) vyprodukovaných na staveništi</w:t>
      </w:r>
      <w:r>
        <w:rPr>
          <w:noProof/>
        </w:rPr>
        <w:t>, musí být připraveno k opětovnému použití, recyklace a jiné materiálové využití, včetně zasypávání, při němž se odpad nahrazuje jinými materiály, v souladu s hierarchií způsobů nakládání s odpady a protokolem EU pro nakládání se stavebním a demoličním odp</w:t>
      </w:r>
      <w:r>
        <w:rPr>
          <w:noProof/>
        </w:rPr>
        <w:t>adem. Investice musí být provedena do 31. prosince 2025.</w:t>
      </w:r>
    </w:p>
    <w:p w14:paraId="54E2C712" w14:textId="77777777" w:rsidR="00515398" w:rsidRDefault="006711E6">
      <w:pPr>
        <w:pStyle w:val="P68B1DB1-Normal4"/>
        <w:rPr>
          <w:b/>
          <w:noProof/>
        </w:rPr>
      </w:pPr>
      <w:r>
        <w:rPr>
          <w:noProof/>
        </w:rPr>
        <w:br w:type="page"/>
      </w:r>
    </w:p>
    <w:p w14:paraId="518F2260" w14:textId="77F03309" w:rsidR="00515398" w:rsidRDefault="006711E6">
      <w:pPr>
        <w:pStyle w:val="P68B1DB1-Normal4"/>
        <w:spacing w:before="120" w:after="120" w:line="240" w:lineRule="auto"/>
        <w:jc w:val="both"/>
        <w:rPr>
          <w:rFonts w:cs="Times New Roman"/>
          <w:noProof/>
        </w:rPr>
      </w:pPr>
      <w:r>
        <w:rPr>
          <w:b/>
          <w:noProof/>
        </w:rPr>
        <w:t>Investice:</w:t>
      </w:r>
      <w:r>
        <w:rPr>
          <w:noProof/>
        </w:rPr>
        <w:t xml:space="preserve"> Olympijské atletické středisko v Aténách (identifikační číslo opatření: 16932)</w:t>
      </w:r>
    </w:p>
    <w:p w14:paraId="7B269C7B" w14:textId="0A5334CC" w:rsidR="00515398" w:rsidRDefault="006711E6">
      <w:pPr>
        <w:pStyle w:val="P68B1DB1-Normal5"/>
        <w:spacing w:before="120" w:after="120" w:line="240" w:lineRule="auto"/>
        <w:jc w:val="both"/>
        <w:rPr>
          <w:rFonts w:cs="Times New Roman"/>
          <w:noProof/>
        </w:rPr>
      </w:pPr>
      <w:r>
        <w:rPr>
          <w:noProof/>
        </w:rPr>
        <w:t xml:space="preserve">Cílem této investice do olympijského atletického centra v Aténách je prodloužit jeho využití, obnovit jeho </w:t>
      </w:r>
      <w:r>
        <w:rPr>
          <w:noProof/>
        </w:rPr>
        <w:t>image, snížit provozní/energetické náklady a zajistit jeho finanční udržitelnost tím, že se z něj stane moderní a živá městská atletika a volnočasová destinace. Očekává se, že toto opatření významně nepoškodí environmentální cíle ve smyslu článku 17 naříze</w:t>
      </w:r>
      <w:r>
        <w:rPr>
          <w:noProof/>
        </w:rPr>
        <w:t>ní (EU) 2020/852, s přihlédnutím k popisu opatření a zmírňujícím krokům stanoveným v plánu na podporu oživení a odolnosti v souladu s technickými pokyny „nezpůsobit významnou újmu“ (2021/C58/01). Opatření zejména vyžaduje, aby hospodářské subjekty prováděj</w:t>
      </w:r>
      <w:r>
        <w:rPr>
          <w:noProof/>
        </w:rPr>
        <w:t>ící stavební práce zajistily, že nejméně 70 % (hmotnostních) konstrukčních a demoličních odpadů neklasifikovaných jako nebezpečné (s výjimkou přirozeně se vyskytujících materiálů uvedených v kategorii 17 05 04 na evropském seznamu odpadů stanoveném rozhodn</w:t>
      </w:r>
      <w:r>
        <w:rPr>
          <w:noProof/>
        </w:rPr>
        <w:t>utím 2000/532/ES ze dne 3. května 2000, kterým se nahrazuje rozhodnutí 94/3/ES, kterým se stanoví seznam odpadů podle čl. 1 písm. a) směrnice Rady 75/442/EHS o odpadech a rozhodnutí Rady 94/904/ES, kterým se stanoví seznam nebezpečných odpadů ve smyslu čl.</w:t>
      </w:r>
      <w:r>
        <w:rPr>
          <w:noProof/>
        </w:rPr>
        <w:t> 1 odst. 4 směrnice Rady 91/689/EHS o nebezpečných odpadech (oznámeno pod číslem K(2000) 1147)) vzniklých na staveništi, bude připraveno k opětovnému použití, recyklace a jiné materiálové využití, včetně zasypávání odpadů za účelem nahrazení jiných materiá</w:t>
      </w:r>
      <w:r>
        <w:rPr>
          <w:noProof/>
        </w:rPr>
        <w:t>lů, v souladu s hierarchií způsobů nakládání s odpady a protokolem EU o nakládání se stavebním a demoličním odpadem. Investice musí být provedena do 31. prosince 2025.</w:t>
      </w:r>
    </w:p>
    <w:p w14:paraId="134E1233"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Příprava městských plánů při provádění reformy městské politiky (opatření ID: 1</w:t>
      </w:r>
      <w:r>
        <w:rPr>
          <w:noProof/>
        </w:rPr>
        <w:t>6879)</w:t>
      </w:r>
    </w:p>
    <w:p w14:paraId="351CD737" w14:textId="3F6D1CC1" w:rsidR="00515398" w:rsidRDefault="006711E6">
      <w:pPr>
        <w:pStyle w:val="P68B1DB1-Normal5"/>
        <w:spacing w:before="120" w:after="120" w:line="240" w:lineRule="auto"/>
        <w:jc w:val="both"/>
        <w:rPr>
          <w:rFonts w:cs="Times New Roman"/>
          <w:noProof/>
        </w:rPr>
      </w:pPr>
      <w:r>
        <w:rPr>
          <w:noProof/>
        </w:rPr>
        <w:t>Tato reforma sestává z pěti opatření: a) příprava místních městských plánů (zahrnujících obce nebo obecní jednotky), b) příprava zvláštních městských plánů (plány, které se mohou týkat oblastí patřících více než jedné obci), c) definice zón pro převo</w:t>
      </w:r>
      <w:r>
        <w:rPr>
          <w:noProof/>
        </w:rPr>
        <w:t>d rozvojových práv, d) dokončení vymezení sídel, e) řešení otázek využívání půdy souvisejících s uznáním (obecního) přístupu k silnici. Cílem reformy je řešit nedostatky a nedostatky v územním plánování a využívání půdy s cílem podpořit udržitelnou hospodá</w:t>
      </w:r>
      <w:r>
        <w:rPr>
          <w:noProof/>
        </w:rPr>
        <w:t>řskou činnost a chránit životní prostředí. Místní městské plány obsahují zvláštní kapitolu o opatřeních v oblasti změny klimatu a prevenci a řízení rizik souvisejících s klimatem. Celkově budou vypracovány místní městské plány pro 405 obcí nebo obecních je</w:t>
      </w:r>
      <w:r>
        <w:rPr>
          <w:noProof/>
        </w:rPr>
        <w:t xml:space="preserve">dnotek; Vyhotovují se zvláštní městské plány, zóny převodu rozvojových práv jsou definovány v 50 obecních jednotkách, vymezení sídel se stanoví v 36 obecních jednotkách a obecní silnice se stanoví ve 149 obecních jednotkách. </w:t>
      </w:r>
    </w:p>
    <w:p w14:paraId="2E7924A9" w14:textId="77777777" w:rsidR="00515398" w:rsidRDefault="006711E6">
      <w:pPr>
        <w:pStyle w:val="P68B1DB1-Normal4"/>
        <w:spacing w:before="120" w:after="120" w:line="240" w:lineRule="auto"/>
        <w:jc w:val="both"/>
        <w:rPr>
          <w:rFonts w:cs="Times New Roman"/>
          <w:noProof/>
        </w:rPr>
      </w:pPr>
      <w:r>
        <w:rPr>
          <w:noProof/>
        </w:rPr>
        <w:t>Provádění reformy se dokončí d</w:t>
      </w:r>
      <w:r>
        <w:rPr>
          <w:noProof/>
        </w:rPr>
        <w:t>o 31. prosince 2025.</w:t>
      </w:r>
    </w:p>
    <w:p w14:paraId="78802C66"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Zavedení nového územního plánování námořních prostor (ID opatření: 16891).</w:t>
      </w:r>
    </w:p>
    <w:p w14:paraId="6834506B" w14:textId="77777777" w:rsidR="00515398" w:rsidRDefault="006711E6">
      <w:pPr>
        <w:pStyle w:val="P68B1DB1-Normal4"/>
        <w:spacing w:before="120" w:after="120" w:line="240" w:lineRule="auto"/>
        <w:jc w:val="both"/>
        <w:rPr>
          <w:rFonts w:cs="Times New Roman"/>
          <w:noProof/>
          <w:szCs w:val="24"/>
        </w:rPr>
      </w:pPr>
      <w:r>
        <w:rPr>
          <w:noProof/>
        </w:rPr>
        <w:t>Reforma se zabývá vytvořením vnitrostátní územní strategie pro mořské prostředí. Reforma se zaměří na udržitelný rozvoj v námořních oblastech a pobřežn</w:t>
      </w:r>
      <w:r>
        <w:rPr>
          <w:noProof/>
        </w:rPr>
        <w:t>ích zónách a zároveň na ochranu mořského prostředí a biologické rozmanitosti. Provádění reformy se dokončí do 31. prosince 2025.</w:t>
      </w:r>
    </w:p>
    <w:p w14:paraId="39FE1361" w14:textId="6CDB9953" w:rsidR="00515398" w:rsidRDefault="006711E6">
      <w:pPr>
        <w:pStyle w:val="P68B1DB1-Normal4"/>
        <w:spacing w:before="120" w:after="120" w:line="240" w:lineRule="auto"/>
        <w:jc w:val="both"/>
        <w:rPr>
          <w:rFonts w:cs="Times New Roman"/>
          <w:noProof/>
        </w:rPr>
      </w:pPr>
      <w:r>
        <w:rPr>
          <w:b/>
          <w:noProof/>
        </w:rPr>
        <w:t>Reforma:</w:t>
      </w:r>
      <w:r>
        <w:rPr>
          <w:noProof/>
        </w:rPr>
        <w:t xml:space="preserve"> Vytvoření nového zvláštního rámce územního plánování pro energii z obnovitelných zdrojů, průmysl a cestovní ruch (ID o</w:t>
      </w:r>
      <w:r>
        <w:rPr>
          <w:noProof/>
        </w:rPr>
        <w:t xml:space="preserve">patření: 16894). </w:t>
      </w:r>
    </w:p>
    <w:p w14:paraId="5E538CC7" w14:textId="3F95FADD" w:rsidR="00515398" w:rsidRDefault="006711E6">
      <w:pPr>
        <w:pStyle w:val="P68B1DB1-Normal5"/>
        <w:spacing w:before="120" w:after="120" w:line="240" w:lineRule="auto"/>
        <w:jc w:val="both"/>
        <w:rPr>
          <w:rFonts w:cs="Times New Roman"/>
          <w:noProof/>
        </w:rPr>
      </w:pPr>
      <w:r>
        <w:rPr>
          <w:noProof/>
        </w:rPr>
        <w:t xml:space="preserve">Reforma zavádí nové zvláštní územní rámce pro energii z obnovitelných zdrojů, průmysl a cestovní ruch s cílem podpořit zmírňování změny klimatu a přizpůsobování se této změně, ochranu biologické rozmanitosti, hospodářský růst a vytváření </w:t>
      </w:r>
      <w:r>
        <w:rPr>
          <w:noProof/>
        </w:rPr>
        <w:t>pracovních míst.</w:t>
      </w:r>
    </w:p>
    <w:p w14:paraId="633A4967" w14:textId="464C95B2" w:rsidR="00515398" w:rsidRDefault="00515398">
      <w:pPr>
        <w:spacing w:before="120" w:after="120" w:line="240" w:lineRule="auto"/>
        <w:jc w:val="both"/>
        <w:rPr>
          <w:rFonts w:ascii="Times New Roman" w:hAnsi="Times New Roman" w:cs="Times New Roman"/>
          <w:noProof/>
          <w:sz w:val="24"/>
        </w:rPr>
      </w:pPr>
    </w:p>
    <w:p w14:paraId="4E1ED41A" w14:textId="77777777" w:rsidR="00515398" w:rsidRDefault="00515398">
      <w:pPr>
        <w:spacing w:before="120" w:after="120" w:line="240" w:lineRule="auto"/>
        <w:ind w:left="709"/>
        <w:jc w:val="both"/>
        <w:rPr>
          <w:rFonts w:ascii="Times New Roman" w:hAnsi="Times New Roman" w:cs="Times New Roman"/>
          <w:b/>
          <w:bCs/>
          <w:noProof/>
          <w:sz w:val="24"/>
          <w:u w:val="single"/>
        </w:rPr>
      </w:pPr>
    </w:p>
    <w:p w14:paraId="34649841"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31"/>
          <w:headerReference w:type="default" r:id="rId32"/>
          <w:footerReference w:type="even" r:id="rId33"/>
          <w:footerReference w:type="default" r:id="rId34"/>
          <w:headerReference w:type="first" r:id="rId35"/>
          <w:footerReference w:type="first" r:id="rId36"/>
          <w:pgSz w:w="11907" w:h="16839"/>
          <w:pgMar w:top="1134" w:right="1134" w:bottom="1134" w:left="1134" w:header="567" w:footer="567" w:gutter="0"/>
          <w:cols w:space="720"/>
          <w:docGrid w:linePitch="360"/>
        </w:sectPr>
      </w:pPr>
    </w:p>
    <w:p w14:paraId="1231B3E2" w14:textId="4A88E5FF" w:rsidR="00515398" w:rsidRDefault="006711E6">
      <w:pPr>
        <w:pStyle w:val="P68B1DB1-Normal11"/>
        <w:keepNext/>
        <w:keepLines/>
        <w:spacing w:before="40" w:after="0" w:line="240" w:lineRule="auto"/>
        <w:jc w:val="both"/>
        <w:outlineLvl w:val="4"/>
        <w:rPr>
          <w:rFonts w:ascii="Cambria" w:eastAsia="Times New Roman" w:hAnsi="Cambria"/>
          <w:noProof/>
          <w:color w:val="365F91"/>
        </w:rPr>
      </w:pPr>
      <w:r>
        <w:rPr>
          <w:rFonts w:ascii="Times New Roman" w:hAnsi="Times New Roman"/>
          <w:b/>
          <w:noProof/>
          <w:u w:val="single"/>
        </w:rPr>
        <w:t>B.2. Milníky, cíle, ukazatele a harmonogram monitorování a provádění nevratné finanční podpory</w:t>
      </w:r>
      <w:r>
        <w:rPr>
          <w:rFonts w:ascii="Cambria" w:hAnsi="Cambria"/>
          <w:noProof/>
          <w:color w:val="365F91"/>
        </w:rPr>
        <w:t xml:space="preserve"> </w:t>
      </w:r>
    </w:p>
    <w:p w14:paraId="17CE9668" w14:textId="77777777" w:rsidR="00515398" w:rsidRDefault="00515398">
      <w:pPr>
        <w:rPr>
          <w:noProof/>
        </w:rPr>
      </w:pPr>
    </w:p>
    <w:p w14:paraId="6B6CDB30" w14:textId="77777777" w:rsidR="00515398" w:rsidRDefault="006711E6">
      <w:pPr>
        <w:pStyle w:val="P68B1DB1-Normal6"/>
        <w:keepNext/>
        <w:keepLines/>
        <w:spacing w:before="40" w:after="0" w:line="240" w:lineRule="auto"/>
        <w:jc w:val="both"/>
        <w:outlineLvl w:val="4"/>
        <w:rPr>
          <w:rFonts w:eastAsia="Times New Roman"/>
          <w:noProof/>
          <w:szCs w:val="24"/>
        </w:rPr>
      </w:pPr>
      <w:r>
        <w:rPr>
          <w:noProof/>
        </w:rPr>
        <w:t>Nejvyšší investice 2: Energetická renovace obytných budov</w:t>
      </w:r>
    </w:p>
    <w:tbl>
      <w:tblPr>
        <w:tblW w:w="151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617"/>
        <w:gridCol w:w="967"/>
        <w:gridCol w:w="1176"/>
        <w:gridCol w:w="2311"/>
        <w:gridCol w:w="1334"/>
        <w:gridCol w:w="999"/>
        <w:gridCol w:w="820"/>
        <w:gridCol w:w="984"/>
        <w:gridCol w:w="709"/>
        <w:gridCol w:w="3997"/>
      </w:tblGrid>
      <w:tr w:rsidR="00515398" w14:paraId="2E434670" w14:textId="77777777">
        <w:trPr>
          <w:trHeight w:val="927"/>
          <w:tblHeader/>
        </w:trPr>
        <w:tc>
          <w:tcPr>
            <w:tcW w:w="1027" w:type="dxa"/>
            <w:vMerge w:val="restart"/>
            <w:shd w:val="clear" w:color="auto" w:fill="BDD7EE"/>
            <w:vAlign w:val="center"/>
            <w:hideMark/>
          </w:tcPr>
          <w:p w14:paraId="4A219E3F"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263" w:type="dxa"/>
            <w:vMerge w:val="restart"/>
            <w:shd w:val="clear" w:color="auto" w:fill="BDD7EE"/>
            <w:vAlign w:val="center"/>
            <w:hideMark/>
          </w:tcPr>
          <w:p w14:paraId="06C0C09D"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shd w:val="clear" w:color="auto" w:fill="BDD7EE"/>
            <w:vAlign w:val="center"/>
            <w:hideMark/>
          </w:tcPr>
          <w:p w14:paraId="2BAA05D4"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056" w:type="dxa"/>
            <w:vMerge w:val="restart"/>
            <w:shd w:val="clear" w:color="auto" w:fill="BDD7EE"/>
            <w:vAlign w:val="center"/>
            <w:hideMark/>
          </w:tcPr>
          <w:p w14:paraId="34AE51BC"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2311" w:type="dxa"/>
            <w:vMerge w:val="restart"/>
            <w:shd w:val="clear" w:color="auto" w:fill="BDD7EE"/>
            <w:vAlign w:val="center"/>
            <w:hideMark/>
          </w:tcPr>
          <w:p w14:paraId="1E826A39"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011" w:type="dxa"/>
            <w:gridSpan w:val="3"/>
            <w:shd w:val="clear" w:color="auto" w:fill="BDD7EE"/>
            <w:vAlign w:val="center"/>
            <w:hideMark/>
          </w:tcPr>
          <w:p w14:paraId="0C31C6C8"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60" w:type="dxa"/>
            <w:gridSpan w:val="2"/>
            <w:shd w:val="clear" w:color="auto" w:fill="BDD7EE"/>
            <w:vAlign w:val="center"/>
            <w:hideMark/>
          </w:tcPr>
          <w:p w14:paraId="6CA3915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997" w:type="dxa"/>
            <w:vMerge w:val="restart"/>
            <w:shd w:val="clear" w:color="auto" w:fill="BDD7EE"/>
            <w:vAlign w:val="center"/>
            <w:hideMark/>
          </w:tcPr>
          <w:p w14:paraId="5A0C8B27"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60AF2A2E" w14:textId="77777777">
        <w:trPr>
          <w:trHeight w:val="1013"/>
          <w:tblHeader/>
        </w:trPr>
        <w:tc>
          <w:tcPr>
            <w:tcW w:w="1027" w:type="dxa"/>
            <w:vMerge/>
            <w:vAlign w:val="center"/>
            <w:hideMark/>
          </w:tcPr>
          <w:p w14:paraId="65F20669" w14:textId="77777777" w:rsidR="00515398" w:rsidRDefault="00515398">
            <w:pPr>
              <w:spacing w:after="0" w:line="240" w:lineRule="auto"/>
              <w:rPr>
                <w:rFonts w:ascii="Times New Roman" w:eastAsia="Times New Roman" w:hAnsi="Times New Roman" w:cs="Times New Roman"/>
                <w:b/>
                <w:bCs/>
                <w:noProof/>
                <w:sz w:val="18"/>
                <w:szCs w:val="18"/>
              </w:rPr>
            </w:pPr>
          </w:p>
        </w:tc>
        <w:tc>
          <w:tcPr>
            <w:tcW w:w="1263" w:type="dxa"/>
            <w:vMerge/>
            <w:vAlign w:val="center"/>
            <w:hideMark/>
          </w:tcPr>
          <w:p w14:paraId="10ECCE2D"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vAlign w:val="center"/>
            <w:hideMark/>
          </w:tcPr>
          <w:p w14:paraId="67AE5AA1" w14:textId="77777777" w:rsidR="00515398" w:rsidRDefault="00515398">
            <w:pPr>
              <w:spacing w:after="0" w:line="240" w:lineRule="auto"/>
              <w:rPr>
                <w:rFonts w:ascii="Times New Roman" w:eastAsia="Times New Roman" w:hAnsi="Times New Roman" w:cs="Times New Roman"/>
                <w:b/>
                <w:bCs/>
                <w:noProof/>
                <w:sz w:val="18"/>
                <w:szCs w:val="18"/>
              </w:rPr>
            </w:pPr>
          </w:p>
        </w:tc>
        <w:tc>
          <w:tcPr>
            <w:tcW w:w="1056" w:type="dxa"/>
            <w:vMerge/>
            <w:vAlign w:val="center"/>
            <w:hideMark/>
          </w:tcPr>
          <w:p w14:paraId="26D7BADE" w14:textId="77777777" w:rsidR="00515398" w:rsidRDefault="00515398">
            <w:pPr>
              <w:spacing w:after="0" w:line="240" w:lineRule="auto"/>
              <w:rPr>
                <w:rFonts w:ascii="Times New Roman" w:eastAsia="Times New Roman" w:hAnsi="Times New Roman" w:cs="Times New Roman"/>
                <w:b/>
                <w:bCs/>
                <w:noProof/>
                <w:sz w:val="18"/>
                <w:szCs w:val="18"/>
              </w:rPr>
            </w:pPr>
          </w:p>
        </w:tc>
        <w:tc>
          <w:tcPr>
            <w:tcW w:w="2311" w:type="dxa"/>
            <w:vMerge/>
            <w:vAlign w:val="center"/>
            <w:hideMark/>
          </w:tcPr>
          <w:p w14:paraId="3D288B19" w14:textId="77777777" w:rsidR="00515398" w:rsidRDefault="00515398">
            <w:pPr>
              <w:spacing w:after="0" w:line="240" w:lineRule="auto"/>
              <w:rPr>
                <w:rFonts w:ascii="Times New Roman" w:eastAsia="Times New Roman" w:hAnsi="Times New Roman" w:cs="Times New Roman"/>
                <w:b/>
                <w:bCs/>
                <w:noProof/>
                <w:sz w:val="18"/>
                <w:szCs w:val="18"/>
              </w:rPr>
            </w:pPr>
          </w:p>
        </w:tc>
        <w:tc>
          <w:tcPr>
            <w:tcW w:w="1192" w:type="dxa"/>
            <w:shd w:val="clear" w:color="auto" w:fill="BDD7EE"/>
            <w:vAlign w:val="center"/>
            <w:hideMark/>
          </w:tcPr>
          <w:p w14:paraId="576D1D9D"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99" w:type="dxa"/>
            <w:shd w:val="clear" w:color="auto" w:fill="BDD7EE"/>
            <w:vAlign w:val="center"/>
            <w:hideMark/>
          </w:tcPr>
          <w:p w14:paraId="1016009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20" w:type="dxa"/>
            <w:shd w:val="clear" w:color="auto" w:fill="BDD7EE"/>
            <w:vAlign w:val="center"/>
            <w:hideMark/>
          </w:tcPr>
          <w:p w14:paraId="372100D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1" w:type="dxa"/>
            <w:shd w:val="clear" w:color="auto" w:fill="BDD7EE"/>
            <w:vAlign w:val="center"/>
            <w:hideMark/>
          </w:tcPr>
          <w:p w14:paraId="082AE2A0"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shd w:val="clear" w:color="auto" w:fill="BDD7EE"/>
            <w:vAlign w:val="center"/>
            <w:hideMark/>
          </w:tcPr>
          <w:p w14:paraId="7044BA69"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997" w:type="dxa"/>
            <w:vMerge/>
            <w:vAlign w:val="center"/>
            <w:hideMark/>
          </w:tcPr>
          <w:p w14:paraId="17B04762"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214F64F" w14:textId="77777777">
        <w:trPr>
          <w:trHeight w:val="309"/>
        </w:trPr>
        <w:tc>
          <w:tcPr>
            <w:tcW w:w="1027" w:type="dxa"/>
            <w:shd w:val="clear" w:color="auto" w:fill="C6EFCE"/>
            <w:noWrap/>
            <w:hideMark/>
          </w:tcPr>
          <w:p w14:paraId="3AF20DAA" w14:textId="77777777" w:rsidR="00515398" w:rsidRDefault="006711E6">
            <w:pPr>
              <w:pStyle w:val="P68B1DB1-Normal9"/>
              <w:spacing w:after="0" w:line="240" w:lineRule="auto"/>
              <w:rPr>
                <w:rFonts w:eastAsia="Times New Roman" w:cs="Calibri"/>
                <w:noProof/>
                <w:szCs w:val="18"/>
              </w:rPr>
            </w:pPr>
            <w:r>
              <w:rPr>
                <w:noProof/>
              </w:rPr>
              <w:t>20</w:t>
            </w:r>
          </w:p>
        </w:tc>
        <w:tc>
          <w:tcPr>
            <w:tcW w:w="1263" w:type="dxa"/>
            <w:shd w:val="clear" w:color="auto" w:fill="C6EFCE"/>
            <w:noWrap/>
            <w:hideMark/>
          </w:tcPr>
          <w:p w14:paraId="7302FC42" w14:textId="77777777" w:rsidR="00515398" w:rsidRDefault="006711E6">
            <w:pPr>
              <w:pStyle w:val="P68B1DB1-Normal9"/>
              <w:spacing w:after="0" w:line="240" w:lineRule="auto"/>
              <w:rPr>
                <w:rFonts w:eastAsia="Times New Roman" w:cs="Calibri"/>
                <w:noProof/>
                <w:szCs w:val="18"/>
              </w:rPr>
            </w:pPr>
            <w:r>
              <w:rPr>
                <w:noProof/>
              </w:rPr>
              <w:t>2–1.2. Renovace – 16872_Energetická renovace obytných budov</w:t>
            </w:r>
          </w:p>
        </w:tc>
        <w:tc>
          <w:tcPr>
            <w:tcW w:w="966" w:type="dxa"/>
            <w:shd w:val="clear" w:color="auto" w:fill="C6EFCE"/>
            <w:noWrap/>
            <w:hideMark/>
          </w:tcPr>
          <w:p w14:paraId="54947772" w14:textId="77777777" w:rsidR="00515398" w:rsidRDefault="006711E6">
            <w:pPr>
              <w:pStyle w:val="P68B1DB1-Normal9"/>
              <w:spacing w:after="0" w:line="240" w:lineRule="auto"/>
              <w:rPr>
                <w:rFonts w:eastAsia="Times New Roman" w:cs="Calibri"/>
                <w:noProof/>
                <w:szCs w:val="18"/>
              </w:rPr>
            </w:pPr>
            <w:r>
              <w:rPr>
                <w:noProof/>
              </w:rPr>
              <w:t>Milník</w:t>
            </w:r>
          </w:p>
        </w:tc>
        <w:tc>
          <w:tcPr>
            <w:tcW w:w="1056" w:type="dxa"/>
            <w:shd w:val="clear" w:color="auto" w:fill="C6EFCE"/>
            <w:noWrap/>
            <w:hideMark/>
          </w:tcPr>
          <w:p w14:paraId="5EB739D6" w14:textId="77777777" w:rsidR="00515398" w:rsidRDefault="006711E6">
            <w:pPr>
              <w:pStyle w:val="P68B1DB1-Normal9"/>
              <w:spacing w:after="0" w:line="240" w:lineRule="auto"/>
              <w:rPr>
                <w:rFonts w:eastAsia="Times New Roman" w:cs="Calibri"/>
                <w:noProof/>
                <w:szCs w:val="18"/>
              </w:rPr>
            </w:pPr>
            <w:r>
              <w:rPr>
                <w:noProof/>
              </w:rPr>
              <w:t>Renovace obytných budov –</w:t>
            </w:r>
            <w:r>
              <w:rPr>
                <w:noProof/>
                <w:vertAlign w:val="superscript"/>
              </w:rPr>
              <w:t>jedno</w:t>
            </w:r>
            <w:r>
              <w:rPr>
                <w:noProof/>
              </w:rPr>
              <w:t xml:space="preserve"> kolo zahájení</w:t>
            </w:r>
          </w:p>
        </w:tc>
        <w:tc>
          <w:tcPr>
            <w:tcW w:w="2311" w:type="dxa"/>
            <w:shd w:val="clear" w:color="auto" w:fill="C6EFCE"/>
            <w:noWrap/>
            <w:hideMark/>
          </w:tcPr>
          <w:p w14:paraId="3632B663" w14:textId="77777777" w:rsidR="00515398" w:rsidRDefault="006711E6">
            <w:pPr>
              <w:pStyle w:val="P68B1DB1-Normal9"/>
              <w:spacing w:after="0" w:line="240" w:lineRule="auto"/>
              <w:rPr>
                <w:rFonts w:eastAsia="Times New Roman" w:cs="Calibri"/>
                <w:noProof/>
                <w:szCs w:val="18"/>
              </w:rPr>
            </w:pPr>
            <w:r>
              <w:rPr>
                <w:noProof/>
              </w:rPr>
              <w:t xml:space="preserve">Vstup v platnost společného ministerského rozhodnutí </w:t>
            </w:r>
          </w:p>
        </w:tc>
        <w:tc>
          <w:tcPr>
            <w:tcW w:w="1192" w:type="dxa"/>
            <w:shd w:val="clear" w:color="auto" w:fill="C6EFCE"/>
            <w:noWrap/>
            <w:hideMark/>
          </w:tcPr>
          <w:p w14:paraId="528BC02B" w14:textId="77777777" w:rsidR="00515398" w:rsidRDefault="00515398">
            <w:pPr>
              <w:spacing w:after="0" w:line="240" w:lineRule="auto"/>
              <w:rPr>
                <w:rFonts w:eastAsia="Times New Roman" w:cs="Calibri"/>
                <w:noProof/>
                <w:color w:val="006100"/>
                <w:sz w:val="18"/>
                <w:szCs w:val="18"/>
              </w:rPr>
            </w:pPr>
          </w:p>
        </w:tc>
        <w:tc>
          <w:tcPr>
            <w:tcW w:w="999" w:type="dxa"/>
            <w:shd w:val="clear" w:color="auto" w:fill="C6EFCE"/>
            <w:noWrap/>
            <w:hideMark/>
          </w:tcPr>
          <w:p w14:paraId="5658010B" w14:textId="77777777" w:rsidR="00515398" w:rsidRDefault="00515398">
            <w:pPr>
              <w:spacing w:after="0" w:line="240" w:lineRule="auto"/>
              <w:rPr>
                <w:rFonts w:eastAsia="Times New Roman" w:cs="Calibri"/>
                <w:noProof/>
                <w:color w:val="006100"/>
                <w:sz w:val="18"/>
                <w:szCs w:val="18"/>
              </w:rPr>
            </w:pPr>
          </w:p>
        </w:tc>
        <w:tc>
          <w:tcPr>
            <w:tcW w:w="820" w:type="dxa"/>
            <w:shd w:val="clear" w:color="auto" w:fill="C6EFCE"/>
            <w:noWrap/>
            <w:hideMark/>
          </w:tcPr>
          <w:p w14:paraId="092CF185"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hideMark/>
          </w:tcPr>
          <w:p w14:paraId="1C3A2BB9"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hideMark/>
          </w:tcPr>
          <w:p w14:paraId="7EAC18B7" w14:textId="77777777" w:rsidR="00515398" w:rsidRDefault="006711E6">
            <w:pPr>
              <w:pStyle w:val="P68B1DB1-Normal9"/>
              <w:spacing w:after="0" w:line="240" w:lineRule="auto"/>
              <w:rPr>
                <w:rFonts w:eastAsia="Times New Roman" w:cs="Calibri"/>
                <w:noProof/>
                <w:szCs w:val="18"/>
              </w:rPr>
            </w:pPr>
            <w:r>
              <w:rPr>
                <w:noProof/>
              </w:rPr>
              <w:t>2020</w:t>
            </w:r>
          </w:p>
        </w:tc>
        <w:tc>
          <w:tcPr>
            <w:tcW w:w="3997" w:type="dxa"/>
            <w:shd w:val="clear" w:color="auto" w:fill="C6EFCE"/>
            <w:noWrap/>
            <w:hideMark/>
          </w:tcPr>
          <w:p w14:paraId="2B3D33BF" w14:textId="77777777" w:rsidR="00515398" w:rsidRDefault="006711E6">
            <w:pPr>
              <w:pStyle w:val="P68B1DB1-Normal9"/>
              <w:spacing w:after="0" w:line="240" w:lineRule="auto"/>
              <w:rPr>
                <w:rFonts w:eastAsia="Times New Roman" w:cs="Calibri"/>
                <w:noProof/>
                <w:szCs w:val="18"/>
              </w:rPr>
            </w:pPr>
            <w:r>
              <w:rPr>
                <w:noProof/>
              </w:rPr>
              <w:t>Vstup v platnost společného ministerského rozhodnutí o zahájení programu pro první kolo renovací, včetně zavedení výběrového řízení s cílem zajistit, aby se spotřeba primární energie v bytech snížila alespoň o 30 % ve srovnání s počáteční výkonností obydlí</w:t>
            </w:r>
            <w:r>
              <w:rPr>
                <w:noProof/>
              </w:rPr>
              <w:t xml:space="preserve"> vypočtenou v kWh/m</w:t>
            </w:r>
            <w:r>
              <w:rPr>
                <w:noProof/>
                <w:vertAlign w:val="superscript"/>
              </w:rPr>
              <w:t>2</w:t>
            </w:r>
            <w:r>
              <w:rPr>
                <w:noProof/>
              </w:rPr>
              <w:t xml:space="preserve">. </w:t>
            </w:r>
          </w:p>
          <w:p w14:paraId="65F6E540" w14:textId="77777777" w:rsidR="00515398" w:rsidRDefault="00515398">
            <w:pPr>
              <w:spacing w:after="0" w:line="240" w:lineRule="auto"/>
              <w:rPr>
                <w:rFonts w:eastAsia="Times New Roman" w:cs="Calibri"/>
                <w:noProof/>
                <w:color w:val="006100"/>
                <w:sz w:val="18"/>
                <w:szCs w:val="18"/>
              </w:rPr>
            </w:pPr>
          </w:p>
          <w:p w14:paraId="4BC5B14D" w14:textId="77777777" w:rsidR="00515398" w:rsidRDefault="006711E6">
            <w:pPr>
              <w:pStyle w:val="P68B1DB1-Normal9"/>
              <w:spacing w:after="0" w:line="240" w:lineRule="auto"/>
              <w:rPr>
                <w:rFonts w:eastAsia="Times New Roman" w:cs="Calibri"/>
                <w:noProof/>
                <w:szCs w:val="18"/>
              </w:rPr>
            </w:pPr>
            <w:r>
              <w:rPr>
                <w:noProof/>
              </w:rPr>
              <w:t>Společné ministerské rozhodnutí stanoví:</w:t>
            </w:r>
          </w:p>
          <w:p w14:paraId="7A2FA3C5" w14:textId="77777777" w:rsidR="00515398" w:rsidRDefault="006711E6">
            <w:pPr>
              <w:pStyle w:val="P68B1DB1-Normal9"/>
              <w:spacing w:after="0" w:line="240" w:lineRule="auto"/>
              <w:rPr>
                <w:rFonts w:eastAsia="Times New Roman" w:cs="Calibri"/>
                <w:noProof/>
                <w:szCs w:val="18"/>
              </w:rPr>
            </w:pPr>
            <w:r>
              <w:rPr>
                <w:noProof/>
              </w:rPr>
              <w:t>— Prováděcí mechanismus,</w:t>
            </w:r>
          </w:p>
          <w:p w14:paraId="10AAC3BE" w14:textId="77777777" w:rsidR="00515398" w:rsidRDefault="006711E6">
            <w:pPr>
              <w:pStyle w:val="P68B1DB1-Normal9"/>
              <w:spacing w:after="0" w:line="240" w:lineRule="auto"/>
              <w:rPr>
                <w:rFonts w:eastAsia="Times New Roman" w:cs="Calibri"/>
                <w:noProof/>
                <w:szCs w:val="18"/>
              </w:rPr>
            </w:pPr>
            <w:r>
              <w:rPr>
                <w:noProof/>
              </w:rPr>
              <w:t>— Proces výběru za účelem dosažení stanoveného cíle úspor primární energie,</w:t>
            </w:r>
          </w:p>
          <w:p w14:paraId="0223F737" w14:textId="77777777" w:rsidR="00515398" w:rsidRDefault="006711E6">
            <w:pPr>
              <w:pStyle w:val="P68B1DB1-Normal9"/>
              <w:spacing w:after="0" w:line="240" w:lineRule="auto"/>
              <w:rPr>
                <w:rFonts w:eastAsia="Times New Roman" w:cs="Calibri"/>
                <w:noProof/>
                <w:szCs w:val="18"/>
              </w:rPr>
            </w:pPr>
            <w:r>
              <w:rPr>
                <w:noProof/>
              </w:rPr>
              <w:t>— Certifikační mechanismus pro ověřování skutečných dosažených úspor primární energie (vče</w:t>
            </w:r>
            <w:r>
              <w:rPr>
                <w:noProof/>
              </w:rPr>
              <w:t>tně podrobností o možných nápravných opatřeních k zajištění toho, aby byl splněn cíl úspor primární energie), a pokud</w:t>
            </w:r>
          </w:p>
          <w:p w14:paraId="38CFAC62" w14:textId="77777777" w:rsidR="00515398" w:rsidRDefault="006711E6">
            <w:pPr>
              <w:pStyle w:val="P68B1DB1-Normal9"/>
              <w:spacing w:after="0" w:line="240" w:lineRule="auto"/>
              <w:rPr>
                <w:rFonts w:eastAsia="Times New Roman" w:cs="Calibri"/>
                <w:noProof/>
                <w:szCs w:val="18"/>
              </w:rPr>
            </w:pPr>
            <w:r>
              <w:rPr>
                <w:noProof/>
              </w:rPr>
              <w:t>— Časová osa.</w:t>
            </w:r>
          </w:p>
        </w:tc>
      </w:tr>
      <w:tr w:rsidR="00515398" w14:paraId="05077BE3" w14:textId="77777777">
        <w:trPr>
          <w:trHeight w:val="309"/>
        </w:trPr>
        <w:tc>
          <w:tcPr>
            <w:tcW w:w="1027" w:type="dxa"/>
            <w:shd w:val="clear" w:color="auto" w:fill="C6EFCE"/>
            <w:noWrap/>
            <w:hideMark/>
          </w:tcPr>
          <w:p w14:paraId="493A02D9" w14:textId="77777777" w:rsidR="00515398" w:rsidRDefault="006711E6">
            <w:pPr>
              <w:pStyle w:val="P68B1DB1-Normal9"/>
              <w:spacing w:after="0" w:line="240" w:lineRule="auto"/>
              <w:rPr>
                <w:rFonts w:eastAsia="Times New Roman" w:cs="Calibri"/>
                <w:noProof/>
                <w:szCs w:val="18"/>
              </w:rPr>
            </w:pPr>
            <w:r>
              <w:rPr>
                <w:noProof/>
              </w:rPr>
              <w:t>21</w:t>
            </w:r>
          </w:p>
        </w:tc>
        <w:tc>
          <w:tcPr>
            <w:tcW w:w="1263" w:type="dxa"/>
            <w:shd w:val="clear" w:color="auto" w:fill="C6EFCE"/>
            <w:noWrap/>
            <w:hideMark/>
          </w:tcPr>
          <w:p w14:paraId="518C29FB" w14:textId="77777777" w:rsidR="00515398" w:rsidRDefault="006711E6">
            <w:pPr>
              <w:pStyle w:val="P68B1DB1-Normal9"/>
              <w:spacing w:after="0" w:line="240" w:lineRule="auto"/>
              <w:rPr>
                <w:rFonts w:eastAsia="Times New Roman" w:cs="Calibri"/>
                <w:noProof/>
                <w:szCs w:val="18"/>
              </w:rPr>
            </w:pPr>
            <w:r>
              <w:rPr>
                <w:noProof/>
              </w:rPr>
              <w:t>2–1.2. Renovace – 16872_Energetická renovace obytných budov</w:t>
            </w:r>
          </w:p>
        </w:tc>
        <w:tc>
          <w:tcPr>
            <w:tcW w:w="966" w:type="dxa"/>
            <w:shd w:val="clear" w:color="auto" w:fill="C6EFCE"/>
            <w:noWrap/>
          </w:tcPr>
          <w:p w14:paraId="09335249" w14:textId="77777777" w:rsidR="00515398" w:rsidRDefault="006711E6">
            <w:pPr>
              <w:pStyle w:val="P68B1DB1-Normal9"/>
              <w:spacing w:after="0" w:line="240" w:lineRule="auto"/>
              <w:rPr>
                <w:noProof/>
              </w:rPr>
            </w:pPr>
            <w:r>
              <w:rPr>
                <w:noProof/>
              </w:rPr>
              <w:t>Milník</w:t>
            </w:r>
          </w:p>
          <w:p w14:paraId="10E874AB" w14:textId="77777777" w:rsidR="00515398" w:rsidRDefault="00515398">
            <w:pPr>
              <w:rPr>
                <w:rFonts w:eastAsia="Times New Roman" w:cs="Calibri"/>
                <w:noProof/>
                <w:sz w:val="18"/>
                <w:szCs w:val="18"/>
              </w:rPr>
            </w:pPr>
          </w:p>
          <w:p w14:paraId="40D075CD" w14:textId="77777777" w:rsidR="00515398" w:rsidRDefault="00515398">
            <w:pPr>
              <w:rPr>
                <w:rFonts w:eastAsia="Times New Roman" w:cs="Calibri"/>
                <w:noProof/>
                <w:sz w:val="18"/>
                <w:szCs w:val="18"/>
              </w:rPr>
            </w:pPr>
          </w:p>
          <w:p w14:paraId="1843FD5C" w14:textId="77777777" w:rsidR="00515398" w:rsidRDefault="00515398">
            <w:pPr>
              <w:rPr>
                <w:rFonts w:eastAsia="Times New Roman" w:cs="Calibri"/>
                <w:noProof/>
                <w:sz w:val="18"/>
                <w:szCs w:val="18"/>
              </w:rPr>
            </w:pPr>
          </w:p>
          <w:p w14:paraId="035B7BA1" w14:textId="77777777" w:rsidR="00515398" w:rsidRDefault="00515398">
            <w:pPr>
              <w:rPr>
                <w:rFonts w:eastAsia="Times New Roman" w:cs="Calibri"/>
                <w:noProof/>
                <w:sz w:val="18"/>
                <w:szCs w:val="18"/>
              </w:rPr>
            </w:pPr>
          </w:p>
          <w:p w14:paraId="67A294B8" w14:textId="77777777" w:rsidR="00515398" w:rsidRDefault="00515398">
            <w:pPr>
              <w:rPr>
                <w:rFonts w:eastAsia="Times New Roman" w:cs="Calibri"/>
                <w:noProof/>
                <w:sz w:val="18"/>
                <w:szCs w:val="18"/>
              </w:rPr>
            </w:pPr>
          </w:p>
          <w:p w14:paraId="633050C0" w14:textId="77777777" w:rsidR="00515398" w:rsidRDefault="00515398">
            <w:pPr>
              <w:rPr>
                <w:rFonts w:eastAsia="Times New Roman" w:cs="Calibri"/>
                <w:noProof/>
                <w:sz w:val="18"/>
                <w:szCs w:val="18"/>
              </w:rPr>
            </w:pPr>
          </w:p>
          <w:p w14:paraId="4F96C3E5" w14:textId="77777777" w:rsidR="00515398" w:rsidRDefault="00515398">
            <w:pPr>
              <w:rPr>
                <w:rFonts w:eastAsia="Times New Roman" w:cs="Calibri"/>
                <w:noProof/>
                <w:sz w:val="18"/>
                <w:szCs w:val="18"/>
              </w:rPr>
            </w:pPr>
          </w:p>
        </w:tc>
        <w:tc>
          <w:tcPr>
            <w:tcW w:w="1056" w:type="dxa"/>
            <w:shd w:val="clear" w:color="auto" w:fill="C6EFCE"/>
            <w:noWrap/>
          </w:tcPr>
          <w:p w14:paraId="65E6027A" w14:textId="77777777" w:rsidR="00515398" w:rsidRDefault="006711E6">
            <w:pPr>
              <w:pStyle w:val="P68B1DB1-Normal9"/>
              <w:spacing w:after="0" w:line="240" w:lineRule="auto"/>
              <w:rPr>
                <w:rFonts w:eastAsia="Times New Roman" w:cs="Calibri"/>
                <w:noProof/>
                <w:szCs w:val="18"/>
              </w:rPr>
            </w:pPr>
            <w:r>
              <w:rPr>
                <w:noProof/>
              </w:rPr>
              <w:t>Renovace obytných budov – 2.</w:t>
            </w:r>
            <w:r>
              <w:rPr>
                <w:noProof/>
                <w:vertAlign w:val="superscript"/>
              </w:rPr>
              <w:t>kolo</w:t>
            </w:r>
            <w:r>
              <w:rPr>
                <w:noProof/>
              </w:rPr>
              <w:t xml:space="preserve"> zahájení činnosti zahrnující domácnosti trpící energetickou chudobou</w:t>
            </w:r>
          </w:p>
        </w:tc>
        <w:tc>
          <w:tcPr>
            <w:tcW w:w="2311" w:type="dxa"/>
            <w:shd w:val="clear" w:color="auto" w:fill="C6EFCE"/>
            <w:noWrap/>
          </w:tcPr>
          <w:p w14:paraId="43F9FDCD" w14:textId="77777777" w:rsidR="00515398" w:rsidRDefault="006711E6">
            <w:pPr>
              <w:pStyle w:val="P68B1DB1-Normal9"/>
              <w:spacing w:after="0" w:line="240" w:lineRule="auto"/>
              <w:rPr>
                <w:rFonts w:eastAsia="Times New Roman" w:cs="Calibri"/>
                <w:noProof/>
                <w:szCs w:val="18"/>
              </w:rPr>
            </w:pPr>
            <w:r>
              <w:rPr>
                <w:noProof/>
              </w:rPr>
              <w:t xml:space="preserve">Vstup v platnost společného ministerského rozhodnutí </w:t>
            </w:r>
          </w:p>
        </w:tc>
        <w:tc>
          <w:tcPr>
            <w:tcW w:w="1192" w:type="dxa"/>
            <w:shd w:val="clear" w:color="auto" w:fill="C6EFCE"/>
            <w:noWrap/>
          </w:tcPr>
          <w:p w14:paraId="688A887F" w14:textId="77777777" w:rsidR="00515398" w:rsidRDefault="00515398">
            <w:pPr>
              <w:spacing w:after="0" w:line="240" w:lineRule="auto"/>
              <w:rPr>
                <w:rFonts w:eastAsia="Times New Roman" w:cs="Calibri"/>
                <w:noProof/>
                <w:color w:val="006100"/>
                <w:sz w:val="18"/>
                <w:szCs w:val="18"/>
              </w:rPr>
            </w:pPr>
          </w:p>
        </w:tc>
        <w:tc>
          <w:tcPr>
            <w:tcW w:w="999" w:type="dxa"/>
            <w:shd w:val="clear" w:color="auto" w:fill="C6EFCE"/>
            <w:noWrap/>
          </w:tcPr>
          <w:p w14:paraId="25A366FA" w14:textId="77777777" w:rsidR="00515398" w:rsidRDefault="00515398">
            <w:pPr>
              <w:spacing w:after="0" w:line="240" w:lineRule="auto"/>
              <w:rPr>
                <w:rFonts w:eastAsia="Times New Roman" w:cs="Calibri"/>
                <w:noProof/>
                <w:color w:val="006100"/>
                <w:sz w:val="18"/>
                <w:szCs w:val="18"/>
              </w:rPr>
            </w:pPr>
          </w:p>
        </w:tc>
        <w:tc>
          <w:tcPr>
            <w:tcW w:w="820" w:type="dxa"/>
            <w:shd w:val="clear" w:color="auto" w:fill="C6EFCE"/>
            <w:noWrap/>
          </w:tcPr>
          <w:p w14:paraId="08B23B72"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389F47DA" w14:textId="77777777" w:rsidR="00515398" w:rsidRDefault="006711E6">
            <w:pPr>
              <w:pStyle w:val="P68B1DB1-Normal9"/>
              <w:spacing w:after="0" w:line="240" w:lineRule="auto"/>
              <w:rPr>
                <w:rFonts w:eastAsia="Times New Roman" w:cs="Calibri"/>
                <w:noProof/>
                <w:szCs w:val="18"/>
              </w:rPr>
            </w:pPr>
            <w:r>
              <w:rPr>
                <w:noProof/>
              </w:rPr>
              <w:t>ČTVRTLETÍ 3</w:t>
            </w:r>
          </w:p>
        </w:tc>
        <w:tc>
          <w:tcPr>
            <w:tcW w:w="709" w:type="dxa"/>
            <w:shd w:val="clear" w:color="auto" w:fill="C6EFCE"/>
            <w:noWrap/>
          </w:tcPr>
          <w:p w14:paraId="51943BF4" w14:textId="77777777" w:rsidR="00515398" w:rsidRDefault="006711E6">
            <w:pPr>
              <w:pStyle w:val="P68B1DB1-Normal9"/>
              <w:spacing w:after="0" w:line="240" w:lineRule="auto"/>
              <w:rPr>
                <w:rFonts w:eastAsia="Times New Roman" w:cs="Calibri"/>
                <w:noProof/>
                <w:szCs w:val="18"/>
              </w:rPr>
            </w:pPr>
            <w:r>
              <w:rPr>
                <w:noProof/>
              </w:rPr>
              <w:t>2022</w:t>
            </w:r>
          </w:p>
        </w:tc>
        <w:tc>
          <w:tcPr>
            <w:tcW w:w="3997" w:type="dxa"/>
            <w:shd w:val="clear" w:color="auto" w:fill="C6EFCE"/>
            <w:noWrap/>
          </w:tcPr>
          <w:p w14:paraId="3ECCDD9A" w14:textId="77777777" w:rsidR="00515398" w:rsidRDefault="006711E6">
            <w:pPr>
              <w:pStyle w:val="P68B1DB1-Normal9"/>
              <w:spacing w:after="0" w:line="240" w:lineRule="auto"/>
              <w:rPr>
                <w:rFonts w:eastAsia="Times New Roman" w:cs="Calibri"/>
                <w:noProof/>
                <w:szCs w:val="18"/>
              </w:rPr>
            </w:pPr>
            <w:r>
              <w:rPr>
                <w:noProof/>
              </w:rPr>
              <w:t>Vstup v platnost společného ministerského rozhodnutí o zahájení programu pro druhé kolo renovací a zahájení prog</w:t>
            </w:r>
            <w:r>
              <w:rPr>
                <w:noProof/>
              </w:rPr>
              <w:t>ramu pro energeticky chudé bydlení, včetně zavedení výběrového řízení s cílem zajistit, aby se spotřeba primární energie v bytech snížila alespoň o 30 % ve srovnání s počátečním výkonem bytu vypočteným v kWh/m</w:t>
            </w:r>
            <w:r>
              <w:rPr>
                <w:noProof/>
                <w:vertAlign w:val="superscript"/>
              </w:rPr>
              <w:t>2.</w:t>
            </w:r>
            <w:r>
              <w:rPr>
                <w:noProof/>
              </w:rPr>
              <w:t xml:space="preserve"> </w:t>
            </w:r>
          </w:p>
          <w:p w14:paraId="545E2E3E" w14:textId="77777777" w:rsidR="00515398" w:rsidRDefault="00515398">
            <w:pPr>
              <w:spacing w:after="0" w:line="240" w:lineRule="auto"/>
              <w:rPr>
                <w:rFonts w:eastAsia="Times New Roman" w:cs="Calibri"/>
                <w:noProof/>
                <w:color w:val="006100"/>
                <w:sz w:val="18"/>
                <w:szCs w:val="18"/>
              </w:rPr>
            </w:pPr>
          </w:p>
          <w:p w14:paraId="3C20DD6F" w14:textId="77777777" w:rsidR="00515398" w:rsidRDefault="006711E6">
            <w:pPr>
              <w:pStyle w:val="P68B1DB1-Normal9"/>
              <w:spacing w:after="0" w:line="240" w:lineRule="auto"/>
              <w:rPr>
                <w:rFonts w:eastAsia="Times New Roman" w:cs="Calibri"/>
                <w:noProof/>
                <w:szCs w:val="18"/>
              </w:rPr>
            </w:pPr>
            <w:r>
              <w:rPr>
                <w:noProof/>
              </w:rPr>
              <w:t>Společné ministerské rozhodnutí stanoví:</w:t>
            </w:r>
          </w:p>
          <w:p w14:paraId="53DBCE27" w14:textId="77777777" w:rsidR="00515398" w:rsidRDefault="006711E6">
            <w:pPr>
              <w:pStyle w:val="P68B1DB1-Normal9"/>
              <w:spacing w:after="0" w:line="240" w:lineRule="auto"/>
              <w:rPr>
                <w:rFonts w:eastAsia="Times New Roman" w:cs="Calibri"/>
                <w:noProof/>
                <w:szCs w:val="18"/>
              </w:rPr>
            </w:pPr>
            <w:r>
              <w:rPr>
                <w:noProof/>
              </w:rPr>
              <w:t>—</w:t>
            </w:r>
            <w:r>
              <w:rPr>
                <w:noProof/>
              </w:rPr>
              <w:t xml:space="preserve"> Prováděcí mechanismus,</w:t>
            </w:r>
          </w:p>
          <w:p w14:paraId="32809E69" w14:textId="77777777" w:rsidR="00515398" w:rsidRDefault="006711E6">
            <w:pPr>
              <w:pStyle w:val="P68B1DB1-Normal9"/>
              <w:spacing w:after="0" w:line="240" w:lineRule="auto"/>
              <w:rPr>
                <w:rFonts w:eastAsia="Times New Roman" w:cs="Calibri"/>
                <w:noProof/>
                <w:szCs w:val="18"/>
              </w:rPr>
            </w:pPr>
            <w:r>
              <w:rPr>
                <w:noProof/>
              </w:rPr>
              <w:t>— Proces výběru za účelem dosažení stanoveného cíle úspor primární energie,</w:t>
            </w:r>
          </w:p>
          <w:p w14:paraId="0B49FFBC" w14:textId="77777777" w:rsidR="00515398" w:rsidRDefault="006711E6">
            <w:pPr>
              <w:pStyle w:val="P68B1DB1-Normal9"/>
              <w:spacing w:after="0" w:line="240" w:lineRule="auto"/>
              <w:rPr>
                <w:rFonts w:eastAsia="Times New Roman" w:cs="Calibri"/>
                <w:noProof/>
                <w:szCs w:val="18"/>
              </w:rPr>
            </w:pPr>
            <w:r>
              <w:rPr>
                <w:noProof/>
              </w:rPr>
              <w:t>— Ustanovení o energeticky chudých bytech v souladu s kritérii stanovenými v přijatém akčním plánu pro energetickou chudobu Certifikační mechanismus pro ově</w:t>
            </w:r>
            <w:r>
              <w:rPr>
                <w:noProof/>
              </w:rPr>
              <w:t>ření skutečných dosažených úspor primární energie (včetně podrobností o možných nápravných opatřeních k zajištění toho, aby byl splněn cíl úspor primární energie), a pokud</w:t>
            </w:r>
          </w:p>
          <w:p w14:paraId="30E47DC1" w14:textId="77777777" w:rsidR="00515398" w:rsidRDefault="006711E6">
            <w:pPr>
              <w:pStyle w:val="P68B1DB1-Normal9"/>
              <w:spacing w:after="0" w:line="240" w:lineRule="auto"/>
              <w:rPr>
                <w:rFonts w:eastAsia="Times New Roman" w:cs="Calibri"/>
                <w:noProof/>
                <w:szCs w:val="18"/>
              </w:rPr>
            </w:pPr>
            <w:r>
              <w:rPr>
                <w:noProof/>
              </w:rPr>
              <w:t>— Časová osa.</w:t>
            </w:r>
          </w:p>
          <w:p w14:paraId="48B92044" w14:textId="77777777" w:rsidR="00515398" w:rsidRDefault="00515398">
            <w:pPr>
              <w:spacing w:after="0" w:line="240" w:lineRule="auto"/>
              <w:rPr>
                <w:rFonts w:eastAsia="Times New Roman" w:cs="Calibri"/>
                <w:noProof/>
                <w:color w:val="006100"/>
                <w:sz w:val="18"/>
                <w:szCs w:val="18"/>
              </w:rPr>
            </w:pPr>
          </w:p>
          <w:p w14:paraId="0117B1AA" w14:textId="77777777" w:rsidR="00515398" w:rsidRDefault="006711E6">
            <w:pPr>
              <w:pStyle w:val="P68B1DB1-Normal9"/>
              <w:spacing w:after="0" w:line="240" w:lineRule="auto"/>
              <w:rPr>
                <w:rFonts w:eastAsia="Times New Roman" w:cs="Calibri"/>
                <w:noProof/>
                <w:szCs w:val="18"/>
              </w:rPr>
            </w:pPr>
            <w:r>
              <w:rPr>
                <w:noProof/>
              </w:rPr>
              <w:t xml:space="preserve">Zvláštní ustanovení o vyčleněných finančních prostředcích na bydlení </w:t>
            </w:r>
            <w:r>
              <w:rPr>
                <w:noProof/>
              </w:rPr>
              <w:t xml:space="preserve">trpící energetickou chudobou, jak je stanoveno v kritériích akčního plánu pro energetickou chudobu. </w:t>
            </w:r>
          </w:p>
        </w:tc>
      </w:tr>
      <w:tr w:rsidR="00515398" w14:paraId="180A7629" w14:textId="77777777">
        <w:trPr>
          <w:trHeight w:val="309"/>
        </w:trPr>
        <w:tc>
          <w:tcPr>
            <w:tcW w:w="1027" w:type="dxa"/>
            <w:shd w:val="clear" w:color="auto" w:fill="C6EFCE"/>
            <w:noWrap/>
            <w:hideMark/>
          </w:tcPr>
          <w:p w14:paraId="0B285EA1" w14:textId="77777777" w:rsidR="00515398" w:rsidRDefault="006711E6">
            <w:pPr>
              <w:pStyle w:val="P68B1DB1-Normal9"/>
              <w:spacing w:after="0" w:line="240" w:lineRule="auto"/>
              <w:rPr>
                <w:rFonts w:eastAsia="Times New Roman" w:cs="Calibri"/>
                <w:noProof/>
                <w:szCs w:val="18"/>
              </w:rPr>
            </w:pPr>
            <w:r>
              <w:rPr>
                <w:noProof/>
              </w:rPr>
              <w:t>22</w:t>
            </w:r>
          </w:p>
        </w:tc>
        <w:tc>
          <w:tcPr>
            <w:tcW w:w="1263" w:type="dxa"/>
            <w:shd w:val="clear" w:color="auto" w:fill="C6EFCE"/>
            <w:noWrap/>
            <w:hideMark/>
          </w:tcPr>
          <w:p w14:paraId="26C2F714" w14:textId="77777777" w:rsidR="00515398" w:rsidRDefault="006711E6">
            <w:pPr>
              <w:pStyle w:val="P68B1DB1-Normal9"/>
              <w:spacing w:after="0" w:line="240" w:lineRule="auto"/>
              <w:rPr>
                <w:rFonts w:eastAsia="Times New Roman" w:cs="Calibri"/>
                <w:noProof/>
                <w:szCs w:val="18"/>
              </w:rPr>
            </w:pPr>
            <w:r>
              <w:rPr>
                <w:noProof/>
              </w:rPr>
              <w:t>2–1.2. Renovace – 16872_Energetická renovace obytných budov</w:t>
            </w:r>
          </w:p>
        </w:tc>
        <w:tc>
          <w:tcPr>
            <w:tcW w:w="966" w:type="dxa"/>
            <w:shd w:val="clear" w:color="auto" w:fill="C6EFCE"/>
            <w:noWrap/>
            <w:hideMark/>
          </w:tcPr>
          <w:p w14:paraId="208D7165" w14:textId="77777777" w:rsidR="00515398" w:rsidRDefault="006711E6">
            <w:pPr>
              <w:pStyle w:val="P68B1DB1-Normal9"/>
              <w:spacing w:after="0" w:line="240" w:lineRule="auto"/>
              <w:rPr>
                <w:rFonts w:eastAsia="Times New Roman" w:cs="Calibri"/>
                <w:noProof/>
                <w:szCs w:val="18"/>
              </w:rPr>
            </w:pPr>
            <w:r>
              <w:rPr>
                <w:noProof/>
              </w:rPr>
              <w:t>Milník</w:t>
            </w:r>
          </w:p>
        </w:tc>
        <w:tc>
          <w:tcPr>
            <w:tcW w:w="1056" w:type="dxa"/>
            <w:shd w:val="clear" w:color="auto" w:fill="C6EFCE"/>
            <w:noWrap/>
            <w:hideMark/>
          </w:tcPr>
          <w:p w14:paraId="6D440568" w14:textId="77777777" w:rsidR="00515398" w:rsidRDefault="006711E6">
            <w:pPr>
              <w:pStyle w:val="P68B1DB1-Normal9"/>
              <w:spacing w:after="0" w:line="240" w:lineRule="auto"/>
              <w:rPr>
                <w:rFonts w:eastAsia="Times New Roman" w:cs="Calibri"/>
                <w:noProof/>
                <w:szCs w:val="18"/>
              </w:rPr>
            </w:pPr>
            <w:r>
              <w:rPr>
                <w:noProof/>
              </w:rPr>
              <w:t>Renovace obytných budov –</w:t>
            </w:r>
            <w:r>
              <w:rPr>
                <w:noProof/>
                <w:vertAlign w:val="superscript"/>
              </w:rPr>
              <w:t>3.</w:t>
            </w:r>
            <w:r>
              <w:rPr>
                <w:noProof/>
              </w:rPr>
              <w:t xml:space="preserve"> kolo zahájení zahrnující domácnosti trpící energetickou chudobou</w:t>
            </w:r>
          </w:p>
        </w:tc>
        <w:tc>
          <w:tcPr>
            <w:tcW w:w="2311" w:type="dxa"/>
            <w:shd w:val="clear" w:color="auto" w:fill="C6EFCE"/>
            <w:noWrap/>
            <w:hideMark/>
          </w:tcPr>
          <w:p w14:paraId="65905F30" w14:textId="77777777" w:rsidR="00515398" w:rsidRDefault="006711E6">
            <w:pPr>
              <w:pStyle w:val="P68B1DB1-Normal9"/>
              <w:spacing w:after="0" w:line="240" w:lineRule="auto"/>
              <w:rPr>
                <w:rFonts w:eastAsia="Times New Roman" w:cs="Calibri"/>
                <w:noProof/>
                <w:szCs w:val="18"/>
              </w:rPr>
            </w:pPr>
            <w:r>
              <w:rPr>
                <w:noProof/>
              </w:rPr>
              <w:t>Vstup v platnost společného ministerského rozhodnutí</w:t>
            </w:r>
          </w:p>
        </w:tc>
        <w:tc>
          <w:tcPr>
            <w:tcW w:w="1192" w:type="dxa"/>
            <w:shd w:val="clear" w:color="auto" w:fill="C6EFCE"/>
            <w:noWrap/>
            <w:hideMark/>
          </w:tcPr>
          <w:p w14:paraId="6EA0B0BE" w14:textId="77777777" w:rsidR="00515398" w:rsidRDefault="00515398">
            <w:pPr>
              <w:spacing w:after="0" w:line="240" w:lineRule="auto"/>
              <w:rPr>
                <w:rFonts w:eastAsia="Times New Roman" w:cs="Calibri"/>
                <w:noProof/>
                <w:color w:val="006100"/>
                <w:sz w:val="18"/>
                <w:szCs w:val="18"/>
              </w:rPr>
            </w:pPr>
          </w:p>
        </w:tc>
        <w:tc>
          <w:tcPr>
            <w:tcW w:w="999" w:type="dxa"/>
            <w:shd w:val="clear" w:color="auto" w:fill="C6EFCE"/>
            <w:noWrap/>
            <w:hideMark/>
          </w:tcPr>
          <w:p w14:paraId="25A94FFA" w14:textId="77777777" w:rsidR="00515398" w:rsidRDefault="00515398">
            <w:pPr>
              <w:spacing w:after="0" w:line="240" w:lineRule="auto"/>
              <w:rPr>
                <w:rFonts w:eastAsia="Times New Roman" w:cs="Calibri"/>
                <w:noProof/>
                <w:color w:val="006100"/>
                <w:sz w:val="18"/>
                <w:szCs w:val="18"/>
              </w:rPr>
            </w:pPr>
          </w:p>
        </w:tc>
        <w:tc>
          <w:tcPr>
            <w:tcW w:w="820" w:type="dxa"/>
            <w:shd w:val="clear" w:color="auto" w:fill="C6EFCE"/>
            <w:noWrap/>
            <w:hideMark/>
          </w:tcPr>
          <w:p w14:paraId="6B6DF379"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hideMark/>
          </w:tcPr>
          <w:p w14:paraId="742257F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hideMark/>
          </w:tcPr>
          <w:p w14:paraId="6496D954" w14:textId="77777777" w:rsidR="00515398" w:rsidRDefault="006711E6">
            <w:pPr>
              <w:pStyle w:val="P68B1DB1-Normal9"/>
              <w:spacing w:after="0" w:line="240" w:lineRule="auto"/>
              <w:rPr>
                <w:rFonts w:eastAsia="Times New Roman" w:cs="Calibri"/>
                <w:noProof/>
                <w:szCs w:val="18"/>
              </w:rPr>
            </w:pPr>
            <w:r>
              <w:rPr>
                <w:noProof/>
              </w:rPr>
              <w:t>2022</w:t>
            </w:r>
          </w:p>
        </w:tc>
        <w:tc>
          <w:tcPr>
            <w:tcW w:w="3997" w:type="dxa"/>
            <w:shd w:val="clear" w:color="auto" w:fill="C6EFCE"/>
            <w:noWrap/>
            <w:hideMark/>
          </w:tcPr>
          <w:p w14:paraId="0A1C69EC" w14:textId="77777777" w:rsidR="00515398" w:rsidRDefault="006711E6">
            <w:pPr>
              <w:pStyle w:val="P68B1DB1-Normal9"/>
              <w:spacing w:after="0" w:line="240" w:lineRule="auto"/>
              <w:rPr>
                <w:rFonts w:eastAsia="Times New Roman" w:cs="Calibri"/>
                <w:noProof/>
                <w:szCs w:val="18"/>
              </w:rPr>
            </w:pPr>
            <w:r>
              <w:rPr>
                <w:noProof/>
              </w:rPr>
              <w:t>Vstup v platnost společného ministerského rozhodnutí o zahájení programu pro třetí kolo renovací, včetně zavedení</w:t>
            </w:r>
            <w:r>
              <w:rPr>
                <w:noProof/>
              </w:rPr>
              <w:t xml:space="preserve"> výběrového řízení s cílem zajistit, aby se spotřeba primární energie v bytech snížila alespoň o 30 % ve srovnání s počáteční výkonností obydlí vypočtenou v kWh/m</w:t>
            </w:r>
            <w:r>
              <w:rPr>
                <w:noProof/>
                <w:vertAlign w:val="superscript"/>
              </w:rPr>
              <w:t>2.</w:t>
            </w:r>
          </w:p>
          <w:p w14:paraId="7F18469E" w14:textId="77777777" w:rsidR="00515398" w:rsidRDefault="00515398">
            <w:pPr>
              <w:spacing w:after="0" w:line="240" w:lineRule="auto"/>
              <w:rPr>
                <w:rFonts w:eastAsia="Times New Roman" w:cs="Calibri"/>
                <w:noProof/>
                <w:color w:val="006100"/>
                <w:sz w:val="18"/>
                <w:szCs w:val="18"/>
              </w:rPr>
            </w:pPr>
          </w:p>
          <w:p w14:paraId="615A0AF7" w14:textId="77777777" w:rsidR="00515398" w:rsidRDefault="006711E6">
            <w:pPr>
              <w:pStyle w:val="P68B1DB1-Normal9"/>
              <w:spacing w:after="0" w:line="240" w:lineRule="auto"/>
              <w:rPr>
                <w:rFonts w:eastAsia="Times New Roman" w:cs="Calibri"/>
                <w:noProof/>
                <w:szCs w:val="18"/>
              </w:rPr>
            </w:pPr>
            <w:r>
              <w:rPr>
                <w:noProof/>
              </w:rPr>
              <w:t>Společné ministerské rozhodnutí stanoví:</w:t>
            </w:r>
          </w:p>
          <w:p w14:paraId="56639167" w14:textId="77777777" w:rsidR="00515398" w:rsidRDefault="006711E6">
            <w:pPr>
              <w:pStyle w:val="P68B1DB1-Normal9"/>
              <w:spacing w:after="0" w:line="240" w:lineRule="auto"/>
              <w:rPr>
                <w:rFonts w:eastAsia="Times New Roman" w:cs="Calibri"/>
                <w:noProof/>
                <w:szCs w:val="18"/>
              </w:rPr>
            </w:pPr>
            <w:r>
              <w:rPr>
                <w:noProof/>
              </w:rPr>
              <w:t>— Prováděcí mechanismus,</w:t>
            </w:r>
          </w:p>
          <w:p w14:paraId="44CDF6EE" w14:textId="77777777" w:rsidR="00515398" w:rsidRDefault="006711E6">
            <w:pPr>
              <w:pStyle w:val="P68B1DB1-Normal9"/>
              <w:spacing w:after="0" w:line="240" w:lineRule="auto"/>
              <w:rPr>
                <w:rFonts w:eastAsia="Times New Roman" w:cs="Calibri"/>
                <w:noProof/>
                <w:szCs w:val="18"/>
              </w:rPr>
            </w:pPr>
            <w:r>
              <w:rPr>
                <w:noProof/>
              </w:rPr>
              <w:t>— Proces výběru za účele</w:t>
            </w:r>
            <w:r>
              <w:rPr>
                <w:noProof/>
              </w:rPr>
              <w:t xml:space="preserve">m dosažení stanoveného cíle úspor primární energie, </w:t>
            </w:r>
          </w:p>
          <w:p w14:paraId="2C86F27C" w14:textId="77777777" w:rsidR="00515398" w:rsidRDefault="006711E6">
            <w:pPr>
              <w:pStyle w:val="P68B1DB1-Normal9"/>
              <w:spacing w:after="0" w:line="240" w:lineRule="auto"/>
              <w:rPr>
                <w:rFonts w:eastAsia="Times New Roman" w:cs="Calibri"/>
                <w:noProof/>
                <w:szCs w:val="18"/>
              </w:rPr>
            </w:pPr>
            <w:r>
              <w:rPr>
                <w:noProof/>
              </w:rPr>
              <w:t>— Ustanovení o bytech trpících energetickou chudobou v souladu s kritérii stanovenými v přijatém akčním plánu pro energetickou chudobu;</w:t>
            </w:r>
          </w:p>
          <w:p w14:paraId="501159B6" w14:textId="77777777" w:rsidR="00515398" w:rsidRDefault="006711E6">
            <w:pPr>
              <w:pStyle w:val="P68B1DB1-Normal9"/>
              <w:spacing w:after="0" w:line="240" w:lineRule="auto"/>
              <w:rPr>
                <w:rFonts w:eastAsia="Times New Roman" w:cs="Calibri"/>
                <w:noProof/>
                <w:szCs w:val="18"/>
              </w:rPr>
            </w:pPr>
            <w:r>
              <w:rPr>
                <w:noProof/>
              </w:rPr>
              <w:t>— Certifikační mechanismus pro ověřování skutečných dosažených úspo</w:t>
            </w:r>
            <w:r>
              <w:rPr>
                <w:noProof/>
              </w:rPr>
              <w:t>r primární energie (včetně podrobností o možných nápravných opatřeních k zajištění toho, aby byl splněn cíl úspor primární energie), a pokud</w:t>
            </w:r>
          </w:p>
          <w:p w14:paraId="44AB6CB7" w14:textId="77777777" w:rsidR="00515398" w:rsidRDefault="006711E6">
            <w:pPr>
              <w:pStyle w:val="P68B1DB1-Normal9"/>
              <w:spacing w:after="0" w:line="240" w:lineRule="auto"/>
              <w:rPr>
                <w:rFonts w:eastAsia="Times New Roman" w:cs="Calibri"/>
                <w:noProof/>
                <w:szCs w:val="18"/>
              </w:rPr>
            </w:pPr>
            <w:r>
              <w:rPr>
                <w:noProof/>
              </w:rPr>
              <w:t>— Časová osa.</w:t>
            </w:r>
          </w:p>
          <w:p w14:paraId="7F767AE6" w14:textId="77777777" w:rsidR="00515398" w:rsidRDefault="00515398">
            <w:pPr>
              <w:spacing w:after="0" w:line="240" w:lineRule="auto"/>
              <w:rPr>
                <w:rFonts w:eastAsia="Times New Roman" w:cs="Calibri"/>
                <w:noProof/>
                <w:color w:val="006100"/>
                <w:sz w:val="18"/>
                <w:szCs w:val="18"/>
              </w:rPr>
            </w:pPr>
          </w:p>
          <w:p w14:paraId="7F55C243" w14:textId="77777777" w:rsidR="00515398" w:rsidRDefault="006711E6">
            <w:pPr>
              <w:pStyle w:val="P68B1DB1-Normal9"/>
              <w:spacing w:after="0" w:line="240" w:lineRule="auto"/>
              <w:rPr>
                <w:rFonts w:eastAsia="Times New Roman" w:cs="Calibri"/>
                <w:noProof/>
                <w:szCs w:val="18"/>
              </w:rPr>
            </w:pPr>
            <w:r>
              <w:rPr>
                <w:noProof/>
              </w:rPr>
              <w:t>Zvláštní ustanovení o vyčleněných finančních prostředcích na bydlení trpící energetickou chudobou, j</w:t>
            </w:r>
            <w:r>
              <w:rPr>
                <w:noProof/>
              </w:rPr>
              <w:t>ak je stanoveno v kritériích akčního plánu pro energetickou chudobu.</w:t>
            </w:r>
          </w:p>
        </w:tc>
      </w:tr>
      <w:tr w:rsidR="00515398" w14:paraId="6FCCD7EE" w14:textId="77777777">
        <w:trPr>
          <w:trHeight w:val="309"/>
        </w:trPr>
        <w:tc>
          <w:tcPr>
            <w:tcW w:w="1027" w:type="dxa"/>
            <w:shd w:val="clear" w:color="auto" w:fill="C6EFCE"/>
            <w:noWrap/>
            <w:hideMark/>
          </w:tcPr>
          <w:p w14:paraId="6463B312" w14:textId="77777777" w:rsidR="00515398" w:rsidRDefault="006711E6">
            <w:pPr>
              <w:pStyle w:val="P68B1DB1-Normal9"/>
              <w:spacing w:after="0" w:line="240" w:lineRule="auto"/>
              <w:rPr>
                <w:rFonts w:eastAsia="Times New Roman" w:cs="Calibri"/>
                <w:noProof/>
                <w:szCs w:val="18"/>
              </w:rPr>
            </w:pPr>
            <w:r>
              <w:rPr>
                <w:noProof/>
              </w:rPr>
              <w:t>23</w:t>
            </w:r>
          </w:p>
        </w:tc>
        <w:tc>
          <w:tcPr>
            <w:tcW w:w="1263" w:type="dxa"/>
            <w:shd w:val="clear" w:color="auto" w:fill="C6EFCE"/>
            <w:noWrap/>
            <w:hideMark/>
          </w:tcPr>
          <w:p w14:paraId="5FD9B1DF" w14:textId="77777777" w:rsidR="00515398" w:rsidRDefault="006711E6">
            <w:pPr>
              <w:pStyle w:val="P68B1DB1-Normal9"/>
              <w:spacing w:after="0" w:line="240" w:lineRule="auto"/>
              <w:rPr>
                <w:rFonts w:eastAsia="Times New Roman" w:cs="Calibri"/>
                <w:noProof/>
                <w:szCs w:val="18"/>
              </w:rPr>
            </w:pPr>
            <w:r>
              <w:rPr>
                <w:noProof/>
              </w:rPr>
              <w:t>2–1.2. Renovace – 16872_Energetická renovace obytných budov</w:t>
            </w:r>
          </w:p>
        </w:tc>
        <w:tc>
          <w:tcPr>
            <w:tcW w:w="966" w:type="dxa"/>
            <w:shd w:val="clear" w:color="auto" w:fill="C6EFCE"/>
            <w:noWrap/>
            <w:hideMark/>
          </w:tcPr>
          <w:p w14:paraId="3D89AD46" w14:textId="77777777" w:rsidR="00515398" w:rsidRDefault="006711E6">
            <w:pPr>
              <w:pStyle w:val="P68B1DB1-Normal9"/>
              <w:spacing w:after="0" w:line="240" w:lineRule="auto"/>
              <w:rPr>
                <w:rFonts w:eastAsia="Times New Roman" w:cs="Calibri"/>
                <w:noProof/>
                <w:szCs w:val="18"/>
              </w:rPr>
            </w:pPr>
            <w:r>
              <w:rPr>
                <w:noProof/>
              </w:rPr>
              <w:t>Cílová</w:t>
            </w:r>
          </w:p>
        </w:tc>
        <w:tc>
          <w:tcPr>
            <w:tcW w:w="1056" w:type="dxa"/>
            <w:shd w:val="clear" w:color="auto" w:fill="C6EFCE"/>
            <w:noWrap/>
          </w:tcPr>
          <w:p w14:paraId="65C93A88" w14:textId="77777777" w:rsidR="00515398" w:rsidRDefault="006711E6">
            <w:pPr>
              <w:pStyle w:val="P68B1DB1-Normal9"/>
              <w:spacing w:after="0" w:line="240" w:lineRule="auto"/>
              <w:rPr>
                <w:rFonts w:eastAsia="Times New Roman" w:cs="Calibri"/>
                <w:noProof/>
                <w:szCs w:val="18"/>
              </w:rPr>
            </w:pPr>
            <w:r>
              <w:rPr>
                <w:noProof/>
              </w:rPr>
              <w:t>Renovace obytných budov – renovace rezidenčních nemovitostí #1</w:t>
            </w:r>
          </w:p>
        </w:tc>
        <w:tc>
          <w:tcPr>
            <w:tcW w:w="2311" w:type="dxa"/>
            <w:shd w:val="clear" w:color="auto" w:fill="C6EFCE"/>
            <w:noWrap/>
          </w:tcPr>
          <w:p w14:paraId="73D76705" w14:textId="77777777" w:rsidR="00515398" w:rsidRDefault="00515398">
            <w:pPr>
              <w:spacing w:after="0" w:line="240" w:lineRule="auto"/>
              <w:rPr>
                <w:rFonts w:eastAsia="Times New Roman" w:cs="Calibri"/>
                <w:noProof/>
                <w:color w:val="006100"/>
                <w:sz w:val="18"/>
                <w:szCs w:val="18"/>
              </w:rPr>
            </w:pPr>
          </w:p>
        </w:tc>
        <w:tc>
          <w:tcPr>
            <w:tcW w:w="1192" w:type="dxa"/>
            <w:shd w:val="clear" w:color="auto" w:fill="C6EFCE"/>
            <w:noWrap/>
            <w:hideMark/>
          </w:tcPr>
          <w:p w14:paraId="29980F12" w14:textId="77777777" w:rsidR="00515398" w:rsidRDefault="006711E6">
            <w:pPr>
              <w:pStyle w:val="P68B1DB1-Normal9"/>
              <w:spacing w:after="0" w:line="240" w:lineRule="auto"/>
              <w:rPr>
                <w:rFonts w:eastAsia="Times New Roman" w:cs="Calibri"/>
                <w:noProof/>
                <w:szCs w:val="18"/>
              </w:rPr>
            </w:pPr>
            <w:r>
              <w:rPr>
                <w:noProof/>
              </w:rPr>
              <w:t xml:space="preserve">Počet dokončených certifikovaných renovací </w:t>
            </w:r>
          </w:p>
        </w:tc>
        <w:tc>
          <w:tcPr>
            <w:tcW w:w="999" w:type="dxa"/>
            <w:shd w:val="clear" w:color="auto" w:fill="C6EFCE"/>
            <w:noWrap/>
            <w:hideMark/>
          </w:tcPr>
          <w:p w14:paraId="498700E0" w14:textId="77777777" w:rsidR="00515398" w:rsidRDefault="006711E6">
            <w:pPr>
              <w:pStyle w:val="P68B1DB1-Normal9"/>
              <w:spacing w:after="0" w:line="240" w:lineRule="auto"/>
              <w:rPr>
                <w:rFonts w:eastAsia="Times New Roman" w:cs="Calibri"/>
                <w:noProof/>
                <w:szCs w:val="18"/>
              </w:rPr>
            </w:pPr>
            <w:r>
              <w:rPr>
                <w:noProof/>
              </w:rPr>
              <w:t>0</w:t>
            </w:r>
          </w:p>
        </w:tc>
        <w:tc>
          <w:tcPr>
            <w:tcW w:w="820" w:type="dxa"/>
            <w:shd w:val="clear" w:color="auto" w:fill="C6EFCE"/>
            <w:noWrap/>
            <w:hideMark/>
          </w:tcPr>
          <w:p w14:paraId="5B397B53" w14:textId="45495AF7" w:rsidR="00515398" w:rsidRDefault="006711E6">
            <w:pPr>
              <w:pStyle w:val="P68B1DB1-Normal9"/>
              <w:spacing w:after="0" w:line="240" w:lineRule="auto"/>
              <w:rPr>
                <w:rFonts w:eastAsia="Times New Roman" w:cs="Calibri"/>
                <w:noProof/>
                <w:szCs w:val="18"/>
              </w:rPr>
            </w:pPr>
            <w:r>
              <w:rPr>
                <w:noProof/>
              </w:rPr>
              <w:t>8 000</w:t>
            </w:r>
          </w:p>
        </w:tc>
        <w:tc>
          <w:tcPr>
            <w:tcW w:w="851" w:type="dxa"/>
            <w:shd w:val="clear" w:color="auto" w:fill="C6EFCE"/>
            <w:noWrap/>
            <w:hideMark/>
          </w:tcPr>
          <w:p w14:paraId="473CF2D9"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hideMark/>
          </w:tcPr>
          <w:p w14:paraId="083D448E" w14:textId="77777777" w:rsidR="00515398" w:rsidRDefault="006711E6">
            <w:pPr>
              <w:pStyle w:val="P68B1DB1-Normal9"/>
              <w:spacing w:after="0" w:line="240" w:lineRule="auto"/>
              <w:rPr>
                <w:rFonts w:eastAsia="Times New Roman" w:cs="Calibri"/>
                <w:noProof/>
                <w:szCs w:val="18"/>
              </w:rPr>
            </w:pPr>
            <w:r>
              <w:rPr>
                <w:noProof/>
              </w:rPr>
              <w:t>2023</w:t>
            </w:r>
          </w:p>
        </w:tc>
        <w:tc>
          <w:tcPr>
            <w:tcW w:w="3997" w:type="dxa"/>
            <w:shd w:val="clear" w:color="auto" w:fill="C6EFCE"/>
            <w:noWrap/>
            <w:hideMark/>
          </w:tcPr>
          <w:p w14:paraId="317BA745" w14:textId="48D56F9F" w:rsidR="00515398" w:rsidRDefault="006711E6">
            <w:pPr>
              <w:pStyle w:val="P68B1DB1-Normal10"/>
              <w:spacing w:after="0" w:line="240" w:lineRule="auto"/>
              <w:rPr>
                <w:noProof/>
              </w:rPr>
            </w:pPr>
            <w:r>
              <w:rPr>
                <w:noProof/>
              </w:rPr>
              <w:t>Renovace za účelem zlepšení energetické účinnosti dokončené pro počet bytů, což odpovídá snížení energie o 16 ktoe ročně a s úsporami primární energie v průměru alespoň 30 % na základě předložených certifikátů energetické náročnosti. R</w:t>
            </w:r>
            <w:r>
              <w:rPr>
                <w:noProof/>
              </w:rPr>
              <w:t xml:space="preserve">ozhodnutí o dokončení vydané řídícím orgánem doloží dokončení intervencí. </w:t>
            </w:r>
          </w:p>
        </w:tc>
      </w:tr>
      <w:tr w:rsidR="00515398" w14:paraId="7B68DAA3" w14:textId="77777777">
        <w:trPr>
          <w:trHeight w:val="309"/>
        </w:trPr>
        <w:tc>
          <w:tcPr>
            <w:tcW w:w="1027" w:type="dxa"/>
            <w:shd w:val="clear" w:color="auto" w:fill="C6EFCE"/>
            <w:noWrap/>
          </w:tcPr>
          <w:p w14:paraId="7989CBB4" w14:textId="77777777" w:rsidR="00515398" w:rsidRDefault="006711E6">
            <w:pPr>
              <w:pStyle w:val="P68B1DB1-Normal9"/>
              <w:spacing w:after="0" w:line="240" w:lineRule="auto"/>
              <w:rPr>
                <w:rFonts w:eastAsia="Times New Roman" w:cs="Calibri"/>
                <w:noProof/>
                <w:szCs w:val="18"/>
              </w:rPr>
            </w:pPr>
            <w:r>
              <w:rPr>
                <w:noProof/>
              </w:rPr>
              <w:t>25</w:t>
            </w:r>
          </w:p>
        </w:tc>
        <w:tc>
          <w:tcPr>
            <w:tcW w:w="1263" w:type="dxa"/>
            <w:shd w:val="clear" w:color="auto" w:fill="C6EFCE"/>
            <w:noWrap/>
          </w:tcPr>
          <w:p w14:paraId="3658A0C4" w14:textId="77777777" w:rsidR="00515398" w:rsidRDefault="006711E6">
            <w:pPr>
              <w:pStyle w:val="P68B1DB1-Normal9"/>
              <w:spacing w:after="0" w:line="240" w:lineRule="auto"/>
              <w:rPr>
                <w:rFonts w:eastAsia="Times New Roman" w:cs="Calibri"/>
                <w:noProof/>
                <w:szCs w:val="18"/>
              </w:rPr>
            </w:pPr>
            <w:r>
              <w:rPr>
                <w:noProof/>
              </w:rPr>
              <w:t>2–1.2. Renovace – 16872_Energetická renovace obytných budov</w:t>
            </w:r>
          </w:p>
        </w:tc>
        <w:tc>
          <w:tcPr>
            <w:tcW w:w="966" w:type="dxa"/>
            <w:shd w:val="clear" w:color="auto" w:fill="C6EFCE"/>
            <w:noWrap/>
          </w:tcPr>
          <w:p w14:paraId="011C5A18" w14:textId="77777777" w:rsidR="00515398" w:rsidRDefault="006711E6">
            <w:pPr>
              <w:pStyle w:val="P68B1DB1-Normal9"/>
              <w:spacing w:after="0" w:line="240" w:lineRule="auto"/>
              <w:rPr>
                <w:rFonts w:eastAsia="Times New Roman" w:cs="Calibri"/>
                <w:noProof/>
                <w:szCs w:val="18"/>
              </w:rPr>
            </w:pPr>
            <w:r>
              <w:rPr>
                <w:noProof/>
              </w:rPr>
              <w:t>Cílová</w:t>
            </w:r>
          </w:p>
        </w:tc>
        <w:tc>
          <w:tcPr>
            <w:tcW w:w="1056" w:type="dxa"/>
            <w:shd w:val="clear" w:color="auto" w:fill="C6EFCE"/>
            <w:noWrap/>
          </w:tcPr>
          <w:p w14:paraId="37B90ADC" w14:textId="77777777" w:rsidR="00515398" w:rsidRDefault="006711E6">
            <w:pPr>
              <w:pStyle w:val="P68B1DB1-Normal9"/>
              <w:spacing w:after="0" w:line="240" w:lineRule="auto"/>
              <w:rPr>
                <w:rFonts w:eastAsia="Times New Roman" w:cs="Calibri"/>
                <w:noProof/>
                <w:szCs w:val="18"/>
              </w:rPr>
            </w:pPr>
            <w:r>
              <w:rPr>
                <w:noProof/>
              </w:rPr>
              <w:t>Renovace obytných budov – zelená energie vyrobená pro domácnosti trpící energetickou chudobou</w:t>
            </w:r>
          </w:p>
        </w:tc>
        <w:tc>
          <w:tcPr>
            <w:tcW w:w="2311" w:type="dxa"/>
            <w:shd w:val="clear" w:color="auto" w:fill="C6EFCE"/>
            <w:noWrap/>
          </w:tcPr>
          <w:p w14:paraId="50E25FFB" w14:textId="77777777" w:rsidR="00515398" w:rsidRDefault="00515398">
            <w:pPr>
              <w:spacing w:after="0" w:line="240" w:lineRule="auto"/>
              <w:rPr>
                <w:rFonts w:eastAsia="Times New Roman" w:cs="Calibri"/>
                <w:noProof/>
                <w:color w:val="006100"/>
                <w:sz w:val="18"/>
                <w:szCs w:val="18"/>
              </w:rPr>
            </w:pPr>
          </w:p>
        </w:tc>
        <w:tc>
          <w:tcPr>
            <w:tcW w:w="1192" w:type="dxa"/>
            <w:shd w:val="clear" w:color="auto" w:fill="C6EFCE"/>
            <w:noWrap/>
          </w:tcPr>
          <w:p w14:paraId="1788FF1F" w14:textId="76A3D36B" w:rsidR="00515398" w:rsidRDefault="006711E6">
            <w:pPr>
              <w:pStyle w:val="P68B1DB1-Normal9"/>
              <w:spacing w:after="0" w:line="240" w:lineRule="auto"/>
              <w:rPr>
                <w:rFonts w:eastAsia="Times New Roman" w:cs="Calibri"/>
                <w:noProof/>
                <w:szCs w:val="18"/>
              </w:rPr>
            </w:pPr>
            <w:r>
              <w:rPr>
                <w:noProof/>
              </w:rPr>
              <w:t xml:space="preserve">Nová kapacita (MW) obnovitelných zdrojů energie, která má být instalována </w:t>
            </w:r>
          </w:p>
        </w:tc>
        <w:tc>
          <w:tcPr>
            <w:tcW w:w="999" w:type="dxa"/>
            <w:shd w:val="clear" w:color="auto" w:fill="C6EFCE"/>
            <w:noWrap/>
          </w:tcPr>
          <w:p w14:paraId="7DB0010E" w14:textId="77777777" w:rsidR="00515398" w:rsidRDefault="006711E6">
            <w:pPr>
              <w:pStyle w:val="P68B1DB1-Normal9"/>
              <w:spacing w:after="0" w:line="240" w:lineRule="auto"/>
              <w:rPr>
                <w:rFonts w:eastAsia="Times New Roman" w:cs="Calibri"/>
                <w:noProof/>
                <w:szCs w:val="18"/>
              </w:rPr>
            </w:pPr>
            <w:r>
              <w:rPr>
                <w:noProof/>
              </w:rPr>
              <w:t>0</w:t>
            </w:r>
          </w:p>
        </w:tc>
        <w:tc>
          <w:tcPr>
            <w:tcW w:w="820" w:type="dxa"/>
            <w:shd w:val="clear" w:color="auto" w:fill="C6EFCE"/>
            <w:noWrap/>
          </w:tcPr>
          <w:p w14:paraId="64256A26" w14:textId="77777777" w:rsidR="00515398" w:rsidRDefault="006711E6">
            <w:pPr>
              <w:pStyle w:val="P68B1DB1-Normal9"/>
              <w:spacing w:after="0" w:line="240" w:lineRule="auto"/>
              <w:rPr>
                <w:rFonts w:eastAsia="Times New Roman" w:cs="Calibri"/>
                <w:noProof/>
                <w:szCs w:val="18"/>
              </w:rPr>
            </w:pPr>
            <w:r>
              <w:rPr>
                <w:noProof/>
              </w:rPr>
              <w:t>150</w:t>
            </w:r>
          </w:p>
          <w:p w14:paraId="0A661B95"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0A3CEC9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5E4C0416" w14:textId="77777777" w:rsidR="00515398" w:rsidRDefault="006711E6">
            <w:pPr>
              <w:pStyle w:val="P68B1DB1-Normal9"/>
              <w:spacing w:after="0" w:line="240" w:lineRule="auto"/>
              <w:rPr>
                <w:rFonts w:eastAsia="Times New Roman" w:cs="Calibri"/>
                <w:noProof/>
                <w:szCs w:val="18"/>
              </w:rPr>
            </w:pPr>
            <w:r>
              <w:rPr>
                <w:noProof/>
              </w:rPr>
              <w:t>2025</w:t>
            </w:r>
          </w:p>
        </w:tc>
        <w:tc>
          <w:tcPr>
            <w:tcW w:w="3997" w:type="dxa"/>
            <w:shd w:val="clear" w:color="auto" w:fill="C6EFCE"/>
            <w:noWrap/>
          </w:tcPr>
          <w:p w14:paraId="2545AD8A" w14:textId="72A6B758" w:rsidR="00515398" w:rsidRDefault="006711E6">
            <w:pPr>
              <w:pStyle w:val="P68B1DB1-Normal10"/>
              <w:spacing w:after="0" w:line="240" w:lineRule="auto"/>
              <w:rPr>
                <w:rFonts w:eastAsia="Times New Roman" w:cs="Calibri"/>
                <w:noProof/>
              </w:rPr>
            </w:pPr>
            <w:r>
              <w:rPr>
                <w:noProof/>
              </w:rPr>
              <w:t>Instalace zařízení o výkonu nejméně 150 MW nové kapacity obnovitelných zdrojů energie spojené s energetickými společenstvími provozovanými obcemi.  30000</w:t>
            </w:r>
            <w:r>
              <w:rPr>
                <w:noProof/>
              </w:rPr>
              <w:t xml:space="preserve"> domácností trpících energetickou chudobou, které využívají program Apollo.</w:t>
            </w:r>
          </w:p>
          <w:p w14:paraId="7D1F5009" w14:textId="4E9606EA" w:rsidR="00515398" w:rsidRDefault="00515398">
            <w:pPr>
              <w:spacing w:after="0" w:line="240" w:lineRule="auto"/>
              <w:rPr>
                <w:rFonts w:eastAsia="Times New Roman" w:cs="Calibri"/>
                <w:noProof/>
                <w:color w:val="006100"/>
                <w:sz w:val="18"/>
                <w:szCs w:val="18"/>
              </w:rPr>
            </w:pPr>
          </w:p>
          <w:p w14:paraId="354E5F5C" w14:textId="77777777" w:rsidR="00515398" w:rsidRDefault="00515398">
            <w:pPr>
              <w:spacing w:after="0" w:line="240" w:lineRule="auto"/>
              <w:rPr>
                <w:rFonts w:eastAsia="Times New Roman" w:cs="Calibri"/>
                <w:noProof/>
                <w:color w:val="006100"/>
                <w:sz w:val="18"/>
                <w:szCs w:val="18"/>
              </w:rPr>
            </w:pPr>
          </w:p>
          <w:p w14:paraId="1AAD0A17" w14:textId="77777777" w:rsidR="00515398" w:rsidRDefault="00515398">
            <w:pPr>
              <w:spacing w:after="0" w:line="240" w:lineRule="auto"/>
              <w:rPr>
                <w:rFonts w:eastAsia="Times New Roman" w:cs="Calibri"/>
                <w:noProof/>
                <w:color w:val="006100"/>
                <w:sz w:val="18"/>
                <w:szCs w:val="18"/>
              </w:rPr>
            </w:pPr>
          </w:p>
        </w:tc>
      </w:tr>
      <w:tr w:rsidR="00515398" w14:paraId="25ECC123" w14:textId="77777777">
        <w:trPr>
          <w:trHeight w:val="3914"/>
        </w:trPr>
        <w:tc>
          <w:tcPr>
            <w:tcW w:w="1027" w:type="dxa"/>
            <w:shd w:val="clear" w:color="auto" w:fill="C6EFCE"/>
            <w:noWrap/>
          </w:tcPr>
          <w:p w14:paraId="00988798" w14:textId="77777777" w:rsidR="00515398" w:rsidRDefault="006711E6">
            <w:pPr>
              <w:pStyle w:val="P68B1DB1-Normal9"/>
              <w:spacing w:after="0" w:line="240" w:lineRule="auto"/>
              <w:rPr>
                <w:rFonts w:eastAsia="Times New Roman" w:cs="Calibri"/>
                <w:noProof/>
                <w:szCs w:val="18"/>
              </w:rPr>
            </w:pPr>
            <w:r>
              <w:rPr>
                <w:noProof/>
              </w:rPr>
              <w:t>26</w:t>
            </w:r>
          </w:p>
        </w:tc>
        <w:tc>
          <w:tcPr>
            <w:tcW w:w="1263" w:type="dxa"/>
            <w:shd w:val="clear" w:color="auto" w:fill="C6EFCE"/>
            <w:noWrap/>
          </w:tcPr>
          <w:p w14:paraId="769686BE" w14:textId="77777777" w:rsidR="00515398" w:rsidRDefault="006711E6">
            <w:pPr>
              <w:pStyle w:val="P68B1DB1-Normal9"/>
              <w:spacing w:after="0" w:line="240" w:lineRule="auto"/>
              <w:rPr>
                <w:rFonts w:eastAsia="Times New Roman" w:cs="Calibri"/>
                <w:noProof/>
                <w:szCs w:val="18"/>
              </w:rPr>
            </w:pPr>
            <w:r>
              <w:rPr>
                <w:noProof/>
              </w:rPr>
              <w:t>2–1.2. Renovace – 16872_Energetická renovace obytných budov</w:t>
            </w:r>
          </w:p>
        </w:tc>
        <w:tc>
          <w:tcPr>
            <w:tcW w:w="966" w:type="dxa"/>
            <w:shd w:val="clear" w:color="auto" w:fill="C6EFCE"/>
            <w:noWrap/>
          </w:tcPr>
          <w:p w14:paraId="07BC0D88" w14:textId="77777777" w:rsidR="00515398" w:rsidRDefault="006711E6">
            <w:pPr>
              <w:pStyle w:val="P68B1DB1-Normal9"/>
              <w:spacing w:after="0" w:line="240" w:lineRule="auto"/>
              <w:rPr>
                <w:rFonts w:eastAsia="Times New Roman" w:cs="Calibri"/>
                <w:noProof/>
                <w:szCs w:val="18"/>
              </w:rPr>
            </w:pPr>
            <w:r>
              <w:rPr>
                <w:noProof/>
              </w:rPr>
              <w:t>Cílová</w:t>
            </w:r>
          </w:p>
        </w:tc>
        <w:tc>
          <w:tcPr>
            <w:tcW w:w="1056" w:type="dxa"/>
            <w:shd w:val="clear" w:color="auto" w:fill="C6EFCE"/>
            <w:noWrap/>
          </w:tcPr>
          <w:p w14:paraId="545FC5A4" w14:textId="77777777" w:rsidR="00515398" w:rsidRDefault="006711E6">
            <w:pPr>
              <w:pStyle w:val="P68B1DB1-Normal9"/>
              <w:spacing w:after="0" w:line="240" w:lineRule="auto"/>
              <w:rPr>
                <w:rFonts w:eastAsia="Times New Roman" w:cs="Calibri"/>
                <w:noProof/>
                <w:szCs w:val="18"/>
              </w:rPr>
            </w:pPr>
            <w:r>
              <w:rPr>
                <w:noProof/>
              </w:rPr>
              <w:t>Renovace obytných budov – renovace obytných domů #3</w:t>
            </w:r>
          </w:p>
        </w:tc>
        <w:tc>
          <w:tcPr>
            <w:tcW w:w="2311" w:type="dxa"/>
            <w:shd w:val="clear" w:color="auto" w:fill="C6EFCE"/>
            <w:noWrap/>
          </w:tcPr>
          <w:p w14:paraId="792DF6FF" w14:textId="77777777" w:rsidR="00515398" w:rsidRDefault="00515398">
            <w:pPr>
              <w:spacing w:after="0" w:line="240" w:lineRule="auto"/>
              <w:rPr>
                <w:rFonts w:eastAsia="Times New Roman" w:cs="Calibri"/>
                <w:noProof/>
                <w:color w:val="006100"/>
                <w:sz w:val="18"/>
                <w:szCs w:val="18"/>
              </w:rPr>
            </w:pPr>
          </w:p>
        </w:tc>
        <w:tc>
          <w:tcPr>
            <w:tcW w:w="1192" w:type="dxa"/>
            <w:shd w:val="clear" w:color="auto" w:fill="C6EFCE"/>
            <w:noWrap/>
          </w:tcPr>
          <w:p w14:paraId="73698D58" w14:textId="77777777" w:rsidR="00515398" w:rsidRDefault="006711E6">
            <w:pPr>
              <w:pStyle w:val="P68B1DB1-Normal9"/>
              <w:spacing w:after="0" w:line="240" w:lineRule="auto"/>
              <w:rPr>
                <w:rFonts w:eastAsia="Times New Roman" w:cs="Calibri"/>
                <w:noProof/>
                <w:szCs w:val="18"/>
              </w:rPr>
            </w:pPr>
            <w:r>
              <w:rPr>
                <w:noProof/>
              </w:rPr>
              <w:t>Počet dokončených certifikovaných renovací</w:t>
            </w:r>
          </w:p>
        </w:tc>
        <w:tc>
          <w:tcPr>
            <w:tcW w:w="999" w:type="dxa"/>
            <w:shd w:val="clear" w:color="auto" w:fill="C6EFCE"/>
            <w:noWrap/>
          </w:tcPr>
          <w:p w14:paraId="33605AC9" w14:textId="76986CAE" w:rsidR="00515398" w:rsidRDefault="006711E6">
            <w:pPr>
              <w:pStyle w:val="P68B1DB1-Normal9"/>
              <w:spacing w:after="0" w:line="240" w:lineRule="auto"/>
              <w:rPr>
                <w:rFonts w:eastAsia="Times New Roman" w:cs="Calibri"/>
                <w:noProof/>
                <w:szCs w:val="18"/>
              </w:rPr>
            </w:pPr>
            <w:r>
              <w:rPr>
                <w:noProof/>
              </w:rPr>
              <w:t>8 000</w:t>
            </w:r>
          </w:p>
        </w:tc>
        <w:tc>
          <w:tcPr>
            <w:tcW w:w="820" w:type="dxa"/>
            <w:shd w:val="clear" w:color="auto" w:fill="C6EFCE"/>
            <w:noWrap/>
          </w:tcPr>
          <w:p w14:paraId="1287A791" w14:textId="1126A9B9" w:rsidR="00515398" w:rsidRDefault="006711E6">
            <w:pPr>
              <w:pStyle w:val="P68B1DB1-Normal9"/>
              <w:spacing w:after="0" w:line="240" w:lineRule="auto"/>
              <w:rPr>
                <w:rFonts w:eastAsia="Times New Roman" w:cs="Calibri"/>
                <w:noProof/>
                <w:szCs w:val="18"/>
              </w:rPr>
            </w:pPr>
            <w:r>
              <w:rPr>
                <w:noProof/>
              </w:rPr>
              <w:t>105 000</w:t>
            </w:r>
          </w:p>
        </w:tc>
        <w:tc>
          <w:tcPr>
            <w:tcW w:w="851" w:type="dxa"/>
            <w:shd w:val="clear" w:color="auto" w:fill="C6EFCE"/>
            <w:noWrap/>
          </w:tcPr>
          <w:p w14:paraId="7934114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5D87EC6B" w14:textId="77777777" w:rsidR="00515398" w:rsidRDefault="006711E6">
            <w:pPr>
              <w:pStyle w:val="P68B1DB1-Normal9"/>
              <w:spacing w:after="0" w:line="240" w:lineRule="auto"/>
              <w:rPr>
                <w:rFonts w:eastAsia="Times New Roman" w:cs="Calibri"/>
                <w:noProof/>
                <w:szCs w:val="18"/>
              </w:rPr>
            </w:pPr>
            <w:r>
              <w:rPr>
                <w:noProof/>
              </w:rPr>
              <w:t>2025</w:t>
            </w:r>
          </w:p>
        </w:tc>
        <w:tc>
          <w:tcPr>
            <w:tcW w:w="3997" w:type="dxa"/>
            <w:shd w:val="clear" w:color="auto" w:fill="C6EFCE"/>
            <w:noWrap/>
          </w:tcPr>
          <w:p w14:paraId="20A99CB0" w14:textId="508E50B0" w:rsidR="00515398" w:rsidRDefault="006711E6">
            <w:pPr>
              <w:pStyle w:val="P68B1DB1-Normal10"/>
              <w:spacing w:after="0" w:line="240" w:lineRule="auto"/>
              <w:rPr>
                <w:noProof/>
              </w:rPr>
            </w:pPr>
            <w:r>
              <w:rPr>
                <w:noProof/>
              </w:rPr>
              <w:t>Dokončení renovací za účelem zvýšení energetické účinnosti dokončených u 105000 bytů, z nichž nejméně 20000 musí být domácnosti trpící energetickou chudobou. Snížení energie odpovídá 213 ktoe ročně a na základě předložených cer</w:t>
            </w:r>
            <w:r>
              <w:rPr>
                <w:noProof/>
              </w:rPr>
              <w:t xml:space="preserve">tifikátů energetické náročnosti dosahuje v průměru alespoň 30 % úspor primární energie. </w:t>
            </w:r>
          </w:p>
        </w:tc>
      </w:tr>
    </w:tbl>
    <w:p w14:paraId="06BA3435" w14:textId="77777777" w:rsidR="00515398" w:rsidRDefault="00515398">
      <w:pPr>
        <w:spacing w:before="120" w:after="120" w:line="240" w:lineRule="auto"/>
        <w:ind w:left="709"/>
        <w:jc w:val="both"/>
        <w:rPr>
          <w:rFonts w:ascii="Times New Roman" w:hAnsi="Times New Roman" w:cs="Times New Roman"/>
          <w:noProof/>
          <w:sz w:val="24"/>
          <w:szCs w:val="24"/>
        </w:rPr>
      </w:pPr>
    </w:p>
    <w:p w14:paraId="4797370A" w14:textId="77777777" w:rsidR="00515398" w:rsidRDefault="00515398">
      <w:pPr>
        <w:keepNext/>
        <w:keepLines/>
        <w:spacing w:before="40" w:after="0" w:line="240" w:lineRule="auto"/>
        <w:jc w:val="both"/>
        <w:outlineLvl w:val="4"/>
        <w:rPr>
          <w:rFonts w:ascii="Cambria" w:hAnsi="Cambria"/>
          <w:noProof/>
          <w:color w:val="365F91"/>
          <w:sz w:val="24"/>
        </w:rPr>
        <w:sectPr w:rsidR="00515398" w:rsidSect="00271D33">
          <w:headerReference w:type="even" r:id="rId37"/>
          <w:headerReference w:type="default" r:id="rId38"/>
          <w:footerReference w:type="even" r:id="rId39"/>
          <w:footerReference w:type="default" r:id="rId40"/>
          <w:headerReference w:type="first" r:id="rId41"/>
          <w:footerReference w:type="first" r:id="rId42"/>
          <w:pgSz w:w="16839" w:h="11907" w:orient="landscape"/>
          <w:pgMar w:top="1134" w:right="1134" w:bottom="1134" w:left="1134" w:header="567" w:footer="567" w:gutter="0"/>
          <w:cols w:space="720"/>
          <w:docGrid w:linePitch="360"/>
        </w:sectPr>
      </w:pPr>
    </w:p>
    <w:p w14:paraId="0F275CB8" w14:textId="77777777" w:rsidR="00515398" w:rsidRDefault="006711E6">
      <w:pPr>
        <w:pStyle w:val="P68B1DB1-Normal6"/>
        <w:keepNext/>
        <w:keepLines/>
        <w:spacing w:before="40" w:after="0" w:line="240" w:lineRule="auto"/>
        <w:jc w:val="both"/>
        <w:outlineLvl w:val="4"/>
        <w:rPr>
          <w:noProof/>
        </w:rPr>
      </w:pPr>
      <w:r>
        <w:rPr>
          <w:noProof/>
        </w:rPr>
        <w:t>Klíčová reforma 2: Městské plány</w:t>
      </w:r>
    </w:p>
    <w:p w14:paraId="741CA966"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W w:w="1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917"/>
        <w:gridCol w:w="993"/>
        <w:gridCol w:w="1120"/>
        <w:gridCol w:w="1440"/>
        <w:gridCol w:w="1125"/>
        <w:gridCol w:w="1281"/>
        <w:gridCol w:w="705"/>
        <w:gridCol w:w="984"/>
        <w:gridCol w:w="709"/>
        <w:gridCol w:w="4450"/>
      </w:tblGrid>
      <w:tr w:rsidR="00515398" w14:paraId="32EBB711" w14:textId="77777777">
        <w:trPr>
          <w:trHeight w:val="844"/>
          <w:jc w:val="center"/>
        </w:trPr>
        <w:tc>
          <w:tcPr>
            <w:tcW w:w="1027" w:type="dxa"/>
            <w:vMerge w:val="restart"/>
            <w:shd w:val="clear" w:color="auto" w:fill="BDD7EE"/>
            <w:vAlign w:val="center"/>
            <w:hideMark/>
          </w:tcPr>
          <w:p w14:paraId="0A9BB4DB"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917" w:type="dxa"/>
            <w:vMerge w:val="restart"/>
            <w:shd w:val="clear" w:color="auto" w:fill="BDD7EE"/>
            <w:vAlign w:val="center"/>
            <w:hideMark/>
          </w:tcPr>
          <w:p w14:paraId="1275E059"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93" w:type="dxa"/>
            <w:vMerge w:val="restart"/>
            <w:shd w:val="clear" w:color="auto" w:fill="BDD7EE"/>
            <w:vAlign w:val="center"/>
            <w:hideMark/>
          </w:tcPr>
          <w:p w14:paraId="4F2C5EF1"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120" w:type="dxa"/>
            <w:vMerge w:val="restart"/>
            <w:shd w:val="clear" w:color="auto" w:fill="BDD7EE"/>
            <w:vAlign w:val="center"/>
            <w:hideMark/>
          </w:tcPr>
          <w:p w14:paraId="74432E9F"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40" w:type="dxa"/>
            <w:vMerge w:val="restart"/>
            <w:shd w:val="clear" w:color="auto" w:fill="BDD7EE"/>
            <w:vAlign w:val="center"/>
            <w:hideMark/>
          </w:tcPr>
          <w:p w14:paraId="50607941"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111" w:type="dxa"/>
            <w:gridSpan w:val="3"/>
            <w:shd w:val="clear" w:color="auto" w:fill="BDD7EE"/>
            <w:vAlign w:val="center"/>
            <w:hideMark/>
          </w:tcPr>
          <w:p w14:paraId="2018973F"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58" w:type="dxa"/>
            <w:gridSpan w:val="2"/>
            <w:shd w:val="clear" w:color="auto" w:fill="BDD7EE"/>
            <w:vAlign w:val="center"/>
            <w:hideMark/>
          </w:tcPr>
          <w:p w14:paraId="6A6EFD30"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450" w:type="dxa"/>
            <w:vMerge w:val="restart"/>
            <w:shd w:val="clear" w:color="auto" w:fill="BDD7EE"/>
            <w:vAlign w:val="center"/>
            <w:hideMark/>
          </w:tcPr>
          <w:p w14:paraId="3EF40835"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3BE219C0" w14:textId="77777777">
        <w:trPr>
          <w:trHeight w:val="601"/>
          <w:tblHeader/>
          <w:jc w:val="center"/>
        </w:trPr>
        <w:tc>
          <w:tcPr>
            <w:tcW w:w="1027" w:type="dxa"/>
            <w:vMerge/>
            <w:vAlign w:val="center"/>
            <w:hideMark/>
          </w:tcPr>
          <w:p w14:paraId="17DACA8A" w14:textId="77777777" w:rsidR="00515398" w:rsidRDefault="00515398">
            <w:pPr>
              <w:spacing w:after="0" w:line="240" w:lineRule="auto"/>
              <w:rPr>
                <w:rFonts w:ascii="Times New Roman" w:eastAsia="Times New Roman" w:hAnsi="Times New Roman" w:cs="Times New Roman"/>
                <w:b/>
                <w:bCs/>
                <w:noProof/>
                <w:sz w:val="18"/>
                <w:szCs w:val="18"/>
              </w:rPr>
            </w:pPr>
          </w:p>
        </w:tc>
        <w:tc>
          <w:tcPr>
            <w:tcW w:w="1917" w:type="dxa"/>
            <w:vMerge/>
            <w:vAlign w:val="center"/>
            <w:hideMark/>
          </w:tcPr>
          <w:p w14:paraId="3F98CEEC" w14:textId="77777777" w:rsidR="00515398" w:rsidRDefault="00515398">
            <w:pPr>
              <w:spacing w:after="0" w:line="240" w:lineRule="auto"/>
              <w:rPr>
                <w:rFonts w:ascii="Times New Roman" w:eastAsia="Times New Roman" w:hAnsi="Times New Roman" w:cs="Times New Roman"/>
                <w:b/>
                <w:bCs/>
                <w:noProof/>
                <w:sz w:val="18"/>
                <w:szCs w:val="18"/>
              </w:rPr>
            </w:pPr>
          </w:p>
        </w:tc>
        <w:tc>
          <w:tcPr>
            <w:tcW w:w="993" w:type="dxa"/>
            <w:vMerge/>
            <w:vAlign w:val="center"/>
            <w:hideMark/>
          </w:tcPr>
          <w:p w14:paraId="644715D0" w14:textId="77777777" w:rsidR="00515398" w:rsidRDefault="00515398">
            <w:pPr>
              <w:spacing w:after="0" w:line="240" w:lineRule="auto"/>
              <w:rPr>
                <w:rFonts w:ascii="Times New Roman" w:eastAsia="Times New Roman" w:hAnsi="Times New Roman" w:cs="Times New Roman"/>
                <w:b/>
                <w:bCs/>
                <w:noProof/>
                <w:sz w:val="18"/>
                <w:szCs w:val="18"/>
              </w:rPr>
            </w:pPr>
          </w:p>
        </w:tc>
        <w:tc>
          <w:tcPr>
            <w:tcW w:w="1120" w:type="dxa"/>
            <w:vMerge/>
            <w:vAlign w:val="center"/>
            <w:hideMark/>
          </w:tcPr>
          <w:p w14:paraId="161CC3DA" w14:textId="77777777" w:rsidR="00515398" w:rsidRDefault="00515398">
            <w:pPr>
              <w:spacing w:after="0" w:line="240" w:lineRule="auto"/>
              <w:rPr>
                <w:rFonts w:ascii="Times New Roman" w:eastAsia="Times New Roman" w:hAnsi="Times New Roman" w:cs="Times New Roman"/>
                <w:b/>
                <w:bCs/>
                <w:noProof/>
                <w:sz w:val="18"/>
                <w:szCs w:val="18"/>
              </w:rPr>
            </w:pPr>
          </w:p>
        </w:tc>
        <w:tc>
          <w:tcPr>
            <w:tcW w:w="1440" w:type="dxa"/>
            <w:vMerge/>
            <w:vAlign w:val="center"/>
            <w:hideMark/>
          </w:tcPr>
          <w:p w14:paraId="68923C43" w14:textId="77777777" w:rsidR="00515398" w:rsidRDefault="00515398">
            <w:pPr>
              <w:spacing w:after="0" w:line="240" w:lineRule="auto"/>
              <w:rPr>
                <w:rFonts w:ascii="Times New Roman" w:eastAsia="Times New Roman" w:hAnsi="Times New Roman" w:cs="Times New Roman"/>
                <w:b/>
                <w:bCs/>
                <w:noProof/>
                <w:sz w:val="18"/>
                <w:szCs w:val="18"/>
              </w:rPr>
            </w:pPr>
          </w:p>
        </w:tc>
        <w:tc>
          <w:tcPr>
            <w:tcW w:w="1125" w:type="dxa"/>
            <w:shd w:val="clear" w:color="auto" w:fill="BDD7EE"/>
            <w:vAlign w:val="center"/>
            <w:hideMark/>
          </w:tcPr>
          <w:p w14:paraId="4D1ECDC6"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1281" w:type="dxa"/>
            <w:shd w:val="clear" w:color="auto" w:fill="BDD7EE"/>
            <w:vAlign w:val="center"/>
            <w:hideMark/>
          </w:tcPr>
          <w:p w14:paraId="31C9134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05" w:type="dxa"/>
            <w:shd w:val="clear" w:color="auto" w:fill="BDD7EE"/>
            <w:vAlign w:val="center"/>
            <w:hideMark/>
          </w:tcPr>
          <w:p w14:paraId="09F639CE"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49" w:type="dxa"/>
            <w:shd w:val="clear" w:color="auto" w:fill="BDD7EE"/>
            <w:vAlign w:val="center"/>
            <w:hideMark/>
          </w:tcPr>
          <w:p w14:paraId="46145C97"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shd w:val="clear" w:color="auto" w:fill="BDD7EE"/>
            <w:vAlign w:val="center"/>
            <w:hideMark/>
          </w:tcPr>
          <w:p w14:paraId="1630F502"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450" w:type="dxa"/>
            <w:vMerge/>
            <w:vAlign w:val="center"/>
            <w:hideMark/>
          </w:tcPr>
          <w:p w14:paraId="6F3413A2"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63FECD43" w14:textId="77777777">
        <w:trPr>
          <w:trHeight w:val="313"/>
          <w:tblHeader/>
          <w:jc w:val="center"/>
        </w:trPr>
        <w:tc>
          <w:tcPr>
            <w:tcW w:w="1027" w:type="dxa"/>
            <w:shd w:val="clear" w:color="auto" w:fill="C6EFCE"/>
            <w:noWrap/>
          </w:tcPr>
          <w:p w14:paraId="6C02A3CD" w14:textId="77777777" w:rsidR="00515398" w:rsidRDefault="006711E6">
            <w:pPr>
              <w:pStyle w:val="P68B1DB1-Normal9"/>
              <w:spacing w:after="0" w:line="240" w:lineRule="auto"/>
              <w:rPr>
                <w:rFonts w:eastAsia="Times New Roman" w:cs="Calibri"/>
                <w:noProof/>
                <w:szCs w:val="18"/>
              </w:rPr>
            </w:pPr>
            <w:r>
              <w:rPr>
                <w:noProof/>
              </w:rPr>
              <w:t>27</w:t>
            </w:r>
          </w:p>
        </w:tc>
        <w:tc>
          <w:tcPr>
            <w:tcW w:w="1917" w:type="dxa"/>
            <w:shd w:val="clear" w:color="auto" w:fill="C6EFCE"/>
            <w:noWrap/>
          </w:tcPr>
          <w:p w14:paraId="3C52F37F" w14:textId="77777777" w:rsidR="00515398" w:rsidRDefault="006711E6">
            <w:pPr>
              <w:pStyle w:val="P68B1DB1-Normal9"/>
              <w:spacing w:after="0" w:line="240" w:lineRule="auto"/>
              <w:rPr>
                <w:rFonts w:eastAsia="Times New Roman" w:cs="Calibri"/>
                <w:noProof/>
                <w:szCs w:val="18"/>
              </w:rPr>
            </w:pPr>
            <w:r>
              <w:rPr>
                <w:noProof/>
              </w:rPr>
              <w:t xml:space="preserve">2–1.2. Renovace – 16879_Příprava </w:t>
            </w:r>
            <w:r>
              <w:rPr>
                <w:noProof/>
              </w:rPr>
              <w:t>městských plánů při provádění reformy městské politiky</w:t>
            </w:r>
          </w:p>
        </w:tc>
        <w:tc>
          <w:tcPr>
            <w:tcW w:w="993" w:type="dxa"/>
            <w:shd w:val="clear" w:color="auto" w:fill="C6EFCE"/>
            <w:noWrap/>
          </w:tcPr>
          <w:p w14:paraId="55542B13" w14:textId="77777777" w:rsidR="00515398" w:rsidRDefault="006711E6">
            <w:pPr>
              <w:pStyle w:val="P68B1DB1-Normal9"/>
              <w:spacing w:after="0" w:line="240" w:lineRule="auto"/>
              <w:rPr>
                <w:rFonts w:eastAsia="Times New Roman" w:cs="Calibri"/>
                <w:noProof/>
                <w:szCs w:val="18"/>
              </w:rPr>
            </w:pPr>
            <w:r>
              <w:rPr>
                <w:noProof/>
              </w:rPr>
              <w:t>Milník</w:t>
            </w:r>
          </w:p>
        </w:tc>
        <w:tc>
          <w:tcPr>
            <w:tcW w:w="1120" w:type="dxa"/>
            <w:shd w:val="clear" w:color="auto" w:fill="C6EFCE"/>
            <w:noWrap/>
          </w:tcPr>
          <w:p w14:paraId="19054CE0" w14:textId="77777777" w:rsidR="00515398" w:rsidRDefault="006711E6">
            <w:pPr>
              <w:pStyle w:val="P68B1DB1-Normal9"/>
              <w:spacing w:after="0" w:line="240" w:lineRule="auto"/>
              <w:rPr>
                <w:rFonts w:eastAsia="Times New Roman" w:cs="Calibri"/>
                <w:noProof/>
                <w:szCs w:val="18"/>
              </w:rPr>
            </w:pPr>
            <w:r>
              <w:rPr>
                <w:noProof/>
              </w:rPr>
              <w:t>Ocenění Městské plány</w:t>
            </w:r>
          </w:p>
        </w:tc>
        <w:tc>
          <w:tcPr>
            <w:tcW w:w="1440" w:type="dxa"/>
            <w:shd w:val="clear" w:color="auto" w:fill="C6EFCE"/>
            <w:noWrap/>
          </w:tcPr>
          <w:p w14:paraId="7B62E019" w14:textId="77777777" w:rsidR="00515398" w:rsidRDefault="006711E6">
            <w:pPr>
              <w:pStyle w:val="P68B1DB1-Normal9"/>
              <w:spacing w:after="0" w:line="240" w:lineRule="auto"/>
              <w:rPr>
                <w:rFonts w:eastAsia="Times New Roman" w:cs="Calibri"/>
                <w:noProof/>
                <w:szCs w:val="18"/>
              </w:rPr>
            </w:pPr>
            <w:r>
              <w:rPr>
                <w:noProof/>
              </w:rPr>
              <w:t>Oznámení o zadání zakázek</w:t>
            </w:r>
          </w:p>
        </w:tc>
        <w:tc>
          <w:tcPr>
            <w:tcW w:w="1125" w:type="dxa"/>
            <w:shd w:val="clear" w:color="auto" w:fill="C6EFCE"/>
            <w:noWrap/>
          </w:tcPr>
          <w:p w14:paraId="1B3C1E2A" w14:textId="77777777" w:rsidR="00515398" w:rsidRDefault="00515398">
            <w:pPr>
              <w:spacing w:after="0" w:line="240" w:lineRule="auto"/>
              <w:rPr>
                <w:rFonts w:eastAsia="Times New Roman" w:cs="Calibri"/>
                <w:noProof/>
                <w:color w:val="006100"/>
                <w:sz w:val="18"/>
                <w:szCs w:val="18"/>
              </w:rPr>
            </w:pPr>
          </w:p>
        </w:tc>
        <w:tc>
          <w:tcPr>
            <w:tcW w:w="1281" w:type="dxa"/>
            <w:shd w:val="clear" w:color="auto" w:fill="C6EFCE"/>
            <w:noWrap/>
          </w:tcPr>
          <w:p w14:paraId="6C5DE721" w14:textId="77777777" w:rsidR="00515398" w:rsidRDefault="00515398">
            <w:pPr>
              <w:spacing w:after="0" w:line="240" w:lineRule="auto"/>
              <w:rPr>
                <w:rFonts w:eastAsia="Times New Roman" w:cs="Calibri"/>
                <w:noProof/>
                <w:color w:val="006100"/>
                <w:sz w:val="18"/>
                <w:szCs w:val="18"/>
              </w:rPr>
            </w:pPr>
          </w:p>
        </w:tc>
        <w:tc>
          <w:tcPr>
            <w:tcW w:w="705" w:type="dxa"/>
            <w:shd w:val="clear" w:color="auto" w:fill="C6EFCE"/>
            <w:noWrap/>
          </w:tcPr>
          <w:p w14:paraId="6978CDD4" w14:textId="77777777" w:rsidR="00515398" w:rsidRDefault="00515398">
            <w:pPr>
              <w:spacing w:after="0" w:line="240" w:lineRule="auto"/>
              <w:rPr>
                <w:rFonts w:eastAsia="Times New Roman" w:cs="Calibri"/>
                <w:noProof/>
                <w:color w:val="006100"/>
                <w:sz w:val="18"/>
                <w:szCs w:val="18"/>
              </w:rPr>
            </w:pPr>
          </w:p>
        </w:tc>
        <w:tc>
          <w:tcPr>
            <w:tcW w:w="849" w:type="dxa"/>
            <w:shd w:val="clear" w:color="auto" w:fill="C6EFCE"/>
            <w:noWrap/>
          </w:tcPr>
          <w:p w14:paraId="5A7D2D2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0F395981" w14:textId="77777777" w:rsidR="00515398" w:rsidRDefault="006711E6">
            <w:pPr>
              <w:pStyle w:val="P68B1DB1-Normal9"/>
              <w:spacing w:after="0" w:line="240" w:lineRule="auto"/>
              <w:rPr>
                <w:rFonts w:eastAsia="Times New Roman" w:cs="Calibri"/>
                <w:noProof/>
                <w:szCs w:val="18"/>
              </w:rPr>
            </w:pPr>
            <w:r>
              <w:rPr>
                <w:noProof/>
              </w:rPr>
              <w:t>2022</w:t>
            </w:r>
          </w:p>
        </w:tc>
        <w:tc>
          <w:tcPr>
            <w:tcW w:w="4450" w:type="dxa"/>
            <w:shd w:val="clear" w:color="auto" w:fill="C6EFCE"/>
            <w:noWrap/>
          </w:tcPr>
          <w:p w14:paraId="262B6FC6" w14:textId="77777777" w:rsidR="00515398" w:rsidRDefault="006711E6">
            <w:pPr>
              <w:pStyle w:val="P68B1DB1-Normal10"/>
              <w:spacing w:after="0" w:line="240" w:lineRule="auto"/>
              <w:rPr>
                <w:rFonts w:eastAsia="Times New Roman" w:cs="Calibri"/>
                <w:noProof/>
              </w:rPr>
            </w:pPr>
            <w:r>
              <w:rPr>
                <w:noProof/>
              </w:rPr>
              <w:t xml:space="preserve">Oznámení o zadání 30 % všech zakázek (u všech intervencí): </w:t>
            </w:r>
          </w:p>
          <w:p w14:paraId="6B6BC476" w14:textId="77777777" w:rsidR="00515398" w:rsidRDefault="006711E6">
            <w:pPr>
              <w:pStyle w:val="P68B1DB1-Normal9"/>
              <w:spacing w:after="0" w:line="240" w:lineRule="auto"/>
              <w:rPr>
                <w:rFonts w:eastAsia="Times New Roman" w:cs="Calibri"/>
                <w:noProof/>
                <w:szCs w:val="18"/>
              </w:rPr>
            </w:pPr>
            <w:r>
              <w:rPr>
                <w:noProof/>
              </w:rPr>
              <w:t>1. příprava místních městských plánů;</w:t>
            </w:r>
          </w:p>
          <w:p w14:paraId="205CD24A" w14:textId="77777777" w:rsidR="00515398" w:rsidRDefault="006711E6">
            <w:pPr>
              <w:pStyle w:val="P68B1DB1-Normal9"/>
              <w:spacing w:after="0" w:line="240" w:lineRule="auto"/>
              <w:rPr>
                <w:rFonts w:eastAsia="Times New Roman" w:cs="Calibri"/>
                <w:noProof/>
                <w:szCs w:val="18"/>
              </w:rPr>
            </w:pPr>
            <w:r>
              <w:rPr>
                <w:noProof/>
              </w:rPr>
              <w:t xml:space="preserve">2. příprava zvláštních </w:t>
            </w:r>
            <w:r>
              <w:rPr>
                <w:noProof/>
              </w:rPr>
              <w:t>plánů měst;</w:t>
            </w:r>
          </w:p>
          <w:p w14:paraId="23FC1842" w14:textId="77777777" w:rsidR="00515398" w:rsidRDefault="006711E6">
            <w:pPr>
              <w:pStyle w:val="P68B1DB1-Normal9"/>
              <w:spacing w:after="0" w:line="240" w:lineRule="auto"/>
              <w:rPr>
                <w:rFonts w:eastAsia="Times New Roman" w:cs="Calibri"/>
                <w:noProof/>
                <w:szCs w:val="18"/>
              </w:rPr>
            </w:pPr>
            <w:r>
              <w:rPr>
                <w:noProof/>
              </w:rPr>
              <w:t>3. příprava nezávislých plánů pro vymezení zón pro převod rozvojových práv;</w:t>
            </w:r>
          </w:p>
          <w:p w14:paraId="193B585F" w14:textId="77777777" w:rsidR="00515398" w:rsidRDefault="006711E6">
            <w:pPr>
              <w:pStyle w:val="P68B1DB1-Normal9"/>
              <w:spacing w:after="0" w:line="240" w:lineRule="auto"/>
              <w:rPr>
                <w:rFonts w:eastAsia="Times New Roman" w:cs="Calibri"/>
                <w:noProof/>
                <w:szCs w:val="18"/>
              </w:rPr>
            </w:pPr>
            <w:r>
              <w:rPr>
                <w:noProof/>
              </w:rPr>
              <w:t>4. příprava nezávislých plánů pro vymezení vypořádání; a pokud</w:t>
            </w:r>
          </w:p>
          <w:p w14:paraId="14B9F76D" w14:textId="77777777" w:rsidR="00515398" w:rsidRDefault="006711E6">
            <w:pPr>
              <w:pStyle w:val="P68B1DB1-Normal9"/>
              <w:spacing w:after="0" w:line="240" w:lineRule="auto"/>
              <w:rPr>
                <w:rFonts w:eastAsia="Times New Roman" w:cs="Calibri"/>
                <w:noProof/>
                <w:szCs w:val="18"/>
              </w:rPr>
            </w:pPr>
            <w:r>
              <w:rPr>
                <w:noProof/>
              </w:rPr>
              <w:t>5. příprava nezávislých plánů pro charakterizaci obecních silnic.</w:t>
            </w:r>
          </w:p>
          <w:p w14:paraId="3D55CBF1" w14:textId="77777777" w:rsidR="00515398" w:rsidRDefault="00515398">
            <w:pPr>
              <w:spacing w:after="0" w:line="240" w:lineRule="auto"/>
              <w:rPr>
                <w:rFonts w:eastAsia="Times New Roman" w:cs="Calibri"/>
                <w:noProof/>
                <w:color w:val="006100"/>
                <w:sz w:val="18"/>
                <w:szCs w:val="18"/>
              </w:rPr>
            </w:pPr>
          </w:p>
          <w:p w14:paraId="1F7DB0FF" w14:textId="77777777" w:rsidR="00515398" w:rsidRDefault="006711E6">
            <w:pPr>
              <w:pStyle w:val="P68B1DB1-Normal9"/>
              <w:spacing w:after="0" w:line="240" w:lineRule="auto"/>
              <w:rPr>
                <w:rFonts w:eastAsia="Times New Roman" w:cs="Calibri"/>
                <w:noProof/>
                <w:szCs w:val="18"/>
              </w:rPr>
            </w:pPr>
            <w:r>
              <w:rPr>
                <w:noProof/>
              </w:rPr>
              <w:t>Místní městské plány by měly zahrnovat</w:t>
            </w:r>
            <w:r>
              <w:rPr>
                <w:noProof/>
              </w:rPr>
              <w:t xml:space="preserve"> zvláštní kapitolu o opatřeních v oblasti změny klimatu a prevenci a řízení rizik souvisejících s klimatem);</w:t>
            </w:r>
          </w:p>
          <w:p w14:paraId="33FBF550" w14:textId="77777777" w:rsidR="00515398" w:rsidRDefault="00515398">
            <w:pPr>
              <w:spacing w:after="0" w:line="240" w:lineRule="auto"/>
              <w:rPr>
                <w:rFonts w:eastAsia="Times New Roman" w:cs="Calibri"/>
                <w:noProof/>
                <w:color w:val="006100"/>
                <w:sz w:val="18"/>
                <w:szCs w:val="18"/>
              </w:rPr>
            </w:pPr>
          </w:p>
        </w:tc>
      </w:tr>
      <w:tr w:rsidR="00515398" w14:paraId="6B8BD066" w14:textId="77777777">
        <w:trPr>
          <w:trHeight w:val="313"/>
          <w:tblHeader/>
          <w:jc w:val="center"/>
        </w:trPr>
        <w:tc>
          <w:tcPr>
            <w:tcW w:w="1027" w:type="dxa"/>
            <w:shd w:val="clear" w:color="auto" w:fill="C6EFCE"/>
            <w:noWrap/>
          </w:tcPr>
          <w:p w14:paraId="3D82E129" w14:textId="2EA7B106" w:rsidR="00515398" w:rsidRDefault="006711E6">
            <w:pPr>
              <w:pStyle w:val="P68B1DB1-Normal9"/>
              <w:spacing w:after="0" w:line="240" w:lineRule="auto"/>
              <w:rPr>
                <w:noProof/>
              </w:rPr>
            </w:pPr>
            <w:r>
              <w:rPr>
                <w:noProof/>
              </w:rPr>
              <w:t>28</w:t>
            </w:r>
          </w:p>
        </w:tc>
        <w:tc>
          <w:tcPr>
            <w:tcW w:w="1917" w:type="dxa"/>
            <w:shd w:val="clear" w:color="auto" w:fill="C6EFCE"/>
            <w:noWrap/>
          </w:tcPr>
          <w:p w14:paraId="6104B849" w14:textId="723EF304" w:rsidR="00515398" w:rsidRDefault="006711E6">
            <w:pPr>
              <w:pStyle w:val="P68B1DB1-Normal9"/>
              <w:spacing w:after="0" w:line="240" w:lineRule="auto"/>
              <w:rPr>
                <w:noProof/>
              </w:rPr>
            </w:pPr>
            <w:r>
              <w:rPr>
                <w:noProof/>
              </w:rPr>
              <w:t>2–1.2. Renovace – 16879_Příprava městských plánů při provádění reformy městské politiky</w:t>
            </w:r>
          </w:p>
        </w:tc>
        <w:tc>
          <w:tcPr>
            <w:tcW w:w="993" w:type="dxa"/>
            <w:shd w:val="clear" w:color="auto" w:fill="C6EFCE"/>
            <w:noWrap/>
          </w:tcPr>
          <w:p w14:paraId="0D1EB2EC" w14:textId="73FDD75D" w:rsidR="00515398" w:rsidRDefault="006711E6">
            <w:pPr>
              <w:pStyle w:val="P68B1DB1-Normal9"/>
              <w:spacing w:after="0" w:line="240" w:lineRule="auto"/>
              <w:rPr>
                <w:noProof/>
              </w:rPr>
            </w:pPr>
            <w:r>
              <w:rPr>
                <w:noProof/>
              </w:rPr>
              <w:t>Milník</w:t>
            </w:r>
          </w:p>
        </w:tc>
        <w:tc>
          <w:tcPr>
            <w:tcW w:w="1120" w:type="dxa"/>
            <w:shd w:val="clear" w:color="auto" w:fill="C6EFCE"/>
            <w:noWrap/>
          </w:tcPr>
          <w:p w14:paraId="6DC2B883" w14:textId="6C3BEED0" w:rsidR="00515398" w:rsidRDefault="006711E6">
            <w:pPr>
              <w:pStyle w:val="P68B1DB1-Normal9"/>
              <w:spacing w:after="0" w:line="240" w:lineRule="auto"/>
              <w:rPr>
                <w:noProof/>
              </w:rPr>
            </w:pPr>
            <w:r>
              <w:rPr>
                <w:noProof/>
              </w:rPr>
              <w:t>Ocenění Městské plány</w:t>
            </w:r>
          </w:p>
        </w:tc>
        <w:tc>
          <w:tcPr>
            <w:tcW w:w="1440" w:type="dxa"/>
            <w:shd w:val="clear" w:color="auto" w:fill="C6EFCE"/>
            <w:noWrap/>
          </w:tcPr>
          <w:p w14:paraId="622D5CF1" w14:textId="52458E48" w:rsidR="00515398" w:rsidRDefault="006711E6">
            <w:pPr>
              <w:pStyle w:val="P68B1DB1-Normal9"/>
              <w:spacing w:after="0" w:line="240" w:lineRule="auto"/>
              <w:rPr>
                <w:noProof/>
              </w:rPr>
            </w:pPr>
            <w:r>
              <w:rPr>
                <w:noProof/>
              </w:rPr>
              <w:t>Oznámení o zadání zakázek</w:t>
            </w:r>
          </w:p>
        </w:tc>
        <w:tc>
          <w:tcPr>
            <w:tcW w:w="1125" w:type="dxa"/>
            <w:shd w:val="clear" w:color="auto" w:fill="C6EFCE"/>
            <w:noWrap/>
          </w:tcPr>
          <w:p w14:paraId="0153845D" w14:textId="77777777" w:rsidR="00515398" w:rsidRDefault="00515398">
            <w:pPr>
              <w:spacing w:after="0" w:line="240" w:lineRule="auto"/>
              <w:rPr>
                <w:rFonts w:eastAsia="Times New Roman" w:cs="Calibri"/>
                <w:noProof/>
                <w:color w:val="006100"/>
                <w:sz w:val="18"/>
                <w:szCs w:val="18"/>
              </w:rPr>
            </w:pPr>
          </w:p>
        </w:tc>
        <w:tc>
          <w:tcPr>
            <w:tcW w:w="1281" w:type="dxa"/>
            <w:shd w:val="clear" w:color="auto" w:fill="C6EFCE"/>
            <w:noWrap/>
          </w:tcPr>
          <w:p w14:paraId="7C098C18" w14:textId="77777777" w:rsidR="00515398" w:rsidRDefault="00515398">
            <w:pPr>
              <w:spacing w:after="0" w:line="240" w:lineRule="auto"/>
              <w:rPr>
                <w:rFonts w:eastAsia="Times New Roman" w:cs="Calibri"/>
                <w:noProof/>
                <w:color w:val="006100"/>
                <w:sz w:val="18"/>
                <w:szCs w:val="18"/>
              </w:rPr>
            </w:pPr>
          </w:p>
        </w:tc>
        <w:tc>
          <w:tcPr>
            <w:tcW w:w="705" w:type="dxa"/>
            <w:shd w:val="clear" w:color="auto" w:fill="C6EFCE"/>
            <w:noWrap/>
          </w:tcPr>
          <w:p w14:paraId="15506A49" w14:textId="77777777" w:rsidR="00515398" w:rsidRDefault="00515398">
            <w:pPr>
              <w:spacing w:after="0" w:line="240" w:lineRule="auto"/>
              <w:rPr>
                <w:rFonts w:eastAsia="Times New Roman" w:cs="Calibri"/>
                <w:noProof/>
                <w:color w:val="006100"/>
                <w:sz w:val="18"/>
                <w:szCs w:val="18"/>
              </w:rPr>
            </w:pPr>
          </w:p>
        </w:tc>
        <w:tc>
          <w:tcPr>
            <w:tcW w:w="849" w:type="dxa"/>
            <w:shd w:val="clear" w:color="auto" w:fill="C6EFCE"/>
            <w:noWrap/>
          </w:tcPr>
          <w:p w14:paraId="490A3162" w14:textId="51704F93" w:rsidR="00515398" w:rsidRDefault="006711E6">
            <w:pPr>
              <w:pStyle w:val="P68B1DB1-Normal9"/>
              <w:spacing w:after="0" w:line="240" w:lineRule="auto"/>
              <w:rPr>
                <w:noProof/>
              </w:rPr>
            </w:pPr>
            <w:r>
              <w:rPr>
                <w:noProof/>
              </w:rPr>
              <w:t>ČTVRTLETÍ ČTVRT</w:t>
            </w:r>
          </w:p>
        </w:tc>
        <w:tc>
          <w:tcPr>
            <w:tcW w:w="709" w:type="dxa"/>
            <w:shd w:val="clear" w:color="auto" w:fill="C6EFCE"/>
            <w:noWrap/>
          </w:tcPr>
          <w:p w14:paraId="271565A7" w14:textId="5CA99810" w:rsidR="00515398" w:rsidRDefault="006711E6">
            <w:pPr>
              <w:pStyle w:val="P68B1DB1-Normal9"/>
              <w:spacing w:after="0" w:line="240" w:lineRule="auto"/>
              <w:rPr>
                <w:noProof/>
              </w:rPr>
            </w:pPr>
            <w:r>
              <w:rPr>
                <w:noProof/>
              </w:rPr>
              <w:t>2023</w:t>
            </w:r>
          </w:p>
        </w:tc>
        <w:tc>
          <w:tcPr>
            <w:tcW w:w="4450" w:type="dxa"/>
            <w:shd w:val="clear" w:color="auto" w:fill="C6EFCE"/>
            <w:noWrap/>
          </w:tcPr>
          <w:p w14:paraId="713B7999" w14:textId="77777777" w:rsidR="00515398" w:rsidRDefault="006711E6">
            <w:pPr>
              <w:pStyle w:val="P68B1DB1-Normal9"/>
              <w:spacing w:after="0" w:line="240" w:lineRule="auto"/>
              <w:rPr>
                <w:rFonts w:eastAsia="Times New Roman" w:cs="Calibri"/>
                <w:noProof/>
                <w:szCs w:val="18"/>
              </w:rPr>
            </w:pPr>
            <w:r>
              <w:rPr>
                <w:noProof/>
              </w:rPr>
              <w:t xml:space="preserve">Oznámení o zadání 100 % všech zakázek (u všech intervencí): </w:t>
            </w:r>
          </w:p>
          <w:p w14:paraId="11B4CFFB" w14:textId="77777777" w:rsidR="00515398" w:rsidRDefault="006711E6">
            <w:pPr>
              <w:pStyle w:val="P68B1DB1-Normal9"/>
              <w:spacing w:after="0" w:line="240" w:lineRule="auto"/>
              <w:rPr>
                <w:rFonts w:eastAsia="Times New Roman" w:cs="Calibri"/>
                <w:noProof/>
                <w:szCs w:val="18"/>
              </w:rPr>
            </w:pPr>
            <w:r>
              <w:rPr>
                <w:noProof/>
              </w:rPr>
              <w:t xml:space="preserve">1. příprava místních městských plánů; </w:t>
            </w:r>
          </w:p>
          <w:p w14:paraId="609B8B27" w14:textId="77777777" w:rsidR="00515398" w:rsidRDefault="006711E6">
            <w:pPr>
              <w:pStyle w:val="P68B1DB1-Normal9"/>
              <w:spacing w:after="0" w:line="240" w:lineRule="auto"/>
              <w:rPr>
                <w:rFonts w:eastAsia="Times New Roman" w:cs="Calibri"/>
                <w:noProof/>
                <w:szCs w:val="18"/>
              </w:rPr>
            </w:pPr>
            <w:r>
              <w:rPr>
                <w:noProof/>
              </w:rPr>
              <w:t>2. příprava zvláštních plánů měst;</w:t>
            </w:r>
          </w:p>
          <w:p w14:paraId="4A362F22" w14:textId="77777777" w:rsidR="00515398" w:rsidRDefault="006711E6">
            <w:pPr>
              <w:pStyle w:val="P68B1DB1-Normal9"/>
              <w:spacing w:after="0" w:line="240" w:lineRule="auto"/>
              <w:rPr>
                <w:rFonts w:eastAsia="Times New Roman" w:cs="Calibri"/>
                <w:noProof/>
                <w:szCs w:val="18"/>
              </w:rPr>
            </w:pPr>
            <w:r>
              <w:rPr>
                <w:noProof/>
              </w:rPr>
              <w:t>3. příprava nezávislých plánů pro vymezení zón pro převod rozvojových práv;</w:t>
            </w:r>
          </w:p>
          <w:p w14:paraId="1BBB0EA2" w14:textId="77777777" w:rsidR="00515398" w:rsidRDefault="006711E6">
            <w:pPr>
              <w:pStyle w:val="P68B1DB1-Normal9"/>
              <w:spacing w:after="0" w:line="240" w:lineRule="auto"/>
              <w:rPr>
                <w:rFonts w:eastAsia="Times New Roman" w:cs="Calibri"/>
                <w:noProof/>
                <w:szCs w:val="18"/>
              </w:rPr>
            </w:pPr>
            <w:r>
              <w:rPr>
                <w:noProof/>
              </w:rPr>
              <w:t>4. příprava nezávisl</w:t>
            </w:r>
            <w:r>
              <w:rPr>
                <w:noProof/>
              </w:rPr>
              <w:t>ých plánů pro vymezení vypořádání; a pokud</w:t>
            </w:r>
          </w:p>
          <w:p w14:paraId="722D2A2D" w14:textId="77777777" w:rsidR="00515398" w:rsidRDefault="006711E6">
            <w:pPr>
              <w:pStyle w:val="P68B1DB1-Normal9"/>
              <w:spacing w:after="0" w:line="240" w:lineRule="auto"/>
              <w:rPr>
                <w:rFonts w:eastAsia="Times New Roman" w:cs="Calibri"/>
                <w:noProof/>
                <w:szCs w:val="18"/>
              </w:rPr>
            </w:pPr>
            <w:r>
              <w:rPr>
                <w:noProof/>
              </w:rPr>
              <w:t>5. příprava nezávislých plánů pro charakterizaci obecních silnic.</w:t>
            </w:r>
          </w:p>
          <w:p w14:paraId="7AE98477" w14:textId="77777777" w:rsidR="00515398" w:rsidRDefault="00515398">
            <w:pPr>
              <w:spacing w:after="0" w:line="240" w:lineRule="auto"/>
              <w:rPr>
                <w:noProof/>
                <w:color w:val="006100"/>
                <w:sz w:val="18"/>
                <w:szCs w:val="18"/>
              </w:rPr>
            </w:pPr>
          </w:p>
        </w:tc>
      </w:tr>
    </w:tbl>
    <w:p w14:paraId="41155CF4" w14:textId="77777777" w:rsidR="00515398" w:rsidRDefault="00515398">
      <w:pPr>
        <w:spacing w:after="0" w:line="240" w:lineRule="auto"/>
        <w:rPr>
          <w:noProof/>
          <w:color w:val="006100"/>
          <w:sz w:val="18"/>
        </w:rPr>
        <w:sectPr w:rsidR="00515398" w:rsidSect="00AF58D0">
          <w:headerReference w:type="even" r:id="rId43"/>
          <w:headerReference w:type="default" r:id="rId44"/>
          <w:footerReference w:type="even" r:id="rId45"/>
          <w:footerReference w:type="default" r:id="rId46"/>
          <w:headerReference w:type="first" r:id="rId47"/>
          <w:footerReference w:type="first" r:id="rId48"/>
          <w:pgSz w:w="16839" w:h="11907" w:orient="landscape"/>
          <w:pgMar w:top="1134" w:right="1134" w:bottom="1134" w:left="1134" w:header="567" w:footer="217" w:gutter="0"/>
          <w:cols w:space="720"/>
          <w:docGrid w:linePitch="360"/>
        </w:sectPr>
      </w:pPr>
    </w:p>
    <w:tbl>
      <w:tblPr>
        <w:tblW w:w="1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917"/>
        <w:gridCol w:w="993"/>
        <w:gridCol w:w="1185"/>
        <w:gridCol w:w="1477"/>
        <w:gridCol w:w="1125"/>
        <w:gridCol w:w="1281"/>
        <w:gridCol w:w="705"/>
        <w:gridCol w:w="984"/>
        <w:gridCol w:w="709"/>
        <w:gridCol w:w="4450"/>
      </w:tblGrid>
      <w:tr w:rsidR="00515398" w14:paraId="50F03F05" w14:textId="77777777">
        <w:trPr>
          <w:trHeight w:val="443"/>
          <w:tblHeader/>
          <w:jc w:val="center"/>
        </w:trPr>
        <w:tc>
          <w:tcPr>
            <w:tcW w:w="1027" w:type="dxa"/>
            <w:vMerge w:val="restart"/>
            <w:shd w:val="clear" w:color="auto" w:fill="BDD7EE"/>
            <w:noWrap/>
            <w:vAlign w:val="center"/>
          </w:tcPr>
          <w:p w14:paraId="6B9BDFC5" w14:textId="77777777" w:rsidR="00515398" w:rsidRDefault="006711E6">
            <w:pPr>
              <w:pStyle w:val="P68B1DB1-Normal7"/>
              <w:spacing w:after="0" w:line="240" w:lineRule="auto"/>
              <w:jc w:val="center"/>
              <w:rPr>
                <w:noProof/>
                <w:color w:val="006100"/>
              </w:rPr>
            </w:pPr>
            <w:r>
              <w:rPr>
                <w:noProof/>
              </w:rPr>
              <w:t>Pořadové číslo</w:t>
            </w:r>
          </w:p>
        </w:tc>
        <w:tc>
          <w:tcPr>
            <w:tcW w:w="1917" w:type="dxa"/>
            <w:vMerge w:val="restart"/>
            <w:shd w:val="clear" w:color="auto" w:fill="BDD7EE"/>
            <w:noWrap/>
            <w:vAlign w:val="center"/>
          </w:tcPr>
          <w:p w14:paraId="55E46E51" w14:textId="77777777" w:rsidR="00515398" w:rsidRDefault="006711E6">
            <w:pPr>
              <w:pStyle w:val="P68B1DB1-Normal7"/>
              <w:spacing w:after="0" w:line="240" w:lineRule="auto"/>
              <w:jc w:val="center"/>
              <w:rPr>
                <w:noProof/>
                <w:color w:val="006100"/>
              </w:rPr>
            </w:pPr>
            <w:r>
              <w:rPr>
                <w:noProof/>
              </w:rPr>
              <w:t>Související opatření (reforma nebo investice)</w:t>
            </w:r>
          </w:p>
        </w:tc>
        <w:tc>
          <w:tcPr>
            <w:tcW w:w="993" w:type="dxa"/>
            <w:vMerge w:val="restart"/>
            <w:shd w:val="clear" w:color="auto" w:fill="BDD7EE"/>
            <w:noWrap/>
            <w:vAlign w:val="center"/>
          </w:tcPr>
          <w:p w14:paraId="37690D0A" w14:textId="77777777" w:rsidR="00515398" w:rsidRDefault="006711E6">
            <w:pPr>
              <w:pStyle w:val="P68B1DB1-Normal7"/>
              <w:spacing w:after="0" w:line="240" w:lineRule="auto"/>
              <w:jc w:val="center"/>
              <w:rPr>
                <w:noProof/>
                <w:color w:val="006100"/>
              </w:rPr>
            </w:pPr>
            <w:r>
              <w:rPr>
                <w:noProof/>
              </w:rPr>
              <w:t>Milník/cíl</w:t>
            </w:r>
          </w:p>
        </w:tc>
        <w:tc>
          <w:tcPr>
            <w:tcW w:w="1120" w:type="dxa"/>
            <w:vMerge w:val="restart"/>
            <w:shd w:val="clear" w:color="auto" w:fill="BDD7EE"/>
            <w:noWrap/>
            <w:vAlign w:val="center"/>
          </w:tcPr>
          <w:p w14:paraId="54261CE3" w14:textId="77777777" w:rsidR="00515398" w:rsidRDefault="006711E6">
            <w:pPr>
              <w:pStyle w:val="P68B1DB1-Normal7"/>
              <w:spacing w:after="0" w:line="240" w:lineRule="auto"/>
              <w:jc w:val="center"/>
              <w:rPr>
                <w:noProof/>
                <w:color w:val="006100"/>
              </w:rPr>
            </w:pPr>
            <w:r>
              <w:rPr>
                <w:noProof/>
              </w:rPr>
              <w:t>Jméno</w:t>
            </w:r>
          </w:p>
        </w:tc>
        <w:tc>
          <w:tcPr>
            <w:tcW w:w="1477" w:type="dxa"/>
            <w:vMerge w:val="restart"/>
            <w:shd w:val="clear" w:color="auto" w:fill="BDD7EE"/>
            <w:noWrap/>
            <w:vAlign w:val="center"/>
          </w:tcPr>
          <w:p w14:paraId="552F0BA7" w14:textId="77777777" w:rsidR="00515398" w:rsidRDefault="006711E6">
            <w:pPr>
              <w:pStyle w:val="P68B1DB1-Normal7"/>
              <w:spacing w:after="0" w:line="240" w:lineRule="auto"/>
              <w:jc w:val="center"/>
              <w:rPr>
                <w:noProof/>
                <w:color w:val="006100"/>
              </w:rPr>
            </w:pPr>
            <w:r>
              <w:rPr>
                <w:noProof/>
              </w:rPr>
              <w:t>Kvalitativní ukazatele (pro milníky)</w:t>
            </w:r>
          </w:p>
        </w:tc>
        <w:tc>
          <w:tcPr>
            <w:tcW w:w="3111" w:type="dxa"/>
            <w:gridSpan w:val="3"/>
            <w:shd w:val="clear" w:color="auto" w:fill="BDD7EE"/>
            <w:noWrap/>
            <w:vAlign w:val="center"/>
          </w:tcPr>
          <w:p w14:paraId="08DEE1AF" w14:textId="77777777" w:rsidR="00515398" w:rsidRDefault="006711E6">
            <w:pPr>
              <w:pStyle w:val="P68B1DB1-Normal7"/>
              <w:spacing w:after="0" w:line="240" w:lineRule="auto"/>
              <w:jc w:val="center"/>
              <w:rPr>
                <w:rFonts w:eastAsia="Times New Roman" w:cs="Calibri"/>
                <w:noProof/>
                <w:color w:val="006100"/>
                <w:szCs w:val="18"/>
              </w:rPr>
            </w:pPr>
            <w:r>
              <w:rPr>
                <w:noProof/>
              </w:rPr>
              <w:t>Kvantitativní ukazatele (pro cíle)</w:t>
            </w:r>
          </w:p>
        </w:tc>
        <w:tc>
          <w:tcPr>
            <w:tcW w:w="1560" w:type="dxa"/>
            <w:gridSpan w:val="2"/>
            <w:shd w:val="clear" w:color="auto" w:fill="BDD7EE"/>
            <w:noWrap/>
          </w:tcPr>
          <w:p w14:paraId="6984AC25" w14:textId="77777777" w:rsidR="00515398" w:rsidRDefault="006711E6">
            <w:pPr>
              <w:pStyle w:val="P68B1DB1-Normal7"/>
              <w:spacing w:after="0" w:line="240" w:lineRule="auto"/>
              <w:jc w:val="center"/>
              <w:rPr>
                <w:noProof/>
                <w:color w:val="006100"/>
              </w:rPr>
            </w:pPr>
            <w:r>
              <w:rPr>
                <w:noProof/>
              </w:rPr>
              <w:t>Orientační harmonogram pro dokončení</w:t>
            </w:r>
          </w:p>
        </w:tc>
        <w:tc>
          <w:tcPr>
            <w:tcW w:w="4450" w:type="dxa"/>
            <w:vMerge w:val="restart"/>
            <w:shd w:val="clear" w:color="auto" w:fill="BDD7EE"/>
            <w:noWrap/>
            <w:vAlign w:val="center"/>
          </w:tcPr>
          <w:p w14:paraId="21CD02C7" w14:textId="77777777" w:rsidR="00515398" w:rsidRDefault="006711E6">
            <w:pPr>
              <w:pStyle w:val="P68B1DB1-Normal7"/>
              <w:spacing w:after="0" w:line="240" w:lineRule="auto"/>
              <w:jc w:val="center"/>
              <w:rPr>
                <w:noProof/>
                <w:color w:val="006100"/>
              </w:rPr>
            </w:pPr>
            <w:r>
              <w:rPr>
                <w:noProof/>
              </w:rPr>
              <w:t>Popis každého milníku a cíle</w:t>
            </w:r>
          </w:p>
        </w:tc>
      </w:tr>
      <w:tr w:rsidR="00515398" w14:paraId="06FD4BE0" w14:textId="77777777">
        <w:trPr>
          <w:trHeight w:val="442"/>
          <w:tblHeader/>
          <w:jc w:val="center"/>
        </w:trPr>
        <w:tc>
          <w:tcPr>
            <w:tcW w:w="1027" w:type="dxa"/>
            <w:vMerge/>
            <w:noWrap/>
            <w:vAlign w:val="center"/>
          </w:tcPr>
          <w:p w14:paraId="2BAE7B88" w14:textId="77777777" w:rsidR="00515398" w:rsidRDefault="00515398">
            <w:pPr>
              <w:spacing w:after="0" w:line="240" w:lineRule="auto"/>
              <w:rPr>
                <w:rFonts w:ascii="Times New Roman" w:hAnsi="Times New Roman"/>
                <w:b/>
                <w:noProof/>
                <w:sz w:val="18"/>
              </w:rPr>
            </w:pPr>
          </w:p>
        </w:tc>
        <w:tc>
          <w:tcPr>
            <w:tcW w:w="1917" w:type="dxa"/>
            <w:vMerge/>
            <w:noWrap/>
            <w:vAlign w:val="center"/>
          </w:tcPr>
          <w:p w14:paraId="5FC5ECA4" w14:textId="77777777" w:rsidR="00515398" w:rsidRDefault="00515398">
            <w:pPr>
              <w:spacing w:after="0" w:line="240" w:lineRule="auto"/>
              <w:rPr>
                <w:rFonts w:ascii="Times New Roman" w:hAnsi="Times New Roman"/>
                <w:b/>
                <w:noProof/>
                <w:sz w:val="18"/>
              </w:rPr>
            </w:pPr>
          </w:p>
        </w:tc>
        <w:tc>
          <w:tcPr>
            <w:tcW w:w="993" w:type="dxa"/>
            <w:vMerge/>
            <w:noWrap/>
            <w:vAlign w:val="center"/>
          </w:tcPr>
          <w:p w14:paraId="4714406C" w14:textId="77777777" w:rsidR="00515398" w:rsidRDefault="00515398">
            <w:pPr>
              <w:spacing w:after="0" w:line="240" w:lineRule="auto"/>
              <w:rPr>
                <w:rFonts w:ascii="Times New Roman" w:hAnsi="Times New Roman"/>
                <w:b/>
                <w:noProof/>
                <w:sz w:val="18"/>
              </w:rPr>
            </w:pPr>
          </w:p>
        </w:tc>
        <w:tc>
          <w:tcPr>
            <w:tcW w:w="1120" w:type="dxa"/>
            <w:vMerge/>
            <w:noWrap/>
            <w:vAlign w:val="center"/>
          </w:tcPr>
          <w:p w14:paraId="6EF837D6" w14:textId="77777777" w:rsidR="00515398" w:rsidRDefault="00515398">
            <w:pPr>
              <w:spacing w:after="0" w:line="240" w:lineRule="auto"/>
              <w:rPr>
                <w:rFonts w:ascii="Times New Roman" w:hAnsi="Times New Roman"/>
                <w:b/>
                <w:noProof/>
                <w:sz w:val="18"/>
              </w:rPr>
            </w:pPr>
          </w:p>
        </w:tc>
        <w:tc>
          <w:tcPr>
            <w:tcW w:w="1477" w:type="dxa"/>
            <w:vMerge/>
            <w:noWrap/>
            <w:vAlign w:val="center"/>
          </w:tcPr>
          <w:p w14:paraId="43830D52" w14:textId="77777777" w:rsidR="00515398" w:rsidRDefault="00515398">
            <w:pPr>
              <w:spacing w:after="0" w:line="240" w:lineRule="auto"/>
              <w:rPr>
                <w:rFonts w:ascii="Times New Roman" w:hAnsi="Times New Roman"/>
                <w:b/>
                <w:noProof/>
                <w:sz w:val="18"/>
              </w:rPr>
            </w:pPr>
          </w:p>
        </w:tc>
        <w:tc>
          <w:tcPr>
            <w:tcW w:w="1125" w:type="dxa"/>
            <w:shd w:val="clear" w:color="auto" w:fill="BDD7EE"/>
            <w:noWrap/>
            <w:vAlign w:val="center"/>
          </w:tcPr>
          <w:p w14:paraId="15A2D0F1" w14:textId="77777777" w:rsidR="00515398" w:rsidRDefault="006711E6">
            <w:pPr>
              <w:pStyle w:val="P68B1DB1-Normal7"/>
              <w:spacing w:after="0" w:line="240" w:lineRule="auto"/>
              <w:jc w:val="center"/>
              <w:rPr>
                <w:rFonts w:eastAsia="Times New Roman" w:cs="Calibri"/>
                <w:noProof/>
                <w:color w:val="006100"/>
                <w:szCs w:val="18"/>
              </w:rPr>
            </w:pPr>
            <w:r>
              <w:rPr>
                <w:noProof/>
              </w:rPr>
              <w:t>Jednotka měření</w:t>
            </w:r>
          </w:p>
        </w:tc>
        <w:tc>
          <w:tcPr>
            <w:tcW w:w="1281" w:type="dxa"/>
            <w:shd w:val="clear" w:color="auto" w:fill="BDD7EE"/>
            <w:vAlign w:val="center"/>
          </w:tcPr>
          <w:p w14:paraId="22367256" w14:textId="77777777" w:rsidR="00515398" w:rsidRDefault="006711E6">
            <w:pPr>
              <w:pStyle w:val="P68B1DB1-Normal7"/>
              <w:spacing w:after="0" w:line="240" w:lineRule="auto"/>
              <w:jc w:val="center"/>
              <w:rPr>
                <w:rFonts w:eastAsia="Times New Roman" w:cs="Calibri"/>
                <w:noProof/>
                <w:color w:val="006100"/>
                <w:szCs w:val="18"/>
              </w:rPr>
            </w:pPr>
            <w:r>
              <w:rPr>
                <w:noProof/>
              </w:rPr>
              <w:t>Výchozí stav</w:t>
            </w:r>
          </w:p>
        </w:tc>
        <w:tc>
          <w:tcPr>
            <w:tcW w:w="705" w:type="dxa"/>
            <w:shd w:val="clear" w:color="auto" w:fill="BDD7EE"/>
            <w:vAlign w:val="center"/>
          </w:tcPr>
          <w:p w14:paraId="1DCD1D58" w14:textId="77777777" w:rsidR="00515398" w:rsidRDefault="006711E6">
            <w:pPr>
              <w:pStyle w:val="P68B1DB1-Normal7"/>
              <w:spacing w:after="0" w:line="240" w:lineRule="auto"/>
              <w:jc w:val="center"/>
              <w:rPr>
                <w:rFonts w:eastAsia="Times New Roman" w:cs="Calibri"/>
                <w:noProof/>
                <w:color w:val="006100"/>
                <w:szCs w:val="18"/>
              </w:rPr>
            </w:pPr>
            <w:r>
              <w:rPr>
                <w:noProof/>
              </w:rPr>
              <w:t>Cíl</w:t>
            </w:r>
          </w:p>
        </w:tc>
        <w:tc>
          <w:tcPr>
            <w:tcW w:w="851" w:type="dxa"/>
            <w:shd w:val="clear" w:color="auto" w:fill="BDD7EE"/>
            <w:noWrap/>
            <w:vAlign w:val="center"/>
          </w:tcPr>
          <w:p w14:paraId="60EB731D" w14:textId="77777777" w:rsidR="00515398" w:rsidRDefault="006711E6">
            <w:pPr>
              <w:pStyle w:val="P68B1DB1-Normal7"/>
              <w:spacing w:after="0" w:line="240" w:lineRule="auto"/>
              <w:jc w:val="center"/>
              <w:rPr>
                <w:noProof/>
                <w:color w:val="006100"/>
              </w:rPr>
            </w:pPr>
            <w:r>
              <w:rPr>
                <w:noProof/>
              </w:rPr>
              <w:t>Čtvrtina</w:t>
            </w:r>
          </w:p>
        </w:tc>
        <w:tc>
          <w:tcPr>
            <w:tcW w:w="709" w:type="dxa"/>
            <w:shd w:val="clear" w:color="auto" w:fill="BDD7EE"/>
            <w:vAlign w:val="center"/>
          </w:tcPr>
          <w:p w14:paraId="43ABF793" w14:textId="77777777" w:rsidR="00515398" w:rsidRDefault="006711E6">
            <w:pPr>
              <w:pStyle w:val="P68B1DB1-Normal7"/>
              <w:spacing w:after="0" w:line="240" w:lineRule="auto"/>
              <w:jc w:val="center"/>
              <w:rPr>
                <w:noProof/>
                <w:color w:val="006100"/>
              </w:rPr>
            </w:pPr>
            <w:r>
              <w:rPr>
                <w:noProof/>
              </w:rPr>
              <w:t>Rok</w:t>
            </w:r>
          </w:p>
        </w:tc>
        <w:tc>
          <w:tcPr>
            <w:tcW w:w="4450" w:type="dxa"/>
            <w:vMerge/>
            <w:noWrap/>
          </w:tcPr>
          <w:p w14:paraId="3745ACA7" w14:textId="77777777" w:rsidR="00515398" w:rsidRDefault="00515398">
            <w:pPr>
              <w:spacing w:after="0" w:line="240" w:lineRule="auto"/>
              <w:rPr>
                <w:noProof/>
                <w:color w:val="006100"/>
                <w:sz w:val="18"/>
              </w:rPr>
            </w:pPr>
          </w:p>
        </w:tc>
      </w:tr>
      <w:tr w:rsidR="00515398" w14:paraId="3A2BCA32" w14:textId="77777777">
        <w:trPr>
          <w:trHeight w:val="313"/>
          <w:tblHeader/>
          <w:jc w:val="center"/>
        </w:trPr>
        <w:tc>
          <w:tcPr>
            <w:tcW w:w="1027" w:type="dxa"/>
            <w:shd w:val="clear" w:color="auto" w:fill="C6EFCE"/>
            <w:noWrap/>
          </w:tcPr>
          <w:p w14:paraId="30D02FF1" w14:textId="77777777" w:rsidR="00515398" w:rsidRDefault="006711E6">
            <w:pPr>
              <w:pStyle w:val="P68B1DB1-Normal9"/>
              <w:spacing w:after="0" w:line="240" w:lineRule="auto"/>
              <w:rPr>
                <w:rFonts w:eastAsia="Times New Roman" w:cs="Calibri"/>
                <w:noProof/>
                <w:szCs w:val="18"/>
              </w:rPr>
            </w:pPr>
            <w:r>
              <w:rPr>
                <w:noProof/>
              </w:rPr>
              <w:t>29</w:t>
            </w:r>
          </w:p>
        </w:tc>
        <w:tc>
          <w:tcPr>
            <w:tcW w:w="1917" w:type="dxa"/>
            <w:shd w:val="clear" w:color="auto" w:fill="C6EFCE"/>
            <w:noWrap/>
          </w:tcPr>
          <w:p w14:paraId="3DCBFD21" w14:textId="77777777" w:rsidR="00515398" w:rsidRDefault="006711E6">
            <w:pPr>
              <w:pStyle w:val="P68B1DB1-Normal9"/>
              <w:spacing w:after="0" w:line="240" w:lineRule="auto"/>
              <w:rPr>
                <w:rFonts w:eastAsia="Times New Roman" w:cs="Calibri"/>
                <w:noProof/>
                <w:szCs w:val="18"/>
              </w:rPr>
            </w:pPr>
            <w:r>
              <w:rPr>
                <w:noProof/>
              </w:rPr>
              <w:t xml:space="preserve">2–1.2. Renovace – 16879_Příprava městských plánů při </w:t>
            </w:r>
            <w:r>
              <w:rPr>
                <w:noProof/>
              </w:rPr>
              <w:t>provádění reformy městské politiky</w:t>
            </w:r>
          </w:p>
        </w:tc>
        <w:tc>
          <w:tcPr>
            <w:tcW w:w="993" w:type="dxa"/>
            <w:shd w:val="clear" w:color="auto" w:fill="C6EFCE"/>
            <w:noWrap/>
          </w:tcPr>
          <w:p w14:paraId="55BAA6E4" w14:textId="135C252B" w:rsidR="00515398" w:rsidRDefault="006711E6">
            <w:pPr>
              <w:pStyle w:val="P68B1DB1-Normal9"/>
              <w:spacing w:after="0" w:line="240" w:lineRule="auto"/>
              <w:rPr>
                <w:rFonts w:eastAsia="Times New Roman" w:cs="Calibri"/>
                <w:noProof/>
                <w:szCs w:val="18"/>
              </w:rPr>
            </w:pPr>
            <w:r>
              <w:rPr>
                <w:noProof/>
              </w:rPr>
              <w:t>Milník</w:t>
            </w:r>
          </w:p>
        </w:tc>
        <w:tc>
          <w:tcPr>
            <w:tcW w:w="1120" w:type="dxa"/>
            <w:shd w:val="clear" w:color="auto" w:fill="C6EFCE"/>
            <w:noWrap/>
          </w:tcPr>
          <w:p w14:paraId="74A152BD" w14:textId="77777777" w:rsidR="00515398" w:rsidRDefault="006711E6">
            <w:pPr>
              <w:pStyle w:val="P68B1DB1-Normal9"/>
              <w:spacing w:after="0" w:line="240" w:lineRule="auto"/>
              <w:rPr>
                <w:rFonts w:eastAsia="Times New Roman" w:cs="Calibri"/>
                <w:noProof/>
                <w:szCs w:val="18"/>
              </w:rPr>
            </w:pPr>
            <w:r>
              <w:rPr>
                <w:noProof/>
              </w:rPr>
              <w:t>Dokončení územního plánování</w:t>
            </w:r>
          </w:p>
        </w:tc>
        <w:tc>
          <w:tcPr>
            <w:tcW w:w="1477" w:type="dxa"/>
            <w:shd w:val="clear" w:color="auto" w:fill="C6EFCE"/>
            <w:noWrap/>
          </w:tcPr>
          <w:p w14:paraId="6BF01BA9" w14:textId="23055260" w:rsidR="00515398" w:rsidRDefault="006711E6">
            <w:pPr>
              <w:pStyle w:val="P68B1DB1-Normal10"/>
              <w:spacing w:after="0" w:line="240" w:lineRule="auto"/>
              <w:rPr>
                <w:rFonts w:eastAsia="Times New Roman" w:cs="Calibri"/>
                <w:noProof/>
              </w:rPr>
            </w:pPr>
            <w:r>
              <w:rPr>
                <w:noProof/>
              </w:rPr>
              <w:t>Vydání kladného posouzení Ministerstvem životního prostředí a energetiky pro studie týkající se místních městských plánů, zvláštních územních plánů a vymezení sídel a dokončení studií o</w:t>
            </w:r>
            <w:r>
              <w:rPr>
                <w:noProof/>
              </w:rPr>
              <w:t xml:space="preserve"> rozvojových zónách pro převod práv a charakterizaci obecních komunikací</w:t>
            </w:r>
          </w:p>
        </w:tc>
        <w:tc>
          <w:tcPr>
            <w:tcW w:w="1125" w:type="dxa"/>
            <w:shd w:val="clear" w:color="auto" w:fill="C6EFCE"/>
            <w:noWrap/>
          </w:tcPr>
          <w:p w14:paraId="75621E19" w14:textId="510AAE13" w:rsidR="00515398" w:rsidRDefault="00515398">
            <w:pPr>
              <w:spacing w:after="0" w:line="240" w:lineRule="auto"/>
              <w:rPr>
                <w:rFonts w:eastAsia="Times New Roman" w:cs="Calibri"/>
                <w:noProof/>
                <w:color w:val="006100"/>
                <w:sz w:val="18"/>
                <w:szCs w:val="18"/>
              </w:rPr>
            </w:pPr>
          </w:p>
        </w:tc>
        <w:tc>
          <w:tcPr>
            <w:tcW w:w="1281" w:type="dxa"/>
            <w:shd w:val="clear" w:color="auto" w:fill="C6EFCE"/>
            <w:noWrap/>
          </w:tcPr>
          <w:p w14:paraId="5029A116" w14:textId="21C4E55F" w:rsidR="00515398" w:rsidRDefault="00515398">
            <w:pPr>
              <w:spacing w:after="0" w:line="240" w:lineRule="auto"/>
              <w:rPr>
                <w:rFonts w:eastAsia="Times New Roman" w:cs="Calibri"/>
                <w:noProof/>
                <w:color w:val="006100"/>
                <w:sz w:val="18"/>
                <w:szCs w:val="18"/>
              </w:rPr>
            </w:pPr>
          </w:p>
        </w:tc>
        <w:tc>
          <w:tcPr>
            <w:tcW w:w="705" w:type="dxa"/>
            <w:shd w:val="clear" w:color="auto" w:fill="C6EFCE"/>
            <w:noWrap/>
          </w:tcPr>
          <w:p w14:paraId="6815BA82" w14:textId="19A03885"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24A0EE3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4CDE5C90" w14:textId="77777777" w:rsidR="00515398" w:rsidRDefault="006711E6">
            <w:pPr>
              <w:pStyle w:val="P68B1DB1-Normal9"/>
              <w:spacing w:after="0" w:line="240" w:lineRule="auto"/>
              <w:rPr>
                <w:rFonts w:eastAsia="Times New Roman" w:cs="Calibri"/>
                <w:noProof/>
                <w:szCs w:val="18"/>
              </w:rPr>
            </w:pPr>
            <w:r>
              <w:rPr>
                <w:noProof/>
              </w:rPr>
              <w:t>2025</w:t>
            </w:r>
          </w:p>
        </w:tc>
        <w:tc>
          <w:tcPr>
            <w:tcW w:w="4450" w:type="dxa"/>
            <w:shd w:val="clear" w:color="auto" w:fill="C6EFCE"/>
            <w:noWrap/>
          </w:tcPr>
          <w:p w14:paraId="1C031B4B" w14:textId="4ECFFDA8" w:rsidR="00515398" w:rsidRDefault="006711E6">
            <w:pPr>
              <w:pStyle w:val="P68B1DB1-Normal10"/>
              <w:spacing w:after="0" w:line="240" w:lineRule="auto"/>
              <w:rPr>
                <w:noProof/>
              </w:rPr>
            </w:pPr>
            <w:r>
              <w:rPr>
                <w:noProof/>
              </w:rPr>
              <w:t>Vydání kladného hodnocení Ministerstvem životního prostředí a energetiky pro studie týkající se: místní městské plány v 405 obecních úsecích, 11 zvláštních měs</w:t>
            </w:r>
            <w:r>
              <w:rPr>
                <w:noProof/>
              </w:rPr>
              <w:t>tských plánech a vymezení sídel v 36 obecních jednotkách; a vydání osvědčení o dokončení studií Ministerstvem životního prostředí a energetiky pro: Zóny převodu rozvojových práv v 50 obecních jednotkách;  a charakterizace obecních silnic ve 149 obecních je</w:t>
            </w:r>
            <w:r>
              <w:rPr>
                <w:noProof/>
              </w:rPr>
              <w:t>dnotkách.</w:t>
            </w:r>
          </w:p>
          <w:p w14:paraId="0991D1D7" w14:textId="253E1B98" w:rsidR="00515398" w:rsidRDefault="00515398">
            <w:pPr>
              <w:jc w:val="right"/>
              <w:rPr>
                <w:rFonts w:eastAsia="Times New Roman" w:cs="Calibri"/>
                <w:noProof/>
                <w:sz w:val="18"/>
                <w:szCs w:val="18"/>
              </w:rPr>
            </w:pPr>
          </w:p>
        </w:tc>
      </w:tr>
      <w:tr w:rsidR="00515398" w14:paraId="5FCC29A6" w14:textId="77777777">
        <w:trPr>
          <w:trHeight w:val="313"/>
          <w:tblHeader/>
          <w:jc w:val="center"/>
        </w:trPr>
        <w:tc>
          <w:tcPr>
            <w:tcW w:w="1027" w:type="dxa"/>
            <w:shd w:val="clear" w:color="auto" w:fill="C6EFCE"/>
            <w:noWrap/>
          </w:tcPr>
          <w:p w14:paraId="3CF8B6A2" w14:textId="77777777" w:rsidR="00515398" w:rsidRDefault="006711E6">
            <w:pPr>
              <w:pStyle w:val="P68B1DB1-Normal9"/>
              <w:spacing w:after="0" w:line="240" w:lineRule="auto"/>
              <w:rPr>
                <w:rFonts w:eastAsia="Times New Roman" w:cs="Calibri"/>
                <w:noProof/>
                <w:szCs w:val="18"/>
              </w:rPr>
            </w:pPr>
            <w:r>
              <w:rPr>
                <w:noProof/>
              </w:rPr>
              <w:t>30</w:t>
            </w:r>
          </w:p>
        </w:tc>
        <w:tc>
          <w:tcPr>
            <w:tcW w:w="1917" w:type="dxa"/>
            <w:shd w:val="clear" w:color="auto" w:fill="C6EFCE"/>
            <w:noWrap/>
          </w:tcPr>
          <w:p w14:paraId="2C832FDB" w14:textId="1C42EC20" w:rsidR="00515398" w:rsidRDefault="006711E6">
            <w:pPr>
              <w:pStyle w:val="P68B1DB1-Normal9"/>
              <w:spacing w:after="0" w:line="240" w:lineRule="auto"/>
              <w:rPr>
                <w:rFonts w:eastAsia="Times New Roman" w:cs="Calibri"/>
                <w:noProof/>
                <w:szCs w:val="18"/>
              </w:rPr>
            </w:pPr>
            <w:r>
              <w:rPr>
                <w:noProof/>
              </w:rPr>
              <w:t>2–1.2. Renovace – 16894_Zavedení nového zvláštního územního plánování pro obnovitelné zdroje energie, průmysl a cestovní ruch</w:t>
            </w:r>
          </w:p>
        </w:tc>
        <w:tc>
          <w:tcPr>
            <w:tcW w:w="993" w:type="dxa"/>
            <w:shd w:val="clear" w:color="auto" w:fill="C6EFCE"/>
            <w:noWrap/>
          </w:tcPr>
          <w:p w14:paraId="3FCFB794" w14:textId="77777777" w:rsidR="00515398" w:rsidRDefault="006711E6">
            <w:pPr>
              <w:pStyle w:val="P68B1DB1-Normal9"/>
              <w:spacing w:after="0" w:line="240" w:lineRule="auto"/>
              <w:rPr>
                <w:rFonts w:eastAsia="Times New Roman" w:cs="Calibri"/>
                <w:noProof/>
                <w:szCs w:val="18"/>
              </w:rPr>
            </w:pPr>
            <w:r>
              <w:rPr>
                <w:noProof/>
              </w:rPr>
              <w:t xml:space="preserve"> Milník</w:t>
            </w:r>
          </w:p>
        </w:tc>
        <w:tc>
          <w:tcPr>
            <w:tcW w:w="1120" w:type="dxa"/>
            <w:shd w:val="clear" w:color="auto" w:fill="C6EFCE"/>
            <w:noWrap/>
          </w:tcPr>
          <w:p w14:paraId="1EC28C7F" w14:textId="77777777" w:rsidR="00515398" w:rsidRDefault="006711E6">
            <w:pPr>
              <w:pStyle w:val="P68B1DB1-Normal9"/>
              <w:spacing w:after="0" w:line="240" w:lineRule="auto"/>
              <w:rPr>
                <w:rFonts w:eastAsia="Times New Roman" w:cs="Calibri"/>
                <w:noProof/>
                <w:szCs w:val="18"/>
              </w:rPr>
            </w:pPr>
            <w:r>
              <w:rPr>
                <w:noProof/>
              </w:rPr>
              <w:t>Přijetí zvláštních prostorových rámců</w:t>
            </w:r>
          </w:p>
        </w:tc>
        <w:tc>
          <w:tcPr>
            <w:tcW w:w="1477" w:type="dxa"/>
            <w:shd w:val="clear" w:color="auto" w:fill="C6EFCE"/>
            <w:noWrap/>
          </w:tcPr>
          <w:p w14:paraId="2894B4E9" w14:textId="3A1AD76E" w:rsidR="00515398" w:rsidRDefault="006711E6">
            <w:pPr>
              <w:pStyle w:val="P68B1DB1-Normal9"/>
              <w:spacing w:after="0" w:line="240" w:lineRule="auto"/>
              <w:rPr>
                <w:rFonts w:eastAsia="Times New Roman" w:cs="Calibri"/>
                <w:noProof/>
                <w:szCs w:val="18"/>
              </w:rPr>
            </w:pPr>
            <w:r>
              <w:rPr>
                <w:noProof/>
              </w:rPr>
              <w:t>Přijetí tří zvláštních územních rámců pro obnovitelné zdroje energie,</w:t>
            </w:r>
            <w:r>
              <w:rPr>
                <w:noProof/>
              </w:rPr>
              <w:t xml:space="preserve"> cestovní ruch a průmysl</w:t>
            </w:r>
          </w:p>
        </w:tc>
        <w:tc>
          <w:tcPr>
            <w:tcW w:w="1125" w:type="dxa"/>
            <w:shd w:val="clear" w:color="auto" w:fill="C6EFCE"/>
            <w:noWrap/>
          </w:tcPr>
          <w:p w14:paraId="6BED2123" w14:textId="77777777" w:rsidR="00515398" w:rsidRDefault="00515398">
            <w:pPr>
              <w:spacing w:after="0" w:line="240" w:lineRule="auto"/>
              <w:rPr>
                <w:rFonts w:eastAsia="Times New Roman" w:cs="Calibri"/>
                <w:noProof/>
                <w:color w:val="006100"/>
                <w:sz w:val="18"/>
                <w:szCs w:val="18"/>
              </w:rPr>
            </w:pPr>
          </w:p>
        </w:tc>
        <w:tc>
          <w:tcPr>
            <w:tcW w:w="1281" w:type="dxa"/>
            <w:shd w:val="clear" w:color="auto" w:fill="C6EFCE"/>
            <w:noWrap/>
          </w:tcPr>
          <w:p w14:paraId="031D3B66" w14:textId="77777777" w:rsidR="00515398" w:rsidRDefault="00515398">
            <w:pPr>
              <w:spacing w:after="0" w:line="240" w:lineRule="auto"/>
              <w:rPr>
                <w:rFonts w:eastAsia="Times New Roman" w:cs="Calibri"/>
                <w:noProof/>
                <w:color w:val="006100"/>
                <w:sz w:val="18"/>
                <w:szCs w:val="18"/>
              </w:rPr>
            </w:pPr>
          </w:p>
        </w:tc>
        <w:tc>
          <w:tcPr>
            <w:tcW w:w="705" w:type="dxa"/>
            <w:shd w:val="clear" w:color="auto" w:fill="C6EFCE"/>
            <w:noWrap/>
          </w:tcPr>
          <w:p w14:paraId="137C58F4"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246D322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0C29E4C7" w14:textId="77777777" w:rsidR="00515398" w:rsidRDefault="006711E6">
            <w:pPr>
              <w:pStyle w:val="P68B1DB1-Normal9"/>
              <w:spacing w:after="0" w:line="240" w:lineRule="auto"/>
              <w:rPr>
                <w:rFonts w:eastAsia="Times New Roman" w:cs="Calibri"/>
                <w:noProof/>
                <w:szCs w:val="18"/>
              </w:rPr>
            </w:pPr>
            <w:r>
              <w:rPr>
                <w:noProof/>
              </w:rPr>
              <w:t>2025</w:t>
            </w:r>
          </w:p>
        </w:tc>
        <w:tc>
          <w:tcPr>
            <w:tcW w:w="4450" w:type="dxa"/>
            <w:shd w:val="clear" w:color="auto" w:fill="C6EFCE"/>
            <w:noWrap/>
          </w:tcPr>
          <w:p w14:paraId="2FD5172F" w14:textId="2972CC4F" w:rsidR="00515398" w:rsidRDefault="006711E6">
            <w:pPr>
              <w:pStyle w:val="P68B1DB1-Normal9"/>
              <w:spacing w:after="0" w:line="240" w:lineRule="auto"/>
              <w:rPr>
                <w:noProof/>
              </w:rPr>
            </w:pPr>
            <w:r>
              <w:rPr>
                <w:noProof/>
              </w:rPr>
              <w:t>Přijetí tří zvláštních územních rámců pro obnovitelné zdroje energie, cestovní ruch a průmysl Ministerstvem životního prostředí.</w:t>
            </w:r>
          </w:p>
          <w:p w14:paraId="3E3A5B45" w14:textId="66402637" w:rsidR="00515398" w:rsidRDefault="00515398">
            <w:pPr>
              <w:spacing w:after="0" w:line="240" w:lineRule="auto"/>
              <w:rPr>
                <w:rFonts w:eastAsia="Times New Roman" w:cs="Calibri"/>
                <w:noProof/>
                <w:color w:val="006100"/>
                <w:sz w:val="18"/>
                <w:szCs w:val="18"/>
              </w:rPr>
            </w:pPr>
          </w:p>
        </w:tc>
      </w:tr>
      <w:tr w:rsidR="00515398" w14:paraId="52C131EB" w14:textId="77777777">
        <w:trPr>
          <w:trHeight w:val="313"/>
          <w:tblHeader/>
          <w:jc w:val="center"/>
        </w:trPr>
        <w:tc>
          <w:tcPr>
            <w:tcW w:w="1027" w:type="dxa"/>
            <w:shd w:val="clear" w:color="auto" w:fill="C6EFCE"/>
            <w:noWrap/>
          </w:tcPr>
          <w:p w14:paraId="3666BF5D" w14:textId="77777777" w:rsidR="00515398" w:rsidRDefault="006711E6">
            <w:pPr>
              <w:pStyle w:val="P68B1DB1-Normal9"/>
              <w:spacing w:after="0" w:line="240" w:lineRule="auto"/>
              <w:rPr>
                <w:rFonts w:eastAsia="Times New Roman" w:cs="Calibri"/>
                <w:noProof/>
                <w:szCs w:val="18"/>
              </w:rPr>
            </w:pPr>
            <w:r>
              <w:rPr>
                <w:noProof/>
              </w:rPr>
              <w:t>31</w:t>
            </w:r>
          </w:p>
        </w:tc>
        <w:tc>
          <w:tcPr>
            <w:tcW w:w="1917" w:type="dxa"/>
            <w:shd w:val="clear" w:color="auto" w:fill="C6EFCE"/>
            <w:noWrap/>
          </w:tcPr>
          <w:p w14:paraId="1EC82881" w14:textId="77777777" w:rsidR="00515398" w:rsidRDefault="006711E6">
            <w:pPr>
              <w:pStyle w:val="P68B1DB1-Normal9"/>
              <w:spacing w:after="0" w:line="240" w:lineRule="auto"/>
              <w:rPr>
                <w:rFonts w:eastAsia="Times New Roman" w:cs="Calibri"/>
                <w:noProof/>
                <w:szCs w:val="18"/>
              </w:rPr>
            </w:pPr>
            <w:r>
              <w:rPr>
                <w:noProof/>
              </w:rPr>
              <w:t xml:space="preserve">2–1.2. Renovace – 16891_Zavedení nového územního plánování námořních </w:t>
            </w:r>
            <w:r>
              <w:rPr>
                <w:noProof/>
              </w:rPr>
              <w:t>prostor</w:t>
            </w:r>
          </w:p>
        </w:tc>
        <w:tc>
          <w:tcPr>
            <w:tcW w:w="993" w:type="dxa"/>
            <w:shd w:val="clear" w:color="auto" w:fill="C6EFCE"/>
            <w:noWrap/>
          </w:tcPr>
          <w:p w14:paraId="7FC6AEE8" w14:textId="77777777" w:rsidR="00515398" w:rsidRDefault="006711E6">
            <w:pPr>
              <w:pStyle w:val="P68B1DB1-Normal9"/>
              <w:spacing w:after="0" w:line="240" w:lineRule="auto"/>
              <w:rPr>
                <w:rFonts w:eastAsia="Times New Roman" w:cs="Calibri"/>
                <w:noProof/>
                <w:szCs w:val="18"/>
              </w:rPr>
            </w:pPr>
            <w:r>
              <w:rPr>
                <w:noProof/>
              </w:rPr>
              <w:t>Milník</w:t>
            </w:r>
          </w:p>
          <w:p w14:paraId="0430F684" w14:textId="77777777" w:rsidR="00515398" w:rsidRDefault="00515398">
            <w:pPr>
              <w:spacing w:after="0" w:line="240" w:lineRule="auto"/>
              <w:rPr>
                <w:rFonts w:eastAsia="Times New Roman" w:cs="Calibri"/>
                <w:noProof/>
                <w:color w:val="006100"/>
                <w:sz w:val="18"/>
                <w:szCs w:val="18"/>
              </w:rPr>
            </w:pPr>
          </w:p>
        </w:tc>
        <w:tc>
          <w:tcPr>
            <w:tcW w:w="1120" w:type="dxa"/>
            <w:shd w:val="clear" w:color="auto" w:fill="C6EFCE"/>
            <w:noWrap/>
          </w:tcPr>
          <w:p w14:paraId="656DDFB9" w14:textId="77777777" w:rsidR="00515398" w:rsidRDefault="006711E6">
            <w:pPr>
              <w:pStyle w:val="P68B1DB1-Normal9"/>
              <w:spacing w:after="0" w:line="240" w:lineRule="auto"/>
              <w:rPr>
                <w:rFonts w:eastAsia="Times New Roman" w:cs="Calibri"/>
                <w:noProof/>
                <w:szCs w:val="18"/>
              </w:rPr>
            </w:pPr>
            <w:r>
              <w:rPr>
                <w:noProof/>
              </w:rPr>
              <w:t>Přijetí námořní strategie</w:t>
            </w:r>
          </w:p>
        </w:tc>
        <w:tc>
          <w:tcPr>
            <w:tcW w:w="1477" w:type="dxa"/>
            <w:shd w:val="clear" w:color="auto" w:fill="C6EFCE"/>
            <w:noWrap/>
          </w:tcPr>
          <w:p w14:paraId="432C97C5" w14:textId="77777777" w:rsidR="00515398" w:rsidRDefault="006711E6">
            <w:pPr>
              <w:pStyle w:val="P68B1DB1-Normal9"/>
              <w:spacing w:after="0" w:line="240" w:lineRule="auto"/>
              <w:rPr>
                <w:rFonts w:eastAsia="Times New Roman" w:cs="Calibri"/>
                <w:noProof/>
                <w:szCs w:val="18"/>
              </w:rPr>
            </w:pPr>
            <w:r>
              <w:rPr>
                <w:noProof/>
              </w:rPr>
              <w:t>Byla přijata nová územní strategie námořních prostor</w:t>
            </w:r>
          </w:p>
        </w:tc>
        <w:tc>
          <w:tcPr>
            <w:tcW w:w="1125" w:type="dxa"/>
            <w:shd w:val="clear" w:color="auto" w:fill="C6EFCE"/>
            <w:noWrap/>
          </w:tcPr>
          <w:p w14:paraId="20C7390F" w14:textId="77777777" w:rsidR="00515398" w:rsidRDefault="00515398">
            <w:pPr>
              <w:spacing w:after="0" w:line="240" w:lineRule="auto"/>
              <w:rPr>
                <w:rFonts w:eastAsia="Times New Roman" w:cs="Calibri"/>
                <w:noProof/>
                <w:color w:val="006100"/>
                <w:sz w:val="18"/>
                <w:szCs w:val="18"/>
              </w:rPr>
            </w:pPr>
          </w:p>
        </w:tc>
        <w:tc>
          <w:tcPr>
            <w:tcW w:w="1281" w:type="dxa"/>
            <w:shd w:val="clear" w:color="auto" w:fill="C6EFCE"/>
            <w:noWrap/>
          </w:tcPr>
          <w:p w14:paraId="15E4BBC9" w14:textId="77777777" w:rsidR="00515398" w:rsidRDefault="00515398">
            <w:pPr>
              <w:spacing w:after="0" w:line="240" w:lineRule="auto"/>
              <w:rPr>
                <w:rFonts w:eastAsia="Times New Roman" w:cs="Calibri"/>
                <w:noProof/>
                <w:color w:val="006100"/>
                <w:sz w:val="18"/>
                <w:szCs w:val="18"/>
              </w:rPr>
            </w:pPr>
          </w:p>
        </w:tc>
        <w:tc>
          <w:tcPr>
            <w:tcW w:w="705" w:type="dxa"/>
            <w:shd w:val="clear" w:color="auto" w:fill="C6EFCE"/>
            <w:noWrap/>
          </w:tcPr>
          <w:p w14:paraId="0304BE81"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680CFBFB" w14:textId="3414B922" w:rsidR="00515398" w:rsidRDefault="006711E6">
            <w:pPr>
              <w:pStyle w:val="P68B1DB1-Normal9"/>
              <w:spacing w:after="0" w:line="240" w:lineRule="auto"/>
              <w:rPr>
                <w:rFonts w:eastAsia="Times New Roman" w:cs="Calibri"/>
                <w:noProof/>
                <w:szCs w:val="18"/>
              </w:rPr>
            </w:pPr>
            <w:r>
              <w:rPr>
                <w:noProof/>
              </w:rPr>
              <w:t>ČTVRTLETÍ</w:t>
            </w:r>
          </w:p>
        </w:tc>
        <w:tc>
          <w:tcPr>
            <w:tcW w:w="709" w:type="dxa"/>
            <w:shd w:val="clear" w:color="auto" w:fill="C6EFCE"/>
            <w:noWrap/>
          </w:tcPr>
          <w:p w14:paraId="552BB0F7" w14:textId="1A0F1D4D" w:rsidR="00515398" w:rsidRDefault="006711E6">
            <w:pPr>
              <w:pStyle w:val="P68B1DB1-Normal9"/>
              <w:spacing w:after="0" w:line="240" w:lineRule="auto"/>
              <w:rPr>
                <w:rFonts w:eastAsia="Times New Roman" w:cs="Calibri"/>
                <w:noProof/>
                <w:szCs w:val="18"/>
              </w:rPr>
            </w:pPr>
            <w:r>
              <w:rPr>
                <w:noProof/>
              </w:rPr>
              <w:t>2024</w:t>
            </w:r>
          </w:p>
        </w:tc>
        <w:tc>
          <w:tcPr>
            <w:tcW w:w="4450" w:type="dxa"/>
            <w:shd w:val="clear" w:color="auto" w:fill="C6EFCE"/>
            <w:noWrap/>
          </w:tcPr>
          <w:p w14:paraId="0830C9FA" w14:textId="77777777" w:rsidR="00515398" w:rsidRDefault="006711E6">
            <w:pPr>
              <w:pStyle w:val="P68B1DB1-Normal9"/>
              <w:spacing w:after="0" w:line="240" w:lineRule="auto"/>
              <w:rPr>
                <w:rFonts w:eastAsia="Times New Roman" w:cs="Calibri"/>
                <w:noProof/>
                <w:szCs w:val="18"/>
              </w:rPr>
            </w:pPr>
            <w:r>
              <w:rPr>
                <w:noProof/>
              </w:rPr>
              <w:t xml:space="preserve">Přijetí územní strategie námořních prostor Ministerstvem životního prostředí a energetiky. </w:t>
            </w:r>
          </w:p>
        </w:tc>
      </w:tr>
    </w:tbl>
    <w:p w14:paraId="58A4E3C1" w14:textId="77777777" w:rsidR="00515398" w:rsidRDefault="00515398">
      <w:pPr>
        <w:spacing w:before="120" w:after="120" w:line="240" w:lineRule="auto"/>
        <w:ind w:left="709"/>
        <w:rPr>
          <w:rFonts w:ascii="Times New Roman" w:hAnsi="Times New Roman" w:cs="Times New Roman"/>
          <w:noProof/>
          <w:sz w:val="24"/>
        </w:rPr>
      </w:pPr>
    </w:p>
    <w:p w14:paraId="48C245B8"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 Energetická renovace podniků</w:t>
      </w:r>
      <w:r>
        <w:rPr>
          <w:noProof/>
        </w:rPr>
        <w:t xml:space="preserve"> a veřejných budov</w:t>
      </w:r>
    </w:p>
    <w:p w14:paraId="5FF97F2E" w14:textId="77777777" w:rsidR="00515398" w:rsidRDefault="006711E6">
      <w:pPr>
        <w:pStyle w:val="P68B1DB1-Normal4"/>
        <w:spacing w:before="120" w:after="120" w:line="240" w:lineRule="auto"/>
        <w:rPr>
          <w:rFonts w:cs="Times New Roman"/>
          <w:noProof/>
        </w:rPr>
      </w:pPr>
      <w:r>
        <w:rPr>
          <w:noProof/>
        </w:rPr>
        <w:t>Opatření zahrnutá do této skupiny jsou:</w:t>
      </w:r>
    </w:p>
    <w:p w14:paraId="0190F1AA"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Energetika a podnikání (ID: 16874)</w:t>
      </w:r>
    </w:p>
    <w:p w14:paraId="3093B417"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Energetická modernizace budov veřejného sektoru a energetická infrastruktura veřejných subjektů (ID: 16876)</w:t>
      </w:r>
    </w:p>
    <w:p w14:paraId="2D70AC13"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Akční plán pro energetickou chudobu (ID: 16920)</w:t>
      </w:r>
    </w:p>
    <w:tbl>
      <w:tblPr>
        <w:tblpPr w:leftFromText="180" w:rightFromText="180" w:vertAnchor="text" w:tblpXSpec="center" w:tblpY="1"/>
        <w:tblOverlap w:val="never"/>
        <w:tblW w:w="15417" w:type="dxa"/>
        <w:tblLayout w:type="fixed"/>
        <w:tblLook w:val="04A0" w:firstRow="1" w:lastRow="0" w:firstColumn="1" w:lastColumn="0" w:noHBand="0" w:noVBand="1"/>
      </w:tblPr>
      <w:tblGrid>
        <w:gridCol w:w="959"/>
        <w:gridCol w:w="1815"/>
        <w:gridCol w:w="1020"/>
        <w:gridCol w:w="1134"/>
        <w:gridCol w:w="1417"/>
        <w:gridCol w:w="1091"/>
        <w:gridCol w:w="999"/>
        <w:gridCol w:w="985"/>
        <w:gridCol w:w="894"/>
        <w:gridCol w:w="709"/>
        <w:gridCol w:w="4394"/>
      </w:tblGrid>
      <w:tr w:rsidR="00515398" w14:paraId="5B250EA5" w14:textId="77777777">
        <w:trPr>
          <w:trHeight w:val="939"/>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863273"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4A4A4A"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10FF9B"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134" w:type="dxa"/>
            <w:vMerge w:val="restart"/>
            <w:tcBorders>
              <w:top w:val="single" w:sz="4" w:space="0" w:color="auto"/>
              <w:left w:val="nil"/>
              <w:bottom w:val="single" w:sz="4" w:space="0" w:color="auto"/>
              <w:right w:val="single" w:sz="4" w:space="0" w:color="auto"/>
            </w:tcBorders>
            <w:shd w:val="clear" w:color="auto" w:fill="BDD7EE"/>
            <w:vAlign w:val="center"/>
            <w:hideMark/>
          </w:tcPr>
          <w:p w14:paraId="2D2AA790"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6B1960"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075" w:type="dxa"/>
            <w:gridSpan w:val="3"/>
            <w:tcBorders>
              <w:top w:val="single" w:sz="4" w:space="0" w:color="auto"/>
              <w:left w:val="nil"/>
              <w:bottom w:val="single" w:sz="4" w:space="0" w:color="auto"/>
              <w:right w:val="single" w:sz="4" w:space="0" w:color="auto"/>
            </w:tcBorders>
            <w:shd w:val="clear" w:color="auto" w:fill="BDD7EE"/>
            <w:vAlign w:val="center"/>
            <w:hideMark/>
          </w:tcPr>
          <w:p w14:paraId="1FB95E74"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14:paraId="2569552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F521F8"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6C09A7B2" w14:textId="77777777">
        <w:trPr>
          <w:trHeight w:val="10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7AFAAD5" w14:textId="77777777" w:rsidR="00515398" w:rsidRDefault="00515398">
            <w:pPr>
              <w:spacing w:after="0" w:line="240" w:lineRule="auto"/>
              <w:rPr>
                <w:rFonts w:ascii="Times New Roman" w:eastAsia="Times New Roman" w:hAnsi="Times New Roman" w:cs="Times New Roman"/>
                <w:b/>
                <w:bCs/>
                <w:noProof/>
                <w:sz w:val="18"/>
                <w:szCs w:val="18"/>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9396D84" w14:textId="77777777" w:rsidR="00515398" w:rsidRDefault="00515398">
            <w:pPr>
              <w:spacing w:after="0" w:line="240" w:lineRule="auto"/>
              <w:rPr>
                <w:rFonts w:ascii="Times New Roman" w:eastAsia="Times New Roman" w:hAnsi="Times New Roman" w:cs="Times New Roman"/>
                <w:b/>
                <w:bCs/>
                <w:noProof/>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B2B4D5F"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442F59" w14:textId="77777777" w:rsidR="00515398" w:rsidRDefault="00515398">
            <w:pPr>
              <w:spacing w:after="0" w:line="240" w:lineRule="auto"/>
              <w:rPr>
                <w:rFonts w:ascii="Times New Roman" w:eastAsia="Times New Roman" w:hAnsi="Times New Roman" w:cs="Times New Roman"/>
                <w:b/>
                <w:bCs/>
                <w:noProof/>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D92A24" w14:textId="77777777" w:rsidR="00515398" w:rsidRDefault="00515398">
            <w:pPr>
              <w:spacing w:after="0" w:line="240" w:lineRule="auto"/>
              <w:rPr>
                <w:rFonts w:ascii="Times New Roman" w:eastAsia="Times New Roman" w:hAnsi="Times New Roman" w:cs="Times New Roman"/>
                <w:b/>
                <w:bCs/>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F32ABDB"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9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5F79EF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98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79947B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9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61DC60"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B5029FD"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D67A3F4"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3D63A5B2" w14:textId="77777777">
        <w:trPr>
          <w:trHeight w:val="313"/>
        </w:trPr>
        <w:tc>
          <w:tcPr>
            <w:tcW w:w="959" w:type="dxa"/>
            <w:tcBorders>
              <w:top w:val="single" w:sz="4" w:space="0" w:color="auto"/>
              <w:left w:val="single" w:sz="4" w:space="0" w:color="auto"/>
              <w:bottom w:val="single" w:sz="4" w:space="0" w:color="auto"/>
              <w:right w:val="single" w:sz="4" w:space="0" w:color="auto"/>
            </w:tcBorders>
            <w:shd w:val="clear" w:color="auto" w:fill="C6EFCE"/>
            <w:noWrap/>
          </w:tcPr>
          <w:p w14:paraId="4973529F" w14:textId="77777777" w:rsidR="00515398" w:rsidRDefault="006711E6">
            <w:pPr>
              <w:pStyle w:val="P68B1DB1-Normal9"/>
              <w:spacing w:after="0" w:line="240" w:lineRule="auto"/>
              <w:rPr>
                <w:rFonts w:eastAsia="Times New Roman" w:cs="Calibri"/>
                <w:noProof/>
                <w:szCs w:val="18"/>
              </w:rPr>
            </w:pPr>
            <w:r>
              <w:rPr>
                <w:noProof/>
              </w:rPr>
              <w:t>32</w:t>
            </w:r>
          </w:p>
        </w:tc>
        <w:tc>
          <w:tcPr>
            <w:tcW w:w="1815" w:type="dxa"/>
            <w:tcBorders>
              <w:top w:val="single" w:sz="4" w:space="0" w:color="auto"/>
              <w:left w:val="nil"/>
              <w:bottom w:val="single" w:sz="4" w:space="0" w:color="auto"/>
              <w:right w:val="single" w:sz="4" w:space="0" w:color="auto"/>
            </w:tcBorders>
            <w:shd w:val="clear" w:color="auto" w:fill="C6EFCE"/>
            <w:noWrap/>
          </w:tcPr>
          <w:p w14:paraId="68357A72" w14:textId="77777777" w:rsidR="00515398" w:rsidRDefault="006711E6">
            <w:pPr>
              <w:pStyle w:val="P68B1DB1-Normal9"/>
              <w:spacing w:after="0" w:line="240" w:lineRule="auto"/>
              <w:rPr>
                <w:rFonts w:eastAsia="Times New Roman" w:cs="Calibri"/>
                <w:noProof/>
                <w:szCs w:val="18"/>
              </w:rPr>
            </w:pPr>
            <w:r>
              <w:rPr>
                <w:noProof/>
              </w:rPr>
              <w:t>2–1.2. Renovace – 16920_Akční plán pro energetickou chudobu</w:t>
            </w:r>
          </w:p>
        </w:tc>
        <w:tc>
          <w:tcPr>
            <w:tcW w:w="1020" w:type="dxa"/>
            <w:tcBorders>
              <w:top w:val="single" w:sz="4" w:space="0" w:color="auto"/>
              <w:left w:val="nil"/>
              <w:bottom w:val="single" w:sz="4" w:space="0" w:color="auto"/>
              <w:right w:val="single" w:sz="4" w:space="0" w:color="auto"/>
            </w:tcBorders>
            <w:shd w:val="clear" w:color="auto" w:fill="C6EFCE"/>
            <w:noWrap/>
          </w:tcPr>
          <w:p w14:paraId="66A75BB3" w14:textId="77777777" w:rsidR="00515398" w:rsidRDefault="006711E6">
            <w:pPr>
              <w:pStyle w:val="P68B1DB1-Normal9"/>
              <w:spacing w:after="0" w:line="240" w:lineRule="auto"/>
              <w:rPr>
                <w:rFonts w:eastAsia="Times New Roman" w:cs="Calibri"/>
                <w:noProof/>
                <w:szCs w:val="18"/>
              </w:rPr>
            </w:pPr>
            <w:r>
              <w:rPr>
                <w:noProof/>
              </w:rPr>
              <w:t>Milník</w:t>
            </w:r>
          </w:p>
        </w:tc>
        <w:tc>
          <w:tcPr>
            <w:tcW w:w="1134" w:type="dxa"/>
            <w:tcBorders>
              <w:top w:val="single" w:sz="4" w:space="0" w:color="auto"/>
              <w:left w:val="nil"/>
              <w:bottom w:val="single" w:sz="4" w:space="0" w:color="auto"/>
              <w:right w:val="single" w:sz="4" w:space="0" w:color="auto"/>
            </w:tcBorders>
            <w:shd w:val="clear" w:color="auto" w:fill="C6EFCE"/>
            <w:noWrap/>
          </w:tcPr>
          <w:p w14:paraId="3D75DEA2" w14:textId="77777777" w:rsidR="00515398" w:rsidRDefault="006711E6">
            <w:pPr>
              <w:pStyle w:val="P68B1DB1-Normal9"/>
              <w:spacing w:after="0" w:line="240" w:lineRule="auto"/>
              <w:rPr>
                <w:rFonts w:eastAsia="Times New Roman" w:cs="Calibri"/>
                <w:noProof/>
                <w:szCs w:val="18"/>
              </w:rPr>
            </w:pPr>
            <w:r>
              <w:rPr>
                <w:noProof/>
              </w:rPr>
              <w:t>Energetická chudoba – přijetí akčního plánu</w:t>
            </w:r>
          </w:p>
          <w:p w14:paraId="6DEAC950" w14:textId="77777777" w:rsidR="00515398" w:rsidRDefault="00515398">
            <w:pPr>
              <w:spacing w:after="0" w:line="240" w:lineRule="auto"/>
              <w:rPr>
                <w:rFonts w:eastAsia="Times New Roman" w:cs="Calibri"/>
                <w:noProof/>
                <w:color w:val="006100"/>
                <w:sz w:val="18"/>
                <w:szCs w:val="18"/>
              </w:rPr>
            </w:pPr>
          </w:p>
        </w:tc>
        <w:tc>
          <w:tcPr>
            <w:tcW w:w="1417" w:type="dxa"/>
            <w:tcBorders>
              <w:top w:val="single" w:sz="4" w:space="0" w:color="auto"/>
              <w:left w:val="nil"/>
              <w:bottom w:val="single" w:sz="4" w:space="0" w:color="auto"/>
              <w:right w:val="single" w:sz="4" w:space="0" w:color="auto"/>
            </w:tcBorders>
            <w:shd w:val="clear" w:color="auto" w:fill="C6EFCE"/>
            <w:noWrap/>
          </w:tcPr>
          <w:p w14:paraId="6339E172" w14:textId="77777777" w:rsidR="00515398" w:rsidRDefault="006711E6">
            <w:pPr>
              <w:pStyle w:val="P68B1DB1-Normal9"/>
              <w:spacing w:after="0" w:line="240" w:lineRule="auto"/>
              <w:rPr>
                <w:rFonts w:eastAsia="Times New Roman" w:cs="Calibri"/>
                <w:noProof/>
                <w:szCs w:val="18"/>
              </w:rPr>
            </w:pPr>
            <w:r>
              <w:rPr>
                <w:noProof/>
              </w:rPr>
              <w:t>Vstup v platnost ministerského rozhodnutí Ministerstva životního prostředí a energetiky.</w:t>
            </w:r>
          </w:p>
        </w:tc>
        <w:tc>
          <w:tcPr>
            <w:tcW w:w="1091" w:type="dxa"/>
            <w:tcBorders>
              <w:top w:val="single" w:sz="4" w:space="0" w:color="auto"/>
              <w:left w:val="nil"/>
              <w:bottom w:val="single" w:sz="4" w:space="0" w:color="auto"/>
              <w:right w:val="single" w:sz="4" w:space="0" w:color="auto"/>
            </w:tcBorders>
            <w:shd w:val="clear" w:color="auto" w:fill="C6EFCE"/>
            <w:noWrap/>
          </w:tcPr>
          <w:p w14:paraId="3E8AB518" w14:textId="77777777" w:rsidR="00515398" w:rsidRDefault="00515398">
            <w:pPr>
              <w:spacing w:after="0" w:line="240" w:lineRule="auto"/>
              <w:rPr>
                <w:rFonts w:eastAsia="Times New Roman" w:cs="Calibri"/>
                <w:noProof/>
                <w:color w:val="006100"/>
                <w:sz w:val="18"/>
                <w:szCs w:val="18"/>
              </w:rPr>
            </w:pPr>
          </w:p>
        </w:tc>
        <w:tc>
          <w:tcPr>
            <w:tcW w:w="999" w:type="dxa"/>
            <w:tcBorders>
              <w:top w:val="single" w:sz="4" w:space="0" w:color="auto"/>
              <w:left w:val="nil"/>
              <w:bottom w:val="single" w:sz="4" w:space="0" w:color="auto"/>
              <w:right w:val="single" w:sz="4" w:space="0" w:color="auto"/>
            </w:tcBorders>
            <w:shd w:val="clear" w:color="auto" w:fill="C6EFCE"/>
            <w:noWrap/>
          </w:tcPr>
          <w:p w14:paraId="6A523C06" w14:textId="77777777" w:rsidR="00515398" w:rsidRDefault="00515398">
            <w:pPr>
              <w:spacing w:after="0" w:line="240" w:lineRule="auto"/>
              <w:rPr>
                <w:rFonts w:eastAsia="Times New Roman" w:cs="Calibri"/>
                <w:noProof/>
                <w:color w:val="006100"/>
                <w:sz w:val="18"/>
                <w:szCs w:val="18"/>
              </w:rPr>
            </w:pPr>
          </w:p>
        </w:tc>
        <w:tc>
          <w:tcPr>
            <w:tcW w:w="985" w:type="dxa"/>
            <w:tcBorders>
              <w:top w:val="single" w:sz="4" w:space="0" w:color="auto"/>
              <w:left w:val="nil"/>
              <w:bottom w:val="single" w:sz="4" w:space="0" w:color="auto"/>
              <w:right w:val="single" w:sz="4" w:space="0" w:color="auto"/>
            </w:tcBorders>
            <w:shd w:val="clear" w:color="auto" w:fill="C6EFCE"/>
            <w:noWrap/>
          </w:tcPr>
          <w:p w14:paraId="6FD59801" w14:textId="77777777" w:rsidR="00515398" w:rsidRDefault="00515398">
            <w:pPr>
              <w:spacing w:after="0" w:line="240" w:lineRule="auto"/>
              <w:rPr>
                <w:rFonts w:eastAsia="Times New Roman" w:cs="Calibri"/>
                <w:noProof/>
                <w:color w:val="006100"/>
                <w:sz w:val="18"/>
                <w:szCs w:val="18"/>
              </w:rPr>
            </w:pPr>
          </w:p>
        </w:tc>
        <w:tc>
          <w:tcPr>
            <w:tcW w:w="894" w:type="dxa"/>
            <w:tcBorders>
              <w:top w:val="single" w:sz="4" w:space="0" w:color="auto"/>
              <w:left w:val="nil"/>
              <w:bottom w:val="single" w:sz="4" w:space="0" w:color="auto"/>
              <w:right w:val="single" w:sz="4" w:space="0" w:color="auto"/>
            </w:tcBorders>
            <w:shd w:val="clear" w:color="auto" w:fill="C6EFCE"/>
            <w:noWrap/>
          </w:tcPr>
          <w:p w14:paraId="703558CB" w14:textId="77777777" w:rsidR="00515398" w:rsidRDefault="006711E6">
            <w:pPr>
              <w:pStyle w:val="P68B1DB1-Normal9"/>
              <w:spacing w:after="0" w:line="240" w:lineRule="auto"/>
              <w:rPr>
                <w:rFonts w:eastAsia="Times New Roman" w:cs="Calibri"/>
                <w:noProof/>
                <w:szCs w:val="18"/>
              </w:rPr>
            </w:pPr>
            <w:r>
              <w:rPr>
                <w:noProof/>
              </w:rPr>
              <w:t>ČTVRTLETÍ 3</w:t>
            </w:r>
          </w:p>
        </w:tc>
        <w:tc>
          <w:tcPr>
            <w:tcW w:w="709" w:type="dxa"/>
            <w:tcBorders>
              <w:top w:val="single" w:sz="4" w:space="0" w:color="auto"/>
              <w:left w:val="nil"/>
              <w:bottom w:val="single" w:sz="4" w:space="0" w:color="auto"/>
              <w:right w:val="single" w:sz="4" w:space="0" w:color="auto"/>
            </w:tcBorders>
            <w:shd w:val="clear" w:color="auto" w:fill="C6EFCE"/>
            <w:noWrap/>
          </w:tcPr>
          <w:p w14:paraId="499C5C75" w14:textId="77777777" w:rsidR="00515398" w:rsidRDefault="006711E6">
            <w:pPr>
              <w:pStyle w:val="P68B1DB1-Normal9"/>
              <w:spacing w:after="0" w:line="240" w:lineRule="auto"/>
              <w:rPr>
                <w:rFonts w:eastAsia="Times New Roman" w:cs="Calibri"/>
                <w:noProof/>
                <w:szCs w:val="18"/>
              </w:rPr>
            </w:pPr>
            <w:r>
              <w:rPr>
                <w:noProof/>
              </w:rPr>
              <w:t>2021</w:t>
            </w:r>
          </w:p>
        </w:tc>
        <w:tc>
          <w:tcPr>
            <w:tcW w:w="4394" w:type="dxa"/>
            <w:tcBorders>
              <w:top w:val="single" w:sz="4" w:space="0" w:color="auto"/>
              <w:left w:val="nil"/>
              <w:bottom w:val="single" w:sz="4" w:space="0" w:color="auto"/>
              <w:right w:val="single" w:sz="4" w:space="0" w:color="auto"/>
            </w:tcBorders>
            <w:shd w:val="clear" w:color="auto" w:fill="C6EFCE"/>
            <w:noWrap/>
          </w:tcPr>
          <w:p w14:paraId="0E93BFF6" w14:textId="77777777" w:rsidR="00515398" w:rsidRDefault="006711E6">
            <w:pPr>
              <w:pStyle w:val="P68B1DB1-Normal9"/>
              <w:spacing w:after="0" w:line="240" w:lineRule="auto"/>
              <w:rPr>
                <w:rFonts w:eastAsia="Times New Roman" w:cs="Calibri"/>
                <w:noProof/>
                <w:szCs w:val="18"/>
              </w:rPr>
            </w:pPr>
            <w:r>
              <w:rPr>
                <w:noProof/>
              </w:rPr>
              <w:t xml:space="preserve">Vstup v </w:t>
            </w:r>
            <w:r>
              <w:rPr>
                <w:noProof/>
              </w:rPr>
              <w:t>platnost ministerského rozhodnutí Ministerstva životního prostředí a energetiky, kterým se přijímá akční plán pro energetickou chudobu, se třemi kategoriemi politických opatření v plánu:</w:t>
            </w:r>
          </w:p>
          <w:p w14:paraId="5537F078" w14:textId="77777777" w:rsidR="00515398" w:rsidRDefault="006711E6">
            <w:pPr>
              <w:pStyle w:val="P68B1DB1-Normal9"/>
              <w:spacing w:after="0" w:line="240" w:lineRule="auto"/>
              <w:rPr>
                <w:rFonts w:eastAsia="Times New Roman" w:cs="Calibri"/>
                <w:noProof/>
                <w:szCs w:val="18"/>
              </w:rPr>
            </w:pPr>
            <w:r>
              <w:rPr>
                <w:noProof/>
              </w:rPr>
              <w:t>— Osvětová a informační opatření,</w:t>
            </w:r>
          </w:p>
          <w:p w14:paraId="5E111CF5" w14:textId="77777777" w:rsidR="00515398" w:rsidRDefault="006711E6">
            <w:pPr>
              <w:pStyle w:val="P68B1DB1-Normal9"/>
              <w:spacing w:after="0" w:line="240" w:lineRule="auto"/>
              <w:rPr>
                <w:rFonts w:eastAsia="Times New Roman" w:cs="Calibri"/>
                <w:noProof/>
                <w:szCs w:val="18"/>
              </w:rPr>
            </w:pPr>
            <w:r>
              <w:rPr>
                <w:noProof/>
              </w:rPr>
              <w:t xml:space="preserve">— Opatření pro krátkodobou ochranu </w:t>
            </w:r>
            <w:r>
              <w:rPr>
                <w:noProof/>
              </w:rPr>
              <w:t>domácností trpících energetickou chudobou, včetně 1) definice domácností trpících energetickou chudobou prostřednictvím zvláštních kvantitativních kritérií a 2) zvláštního postupu sledování a hodnocení vývoje energetické chudoby v souladu s mechanismem nav</w:t>
            </w:r>
            <w:r>
              <w:rPr>
                <w:noProof/>
              </w:rPr>
              <w:t>rženým v akčním plánu a v souladu s příslušnými právními předpisy EU; a pokud</w:t>
            </w:r>
          </w:p>
          <w:p w14:paraId="5190DC63" w14:textId="77777777" w:rsidR="00515398" w:rsidRDefault="006711E6">
            <w:pPr>
              <w:pStyle w:val="P68B1DB1-Normal9"/>
              <w:spacing w:after="0" w:line="240" w:lineRule="auto"/>
              <w:rPr>
                <w:rFonts w:eastAsia="Times New Roman" w:cs="Calibri"/>
                <w:noProof/>
                <w:szCs w:val="18"/>
              </w:rPr>
            </w:pPr>
            <w:r>
              <w:rPr>
                <w:noProof/>
              </w:rPr>
              <w:t xml:space="preserve">—Finanční opatření: zavedení mechanismů financování energetické modernizace obytných budov energeticky zranitelných domácností a dalších sociálních skupin se specifickými vzorci </w:t>
            </w:r>
            <w:r>
              <w:rPr>
                <w:noProof/>
              </w:rPr>
              <w:t>spotřeby elektřiny. Tato finanční opatření se zaměří na otázky energetické chudoby v Řecku, jak je popsáno ve vnitrostátním plánu v oblasti energetiky a klimatu.</w:t>
            </w:r>
          </w:p>
        </w:tc>
      </w:tr>
      <w:tr w:rsidR="00515398" w14:paraId="714C6CE9" w14:textId="77777777">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32D86E70" w14:textId="77777777" w:rsidR="00515398" w:rsidRDefault="006711E6">
            <w:pPr>
              <w:pStyle w:val="P68B1DB1-Normal10"/>
              <w:spacing w:after="0" w:line="240" w:lineRule="auto"/>
              <w:rPr>
                <w:rFonts w:eastAsia="Times New Roman" w:cs="Calibri"/>
                <w:noProof/>
              </w:rPr>
            </w:pPr>
            <w:r>
              <w:rPr>
                <w:noProof/>
              </w:rPr>
              <w:t>33</w:t>
            </w:r>
          </w:p>
        </w:tc>
        <w:tc>
          <w:tcPr>
            <w:tcW w:w="1815" w:type="dxa"/>
            <w:tcBorders>
              <w:top w:val="nil"/>
              <w:left w:val="nil"/>
              <w:bottom w:val="single" w:sz="4" w:space="0" w:color="auto"/>
              <w:right w:val="single" w:sz="4" w:space="0" w:color="auto"/>
            </w:tcBorders>
            <w:shd w:val="clear" w:color="auto" w:fill="C6EFCE"/>
            <w:noWrap/>
          </w:tcPr>
          <w:p w14:paraId="3411912F" w14:textId="77777777" w:rsidR="00515398" w:rsidRDefault="006711E6">
            <w:pPr>
              <w:pStyle w:val="P68B1DB1-Normal9"/>
              <w:spacing w:after="0" w:line="240" w:lineRule="auto"/>
              <w:rPr>
                <w:rFonts w:eastAsia="Times New Roman" w:cs="Calibri"/>
                <w:noProof/>
                <w:szCs w:val="18"/>
              </w:rPr>
            </w:pPr>
            <w:r>
              <w:rPr>
                <w:noProof/>
              </w:rPr>
              <w:t>2–1.2. Renovace – 16874_Energetika a podnikání</w:t>
            </w:r>
          </w:p>
        </w:tc>
        <w:tc>
          <w:tcPr>
            <w:tcW w:w="1020" w:type="dxa"/>
            <w:tcBorders>
              <w:top w:val="nil"/>
              <w:left w:val="nil"/>
              <w:bottom w:val="single" w:sz="4" w:space="0" w:color="auto"/>
              <w:right w:val="single" w:sz="4" w:space="0" w:color="auto"/>
            </w:tcBorders>
            <w:shd w:val="clear" w:color="auto" w:fill="C6EFCE"/>
            <w:noWrap/>
          </w:tcPr>
          <w:p w14:paraId="20FB9164" w14:textId="77777777" w:rsidR="00515398" w:rsidRDefault="006711E6">
            <w:pPr>
              <w:pStyle w:val="P68B1DB1-Normal9"/>
              <w:spacing w:after="0" w:line="240" w:lineRule="auto"/>
              <w:rPr>
                <w:rFonts w:eastAsia="Times New Roman" w:cs="Calibri"/>
                <w:noProof/>
                <w:szCs w:val="18"/>
              </w:rPr>
            </w:pPr>
            <w:r>
              <w:rPr>
                <w:noProof/>
              </w:rPr>
              <w:t>Milník</w:t>
            </w:r>
          </w:p>
        </w:tc>
        <w:tc>
          <w:tcPr>
            <w:tcW w:w="1134" w:type="dxa"/>
            <w:tcBorders>
              <w:top w:val="nil"/>
              <w:left w:val="nil"/>
              <w:bottom w:val="single" w:sz="4" w:space="0" w:color="auto"/>
              <w:right w:val="single" w:sz="4" w:space="0" w:color="auto"/>
            </w:tcBorders>
            <w:shd w:val="clear" w:color="auto" w:fill="C6EFCE"/>
            <w:noWrap/>
          </w:tcPr>
          <w:p w14:paraId="6E057095" w14:textId="77777777" w:rsidR="00515398" w:rsidRDefault="006711E6">
            <w:pPr>
              <w:pStyle w:val="P68B1DB1-Normal9"/>
              <w:spacing w:after="0" w:line="240" w:lineRule="auto"/>
              <w:rPr>
                <w:rFonts w:eastAsia="Times New Roman" w:cs="Calibri"/>
                <w:noProof/>
                <w:szCs w:val="18"/>
              </w:rPr>
            </w:pPr>
            <w:r>
              <w:rPr>
                <w:noProof/>
              </w:rPr>
              <w:t xml:space="preserve">Energetická účinnost soukromého </w:t>
            </w:r>
            <w:r>
              <w:rPr>
                <w:noProof/>
              </w:rPr>
              <w:t>sektoru – schválené žádosti</w:t>
            </w:r>
          </w:p>
        </w:tc>
        <w:tc>
          <w:tcPr>
            <w:tcW w:w="1417" w:type="dxa"/>
            <w:tcBorders>
              <w:top w:val="nil"/>
              <w:left w:val="nil"/>
              <w:bottom w:val="single" w:sz="4" w:space="0" w:color="auto"/>
              <w:right w:val="single" w:sz="4" w:space="0" w:color="auto"/>
            </w:tcBorders>
            <w:shd w:val="clear" w:color="auto" w:fill="C6EFCE"/>
            <w:noWrap/>
          </w:tcPr>
          <w:p w14:paraId="61BCFA5D" w14:textId="77777777" w:rsidR="00515398" w:rsidRDefault="006711E6">
            <w:pPr>
              <w:pStyle w:val="P68B1DB1-Normal9"/>
              <w:spacing w:after="0" w:line="240" w:lineRule="auto"/>
              <w:rPr>
                <w:rFonts w:eastAsia="Times New Roman" w:cs="Calibri"/>
                <w:noProof/>
                <w:szCs w:val="18"/>
              </w:rPr>
            </w:pPr>
            <w:r>
              <w:rPr>
                <w:noProof/>
              </w:rPr>
              <w:t>Schválení žádostí předložených pro vybrané intervence u subjektů soukromého sektoru Ministerstvem životního prostředí a energetiky.</w:t>
            </w:r>
          </w:p>
        </w:tc>
        <w:tc>
          <w:tcPr>
            <w:tcW w:w="1091" w:type="dxa"/>
            <w:tcBorders>
              <w:top w:val="nil"/>
              <w:left w:val="nil"/>
              <w:bottom w:val="single" w:sz="4" w:space="0" w:color="auto"/>
              <w:right w:val="single" w:sz="4" w:space="0" w:color="auto"/>
            </w:tcBorders>
            <w:shd w:val="clear" w:color="auto" w:fill="C6EFCE"/>
            <w:noWrap/>
          </w:tcPr>
          <w:p w14:paraId="29DDB3E7" w14:textId="77777777" w:rsidR="00515398" w:rsidRDefault="00515398">
            <w:pPr>
              <w:spacing w:after="0" w:line="240" w:lineRule="auto"/>
              <w:rPr>
                <w:rFonts w:eastAsia="Times New Roman" w:cs="Calibri"/>
                <w:noProof/>
                <w:color w:val="006100"/>
                <w:sz w:val="18"/>
                <w:szCs w:val="18"/>
              </w:rPr>
            </w:pPr>
          </w:p>
        </w:tc>
        <w:tc>
          <w:tcPr>
            <w:tcW w:w="999" w:type="dxa"/>
            <w:tcBorders>
              <w:top w:val="nil"/>
              <w:left w:val="nil"/>
              <w:bottom w:val="single" w:sz="4" w:space="0" w:color="auto"/>
              <w:right w:val="single" w:sz="4" w:space="0" w:color="auto"/>
            </w:tcBorders>
            <w:shd w:val="clear" w:color="auto" w:fill="C6EFCE"/>
            <w:noWrap/>
          </w:tcPr>
          <w:p w14:paraId="394B70E5" w14:textId="77777777" w:rsidR="00515398" w:rsidRDefault="00515398">
            <w:pPr>
              <w:spacing w:after="0" w:line="240" w:lineRule="auto"/>
              <w:rPr>
                <w:rFonts w:eastAsia="Times New Roman" w:cs="Calibri"/>
                <w:noProof/>
                <w:color w:val="006100"/>
                <w:sz w:val="18"/>
                <w:szCs w:val="18"/>
              </w:rPr>
            </w:pPr>
          </w:p>
        </w:tc>
        <w:tc>
          <w:tcPr>
            <w:tcW w:w="985" w:type="dxa"/>
            <w:tcBorders>
              <w:top w:val="nil"/>
              <w:left w:val="nil"/>
              <w:bottom w:val="single" w:sz="4" w:space="0" w:color="auto"/>
              <w:right w:val="single" w:sz="4" w:space="0" w:color="auto"/>
            </w:tcBorders>
            <w:shd w:val="clear" w:color="auto" w:fill="C6EFCE"/>
            <w:noWrap/>
          </w:tcPr>
          <w:p w14:paraId="1E36E213" w14:textId="77777777" w:rsidR="00515398" w:rsidRDefault="00515398">
            <w:pPr>
              <w:spacing w:after="0" w:line="240" w:lineRule="auto"/>
              <w:rPr>
                <w:rFonts w:eastAsia="Times New Roman" w:cs="Calibri"/>
                <w:noProof/>
                <w:color w:val="006100"/>
                <w:sz w:val="18"/>
                <w:szCs w:val="18"/>
              </w:rPr>
            </w:pPr>
          </w:p>
        </w:tc>
        <w:tc>
          <w:tcPr>
            <w:tcW w:w="894" w:type="dxa"/>
            <w:tcBorders>
              <w:top w:val="nil"/>
              <w:left w:val="nil"/>
              <w:bottom w:val="single" w:sz="4" w:space="0" w:color="auto"/>
              <w:right w:val="single" w:sz="4" w:space="0" w:color="auto"/>
            </w:tcBorders>
            <w:shd w:val="clear" w:color="auto" w:fill="C6EFCE"/>
            <w:noWrap/>
          </w:tcPr>
          <w:p w14:paraId="3A8BC76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1F6E4FE1" w14:textId="77777777" w:rsidR="00515398" w:rsidRDefault="006711E6">
            <w:pPr>
              <w:pStyle w:val="P68B1DB1-Normal9"/>
              <w:spacing w:after="0" w:line="240" w:lineRule="auto"/>
              <w:rPr>
                <w:rFonts w:eastAsia="Times New Roman" w:cs="Calibri"/>
                <w:noProof/>
                <w:szCs w:val="18"/>
              </w:rPr>
            </w:pPr>
            <w:r>
              <w:rPr>
                <w:noProof/>
              </w:rPr>
              <w:t>2023</w:t>
            </w:r>
          </w:p>
        </w:tc>
        <w:tc>
          <w:tcPr>
            <w:tcW w:w="4394" w:type="dxa"/>
            <w:tcBorders>
              <w:top w:val="nil"/>
              <w:left w:val="nil"/>
              <w:bottom w:val="single" w:sz="4" w:space="0" w:color="auto"/>
              <w:right w:val="single" w:sz="4" w:space="0" w:color="auto"/>
            </w:tcBorders>
            <w:shd w:val="clear" w:color="auto" w:fill="C6EFCE"/>
            <w:noWrap/>
          </w:tcPr>
          <w:p w14:paraId="65FB35D0" w14:textId="79D24C54" w:rsidR="00515398" w:rsidRDefault="006711E6">
            <w:pPr>
              <w:pStyle w:val="P68B1DB1-Normal10"/>
              <w:spacing w:after="0" w:line="240" w:lineRule="auto"/>
              <w:rPr>
                <w:rFonts w:eastAsia="Times New Roman" w:cs="Calibri"/>
                <w:noProof/>
              </w:rPr>
            </w:pPr>
            <w:r>
              <w:rPr>
                <w:noProof/>
              </w:rPr>
              <w:t>Schválení žádostí 3500 subjektů soukromého sektoru Ministerstvem životní</w:t>
            </w:r>
            <w:r>
              <w:rPr>
                <w:noProof/>
              </w:rPr>
              <w:t>ho prostředí a energetiky, které zajistí, že emise oxidu uhličitého (CO2) se sníží v průměru alespoň o 30 % ve srovnání se stávající situací subjektů soukromého sektoru (tj. může se vztahovat na zúčastněné podniky jako celek, na konkrétní výměnu zařízení a</w:t>
            </w:r>
            <w:r>
              <w:rPr>
                <w:noProof/>
              </w:rPr>
              <w:t>/nebo na výměnu konkrétního procesu (procesů)), jak je uvedeno v energetických auditech provedených před zásahy nebo jinými certifikovanými informacemi. Vybrané projekty musí být v souladu s technickými pokyny „významně nepoškozovat“ (2021/C58/01) prostřed</w:t>
            </w:r>
            <w:r>
              <w:rPr>
                <w:noProof/>
              </w:rPr>
              <w:t>nictvím seznamu vyloučení a požadavku souladu s příslušnými právními předpisy EU a vnitrostátními právními předpisy v oblasti životního prostředí.</w:t>
            </w:r>
          </w:p>
        </w:tc>
      </w:tr>
      <w:tr w:rsidR="00515398" w14:paraId="4021B5AD" w14:textId="77777777">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1BFB2C9E" w14:textId="77777777" w:rsidR="00515398" w:rsidRDefault="006711E6">
            <w:pPr>
              <w:pStyle w:val="P68B1DB1-Normal9"/>
              <w:spacing w:after="0" w:line="240" w:lineRule="auto"/>
              <w:rPr>
                <w:rFonts w:eastAsia="Times New Roman" w:cs="Calibri"/>
                <w:noProof/>
                <w:szCs w:val="18"/>
              </w:rPr>
            </w:pPr>
            <w:r>
              <w:rPr>
                <w:noProof/>
              </w:rPr>
              <w:t>34</w:t>
            </w:r>
          </w:p>
        </w:tc>
        <w:tc>
          <w:tcPr>
            <w:tcW w:w="1815" w:type="dxa"/>
            <w:tcBorders>
              <w:top w:val="nil"/>
              <w:left w:val="nil"/>
              <w:bottom w:val="single" w:sz="4" w:space="0" w:color="auto"/>
              <w:right w:val="single" w:sz="4" w:space="0" w:color="auto"/>
            </w:tcBorders>
            <w:shd w:val="clear" w:color="auto" w:fill="C6EFCE"/>
            <w:noWrap/>
          </w:tcPr>
          <w:p w14:paraId="0DEB7A8D" w14:textId="77777777" w:rsidR="00515398" w:rsidRDefault="006711E6">
            <w:pPr>
              <w:pStyle w:val="P68B1DB1-Normal9"/>
              <w:spacing w:after="0" w:line="240" w:lineRule="auto"/>
              <w:rPr>
                <w:rFonts w:eastAsia="Times New Roman" w:cs="Calibri"/>
                <w:noProof/>
                <w:szCs w:val="18"/>
              </w:rPr>
            </w:pPr>
            <w:r>
              <w:rPr>
                <w:noProof/>
              </w:rPr>
              <w:t xml:space="preserve">2–1.2. Renovace – 16876_Energetická modernizace budov veřejného sektoru </w:t>
            </w:r>
          </w:p>
        </w:tc>
        <w:tc>
          <w:tcPr>
            <w:tcW w:w="1020" w:type="dxa"/>
            <w:tcBorders>
              <w:top w:val="nil"/>
              <w:left w:val="nil"/>
              <w:bottom w:val="single" w:sz="4" w:space="0" w:color="auto"/>
              <w:right w:val="single" w:sz="4" w:space="0" w:color="auto"/>
            </w:tcBorders>
            <w:shd w:val="clear" w:color="auto" w:fill="C6EFCE"/>
            <w:noWrap/>
          </w:tcPr>
          <w:p w14:paraId="1DC91BD6" w14:textId="77777777" w:rsidR="00515398" w:rsidRDefault="006711E6">
            <w:pPr>
              <w:pStyle w:val="P68B1DB1-Normal9"/>
              <w:spacing w:after="0" w:line="240" w:lineRule="auto"/>
              <w:rPr>
                <w:rFonts w:eastAsia="Times New Roman" w:cs="Calibri"/>
                <w:noProof/>
                <w:szCs w:val="18"/>
              </w:rPr>
            </w:pPr>
            <w:r>
              <w:rPr>
                <w:noProof/>
              </w:rPr>
              <w:t>Milník</w:t>
            </w:r>
          </w:p>
        </w:tc>
        <w:tc>
          <w:tcPr>
            <w:tcW w:w="1134" w:type="dxa"/>
            <w:tcBorders>
              <w:top w:val="nil"/>
              <w:left w:val="nil"/>
              <w:bottom w:val="single" w:sz="4" w:space="0" w:color="auto"/>
              <w:right w:val="single" w:sz="4" w:space="0" w:color="auto"/>
            </w:tcBorders>
            <w:shd w:val="clear" w:color="auto" w:fill="C6EFCE"/>
            <w:noWrap/>
          </w:tcPr>
          <w:p w14:paraId="473DA574" w14:textId="77777777" w:rsidR="00515398" w:rsidRDefault="006711E6">
            <w:pPr>
              <w:pStyle w:val="P68B1DB1-Normal9"/>
              <w:spacing w:after="0" w:line="240" w:lineRule="auto"/>
              <w:rPr>
                <w:rFonts w:eastAsia="Times New Roman" w:cs="Calibri"/>
                <w:noProof/>
                <w:szCs w:val="18"/>
              </w:rPr>
            </w:pPr>
            <w:r>
              <w:rPr>
                <w:noProof/>
              </w:rPr>
              <w:t xml:space="preserve">Energetická účinnost </w:t>
            </w:r>
            <w:r>
              <w:rPr>
                <w:noProof/>
              </w:rPr>
              <w:t>veřejných budov – schválené žádosti</w:t>
            </w:r>
          </w:p>
        </w:tc>
        <w:tc>
          <w:tcPr>
            <w:tcW w:w="1417" w:type="dxa"/>
            <w:tcBorders>
              <w:top w:val="nil"/>
              <w:left w:val="nil"/>
              <w:bottom w:val="single" w:sz="4" w:space="0" w:color="auto"/>
              <w:right w:val="single" w:sz="4" w:space="0" w:color="auto"/>
            </w:tcBorders>
            <w:shd w:val="clear" w:color="auto" w:fill="C6EFCE"/>
            <w:noWrap/>
          </w:tcPr>
          <w:p w14:paraId="23011C46" w14:textId="77777777" w:rsidR="00515398" w:rsidRDefault="006711E6">
            <w:pPr>
              <w:pStyle w:val="P68B1DB1-Normal9"/>
              <w:spacing w:after="0" w:line="240" w:lineRule="auto"/>
              <w:rPr>
                <w:rFonts w:eastAsia="Times New Roman" w:cs="Calibri"/>
                <w:noProof/>
                <w:szCs w:val="18"/>
              </w:rPr>
            </w:pPr>
            <w:r>
              <w:rPr>
                <w:noProof/>
              </w:rPr>
              <w:t>Oznámení o udělení podpory pro schválené žádosti Ministerstva životního prostředí a energetiky o vybraných zásazích na budovách veřejného sektoru.</w:t>
            </w:r>
          </w:p>
        </w:tc>
        <w:tc>
          <w:tcPr>
            <w:tcW w:w="1091" w:type="dxa"/>
            <w:tcBorders>
              <w:top w:val="nil"/>
              <w:left w:val="nil"/>
              <w:bottom w:val="single" w:sz="4" w:space="0" w:color="auto"/>
              <w:right w:val="single" w:sz="4" w:space="0" w:color="auto"/>
            </w:tcBorders>
            <w:shd w:val="clear" w:color="auto" w:fill="C6EFCE"/>
            <w:noWrap/>
          </w:tcPr>
          <w:p w14:paraId="7CA667B1" w14:textId="77777777" w:rsidR="00515398" w:rsidRDefault="00515398">
            <w:pPr>
              <w:spacing w:after="0" w:line="240" w:lineRule="auto"/>
              <w:rPr>
                <w:rFonts w:eastAsia="Times New Roman" w:cs="Calibri"/>
                <w:noProof/>
                <w:color w:val="006100"/>
                <w:sz w:val="18"/>
                <w:szCs w:val="18"/>
              </w:rPr>
            </w:pPr>
          </w:p>
        </w:tc>
        <w:tc>
          <w:tcPr>
            <w:tcW w:w="999" w:type="dxa"/>
            <w:tcBorders>
              <w:top w:val="nil"/>
              <w:left w:val="nil"/>
              <w:bottom w:val="single" w:sz="4" w:space="0" w:color="auto"/>
              <w:right w:val="single" w:sz="4" w:space="0" w:color="auto"/>
            </w:tcBorders>
            <w:shd w:val="clear" w:color="auto" w:fill="C6EFCE"/>
            <w:noWrap/>
          </w:tcPr>
          <w:p w14:paraId="16E4EF55" w14:textId="77777777" w:rsidR="00515398" w:rsidRDefault="00515398">
            <w:pPr>
              <w:spacing w:after="0" w:line="240" w:lineRule="auto"/>
              <w:rPr>
                <w:rFonts w:eastAsia="Times New Roman" w:cs="Calibri"/>
                <w:noProof/>
                <w:color w:val="006100"/>
                <w:sz w:val="18"/>
                <w:szCs w:val="18"/>
              </w:rPr>
            </w:pPr>
          </w:p>
        </w:tc>
        <w:tc>
          <w:tcPr>
            <w:tcW w:w="985" w:type="dxa"/>
            <w:tcBorders>
              <w:top w:val="nil"/>
              <w:left w:val="nil"/>
              <w:bottom w:val="single" w:sz="4" w:space="0" w:color="auto"/>
              <w:right w:val="single" w:sz="4" w:space="0" w:color="auto"/>
            </w:tcBorders>
            <w:shd w:val="clear" w:color="auto" w:fill="C6EFCE"/>
            <w:noWrap/>
          </w:tcPr>
          <w:p w14:paraId="67BE576F" w14:textId="77777777" w:rsidR="00515398" w:rsidRDefault="00515398">
            <w:pPr>
              <w:spacing w:after="0" w:line="240" w:lineRule="auto"/>
              <w:rPr>
                <w:rFonts w:eastAsia="Times New Roman" w:cs="Calibri"/>
                <w:noProof/>
                <w:color w:val="006100"/>
                <w:sz w:val="18"/>
                <w:szCs w:val="18"/>
              </w:rPr>
            </w:pPr>
          </w:p>
        </w:tc>
        <w:tc>
          <w:tcPr>
            <w:tcW w:w="894" w:type="dxa"/>
            <w:tcBorders>
              <w:top w:val="nil"/>
              <w:left w:val="nil"/>
              <w:bottom w:val="single" w:sz="4" w:space="0" w:color="auto"/>
              <w:right w:val="single" w:sz="4" w:space="0" w:color="auto"/>
            </w:tcBorders>
            <w:shd w:val="clear" w:color="auto" w:fill="C6EFCE"/>
            <w:noWrap/>
          </w:tcPr>
          <w:p w14:paraId="0C2D2913" w14:textId="77777777" w:rsidR="00515398" w:rsidRDefault="006711E6">
            <w:pPr>
              <w:pStyle w:val="P68B1DB1-Normal9"/>
              <w:spacing w:after="0" w:line="240" w:lineRule="auto"/>
              <w:rPr>
                <w:rFonts w:eastAsia="Times New Roman" w:cs="Calibri"/>
                <w:noProof/>
                <w:szCs w:val="18"/>
              </w:rPr>
            </w:pPr>
            <w:r>
              <w:rPr>
                <w:noProof/>
              </w:rPr>
              <w:t>ČTVRTLETÍ</w:t>
            </w:r>
          </w:p>
        </w:tc>
        <w:tc>
          <w:tcPr>
            <w:tcW w:w="709" w:type="dxa"/>
            <w:tcBorders>
              <w:top w:val="nil"/>
              <w:left w:val="nil"/>
              <w:bottom w:val="single" w:sz="4" w:space="0" w:color="auto"/>
              <w:right w:val="single" w:sz="4" w:space="0" w:color="auto"/>
            </w:tcBorders>
            <w:shd w:val="clear" w:color="auto" w:fill="C6EFCE"/>
            <w:noWrap/>
          </w:tcPr>
          <w:p w14:paraId="3B8D7905" w14:textId="77777777" w:rsidR="00515398" w:rsidRDefault="006711E6">
            <w:pPr>
              <w:pStyle w:val="P68B1DB1-Normal9"/>
              <w:spacing w:after="0" w:line="240" w:lineRule="auto"/>
              <w:rPr>
                <w:rFonts w:eastAsia="Times New Roman" w:cs="Calibri"/>
                <w:noProof/>
                <w:szCs w:val="18"/>
              </w:rPr>
            </w:pPr>
            <w:r>
              <w:rPr>
                <w:noProof/>
              </w:rPr>
              <w:t>2023</w:t>
            </w:r>
          </w:p>
        </w:tc>
        <w:tc>
          <w:tcPr>
            <w:tcW w:w="4394" w:type="dxa"/>
            <w:tcBorders>
              <w:top w:val="nil"/>
              <w:left w:val="nil"/>
              <w:bottom w:val="single" w:sz="4" w:space="0" w:color="auto"/>
              <w:right w:val="single" w:sz="4" w:space="0" w:color="auto"/>
            </w:tcBorders>
            <w:shd w:val="clear" w:color="auto" w:fill="C6EFCE"/>
            <w:noWrap/>
          </w:tcPr>
          <w:p w14:paraId="3D689AB8" w14:textId="77777777" w:rsidR="00515398" w:rsidRDefault="006711E6">
            <w:pPr>
              <w:pStyle w:val="P68B1DB1-Normal9"/>
              <w:spacing w:after="0" w:line="240" w:lineRule="auto"/>
              <w:rPr>
                <w:rFonts w:eastAsia="Times New Roman" w:cs="Calibri"/>
                <w:noProof/>
                <w:szCs w:val="18"/>
              </w:rPr>
            </w:pPr>
            <w:r>
              <w:rPr>
                <w:noProof/>
              </w:rPr>
              <w:t>Schválení žádostí pro 150 budov veřejného sektoru Minis</w:t>
            </w:r>
            <w:r>
              <w:rPr>
                <w:noProof/>
              </w:rPr>
              <w:t xml:space="preserve">terstvem životního prostředí a energetiky, které zajistí, že emise CO2 z těchto budov budou sníženy v průměru alespoň o 30 % ve srovnání s jejich stávající situací (jak bylo uvedeno v energetických auditech provedených před intervencemi). </w:t>
            </w:r>
          </w:p>
          <w:p w14:paraId="71045FE1" w14:textId="35491DEF" w:rsidR="00515398" w:rsidRDefault="00515398">
            <w:pPr>
              <w:spacing w:after="0" w:line="240" w:lineRule="auto"/>
              <w:rPr>
                <w:rFonts w:eastAsia="Times New Roman" w:cs="Calibri"/>
                <w:noProof/>
                <w:color w:val="006100"/>
                <w:sz w:val="18"/>
                <w:szCs w:val="18"/>
              </w:rPr>
            </w:pPr>
          </w:p>
          <w:p w14:paraId="4FDF2F2D" w14:textId="77777777" w:rsidR="00515398" w:rsidRDefault="006711E6">
            <w:pPr>
              <w:pStyle w:val="P68B1DB1-Normal9"/>
              <w:spacing w:after="0" w:line="240" w:lineRule="auto"/>
              <w:rPr>
                <w:rFonts w:eastAsia="Times New Roman" w:cs="Calibri"/>
                <w:noProof/>
                <w:szCs w:val="18"/>
              </w:rPr>
            </w:pPr>
            <w:r>
              <w:rPr>
                <w:noProof/>
              </w:rPr>
              <w:t>Pro program ene</w:t>
            </w:r>
            <w:r>
              <w:rPr>
                <w:noProof/>
              </w:rPr>
              <w:t>rgetické modernizace budov veřejného sektoru byl stanoven právní rámec umožňující uzavírání smluv o energetických službách.</w:t>
            </w:r>
          </w:p>
        </w:tc>
      </w:tr>
      <w:tr w:rsidR="00515398" w14:paraId="7FFF6C90" w14:textId="77777777">
        <w:trPr>
          <w:trHeight w:val="313"/>
        </w:trPr>
        <w:tc>
          <w:tcPr>
            <w:tcW w:w="959" w:type="dxa"/>
            <w:tcBorders>
              <w:top w:val="nil"/>
              <w:left w:val="single" w:sz="4" w:space="0" w:color="auto"/>
              <w:bottom w:val="single" w:sz="4" w:space="0" w:color="auto"/>
              <w:right w:val="single" w:sz="4" w:space="0" w:color="auto"/>
            </w:tcBorders>
            <w:shd w:val="clear" w:color="auto" w:fill="C6EFCE"/>
            <w:noWrap/>
          </w:tcPr>
          <w:p w14:paraId="4392EA83" w14:textId="77777777" w:rsidR="00515398" w:rsidRDefault="006711E6">
            <w:pPr>
              <w:pStyle w:val="P68B1DB1-Normal9"/>
              <w:spacing w:after="0" w:line="240" w:lineRule="auto"/>
              <w:rPr>
                <w:rFonts w:eastAsia="Times New Roman" w:cs="Calibri"/>
                <w:noProof/>
                <w:szCs w:val="18"/>
              </w:rPr>
            </w:pPr>
            <w:r>
              <w:rPr>
                <w:noProof/>
              </w:rPr>
              <w:t>36</w:t>
            </w:r>
          </w:p>
        </w:tc>
        <w:tc>
          <w:tcPr>
            <w:tcW w:w="1815" w:type="dxa"/>
            <w:tcBorders>
              <w:top w:val="nil"/>
              <w:left w:val="nil"/>
              <w:bottom w:val="single" w:sz="4" w:space="0" w:color="auto"/>
              <w:right w:val="single" w:sz="4" w:space="0" w:color="auto"/>
            </w:tcBorders>
            <w:shd w:val="clear" w:color="auto" w:fill="C6EFCE"/>
            <w:noWrap/>
          </w:tcPr>
          <w:p w14:paraId="763B7A47" w14:textId="77777777" w:rsidR="00515398" w:rsidRDefault="006711E6">
            <w:pPr>
              <w:pStyle w:val="P68B1DB1-Normal9"/>
              <w:spacing w:after="0" w:line="240" w:lineRule="auto"/>
              <w:rPr>
                <w:rFonts w:eastAsia="Times New Roman" w:cs="Calibri"/>
                <w:noProof/>
                <w:szCs w:val="18"/>
              </w:rPr>
            </w:pPr>
            <w:r>
              <w:rPr>
                <w:noProof/>
              </w:rPr>
              <w:t>2–1.2. Renovace – 16874_Energetika a podnikání</w:t>
            </w:r>
          </w:p>
        </w:tc>
        <w:tc>
          <w:tcPr>
            <w:tcW w:w="1020" w:type="dxa"/>
            <w:tcBorders>
              <w:top w:val="nil"/>
              <w:left w:val="nil"/>
              <w:bottom w:val="single" w:sz="4" w:space="0" w:color="auto"/>
              <w:right w:val="single" w:sz="4" w:space="0" w:color="auto"/>
            </w:tcBorders>
            <w:shd w:val="clear" w:color="auto" w:fill="C6EFCE"/>
            <w:noWrap/>
          </w:tcPr>
          <w:p w14:paraId="62CEFC10" w14:textId="77777777" w:rsidR="00515398" w:rsidRDefault="006711E6">
            <w:pPr>
              <w:pStyle w:val="P68B1DB1-Normal9"/>
              <w:spacing w:after="0" w:line="240" w:lineRule="auto"/>
              <w:rPr>
                <w:rFonts w:eastAsia="Times New Roman" w:cs="Calibri"/>
                <w:noProof/>
                <w:szCs w:val="18"/>
              </w:rPr>
            </w:pPr>
            <w:r>
              <w:rPr>
                <w:noProof/>
              </w:rPr>
              <w:t>Cílová</w:t>
            </w:r>
          </w:p>
        </w:tc>
        <w:tc>
          <w:tcPr>
            <w:tcW w:w="1134" w:type="dxa"/>
            <w:tcBorders>
              <w:top w:val="nil"/>
              <w:left w:val="nil"/>
              <w:bottom w:val="single" w:sz="4" w:space="0" w:color="auto"/>
              <w:right w:val="single" w:sz="4" w:space="0" w:color="auto"/>
            </w:tcBorders>
            <w:shd w:val="clear" w:color="auto" w:fill="C6EFCE"/>
            <w:noWrap/>
          </w:tcPr>
          <w:p w14:paraId="39A8DED5" w14:textId="77777777" w:rsidR="00515398" w:rsidRDefault="006711E6">
            <w:pPr>
              <w:pStyle w:val="P68B1DB1-Normal9"/>
              <w:spacing w:after="0" w:line="240" w:lineRule="auto"/>
              <w:rPr>
                <w:rFonts w:eastAsia="Times New Roman" w:cs="Calibri"/>
                <w:noProof/>
                <w:szCs w:val="18"/>
              </w:rPr>
            </w:pPr>
            <w:r>
              <w:rPr>
                <w:noProof/>
              </w:rPr>
              <w:t>Energetická účinnost soukromého sektoru – dokončeno #2</w:t>
            </w:r>
          </w:p>
        </w:tc>
        <w:tc>
          <w:tcPr>
            <w:tcW w:w="1417" w:type="dxa"/>
            <w:tcBorders>
              <w:top w:val="nil"/>
              <w:left w:val="nil"/>
              <w:bottom w:val="single" w:sz="4" w:space="0" w:color="auto"/>
              <w:right w:val="single" w:sz="4" w:space="0" w:color="auto"/>
            </w:tcBorders>
            <w:shd w:val="clear" w:color="auto" w:fill="C6EFCE"/>
            <w:noWrap/>
          </w:tcPr>
          <w:p w14:paraId="1E79763C" w14:textId="77777777" w:rsidR="00515398" w:rsidRDefault="00515398">
            <w:pPr>
              <w:spacing w:after="0" w:line="240" w:lineRule="auto"/>
              <w:rPr>
                <w:rFonts w:eastAsia="Times New Roman" w:cs="Calibri"/>
                <w:noProof/>
                <w:color w:val="006100"/>
                <w:sz w:val="18"/>
                <w:szCs w:val="18"/>
              </w:rPr>
            </w:pPr>
          </w:p>
        </w:tc>
        <w:tc>
          <w:tcPr>
            <w:tcW w:w="1091" w:type="dxa"/>
            <w:tcBorders>
              <w:top w:val="nil"/>
              <w:left w:val="nil"/>
              <w:bottom w:val="single" w:sz="4" w:space="0" w:color="auto"/>
              <w:right w:val="single" w:sz="4" w:space="0" w:color="auto"/>
            </w:tcBorders>
            <w:shd w:val="clear" w:color="auto" w:fill="C6EFCE"/>
            <w:noWrap/>
          </w:tcPr>
          <w:p w14:paraId="34B9A201" w14:textId="77777777" w:rsidR="00515398" w:rsidRDefault="006711E6">
            <w:pPr>
              <w:pStyle w:val="P68B1DB1-Normal9"/>
              <w:spacing w:after="0" w:line="240" w:lineRule="auto"/>
              <w:rPr>
                <w:rFonts w:eastAsia="Times New Roman" w:cs="Calibri"/>
                <w:noProof/>
                <w:szCs w:val="18"/>
              </w:rPr>
            </w:pPr>
            <w:r>
              <w:rPr>
                <w:noProof/>
              </w:rPr>
              <w:t xml:space="preserve">Počet subjektů </w:t>
            </w:r>
            <w:r>
              <w:rPr>
                <w:noProof/>
              </w:rPr>
              <w:t>soukromého sektoru s dokončenými intervencemi t</w:t>
            </w:r>
          </w:p>
        </w:tc>
        <w:tc>
          <w:tcPr>
            <w:tcW w:w="999" w:type="dxa"/>
            <w:tcBorders>
              <w:top w:val="nil"/>
              <w:left w:val="nil"/>
              <w:bottom w:val="single" w:sz="4" w:space="0" w:color="auto"/>
              <w:right w:val="single" w:sz="4" w:space="0" w:color="auto"/>
            </w:tcBorders>
            <w:shd w:val="clear" w:color="auto" w:fill="C6EFCE"/>
            <w:noWrap/>
          </w:tcPr>
          <w:p w14:paraId="5088E1C5" w14:textId="77777777" w:rsidR="00515398" w:rsidRDefault="006711E6">
            <w:pPr>
              <w:pStyle w:val="P68B1DB1-Normal9"/>
              <w:spacing w:after="0" w:line="240" w:lineRule="auto"/>
              <w:rPr>
                <w:rFonts w:eastAsia="Times New Roman" w:cs="Calibri"/>
                <w:noProof/>
                <w:szCs w:val="18"/>
              </w:rPr>
            </w:pPr>
            <w:r>
              <w:rPr>
                <w:noProof/>
              </w:rPr>
              <w:t>0</w:t>
            </w:r>
          </w:p>
        </w:tc>
        <w:tc>
          <w:tcPr>
            <w:tcW w:w="985" w:type="dxa"/>
            <w:tcBorders>
              <w:top w:val="nil"/>
              <w:left w:val="nil"/>
              <w:bottom w:val="single" w:sz="4" w:space="0" w:color="auto"/>
              <w:right w:val="single" w:sz="4" w:space="0" w:color="auto"/>
            </w:tcBorders>
            <w:shd w:val="clear" w:color="auto" w:fill="C6EFCE"/>
            <w:noWrap/>
          </w:tcPr>
          <w:p w14:paraId="2E4A2181" w14:textId="35C3FAEE" w:rsidR="00515398" w:rsidRDefault="006711E6">
            <w:pPr>
              <w:pStyle w:val="P68B1DB1-Normal9"/>
              <w:spacing w:after="0" w:line="240" w:lineRule="auto"/>
              <w:rPr>
                <w:rFonts w:eastAsia="Times New Roman" w:cs="Calibri"/>
                <w:noProof/>
                <w:szCs w:val="18"/>
              </w:rPr>
            </w:pPr>
            <w:r>
              <w:rPr>
                <w:noProof/>
              </w:rPr>
              <w:t xml:space="preserve"> 3 </w:t>
            </w:r>
            <w:r>
              <w:rPr>
                <w:rFonts w:cs="Calibri"/>
                <w:noProof/>
                <w:szCs w:val="18"/>
              </w:rPr>
              <w:t>5</w:t>
            </w:r>
            <w:r>
              <w:rPr>
                <w:noProof/>
              </w:rPr>
              <w:t>00</w:t>
            </w:r>
          </w:p>
        </w:tc>
        <w:tc>
          <w:tcPr>
            <w:tcW w:w="894" w:type="dxa"/>
            <w:tcBorders>
              <w:top w:val="nil"/>
              <w:left w:val="nil"/>
              <w:bottom w:val="single" w:sz="4" w:space="0" w:color="auto"/>
              <w:right w:val="single" w:sz="4" w:space="0" w:color="auto"/>
            </w:tcBorders>
            <w:shd w:val="clear" w:color="auto" w:fill="C6EFCE"/>
            <w:noWrap/>
          </w:tcPr>
          <w:p w14:paraId="6CF40AA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6949C318" w14:textId="77777777" w:rsidR="00515398" w:rsidRDefault="006711E6">
            <w:pPr>
              <w:pStyle w:val="P68B1DB1-Normal9"/>
              <w:spacing w:after="0" w:line="240" w:lineRule="auto"/>
              <w:rPr>
                <w:rFonts w:eastAsia="Times New Roman" w:cs="Calibri"/>
                <w:noProof/>
                <w:szCs w:val="18"/>
              </w:rPr>
            </w:pPr>
            <w:r>
              <w:rPr>
                <w:noProof/>
              </w:rPr>
              <w:t>2025</w:t>
            </w:r>
          </w:p>
        </w:tc>
        <w:tc>
          <w:tcPr>
            <w:tcW w:w="4394" w:type="dxa"/>
            <w:tcBorders>
              <w:top w:val="nil"/>
              <w:left w:val="nil"/>
              <w:bottom w:val="single" w:sz="4" w:space="0" w:color="auto"/>
              <w:right w:val="single" w:sz="4" w:space="0" w:color="auto"/>
            </w:tcBorders>
            <w:shd w:val="clear" w:color="auto" w:fill="C6EFCE"/>
            <w:noWrap/>
          </w:tcPr>
          <w:p w14:paraId="4DCE577E" w14:textId="1812C411" w:rsidR="00515398" w:rsidRDefault="006711E6">
            <w:pPr>
              <w:pStyle w:val="P68B1DB1-Normal10"/>
              <w:spacing w:after="0" w:line="240" w:lineRule="auto"/>
              <w:rPr>
                <w:rFonts w:eastAsia="Times New Roman" w:cs="Calibri"/>
                <w:noProof/>
              </w:rPr>
            </w:pPr>
            <w:r>
              <w:rPr>
                <w:noProof/>
              </w:rPr>
              <w:t>Intervence ke zlepšení energetické účinnosti provedené pro vybrané subjekty soukromého sektoru (3500 subjektů soukromého sektoru) se snížením emisí CO2 v průměru nejméně o 30 % v</w:t>
            </w:r>
            <w:r>
              <w:rPr>
                <w:noProof/>
              </w:rPr>
              <w:t>e srovnání se stávající situací subjektů soukromého sektoru buď pro zúčastněné podniky jako celek (pro celý subjekt), nebo konkrétně pro prováděné intervence/procesy (tj. mohou se vztahovat na konkrétní výměnu zařízení a/nebo konkrétní postupy).</w:t>
            </w:r>
          </w:p>
        </w:tc>
      </w:tr>
    </w:tbl>
    <w:p w14:paraId="04F4D0D2" w14:textId="77777777" w:rsidR="00515398" w:rsidRDefault="00515398">
      <w:pPr>
        <w:spacing w:before="120" w:after="120" w:line="240" w:lineRule="auto"/>
        <w:jc w:val="both"/>
        <w:rPr>
          <w:rFonts w:ascii="Times New Roman" w:hAnsi="Times New Roman" w:cs="Times New Roman"/>
          <w:noProof/>
          <w:sz w:val="24"/>
        </w:rPr>
      </w:pPr>
    </w:p>
    <w:p w14:paraId="3EFBA92F" w14:textId="77777777" w:rsidR="00515398" w:rsidRDefault="006711E6">
      <w:pPr>
        <w:pStyle w:val="P68B1DB1-Normal6"/>
        <w:keepNext/>
        <w:keepLines/>
        <w:spacing w:before="40" w:after="0" w:line="240" w:lineRule="auto"/>
        <w:jc w:val="both"/>
        <w:outlineLvl w:val="4"/>
        <w:rPr>
          <w:rFonts w:eastAsia="Times New Roman"/>
          <w:noProof/>
        </w:rPr>
      </w:pPr>
      <w:r>
        <w:rPr>
          <w:noProof/>
        </w:rPr>
        <w:t xml:space="preserve">Skupina </w:t>
      </w:r>
      <w:r>
        <w:rPr>
          <w:noProof/>
        </w:rPr>
        <w:t>3: Intervence v obytných oblastech a ve fondu budov</w:t>
      </w:r>
    </w:p>
    <w:p w14:paraId="57963FF2" w14:textId="77777777" w:rsidR="00515398" w:rsidRDefault="006711E6">
      <w:pPr>
        <w:pStyle w:val="P68B1DB1-Normal4"/>
        <w:spacing w:before="120" w:after="120" w:line="240" w:lineRule="auto"/>
        <w:rPr>
          <w:rFonts w:cs="Times New Roman"/>
          <w:noProof/>
        </w:rPr>
      </w:pPr>
      <w:r>
        <w:rPr>
          <w:noProof/>
        </w:rPr>
        <w:t>Opatření zahrnutá do této skupiny jsou:</w:t>
      </w:r>
    </w:p>
    <w:p w14:paraId="3A2018E1"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Intervence v obytných oblastech a ve fondu budov (ID: 16873)</w:t>
      </w:r>
    </w:p>
    <w:p w14:paraId="7C675424"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Rozvoj infrastruktury a restaurování budov v bývalé královské pozemcích v roce Tatoi (ID: 16875)</w:t>
      </w:r>
    </w:p>
    <w:p w14:paraId="2313D234"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Olympijské atletické středisko v Aténách (ID: 16932)</w:t>
      </w:r>
    </w:p>
    <w:tbl>
      <w:tblPr>
        <w:tblW w:w="15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63"/>
        <w:gridCol w:w="963"/>
        <w:gridCol w:w="1343"/>
        <w:gridCol w:w="1276"/>
        <w:gridCol w:w="1134"/>
        <w:gridCol w:w="992"/>
        <w:gridCol w:w="851"/>
        <w:gridCol w:w="850"/>
        <w:gridCol w:w="709"/>
        <w:gridCol w:w="4592"/>
      </w:tblGrid>
      <w:tr w:rsidR="00515398" w14:paraId="195CE035" w14:textId="77777777">
        <w:trPr>
          <w:trHeight w:val="939"/>
          <w:tblHeader/>
          <w:jc w:val="center"/>
        </w:trPr>
        <w:tc>
          <w:tcPr>
            <w:tcW w:w="1129" w:type="dxa"/>
            <w:vMerge w:val="restart"/>
            <w:shd w:val="clear" w:color="auto" w:fill="BDD7EE"/>
            <w:vAlign w:val="center"/>
            <w:hideMark/>
          </w:tcPr>
          <w:p w14:paraId="4A73E8BC"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663" w:type="dxa"/>
            <w:vMerge w:val="restart"/>
            <w:shd w:val="clear" w:color="auto" w:fill="BDD7EE"/>
            <w:vAlign w:val="center"/>
            <w:hideMark/>
          </w:tcPr>
          <w:p w14:paraId="5BB457F3"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3" w:type="dxa"/>
            <w:vMerge w:val="restart"/>
            <w:shd w:val="clear" w:color="auto" w:fill="BDD7EE"/>
            <w:vAlign w:val="center"/>
            <w:hideMark/>
          </w:tcPr>
          <w:p w14:paraId="309EF572"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43" w:type="dxa"/>
            <w:vMerge w:val="restart"/>
            <w:shd w:val="clear" w:color="auto" w:fill="BDD7EE"/>
            <w:vAlign w:val="center"/>
            <w:hideMark/>
          </w:tcPr>
          <w:p w14:paraId="5D3AED08"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276" w:type="dxa"/>
            <w:vMerge w:val="restart"/>
            <w:shd w:val="clear" w:color="auto" w:fill="BDD7EE"/>
            <w:vAlign w:val="center"/>
            <w:hideMark/>
          </w:tcPr>
          <w:p w14:paraId="38A424D9"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977" w:type="dxa"/>
            <w:gridSpan w:val="3"/>
            <w:shd w:val="clear" w:color="auto" w:fill="BDD7EE"/>
            <w:vAlign w:val="center"/>
            <w:hideMark/>
          </w:tcPr>
          <w:p w14:paraId="0C26639D"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59" w:type="dxa"/>
            <w:gridSpan w:val="2"/>
            <w:shd w:val="clear" w:color="auto" w:fill="BDD7EE"/>
            <w:vAlign w:val="center"/>
            <w:hideMark/>
          </w:tcPr>
          <w:p w14:paraId="37C83C27"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592" w:type="dxa"/>
            <w:vMerge w:val="restart"/>
            <w:shd w:val="clear" w:color="auto" w:fill="BDD7EE"/>
            <w:vAlign w:val="center"/>
            <w:hideMark/>
          </w:tcPr>
          <w:p w14:paraId="17B86DE6" w14:textId="77777777" w:rsidR="00515398" w:rsidRDefault="006711E6">
            <w:pPr>
              <w:pStyle w:val="P68B1DB1-Normal7"/>
              <w:spacing w:after="0" w:line="240" w:lineRule="auto"/>
              <w:jc w:val="center"/>
              <w:rPr>
                <w:rFonts w:eastAsia="Times New Roman" w:cs="Times New Roman"/>
                <w:bCs/>
                <w:noProof/>
                <w:szCs w:val="18"/>
              </w:rPr>
            </w:pPr>
            <w:r>
              <w:rPr>
                <w:noProof/>
              </w:rPr>
              <w:t>Popis každého m</w:t>
            </w:r>
            <w:r>
              <w:rPr>
                <w:noProof/>
              </w:rPr>
              <w:t>ilníku a cíle</w:t>
            </w:r>
          </w:p>
        </w:tc>
      </w:tr>
      <w:tr w:rsidR="00515398" w14:paraId="04611C07" w14:textId="77777777">
        <w:trPr>
          <w:trHeight w:val="1027"/>
          <w:tblHeader/>
          <w:jc w:val="center"/>
        </w:trPr>
        <w:tc>
          <w:tcPr>
            <w:tcW w:w="1129" w:type="dxa"/>
            <w:vMerge/>
            <w:vAlign w:val="center"/>
            <w:hideMark/>
          </w:tcPr>
          <w:p w14:paraId="1B1207F4" w14:textId="77777777" w:rsidR="00515398" w:rsidRDefault="00515398">
            <w:pPr>
              <w:spacing w:after="0" w:line="240" w:lineRule="auto"/>
              <w:rPr>
                <w:rFonts w:ascii="Times New Roman" w:eastAsia="Times New Roman" w:hAnsi="Times New Roman" w:cs="Times New Roman"/>
                <w:b/>
                <w:bCs/>
                <w:noProof/>
                <w:sz w:val="18"/>
                <w:szCs w:val="18"/>
              </w:rPr>
            </w:pPr>
          </w:p>
        </w:tc>
        <w:tc>
          <w:tcPr>
            <w:tcW w:w="1663" w:type="dxa"/>
            <w:vMerge/>
            <w:vAlign w:val="center"/>
            <w:hideMark/>
          </w:tcPr>
          <w:p w14:paraId="1DC7E60C" w14:textId="77777777" w:rsidR="00515398" w:rsidRDefault="00515398">
            <w:pPr>
              <w:spacing w:after="0" w:line="240" w:lineRule="auto"/>
              <w:rPr>
                <w:rFonts w:ascii="Times New Roman" w:eastAsia="Times New Roman" w:hAnsi="Times New Roman" w:cs="Times New Roman"/>
                <w:b/>
                <w:bCs/>
                <w:noProof/>
                <w:sz w:val="18"/>
                <w:szCs w:val="18"/>
              </w:rPr>
            </w:pPr>
          </w:p>
        </w:tc>
        <w:tc>
          <w:tcPr>
            <w:tcW w:w="963" w:type="dxa"/>
            <w:vMerge/>
            <w:vAlign w:val="center"/>
            <w:hideMark/>
          </w:tcPr>
          <w:p w14:paraId="18D11C00" w14:textId="77777777" w:rsidR="00515398" w:rsidRDefault="00515398">
            <w:pPr>
              <w:spacing w:after="0" w:line="240" w:lineRule="auto"/>
              <w:rPr>
                <w:rFonts w:ascii="Times New Roman" w:eastAsia="Times New Roman" w:hAnsi="Times New Roman" w:cs="Times New Roman"/>
                <w:b/>
                <w:bCs/>
                <w:noProof/>
                <w:sz w:val="18"/>
                <w:szCs w:val="18"/>
              </w:rPr>
            </w:pPr>
          </w:p>
        </w:tc>
        <w:tc>
          <w:tcPr>
            <w:tcW w:w="1343" w:type="dxa"/>
            <w:vMerge/>
            <w:vAlign w:val="center"/>
            <w:hideMark/>
          </w:tcPr>
          <w:p w14:paraId="292BE3F9" w14:textId="77777777" w:rsidR="00515398" w:rsidRDefault="00515398">
            <w:pPr>
              <w:spacing w:after="0" w:line="240" w:lineRule="auto"/>
              <w:rPr>
                <w:rFonts w:ascii="Times New Roman" w:eastAsia="Times New Roman" w:hAnsi="Times New Roman" w:cs="Times New Roman"/>
                <w:b/>
                <w:bCs/>
                <w:noProof/>
                <w:sz w:val="18"/>
                <w:szCs w:val="18"/>
              </w:rPr>
            </w:pPr>
          </w:p>
        </w:tc>
        <w:tc>
          <w:tcPr>
            <w:tcW w:w="1276" w:type="dxa"/>
            <w:vMerge/>
            <w:vAlign w:val="center"/>
            <w:hideMark/>
          </w:tcPr>
          <w:p w14:paraId="13D5953C"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4" w:type="dxa"/>
            <w:shd w:val="clear" w:color="auto" w:fill="BDD7EE"/>
            <w:vAlign w:val="center"/>
            <w:hideMark/>
          </w:tcPr>
          <w:p w14:paraId="03CAE71B"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92" w:type="dxa"/>
            <w:shd w:val="clear" w:color="auto" w:fill="BDD7EE"/>
            <w:vAlign w:val="center"/>
            <w:hideMark/>
          </w:tcPr>
          <w:p w14:paraId="1A10B527"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51" w:type="dxa"/>
            <w:shd w:val="clear" w:color="auto" w:fill="BDD7EE"/>
            <w:vAlign w:val="center"/>
            <w:hideMark/>
          </w:tcPr>
          <w:p w14:paraId="0E02517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0" w:type="dxa"/>
            <w:shd w:val="clear" w:color="auto" w:fill="BDD7EE"/>
            <w:vAlign w:val="center"/>
            <w:hideMark/>
          </w:tcPr>
          <w:p w14:paraId="09FB1F57"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shd w:val="clear" w:color="auto" w:fill="BDD7EE"/>
            <w:vAlign w:val="center"/>
            <w:hideMark/>
          </w:tcPr>
          <w:p w14:paraId="01EE046E"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592" w:type="dxa"/>
            <w:vMerge/>
            <w:vAlign w:val="center"/>
            <w:hideMark/>
          </w:tcPr>
          <w:p w14:paraId="232CAFCD"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C9DD5A9" w14:textId="77777777">
        <w:trPr>
          <w:trHeight w:val="313"/>
          <w:jc w:val="center"/>
        </w:trPr>
        <w:tc>
          <w:tcPr>
            <w:tcW w:w="1129" w:type="dxa"/>
            <w:shd w:val="clear" w:color="auto" w:fill="C6EFCE"/>
            <w:noWrap/>
          </w:tcPr>
          <w:p w14:paraId="1C7CE6C7" w14:textId="77777777" w:rsidR="00515398" w:rsidRDefault="006711E6">
            <w:pPr>
              <w:pStyle w:val="P68B1DB1-Normal9"/>
              <w:spacing w:after="0" w:line="240" w:lineRule="auto"/>
              <w:rPr>
                <w:rFonts w:eastAsia="Times New Roman" w:cs="Calibri"/>
                <w:noProof/>
                <w:szCs w:val="18"/>
              </w:rPr>
            </w:pPr>
            <w:r>
              <w:rPr>
                <w:noProof/>
              </w:rPr>
              <w:t>37</w:t>
            </w:r>
          </w:p>
        </w:tc>
        <w:tc>
          <w:tcPr>
            <w:tcW w:w="1663" w:type="dxa"/>
            <w:shd w:val="clear" w:color="auto" w:fill="C6EFCE"/>
            <w:noWrap/>
          </w:tcPr>
          <w:p w14:paraId="7EAE168A" w14:textId="77777777" w:rsidR="00515398" w:rsidRDefault="006711E6">
            <w:pPr>
              <w:pStyle w:val="P68B1DB1-Normal9"/>
              <w:spacing w:after="0" w:line="240" w:lineRule="auto"/>
              <w:rPr>
                <w:rFonts w:eastAsia="Times New Roman" w:cs="Calibri"/>
                <w:noProof/>
                <w:szCs w:val="18"/>
              </w:rPr>
            </w:pPr>
            <w:r>
              <w:rPr>
                <w:noProof/>
              </w:rPr>
              <w:t>2–1.2. Renovace – 16932_Olympijské atletické středisko v Aténách</w:t>
            </w:r>
          </w:p>
        </w:tc>
        <w:tc>
          <w:tcPr>
            <w:tcW w:w="963" w:type="dxa"/>
            <w:shd w:val="clear" w:color="auto" w:fill="C6EFCE"/>
            <w:noWrap/>
          </w:tcPr>
          <w:p w14:paraId="77A39973"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shd w:val="clear" w:color="auto" w:fill="C6EFCE"/>
            <w:noWrap/>
          </w:tcPr>
          <w:p w14:paraId="5A42D194" w14:textId="77777777" w:rsidR="00515398" w:rsidRDefault="006711E6">
            <w:pPr>
              <w:pStyle w:val="P68B1DB1-Normal9"/>
              <w:spacing w:after="0" w:line="240" w:lineRule="auto"/>
              <w:rPr>
                <w:rFonts w:eastAsia="Times New Roman" w:cs="Calibri"/>
                <w:noProof/>
                <w:szCs w:val="18"/>
              </w:rPr>
            </w:pPr>
            <w:r>
              <w:rPr>
                <w:noProof/>
              </w:rPr>
              <w:t>OAKA – zadání zakázky</w:t>
            </w:r>
          </w:p>
        </w:tc>
        <w:tc>
          <w:tcPr>
            <w:tcW w:w="1276" w:type="dxa"/>
            <w:shd w:val="clear" w:color="auto" w:fill="C6EFCE"/>
            <w:noWrap/>
          </w:tcPr>
          <w:p w14:paraId="506EFDE5" w14:textId="77777777" w:rsidR="00515398" w:rsidRDefault="006711E6">
            <w:pPr>
              <w:pStyle w:val="P68B1DB1-Normal9"/>
              <w:spacing w:after="0" w:line="240" w:lineRule="auto"/>
              <w:rPr>
                <w:rFonts w:eastAsia="Times New Roman" w:cs="Calibri"/>
                <w:noProof/>
                <w:szCs w:val="18"/>
              </w:rPr>
            </w:pPr>
            <w:r>
              <w:rPr>
                <w:noProof/>
              </w:rPr>
              <w:t>Oznámení o zadání zakázky (zakázek)</w:t>
            </w:r>
          </w:p>
        </w:tc>
        <w:tc>
          <w:tcPr>
            <w:tcW w:w="1134" w:type="dxa"/>
            <w:shd w:val="clear" w:color="auto" w:fill="C6EFCE"/>
            <w:noWrap/>
          </w:tcPr>
          <w:p w14:paraId="4D0F1FF2" w14:textId="77777777" w:rsidR="00515398" w:rsidRDefault="00515398">
            <w:pPr>
              <w:spacing w:after="0" w:line="240" w:lineRule="auto"/>
              <w:rPr>
                <w:rFonts w:eastAsia="Times New Roman" w:cs="Calibri"/>
                <w:noProof/>
                <w:color w:val="006100"/>
                <w:sz w:val="18"/>
                <w:szCs w:val="18"/>
              </w:rPr>
            </w:pPr>
          </w:p>
        </w:tc>
        <w:tc>
          <w:tcPr>
            <w:tcW w:w="992" w:type="dxa"/>
            <w:shd w:val="clear" w:color="auto" w:fill="C6EFCE"/>
            <w:noWrap/>
          </w:tcPr>
          <w:p w14:paraId="58495404"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1028F3C6" w14:textId="77777777" w:rsidR="00515398" w:rsidRDefault="00515398">
            <w:pPr>
              <w:spacing w:after="0" w:line="240" w:lineRule="auto"/>
              <w:rPr>
                <w:rFonts w:eastAsia="Times New Roman" w:cs="Calibri"/>
                <w:noProof/>
                <w:color w:val="006100"/>
                <w:sz w:val="18"/>
                <w:szCs w:val="18"/>
              </w:rPr>
            </w:pPr>
          </w:p>
        </w:tc>
        <w:tc>
          <w:tcPr>
            <w:tcW w:w="850" w:type="dxa"/>
            <w:shd w:val="clear" w:color="auto" w:fill="C6EFCE"/>
            <w:noWrap/>
          </w:tcPr>
          <w:p w14:paraId="0E1CB000" w14:textId="77777777" w:rsidR="00515398" w:rsidRDefault="006711E6">
            <w:pPr>
              <w:pStyle w:val="P68B1DB1-Normal9"/>
              <w:spacing w:after="0" w:line="240" w:lineRule="auto"/>
              <w:rPr>
                <w:rFonts w:eastAsia="Times New Roman" w:cs="Calibri"/>
                <w:noProof/>
                <w:szCs w:val="18"/>
              </w:rPr>
            </w:pPr>
            <w:r>
              <w:rPr>
                <w:noProof/>
              </w:rPr>
              <w:t>ČTVRTLETÍ 1</w:t>
            </w:r>
          </w:p>
        </w:tc>
        <w:tc>
          <w:tcPr>
            <w:tcW w:w="709" w:type="dxa"/>
            <w:shd w:val="clear" w:color="auto" w:fill="C6EFCE"/>
            <w:noWrap/>
          </w:tcPr>
          <w:p w14:paraId="7D98A4E5" w14:textId="77777777" w:rsidR="00515398" w:rsidRDefault="006711E6">
            <w:pPr>
              <w:pStyle w:val="P68B1DB1-Normal9"/>
              <w:spacing w:after="0" w:line="240" w:lineRule="auto"/>
              <w:rPr>
                <w:rFonts w:eastAsia="Times New Roman" w:cs="Calibri"/>
                <w:noProof/>
                <w:szCs w:val="18"/>
              </w:rPr>
            </w:pPr>
            <w:r>
              <w:rPr>
                <w:noProof/>
              </w:rPr>
              <w:t>2023</w:t>
            </w:r>
          </w:p>
        </w:tc>
        <w:tc>
          <w:tcPr>
            <w:tcW w:w="4592" w:type="dxa"/>
            <w:shd w:val="clear" w:color="auto" w:fill="C6EFCE"/>
            <w:noWrap/>
          </w:tcPr>
          <w:p w14:paraId="63FAEE88" w14:textId="77777777" w:rsidR="00515398" w:rsidRDefault="006711E6">
            <w:pPr>
              <w:pStyle w:val="P68B1DB1-Normal9"/>
              <w:spacing w:after="0" w:line="240" w:lineRule="auto"/>
              <w:rPr>
                <w:rFonts w:eastAsia="Times New Roman" w:cs="Calibri"/>
                <w:noProof/>
                <w:szCs w:val="18"/>
              </w:rPr>
            </w:pPr>
            <w:r>
              <w:rPr>
                <w:noProof/>
              </w:rPr>
              <w:t xml:space="preserve">Oznámení o zadání zakázky </w:t>
            </w:r>
            <w:r>
              <w:rPr>
                <w:noProof/>
              </w:rPr>
              <w:t xml:space="preserve">(zakázek) na jmenování partnera (partnerů) ze soukromého sektoru za účelem provedení stavebních a renovačních prací, které zvýší energetickou účinnost i) centrálního Stadia; II) mechanické a elektrické práce; a iii) venkovní plochy a zahájení prací. </w:t>
            </w:r>
          </w:p>
        </w:tc>
      </w:tr>
      <w:tr w:rsidR="00515398" w14:paraId="692B94BF" w14:textId="77777777">
        <w:trPr>
          <w:trHeight w:val="313"/>
          <w:jc w:val="center"/>
        </w:trPr>
        <w:tc>
          <w:tcPr>
            <w:tcW w:w="1129" w:type="dxa"/>
            <w:shd w:val="clear" w:color="auto" w:fill="C6EFCE"/>
            <w:noWrap/>
          </w:tcPr>
          <w:p w14:paraId="3E1A90B5" w14:textId="77777777" w:rsidR="00515398" w:rsidRDefault="006711E6">
            <w:pPr>
              <w:pStyle w:val="P68B1DB1-Normal9"/>
              <w:spacing w:after="0" w:line="240" w:lineRule="auto"/>
              <w:rPr>
                <w:rFonts w:eastAsia="Times New Roman" w:cs="Calibri"/>
                <w:noProof/>
                <w:szCs w:val="18"/>
              </w:rPr>
            </w:pPr>
            <w:r>
              <w:rPr>
                <w:noProof/>
              </w:rPr>
              <w:t>38</w:t>
            </w:r>
          </w:p>
        </w:tc>
        <w:tc>
          <w:tcPr>
            <w:tcW w:w="1663" w:type="dxa"/>
            <w:shd w:val="clear" w:color="auto" w:fill="C6EFCE"/>
            <w:noWrap/>
          </w:tcPr>
          <w:p w14:paraId="1C2E4134" w14:textId="77777777" w:rsidR="00515398" w:rsidRDefault="006711E6">
            <w:pPr>
              <w:pStyle w:val="P68B1DB1-Normal9"/>
              <w:spacing w:after="0" w:line="240" w:lineRule="auto"/>
              <w:rPr>
                <w:rFonts w:eastAsia="Times New Roman" w:cs="Calibri"/>
                <w:noProof/>
                <w:szCs w:val="18"/>
              </w:rPr>
            </w:pPr>
            <w:r>
              <w:rPr>
                <w:noProof/>
              </w:rPr>
              <w:t>2–1.2. Renovace – 16873_ Intervence v obytných oblastech a ve fondu budov</w:t>
            </w:r>
          </w:p>
        </w:tc>
        <w:tc>
          <w:tcPr>
            <w:tcW w:w="963" w:type="dxa"/>
            <w:shd w:val="clear" w:color="auto" w:fill="C6EFCE"/>
            <w:noWrap/>
          </w:tcPr>
          <w:p w14:paraId="35882C60"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shd w:val="clear" w:color="auto" w:fill="C6EFCE"/>
            <w:noWrap/>
          </w:tcPr>
          <w:p w14:paraId="441B3977" w14:textId="77777777" w:rsidR="00515398" w:rsidRDefault="006711E6">
            <w:pPr>
              <w:pStyle w:val="P68B1DB1-Normal9"/>
              <w:spacing w:after="0" w:line="240" w:lineRule="auto"/>
              <w:rPr>
                <w:rFonts w:eastAsia="Times New Roman" w:cs="Calibri"/>
                <w:noProof/>
                <w:szCs w:val="18"/>
              </w:rPr>
            </w:pPr>
            <w:r>
              <w:rPr>
                <w:noProof/>
              </w:rPr>
              <w:t>Městské intervence – zadávání zakázek</w:t>
            </w:r>
          </w:p>
        </w:tc>
        <w:tc>
          <w:tcPr>
            <w:tcW w:w="1276" w:type="dxa"/>
            <w:shd w:val="clear" w:color="auto" w:fill="C6EFCE"/>
            <w:noWrap/>
          </w:tcPr>
          <w:p w14:paraId="637854DB" w14:textId="77777777" w:rsidR="00515398" w:rsidRDefault="006711E6">
            <w:pPr>
              <w:pStyle w:val="P68B1DB1-Normal9"/>
              <w:spacing w:after="0" w:line="240" w:lineRule="auto"/>
              <w:rPr>
                <w:rFonts w:eastAsia="Times New Roman" w:cs="Calibri"/>
                <w:noProof/>
                <w:szCs w:val="18"/>
              </w:rPr>
            </w:pPr>
            <w:r>
              <w:rPr>
                <w:noProof/>
              </w:rPr>
              <w:t>Oznámení o zadání zakázky (zakázek)</w:t>
            </w:r>
          </w:p>
        </w:tc>
        <w:tc>
          <w:tcPr>
            <w:tcW w:w="1134" w:type="dxa"/>
            <w:shd w:val="clear" w:color="auto" w:fill="C6EFCE"/>
            <w:noWrap/>
          </w:tcPr>
          <w:p w14:paraId="1A5C5277" w14:textId="77777777" w:rsidR="00515398" w:rsidRDefault="00515398">
            <w:pPr>
              <w:spacing w:after="0" w:line="240" w:lineRule="auto"/>
              <w:rPr>
                <w:rFonts w:eastAsia="Times New Roman" w:cs="Calibri"/>
                <w:noProof/>
                <w:color w:val="006100"/>
                <w:sz w:val="18"/>
                <w:szCs w:val="18"/>
              </w:rPr>
            </w:pPr>
          </w:p>
        </w:tc>
        <w:tc>
          <w:tcPr>
            <w:tcW w:w="992" w:type="dxa"/>
            <w:shd w:val="clear" w:color="auto" w:fill="C6EFCE"/>
            <w:noWrap/>
          </w:tcPr>
          <w:p w14:paraId="62D47133"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0B07A6CB" w14:textId="77777777" w:rsidR="00515398" w:rsidRDefault="00515398">
            <w:pPr>
              <w:spacing w:after="0" w:line="240" w:lineRule="auto"/>
              <w:rPr>
                <w:rFonts w:eastAsia="Times New Roman" w:cs="Calibri"/>
                <w:noProof/>
                <w:color w:val="006100"/>
                <w:sz w:val="18"/>
                <w:szCs w:val="18"/>
              </w:rPr>
            </w:pPr>
          </w:p>
        </w:tc>
        <w:tc>
          <w:tcPr>
            <w:tcW w:w="850" w:type="dxa"/>
            <w:shd w:val="clear" w:color="auto" w:fill="C6EFCE"/>
            <w:noWrap/>
          </w:tcPr>
          <w:p w14:paraId="3F96777D"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0A72C3AA" w14:textId="77777777" w:rsidR="00515398" w:rsidRDefault="006711E6">
            <w:pPr>
              <w:pStyle w:val="P68B1DB1-Normal9"/>
              <w:spacing w:after="0" w:line="240" w:lineRule="auto"/>
              <w:rPr>
                <w:rFonts w:eastAsia="Times New Roman" w:cs="Calibri"/>
                <w:noProof/>
                <w:szCs w:val="18"/>
              </w:rPr>
            </w:pPr>
            <w:r>
              <w:rPr>
                <w:noProof/>
              </w:rPr>
              <w:t>2023</w:t>
            </w:r>
          </w:p>
        </w:tc>
        <w:tc>
          <w:tcPr>
            <w:tcW w:w="4592" w:type="dxa"/>
            <w:shd w:val="clear" w:color="auto" w:fill="C6EFCE"/>
            <w:noWrap/>
          </w:tcPr>
          <w:p w14:paraId="6FC90EA5" w14:textId="4EE31617" w:rsidR="00515398" w:rsidRDefault="006711E6">
            <w:pPr>
              <w:pStyle w:val="P68B1DB1-Normal10"/>
              <w:spacing w:after="0" w:line="240" w:lineRule="auto"/>
              <w:rPr>
                <w:rFonts w:eastAsia="Times New Roman" w:cs="Calibri"/>
                <w:noProof/>
              </w:rPr>
            </w:pPr>
            <w:r>
              <w:rPr>
                <w:noProof/>
              </w:rPr>
              <w:t xml:space="preserve">Oznámení o zadání zakázky (zakázek) na provedení stavebních prací </w:t>
            </w:r>
          </w:p>
          <w:p w14:paraId="0F43D17F" w14:textId="77777777" w:rsidR="00515398" w:rsidRDefault="006711E6">
            <w:pPr>
              <w:pStyle w:val="P68B1DB1-Normal9"/>
              <w:spacing w:after="0" w:line="240" w:lineRule="auto"/>
              <w:rPr>
                <w:rFonts w:eastAsia="Times New Roman" w:cs="Calibri"/>
                <w:noProof/>
                <w:szCs w:val="18"/>
              </w:rPr>
            </w:pPr>
            <w:r>
              <w:rPr>
                <w:noProof/>
              </w:rPr>
              <w:t xml:space="preserve">i) </w:t>
            </w:r>
            <w:r>
              <w:rPr>
                <w:noProof/>
              </w:rPr>
              <w:t>zlepšení městského prostředí a veřejného prostoru ve vybraných obcích na základě otevřené výzvy zaměřené na posílení odolnosti vůči změně klimatu;</w:t>
            </w:r>
          </w:p>
          <w:p w14:paraId="37C8AADC" w14:textId="78D342EC" w:rsidR="00515398" w:rsidRDefault="006711E6">
            <w:pPr>
              <w:pStyle w:val="P68B1DB1-Normal10"/>
              <w:spacing w:after="0" w:line="240" w:lineRule="auto"/>
              <w:rPr>
                <w:rFonts w:eastAsia="Times New Roman" w:cs="Calibri"/>
                <w:noProof/>
              </w:rPr>
            </w:pPr>
            <w:r>
              <w:rPr>
                <w:noProof/>
              </w:rPr>
              <w:t>II) obnova měst v bývalé průmyslové oblasti Votanikos/Elaionas a renovace kampusu Zemědělská univerzita v Até</w:t>
            </w:r>
            <w:r>
              <w:rPr>
                <w:noProof/>
              </w:rPr>
              <w:t xml:space="preserve">nách (AUA); </w:t>
            </w:r>
          </w:p>
          <w:p w14:paraId="284F9CD4" w14:textId="77777777" w:rsidR="00515398" w:rsidRDefault="006711E6">
            <w:pPr>
              <w:pStyle w:val="P68B1DB1-Normal9"/>
              <w:spacing w:after="0" w:line="240" w:lineRule="auto"/>
              <w:rPr>
                <w:rFonts w:eastAsia="Times New Roman" w:cs="Calibri"/>
                <w:noProof/>
                <w:szCs w:val="18"/>
              </w:rPr>
            </w:pPr>
            <w:r>
              <w:rPr>
                <w:noProof/>
              </w:rPr>
              <w:t xml:space="preserve">III) Atény Riviera: cyklistická infrastruktura; a pokud </w:t>
            </w:r>
          </w:p>
          <w:p w14:paraId="114041DE" w14:textId="77777777" w:rsidR="00515398" w:rsidRDefault="006711E6">
            <w:pPr>
              <w:pStyle w:val="P68B1DB1-Normal10"/>
              <w:spacing w:after="0" w:line="240" w:lineRule="auto"/>
              <w:rPr>
                <w:rFonts w:eastAsia="Times New Roman" w:cs="Calibri"/>
                <w:noProof/>
              </w:rPr>
            </w:pPr>
            <w:r>
              <w:rPr>
                <w:noProof/>
              </w:rPr>
              <w:t>IV) jiné strategické intervence, které se vyberou na základě otevřené výzvy pro obce, která zahrnuje: 1) projekty v oblasti energetické účinnosti a demonstrační projekty v malých a střed</w:t>
            </w:r>
            <w:r>
              <w:rPr>
                <w:noProof/>
              </w:rPr>
              <w:t xml:space="preserve">ních podnicích nebo velkých podnicích, které dosahují alespoň středně rozsáhlé renovace, jak je definována v doporučení Komise o renovaci budov (EU) 2019/786, nebo v průměru alespoň 30 % snížení přímých a nepřímých emisí CO2 ve srovnání s emisemi ex ante; </w:t>
            </w:r>
            <w:r>
              <w:rPr>
                <w:noProof/>
              </w:rPr>
              <w:t>2) výstavba nových energeticky účinných budov s potřebou primární energie, která je alespoň o 20 % nižší než požadavek na budovy s téměř nulovou spotřebou energie (budova s téměř nulovou spotřebou energie, vnitrostátní směrnice); a 3) ochrana přírody a bio</w:t>
            </w:r>
            <w:r>
              <w:rPr>
                <w:noProof/>
              </w:rPr>
              <w:t xml:space="preserve">logické rozmanitosti, přírodní dědictví a zdroje, zelená a modrá infrastruktura. </w:t>
            </w:r>
          </w:p>
        </w:tc>
      </w:tr>
      <w:tr w:rsidR="00515398" w14:paraId="3B37A2E0" w14:textId="77777777">
        <w:trPr>
          <w:trHeight w:val="313"/>
          <w:jc w:val="center"/>
        </w:trPr>
        <w:tc>
          <w:tcPr>
            <w:tcW w:w="1129" w:type="dxa"/>
            <w:shd w:val="clear" w:color="auto" w:fill="C6EFCE"/>
            <w:noWrap/>
          </w:tcPr>
          <w:p w14:paraId="47F65EF1" w14:textId="77777777" w:rsidR="00515398" w:rsidRDefault="006711E6">
            <w:pPr>
              <w:pStyle w:val="P68B1DB1-Normal9"/>
              <w:spacing w:after="0" w:line="240" w:lineRule="auto"/>
              <w:rPr>
                <w:rFonts w:eastAsia="Times New Roman" w:cs="Calibri"/>
                <w:noProof/>
                <w:szCs w:val="18"/>
              </w:rPr>
            </w:pPr>
            <w:r>
              <w:rPr>
                <w:noProof/>
              </w:rPr>
              <w:t>39</w:t>
            </w:r>
          </w:p>
        </w:tc>
        <w:tc>
          <w:tcPr>
            <w:tcW w:w="1663" w:type="dxa"/>
            <w:shd w:val="clear" w:color="auto" w:fill="C6EFCE"/>
            <w:noWrap/>
          </w:tcPr>
          <w:p w14:paraId="51A5318B" w14:textId="77777777" w:rsidR="00515398" w:rsidRDefault="006711E6">
            <w:pPr>
              <w:pStyle w:val="P68B1DB1-Normal9"/>
              <w:spacing w:after="0" w:line="240" w:lineRule="auto"/>
              <w:rPr>
                <w:rFonts w:eastAsia="Times New Roman" w:cs="Calibri"/>
                <w:noProof/>
                <w:szCs w:val="18"/>
              </w:rPr>
            </w:pPr>
            <w:r>
              <w:rPr>
                <w:noProof/>
              </w:rPr>
              <w:t>2–1.2. Renovace – 16932_Olympijské atletické středisko v Aténách</w:t>
            </w:r>
          </w:p>
        </w:tc>
        <w:tc>
          <w:tcPr>
            <w:tcW w:w="963" w:type="dxa"/>
            <w:shd w:val="clear" w:color="auto" w:fill="C6EFCE"/>
            <w:noWrap/>
          </w:tcPr>
          <w:p w14:paraId="496A9436"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shd w:val="clear" w:color="auto" w:fill="C6EFCE"/>
            <w:noWrap/>
          </w:tcPr>
          <w:p w14:paraId="18C4B8FB" w14:textId="77777777" w:rsidR="00515398" w:rsidRDefault="006711E6">
            <w:pPr>
              <w:pStyle w:val="P68B1DB1-Normal9"/>
              <w:spacing w:after="0" w:line="240" w:lineRule="auto"/>
              <w:rPr>
                <w:rFonts w:eastAsia="Times New Roman" w:cs="Calibri"/>
                <w:noProof/>
                <w:szCs w:val="18"/>
              </w:rPr>
            </w:pPr>
            <w:r>
              <w:rPr>
                <w:noProof/>
              </w:rPr>
              <w:t xml:space="preserve">OAKA – dokončení prací </w:t>
            </w:r>
          </w:p>
        </w:tc>
        <w:tc>
          <w:tcPr>
            <w:tcW w:w="1276" w:type="dxa"/>
            <w:shd w:val="clear" w:color="auto" w:fill="C6EFCE"/>
            <w:noWrap/>
          </w:tcPr>
          <w:p w14:paraId="4DF93519" w14:textId="2B28F7FF" w:rsidR="00515398" w:rsidRDefault="006711E6">
            <w:pPr>
              <w:pStyle w:val="P68B1DB1-Normal9"/>
              <w:spacing w:after="0" w:line="240" w:lineRule="auto"/>
              <w:rPr>
                <w:rFonts w:eastAsia="Times New Roman" w:cs="Calibri"/>
                <w:noProof/>
                <w:szCs w:val="18"/>
              </w:rPr>
            </w:pPr>
            <w:r>
              <w:rPr>
                <w:noProof/>
              </w:rPr>
              <w:t xml:space="preserve">Dokončení všech prací na těchto dílčích projektech </w:t>
            </w:r>
          </w:p>
        </w:tc>
        <w:tc>
          <w:tcPr>
            <w:tcW w:w="1134" w:type="dxa"/>
            <w:shd w:val="clear" w:color="auto" w:fill="C6EFCE"/>
            <w:noWrap/>
          </w:tcPr>
          <w:p w14:paraId="6C76D799" w14:textId="77777777" w:rsidR="00515398" w:rsidRDefault="00515398">
            <w:pPr>
              <w:spacing w:after="0" w:line="240" w:lineRule="auto"/>
              <w:rPr>
                <w:rFonts w:eastAsia="Times New Roman" w:cs="Calibri"/>
                <w:noProof/>
                <w:color w:val="006100"/>
                <w:sz w:val="18"/>
                <w:szCs w:val="18"/>
              </w:rPr>
            </w:pPr>
          </w:p>
        </w:tc>
        <w:tc>
          <w:tcPr>
            <w:tcW w:w="992" w:type="dxa"/>
            <w:shd w:val="clear" w:color="auto" w:fill="C6EFCE"/>
            <w:noWrap/>
          </w:tcPr>
          <w:p w14:paraId="2639E86B"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169610A3" w14:textId="77777777" w:rsidR="00515398" w:rsidRDefault="00515398">
            <w:pPr>
              <w:spacing w:after="0" w:line="240" w:lineRule="auto"/>
              <w:rPr>
                <w:rFonts w:eastAsia="Times New Roman" w:cs="Calibri"/>
                <w:noProof/>
                <w:color w:val="006100"/>
                <w:sz w:val="18"/>
                <w:szCs w:val="18"/>
              </w:rPr>
            </w:pPr>
          </w:p>
        </w:tc>
        <w:tc>
          <w:tcPr>
            <w:tcW w:w="850" w:type="dxa"/>
            <w:shd w:val="clear" w:color="auto" w:fill="C6EFCE"/>
            <w:noWrap/>
          </w:tcPr>
          <w:p w14:paraId="160906C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735681D2" w14:textId="77777777" w:rsidR="00515398" w:rsidRDefault="006711E6">
            <w:pPr>
              <w:pStyle w:val="P68B1DB1-Normal9"/>
              <w:spacing w:after="0" w:line="240" w:lineRule="auto"/>
              <w:rPr>
                <w:rFonts w:eastAsia="Times New Roman" w:cs="Calibri"/>
                <w:noProof/>
                <w:szCs w:val="18"/>
              </w:rPr>
            </w:pPr>
            <w:r>
              <w:rPr>
                <w:noProof/>
              </w:rPr>
              <w:t>2025</w:t>
            </w:r>
          </w:p>
        </w:tc>
        <w:tc>
          <w:tcPr>
            <w:tcW w:w="4592" w:type="dxa"/>
            <w:shd w:val="clear" w:color="auto" w:fill="C6EFCE"/>
            <w:noWrap/>
          </w:tcPr>
          <w:p w14:paraId="58BF3A97" w14:textId="54F4228D" w:rsidR="00515398" w:rsidRDefault="006711E6">
            <w:pPr>
              <w:pStyle w:val="P68B1DB1-Normal9"/>
              <w:spacing w:after="0" w:line="240" w:lineRule="auto"/>
              <w:rPr>
                <w:rFonts w:eastAsia="Times New Roman" w:cs="Calibri"/>
                <w:noProof/>
                <w:szCs w:val="18"/>
              </w:rPr>
            </w:pPr>
            <w:r>
              <w:rPr>
                <w:noProof/>
              </w:rPr>
              <w:t>Dokončení všech prací k dosažení energetické účinnosti a zlepšení uhlíkové stopy, včetně i) modernizace mechanických a elektrických instalací centrálního stadia; II) mechanické a elektrické instalace a stroje, které vodním zařízením umožňují nezávislý</w:t>
            </w:r>
            <w:r>
              <w:rPr>
                <w:noProof/>
              </w:rPr>
              <w:t xml:space="preserve"> provoz a úspory energie; III) mechanické a elektrické instalace a rekultivace ocelového krytu velodromu; a iv) venkovní prostory, včetně ocelových konstrukcí Agora a zdi národů.</w:t>
            </w:r>
          </w:p>
        </w:tc>
      </w:tr>
      <w:tr w:rsidR="00515398" w14:paraId="6109CC8C" w14:textId="77777777">
        <w:trPr>
          <w:trHeight w:val="313"/>
          <w:jc w:val="center"/>
        </w:trPr>
        <w:tc>
          <w:tcPr>
            <w:tcW w:w="1129" w:type="dxa"/>
            <w:shd w:val="clear" w:color="auto" w:fill="C6EFCE"/>
            <w:noWrap/>
          </w:tcPr>
          <w:p w14:paraId="6070340E" w14:textId="77777777" w:rsidR="00515398" w:rsidRDefault="006711E6">
            <w:pPr>
              <w:pStyle w:val="P68B1DB1-Normal9"/>
              <w:spacing w:after="0" w:line="240" w:lineRule="auto"/>
              <w:rPr>
                <w:rFonts w:eastAsia="Times New Roman" w:cs="Calibri"/>
                <w:noProof/>
                <w:szCs w:val="18"/>
              </w:rPr>
            </w:pPr>
            <w:r>
              <w:rPr>
                <w:noProof/>
              </w:rPr>
              <w:t>40</w:t>
            </w:r>
          </w:p>
        </w:tc>
        <w:tc>
          <w:tcPr>
            <w:tcW w:w="1663" w:type="dxa"/>
            <w:shd w:val="clear" w:color="auto" w:fill="C6EFCE"/>
            <w:noWrap/>
          </w:tcPr>
          <w:p w14:paraId="4B89DE44" w14:textId="77777777" w:rsidR="00515398" w:rsidRDefault="006711E6">
            <w:pPr>
              <w:pStyle w:val="P68B1DB1-Normal9"/>
              <w:spacing w:after="0" w:line="240" w:lineRule="auto"/>
              <w:rPr>
                <w:rFonts w:eastAsia="Times New Roman" w:cs="Calibri"/>
                <w:noProof/>
                <w:szCs w:val="18"/>
              </w:rPr>
            </w:pPr>
            <w:r>
              <w:rPr>
                <w:noProof/>
              </w:rPr>
              <w:t xml:space="preserve">2–1.2. Renovace – 16873_ – Intervence v obytných oblastech a ve fondu </w:t>
            </w:r>
            <w:r>
              <w:rPr>
                <w:noProof/>
              </w:rPr>
              <w:t>budov</w:t>
            </w:r>
          </w:p>
        </w:tc>
        <w:tc>
          <w:tcPr>
            <w:tcW w:w="963" w:type="dxa"/>
            <w:shd w:val="clear" w:color="auto" w:fill="C6EFCE"/>
            <w:noWrap/>
          </w:tcPr>
          <w:p w14:paraId="0320C719"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shd w:val="clear" w:color="auto" w:fill="C6EFCE"/>
            <w:noWrap/>
          </w:tcPr>
          <w:p w14:paraId="1B82CF3E" w14:textId="77777777" w:rsidR="00515398" w:rsidRDefault="006711E6">
            <w:pPr>
              <w:pStyle w:val="P68B1DB1-Normal9"/>
              <w:spacing w:after="0" w:line="240" w:lineRule="auto"/>
              <w:rPr>
                <w:rFonts w:eastAsia="Times New Roman" w:cs="Calibri"/>
                <w:noProof/>
                <w:szCs w:val="18"/>
              </w:rPr>
            </w:pPr>
            <w:r>
              <w:rPr>
                <w:noProof/>
              </w:rPr>
              <w:t>Městské intervence – dokončení všech prací</w:t>
            </w:r>
          </w:p>
        </w:tc>
        <w:tc>
          <w:tcPr>
            <w:tcW w:w="1276" w:type="dxa"/>
            <w:shd w:val="clear" w:color="auto" w:fill="C6EFCE"/>
            <w:noWrap/>
          </w:tcPr>
          <w:p w14:paraId="04554A1B" w14:textId="6602A463" w:rsidR="00515398" w:rsidRDefault="006711E6">
            <w:pPr>
              <w:pStyle w:val="P68B1DB1-Normal9"/>
              <w:spacing w:after="0" w:line="240" w:lineRule="auto"/>
              <w:rPr>
                <w:rFonts w:eastAsia="Times New Roman" w:cs="Calibri"/>
                <w:noProof/>
                <w:szCs w:val="18"/>
              </w:rPr>
            </w:pPr>
            <w:r>
              <w:rPr>
                <w:noProof/>
              </w:rPr>
              <w:t>Dokončení stavebních prací a služeb potvrzené podpisem formuláře o dokončení stavby vedoucím stavby</w:t>
            </w:r>
          </w:p>
        </w:tc>
        <w:tc>
          <w:tcPr>
            <w:tcW w:w="1134" w:type="dxa"/>
            <w:shd w:val="clear" w:color="auto" w:fill="C6EFCE"/>
            <w:noWrap/>
          </w:tcPr>
          <w:p w14:paraId="5708AA59" w14:textId="77777777" w:rsidR="00515398" w:rsidRDefault="00515398">
            <w:pPr>
              <w:spacing w:after="0" w:line="240" w:lineRule="auto"/>
              <w:rPr>
                <w:rFonts w:eastAsia="Times New Roman" w:cs="Calibri"/>
                <w:noProof/>
                <w:color w:val="006100"/>
                <w:sz w:val="18"/>
                <w:szCs w:val="18"/>
              </w:rPr>
            </w:pPr>
          </w:p>
        </w:tc>
        <w:tc>
          <w:tcPr>
            <w:tcW w:w="992" w:type="dxa"/>
            <w:shd w:val="clear" w:color="auto" w:fill="C6EFCE"/>
            <w:noWrap/>
          </w:tcPr>
          <w:p w14:paraId="027C0F8C"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6C6D20F5" w14:textId="77777777" w:rsidR="00515398" w:rsidRDefault="00515398">
            <w:pPr>
              <w:spacing w:after="0" w:line="240" w:lineRule="auto"/>
              <w:rPr>
                <w:rFonts w:eastAsia="Times New Roman" w:cs="Calibri"/>
                <w:noProof/>
                <w:color w:val="006100"/>
                <w:sz w:val="18"/>
                <w:szCs w:val="18"/>
              </w:rPr>
            </w:pPr>
          </w:p>
        </w:tc>
        <w:tc>
          <w:tcPr>
            <w:tcW w:w="850" w:type="dxa"/>
            <w:shd w:val="clear" w:color="auto" w:fill="C6EFCE"/>
            <w:noWrap/>
          </w:tcPr>
          <w:p w14:paraId="3196529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6EEA3CF2" w14:textId="77777777" w:rsidR="00515398" w:rsidRDefault="006711E6">
            <w:pPr>
              <w:pStyle w:val="P68B1DB1-Normal9"/>
              <w:spacing w:after="0" w:line="240" w:lineRule="auto"/>
              <w:rPr>
                <w:rFonts w:eastAsia="Times New Roman" w:cs="Calibri"/>
                <w:noProof/>
                <w:szCs w:val="18"/>
              </w:rPr>
            </w:pPr>
            <w:r>
              <w:rPr>
                <w:noProof/>
              </w:rPr>
              <w:t>2025</w:t>
            </w:r>
          </w:p>
        </w:tc>
        <w:tc>
          <w:tcPr>
            <w:tcW w:w="4592" w:type="dxa"/>
            <w:shd w:val="clear" w:color="auto" w:fill="C6EFCE"/>
            <w:noWrap/>
          </w:tcPr>
          <w:p w14:paraId="2B30F991" w14:textId="77777777" w:rsidR="00515398" w:rsidRDefault="006711E6">
            <w:pPr>
              <w:pStyle w:val="P68B1DB1-Normal9"/>
              <w:spacing w:after="0" w:line="240" w:lineRule="auto"/>
              <w:rPr>
                <w:rFonts w:eastAsia="Times New Roman" w:cs="Calibri"/>
                <w:noProof/>
                <w:szCs w:val="18"/>
              </w:rPr>
            </w:pPr>
            <w:r>
              <w:rPr>
                <w:noProof/>
              </w:rPr>
              <w:t xml:space="preserve">Dokončit všechny práce v rámci </w:t>
            </w:r>
          </w:p>
          <w:p w14:paraId="10E2E7A7" w14:textId="77777777" w:rsidR="00515398" w:rsidRDefault="006711E6">
            <w:pPr>
              <w:pStyle w:val="P68B1DB1-Normal9"/>
              <w:spacing w:after="0" w:line="240" w:lineRule="auto"/>
              <w:rPr>
                <w:rFonts w:eastAsia="Times New Roman" w:cs="Calibri"/>
                <w:noProof/>
                <w:szCs w:val="18"/>
              </w:rPr>
            </w:pPr>
            <w:r>
              <w:rPr>
                <w:noProof/>
              </w:rPr>
              <w:t xml:space="preserve">i) Intervence zaměřené na zlepšení městského prostředí a veřejného prostoru; </w:t>
            </w:r>
          </w:p>
          <w:p w14:paraId="6BDD9914" w14:textId="77777777" w:rsidR="00515398" w:rsidRDefault="006711E6">
            <w:pPr>
              <w:pStyle w:val="P68B1DB1-Normal9"/>
              <w:spacing w:after="0" w:line="240" w:lineRule="auto"/>
              <w:rPr>
                <w:rFonts w:eastAsia="Times New Roman" w:cs="Calibri"/>
                <w:noProof/>
                <w:szCs w:val="18"/>
              </w:rPr>
            </w:pPr>
            <w:r>
              <w:rPr>
                <w:noProof/>
              </w:rPr>
              <w:t xml:space="preserve">větevníci Obnova měst v bývalé průmyslové oblasti Votanikos/Elaionas; </w:t>
            </w:r>
          </w:p>
          <w:p w14:paraId="2F4682F0" w14:textId="77777777" w:rsidR="00515398" w:rsidRDefault="006711E6">
            <w:pPr>
              <w:pStyle w:val="P68B1DB1-Normal9"/>
              <w:spacing w:after="0" w:line="240" w:lineRule="auto"/>
              <w:jc w:val="both"/>
              <w:rPr>
                <w:rFonts w:eastAsia="Times New Roman" w:cs="Calibri"/>
                <w:noProof/>
                <w:szCs w:val="18"/>
              </w:rPr>
            </w:pPr>
            <w:r>
              <w:rPr>
                <w:noProof/>
              </w:rPr>
              <w:t>III) Atény Riviera: cyklistická infrastruktura; a pokud</w:t>
            </w:r>
          </w:p>
          <w:p w14:paraId="3F19EF9A" w14:textId="00A3DDD3" w:rsidR="00515398" w:rsidRDefault="006711E6">
            <w:pPr>
              <w:pStyle w:val="P68B1DB1-Normal9"/>
              <w:spacing w:after="0" w:line="240" w:lineRule="auto"/>
              <w:jc w:val="both"/>
              <w:rPr>
                <w:rFonts w:eastAsia="Times New Roman" w:cs="Calibri"/>
                <w:noProof/>
                <w:szCs w:val="18"/>
              </w:rPr>
            </w:pPr>
            <w:r>
              <w:rPr>
                <w:noProof/>
              </w:rPr>
              <w:t>IV) Další strategické intervence.</w:t>
            </w:r>
          </w:p>
        </w:tc>
      </w:tr>
      <w:tr w:rsidR="00515398" w14:paraId="241826BA" w14:textId="77777777">
        <w:trPr>
          <w:trHeight w:val="313"/>
          <w:jc w:val="center"/>
        </w:trPr>
        <w:tc>
          <w:tcPr>
            <w:tcW w:w="1129" w:type="dxa"/>
            <w:shd w:val="clear" w:color="auto" w:fill="C6EFCE"/>
            <w:noWrap/>
          </w:tcPr>
          <w:p w14:paraId="4FF8FC63" w14:textId="77777777" w:rsidR="00515398" w:rsidRDefault="006711E6">
            <w:pPr>
              <w:pStyle w:val="P68B1DB1-Normal9"/>
              <w:spacing w:after="0" w:line="240" w:lineRule="auto"/>
              <w:rPr>
                <w:rFonts w:eastAsia="Times New Roman" w:cs="Calibri"/>
                <w:noProof/>
                <w:szCs w:val="18"/>
              </w:rPr>
            </w:pPr>
            <w:r>
              <w:rPr>
                <w:noProof/>
              </w:rPr>
              <w:t>41</w:t>
            </w:r>
          </w:p>
        </w:tc>
        <w:tc>
          <w:tcPr>
            <w:tcW w:w="1663" w:type="dxa"/>
            <w:shd w:val="clear" w:color="auto" w:fill="C6EFCE"/>
            <w:noWrap/>
          </w:tcPr>
          <w:p w14:paraId="1DF74087" w14:textId="77777777" w:rsidR="00515398" w:rsidRDefault="006711E6">
            <w:pPr>
              <w:pStyle w:val="P68B1DB1-Normal9"/>
              <w:spacing w:after="0" w:line="240" w:lineRule="auto"/>
              <w:rPr>
                <w:rFonts w:eastAsia="Times New Roman" w:cs="Calibri"/>
                <w:noProof/>
                <w:szCs w:val="18"/>
              </w:rPr>
            </w:pPr>
            <w:r>
              <w:rPr>
                <w:noProof/>
              </w:rPr>
              <w:t xml:space="preserve">2–1.2. </w:t>
            </w:r>
            <w:r>
              <w:rPr>
                <w:noProof/>
              </w:rPr>
              <w:t>Renovace – 16875_Rozvoj infrastruktury a rekultivace budov v bývalé královské budově v roce Tatoi</w:t>
            </w:r>
          </w:p>
        </w:tc>
        <w:tc>
          <w:tcPr>
            <w:tcW w:w="963" w:type="dxa"/>
            <w:shd w:val="clear" w:color="auto" w:fill="C6EFCE"/>
            <w:noWrap/>
          </w:tcPr>
          <w:p w14:paraId="3173375D"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shd w:val="clear" w:color="auto" w:fill="C6EFCE"/>
            <w:noWrap/>
          </w:tcPr>
          <w:p w14:paraId="2C1FA6BB" w14:textId="77777777" w:rsidR="00515398" w:rsidRDefault="006711E6">
            <w:pPr>
              <w:pStyle w:val="P68B1DB1-Normal9"/>
              <w:spacing w:after="0" w:line="240" w:lineRule="auto"/>
              <w:rPr>
                <w:rFonts w:eastAsia="Times New Roman" w:cs="Calibri"/>
                <w:noProof/>
                <w:szCs w:val="18"/>
              </w:rPr>
            </w:pPr>
            <w:r>
              <w:rPr>
                <w:noProof/>
              </w:rPr>
              <w:t>Tatoi – dokončení všech prací</w:t>
            </w:r>
          </w:p>
        </w:tc>
        <w:tc>
          <w:tcPr>
            <w:tcW w:w="1276" w:type="dxa"/>
            <w:shd w:val="clear" w:color="auto" w:fill="C6EFCE"/>
            <w:noWrap/>
          </w:tcPr>
          <w:p w14:paraId="554C1366" w14:textId="5420EE11" w:rsidR="00515398" w:rsidRDefault="006711E6">
            <w:pPr>
              <w:pStyle w:val="P68B1DB1-Normal9"/>
              <w:spacing w:after="0" w:line="240" w:lineRule="auto"/>
              <w:rPr>
                <w:rFonts w:eastAsia="Times New Roman" w:cs="Calibri"/>
                <w:noProof/>
                <w:szCs w:val="18"/>
              </w:rPr>
            </w:pPr>
            <w:r>
              <w:rPr>
                <w:noProof/>
              </w:rPr>
              <w:t xml:space="preserve">Dokončení stavebních prací a služeb </w:t>
            </w:r>
          </w:p>
        </w:tc>
        <w:tc>
          <w:tcPr>
            <w:tcW w:w="1134" w:type="dxa"/>
            <w:shd w:val="clear" w:color="auto" w:fill="C6EFCE"/>
            <w:noWrap/>
          </w:tcPr>
          <w:p w14:paraId="6291041F" w14:textId="77777777" w:rsidR="00515398" w:rsidRDefault="00515398">
            <w:pPr>
              <w:spacing w:after="0" w:line="240" w:lineRule="auto"/>
              <w:rPr>
                <w:rFonts w:eastAsia="Times New Roman" w:cs="Calibri"/>
                <w:noProof/>
                <w:color w:val="006100"/>
                <w:sz w:val="18"/>
                <w:szCs w:val="18"/>
              </w:rPr>
            </w:pPr>
          </w:p>
        </w:tc>
        <w:tc>
          <w:tcPr>
            <w:tcW w:w="992" w:type="dxa"/>
            <w:shd w:val="clear" w:color="auto" w:fill="C6EFCE"/>
            <w:noWrap/>
          </w:tcPr>
          <w:p w14:paraId="705811D2" w14:textId="77777777" w:rsidR="00515398" w:rsidRDefault="00515398">
            <w:pPr>
              <w:spacing w:after="0" w:line="240" w:lineRule="auto"/>
              <w:rPr>
                <w:rFonts w:eastAsia="Times New Roman" w:cs="Calibri"/>
                <w:noProof/>
                <w:color w:val="006100"/>
                <w:sz w:val="18"/>
                <w:szCs w:val="18"/>
              </w:rPr>
            </w:pPr>
          </w:p>
        </w:tc>
        <w:tc>
          <w:tcPr>
            <w:tcW w:w="851" w:type="dxa"/>
            <w:shd w:val="clear" w:color="auto" w:fill="C6EFCE"/>
            <w:noWrap/>
          </w:tcPr>
          <w:p w14:paraId="7DB08917" w14:textId="77777777" w:rsidR="00515398" w:rsidRDefault="00515398">
            <w:pPr>
              <w:spacing w:after="0" w:line="240" w:lineRule="auto"/>
              <w:rPr>
                <w:rFonts w:eastAsia="Times New Roman" w:cs="Calibri"/>
                <w:noProof/>
                <w:color w:val="006100"/>
                <w:sz w:val="18"/>
                <w:szCs w:val="18"/>
              </w:rPr>
            </w:pPr>
          </w:p>
        </w:tc>
        <w:tc>
          <w:tcPr>
            <w:tcW w:w="850" w:type="dxa"/>
            <w:shd w:val="clear" w:color="auto" w:fill="C6EFCE"/>
            <w:noWrap/>
          </w:tcPr>
          <w:p w14:paraId="78883575"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shd w:val="clear" w:color="auto" w:fill="C6EFCE"/>
            <w:noWrap/>
          </w:tcPr>
          <w:p w14:paraId="1C77BE52" w14:textId="77777777" w:rsidR="00515398" w:rsidRDefault="006711E6">
            <w:pPr>
              <w:pStyle w:val="P68B1DB1-Normal9"/>
              <w:spacing w:after="0" w:line="240" w:lineRule="auto"/>
              <w:rPr>
                <w:rFonts w:eastAsia="Times New Roman" w:cs="Calibri"/>
                <w:noProof/>
                <w:szCs w:val="18"/>
              </w:rPr>
            </w:pPr>
            <w:r>
              <w:rPr>
                <w:noProof/>
              </w:rPr>
              <w:t>2025</w:t>
            </w:r>
          </w:p>
        </w:tc>
        <w:tc>
          <w:tcPr>
            <w:tcW w:w="4592" w:type="dxa"/>
            <w:shd w:val="clear" w:color="auto" w:fill="C6EFCE"/>
            <w:noWrap/>
          </w:tcPr>
          <w:p w14:paraId="38CD0A29" w14:textId="77777777" w:rsidR="00515398" w:rsidRDefault="006711E6">
            <w:pPr>
              <w:pStyle w:val="P68B1DB1-Normal9"/>
              <w:spacing w:after="0" w:line="240" w:lineRule="auto"/>
              <w:rPr>
                <w:rFonts w:eastAsia="Times New Roman" w:cs="Calibri"/>
                <w:noProof/>
                <w:szCs w:val="18"/>
              </w:rPr>
            </w:pPr>
            <w:r>
              <w:rPr>
                <w:noProof/>
              </w:rPr>
              <w:t xml:space="preserve">Dokončit všechny práce v rámci programu „Rozvoj </w:t>
            </w:r>
            <w:r>
              <w:rPr>
                <w:noProof/>
              </w:rPr>
              <w:t>infrastruktury a rekultivace budov“ v bývalé královské budově v Tatoi, včetně:</w:t>
            </w:r>
          </w:p>
          <w:p w14:paraId="2D0B8D7A" w14:textId="77777777" w:rsidR="00515398" w:rsidRDefault="006711E6">
            <w:pPr>
              <w:pStyle w:val="P68B1DB1-Normal9"/>
              <w:spacing w:after="0" w:line="240" w:lineRule="auto"/>
              <w:rPr>
                <w:rFonts w:eastAsia="Times New Roman" w:cs="Calibri"/>
                <w:noProof/>
                <w:szCs w:val="18"/>
              </w:rPr>
            </w:pPr>
            <w:r>
              <w:rPr>
                <w:noProof/>
              </w:rPr>
              <w:t xml:space="preserve">i) práce na infrastruktuře; </w:t>
            </w:r>
          </w:p>
          <w:p w14:paraId="2F3F5F35" w14:textId="77777777" w:rsidR="00515398" w:rsidRDefault="006711E6">
            <w:pPr>
              <w:pStyle w:val="P68B1DB1-Normal9"/>
              <w:spacing w:after="0" w:line="240" w:lineRule="auto"/>
              <w:rPr>
                <w:rFonts w:eastAsia="Times New Roman" w:cs="Calibri"/>
                <w:noProof/>
                <w:szCs w:val="18"/>
              </w:rPr>
            </w:pPr>
            <w:r>
              <w:rPr>
                <w:noProof/>
              </w:rPr>
              <w:t>II) restaurování paláce, který má být opětovně použit jako muzeum;</w:t>
            </w:r>
          </w:p>
          <w:p w14:paraId="2D343E96" w14:textId="77777777" w:rsidR="00515398" w:rsidRDefault="006711E6">
            <w:pPr>
              <w:pStyle w:val="P68B1DB1-Normal9"/>
              <w:spacing w:after="0" w:line="240" w:lineRule="auto"/>
              <w:rPr>
                <w:rFonts w:eastAsia="Times New Roman" w:cs="Calibri"/>
                <w:noProof/>
                <w:szCs w:val="18"/>
              </w:rPr>
            </w:pPr>
            <w:r>
              <w:rPr>
                <w:noProof/>
              </w:rPr>
              <w:t xml:space="preserve">III) výstava paláce; </w:t>
            </w:r>
          </w:p>
          <w:p w14:paraId="4851BB29" w14:textId="77777777" w:rsidR="00515398" w:rsidRDefault="006711E6">
            <w:pPr>
              <w:pStyle w:val="P68B1DB1-Normal9"/>
              <w:spacing w:after="0" w:line="240" w:lineRule="auto"/>
              <w:rPr>
                <w:rFonts w:eastAsia="Times New Roman" w:cs="Calibri"/>
                <w:noProof/>
                <w:szCs w:val="18"/>
              </w:rPr>
            </w:pPr>
            <w:r>
              <w:rPr>
                <w:noProof/>
              </w:rPr>
              <w:t xml:space="preserve">IV) restaurování zemědělské budovy a opětovné využití jako </w:t>
            </w:r>
            <w:r>
              <w:rPr>
                <w:noProof/>
              </w:rPr>
              <w:t xml:space="preserve">muzea; </w:t>
            </w:r>
          </w:p>
          <w:p w14:paraId="0285F65B" w14:textId="77777777" w:rsidR="00515398" w:rsidRDefault="006711E6">
            <w:pPr>
              <w:pStyle w:val="P68B1DB1-Normal9"/>
              <w:spacing w:after="0" w:line="240" w:lineRule="auto"/>
              <w:rPr>
                <w:rFonts w:eastAsia="Times New Roman" w:cs="Calibri"/>
                <w:noProof/>
                <w:szCs w:val="18"/>
              </w:rPr>
            </w:pPr>
            <w:r>
              <w:rPr>
                <w:noProof/>
              </w:rPr>
              <w:t xml:space="preserve">v) museologické studie pro novou zemědělskou budovu; </w:t>
            </w:r>
          </w:p>
          <w:p w14:paraId="6848A818" w14:textId="77777777" w:rsidR="00515398" w:rsidRDefault="006711E6">
            <w:pPr>
              <w:pStyle w:val="P68B1DB1-Normal9"/>
              <w:spacing w:after="0" w:line="240" w:lineRule="auto"/>
              <w:rPr>
                <w:rFonts w:eastAsia="Times New Roman" w:cs="Calibri"/>
                <w:noProof/>
                <w:szCs w:val="18"/>
              </w:rPr>
            </w:pPr>
            <w:r>
              <w:rPr>
                <w:noProof/>
              </w:rPr>
              <w:t xml:space="preserve">VI) restaurování zahrad s palácovými zahradami; </w:t>
            </w:r>
          </w:p>
          <w:p w14:paraId="466592E9" w14:textId="77777777" w:rsidR="00515398" w:rsidRDefault="006711E6">
            <w:pPr>
              <w:pStyle w:val="P68B1DB1-Normal9"/>
              <w:spacing w:after="0" w:line="240" w:lineRule="auto"/>
              <w:rPr>
                <w:rFonts w:eastAsia="Times New Roman" w:cs="Calibri"/>
                <w:noProof/>
                <w:szCs w:val="18"/>
              </w:rPr>
            </w:pPr>
            <w:r>
              <w:rPr>
                <w:noProof/>
              </w:rPr>
              <w:t xml:space="preserve">VII) zachování a obnova artefaktů; </w:t>
            </w:r>
          </w:p>
          <w:p w14:paraId="41C1DE98" w14:textId="77777777" w:rsidR="00515398" w:rsidRDefault="006711E6">
            <w:pPr>
              <w:pStyle w:val="P68B1DB1-Normal9"/>
              <w:spacing w:after="0" w:line="240" w:lineRule="auto"/>
              <w:rPr>
                <w:rFonts w:eastAsia="Times New Roman" w:cs="Calibri"/>
                <w:noProof/>
                <w:szCs w:val="18"/>
              </w:rPr>
            </w:pPr>
            <w:r>
              <w:rPr>
                <w:noProof/>
              </w:rPr>
              <w:t xml:space="preserve">VIII) zaznamenávání, dokumentace a registrace artefaktů; a pokud </w:t>
            </w:r>
          </w:p>
          <w:p w14:paraId="458540EA" w14:textId="77777777" w:rsidR="00515398" w:rsidRDefault="006711E6">
            <w:pPr>
              <w:pStyle w:val="P68B1DB1-Normal9"/>
              <w:spacing w:after="0" w:line="240" w:lineRule="auto"/>
              <w:rPr>
                <w:rFonts w:eastAsia="Times New Roman" w:cs="Calibri"/>
                <w:noProof/>
                <w:szCs w:val="18"/>
              </w:rPr>
            </w:pPr>
            <w:r>
              <w:rPr>
                <w:noProof/>
              </w:rPr>
              <w:t>IX) digitalizace nalezeného papírového arch</w:t>
            </w:r>
            <w:r>
              <w:rPr>
                <w:noProof/>
              </w:rPr>
              <w:t>ivního materiálu.</w:t>
            </w:r>
          </w:p>
        </w:tc>
      </w:tr>
    </w:tbl>
    <w:p w14:paraId="45EEBC4E" w14:textId="77777777" w:rsidR="00515398" w:rsidRDefault="00515398">
      <w:pPr>
        <w:framePr w:w="15464" w:wrap="auto" w:hAnchor="text"/>
        <w:spacing w:before="120" w:after="120" w:line="240" w:lineRule="auto"/>
        <w:rPr>
          <w:rFonts w:ascii="Times New Roman" w:hAnsi="Times New Roman" w:cs="Times New Roman"/>
          <w:noProof/>
          <w:sz w:val="24"/>
        </w:rPr>
        <w:sectPr w:rsidR="00515398" w:rsidSect="00271D33">
          <w:headerReference w:type="even" r:id="rId49"/>
          <w:headerReference w:type="default" r:id="rId50"/>
          <w:footerReference w:type="even" r:id="rId51"/>
          <w:footerReference w:type="default" r:id="rId52"/>
          <w:headerReference w:type="first" r:id="rId53"/>
          <w:footerReference w:type="first" r:id="rId54"/>
          <w:pgSz w:w="16839" w:h="11907" w:orient="landscape"/>
          <w:pgMar w:top="720" w:right="720" w:bottom="851" w:left="720" w:header="709" w:footer="709" w:gutter="0"/>
          <w:cols w:space="720"/>
          <w:docGrid w:linePitch="360"/>
        </w:sectPr>
      </w:pPr>
    </w:p>
    <w:p w14:paraId="72BAD07A" w14:textId="77777777" w:rsidR="00515398" w:rsidRDefault="006711E6">
      <w:pPr>
        <w:spacing w:before="120" w:after="120" w:line="240" w:lineRule="auto"/>
        <w:jc w:val="both"/>
        <w:rPr>
          <w:rFonts w:ascii="Times New Roman" w:hAnsi="Times New Roman" w:cs="Times New Roman"/>
          <w:b/>
          <w:bCs/>
          <w:i/>
          <w:iCs/>
          <w:noProof/>
          <w:color w:val="4F81BD"/>
          <w:sz w:val="24"/>
          <w:szCs w:val="24"/>
        </w:rPr>
      </w:pPr>
      <w:r>
        <w:rPr>
          <w:rFonts w:ascii="Times New Roman" w:hAnsi="Times New Roman"/>
          <w:b/>
          <w:noProof/>
          <w:sz w:val="24"/>
          <w:szCs w:val="24"/>
          <w:u w:val="single"/>
        </w:rPr>
        <w:t xml:space="preserve">B.3. </w:t>
      </w:r>
      <w:r>
        <w:rPr>
          <w:noProof/>
        </w:rPr>
        <w:t xml:space="preserve"> </w:t>
      </w:r>
      <w:r>
        <w:rPr>
          <w:rFonts w:ascii="Times New Roman" w:hAnsi="Times New Roman"/>
          <w:b/>
          <w:noProof/>
          <w:sz w:val="24"/>
          <w:szCs w:val="24"/>
          <w:u w:val="single"/>
        </w:rPr>
        <w:t xml:space="preserve">Popis reforem a investic pro půjčky </w:t>
      </w:r>
    </w:p>
    <w:p w14:paraId="706B1471"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Program modernizace energetiky „Zlepšování mého domova“ (opatření ID 16401)</w:t>
      </w:r>
    </w:p>
    <w:p w14:paraId="56FC16C7" w14:textId="77777777" w:rsidR="00515398" w:rsidRDefault="006711E6">
      <w:pPr>
        <w:pStyle w:val="NormalWeb"/>
        <w:spacing w:line="240" w:lineRule="auto"/>
        <w:jc w:val="both"/>
        <w:rPr>
          <w:noProof/>
        </w:rPr>
      </w:pPr>
      <w:r>
        <w:rPr>
          <w:noProof/>
        </w:rPr>
        <w:t xml:space="preserve">Toto opatření sestává z veřejné investice do </w:t>
      </w:r>
      <w:r>
        <w:rPr>
          <w:noProof/>
        </w:rPr>
        <w:t xml:space="preserve">nástroje „Můj domov“ s cílem stimulovat soukromé investice a zlepšit přístup k financování v odvětví bydlení v Řecku. Nástroj funguje tak, že poskytuje úvěry přímo soukromému sektoru. Na základě investice z Nástroje pro oživení a odolnost má facilita „Můj </w:t>
      </w:r>
      <w:r>
        <w:rPr>
          <w:noProof/>
        </w:rPr>
        <w:t>domov“ zpočátku poskytnout financování ve výši nejméně 300 milionů EUR.</w:t>
      </w:r>
    </w:p>
    <w:p w14:paraId="2002C782" w14:textId="77777777" w:rsidR="00515398" w:rsidRDefault="006711E6">
      <w:pPr>
        <w:pStyle w:val="NormalWeb"/>
        <w:spacing w:line="240" w:lineRule="auto"/>
        <w:jc w:val="both"/>
        <w:rPr>
          <w:noProof/>
        </w:rPr>
      </w:pPr>
      <w:r>
        <w:rPr>
          <w:noProof/>
        </w:rPr>
        <w:t xml:space="preserve">Nástroj „Upgrade My Home“ spravuje jako prováděcí partner Řecká rozvojová banka. Nástroj zahrnuje tuto produktovou řadu: </w:t>
      </w:r>
    </w:p>
    <w:p w14:paraId="25AC7954" w14:textId="77777777" w:rsidR="00515398" w:rsidRDefault="006711E6">
      <w:pPr>
        <w:pStyle w:val="P68B1DB1-LegalNumPar212"/>
        <w:numPr>
          <w:ilvl w:val="1"/>
          <w:numId w:val="95"/>
        </w:numPr>
        <w:jc w:val="both"/>
        <w:rPr>
          <w:noProof/>
        </w:rPr>
      </w:pPr>
      <w:r>
        <w:rPr>
          <w:noProof/>
        </w:rPr>
        <w:t>Řecká rozvojová banka vybere komerční banky jako finanční zpro</w:t>
      </w:r>
      <w:r>
        <w:rPr>
          <w:noProof/>
        </w:rPr>
        <w:t>středkovatele pro účast v nástroji otevřeným, transparentním a nediskriminačním způsobem prostřednictvím otevřeného výběrového řízení. Komerční banky spolufinancují úvěry na energeticky účinné renovace vydané v rámci nástroje. Tyto úvěry budou poskytnuty j</w:t>
      </w:r>
      <w:r>
        <w:rPr>
          <w:noProof/>
        </w:rPr>
        <w:t>ednotlivcům na energetické modernizace jejich hlavního nebo nepronajatého vedlejšího bydlení. Úvěrová struktura zajistí 75 % bezúročné financování z nástroje „Upgrade My Home“ a 25 % financování od zúčastněných bank s tržními sazbami. Způsobilé výdaje budo</w:t>
      </w:r>
      <w:r>
        <w:rPr>
          <w:noProof/>
        </w:rPr>
        <w:t>u zahrnovat například tyto intervence:</w:t>
      </w:r>
    </w:p>
    <w:p w14:paraId="64B760B5" w14:textId="77777777" w:rsidR="00515398" w:rsidRDefault="006711E6">
      <w:pPr>
        <w:pStyle w:val="P68B1DB1-LegalNumPar212"/>
        <w:jc w:val="both"/>
        <w:rPr>
          <w:noProof/>
        </w:rPr>
      </w:pPr>
      <w:r>
        <w:rPr>
          <w:noProof/>
        </w:rPr>
        <w:t>Tepelná izolace (vnitřní/vnější).</w:t>
      </w:r>
    </w:p>
    <w:p w14:paraId="6A05EDBF" w14:textId="77777777" w:rsidR="00515398" w:rsidRDefault="006711E6">
      <w:pPr>
        <w:pStyle w:val="P68B1DB1-LegalNumPar212"/>
        <w:jc w:val="both"/>
        <w:rPr>
          <w:noProof/>
        </w:rPr>
      </w:pPr>
      <w:r>
        <w:rPr>
          <w:noProof/>
        </w:rPr>
        <w:t>Instalace zelené střechy.</w:t>
      </w:r>
    </w:p>
    <w:p w14:paraId="007EAB1B" w14:textId="77777777" w:rsidR="00515398" w:rsidRDefault="006711E6">
      <w:pPr>
        <w:pStyle w:val="P68B1DB1-LegalNumPar212"/>
        <w:jc w:val="both"/>
        <w:rPr>
          <w:noProof/>
        </w:rPr>
      </w:pPr>
      <w:r>
        <w:rPr>
          <w:noProof/>
        </w:rPr>
        <w:t>Výměna energeticky účinných okenních rámů a skleněných tabulí.</w:t>
      </w:r>
    </w:p>
    <w:p w14:paraId="1676E1CF" w14:textId="77777777" w:rsidR="00515398" w:rsidRDefault="006711E6">
      <w:pPr>
        <w:pStyle w:val="P68B1DB1-LegalNumPar212"/>
        <w:jc w:val="both"/>
        <w:rPr>
          <w:noProof/>
        </w:rPr>
      </w:pPr>
      <w:r>
        <w:rPr>
          <w:noProof/>
        </w:rPr>
        <w:t>Výměna/instalace solárního ohřívače vody.</w:t>
      </w:r>
    </w:p>
    <w:p w14:paraId="69C1821D" w14:textId="77777777" w:rsidR="00515398" w:rsidRDefault="006711E6">
      <w:pPr>
        <w:pStyle w:val="P68B1DB1-LegalNumPar212"/>
        <w:jc w:val="both"/>
        <w:rPr>
          <w:noProof/>
        </w:rPr>
      </w:pPr>
      <w:r>
        <w:rPr>
          <w:noProof/>
        </w:rPr>
        <w:t>Instalace trvalých systémů vnějšího stínění.</w:t>
      </w:r>
    </w:p>
    <w:p w14:paraId="3FA9758E" w14:textId="77777777" w:rsidR="00515398" w:rsidRDefault="006711E6">
      <w:pPr>
        <w:pStyle w:val="P68B1DB1-LegalNumPar212"/>
        <w:jc w:val="both"/>
        <w:rPr>
          <w:noProof/>
        </w:rPr>
      </w:pPr>
      <w:r>
        <w:rPr>
          <w:noProof/>
        </w:rPr>
        <w:t>Výměna/</w:t>
      </w:r>
      <w:r>
        <w:rPr>
          <w:noProof/>
        </w:rPr>
        <w:t>instalace systémů vytápění a chlazení (produkovaná fosilní paliva nejsou způsobilá) s využitím obnovitelných zdrojů energie nebo vysoce účinných systémů kombinované výroby tepla a elektřiny (např. elektrická tepelná čerpadla, klimatizační jednotky střídače</w:t>
      </w:r>
      <w:r>
        <w:rPr>
          <w:noProof/>
        </w:rPr>
        <w:t xml:space="preserve"> energetické třídy A+ nebo vyšší).</w:t>
      </w:r>
    </w:p>
    <w:p w14:paraId="630F90AA" w14:textId="77777777" w:rsidR="00515398" w:rsidRDefault="006711E6">
      <w:pPr>
        <w:pStyle w:val="P68B1DB1-LegalNumPar212"/>
        <w:jc w:val="both"/>
        <w:rPr>
          <w:noProof/>
        </w:rPr>
      </w:pPr>
      <w:r>
        <w:rPr>
          <w:noProof/>
        </w:rPr>
        <w:t>Instalace termostatických regulačních systémů.</w:t>
      </w:r>
    </w:p>
    <w:p w14:paraId="672DBFEB" w14:textId="77777777" w:rsidR="00515398" w:rsidRDefault="006711E6">
      <w:pPr>
        <w:pStyle w:val="P68B1DB1-LegalNumPar212"/>
        <w:jc w:val="both"/>
        <w:rPr>
          <w:noProof/>
        </w:rPr>
      </w:pPr>
      <w:r>
        <w:rPr>
          <w:noProof/>
        </w:rPr>
        <w:t>Instalace systémů skladování energie (baterií) z obnovitelných zdrojů energie.</w:t>
      </w:r>
    </w:p>
    <w:p w14:paraId="6128855E" w14:textId="77777777" w:rsidR="00515398" w:rsidRDefault="006711E6">
      <w:pPr>
        <w:pStyle w:val="P68B1DB1-LegalNumPar212"/>
        <w:jc w:val="both"/>
        <w:rPr>
          <w:noProof/>
        </w:rPr>
      </w:pPr>
      <w:r>
        <w:rPr>
          <w:noProof/>
        </w:rPr>
        <w:t>Instalace fotovoltaických stanic, malých větrných turbín a dalších obnovitelných zdrojů energie</w:t>
      </w:r>
      <w:r>
        <w:rPr>
          <w:noProof/>
        </w:rPr>
        <w:t>.</w:t>
      </w:r>
    </w:p>
    <w:p w14:paraId="6A914FAC" w14:textId="77777777" w:rsidR="00515398" w:rsidRDefault="006711E6">
      <w:pPr>
        <w:pStyle w:val="P68B1DB1-LegalNumPar212"/>
        <w:jc w:val="both"/>
        <w:rPr>
          <w:noProof/>
        </w:rPr>
      </w:pPr>
      <w:r>
        <w:rPr>
          <w:noProof/>
        </w:rPr>
        <w:t>Instalační práce/služby technických poradců nebo inženýrů.</w:t>
      </w:r>
    </w:p>
    <w:p w14:paraId="63AA623B" w14:textId="77777777" w:rsidR="00515398" w:rsidRDefault="006711E6">
      <w:pPr>
        <w:pStyle w:val="NormalWeb"/>
        <w:spacing w:line="240" w:lineRule="auto"/>
        <w:jc w:val="both"/>
        <w:rPr>
          <w:noProof/>
        </w:rPr>
      </w:pPr>
      <w:r>
        <w:rPr>
          <w:noProof/>
        </w:rPr>
        <w:t>Za účelem provedení investice do nástroje „Upgrade My Home“ podepíší Řecko a Řecká rozvojová banka prováděcí dohodu. Prováděcí dohoda obsahuje tento obsah:</w:t>
      </w:r>
    </w:p>
    <w:p w14:paraId="1A876F17" w14:textId="77777777" w:rsidR="00515398" w:rsidRDefault="006711E6">
      <w:pPr>
        <w:pStyle w:val="P68B1DB1-LegalNumPar13"/>
        <w:numPr>
          <w:ilvl w:val="0"/>
          <w:numId w:val="94"/>
        </w:numPr>
        <w:jc w:val="both"/>
        <w:rPr>
          <w:rFonts w:eastAsia="Times New Roman"/>
          <w:noProof/>
        </w:rPr>
      </w:pPr>
      <w:r>
        <w:rPr>
          <w:noProof/>
        </w:rPr>
        <w:t>Popis rozhodovacího procesu nástroje „M</w:t>
      </w:r>
      <w:r>
        <w:rPr>
          <w:noProof/>
        </w:rPr>
        <w:t>ůj domov“. Konečné rozhodnutí o investicích nástroje přijímá investiční výbor nebo jiný příslušný rovnocenný řídící orgán a schvaluje je většina hlasů členů, kteří jsou nezávislí na vládě.</w:t>
      </w:r>
    </w:p>
    <w:p w14:paraId="58BD9048" w14:textId="7F605065" w:rsidR="00515398" w:rsidRDefault="006711E6">
      <w:pPr>
        <w:pStyle w:val="P68B1DB1-LegalNumPar13"/>
        <w:jc w:val="both"/>
        <w:rPr>
          <w:noProof/>
        </w:rPr>
      </w:pPr>
      <w:r>
        <w:rPr>
          <w:noProof/>
        </w:rPr>
        <w:t>Klíčové požadavky na finanční produkty,</w:t>
      </w:r>
      <w:r>
        <w:rPr>
          <w:b/>
          <w:noProof/>
        </w:rPr>
        <w:t xml:space="preserve"> </w:t>
      </w:r>
      <w:r>
        <w:rPr>
          <w:noProof/>
        </w:rPr>
        <w:t>které zahrnují:</w:t>
      </w:r>
    </w:p>
    <w:p w14:paraId="7B550C92" w14:textId="77777777" w:rsidR="00515398" w:rsidRDefault="006711E6">
      <w:pPr>
        <w:pStyle w:val="P68B1DB1-LegalNumPar212"/>
        <w:jc w:val="both"/>
        <w:rPr>
          <w:noProof/>
        </w:rPr>
      </w:pPr>
      <w:r>
        <w:rPr>
          <w:noProof/>
        </w:rPr>
        <w:t xml:space="preserve">Popis </w:t>
      </w:r>
      <w:r>
        <w:rPr>
          <w:noProof/>
        </w:rPr>
        <w:t>finančních produktů a způsobilých konečných příjemců.</w:t>
      </w:r>
    </w:p>
    <w:p w14:paraId="08D024E5" w14:textId="77777777" w:rsidR="00515398" w:rsidRDefault="006711E6">
      <w:pPr>
        <w:pStyle w:val="P68B1DB1-LegalNumPar212"/>
        <w:jc w:val="both"/>
        <w:rPr>
          <w:noProof/>
        </w:rPr>
      </w:pPr>
      <w:r>
        <w:rPr>
          <w:noProof/>
        </w:rPr>
        <w:t>Požadavek, aby všechny podporované investice byly ekonomicky životaschopné</w:t>
      </w:r>
      <w:r>
        <w:rPr>
          <w:b/>
          <w:noProof/>
        </w:rPr>
        <w:t>.</w:t>
      </w:r>
    </w:p>
    <w:p w14:paraId="34240F61" w14:textId="77777777" w:rsidR="00515398" w:rsidRDefault="006711E6">
      <w:pPr>
        <w:pStyle w:val="P68B1DB1-LegalNumPar212"/>
        <w:jc w:val="both"/>
        <w:rPr>
          <w:noProof/>
        </w:rPr>
      </w:pPr>
      <w:r>
        <w:rPr>
          <w:noProof/>
        </w:rPr>
        <w:t>Požadavek, aby koneční příjemci nástroje neobdrželi podporu z jiných nástrojů Unie na pokrytí stejných nákladů.</w:t>
      </w:r>
    </w:p>
    <w:p w14:paraId="666EB9D4" w14:textId="7DC01114" w:rsidR="00515398" w:rsidRDefault="006711E6">
      <w:pPr>
        <w:pStyle w:val="P68B1DB1-LegalNumPar14"/>
        <w:jc w:val="both"/>
        <w:rPr>
          <w:rFonts w:ascii="Times New Roman" w:hAnsi="Times New Roman" w:cs="Times New Roman"/>
          <w:noProof/>
        </w:rPr>
      </w:pPr>
      <w:r>
        <w:rPr>
          <w:rFonts w:ascii="Times New Roman" w:hAnsi="Times New Roman" w:cs="Times New Roman"/>
          <w:noProof/>
        </w:rPr>
        <w:t>Částku, na kte</w:t>
      </w:r>
      <w:r>
        <w:rPr>
          <w:rFonts w:ascii="Times New Roman" w:hAnsi="Times New Roman" w:cs="Times New Roman"/>
          <w:noProof/>
        </w:rPr>
        <w:t xml:space="preserve">rou se vztahuje prováděcí dohoda, strukturu poplatků pro prováděcího partnera a finanční zprostředkovatele a </w:t>
      </w:r>
      <w:r>
        <w:rPr>
          <w:rFonts w:ascii="Times New Roman" w:eastAsia="Times New Roman" w:hAnsi="Times New Roman" w:cs="Times New Roman"/>
          <w:noProof/>
          <w:color w:val="000000" w:themeColor="text1"/>
        </w:rPr>
        <w:t>požadavek reinvestovat veškeré zpětné toky v souladu s investiční politikou facility, pokud nejsou použity na splácení úvěrů v rámci Nástroje pro o</w:t>
      </w:r>
      <w:r>
        <w:rPr>
          <w:rFonts w:ascii="Times New Roman" w:eastAsia="Times New Roman" w:hAnsi="Times New Roman" w:cs="Times New Roman"/>
          <w:noProof/>
          <w:color w:val="000000" w:themeColor="text1"/>
        </w:rPr>
        <w:t>živení a odolnost</w:t>
      </w:r>
      <w:r>
        <w:rPr>
          <w:rFonts w:ascii="Times New Roman" w:hAnsi="Times New Roman" w:cs="Times New Roman"/>
          <w:noProof/>
        </w:rPr>
        <w:t>.</w:t>
      </w:r>
    </w:p>
    <w:p w14:paraId="40DBDFB2" w14:textId="77777777" w:rsidR="00515398" w:rsidRDefault="006711E6">
      <w:pPr>
        <w:pStyle w:val="P68B1DB1-LegalNumPar13"/>
        <w:jc w:val="both"/>
        <w:rPr>
          <w:noProof/>
        </w:rPr>
      </w:pPr>
      <w:r>
        <w:rPr>
          <w:noProof/>
        </w:rPr>
        <w:t>Požadavky na monitorování, audit a kontrolu, včetně popisu postupů prováděcího partnera, které zajistí prevenci, odhalování a nápravu podvodů, korupce a střetů zájmů.</w:t>
      </w:r>
    </w:p>
    <w:p w14:paraId="4E2175CC" w14:textId="77777777" w:rsidR="00515398" w:rsidRDefault="006711E6">
      <w:pPr>
        <w:pStyle w:val="P68B1DB1-LegalNumPar13"/>
        <w:jc w:val="both"/>
        <w:rPr>
          <w:noProof/>
        </w:rPr>
      </w:pPr>
      <w:r>
        <w:rPr>
          <w:noProof/>
        </w:rPr>
        <w:t>Řecká rozvojová banka podepíše s finančními zprostředkovateli dohody o</w:t>
      </w:r>
      <w:r>
        <w:rPr>
          <w:noProof/>
        </w:rPr>
        <w:t xml:space="preserve"> financování v souladu s klíčovými požadavky, které budou poskytnuty jako příloha prováděcí dohody. Klíčové požadavky dohod o financování zahrnují všechny požadavky, na jejichž základě nástroj funguje, včetně: </w:t>
      </w:r>
    </w:p>
    <w:p w14:paraId="74B0ED8C" w14:textId="77777777" w:rsidR="00515398" w:rsidRDefault="006711E6">
      <w:pPr>
        <w:pStyle w:val="P68B1DB1-LegalNumPar212"/>
        <w:numPr>
          <w:ilvl w:val="1"/>
          <w:numId w:val="95"/>
        </w:numPr>
        <w:jc w:val="both"/>
        <w:rPr>
          <w:noProof/>
        </w:rPr>
      </w:pPr>
      <w:r>
        <w:rPr>
          <w:noProof/>
        </w:rPr>
        <w:t xml:space="preserve">Konečné rozhodnutí o emisích úvěrů přijímají </w:t>
      </w:r>
      <w:r>
        <w:rPr>
          <w:noProof/>
        </w:rPr>
        <w:t>finanční zprostředkovatelé v souladu se svými politikami a postupy nezávisle na vládě.</w:t>
      </w:r>
    </w:p>
    <w:p w14:paraId="4295F6EA" w14:textId="77777777" w:rsidR="00515398" w:rsidRDefault="006711E6">
      <w:pPr>
        <w:pStyle w:val="P68B1DB1-LegalNumPar212"/>
        <w:numPr>
          <w:ilvl w:val="1"/>
          <w:numId w:val="95"/>
        </w:numPr>
        <w:jc w:val="both"/>
        <w:rPr>
          <w:noProof/>
        </w:rPr>
      </w:pPr>
      <w:r>
        <w:rPr>
          <w:noProof/>
        </w:rPr>
        <w:t xml:space="preserve">Povinnost finančních zprostředkovatelů přijímat rozhodnutí </w:t>
      </w:r>
      <w:r>
        <w:rPr>
          <w:i/>
          <w:noProof/>
        </w:rPr>
        <w:t>obdobně</w:t>
      </w:r>
      <w:r>
        <w:rPr>
          <w:noProof/>
        </w:rPr>
        <w:t xml:space="preserve"> v souladu s výše uvedenými požadavky investiční politiky. </w:t>
      </w:r>
    </w:p>
    <w:p w14:paraId="0E2E4DF2" w14:textId="2AD00BEB" w:rsidR="00515398" w:rsidRDefault="006711E6">
      <w:pPr>
        <w:pStyle w:val="P68B1DB1-LegalNumPar212"/>
        <w:numPr>
          <w:ilvl w:val="1"/>
          <w:numId w:val="95"/>
        </w:numPr>
        <w:jc w:val="both"/>
        <w:rPr>
          <w:noProof/>
        </w:rPr>
      </w:pPr>
      <w:r>
        <w:rPr>
          <w:noProof/>
        </w:rPr>
        <w:t>Požadavky na monitorování, audit a kontrolu</w:t>
      </w:r>
      <w:r>
        <w:rPr>
          <w:noProof/>
        </w:rPr>
        <w:t xml:space="preserve"> finančních zprostředkovatelů, včetně:</w:t>
      </w:r>
    </w:p>
    <w:p w14:paraId="2170F5B6" w14:textId="77777777" w:rsidR="00515398" w:rsidRDefault="006711E6">
      <w:pPr>
        <w:pStyle w:val="P68B1DB1-LegalNumPar212"/>
        <w:numPr>
          <w:ilvl w:val="2"/>
          <w:numId w:val="96"/>
        </w:numPr>
        <w:jc w:val="both"/>
        <w:rPr>
          <w:noProof/>
        </w:rPr>
      </w:pPr>
      <w:r>
        <w:rPr>
          <w:noProof/>
        </w:rPr>
        <w:t>Popis monitorovacího systému finančních zprostředkovatelů pro podávání zpráv o mobilizovaných investicích.</w:t>
      </w:r>
    </w:p>
    <w:p w14:paraId="058F14D2" w14:textId="77777777" w:rsidR="00515398" w:rsidRDefault="006711E6">
      <w:pPr>
        <w:pStyle w:val="P68B1DB1-LegalNumPar212"/>
        <w:numPr>
          <w:ilvl w:val="2"/>
          <w:numId w:val="96"/>
        </w:numPr>
        <w:jc w:val="both"/>
        <w:rPr>
          <w:noProof/>
        </w:rPr>
      </w:pPr>
      <w:r>
        <w:rPr>
          <w:noProof/>
        </w:rPr>
        <w:t>Popis postupů finančních zprostředkovatelů, které zajistí prevenci, odhalování a nápravu podvodů, korupce a st</w:t>
      </w:r>
      <w:r>
        <w:rPr>
          <w:noProof/>
        </w:rPr>
        <w:t xml:space="preserve">řetů zájmů. </w:t>
      </w:r>
    </w:p>
    <w:p w14:paraId="5D1E7DA0" w14:textId="7C78B06A" w:rsidR="00515398" w:rsidRDefault="006711E6">
      <w:pPr>
        <w:pStyle w:val="P68B1DB1-LegalNumPar212"/>
        <w:numPr>
          <w:ilvl w:val="2"/>
          <w:numId w:val="96"/>
        </w:numPr>
        <w:jc w:val="both"/>
        <w:rPr>
          <w:noProof/>
        </w:rPr>
      </w:pPr>
      <w:r>
        <w:rPr>
          <w:noProof/>
        </w:rPr>
        <w:t>Povinnost ověřit způsobilost každé operace v souladu s požadavky stanovenými v prováděcí dohodě před přijetím závazku k financování operace.</w:t>
      </w:r>
    </w:p>
    <w:p w14:paraId="75C64BF2" w14:textId="78D65B98" w:rsidR="00515398" w:rsidRDefault="006711E6">
      <w:pPr>
        <w:pStyle w:val="P68B1DB1-LegalNumPar212"/>
        <w:numPr>
          <w:ilvl w:val="2"/>
          <w:numId w:val="96"/>
        </w:numPr>
        <w:jc w:val="both"/>
        <w:rPr>
          <w:noProof/>
        </w:rPr>
      </w:pPr>
      <w:r>
        <w:rPr>
          <w:noProof/>
        </w:rPr>
        <w:t>Povinnost provádět audity ex post založené na posouzení rizik v souladu s plánem auditů finančních zpr</w:t>
      </w:r>
      <w:r>
        <w:rPr>
          <w:noProof/>
        </w:rPr>
        <w:t>ostředkovatelů. Tyto audity ověří: i) účinnost kontrolních systémů, včetně odhalování podvodů, korupce a střetu zájmů; II) dodržování požadavků na klimatické cíle; a iii) dodržení požadavku, aby koneční příjemci nástroje neobdrželi na pokrytí stejných nákl</w:t>
      </w:r>
      <w:r>
        <w:rPr>
          <w:noProof/>
        </w:rPr>
        <w:t xml:space="preserve">adů podporu z jiných nástrojů Unie. Audity rovněž ověří zákonnost transakcí a dodržování podmínek platných dohod. </w:t>
      </w:r>
    </w:p>
    <w:p w14:paraId="5284CC3B" w14:textId="77777777" w:rsidR="00515398" w:rsidRDefault="006711E6">
      <w:pPr>
        <w:pStyle w:val="NormalWeb"/>
        <w:rPr>
          <w:rFonts w:eastAsiaTheme="minorHAnsi"/>
          <w:noProof/>
        </w:rPr>
      </w:pPr>
      <w:r>
        <w:rPr>
          <w:noProof/>
        </w:rPr>
        <w:br w:type="page"/>
      </w:r>
    </w:p>
    <w:p w14:paraId="72F33F75" w14:textId="77777777" w:rsidR="00515398" w:rsidRDefault="00515398">
      <w:pPr>
        <w:pStyle w:val="LegalNumPar2"/>
        <w:numPr>
          <w:ilvl w:val="0"/>
          <w:numId w:val="0"/>
        </w:numPr>
        <w:ind w:left="1069"/>
        <w:jc w:val="both"/>
        <w:rPr>
          <w:rFonts w:ascii="Times New Roman" w:hAnsi="Times New Roman" w:cs="Times New Roman"/>
          <w:noProof/>
          <w:sz w:val="24"/>
          <w:szCs w:val="24"/>
        </w:rPr>
      </w:pPr>
    </w:p>
    <w:p w14:paraId="535C8789" w14:textId="77777777" w:rsidR="00515398" w:rsidRDefault="006711E6">
      <w:pPr>
        <w:pStyle w:val="LegalNumPar"/>
        <w:jc w:val="both"/>
        <w:rPr>
          <w:rFonts w:ascii="Times New Roman" w:hAnsi="Times New Roman" w:cs="Times New Roman"/>
          <w:noProof/>
          <w:sz w:val="24"/>
          <w:szCs w:val="24"/>
        </w:rPr>
      </w:pPr>
      <w:r>
        <w:rPr>
          <w:rStyle w:val="normaltextrun"/>
          <w:rFonts w:ascii="Times New Roman" w:hAnsi="Times New Roman" w:cs="Times New Roman"/>
          <w:noProof/>
          <w:sz w:val="24"/>
          <w:szCs w:val="24"/>
        </w:rPr>
        <w:t>Požadavky na investice v oblasti klimatu prováděné prováděcím partnerem: nejméně 120 milionů EUR z investice z Nástroje pro oživení a odol</w:t>
      </w:r>
      <w:r>
        <w:rPr>
          <w:rStyle w:val="normaltextrun"/>
          <w:rFonts w:ascii="Times New Roman" w:hAnsi="Times New Roman" w:cs="Times New Roman"/>
          <w:noProof/>
          <w:sz w:val="24"/>
          <w:szCs w:val="24"/>
        </w:rPr>
        <w:t>nost do nástroje „Můj domov“ přispěje k cílům v oblasti změny klimatu v souladu s přílohou VI nařízení o Nástroji pro oživení a odolnost</w:t>
      </w:r>
      <w:r>
        <w:rPr>
          <w:rStyle w:val="FootnoteReference"/>
          <w:rFonts w:ascii="Times New Roman" w:hAnsi="Times New Roman" w:cs="Times New Roman"/>
          <w:noProof/>
          <w:szCs w:val="24"/>
        </w:rPr>
        <w:footnoteReference w:id="6"/>
      </w:r>
      <w:r>
        <w:rPr>
          <w:rFonts w:ascii="Times New Roman" w:hAnsi="Times New Roman" w:cs="Times New Roman"/>
          <w:noProof/>
          <w:sz w:val="24"/>
          <w:szCs w:val="24"/>
        </w:rPr>
        <w:t>.</w:t>
      </w:r>
    </w:p>
    <w:p w14:paraId="5D6A2C48" w14:textId="1FC88018" w:rsidR="00515398" w:rsidRDefault="006711E6">
      <w:pPr>
        <w:pStyle w:val="P68B1DB1-Normal15"/>
        <w:spacing w:before="120" w:after="120" w:line="240" w:lineRule="auto"/>
        <w:jc w:val="both"/>
        <w:rPr>
          <w:b/>
          <w:noProof/>
        </w:rPr>
      </w:pPr>
      <w:r>
        <w:rPr>
          <w:noProof/>
        </w:rPr>
        <w:t>Provádění opatření bude dokončeno do 31. srpna 2026.</w:t>
      </w:r>
    </w:p>
    <w:p w14:paraId="2DE3A534" w14:textId="77777777" w:rsidR="00515398" w:rsidRDefault="00515398">
      <w:pPr>
        <w:spacing w:after="160" w:line="259" w:lineRule="auto"/>
        <w:ind w:left="709"/>
        <w:contextualSpacing/>
        <w:jc w:val="both"/>
        <w:rPr>
          <w:noProof/>
        </w:rPr>
      </w:pPr>
    </w:p>
    <w:p w14:paraId="0CEC766F" w14:textId="77777777" w:rsidR="00515398" w:rsidRDefault="00515398">
      <w:pPr>
        <w:spacing w:after="160" w:line="259" w:lineRule="auto"/>
        <w:ind w:left="709"/>
        <w:contextualSpacing/>
        <w:jc w:val="both"/>
        <w:rPr>
          <w:noProof/>
        </w:rPr>
        <w:sectPr w:rsidR="00515398" w:rsidSect="008A4085">
          <w:headerReference w:type="even" r:id="rId55"/>
          <w:headerReference w:type="default" r:id="rId56"/>
          <w:footerReference w:type="even" r:id="rId57"/>
          <w:footerReference w:type="default" r:id="rId58"/>
          <w:headerReference w:type="first" r:id="rId59"/>
          <w:footerReference w:type="first" r:id="rId60"/>
          <w:pgSz w:w="11907" w:h="16839"/>
          <w:pgMar w:top="1134" w:right="1417" w:bottom="1134" w:left="1417" w:header="709" w:footer="326" w:gutter="0"/>
          <w:cols w:space="720"/>
          <w:docGrid w:linePitch="360"/>
        </w:sectPr>
      </w:pPr>
    </w:p>
    <w:p w14:paraId="66882FAD"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B.4. </w:t>
      </w:r>
      <w:r>
        <w:rPr>
          <w:noProof/>
        </w:rPr>
        <w:t xml:space="preserve"> </w:t>
      </w:r>
      <w:r>
        <w:rPr>
          <w:rFonts w:ascii="Times New Roman" w:hAnsi="Times New Roman"/>
          <w:b/>
          <w:noProof/>
          <w:sz w:val="24"/>
          <w:u w:val="single"/>
        </w:rPr>
        <w:t xml:space="preserve">Milníky, cíle, ukazatele a harmonogram monitorování a provádění půjčky </w:t>
      </w:r>
    </w:p>
    <w:p w14:paraId="1199F843" w14:textId="77777777" w:rsidR="00515398" w:rsidRDefault="006711E6">
      <w:pPr>
        <w:pStyle w:val="P68B1DB1-Normal6"/>
        <w:keepNext/>
        <w:keepLines/>
        <w:spacing w:before="40" w:after="240" w:line="240" w:lineRule="auto"/>
        <w:jc w:val="both"/>
        <w:outlineLvl w:val="4"/>
        <w:rPr>
          <w:rFonts w:eastAsia="Times New Roman"/>
          <w:noProof/>
        </w:rPr>
      </w:pPr>
      <w:r>
        <w:rPr>
          <w:noProof/>
        </w:rPr>
        <w:t>Program modernizace energetiky „Zlepšování mého domova“ (16401)</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134"/>
        <w:gridCol w:w="1276"/>
        <w:gridCol w:w="1278"/>
        <w:gridCol w:w="1200"/>
        <w:gridCol w:w="1080"/>
        <w:gridCol w:w="720"/>
        <w:gridCol w:w="960"/>
        <w:gridCol w:w="840"/>
        <w:gridCol w:w="4848"/>
      </w:tblGrid>
      <w:tr w:rsidR="00515398" w14:paraId="145C01A9" w14:textId="77777777">
        <w:trPr>
          <w:trHeight w:val="810"/>
          <w:tblHeader/>
          <w:jc w:val="center"/>
        </w:trPr>
        <w:tc>
          <w:tcPr>
            <w:tcW w:w="988" w:type="dxa"/>
            <w:vMerge w:val="restart"/>
            <w:shd w:val="clear" w:color="auto" w:fill="BDD7EE"/>
            <w:vAlign w:val="center"/>
            <w:hideMark/>
          </w:tcPr>
          <w:p w14:paraId="5AD5D1D8" w14:textId="65A163C4" w:rsidR="00515398" w:rsidRDefault="006711E6">
            <w:pPr>
              <w:pStyle w:val="P68B1DB1-Normal16"/>
              <w:spacing w:after="0" w:line="240" w:lineRule="auto"/>
              <w:jc w:val="center"/>
              <w:rPr>
                <w:rFonts w:eastAsia="Times New Roman" w:cs="Times New Roman"/>
                <w:noProof/>
                <w:szCs w:val="20"/>
              </w:rPr>
            </w:pPr>
            <w:r>
              <w:rPr>
                <w:noProof/>
              </w:rPr>
              <w:t>Poř. Č.</w:t>
            </w:r>
          </w:p>
        </w:tc>
        <w:tc>
          <w:tcPr>
            <w:tcW w:w="1559" w:type="dxa"/>
            <w:vMerge w:val="restart"/>
            <w:shd w:val="clear" w:color="auto" w:fill="BDD7EE"/>
            <w:vAlign w:val="center"/>
            <w:hideMark/>
          </w:tcPr>
          <w:p w14:paraId="57E02B73" w14:textId="77777777" w:rsidR="00515398" w:rsidRDefault="006711E6">
            <w:pPr>
              <w:pStyle w:val="P68B1DB1-Normal16"/>
              <w:spacing w:after="0" w:line="240" w:lineRule="auto"/>
              <w:jc w:val="center"/>
              <w:rPr>
                <w:rFonts w:eastAsia="Times New Roman" w:cs="Times New Roman"/>
                <w:noProof/>
                <w:szCs w:val="20"/>
              </w:rPr>
            </w:pPr>
            <w:r>
              <w:rPr>
                <w:noProof/>
              </w:rPr>
              <w:t>Související opatření (reforma nebo investice)</w:t>
            </w:r>
          </w:p>
        </w:tc>
        <w:tc>
          <w:tcPr>
            <w:tcW w:w="1134" w:type="dxa"/>
            <w:vMerge w:val="restart"/>
            <w:shd w:val="clear" w:color="auto" w:fill="BDD7EE"/>
            <w:vAlign w:val="center"/>
            <w:hideMark/>
          </w:tcPr>
          <w:p w14:paraId="4DEFCEC4" w14:textId="77777777" w:rsidR="00515398" w:rsidRDefault="006711E6">
            <w:pPr>
              <w:pStyle w:val="P68B1DB1-Normal16"/>
              <w:spacing w:after="0" w:line="240" w:lineRule="auto"/>
              <w:jc w:val="center"/>
              <w:rPr>
                <w:rFonts w:eastAsia="Times New Roman" w:cs="Times New Roman"/>
                <w:noProof/>
                <w:szCs w:val="20"/>
              </w:rPr>
            </w:pPr>
            <w:r>
              <w:rPr>
                <w:noProof/>
              </w:rPr>
              <w:t>Milník/cíl</w:t>
            </w:r>
          </w:p>
        </w:tc>
        <w:tc>
          <w:tcPr>
            <w:tcW w:w="1276" w:type="dxa"/>
            <w:vMerge w:val="restart"/>
            <w:shd w:val="clear" w:color="auto" w:fill="BDD7EE"/>
            <w:vAlign w:val="center"/>
            <w:hideMark/>
          </w:tcPr>
          <w:p w14:paraId="03DC15F1" w14:textId="77777777" w:rsidR="00515398" w:rsidRDefault="006711E6">
            <w:pPr>
              <w:pStyle w:val="P68B1DB1-Normal16"/>
              <w:spacing w:after="0" w:line="240" w:lineRule="auto"/>
              <w:jc w:val="center"/>
              <w:rPr>
                <w:rFonts w:eastAsia="Times New Roman" w:cs="Times New Roman"/>
                <w:noProof/>
                <w:szCs w:val="20"/>
              </w:rPr>
            </w:pPr>
            <w:r>
              <w:rPr>
                <w:noProof/>
              </w:rPr>
              <w:t>Jméno</w:t>
            </w:r>
          </w:p>
        </w:tc>
        <w:tc>
          <w:tcPr>
            <w:tcW w:w="1278" w:type="dxa"/>
            <w:vMerge w:val="restart"/>
            <w:shd w:val="clear" w:color="auto" w:fill="BDD7EE"/>
            <w:vAlign w:val="center"/>
            <w:hideMark/>
          </w:tcPr>
          <w:p w14:paraId="2D425EC5" w14:textId="77777777" w:rsidR="00515398" w:rsidRDefault="006711E6">
            <w:pPr>
              <w:pStyle w:val="P68B1DB1-Normal16"/>
              <w:spacing w:after="0" w:line="240" w:lineRule="auto"/>
              <w:jc w:val="center"/>
              <w:rPr>
                <w:rFonts w:eastAsia="Times New Roman" w:cs="Times New Roman"/>
                <w:noProof/>
                <w:szCs w:val="20"/>
              </w:rPr>
            </w:pPr>
            <w:r>
              <w:rPr>
                <w:noProof/>
              </w:rPr>
              <w:t>Kvalitativní ukazatele (pro milníky)</w:t>
            </w:r>
          </w:p>
        </w:tc>
        <w:tc>
          <w:tcPr>
            <w:tcW w:w="3000" w:type="dxa"/>
            <w:gridSpan w:val="3"/>
            <w:shd w:val="clear" w:color="auto" w:fill="BDD7EE"/>
            <w:vAlign w:val="center"/>
            <w:hideMark/>
          </w:tcPr>
          <w:p w14:paraId="663A8973" w14:textId="77777777" w:rsidR="00515398" w:rsidRDefault="006711E6">
            <w:pPr>
              <w:pStyle w:val="P68B1DB1-Normal16"/>
              <w:spacing w:after="0" w:line="240" w:lineRule="auto"/>
              <w:jc w:val="center"/>
              <w:rPr>
                <w:rFonts w:eastAsia="Times New Roman" w:cs="Times New Roman"/>
                <w:noProof/>
                <w:szCs w:val="20"/>
              </w:rPr>
            </w:pPr>
            <w:r>
              <w:rPr>
                <w:noProof/>
              </w:rPr>
              <w:t>Kvantitativní ukazatele (pro cíle)</w:t>
            </w:r>
          </w:p>
        </w:tc>
        <w:tc>
          <w:tcPr>
            <w:tcW w:w="1800" w:type="dxa"/>
            <w:gridSpan w:val="2"/>
            <w:shd w:val="clear" w:color="auto" w:fill="BDD7EE"/>
            <w:vAlign w:val="center"/>
            <w:hideMark/>
          </w:tcPr>
          <w:p w14:paraId="6EB7F178" w14:textId="77777777" w:rsidR="00515398" w:rsidRDefault="006711E6">
            <w:pPr>
              <w:pStyle w:val="P68B1DB1-Normal16"/>
              <w:spacing w:after="0" w:line="240" w:lineRule="auto"/>
              <w:jc w:val="center"/>
              <w:rPr>
                <w:rFonts w:eastAsia="Times New Roman" w:cs="Times New Roman"/>
                <w:noProof/>
                <w:szCs w:val="20"/>
              </w:rPr>
            </w:pPr>
            <w:r>
              <w:rPr>
                <w:noProof/>
              </w:rPr>
              <w:t>Orientační harmonogram pro dokončení</w:t>
            </w:r>
          </w:p>
        </w:tc>
        <w:tc>
          <w:tcPr>
            <w:tcW w:w="4848" w:type="dxa"/>
            <w:vMerge w:val="restart"/>
            <w:shd w:val="clear" w:color="auto" w:fill="BDD7EE"/>
            <w:vAlign w:val="center"/>
            <w:hideMark/>
          </w:tcPr>
          <w:p w14:paraId="21B769A1" w14:textId="77777777" w:rsidR="00515398" w:rsidRDefault="006711E6">
            <w:pPr>
              <w:pStyle w:val="P68B1DB1-Normal16"/>
              <w:spacing w:after="0" w:line="240" w:lineRule="auto"/>
              <w:jc w:val="center"/>
              <w:rPr>
                <w:rFonts w:eastAsia="Times New Roman" w:cs="Times New Roman"/>
                <w:noProof/>
                <w:szCs w:val="20"/>
              </w:rPr>
            </w:pPr>
            <w:r>
              <w:rPr>
                <w:noProof/>
              </w:rPr>
              <w:t>Popis každého milníku a cíle</w:t>
            </w:r>
          </w:p>
        </w:tc>
      </w:tr>
      <w:tr w:rsidR="00515398" w14:paraId="2392B254" w14:textId="77777777">
        <w:trPr>
          <w:trHeight w:val="581"/>
          <w:tblHeader/>
          <w:jc w:val="center"/>
        </w:trPr>
        <w:tc>
          <w:tcPr>
            <w:tcW w:w="988" w:type="dxa"/>
            <w:vMerge/>
            <w:vAlign w:val="center"/>
            <w:hideMark/>
          </w:tcPr>
          <w:p w14:paraId="28B85E67" w14:textId="77777777" w:rsidR="00515398" w:rsidRDefault="00515398">
            <w:pPr>
              <w:spacing w:after="0" w:line="240" w:lineRule="auto"/>
              <w:rPr>
                <w:rFonts w:ascii="Times New Roman" w:eastAsia="Times New Roman" w:hAnsi="Times New Roman" w:cs="Times New Roman"/>
                <w:b/>
                <w:bCs/>
                <w:noProof/>
                <w:sz w:val="24"/>
                <w:szCs w:val="24"/>
              </w:rPr>
            </w:pPr>
          </w:p>
        </w:tc>
        <w:tc>
          <w:tcPr>
            <w:tcW w:w="1559" w:type="dxa"/>
            <w:vMerge/>
            <w:vAlign w:val="center"/>
            <w:hideMark/>
          </w:tcPr>
          <w:p w14:paraId="440A5D20" w14:textId="77777777" w:rsidR="00515398" w:rsidRDefault="00515398">
            <w:pPr>
              <w:spacing w:after="0" w:line="240" w:lineRule="auto"/>
              <w:rPr>
                <w:rFonts w:ascii="Times New Roman" w:eastAsia="Times New Roman" w:hAnsi="Times New Roman" w:cs="Times New Roman"/>
                <w:b/>
                <w:bCs/>
                <w:noProof/>
                <w:sz w:val="24"/>
                <w:szCs w:val="24"/>
              </w:rPr>
            </w:pPr>
          </w:p>
        </w:tc>
        <w:tc>
          <w:tcPr>
            <w:tcW w:w="1134" w:type="dxa"/>
            <w:vMerge/>
            <w:vAlign w:val="center"/>
            <w:hideMark/>
          </w:tcPr>
          <w:p w14:paraId="5CA367F2" w14:textId="77777777" w:rsidR="00515398" w:rsidRDefault="00515398">
            <w:pPr>
              <w:spacing w:after="0" w:line="240" w:lineRule="auto"/>
              <w:rPr>
                <w:rFonts w:ascii="Times New Roman" w:eastAsia="Times New Roman" w:hAnsi="Times New Roman" w:cs="Times New Roman"/>
                <w:b/>
                <w:bCs/>
                <w:noProof/>
                <w:sz w:val="24"/>
                <w:szCs w:val="24"/>
              </w:rPr>
            </w:pPr>
          </w:p>
        </w:tc>
        <w:tc>
          <w:tcPr>
            <w:tcW w:w="1276" w:type="dxa"/>
            <w:vMerge/>
            <w:vAlign w:val="center"/>
            <w:hideMark/>
          </w:tcPr>
          <w:p w14:paraId="03D78828" w14:textId="77777777" w:rsidR="00515398" w:rsidRDefault="00515398">
            <w:pPr>
              <w:spacing w:after="0" w:line="240" w:lineRule="auto"/>
              <w:rPr>
                <w:rFonts w:ascii="Times New Roman" w:eastAsia="Times New Roman" w:hAnsi="Times New Roman" w:cs="Times New Roman"/>
                <w:b/>
                <w:bCs/>
                <w:noProof/>
                <w:sz w:val="24"/>
                <w:szCs w:val="24"/>
              </w:rPr>
            </w:pPr>
          </w:p>
        </w:tc>
        <w:tc>
          <w:tcPr>
            <w:tcW w:w="1278" w:type="dxa"/>
            <w:vMerge/>
            <w:vAlign w:val="center"/>
            <w:hideMark/>
          </w:tcPr>
          <w:p w14:paraId="7E8F26D1" w14:textId="77777777" w:rsidR="00515398" w:rsidRDefault="00515398">
            <w:pPr>
              <w:spacing w:after="0" w:line="240" w:lineRule="auto"/>
              <w:rPr>
                <w:rFonts w:ascii="Times New Roman" w:eastAsia="Times New Roman" w:hAnsi="Times New Roman" w:cs="Times New Roman"/>
                <w:b/>
                <w:bCs/>
                <w:noProof/>
                <w:sz w:val="24"/>
                <w:szCs w:val="24"/>
              </w:rPr>
            </w:pPr>
          </w:p>
        </w:tc>
        <w:tc>
          <w:tcPr>
            <w:tcW w:w="1200" w:type="dxa"/>
            <w:shd w:val="clear" w:color="auto" w:fill="BDD7EE"/>
            <w:vAlign w:val="center"/>
            <w:hideMark/>
          </w:tcPr>
          <w:p w14:paraId="54D11A48"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1080" w:type="dxa"/>
            <w:shd w:val="clear" w:color="auto" w:fill="BDD7EE"/>
            <w:vAlign w:val="center"/>
            <w:hideMark/>
          </w:tcPr>
          <w:p w14:paraId="74EA2DD2" w14:textId="77777777" w:rsidR="00515398" w:rsidRDefault="006711E6">
            <w:pPr>
              <w:pStyle w:val="P68B1DB1-Normal7"/>
              <w:spacing w:after="0" w:line="240" w:lineRule="auto"/>
              <w:jc w:val="center"/>
              <w:rPr>
                <w:rFonts w:eastAsia="Times New Roman" w:cs="Times New Roman"/>
                <w:noProof/>
                <w:szCs w:val="18"/>
              </w:rPr>
            </w:pPr>
            <w:r>
              <w:rPr>
                <w:noProof/>
              </w:rPr>
              <w:t>Výchozí stav</w:t>
            </w:r>
          </w:p>
        </w:tc>
        <w:tc>
          <w:tcPr>
            <w:tcW w:w="720" w:type="dxa"/>
            <w:shd w:val="clear" w:color="auto" w:fill="BDD7EE"/>
            <w:vAlign w:val="center"/>
            <w:hideMark/>
          </w:tcPr>
          <w:p w14:paraId="56ECC02F" w14:textId="77777777" w:rsidR="00515398" w:rsidRDefault="006711E6">
            <w:pPr>
              <w:pStyle w:val="P68B1DB1-Normal7"/>
              <w:spacing w:after="0" w:line="240" w:lineRule="auto"/>
              <w:jc w:val="center"/>
              <w:rPr>
                <w:rFonts w:eastAsia="Times New Roman" w:cs="Times New Roman"/>
                <w:noProof/>
                <w:szCs w:val="18"/>
              </w:rPr>
            </w:pPr>
            <w:r>
              <w:rPr>
                <w:noProof/>
              </w:rPr>
              <w:t>Cíl</w:t>
            </w:r>
          </w:p>
        </w:tc>
        <w:tc>
          <w:tcPr>
            <w:tcW w:w="960" w:type="dxa"/>
            <w:shd w:val="clear" w:color="auto" w:fill="BDD7EE"/>
            <w:vAlign w:val="center"/>
            <w:hideMark/>
          </w:tcPr>
          <w:p w14:paraId="53959E52"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840" w:type="dxa"/>
            <w:shd w:val="clear" w:color="auto" w:fill="BDD7EE"/>
            <w:vAlign w:val="center"/>
            <w:hideMark/>
          </w:tcPr>
          <w:p w14:paraId="2DE78210"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4848" w:type="dxa"/>
            <w:vMerge/>
            <w:vAlign w:val="center"/>
            <w:hideMark/>
          </w:tcPr>
          <w:p w14:paraId="25756439" w14:textId="77777777" w:rsidR="00515398" w:rsidRDefault="00515398">
            <w:pPr>
              <w:spacing w:after="0" w:line="240" w:lineRule="auto"/>
              <w:rPr>
                <w:rFonts w:ascii="Times New Roman" w:eastAsia="Times New Roman" w:hAnsi="Times New Roman" w:cs="Times New Roman"/>
                <w:b/>
                <w:bCs/>
                <w:noProof/>
                <w:sz w:val="24"/>
                <w:szCs w:val="24"/>
              </w:rPr>
            </w:pPr>
          </w:p>
        </w:tc>
      </w:tr>
      <w:tr w:rsidR="00515398" w14:paraId="10359369" w14:textId="77777777">
        <w:trPr>
          <w:trHeight w:val="314"/>
          <w:jc w:val="center"/>
        </w:trPr>
        <w:tc>
          <w:tcPr>
            <w:tcW w:w="988" w:type="dxa"/>
            <w:shd w:val="clear" w:color="auto" w:fill="C6EFCE"/>
            <w:noWrap/>
          </w:tcPr>
          <w:p w14:paraId="1F80C8E6" w14:textId="5E4A209E" w:rsidR="00515398" w:rsidRDefault="006711E6">
            <w:pPr>
              <w:pStyle w:val="P68B1DB1-Normal9"/>
              <w:spacing w:after="0" w:line="240" w:lineRule="auto"/>
              <w:rPr>
                <w:rFonts w:eastAsia="Times New Roman" w:cs="Calibri"/>
                <w:noProof/>
              </w:rPr>
            </w:pPr>
            <w:r>
              <w:rPr>
                <w:noProof/>
              </w:rPr>
              <w:t>374</w:t>
            </w:r>
          </w:p>
        </w:tc>
        <w:tc>
          <w:tcPr>
            <w:tcW w:w="1559" w:type="dxa"/>
            <w:shd w:val="clear" w:color="auto" w:fill="C6EFCE"/>
            <w:noWrap/>
          </w:tcPr>
          <w:p w14:paraId="2AA7D175" w14:textId="77777777" w:rsidR="00515398" w:rsidRDefault="006711E6">
            <w:pPr>
              <w:pStyle w:val="P68B1DB1-Normal9"/>
              <w:spacing w:after="0" w:line="240" w:lineRule="auto"/>
              <w:rPr>
                <w:rFonts w:eastAsia="Times New Roman" w:cs="Calibri"/>
                <w:noProof/>
                <w:szCs w:val="18"/>
              </w:rPr>
            </w:pPr>
            <w:r>
              <w:rPr>
                <w:noProof/>
              </w:rPr>
              <w:t>2–1.2. Renovace – 16401_ Program modernizace energetiky „Zlepšování mého domova“</w:t>
            </w:r>
          </w:p>
        </w:tc>
        <w:tc>
          <w:tcPr>
            <w:tcW w:w="1134" w:type="dxa"/>
            <w:shd w:val="clear" w:color="auto" w:fill="C6EFCE"/>
            <w:noWrap/>
          </w:tcPr>
          <w:p w14:paraId="031B4E4C" w14:textId="77777777" w:rsidR="00515398" w:rsidRDefault="006711E6">
            <w:pPr>
              <w:pStyle w:val="P68B1DB1-Normal9"/>
              <w:spacing w:after="0" w:line="240" w:lineRule="auto"/>
              <w:rPr>
                <w:rFonts w:eastAsia="Times New Roman" w:cs="Calibri"/>
                <w:noProof/>
                <w:szCs w:val="18"/>
              </w:rPr>
            </w:pPr>
            <w:r>
              <w:rPr>
                <w:noProof/>
              </w:rPr>
              <w:t>Milník</w:t>
            </w:r>
          </w:p>
        </w:tc>
        <w:tc>
          <w:tcPr>
            <w:tcW w:w="1276" w:type="dxa"/>
            <w:shd w:val="clear" w:color="auto" w:fill="C6EFCE"/>
            <w:noWrap/>
          </w:tcPr>
          <w:p w14:paraId="49977673" w14:textId="5DC50762" w:rsidR="00515398" w:rsidRDefault="006711E6">
            <w:pPr>
              <w:pStyle w:val="P68B1DB1-Normal9"/>
              <w:spacing w:after="0" w:line="240" w:lineRule="auto"/>
              <w:rPr>
                <w:rFonts w:eastAsia="Times New Roman" w:cs="Calibri"/>
                <w:noProof/>
                <w:szCs w:val="18"/>
              </w:rPr>
            </w:pPr>
            <w:r>
              <w:rPr>
                <w:noProof/>
              </w:rPr>
              <w:t>Modernizace mého domova – prováděcí dohoda mezi řeckou rozvojovou bankou a ministerstvem financí</w:t>
            </w:r>
          </w:p>
        </w:tc>
        <w:tc>
          <w:tcPr>
            <w:tcW w:w="1278" w:type="dxa"/>
            <w:shd w:val="clear" w:color="auto" w:fill="C6EFCE"/>
            <w:noWrap/>
          </w:tcPr>
          <w:p w14:paraId="52A80680" w14:textId="789F176C" w:rsidR="00515398" w:rsidRDefault="006711E6">
            <w:pPr>
              <w:pStyle w:val="P68B1DB1-Normal9"/>
              <w:spacing w:after="0" w:line="240" w:lineRule="auto"/>
              <w:rPr>
                <w:noProof/>
              </w:rPr>
            </w:pPr>
            <w:r>
              <w:rPr>
                <w:noProof/>
              </w:rPr>
              <w:t>Vstup prováděcí dohody v platnost</w:t>
            </w:r>
          </w:p>
        </w:tc>
        <w:tc>
          <w:tcPr>
            <w:tcW w:w="1200" w:type="dxa"/>
            <w:shd w:val="clear" w:color="auto" w:fill="C6EFCE"/>
            <w:noWrap/>
          </w:tcPr>
          <w:p w14:paraId="130E3C7C" w14:textId="77777777" w:rsidR="00515398" w:rsidRDefault="00515398">
            <w:pPr>
              <w:spacing w:after="0" w:line="240" w:lineRule="auto"/>
              <w:rPr>
                <w:noProof/>
                <w:color w:val="006100"/>
                <w:sz w:val="18"/>
              </w:rPr>
            </w:pPr>
          </w:p>
        </w:tc>
        <w:tc>
          <w:tcPr>
            <w:tcW w:w="1080" w:type="dxa"/>
            <w:shd w:val="clear" w:color="auto" w:fill="C6EFCE"/>
            <w:noWrap/>
          </w:tcPr>
          <w:p w14:paraId="24332EAD" w14:textId="77777777" w:rsidR="00515398" w:rsidRDefault="00515398">
            <w:pPr>
              <w:spacing w:after="0" w:line="240" w:lineRule="auto"/>
              <w:rPr>
                <w:noProof/>
                <w:color w:val="006100"/>
                <w:sz w:val="18"/>
              </w:rPr>
            </w:pPr>
          </w:p>
        </w:tc>
        <w:tc>
          <w:tcPr>
            <w:tcW w:w="720" w:type="dxa"/>
            <w:shd w:val="clear" w:color="auto" w:fill="C6EFCE"/>
            <w:noWrap/>
          </w:tcPr>
          <w:p w14:paraId="5A925D37" w14:textId="77777777" w:rsidR="00515398" w:rsidRDefault="00515398">
            <w:pPr>
              <w:spacing w:after="0" w:line="240" w:lineRule="auto"/>
              <w:rPr>
                <w:noProof/>
                <w:color w:val="006100"/>
                <w:sz w:val="18"/>
              </w:rPr>
            </w:pPr>
          </w:p>
        </w:tc>
        <w:tc>
          <w:tcPr>
            <w:tcW w:w="960" w:type="dxa"/>
            <w:shd w:val="clear" w:color="auto" w:fill="C6EFCE"/>
            <w:noWrap/>
          </w:tcPr>
          <w:p w14:paraId="3C0EF3ED" w14:textId="77777777" w:rsidR="00515398" w:rsidRDefault="006711E6">
            <w:pPr>
              <w:pStyle w:val="P68B1DB1-Normal9"/>
              <w:spacing w:after="0" w:line="240" w:lineRule="auto"/>
              <w:rPr>
                <w:noProof/>
              </w:rPr>
            </w:pPr>
            <w:r>
              <w:rPr>
                <w:noProof/>
              </w:rPr>
              <w:t>ČTVRTLETÍ ČTVRT</w:t>
            </w:r>
          </w:p>
        </w:tc>
        <w:tc>
          <w:tcPr>
            <w:tcW w:w="840" w:type="dxa"/>
            <w:shd w:val="clear" w:color="auto" w:fill="C6EFCE"/>
            <w:noWrap/>
          </w:tcPr>
          <w:p w14:paraId="24B0A8FC" w14:textId="77777777" w:rsidR="00515398" w:rsidRDefault="006711E6">
            <w:pPr>
              <w:pStyle w:val="P68B1DB1-Normal9"/>
              <w:spacing w:after="0" w:line="240" w:lineRule="auto"/>
              <w:rPr>
                <w:noProof/>
              </w:rPr>
            </w:pPr>
            <w:r>
              <w:rPr>
                <w:noProof/>
              </w:rPr>
              <w:t>2024</w:t>
            </w:r>
          </w:p>
        </w:tc>
        <w:tc>
          <w:tcPr>
            <w:tcW w:w="4848" w:type="dxa"/>
            <w:shd w:val="clear" w:color="auto" w:fill="C6EFCE"/>
            <w:noWrap/>
          </w:tcPr>
          <w:p w14:paraId="284F95E1" w14:textId="4F21C0EE" w:rsidR="00515398" w:rsidRDefault="006711E6">
            <w:pPr>
              <w:pStyle w:val="P68B1DB1-Normal9"/>
              <w:spacing w:after="0" w:line="240" w:lineRule="auto"/>
              <w:rPr>
                <w:noProof/>
              </w:rPr>
            </w:pPr>
            <w:r>
              <w:rPr>
                <w:noProof/>
              </w:rPr>
              <w:t>Vstup prováděcí dohody v platnost.</w:t>
            </w:r>
          </w:p>
        </w:tc>
      </w:tr>
      <w:tr w:rsidR="00515398" w14:paraId="5F424647" w14:textId="77777777">
        <w:trPr>
          <w:trHeight w:val="314"/>
          <w:jc w:val="center"/>
        </w:trPr>
        <w:tc>
          <w:tcPr>
            <w:tcW w:w="988" w:type="dxa"/>
            <w:shd w:val="clear" w:color="auto" w:fill="C6EFCE"/>
            <w:noWrap/>
            <w:hideMark/>
          </w:tcPr>
          <w:p w14:paraId="28CE16B1" w14:textId="768DDE50" w:rsidR="00515398" w:rsidRDefault="006711E6">
            <w:pPr>
              <w:pStyle w:val="P68B1DB1-Normal9"/>
              <w:spacing w:after="0" w:line="240" w:lineRule="auto"/>
              <w:rPr>
                <w:noProof/>
              </w:rPr>
            </w:pPr>
            <w:r>
              <w:rPr>
                <w:noProof/>
              </w:rPr>
              <w:t>375</w:t>
            </w:r>
          </w:p>
        </w:tc>
        <w:tc>
          <w:tcPr>
            <w:tcW w:w="1559" w:type="dxa"/>
            <w:shd w:val="clear" w:color="auto" w:fill="C6EFCE"/>
            <w:noWrap/>
            <w:hideMark/>
          </w:tcPr>
          <w:p w14:paraId="054952FB" w14:textId="77777777" w:rsidR="00515398" w:rsidRDefault="006711E6">
            <w:pPr>
              <w:pStyle w:val="P68B1DB1-Normal9"/>
              <w:spacing w:after="0" w:line="240" w:lineRule="auto"/>
              <w:rPr>
                <w:rFonts w:eastAsia="Times New Roman" w:cs="Calibri"/>
                <w:noProof/>
                <w:szCs w:val="18"/>
              </w:rPr>
            </w:pPr>
            <w:r>
              <w:rPr>
                <w:noProof/>
              </w:rPr>
              <w:t xml:space="preserve">2–1.2. Renovace – 16401_ Program modernizace energetiky </w:t>
            </w:r>
            <w:r>
              <w:rPr>
                <w:noProof/>
              </w:rPr>
              <w:t>„Zlepšování mého domova“</w:t>
            </w:r>
          </w:p>
        </w:tc>
        <w:tc>
          <w:tcPr>
            <w:tcW w:w="1134" w:type="dxa"/>
            <w:shd w:val="clear" w:color="auto" w:fill="C6EFCE"/>
            <w:noWrap/>
          </w:tcPr>
          <w:p w14:paraId="69011004" w14:textId="77777777" w:rsidR="00515398" w:rsidRDefault="006711E6">
            <w:pPr>
              <w:pStyle w:val="P68B1DB1-Normal17"/>
              <w:spacing w:after="0" w:line="240" w:lineRule="auto"/>
              <w:rPr>
                <w:noProof/>
              </w:rPr>
            </w:pPr>
            <w:r>
              <w:rPr>
                <w:noProof/>
              </w:rPr>
              <w:t>Cílová</w:t>
            </w:r>
          </w:p>
        </w:tc>
        <w:tc>
          <w:tcPr>
            <w:tcW w:w="1276" w:type="dxa"/>
            <w:shd w:val="clear" w:color="auto" w:fill="C6EFCE"/>
            <w:noWrap/>
          </w:tcPr>
          <w:p w14:paraId="68D0696E" w14:textId="1771D1D3" w:rsidR="00515398" w:rsidRDefault="006711E6">
            <w:pPr>
              <w:pStyle w:val="P68B1DB1-Normal9"/>
              <w:spacing w:after="0" w:line="240" w:lineRule="auto"/>
              <w:rPr>
                <w:rFonts w:eastAsia="Times New Roman" w:cs="Calibri"/>
                <w:noProof/>
                <w:szCs w:val="18"/>
              </w:rPr>
            </w:pPr>
            <w:r>
              <w:rPr>
                <w:noProof/>
              </w:rPr>
              <w:t xml:space="preserve">Modernizace Můj domov – </w:t>
            </w:r>
            <w:r>
              <w:rPr>
                <w:rFonts w:eastAsia="Times New Roman" w:cs="Calibri"/>
                <w:noProof/>
                <w:szCs w:val="18"/>
              </w:rPr>
              <w:t>právní dohody podepsané s konečnými příjemci – 50 %</w:t>
            </w:r>
          </w:p>
        </w:tc>
        <w:tc>
          <w:tcPr>
            <w:tcW w:w="1278" w:type="dxa"/>
            <w:shd w:val="clear" w:color="auto" w:fill="C6EFCE"/>
            <w:noWrap/>
          </w:tcPr>
          <w:p w14:paraId="1E698418" w14:textId="77777777" w:rsidR="00515398" w:rsidRDefault="00515398">
            <w:pPr>
              <w:spacing w:after="0" w:line="240" w:lineRule="auto"/>
              <w:rPr>
                <w:rFonts w:eastAsia="Times New Roman" w:cs="Calibri"/>
                <w:noProof/>
                <w:color w:val="006100"/>
                <w:sz w:val="18"/>
                <w:szCs w:val="18"/>
              </w:rPr>
            </w:pPr>
          </w:p>
        </w:tc>
        <w:tc>
          <w:tcPr>
            <w:tcW w:w="1200" w:type="dxa"/>
            <w:shd w:val="clear" w:color="auto" w:fill="C6EFCE"/>
            <w:noWrap/>
          </w:tcPr>
          <w:p w14:paraId="50FD4C1B" w14:textId="77777777" w:rsidR="00515398" w:rsidRDefault="006711E6">
            <w:pPr>
              <w:pStyle w:val="P68B1DB1-Normal9"/>
              <w:spacing w:after="0" w:line="240" w:lineRule="auto"/>
              <w:rPr>
                <w:rFonts w:eastAsia="Times New Roman" w:cs="Calibri"/>
                <w:noProof/>
                <w:szCs w:val="18"/>
              </w:rPr>
            </w:pPr>
            <w:r>
              <w:rPr>
                <w:noProof/>
              </w:rPr>
              <w:t>Procentní podíl (%)</w:t>
            </w:r>
          </w:p>
        </w:tc>
        <w:tc>
          <w:tcPr>
            <w:tcW w:w="1080" w:type="dxa"/>
            <w:shd w:val="clear" w:color="auto" w:fill="C6EFCE"/>
            <w:noWrap/>
          </w:tcPr>
          <w:p w14:paraId="205D9B46" w14:textId="77777777" w:rsidR="00515398" w:rsidRDefault="006711E6">
            <w:pPr>
              <w:pStyle w:val="P68B1DB1-Normal9"/>
              <w:spacing w:after="0" w:line="240" w:lineRule="auto"/>
              <w:rPr>
                <w:rFonts w:eastAsia="Times New Roman" w:cs="Calibri"/>
                <w:noProof/>
                <w:szCs w:val="18"/>
              </w:rPr>
            </w:pPr>
            <w:r>
              <w:rPr>
                <w:noProof/>
              </w:rPr>
              <w:t>0 %</w:t>
            </w:r>
          </w:p>
        </w:tc>
        <w:tc>
          <w:tcPr>
            <w:tcW w:w="720" w:type="dxa"/>
            <w:shd w:val="clear" w:color="auto" w:fill="C6EFCE"/>
            <w:noWrap/>
          </w:tcPr>
          <w:p w14:paraId="421AA2BF" w14:textId="77777777" w:rsidR="00515398" w:rsidRDefault="006711E6">
            <w:pPr>
              <w:pStyle w:val="P68B1DB1-Normal9"/>
              <w:spacing w:after="0" w:line="240" w:lineRule="auto"/>
              <w:rPr>
                <w:rFonts w:eastAsia="Times New Roman" w:cs="Calibri"/>
                <w:noProof/>
                <w:szCs w:val="18"/>
              </w:rPr>
            </w:pPr>
            <w:r>
              <w:rPr>
                <w:noProof/>
              </w:rPr>
              <w:t>50 %</w:t>
            </w:r>
          </w:p>
        </w:tc>
        <w:tc>
          <w:tcPr>
            <w:tcW w:w="960" w:type="dxa"/>
            <w:shd w:val="clear" w:color="auto" w:fill="C6EFCE"/>
            <w:noWrap/>
          </w:tcPr>
          <w:p w14:paraId="12E25CD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shd w:val="clear" w:color="auto" w:fill="C6EFCE"/>
            <w:noWrap/>
          </w:tcPr>
          <w:p w14:paraId="110F9931" w14:textId="77777777" w:rsidR="00515398" w:rsidRDefault="006711E6">
            <w:pPr>
              <w:pStyle w:val="P68B1DB1-Normal9"/>
              <w:spacing w:after="0" w:line="240" w:lineRule="auto"/>
              <w:rPr>
                <w:rFonts w:eastAsia="Times New Roman" w:cs="Calibri"/>
                <w:noProof/>
                <w:szCs w:val="18"/>
              </w:rPr>
            </w:pPr>
            <w:r>
              <w:rPr>
                <w:noProof/>
              </w:rPr>
              <w:t>2025</w:t>
            </w:r>
          </w:p>
        </w:tc>
        <w:tc>
          <w:tcPr>
            <w:tcW w:w="4848" w:type="dxa"/>
            <w:shd w:val="clear" w:color="auto" w:fill="C6EFCE"/>
            <w:noWrap/>
          </w:tcPr>
          <w:p w14:paraId="1E74A96C" w14:textId="0A1E401F" w:rsidR="00515398" w:rsidRDefault="006711E6">
            <w:pPr>
              <w:pStyle w:val="P68B1DB1-Normal9"/>
              <w:spacing w:line="240" w:lineRule="auto"/>
              <w:jc w:val="both"/>
              <w:rPr>
                <w:noProof/>
              </w:rPr>
            </w:pPr>
            <w:r>
              <w:rPr>
                <w:noProof/>
              </w:rPr>
              <w:t>Finanční zprostředkovatelé uzavřou s konečnými příjemci právní dohody o financování na</w:t>
            </w:r>
            <w:r>
              <w:rPr>
                <w:noProof/>
              </w:rPr>
              <w:t xml:space="preserve"> částku nezbytnou k použití alespoň 50 % investic Nástroje pro oživení a odolnost do tohoto nástroje (s přihlédnutím k poplatkům za správu).</w:t>
            </w:r>
          </w:p>
          <w:p w14:paraId="7C9445AF" w14:textId="77777777" w:rsidR="00515398" w:rsidRDefault="006711E6">
            <w:pPr>
              <w:pStyle w:val="P68B1DB1-Normal9"/>
              <w:spacing w:after="0" w:line="240" w:lineRule="auto"/>
              <w:rPr>
                <w:rFonts w:eastAsia="Times New Roman" w:cs="Calibri"/>
                <w:noProof/>
                <w:szCs w:val="18"/>
              </w:rPr>
            </w:pPr>
            <w:r>
              <w:rPr>
                <w:noProof/>
              </w:rPr>
              <w:t>Řecká rozvojová banka vypracuje zprávu, v níž podrobně uvede procentní podíl tohoto financování, které přispívá k c</w:t>
            </w:r>
            <w:r>
              <w:rPr>
                <w:noProof/>
              </w:rPr>
              <w:t>ílům v oblasti klimatu, za použití metodiky uvedené v příloze VI nařízení o Nástroji pro oživení a odolnost.</w:t>
            </w:r>
          </w:p>
        </w:tc>
      </w:tr>
      <w:tr w:rsidR="00515398" w14:paraId="2B113F27" w14:textId="77777777">
        <w:trPr>
          <w:trHeight w:val="314"/>
          <w:jc w:val="center"/>
        </w:trPr>
        <w:tc>
          <w:tcPr>
            <w:tcW w:w="988" w:type="dxa"/>
            <w:shd w:val="clear" w:color="auto" w:fill="C6EFCE"/>
            <w:noWrap/>
          </w:tcPr>
          <w:p w14:paraId="0C8F0DCE" w14:textId="0C4DDC18" w:rsidR="00515398" w:rsidRDefault="006711E6">
            <w:pPr>
              <w:pStyle w:val="P68B1DB1-Normal9"/>
              <w:spacing w:after="0" w:line="240" w:lineRule="auto"/>
              <w:rPr>
                <w:noProof/>
              </w:rPr>
            </w:pPr>
            <w:r>
              <w:rPr>
                <w:noProof/>
              </w:rPr>
              <w:t>376</w:t>
            </w:r>
          </w:p>
        </w:tc>
        <w:tc>
          <w:tcPr>
            <w:tcW w:w="1559" w:type="dxa"/>
            <w:shd w:val="clear" w:color="auto" w:fill="C6EFCE"/>
            <w:noWrap/>
          </w:tcPr>
          <w:p w14:paraId="67113C8C" w14:textId="77777777" w:rsidR="00515398" w:rsidRDefault="006711E6">
            <w:pPr>
              <w:pStyle w:val="P68B1DB1-Normal9"/>
              <w:spacing w:after="0" w:line="240" w:lineRule="auto"/>
              <w:rPr>
                <w:noProof/>
              </w:rPr>
            </w:pPr>
            <w:r>
              <w:rPr>
                <w:noProof/>
              </w:rPr>
              <w:t>2–1.2. Renovace – 16401_ Program modernizace energetiky „Zlepšování mého domova“</w:t>
            </w:r>
          </w:p>
        </w:tc>
        <w:tc>
          <w:tcPr>
            <w:tcW w:w="1134" w:type="dxa"/>
            <w:shd w:val="clear" w:color="auto" w:fill="C6EFCE"/>
            <w:noWrap/>
          </w:tcPr>
          <w:p w14:paraId="1B4CC737" w14:textId="77777777" w:rsidR="00515398" w:rsidRDefault="006711E6">
            <w:pPr>
              <w:pStyle w:val="P68B1DB1-Normal17"/>
              <w:spacing w:after="0" w:line="240" w:lineRule="auto"/>
              <w:rPr>
                <w:noProof/>
              </w:rPr>
            </w:pPr>
            <w:r>
              <w:rPr>
                <w:noProof/>
              </w:rPr>
              <w:t>Cílová</w:t>
            </w:r>
          </w:p>
        </w:tc>
        <w:tc>
          <w:tcPr>
            <w:tcW w:w="1276" w:type="dxa"/>
            <w:shd w:val="clear" w:color="auto" w:fill="C6EFCE"/>
            <w:noWrap/>
          </w:tcPr>
          <w:p w14:paraId="6B834239" w14:textId="6BFEF24C" w:rsidR="00515398" w:rsidRDefault="006711E6">
            <w:pPr>
              <w:pStyle w:val="P68B1DB1-Normal9"/>
              <w:spacing w:after="0" w:line="240" w:lineRule="auto"/>
              <w:rPr>
                <w:rFonts w:eastAsia="Times New Roman" w:cs="Calibri"/>
                <w:noProof/>
                <w:szCs w:val="18"/>
              </w:rPr>
            </w:pPr>
            <w:r>
              <w:rPr>
                <w:noProof/>
              </w:rPr>
              <w:t xml:space="preserve">Modernizace Můj domov – </w:t>
            </w:r>
            <w:r>
              <w:rPr>
                <w:rFonts w:eastAsia="Times New Roman" w:cs="Calibri"/>
                <w:noProof/>
                <w:szCs w:val="18"/>
              </w:rPr>
              <w:t xml:space="preserve">právní dohody podepsané s </w:t>
            </w:r>
            <w:r>
              <w:rPr>
                <w:rFonts w:eastAsia="Times New Roman" w:cs="Calibri"/>
                <w:noProof/>
                <w:szCs w:val="18"/>
              </w:rPr>
              <w:t>konečnými příjemci – 100 %</w:t>
            </w:r>
          </w:p>
        </w:tc>
        <w:tc>
          <w:tcPr>
            <w:tcW w:w="1278" w:type="dxa"/>
            <w:shd w:val="clear" w:color="auto" w:fill="C6EFCE"/>
            <w:noWrap/>
          </w:tcPr>
          <w:p w14:paraId="25907C38" w14:textId="77777777" w:rsidR="00515398" w:rsidRDefault="00515398">
            <w:pPr>
              <w:spacing w:after="0" w:line="240" w:lineRule="auto"/>
              <w:rPr>
                <w:rFonts w:eastAsia="Times New Roman" w:cs="Calibri"/>
                <w:noProof/>
                <w:color w:val="006100"/>
                <w:sz w:val="18"/>
                <w:szCs w:val="18"/>
              </w:rPr>
            </w:pPr>
          </w:p>
        </w:tc>
        <w:tc>
          <w:tcPr>
            <w:tcW w:w="1200" w:type="dxa"/>
            <w:shd w:val="clear" w:color="auto" w:fill="C6EFCE"/>
            <w:noWrap/>
          </w:tcPr>
          <w:p w14:paraId="32FA3F65" w14:textId="77777777" w:rsidR="00515398" w:rsidRDefault="006711E6">
            <w:pPr>
              <w:pStyle w:val="P68B1DB1-Normal9"/>
              <w:spacing w:after="0" w:line="240" w:lineRule="auto"/>
              <w:rPr>
                <w:rFonts w:eastAsia="Times New Roman" w:cs="Calibri"/>
                <w:noProof/>
                <w:szCs w:val="18"/>
              </w:rPr>
            </w:pPr>
            <w:r>
              <w:rPr>
                <w:noProof/>
              </w:rPr>
              <w:t>Procentní podíl (%)</w:t>
            </w:r>
          </w:p>
        </w:tc>
        <w:tc>
          <w:tcPr>
            <w:tcW w:w="1080" w:type="dxa"/>
            <w:shd w:val="clear" w:color="auto" w:fill="C6EFCE"/>
            <w:noWrap/>
          </w:tcPr>
          <w:p w14:paraId="455ED15E" w14:textId="77777777" w:rsidR="00515398" w:rsidRDefault="006711E6">
            <w:pPr>
              <w:pStyle w:val="P68B1DB1-Normal9"/>
              <w:spacing w:after="0" w:line="240" w:lineRule="auto"/>
              <w:rPr>
                <w:rFonts w:eastAsia="Times New Roman" w:cs="Calibri"/>
                <w:noProof/>
                <w:szCs w:val="18"/>
              </w:rPr>
            </w:pPr>
            <w:r>
              <w:rPr>
                <w:noProof/>
              </w:rPr>
              <w:t>50 %</w:t>
            </w:r>
          </w:p>
        </w:tc>
        <w:tc>
          <w:tcPr>
            <w:tcW w:w="720" w:type="dxa"/>
            <w:shd w:val="clear" w:color="auto" w:fill="C6EFCE"/>
            <w:noWrap/>
          </w:tcPr>
          <w:p w14:paraId="6192EE85" w14:textId="77777777" w:rsidR="00515398" w:rsidRDefault="006711E6">
            <w:pPr>
              <w:pStyle w:val="P68B1DB1-Normal9"/>
              <w:spacing w:after="0" w:line="240" w:lineRule="auto"/>
              <w:rPr>
                <w:rFonts w:eastAsia="Times New Roman" w:cs="Calibri"/>
                <w:noProof/>
                <w:szCs w:val="18"/>
              </w:rPr>
            </w:pPr>
            <w:r>
              <w:rPr>
                <w:noProof/>
              </w:rPr>
              <w:t>100 %</w:t>
            </w:r>
          </w:p>
        </w:tc>
        <w:tc>
          <w:tcPr>
            <w:tcW w:w="960" w:type="dxa"/>
            <w:shd w:val="clear" w:color="auto" w:fill="C6EFCE"/>
            <w:noWrap/>
          </w:tcPr>
          <w:p w14:paraId="5CD54951"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shd w:val="clear" w:color="auto" w:fill="C6EFCE"/>
            <w:noWrap/>
          </w:tcPr>
          <w:p w14:paraId="7D6AA2EE" w14:textId="77777777" w:rsidR="00515398" w:rsidRDefault="006711E6">
            <w:pPr>
              <w:pStyle w:val="P68B1DB1-Normal9"/>
              <w:spacing w:after="0" w:line="240" w:lineRule="auto"/>
              <w:rPr>
                <w:rFonts w:eastAsia="Times New Roman" w:cs="Calibri"/>
                <w:noProof/>
                <w:szCs w:val="18"/>
              </w:rPr>
            </w:pPr>
            <w:r>
              <w:rPr>
                <w:noProof/>
              </w:rPr>
              <w:t>2026</w:t>
            </w:r>
          </w:p>
        </w:tc>
        <w:tc>
          <w:tcPr>
            <w:tcW w:w="4848" w:type="dxa"/>
            <w:shd w:val="clear" w:color="auto" w:fill="C6EFCE"/>
            <w:noWrap/>
          </w:tcPr>
          <w:p w14:paraId="7EF983FC" w14:textId="23317591" w:rsidR="00515398" w:rsidRDefault="006711E6">
            <w:pPr>
              <w:pStyle w:val="P68B1DB1-Normal9"/>
              <w:spacing w:line="240" w:lineRule="auto"/>
              <w:jc w:val="both"/>
              <w:rPr>
                <w:noProof/>
              </w:rPr>
            </w:pPr>
            <w:r>
              <w:rPr>
                <w:noProof/>
              </w:rPr>
              <w:t xml:space="preserve">Finanční zprostředkovatelé uzavřou s konečnými příjemci právní dohody o financování na částku nezbytnou k využití 100 % investic z Nástroje pro oživení a odolnost do tohoto nástroje </w:t>
            </w:r>
            <w:r>
              <w:rPr>
                <w:noProof/>
              </w:rPr>
              <w:t xml:space="preserve">(s přihlédnutím k poplatkům za správu). </w:t>
            </w:r>
          </w:p>
          <w:p w14:paraId="454960BE" w14:textId="77777777" w:rsidR="00515398" w:rsidRDefault="006711E6">
            <w:pPr>
              <w:pStyle w:val="P68B1DB1-Normal9"/>
              <w:spacing w:after="0" w:line="240" w:lineRule="auto"/>
              <w:rPr>
                <w:rFonts w:eastAsia="Times New Roman" w:cs="Calibri"/>
                <w:noProof/>
                <w:szCs w:val="18"/>
              </w:rPr>
            </w:pPr>
            <w:r>
              <w:rPr>
                <w:noProof/>
              </w:rPr>
              <w:t>Nejméně 40 % tohoto financování přispívá k cílům v oblasti klimatu za použití metodiky uvedené v příloze VI nařízení o Nástroji pro oživení a odolnost.</w:t>
            </w:r>
          </w:p>
        </w:tc>
      </w:tr>
      <w:tr w:rsidR="00515398" w14:paraId="22B0A746" w14:textId="77777777">
        <w:trPr>
          <w:trHeight w:val="314"/>
          <w:jc w:val="center"/>
        </w:trPr>
        <w:tc>
          <w:tcPr>
            <w:tcW w:w="988" w:type="dxa"/>
            <w:shd w:val="clear" w:color="auto" w:fill="C6EFCE"/>
            <w:noWrap/>
          </w:tcPr>
          <w:p w14:paraId="4FB084BF" w14:textId="2FCA7B8C" w:rsidR="00515398" w:rsidRDefault="006711E6">
            <w:pPr>
              <w:pStyle w:val="P68B1DB1-Normal9"/>
              <w:spacing w:after="0" w:line="240" w:lineRule="auto"/>
              <w:rPr>
                <w:rFonts w:eastAsia="Times New Roman" w:cs="Calibri"/>
                <w:noProof/>
              </w:rPr>
            </w:pPr>
            <w:r>
              <w:rPr>
                <w:noProof/>
              </w:rPr>
              <w:t>377</w:t>
            </w:r>
          </w:p>
        </w:tc>
        <w:tc>
          <w:tcPr>
            <w:tcW w:w="1559" w:type="dxa"/>
            <w:shd w:val="clear" w:color="auto" w:fill="C6EFCE"/>
            <w:noWrap/>
          </w:tcPr>
          <w:p w14:paraId="41E17B76" w14:textId="77777777" w:rsidR="00515398" w:rsidRDefault="006711E6">
            <w:pPr>
              <w:pStyle w:val="P68B1DB1-Normal9"/>
              <w:spacing w:after="0" w:line="240" w:lineRule="auto"/>
              <w:rPr>
                <w:noProof/>
              </w:rPr>
            </w:pPr>
            <w:r>
              <w:rPr>
                <w:noProof/>
              </w:rPr>
              <w:t xml:space="preserve">2–1.2. Renovace – 16401_ Program modernizace energetiky </w:t>
            </w:r>
            <w:r>
              <w:rPr>
                <w:noProof/>
              </w:rPr>
              <w:t>„Zlepšování mého domova“</w:t>
            </w:r>
          </w:p>
        </w:tc>
        <w:tc>
          <w:tcPr>
            <w:tcW w:w="1134" w:type="dxa"/>
            <w:shd w:val="clear" w:color="auto" w:fill="C6EFCE"/>
            <w:noWrap/>
          </w:tcPr>
          <w:p w14:paraId="024A432D" w14:textId="77777777" w:rsidR="00515398" w:rsidRDefault="006711E6">
            <w:pPr>
              <w:pStyle w:val="P68B1DB1-Normal9"/>
              <w:spacing w:after="0" w:line="240" w:lineRule="auto"/>
              <w:rPr>
                <w:rFonts w:eastAsia="Times New Roman" w:cs="Calibri"/>
                <w:noProof/>
                <w:szCs w:val="18"/>
              </w:rPr>
            </w:pPr>
            <w:r>
              <w:rPr>
                <w:noProof/>
              </w:rPr>
              <w:t>Milník</w:t>
            </w:r>
          </w:p>
        </w:tc>
        <w:tc>
          <w:tcPr>
            <w:tcW w:w="1276" w:type="dxa"/>
            <w:shd w:val="clear" w:color="auto" w:fill="C6EFCE"/>
            <w:noWrap/>
          </w:tcPr>
          <w:p w14:paraId="75FFB8A3" w14:textId="2E759667" w:rsidR="00515398" w:rsidRDefault="006711E6">
            <w:pPr>
              <w:pStyle w:val="P68B1DB1-Normal9"/>
              <w:spacing w:after="0" w:line="240" w:lineRule="auto"/>
              <w:rPr>
                <w:rFonts w:eastAsia="Times New Roman" w:cs="Calibri"/>
                <w:noProof/>
                <w:szCs w:val="18"/>
              </w:rPr>
            </w:pPr>
            <w:r>
              <w:rPr>
                <w:noProof/>
              </w:rPr>
              <w:t>Modernizace Můj domov – ministerstvo financí dokončilo investici</w:t>
            </w:r>
          </w:p>
        </w:tc>
        <w:tc>
          <w:tcPr>
            <w:tcW w:w="1278" w:type="dxa"/>
            <w:shd w:val="clear" w:color="auto" w:fill="C6EFCE"/>
            <w:noWrap/>
          </w:tcPr>
          <w:p w14:paraId="6E5B3442" w14:textId="77777777" w:rsidR="00515398" w:rsidRDefault="006711E6">
            <w:pPr>
              <w:pStyle w:val="P68B1DB1-Normal9"/>
              <w:spacing w:after="0" w:line="240" w:lineRule="auto"/>
              <w:rPr>
                <w:rFonts w:eastAsia="Times New Roman" w:cs="Calibri"/>
                <w:noProof/>
                <w:szCs w:val="18"/>
              </w:rPr>
            </w:pPr>
            <w:r>
              <w:rPr>
                <w:noProof/>
              </w:rPr>
              <w:t xml:space="preserve">Potvrzení o převodu </w:t>
            </w:r>
          </w:p>
        </w:tc>
        <w:tc>
          <w:tcPr>
            <w:tcW w:w="1200" w:type="dxa"/>
            <w:shd w:val="clear" w:color="auto" w:fill="C6EFCE"/>
            <w:noWrap/>
          </w:tcPr>
          <w:p w14:paraId="3BF0C03D" w14:textId="77777777" w:rsidR="00515398" w:rsidRDefault="00515398">
            <w:pPr>
              <w:spacing w:after="0" w:line="240" w:lineRule="auto"/>
              <w:rPr>
                <w:rFonts w:eastAsia="Times New Roman" w:cs="Calibri"/>
                <w:noProof/>
                <w:color w:val="006100"/>
                <w:sz w:val="18"/>
                <w:szCs w:val="18"/>
              </w:rPr>
            </w:pPr>
          </w:p>
        </w:tc>
        <w:tc>
          <w:tcPr>
            <w:tcW w:w="1080" w:type="dxa"/>
            <w:shd w:val="clear" w:color="auto" w:fill="C6EFCE"/>
            <w:noWrap/>
          </w:tcPr>
          <w:p w14:paraId="1E0BAC2B" w14:textId="77777777" w:rsidR="00515398" w:rsidRDefault="00515398">
            <w:pPr>
              <w:spacing w:after="0" w:line="240" w:lineRule="auto"/>
              <w:rPr>
                <w:rFonts w:eastAsia="Times New Roman" w:cs="Calibri"/>
                <w:noProof/>
                <w:color w:val="006100"/>
                <w:sz w:val="18"/>
                <w:szCs w:val="18"/>
              </w:rPr>
            </w:pPr>
          </w:p>
        </w:tc>
        <w:tc>
          <w:tcPr>
            <w:tcW w:w="720" w:type="dxa"/>
            <w:shd w:val="clear" w:color="auto" w:fill="C6EFCE"/>
            <w:noWrap/>
          </w:tcPr>
          <w:p w14:paraId="40D8B674" w14:textId="77777777" w:rsidR="00515398" w:rsidRDefault="00515398">
            <w:pPr>
              <w:spacing w:after="0" w:line="240" w:lineRule="auto"/>
              <w:rPr>
                <w:rFonts w:eastAsia="Times New Roman" w:cs="Calibri"/>
                <w:noProof/>
                <w:color w:val="006100"/>
                <w:sz w:val="18"/>
                <w:szCs w:val="18"/>
              </w:rPr>
            </w:pPr>
          </w:p>
        </w:tc>
        <w:tc>
          <w:tcPr>
            <w:tcW w:w="960" w:type="dxa"/>
            <w:shd w:val="clear" w:color="auto" w:fill="C6EFCE"/>
            <w:noWrap/>
          </w:tcPr>
          <w:p w14:paraId="54DC48E5"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shd w:val="clear" w:color="auto" w:fill="C6EFCE"/>
            <w:noWrap/>
          </w:tcPr>
          <w:p w14:paraId="21E56158" w14:textId="77777777" w:rsidR="00515398" w:rsidRDefault="006711E6">
            <w:pPr>
              <w:pStyle w:val="P68B1DB1-Normal9"/>
              <w:spacing w:after="0" w:line="240" w:lineRule="auto"/>
              <w:rPr>
                <w:rFonts w:eastAsia="Times New Roman" w:cs="Calibri"/>
                <w:noProof/>
                <w:szCs w:val="18"/>
              </w:rPr>
            </w:pPr>
            <w:r>
              <w:rPr>
                <w:noProof/>
              </w:rPr>
              <w:t>2026</w:t>
            </w:r>
          </w:p>
        </w:tc>
        <w:tc>
          <w:tcPr>
            <w:tcW w:w="4848" w:type="dxa"/>
            <w:shd w:val="clear" w:color="auto" w:fill="C6EFCE"/>
            <w:noWrap/>
          </w:tcPr>
          <w:p w14:paraId="77D432E0" w14:textId="77777777" w:rsidR="00515398" w:rsidRDefault="006711E6">
            <w:pPr>
              <w:pStyle w:val="P68B1DB1-Normal9"/>
              <w:spacing w:after="0" w:line="240" w:lineRule="auto"/>
              <w:rPr>
                <w:rFonts w:eastAsia="Times New Roman" w:cs="Calibri"/>
                <w:noProof/>
                <w:szCs w:val="18"/>
              </w:rPr>
            </w:pPr>
            <w:r>
              <w:rPr>
                <w:noProof/>
              </w:rPr>
              <w:t>Řecko převede 300 milionů EUR Řecké rozvojové bance na nástroj.</w:t>
            </w:r>
          </w:p>
        </w:tc>
      </w:tr>
    </w:tbl>
    <w:p w14:paraId="7923CE42" w14:textId="77777777" w:rsidR="00515398" w:rsidRDefault="00515398">
      <w:pPr>
        <w:spacing w:before="120" w:after="120" w:line="240" w:lineRule="auto"/>
        <w:jc w:val="both"/>
        <w:rPr>
          <w:rFonts w:ascii="Times New Roman" w:hAnsi="Times New Roman" w:cs="Times New Roman"/>
          <w:noProof/>
          <w:sz w:val="24"/>
        </w:rPr>
        <w:sectPr w:rsidR="00515398" w:rsidSect="008A4085">
          <w:headerReference w:type="even" r:id="rId61"/>
          <w:headerReference w:type="default" r:id="rId62"/>
          <w:footerReference w:type="even" r:id="rId63"/>
          <w:footerReference w:type="default" r:id="rId64"/>
          <w:headerReference w:type="first" r:id="rId65"/>
          <w:footerReference w:type="first" r:id="rId66"/>
          <w:pgSz w:w="16839" w:h="11907" w:orient="landscape"/>
          <w:pgMar w:top="720" w:right="720" w:bottom="720" w:left="720" w:header="709" w:footer="75" w:gutter="0"/>
          <w:cols w:space="720"/>
          <w:docGrid w:linePitch="360"/>
        </w:sectPr>
      </w:pPr>
    </w:p>
    <w:p w14:paraId="6DAC9FA7" w14:textId="77777777" w:rsidR="00515398" w:rsidRDefault="006711E6">
      <w:pPr>
        <w:pStyle w:val="P68B1DB1-Normal2"/>
        <w:spacing w:before="120" w:after="120" w:line="240" w:lineRule="auto"/>
        <w:jc w:val="both"/>
        <w:outlineLvl w:val="3"/>
        <w:rPr>
          <w:rFonts w:cs="Times New Roman"/>
          <w:noProof/>
        </w:rPr>
      </w:pPr>
      <w:r>
        <w:rPr>
          <w:noProof/>
        </w:rPr>
        <w:t>C. SLOŽKA 1.3: DOBÍJENÍ A DOPLŇOVÁNÍ PALIVA</w:t>
      </w:r>
    </w:p>
    <w:p w14:paraId="1275B63E" w14:textId="77777777" w:rsidR="00515398" w:rsidRDefault="006711E6">
      <w:pPr>
        <w:pStyle w:val="P68B1DB1-Normal4"/>
        <w:spacing w:before="120" w:after="120" w:line="240" w:lineRule="auto"/>
        <w:jc w:val="both"/>
        <w:rPr>
          <w:rFonts w:cs="Times New Roman"/>
          <w:noProof/>
        </w:rPr>
      </w:pPr>
      <w:r>
        <w:rPr>
          <w:noProof/>
        </w:rPr>
        <w:t>Složka řeckého plánu pro oživení a odolnost týkající se doplňování a doplňování paliva zahrnuje cílené reformy a investice do zvýšení udržitelné mobility, posílení hospodářského růstu, v</w:t>
      </w:r>
      <w:r>
        <w:rPr>
          <w:noProof/>
        </w:rPr>
        <w:t>ytváření pracovních příležitostí a podpory sociální odolnosti. Opatření zahrnutá v rámci této složky jsou spojena s celostátní strategií udržitelné mobility, a podporují tak provádění vnitrostátního plánu v oblasti energetiky a klimatu. Přispívají rovněž k</w:t>
      </w:r>
      <w:r>
        <w:rPr>
          <w:noProof/>
        </w:rPr>
        <w:t xml:space="preserve"> zelené transformaci poskytováním podpory podnikům provádějícím operace související s nízkouhlíkovým hospodářstvím a odolností vůči změně klimatu. Složka dále zahrnuje reformy na podporu instalace infrastruktury elektromobility a revizi veřejných služeb mě</w:t>
      </w:r>
      <w:r>
        <w:rPr>
          <w:noProof/>
        </w:rPr>
        <w:t xml:space="preserve">stské a regionální osobní dopravy. Složka rovněž zahrnuje investice na podporu rozvoje výrobní kapacity dodávek souvisejících s elektromobilitou a nahrazení autobusů a taxíků bateriovými elektrickými vozidly. </w:t>
      </w:r>
    </w:p>
    <w:p w14:paraId="48DD23A4" w14:textId="77777777" w:rsidR="00515398" w:rsidRDefault="006711E6">
      <w:pPr>
        <w:pStyle w:val="P68B1DB1-Normal4"/>
        <w:spacing w:before="120" w:after="120" w:line="240" w:lineRule="auto"/>
        <w:jc w:val="both"/>
        <w:rPr>
          <w:rFonts w:cs="Times New Roman"/>
          <w:noProof/>
        </w:rPr>
      </w:pPr>
      <w:r>
        <w:rPr>
          <w:noProof/>
        </w:rPr>
        <w:t>Tato složka podporuje plnění doporučení pro je</w:t>
      </w:r>
      <w:r>
        <w:rPr>
          <w:noProof/>
        </w:rPr>
        <w:t>dnotlivé země č. 3 z roku 2020 a doporučení pro jednotlivé země č. 2 z roku 2019 o veřejných a soukromých investicích. Očekává se, že žádné opatření v této složce významně nepoškozuje environmentální cíle ve smyslu článku 17 nařízení (EU) 2020/852, s přihl</w:t>
      </w:r>
      <w:r>
        <w:rPr>
          <w:noProof/>
        </w:rPr>
        <w:t>édnutím k popisu opatření a zmírňujícím krokům stanoveným v plánu pro oživení a odolnost v souladu s technickými pokyny „významně nepoškozovat“ (2021/C58/01).</w:t>
      </w:r>
    </w:p>
    <w:p w14:paraId="66AD307B"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C.1. </w:t>
      </w:r>
      <w:r>
        <w:rPr>
          <w:noProof/>
        </w:rPr>
        <w:t xml:space="preserve"> </w:t>
      </w:r>
      <w:r>
        <w:rPr>
          <w:rFonts w:ascii="Times New Roman" w:hAnsi="Times New Roman"/>
          <w:b/>
          <w:noProof/>
          <w:sz w:val="24"/>
          <w:u w:val="single"/>
        </w:rPr>
        <w:t>Popis reforem a investic pro nevratnou finanční podporu</w:t>
      </w:r>
    </w:p>
    <w:p w14:paraId="1D29B9B9"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Produc-E Zelená (ID opat</w:t>
      </w:r>
      <w:r>
        <w:rPr>
          <w:noProof/>
        </w:rPr>
        <w:t>ření: 16831)</w:t>
      </w:r>
    </w:p>
    <w:p w14:paraId="17E07F0C" w14:textId="77777777" w:rsidR="00515398" w:rsidRDefault="006711E6">
      <w:pPr>
        <w:pStyle w:val="P68B1DB1-Normal5"/>
        <w:spacing w:before="120" w:after="120" w:line="240" w:lineRule="auto"/>
        <w:jc w:val="both"/>
        <w:rPr>
          <w:noProof/>
        </w:rPr>
      </w:pPr>
      <w:r>
        <w:rPr>
          <w:noProof/>
        </w:rPr>
        <w:t>Tato investice představuje dva projekty, jejichž cílem je přispět k nízkouhlíkovému hospodářství a k odolnosti vůči změně klimatu. První projekt podpoří nabídku elektromobility a podporu ekologické transformace prostřednictvím rozvoje více než</w:t>
      </w:r>
      <w:r>
        <w:rPr>
          <w:noProof/>
        </w:rPr>
        <w:t xml:space="preserve"> deseti průmyslových jednotek pro inovativní výrobky nebo služby, například recyklace baterií elektrických automobilů prostřednictvím opětovného použití surovin, jako je lithium a kobalt, nebo navrhování elektrických vozidel a pravidelných nebo vysokovýkon</w:t>
      </w:r>
      <w:r>
        <w:rPr>
          <w:noProof/>
        </w:rPr>
        <w:t>ových dobíjecích stanic a/nebo investic souvisejících s výrobou nebo zpracováním materiálů (kromě těžby), zařízení nebo dílů používaných v odvětví ekologické transformace, to by mohlo zahrnovat orientačně části elektrických automobilů, lodí, desek s plošný</w:t>
      </w:r>
      <w:r>
        <w:rPr>
          <w:noProof/>
        </w:rPr>
        <w:t>mi spoji, solárních panelů, solárních ohřívačů, větrných turbín, kabeláže, systémů hospodaření s energií v budovách, instalačních zařízení pro projekty v oblasti obnovitelných zdrojů energie, složek s vyšší účinností, jako jsou tepelná čerpadla, a jakéhoko</w:t>
      </w:r>
      <w:r>
        <w:rPr>
          <w:noProof/>
        </w:rPr>
        <w:t>li typu zařízení, zejména v odvětvích, na něž se nevztahuje systém EU pro obchodování s emisemi (EU-ETS).  Aby se zajistilo, že opatření je v souladu s technickými pokyny „významně nepoškozovat“ (2021/C58/01), kritéria způsobilosti obsažená v mandátu pro v</w:t>
      </w:r>
      <w:r>
        <w:rPr>
          <w:noProof/>
        </w:rPr>
        <w:t>ýzvy k předkládání projektů vylučují tento seznam činností:</w:t>
      </w:r>
      <w:r>
        <w:rPr>
          <w:noProof/>
          <w:color w:val="FF0000"/>
        </w:rPr>
        <w:t xml:space="preserve"> </w:t>
      </w:r>
      <w:r>
        <w:rPr>
          <w:noProof/>
        </w:rPr>
        <w:t>i) činnosti související s fosilními palivy, včetně následného využití</w:t>
      </w:r>
      <w:r>
        <w:rPr>
          <w:noProof/>
        </w:rPr>
        <w:footnoteReference w:id="7"/>
      </w:r>
      <w:r>
        <w:rPr>
          <w:noProof/>
        </w:rPr>
        <w:t xml:space="preserve">; II) činnosti v rámci systému EU pro obchodování s emisemi (ETS) dosahující předpokládaných emisí skleníkových plynů, které </w:t>
      </w:r>
      <w:r>
        <w:rPr>
          <w:noProof/>
        </w:rPr>
        <w:t>nejsou nižší než příslušné referenční hodnoty</w:t>
      </w:r>
      <w:r>
        <w:rPr>
          <w:noProof/>
        </w:rPr>
        <w:footnoteReference w:id="8"/>
      </w:r>
      <w:r>
        <w:rPr>
          <w:noProof/>
        </w:rPr>
        <w:t xml:space="preserve">; </w:t>
      </w:r>
    </w:p>
    <w:p w14:paraId="54ECF66E" w14:textId="77777777" w:rsidR="00515398" w:rsidRDefault="006711E6">
      <w:pPr>
        <w:pStyle w:val="P68B1DB1-Normal5"/>
        <w:rPr>
          <w:noProof/>
        </w:rPr>
      </w:pPr>
      <w:r>
        <w:rPr>
          <w:noProof/>
        </w:rPr>
        <w:br w:type="page"/>
      </w:r>
    </w:p>
    <w:p w14:paraId="64C6BC48" w14:textId="1A76A6E2" w:rsidR="00515398" w:rsidRDefault="006711E6">
      <w:pPr>
        <w:pStyle w:val="P68B1DB1-Normal5"/>
        <w:spacing w:before="120" w:after="120" w:line="240" w:lineRule="auto"/>
        <w:jc w:val="both"/>
        <w:rPr>
          <w:rFonts w:cs="Times New Roman"/>
          <w:noProof/>
        </w:rPr>
      </w:pPr>
      <w:r>
        <w:rPr>
          <w:noProof/>
        </w:rPr>
        <w:t>III) činnosti související se skládkami odpadů, spalovnami</w:t>
      </w:r>
      <w:r>
        <w:rPr>
          <w:noProof/>
        </w:rPr>
        <w:footnoteReference w:id="9"/>
      </w:r>
      <w:r>
        <w:rPr>
          <w:noProof/>
        </w:rPr>
        <w:t xml:space="preserve"> a mechanicko-biologickými čistírnami odpadů</w:t>
      </w:r>
      <w:r>
        <w:rPr>
          <w:noProof/>
        </w:rPr>
        <w:footnoteReference w:id="10"/>
      </w:r>
      <w:r>
        <w:rPr>
          <w:noProof/>
        </w:rPr>
        <w:t>; a iv) činnosti, při nichž dlouhodobé odstraňování odpadů může poškodit životní prostředí. Mandát nav</w:t>
      </w:r>
      <w:r>
        <w:rPr>
          <w:noProof/>
        </w:rPr>
        <w:t>íc vyžaduje, aby mohly být vybrány pouze činnosti, které jsou v souladu s příslušnými právními předpisy EU a vnitrostátními právními předpisy v oblasti životního prostředí.</w:t>
      </w:r>
    </w:p>
    <w:p w14:paraId="41BCEFCE" w14:textId="0E59D294" w:rsidR="00515398" w:rsidRDefault="006711E6">
      <w:pPr>
        <w:pStyle w:val="P68B1DB1-Normal4"/>
        <w:spacing w:before="120" w:after="120" w:line="240" w:lineRule="auto"/>
        <w:jc w:val="both"/>
        <w:rPr>
          <w:rFonts w:cs="Times New Roman"/>
          <w:noProof/>
        </w:rPr>
      </w:pPr>
      <w:r>
        <w:rPr>
          <w:noProof/>
        </w:rPr>
        <w:t>Druhý projekt podpoří rozvoj prvního skladovacího zařízení CO</w:t>
      </w:r>
      <w:r>
        <w:rPr>
          <w:noProof/>
          <w:vertAlign w:val="subscript"/>
        </w:rPr>
        <w:t>2</w:t>
      </w:r>
      <w:r>
        <w:rPr>
          <w:noProof/>
        </w:rPr>
        <w:t xml:space="preserve"> v Řecku. Zařízení pr</w:t>
      </w:r>
      <w:r>
        <w:rPr>
          <w:noProof/>
        </w:rPr>
        <w:t>o zachycování a ukládání uhlíku je navrženo tak, aby zajišťovalo dlouhodobé ukládání CO</w:t>
      </w:r>
      <w:r>
        <w:rPr>
          <w:noProof/>
          <w:vertAlign w:val="subscript"/>
        </w:rPr>
        <w:t>2</w:t>
      </w:r>
      <w:r>
        <w:rPr>
          <w:noProof/>
        </w:rPr>
        <w:t xml:space="preserve"> zachyceného od místních producentů emisí (do vzdálenosti 150 km) a do zařízení dorazí potrubím, zatímco CO</w:t>
      </w:r>
      <w:r>
        <w:rPr>
          <w:noProof/>
          <w:vertAlign w:val="subscript"/>
        </w:rPr>
        <w:t>2</w:t>
      </w:r>
      <w:r>
        <w:rPr>
          <w:noProof/>
        </w:rPr>
        <w:t xml:space="preserve"> zachycený v odlehlých lokalitách dorazí lodí a vstoupí do v</w:t>
      </w:r>
      <w:r>
        <w:rPr>
          <w:noProof/>
        </w:rPr>
        <w:t>yrovnávacího skladovacího zařízení. Kapacita zařízení pro zachycování a ukládání uhlíku musí mít zpočátku míru injektáže CO</w:t>
      </w:r>
      <w:r>
        <w:rPr>
          <w:noProof/>
          <w:vertAlign w:val="subscript"/>
        </w:rPr>
        <w:t>2</w:t>
      </w:r>
      <w:r>
        <w:rPr>
          <w:noProof/>
        </w:rPr>
        <w:t xml:space="preserve"> jeden milion tun/rok a musí zajišťovat kapacitu nejméně na 20 let. Očekává se, že toto opatření významně nepoškodí environmentální </w:t>
      </w:r>
      <w:r>
        <w:rPr>
          <w:noProof/>
        </w:rPr>
        <w:t>cíle ve smyslu článku 17 nařízení (EU) 2020/852, s přihlédnutím k popisu opatření a zmírňujícím krokům stanoveným v plánu na podporu oživení a odolnosti v souladu s technickými pokyny „nezpůsobit významnou újmu“ (2021/C58/01). Zejména zařízení pro zachycov</w:t>
      </w:r>
      <w:r>
        <w:rPr>
          <w:noProof/>
        </w:rPr>
        <w:t>ání a ukládání uhlíku je provozováno bez použití jakékoli komerční těžby ropy nebo rekuperace ropy (některá těžba ropy nebo plynu může být vyžadována z bezpečnostních nebo technických důvodů. Zachycování a ukládání uhlíku musí být rovněž v souladu s požada</w:t>
      </w:r>
      <w:r>
        <w:rPr>
          <w:noProof/>
        </w:rPr>
        <w:t>vkem, aby neexistovaly žádné technologické aplikace, ani žádný typ zařízení a vybavení navrženého pro lepší využití ropy (EOR) a zvýšení produkce ropy. Je třeba dbát na to, aby jakákoli případná těžba ropy nebo zemního plynu byla omezena na nezbytné potřeb</w:t>
      </w:r>
      <w:r>
        <w:rPr>
          <w:noProof/>
        </w:rPr>
        <w:t>y řízení tlaku a zajištění bezpečnosti úložišť a aby tato těžba byla provedena pouze tehdy, je-li to nezbytné pro zajištění bezpečného skladování CO</w:t>
      </w:r>
      <w:r>
        <w:rPr>
          <w:noProof/>
          <w:vertAlign w:val="subscript"/>
        </w:rPr>
        <w:t>2</w:t>
      </w:r>
      <w:r>
        <w:rPr>
          <w:noProof/>
        </w:rPr>
        <w:t>. CO</w:t>
      </w:r>
      <w:r>
        <w:rPr>
          <w:noProof/>
          <w:vertAlign w:val="subscript"/>
        </w:rPr>
        <w:t>2</w:t>
      </w:r>
      <w:r>
        <w:rPr>
          <w:noProof/>
        </w:rPr>
        <w:t xml:space="preserve"> spolu s ropou nebo plynem, které mohou být vytěženy, musí být odděleny a čerpány zpět k trvalému ulož</w:t>
      </w:r>
      <w:r>
        <w:rPr>
          <w:noProof/>
        </w:rPr>
        <w:t>ení.</w:t>
      </w:r>
    </w:p>
    <w:p w14:paraId="0848793F" w14:textId="77777777" w:rsidR="00515398" w:rsidRDefault="006711E6">
      <w:pPr>
        <w:pStyle w:val="P68B1DB1-Normal4"/>
        <w:spacing w:before="120" w:after="120" w:line="240" w:lineRule="auto"/>
        <w:jc w:val="both"/>
        <w:rPr>
          <w:rFonts w:cs="Times New Roman"/>
          <w:noProof/>
        </w:rPr>
      </w:pPr>
      <w:r>
        <w:rPr>
          <w:noProof/>
        </w:rPr>
        <w:t>Investice musí být provedena do 31. prosince 2025.</w:t>
      </w:r>
    </w:p>
    <w:p w14:paraId="5F601D55"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Rámec pro instalaci a provoz infrastruktury pro dobíjení elektrických vozidel (ID opatření: 16281)</w:t>
      </w:r>
    </w:p>
    <w:p w14:paraId="05522F9B" w14:textId="77777777" w:rsidR="00515398" w:rsidRDefault="006711E6">
      <w:pPr>
        <w:pStyle w:val="P68B1DB1-Normal4"/>
        <w:spacing w:before="120" w:after="120" w:line="240" w:lineRule="auto"/>
        <w:jc w:val="both"/>
        <w:rPr>
          <w:rFonts w:cs="Times New Roman"/>
          <w:noProof/>
        </w:rPr>
      </w:pPr>
      <w:r>
        <w:rPr>
          <w:noProof/>
        </w:rPr>
        <w:t>Reforma stanoví komplexní regulační rámec pro instalaci a provoz dobíjecích stanic pro elekt</w:t>
      </w:r>
      <w:r>
        <w:rPr>
          <w:noProof/>
        </w:rPr>
        <w:t>rická vozidla. Tím se Řecko nasměruje na cestu ke splnění cíle vnitrostátního plánu v oblasti energetiky a klimatu, kterým je 30 % podíl elektrických vozidel na domácím trhu do roku 2030. Ministerstvo životního prostředí a energetiky přijme do konce roku 2</w:t>
      </w:r>
      <w:r>
        <w:rPr>
          <w:noProof/>
        </w:rPr>
        <w:t>022 nejméně 300 plánů na instalaci veřejně dostupných dobíjecích stanic pro elektrická vozidla předložených místními orgány. Provádění reformy se dokončí do 31. prosince 2022.</w:t>
      </w:r>
    </w:p>
    <w:p w14:paraId="3CF90C19"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Elektromobilita (ID opatření: 16924)</w:t>
      </w:r>
    </w:p>
    <w:p w14:paraId="3951FD2A" w14:textId="41DC6890" w:rsidR="00515398" w:rsidRDefault="006711E6">
      <w:pPr>
        <w:pStyle w:val="P68B1DB1-Normal4"/>
        <w:spacing w:before="120" w:after="120" w:line="240" w:lineRule="auto"/>
        <w:jc w:val="both"/>
        <w:rPr>
          <w:rFonts w:cs="Times New Roman"/>
          <w:b/>
          <w:bCs/>
          <w:noProof/>
          <w:szCs w:val="24"/>
          <w:u w:val="single"/>
        </w:rPr>
      </w:pPr>
      <w:r>
        <w:rPr>
          <w:noProof/>
        </w:rPr>
        <w:t>Investice se zabývá elektromobil</w:t>
      </w:r>
      <w:r>
        <w:rPr>
          <w:noProof/>
        </w:rPr>
        <w:t>itou v souladu s cíli vnitrostátního plánu v oblasti energetiky a klimatu a zahrnuje: 1) nahrazení starších autobusů 425 novými elektrickými autobusy;  2) reformu právních předpisů týkajících se závazků veřejné služby pro autobusové společnosti v souladu s</w:t>
      </w:r>
      <w:r>
        <w:rPr>
          <w:noProof/>
        </w:rPr>
        <w:t>e stávajícím acquis EU, která umožní autobusovým společnostem mimo Atény bezpečně investovat do elektrických vozidel veřejné dopravy; a 3) vypracování studie proveditelnosti za účelem zřízení agentury pro elektronickou dopravu, která zajistí vhodné plánová</w:t>
      </w:r>
      <w:r>
        <w:rPr>
          <w:noProof/>
        </w:rPr>
        <w:t xml:space="preserve">ní a koordinaci mezi dopravními a energetickými infrastrukturami, regionálními a místními orgány a dalšími zúčastněnými stranami ve výzkumu a soukromém sektoru. Investiční složka nahrazující staré autobusy musí být v souladu s technickými pokyny „významně </w:t>
      </w:r>
      <w:r>
        <w:rPr>
          <w:noProof/>
        </w:rPr>
        <w:t>nepoškozovat“ (2021/C58/01), zejména s ohledem na sešrotování starších vozidel/autobusů, které musí provádět autorizované zpracovatelské zařízení v souladu se směrnicí o vozidlech s ukončenou životností (2000/53/ES). Investice musí být provedena do 31. pro</w:t>
      </w:r>
      <w:r>
        <w:rPr>
          <w:noProof/>
        </w:rPr>
        <w:t>since 2025.</w:t>
      </w:r>
    </w:p>
    <w:p w14:paraId="254962C5" w14:textId="77777777" w:rsidR="00515398" w:rsidRDefault="00515398">
      <w:pPr>
        <w:spacing w:before="120" w:after="120" w:line="240" w:lineRule="auto"/>
        <w:ind w:left="709"/>
        <w:jc w:val="both"/>
        <w:rPr>
          <w:rFonts w:ascii="Times New Roman" w:hAnsi="Times New Roman" w:cs="Times New Roman"/>
          <w:noProof/>
          <w:sz w:val="24"/>
        </w:rPr>
        <w:sectPr w:rsidR="00515398" w:rsidSect="00AF58D0">
          <w:headerReference w:type="even" r:id="rId67"/>
          <w:headerReference w:type="default" r:id="rId68"/>
          <w:footerReference w:type="even" r:id="rId69"/>
          <w:footerReference w:type="default" r:id="rId70"/>
          <w:headerReference w:type="first" r:id="rId71"/>
          <w:footerReference w:type="first" r:id="rId72"/>
          <w:pgSz w:w="11907" w:h="16839"/>
          <w:pgMar w:top="1134" w:right="1418" w:bottom="1134" w:left="1418" w:header="709" w:footer="182" w:gutter="0"/>
          <w:cols w:space="720"/>
          <w:docGrid w:linePitch="360"/>
        </w:sectPr>
      </w:pPr>
    </w:p>
    <w:p w14:paraId="0B5EE8C6" w14:textId="77777777" w:rsidR="00515398" w:rsidRDefault="006711E6">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noProof/>
          <w:sz w:val="24"/>
          <w:u w:val="single"/>
        </w:rPr>
        <w:t xml:space="preserve">C.2. </w:t>
      </w:r>
      <w:r>
        <w:rPr>
          <w:noProof/>
        </w:rPr>
        <w:t xml:space="preserve"> </w:t>
      </w:r>
      <w:r>
        <w:rPr>
          <w:rFonts w:ascii="Times New Roman" w:hAnsi="Times New Roman"/>
          <w:b/>
          <w:noProof/>
          <w:sz w:val="24"/>
          <w:u w:val="single"/>
        </w:rPr>
        <w:t>Milníky, cíle, ukazatele a harmonogram monitorování a provádění nevratné finanční podpory</w:t>
      </w:r>
    </w:p>
    <w:p w14:paraId="5314B92A" w14:textId="77777777" w:rsidR="00515398" w:rsidRDefault="00515398">
      <w:pPr>
        <w:rPr>
          <w:noProof/>
        </w:rPr>
      </w:pPr>
    </w:p>
    <w:p w14:paraId="5D1053CD" w14:textId="77777777" w:rsidR="00515398" w:rsidRDefault="006711E6">
      <w:pPr>
        <w:pStyle w:val="P68B1DB1-Normal6"/>
        <w:keepNext/>
        <w:keepLines/>
        <w:spacing w:before="40" w:after="0" w:line="240" w:lineRule="auto"/>
        <w:jc w:val="both"/>
        <w:outlineLvl w:val="4"/>
        <w:rPr>
          <w:rFonts w:eastAsia="Times New Roman"/>
          <w:noProof/>
        </w:rPr>
      </w:pPr>
      <w:r>
        <w:rPr>
          <w:noProof/>
        </w:rPr>
        <w:t>Klíčová reforma 3: Rámec pro instalaci a provoz infrastruktury pro dobíjení elektrických</w:t>
      </w:r>
      <w:r>
        <w:rPr>
          <w:noProof/>
        </w:rPr>
        <w:t xml:space="preserve"> vozidel</w:t>
      </w:r>
    </w:p>
    <w:tbl>
      <w:tblPr>
        <w:tblpPr w:leftFromText="180" w:rightFromText="180" w:vertAnchor="text" w:tblpXSpec="center" w:tblpY="1"/>
        <w:tblOverlap w:val="neve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596"/>
        <w:gridCol w:w="967"/>
        <w:gridCol w:w="1197"/>
        <w:gridCol w:w="1717"/>
        <w:gridCol w:w="1276"/>
        <w:gridCol w:w="1090"/>
        <w:gridCol w:w="709"/>
        <w:gridCol w:w="992"/>
        <w:gridCol w:w="851"/>
        <w:gridCol w:w="4438"/>
      </w:tblGrid>
      <w:tr w:rsidR="00515398" w14:paraId="096DCA69" w14:textId="77777777">
        <w:trPr>
          <w:trHeight w:val="927"/>
          <w:tblHeader/>
        </w:trPr>
        <w:tc>
          <w:tcPr>
            <w:tcW w:w="1027" w:type="dxa"/>
            <w:vMerge w:val="restart"/>
            <w:shd w:val="clear" w:color="auto" w:fill="BDD7EE"/>
            <w:vAlign w:val="center"/>
            <w:hideMark/>
          </w:tcPr>
          <w:p w14:paraId="566BCD9E"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596" w:type="dxa"/>
            <w:vMerge w:val="restart"/>
            <w:shd w:val="clear" w:color="auto" w:fill="BDD7EE"/>
            <w:vAlign w:val="center"/>
            <w:hideMark/>
          </w:tcPr>
          <w:p w14:paraId="00BC00B1"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shd w:val="clear" w:color="auto" w:fill="BDD7EE"/>
            <w:vAlign w:val="center"/>
            <w:hideMark/>
          </w:tcPr>
          <w:p w14:paraId="4773350E"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197" w:type="dxa"/>
            <w:vMerge w:val="restart"/>
            <w:shd w:val="clear" w:color="auto" w:fill="BDD7EE"/>
            <w:vAlign w:val="center"/>
            <w:hideMark/>
          </w:tcPr>
          <w:p w14:paraId="29C7411D"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717" w:type="dxa"/>
            <w:vMerge w:val="restart"/>
            <w:shd w:val="clear" w:color="auto" w:fill="BDD7EE"/>
            <w:vAlign w:val="center"/>
            <w:hideMark/>
          </w:tcPr>
          <w:p w14:paraId="5C19D179"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961" w:type="dxa"/>
            <w:gridSpan w:val="3"/>
            <w:shd w:val="clear" w:color="auto" w:fill="BDD7EE"/>
            <w:vAlign w:val="center"/>
            <w:hideMark/>
          </w:tcPr>
          <w:p w14:paraId="6585E3EC"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843" w:type="dxa"/>
            <w:gridSpan w:val="2"/>
            <w:shd w:val="clear" w:color="auto" w:fill="BDD7EE"/>
            <w:vAlign w:val="center"/>
            <w:hideMark/>
          </w:tcPr>
          <w:p w14:paraId="5C85D430"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438" w:type="dxa"/>
            <w:vMerge w:val="restart"/>
            <w:shd w:val="clear" w:color="auto" w:fill="BDD7EE"/>
            <w:vAlign w:val="center"/>
            <w:hideMark/>
          </w:tcPr>
          <w:p w14:paraId="152A0E28"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50537E29" w14:textId="77777777">
        <w:trPr>
          <w:trHeight w:val="619"/>
        </w:trPr>
        <w:tc>
          <w:tcPr>
            <w:tcW w:w="1027" w:type="dxa"/>
            <w:vMerge/>
            <w:vAlign w:val="center"/>
            <w:hideMark/>
          </w:tcPr>
          <w:p w14:paraId="53FAC242" w14:textId="77777777" w:rsidR="00515398" w:rsidRDefault="00515398">
            <w:pPr>
              <w:spacing w:after="0" w:line="240" w:lineRule="auto"/>
              <w:rPr>
                <w:rFonts w:ascii="Times New Roman" w:eastAsia="Times New Roman" w:hAnsi="Times New Roman" w:cs="Times New Roman"/>
                <w:b/>
                <w:bCs/>
                <w:noProof/>
                <w:sz w:val="18"/>
                <w:szCs w:val="18"/>
              </w:rPr>
            </w:pPr>
          </w:p>
        </w:tc>
        <w:tc>
          <w:tcPr>
            <w:tcW w:w="1596" w:type="dxa"/>
            <w:vMerge/>
            <w:vAlign w:val="center"/>
            <w:hideMark/>
          </w:tcPr>
          <w:p w14:paraId="55FB4CF2"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vAlign w:val="center"/>
            <w:hideMark/>
          </w:tcPr>
          <w:p w14:paraId="24C3BA21" w14:textId="77777777" w:rsidR="00515398" w:rsidRDefault="00515398">
            <w:pPr>
              <w:spacing w:after="0" w:line="240" w:lineRule="auto"/>
              <w:rPr>
                <w:rFonts w:ascii="Times New Roman" w:eastAsia="Times New Roman" w:hAnsi="Times New Roman" w:cs="Times New Roman"/>
                <w:b/>
                <w:bCs/>
                <w:noProof/>
                <w:sz w:val="18"/>
                <w:szCs w:val="18"/>
              </w:rPr>
            </w:pPr>
          </w:p>
        </w:tc>
        <w:tc>
          <w:tcPr>
            <w:tcW w:w="1197" w:type="dxa"/>
            <w:vMerge/>
            <w:vAlign w:val="center"/>
            <w:hideMark/>
          </w:tcPr>
          <w:p w14:paraId="03C85224" w14:textId="77777777" w:rsidR="00515398" w:rsidRDefault="00515398">
            <w:pPr>
              <w:spacing w:after="0" w:line="240" w:lineRule="auto"/>
              <w:rPr>
                <w:rFonts w:ascii="Times New Roman" w:eastAsia="Times New Roman" w:hAnsi="Times New Roman" w:cs="Times New Roman"/>
                <w:b/>
                <w:bCs/>
                <w:noProof/>
                <w:sz w:val="18"/>
                <w:szCs w:val="18"/>
              </w:rPr>
            </w:pPr>
          </w:p>
        </w:tc>
        <w:tc>
          <w:tcPr>
            <w:tcW w:w="1717" w:type="dxa"/>
            <w:vMerge/>
            <w:vAlign w:val="center"/>
            <w:hideMark/>
          </w:tcPr>
          <w:p w14:paraId="3703F3DD" w14:textId="77777777" w:rsidR="00515398" w:rsidRDefault="00515398">
            <w:pPr>
              <w:spacing w:after="0" w:line="240" w:lineRule="auto"/>
              <w:rPr>
                <w:rFonts w:ascii="Times New Roman" w:eastAsia="Times New Roman" w:hAnsi="Times New Roman" w:cs="Times New Roman"/>
                <w:b/>
                <w:bCs/>
                <w:noProof/>
                <w:sz w:val="18"/>
                <w:szCs w:val="18"/>
              </w:rPr>
            </w:pPr>
          </w:p>
        </w:tc>
        <w:tc>
          <w:tcPr>
            <w:tcW w:w="1162" w:type="dxa"/>
            <w:shd w:val="clear" w:color="auto" w:fill="BDD7EE"/>
            <w:vAlign w:val="center"/>
            <w:hideMark/>
          </w:tcPr>
          <w:p w14:paraId="2DAF3563"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1090" w:type="dxa"/>
            <w:shd w:val="clear" w:color="auto" w:fill="BDD7EE"/>
            <w:vAlign w:val="center"/>
            <w:hideMark/>
          </w:tcPr>
          <w:p w14:paraId="359FD11C"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09" w:type="dxa"/>
            <w:shd w:val="clear" w:color="auto" w:fill="BDD7EE"/>
            <w:vAlign w:val="center"/>
            <w:hideMark/>
          </w:tcPr>
          <w:p w14:paraId="4F25F736"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92" w:type="dxa"/>
            <w:shd w:val="clear" w:color="auto" w:fill="BDD7EE"/>
            <w:vAlign w:val="center"/>
            <w:hideMark/>
          </w:tcPr>
          <w:p w14:paraId="7E89BCDD"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851" w:type="dxa"/>
            <w:shd w:val="clear" w:color="auto" w:fill="BDD7EE"/>
            <w:vAlign w:val="center"/>
            <w:hideMark/>
          </w:tcPr>
          <w:p w14:paraId="051F59DB"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438" w:type="dxa"/>
            <w:vMerge/>
            <w:vAlign w:val="center"/>
            <w:hideMark/>
          </w:tcPr>
          <w:p w14:paraId="1EC6EBDF"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2D3F8DA" w14:textId="77777777">
        <w:trPr>
          <w:trHeight w:val="309"/>
        </w:trPr>
        <w:tc>
          <w:tcPr>
            <w:tcW w:w="1027" w:type="dxa"/>
            <w:shd w:val="clear" w:color="auto" w:fill="C6EFCE"/>
            <w:noWrap/>
          </w:tcPr>
          <w:p w14:paraId="2E1BD4EB" w14:textId="77777777" w:rsidR="00515398" w:rsidRDefault="006711E6">
            <w:pPr>
              <w:pStyle w:val="P68B1DB1-Normal9"/>
              <w:spacing w:after="0" w:line="240" w:lineRule="auto"/>
              <w:rPr>
                <w:rFonts w:eastAsia="Times New Roman" w:cs="Calibri"/>
                <w:noProof/>
                <w:szCs w:val="18"/>
              </w:rPr>
            </w:pPr>
            <w:r>
              <w:rPr>
                <w:noProof/>
              </w:rPr>
              <w:t>42</w:t>
            </w:r>
          </w:p>
        </w:tc>
        <w:tc>
          <w:tcPr>
            <w:tcW w:w="1596" w:type="dxa"/>
            <w:shd w:val="clear" w:color="auto" w:fill="C6EFCE"/>
            <w:noWrap/>
          </w:tcPr>
          <w:p w14:paraId="7CC41608" w14:textId="77777777" w:rsidR="00515398" w:rsidRDefault="006711E6">
            <w:pPr>
              <w:pStyle w:val="P68B1DB1-Normal9"/>
              <w:spacing w:after="0" w:line="240" w:lineRule="auto"/>
              <w:rPr>
                <w:rFonts w:eastAsia="Times New Roman" w:cs="Calibri"/>
                <w:noProof/>
                <w:szCs w:val="18"/>
              </w:rPr>
            </w:pPr>
            <w:r>
              <w:rPr>
                <w:noProof/>
              </w:rPr>
              <w:t>3–1.3. Dobíjení a doplňování paliva – 16281_Rámec pro instalaci a provoz infrastruktury pro dobíjení elektrických vozidel</w:t>
            </w:r>
          </w:p>
        </w:tc>
        <w:tc>
          <w:tcPr>
            <w:tcW w:w="966" w:type="dxa"/>
            <w:shd w:val="clear" w:color="auto" w:fill="C6EFCE"/>
            <w:noWrap/>
          </w:tcPr>
          <w:p w14:paraId="098E28DF" w14:textId="77777777" w:rsidR="00515398" w:rsidRDefault="006711E6">
            <w:pPr>
              <w:pStyle w:val="P68B1DB1-Normal9"/>
              <w:spacing w:after="0" w:line="240" w:lineRule="auto"/>
              <w:rPr>
                <w:rFonts w:eastAsia="Times New Roman" w:cs="Calibri"/>
                <w:noProof/>
                <w:szCs w:val="18"/>
              </w:rPr>
            </w:pPr>
            <w:r>
              <w:rPr>
                <w:noProof/>
              </w:rPr>
              <w:t>Milník</w:t>
            </w:r>
          </w:p>
        </w:tc>
        <w:tc>
          <w:tcPr>
            <w:tcW w:w="1197" w:type="dxa"/>
            <w:shd w:val="clear" w:color="auto" w:fill="C6EFCE"/>
            <w:noWrap/>
          </w:tcPr>
          <w:p w14:paraId="2DC29F25" w14:textId="77777777" w:rsidR="00515398" w:rsidRDefault="006711E6">
            <w:pPr>
              <w:pStyle w:val="P68B1DB1-Normal9"/>
              <w:spacing w:after="0" w:line="240" w:lineRule="auto"/>
              <w:rPr>
                <w:rFonts w:eastAsia="Times New Roman" w:cs="Calibri"/>
                <w:noProof/>
                <w:szCs w:val="18"/>
              </w:rPr>
            </w:pPr>
            <w:r>
              <w:rPr>
                <w:noProof/>
              </w:rPr>
              <w:t>Dobíjecí stanice pro elektrická vozidla – vstup právního rámce v platnost</w:t>
            </w:r>
          </w:p>
        </w:tc>
        <w:tc>
          <w:tcPr>
            <w:tcW w:w="1717" w:type="dxa"/>
            <w:shd w:val="clear" w:color="auto" w:fill="C6EFCE"/>
            <w:noWrap/>
          </w:tcPr>
          <w:p w14:paraId="1E6027C2" w14:textId="77777777" w:rsidR="00515398" w:rsidRDefault="006711E6">
            <w:pPr>
              <w:pStyle w:val="P68B1DB1-Normal9"/>
              <w:spacing w:after="0" w:line="240" w:lineRule="auto"/>
              <w:rPr>
                <w:rFonts w:eastAsia="Times New Roman" w:cs="Calibri"/>
                <w:noProof/>
                <w:szCs w:val="18"/>
              </w:rPr>
            </w:pPr>
            <w:r>
              <w:rPr>
                <w:noProof/>
              </w:rPr>
              <w:t xml:space="preserve">Vstup přijatých </w:t>
            </w:r>
            <w:r>
              <w:rPr>
                <w:noProof/>
              </w:rPr>
              <w:t>ministerských rozhodnutí v platnost.</w:t>
            </w:r>
          </w:p>
        </w:tc>
        <w:tc>
          <w:tcPr>
            <w:tcW w:w="1162" w:type="dxa"/>
            <w:shd w:val="clear" w:color="auto" w:fill="C6EFCE"/>
            <w:noWrap/>
          </w:tcPr>
          <w:p w14:paraId="69E204BB" w14:textId="77777777" w:rsidR="00515398" w:rsidRDefault="00515398">
            <w:pPr>
              <w:spacing w:after="0" w:line="240" w:lineRule="auto"/>
              <w:rPr>
                <w:rFonts w:eastAsia="Times New Roman" w:cs="Calibri"/>
                <w:noProof/>
                <w:color w:val="006100"/>
                <w:sz w:val="18"/>
                <w:szCs w:val="18"/>
              </w:rPr>
            </w:pPr>
          </w:p>
        </w:tc>
        <w:tc>
          <w:tcPr>
            <w:tcW w:w="1090" w:type="dxa"/>
            <w:shd w:val="clear" w:color="auto" w:fill="C6EFCE"/>
            <w:noWrap/>
          </w:tcPr>
          <w:p w14:paraId="1EDC702C" w14:textId="77777777" w:rsidR="00515398" w:rsidRDefault="00515398">
            <w:pPr>
              <w:spacing w:after="0" w:line="240" w:lineRule="auto"/>
              <w:rPr>
                <w:rFonts w:eastAsia="Times New Roman" w:cs="Calibri"/>
                <w:noProof/>
                <w:color w:val="006100"/>
                <w:sz w:val="18"/>
                <w:szCs w:val="18"/>
              </w:rPr>
            </w:pPr>
          </w:p>
        </w:tc>
        <w:tc>
          <w:tcPr>
            <w:tcW w:w="709" w:type="dxa"/>
            <w:shd w:val="clear" w:color="auto" w:fill="C6EFCE"/>
            <w:noWrap/>
          </w:tcPr>
          <w:p w14:paraId="09C81397" w14:textId="77777777" w:rsidR="00515398" w:rsidRDefault="00515398">
            <w:pPr>
              <w:spacing w:after="0" w:line="240" w:lineRule="auto"/>
              <w:rPr>
                <w:rFonts w:eastAsia="Times New Roman" w:cs="Calibri"/>
                <w:noProof/>
                <w:color w:val="006100"/>
                <w:sz w:val="18"/>
                <w:szCs w:val="18"/>
              </w:rPr>
            </w:pPr>
          </w:p>
        </w:tc>
        <w:tc>
          <w:tcPr>
            <w:tcW w:w="992" w:type="dxa"/>
            <w:shd w:val="clear" w:color="auto" w:fill="C6EFCE"/>
            <w:noWrap/>
          </w:tcPr>
          <w:p w14:paraId="5BA445E5" w14:textId="77777777" w:rsidR="00515398" w:rsidRDefault="006711E6">
            <w:pPr>
              <w:pStyle w:val="P68B1DB1-Normal9"/>
              <w:spacing w:after="0" w:line="240" w:lineRule="auto"/>
              <w:rPr>
                <w:rFonts w:eastAsia="Times New Roman" w:cs="Calibri"/>
                <w:noProof/>
                <w:szCs w:val="18"/>
              </w:rPr>
            </w:pPr>
            <w:r>
              <w:rPr>
                <w:noProof/>
              </w:rPr>
              <w:t>ČTVRTLETÍ 3</w:t>
            </w:r>
          </w:p>
        </w:tc>
        <w:tc>
          <w:tcPr>
            <w:tcW w:w="851" w:type="dxa"/>
            <w:shd w:val="clear" w:color="auto" w:fill="C6EFCE"/>
            <w:noWrap/>
          </w:tcPr>
          <w:p w14:paraId="481A4B51" w14:textId="77777777" w:rsidR="00515398" w:rsidRDefault="006711E6">
            <w:pPr>
              <w:pStyle w:val="P68B1DB1-Normal9"/>
              <w:spacing w:after="0" w:line="240" w:lineRule="auto"/>
              <w:rPr>
                <w:rFonts w:eastAsia="Times New Roman" w:cs="Calibri"/>
                <w:noProof/>
                <w:szCs w:val="18"/>
              </w:rPr>
            </w:pPr>
            <w:r>
              <w:rPr>
                <w:noProof/>
              </w:rPr>
              <w:t>2021</w:t>
            </w:r>
          </w:p>
        </w:tc>
        <w:tc>
          <w:tcPr>
            <w:tcW w:w="4438" w:type="dxa"/>
            <w:shd w:val="clear" w:color="auto" w:fill="C6EFCE"/>
            <w:noWrap/>
          </w:tcPr>
          <w:p w14:paraId="33C83632" w14:textId="77777777" w:rsidR="00515398" w:rsidRDefault="006711E6">
            <w:pPr>
              <w:pStyle w:val="P68B1DB1-Normal9"/>
              <w:spacing w:after="0" w:line="240" w:lineRule="auto"/>
              <w:rPr>
                <w:rFonts w:eastAsia="Times New Roman" w:cs="Calibri"/>
                <w:noProof/>
                <w:szCs w:val="18"/>
              </w:rPr>
            </w:pPr>
            <w:r>
              <w:rPr>
                <w:noProof/>
              </w:rPr>
              <w:t xml:space="preserve">Vstup v platnost všech ministerských rozhodnutí stanovených v zákoně č. 4710/2020 a podepsaných ministrem životního prostředí a energetiky; Ministr infrastruktury a dopravy, ministr vnitra a ministr </w:t>
            </w:r>
            <w:r>
              <w:rPr>
                <w:noProof/>
              </w:rPr>
              <w:t>financí, který organizuje trh elektrických vozidel se zaměřením na trh s dobíjecími službami a poskytuje daňové pobídky pro nákup elektrických vozidel a instalaci dobíjecí infrastruktury pro elektrická vozidla.</w:t>
            </w:r>
          </w:p>
        </w:tc>
      </w:tr>
      <w:tr w:rsidR="00515398" w14:paraId="0E08AC90" w14:textId="77777777">
        <w:trPr>
          <w:trHeight w:val="309"/>
        </w:trPr>
        <w:tc>
          <w:tcPr>
            <w:tcW w:w="1027" w:type="dxa"/>
            <w:shd w:val="clear" w:color="auto" w:fill="C6EFCE"/>
            <w:noWrap/>
          </w:tcPr>
          <w:p w14:paraId="38FE911F" w14:textId="77777777" w:rsidR="00515398" w:rsidRDefault="006711E6">
            <w:pPr>
              <w:pStyle w:val="P68B1DB1-Normal9"/>
              <w:spacing w:after="0" w:line="240" w:lineRule="auto"/>
              <w:rPr>
                <w:rFonts w:eastAsia="Times New Roman" w:cs="Calibri"/>
                <w:noProof/>
                <w:szCs w:val="18"/>
              </w:rPr>
            </w:pPr>
            <w:r>
              <w:rPr>
                <w:noProof/>
              </w:rPr>
              <w:t>43</w:t>
            </w:r>
          </w:p>
        </w:tc>
        <w:tc>
          <w:tcPr>
            <w:tcW w:w="1596" w:type="dxa"/>
            <w:shd w:val="clear" w:color="auto" w:fill="C6EFCE"/>
            <w:noWrap/>
          </w:tcPr>
          <w:p w14:paraId="19122882" w14:textId="77777777" w:rsidR="00515398" w:rsidRDefault="006711E6">
            <w:pPr>
              <w:pStyle w:val="P68B1DB1-Normal9"/>
              <w:spacing w:after="0" w:line="240" w:lineRule="auto"/>
              <w:rPr>
                <w:rFonts w:eastAsia="Times New Roman" w:cs="Calibri"/>
                <w:noProof/>
                <w:szCs w:val="18"/>
              </w:rPr>
            </w:pPr>
            <w:r>
              <w:rPr>
                <w:noProof/>
              </w:rPr>
              <w:t>3–1.3. Dobíjení a doplňování paliva – 16281_Rámec pro instalaci a provoz infrastruktury pro dobíjení elektrických vozidel</w:t>
            </w:r>
          </w:p>
        </w:tc>
        <w:tc>
          <w:tcPr>
            <w:tcW w:w="966" w:type="dxa"/>
            <w:shd w:val="clear" w:color="auto" w:fill="C6EFCE"/>
            <w:noWrap/>
          </w:tcPr>
          <w:p w14:paraId="68A8B953" w14:textId="77777777" w:rsidR="00515398" w:rsidRDefault="006711E6">
            <w:pPr>
              <w:pStyle w:val="P68B1DB1-Normal9"/>
              <w:spacing w:after="0" w:line="240" w:lineRule="auto"/>
              <w:rPr>
                <w:rFonts w:eastAsia="Times New Roman" w:cs="Calibri"/>
                <w:noProof/>
                <w:szCs w:val="18"/>
              </w:rPr>
            </w:pPr>
            <w:r>
              <w:rPr>
                <w:noProof/>
              </w:rPr>
              <w:t>Cílová</w:t>
            </w:r>
          </w:p>
        </w:tc>
        <w:tc>
          <w:tcPr>
            <w:tcW w:w="1197" w:type="dxa"/>
            <w:shd w:val="clear" w:color="auto" w:fill="C6EFCE"/>
            <w:noWrap/>
          </w:tcPr>
          <w:p w14:paraId="2BDA848A" w14:textId="77777777" w:rsidR="00515398" w:rsidRDefault="006711E6">
            <w:pPr>
              <w:pStyle w:val="P68B1DB1-Normal9"/>
              <w:spacing w:after="0" w:line="240" w:lineRule="auto"/>
              <w:rPr>
                <w:rFonts w:eastAsia="Times New Roman" w:cs="Calibri"/>
                <w:noProof/>
                <w:szCs w:val="18"/>
              </w:rPr>
            </w:pPr>
            <w:r>
              <w:rPr>
                <w:noProof/>
              </w:rPr>
              <w:t>Dobíjecí stanice pro elektrická vozidla – schváleny místní plány</w:t>
            </w:r>
          </w:p>
        </w:tc>
        <w:tc>
          <w:tcPr>
            <w:tcW w:w="1717" w:type="dxa"/>
            <w:shd w:val="clear" w:color="auto" w:fill="C6EFCE"/>
            <w:noWrap/>
          </w:tcPr>
          <w:p w14:paraId="791B5E5F" w14:textId="77777777" w:rsidR="00515398" w:rsidRDefault="00515398">
            <w:pPr>
              <w:spacing w:after="0" w:line="240" w:lineRule="auto"/>
              <w:rPr>
                <w:rFonts w:eastAsia="Times New Roman" w:cs="Calibri"/>
                <w:noProof/>
                <w:color w:val="006100"/>
                <w:sz w:val="18"/>
                <w:szCs w:val="18"/>
              </w:rPr>
            </w:pPr>
          </w:p>
        </w:tc>
        <w:tc>
          <w:tcPr>
            <w:tcW w:w="1162" w:type="dxa"/>
            <w:shd w:val="clear" w:color="auto" w:fill="C6EFCE"/>
            <w:noWrap/>
          </w:tcPr>
          <w:p w14:paraId="2A006437" w14:textId="77777777" w:rsidR="00515398" w:rsidRDefault="006711E6">
            <w:pPr>
              <w:pStyle w:val="P68B1DB1-Normal9"/>
              <w:spacing w:after="0" w:line="240" w:lineRule="auto"/>
              <w:rPr>
                <w:rFonts w:eastAsia="Times New Roman" w:cs="Calibri"/>
                <w:noProof/>
                <w:szCs w:val="18"/>
              </w:rPr>
            </w:pPr>
            <w:r>
              <w:rPr>
                <w:noProof/>
              </w:rPr>
              <w:t xml:space="preserve">Počet plánů přijatých Ministerstvem životního prostředí a </w:t>
            </w:r>
            <w:r>
              <w:rPr>
                <w:noProof/>
              </w:rPr>
              <w:t>energetiky</w:t>
            </w:r>
          </w:p>
        </w:tc>
        <w:tc>
          <w:tcPr>
            <w:tcW w:w="1090" w:type="dxa"/>
            <w:shd w:val="clear" w:color="auto" w:fill="C6EFCE"/>
            <w:noWrap/>
          </w:tcPr>
          <w:p w14:paraId="6C1155A3" w14:textId="77777777" w:rsidR="00515398" w:rsidRDefault="006711E6">
            <w:pPr>
              <w:pStyle w:val="P68B1DB1-Normal9"/>
              <w:spacing w:after="0" w:line="240" w:lineRule="auto"/>
              <w:rPr>
                <w:rFonts w:eastAsia="Times New Roman" w:cs="Calibri"/>
                <w:noProof/>
                <w:szCs w:val="18"/>
              </w:rPr>
            </w:pPr>
            <w:r>
              <w:rPr>
                <w:noProof/>
              </w:rPr>
              <w:t>0</w:t>
            </w:r>
          </w:p>
        </w:tc>
        <w:tc>
          <w:tcPr>
            <w:tcW w:w="709" w:type="dxa"/>
            <w:shd w:val="clear" w:color="auto" w:fill="C6EFCE"/>
            <w:noWrap/>
          </w:tcPr>
          <w:p w14:paraId="700F4F3D" w14:textId="77777777" w:rsidR="00515398" w:rsidRDefault="006711E6">
            <w:pPr>
              <w:pStyle w:val="P68B1DB1-Normal9"/>
              <w:spacing w:after="0" w:line="240" w:lineRule="auto"/>
              <w:rPr>
                <w:rFonts w:eastAsia="Times New Roman" w:cs="Calibri"/>
                <w:noProof/>
                <w:szCs w:val="18"/>
              </w:rPr>
            </w:pPr>
            <w:r>
              <w:rPr>
                <w:noProof/>
              </w:rPr>
              <w:t>300</w:t>
            </w:r>
          </w:p>
        </w:tc>
        <w:tc>
          <w:tcPr>
            <w:tcW w:w="992" w:type="dxa"/>
            <w:shd w:val="clear" w:color="auto" w:fill="C6EFCE"/>
            <w:noWrap/>
          </w:tcPr>
          <w:p w14:paraId="165FCF4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shd w:val="clear" w:color="auto" w:fill="C6EFCE"/>
            <w:noWrap/>
          </w:tcPr>
          <w:p w14:paraId="749F6A7F" w14:textId="77777777" w:rsidR="00515398" w:rsidRDefault="006711E6">
            <w:pPr>
              <w:pStyle w:val="P68B1DB1-Normal9"/>
              <w:spacing w:after="0" w:line="240" w:lineRule="auto"/>
              <w:rPr>
                <w:rFonts w:eastAsia="Times New Roman" w:cs="Calibri"/>
                <w:noProof/>
                <w:szCs w:val="18"/>
              </w:rPr>
            </w:pPr>
            <w:r>
              <w:rPr>
                <w:noProof/>
              </w:rPr>
              <w:t>2022</w:t>
            </w:r>
          </w:p>
        </w:tc>
        <w:tc>
          <w:tcPr>
            <w:tcW w:w="4438" w:type="dxa"/>
            <w:shd w:val="clear" w:color="auto" w:fill="C6EFCE"/>
            <w:noWrap/>
          </w:tcPr>
          <w:p w14:paraId="22C58193" w14:textId="77777777" w:rsidR="00515398" w:rsidRDefault="006711E6">
            <w:pPr>
              <w:pStyle w:val="P68B1DB1-Normal9"/>
              <w:spacing w:after="0" w:line="240" w:lineRule="auto"/>
              <w:rPr>
                <w:rFonts w:eastAsia="Times New Roman" w:cs="Calibri"/>
                <w:noProof/>
                <w:szCs w:val="18"/>
              </w:rPr>
            </w:pPr>
            <w:r>
              <w:rPr>
                <w:noProof/>
              </w:rPr>
              <w:t>Ministerstvo životního prostředí a energetiky přijme nejméně 300 plánů na instalaci veřejně dostupných dobíjecích stanic pro elektrická vozidla předložených místními orgány.</w:t>
            </w:r>
          </w:p>
        </w:tc>
      </w:tr>
    </w:tbl>
    <w:p w14:paraId="7DD0C0B6" w14:textId="77777777" w:rsidR="00515398" w:rsidRDefault="00515398">
      <w:pPr>
        <w:spacing w:before="120" w:after="120" w:line="240" w:lineRule="auto"/>
        <w:ind w:left="709"/>
        <w:jc w:val="both"/>
        <w:rPr>
          <w:rFonts w:ascii="Times New Roman" w:hAnsi="Times New Roman" w:cs="Times New Roman"/>
          <w:noProof/>
          <w:sz w:val="24"/>
          <w:szCs w:val="24"/>
        </w:rPr>
      </w:pPr>
    </w:p>
    <w:p w14:paraId="4C7E135B"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4: Elektromobilita</w:t>
      </w:r>
    </w:p>
    <w:p w14:paraId="1BB97309" w14:textId="77777777" w:rsidR="00515398" w:rsidRDefault="006711E6">
      <w:pPr>
        <w:pStyle w:val="P68B1DB1-Normal4"/>
        <w:spacing w:before="120" w:after="120" w:line="240" w:lineRule="auto"/>
        <w:ind w:left="709"/>
        <w:rPr>
          <w:rFonts w:cs="Times New Roman"/>
          <w:noProof/>
        </w:rPr>
      </w:pPr>
      <w:r>
        <w:rPr>
          <w:noProof/>
        </w:rPr>
        <w:t xml:space="preserve">Opatření </w:t>
      </w:r>
      <w:r>
        <w:rPr>
          <w:noProof/>
        </w:rPr>
        <w:t>zahrnutá do této skupiny jsou:</w:t>
      </w:r>
    </w:p>
    <w:p w14:paraId="347EE61B"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„Produc- E Green“ (ID: 16831)</w:t>
      </w:r>
    </w:p>
    <w:p w14:paraId="4EEF57BD" w14:textId="3744B21F"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 xml:space="preserve">Elektromobilita (ID: 16924) </w:t>
      </w:r>
    </w:p>
    <w:tbl>
      <w:tblPr>
        <w:tblW w:w="15191" w:type="dxa"/>
        <w:tblInd w:w="113" w:type="dxa"/>
        <w:tblLook w:val="04A0" w:firstRow="1" w:lastRow="0" w:firstColumn="1" w:lastColumn="0" w:noHBand="0" w:noVBand="1"/>
      </w:tblPr>
      <w:tblGrid>
        <w:gridCol w:w="994"/>
        <w:gridCol w:w="1816"/>
        <w:gridCol w:w="960"/>
        <w:gridCol w:w="1368"/>
        <w:gridCol w:w="2287"/>
        <w:gridCol w:w="1408"/>
        <w:gridCol w:w="830"/>
        <w:gridCol w:w="906"/>
        <w:gridCol w:w="952"/>
        <w:gridCol w:w="688"/>
        <w:gridCol w:w="3067"/>
      </w:tblGrid>
      <w:tr w:rsidR="00515398" w14:paraId="4B974AD3" w14:textId="77777777">
        <w:trPr>
          <w:trHeight w:val="939"/>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05DB21"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B4694A"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380FBA"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418" w:type="dxa"/>
            <w:vMerge w:val="restart"/>
            <w:tcBorders>
              <w:top w:val="single" w:sz="4" w:space="0" w:color="auto"/>
              <w:left w:val="nil"/>
              <w:bottom w:val="single" w:sz="4" w:space="0" w:color="auto"/>
              <w:right w:val="single" w:sz="4" w:space="0" w:color="auto"/>
            </w:tcBorders>
            <w:shd w:val="clear" w:color="auto" w:fill="BDD7EE"/>
            <w:vAlign w:val="center"/>
            <w:hideMark/>
          </w:tcPr>
          <w:p w14:paraId="33C0363A"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ED18DF"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253" w:type="dxa"/>
            <w:gridSpan w:val="3"/>
            <w:tcBorders>
              <w:top w:val="single" w:sz="4" w:space="0" w:color="auto"/>
              <w:left w:val="nil"/>
              <w:bottom w:val="single" w:sz="4" w:space="0" w:color="auto"/>
              <w:right w:val="single" w:sz="4" w:space="0" w:color="auto"/>
            </w:tcBorders>
            <w:shd w:val="clear" w:color="auto" w:fill="BDD7EE"/>
            <w:vAlign w:val="center"/>
            <w:hideMark/>
          </w:tcPr>
          <w:p w14:paraId="75E01FFD"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55" w:type="dxa"/>
            <w:gridSpan w:val="2"/>
            <w:tcBorders>
              <w:top w:val="single" w:sz="4" w:space="0" w:color="auto"/>
              <w:left w:val="nil"/>
              <w:bottom w:val="single" w:sz="4" w:space="0" w:color="auto"/>
              <w:right w:val="single" w:sz="4" w:space="0" w:color="auto"/>
            </w:tcBorders>
            <w:shd w:val="clear" w:color="auto" w:fill="BDD7EE"/>
            <w:vAlign w:val="center"/>
            <w:hideMark/>
          </w:tcPr>
          <w:p w14:paraId="32382C37"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1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0504D6"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25FCC058" w14:textId="77777777">
        <w:trPr>
          <w:trHeight w:val="531"/>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61E6CA1" w14:textId="77777777" w:rsidR="00515398" w:rsidRDefault="00515398">
            <w:pPr>
              <w:spacing w:after="0" w:line="240" w:lineRule="auto"/>
              <w:rPr>
                <w:rFonts w:ascii="Times New Roman" w:eastAsia="Times New Roman" w:hAnsi="Times New Roman" w:cs="Times New Roman"/>
                <w:b/>
                <w:bCs/>
                <w:noProof/>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83A0626" w14:textId="77777777" w:rsidR="00515398" w:rsidRDefault="00515398">
            <w:pPr>
              <w:spacing w:after="0" w:line="240" w:lineRule="auto"/>
              <w:rPr>
                <w:rFonts w:ascii="Times New Roman" w:eastAsia="Times New Roman" w:hAnsi="Times New Roman" w:cs="Times New Roman"/>
                <w:b/>
                <w:bCs/>
                <w:noProo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0AB958" w14:textId="77777777" w:rsidR="00515398" w:rsidRDefault="00515398">
            <w:pPr>
              <w:spacing w:after="0" w:line="240" w:lineRule="auto"/>
              <w:rPr>
                <w:rFonts w:ascii="Times New Roman" w:eastAsia="Times New Roman" w:hAnsi="Times New Roman" w:cs="Times New Roman"/>
                <w:b/>
                <w:bCs/>
                <w:noProof/>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754121" w14:textId="77777777" w:rsidR="00515398" w:rsidRDefault="00515398">
            <w:pPr>
              <w:spacing w:after="0" w:line="240" w:lineRule="auto"/>
              <w:rPr>
                <w:rFonts w:ascii="Times New Roman" w:eastAsia="Times New Roman" w:hAnsi="Times New Roman" w:cs="Times New Roman"/>
                <w:b/>
                <w:bCs/>
                <w:noProof/>
                <w:sz w:val="18"/>
                <w:szCs w:val="18"/>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785078DC" w14:textId="77777777" w:rsidR="00515398" w:rsidRDefault="00515398">
            <w:pPr>
              <w:spacing w:after="0" w:line="240" w:lineRule="auto"/>
              <w:rPr>
                <w:rFonts w:ascii="Times New Roman" w:eastAsia="Times New Roman" w:hAnsi="Times New Roman" w:cs="Times New Roman"/>
                <w:b/>
                <w:bCs/>
                <w:noProof/>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2398303"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363E3EE"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93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A2BF323"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31B38BE"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65C9F3F"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191" w:type="dxa"/>
            <w:vMerge/>
            <w:vAlign w:val="center"/>
            <w:hideMark/>
          </w:tcPr>
          <w:p w14:paraId="0A562602"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30F00A73"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C6BAA7C" w14:textId="77777777" w:rsidR="00515398" w:rsidRDefault="006711E6">
            <w:pPr>
              <w:pStyle w:val="P68B1DB1-Normal9"/>
              <w:spacing w:after="0" w:line="240" w:lineRule="auto"/>
              <w:rPr>
                <w:rFonts w:eastAsia="Times New Roman" w:cs="Calibri"/>
                <w:noProof/>
                <w:szCs w:val="18"/>
              </w:rPr>
            </w:pPr>
            <w:r>
              <w:rPr>
                <w:noProof/>
              </w:rPr>
              <w:t>44</w:t>
            </w:r>
          </w:p>
        </w:tc>
        <w:tc>
          <w:tcPr>
            <w:tcW w:w="1378" w:type="dxa"/>
            <w:tcBorders>
              <w:top w:val="single" w:sz="4" w:space="0" w:color="auto"/>
              <w:left w:val="nil"/>
              <w:bottom w:val="single" w:sz="4" w:space="0" w:color="auto"/>
              <w:right w:val="single" w:sz="4" w:space="0" w:color="auto"/>
            </w:tcBorders>
            <w:shd w:val="clear" w:color="auto" w:fill="C6EFCE"/>
            <w:noWrap/>
          </w:tcPr>
          <w:p w14:paraId="797851ED" w14:textId="77777777" w:rsidR="00515398" w:rsidRDefault="006711E6">
            <w:pPr>
              <w:pStyle w:val="P68B1DB1-Normal9"/>
              <w:spacing w:after="0" w:line="240" w:lineRule="auto"/>
              <w:rPr>
                <w:rFonts w:eastAsia="Times New Roman" w:cs="Calibri"/>
                <w:noProof/>
                <w:szCs w:val="18"/>
              </w:rPr>
            </w:pPr>
            <w:r>
              <w:rPr>
                <w:noProof/>
              </w:rPr>
              <w:t>3–1.3. Dobíjení a doplňování paliva – 16924_Elektromobilita</w:t>
            </w:r>
          </w:p>
        </w:tc>
        <w:tc>
          <w:tcPr>
            <w:tcW w:w="992" w:type="dxa"/>
            <w:tcBorders>
              <w:top w:val="single" w:sz="4" w:space="0" w:color="auto"/>
              <w:left w:val="nil"/>
              <w:bottom w:val="single" w:sz="4" w:space="0" w:color="auto"/>
              <w:right w:val="single" w:sz="4" w:space="0" w:color="auto"/>
            </w:tcBorders>
            <w:shd w:val="clear" w:color="auto" w:fill="C6EFCE"/>
            <w:noWrap/>
          </w:tcPr>
          <w:p w14:paraId="17EBED1B"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50F3EFF6" w14:textId="77777777" w:rsidR="00515398" w:rsidRDefault="006711E6">
            <w:pPr>
              <w:pStyle w:val="P68B1DB1-Normal9"/>
              <w:spacing w:after="0" w:line="240" w:lineRule="auto"/>
              <w:rPr>
                <w:rFonts w:eastAsia="Times New Roman" w:cs="Calibri"/>
                <w:noProof/>
                <w:szCs w:val="18"/>
              </w:rPr>
            </w:pPr>
            <w:r>
              <w:rPr>
                <w:noProof/>
              </w:rPr>
              <w:t xml:space="preserve">Veřejná doprava – vstup v platnost regulace trhu závazků </w:t>
            </w:r>
            <w:r>
              <w:rPr>
                <w:noProof/>
              </w:rPr>
              <w:t>veřejné služby (autobusy)</w:t>
            </w:r>
          </w:p>
        </w:tc>
        <w:tc>
          <w:tcPr>
            <w:tcW w:w="2377" w:type="dxa"/>
            <w:tcBorders>
              <w:top w:val="single" w:sz="4" w:space="0" w:color="auto"/>
              <w:left w:val="nil"/>
              <w:bottom w:val="single" w:sz="4" w:space="0" w:color="auto"/>
              <w:right w:val="single" w:sz="4" w:space="0" w:color="auto"/>
            </w:tcBorders>
            <w:shd w:val="clear" w:color="auto" w:fill="C6EFCE"/>
            <w:noWrap/>
          </w:tcPr>
          <w:p w14:paraId="39499153" w14:textId="77777777" w:rsidR="00515398" w:rsidRDefault="006711E6">
            <w:pPr>
              <w:pStyle w:val="P68B1DB1-Normal9"/>
              <w:spacing w:after="0" w:line="240" w:lineRule="auto"/>
              <w:rPr>
                <w:rFonts w:eastAsia="Times New Roman" w:cs="Calibri"/>
                <w:noProof/>
                <w:szCs w:val="18"/>
                <w:highlight w:val="yellow"/>
              </w:rPr>
            </w:pPr>
            <w:r>
              <w:rPr>
                <w:noProof/>
              </w:rPr>
              <w:t>Vstup revidovaného právního rámce v platnost.</w:t>
            </w:r>
          </w:p>
        </w:tc>
        <w:tc>
          <w:tcPr>
            <w:tcW w:w="1460" w:type="dxa"/>
            <w:tcBorders>
              <w:top w:val="single" w:sz="4" w:space="0" w:color="auto"/>
              <w:left w:val="nil"/>
              <w:bottom w:val="single" w:sz="4" w:space="0" w:color="auto"/>
              <w:right w:val="single" w:sz="4" w:space="0" w:color="auto"/>
            </w:tcBorders>
            <w:shd w:val="clear" w:color="auto" w:fill="C6EFCE"/>
            <w:noWrap/>
          </w:tcPr>
          <w:p w14:paraId="5658F8A4"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E477D1A"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079719E7"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AC9630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2AE8A82F" w14:textId="77777777" w:rsidR="00515398" w:rsidRDefault="006711E6">
            <w:pPr>
              <w:pStyle w:val="P68B1DB1-Normal9"/>
              <w:spacing w:after="0" w:line="240" w:lineRule="auto"/>
              <w:rPr>
                <w:rFonts w:eastAsia="Times New Roman" w:cs="Calibri"/>
                <w:noProof/>
                <w:szCs w:val="18"/>
              </w:rPr>
            </w:pPr>
            <w:r>
              <w:rPr>
                <w:noProof/>
              </w:rPr>
              <w:t>2021</w:t>
            </w:r>
          </w:p>
        </w:tc>
        <w:tc>
          <w:tcPr>
            <w:tcW w:w="3191" w:type="dxa"/>
            <w:tcBorders>
              <w:top w:val="single" w:sz="4" w:space="0" w:color="auto"/>
              <w:left w:val="nil"/>
              <w:bottom w:val="single" w:sz="4" w:space="0" w:color="auto"/>
              <w:right w:val="single" w:sz="4" w:space="0" w:color="auto"/>
            </w:tcBorders>
            <w:shd w:val="clear" w:color="auto" w:fill="C6EFCE"/>
            <w:noWrap/>
          </w:tcPr>
          <w:p w14:paraId="3A88E618" w14:textId="77777777" w:rsidR="00515398" w:rsidRDefault="006711E6">
            <w:pPr>
              <w:pStyle w:val="P68B1DB1-Normal9"/>
              <w:spacing w:after="0" w:line="240" w:lineRule="auto"/>
              <w:rPr>
                <w:rFonts w:eastAsia="Times New Roman" w:cs="Calibri"/>
                <w:noProof/>
                <w:szCs w:val="18"/>
              </w:rPr>
            </w:pPr>
            <w:r>
              <w:rPr>
                <w:noProof/>
              </w:rPr>
              <w:t xml:space="preserve">Posílit </w:t>
            </w:r>
            <w:r>
              <w:rPr>
                <w:noProof/>
              </w:rPr>
              <w:t xml:space="preserve">regulaci trhu tím, že vstoupí v platnost revidovaný legislativní rámec pro veřejné služby městské a regionální osobní dopravy (v souladu s pravidly EU 1370/2007). Revidovaný rámec: a) zajistit nepřetržité zásobování veřejnou městskou a regionální silniční </w:t>
            </w:r>
            <w:r>
              <w:rPr>
                <w:noProof/>
              </w:rPr>
              <w:t>osobní dopravou (plánovanou a pevnou trasou); b) dohlížet na projektování, organizaci a provoz souvisejících dopravních sítí; C) zajistit vysoce kvalitní veřejnou silniční dopravu s co nejnižšími náklady; d) regulovat proces udělování výlučných práv k prov</w:t>
            </w:r>
            <w:r>
              <w:rPr>
                <w:noProof/>
              </w:rPr>
              <w:t>ozování veřejných regionálních a městských tras (pravidelných a pevných tras); a e) upravit výši vyrovnávací platby za poskytování výše uvedených služeb. Zákon dále stanoví zastřešující kritéria pro budoucí zadávání veřejných zakázek na služby osobní dopra</w:t>
            </w:r>
            <w:r>
              <w:rPr>
                <w:noProof/>
              </w:rPr>
              <w:t>vy. Příslušné regiony a regionální jednotky stanoví podrobná kritéria specifická pro daný region, která řádně zohlední potřeby dopravy specifické pro daný region, a odpovídajícím způsobem doladí proces zadávání veřejných zakázek.</w:t>
            </w:r>
          </w:p>
        </w:tc>
      </w:tr>
      <w:tr w:rsidR="00515398" w14:paraId="78E5CAB3"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3CDAE8E" w14:textId="77777777" w:rsidR="00515398" w:rsidRDefault="006711E6">
            <w:pPr>
              <w:pStyle w:val="P68B1DB1-Normal9"/>
              <w:spacing w:after="0" w:line="240" w:lineRule="auto"/>
              <w:rPr>
                <w:rFonts w:eastAsia="Times New Roman" w:cs="Calibri"/>
                <w:noProof/>
                <w:szCs w:val="18"/>
              </w:rPr>
            </w:pPr>
            <w:r>
              <w:rPr>
                <w:noProof/>
              </w:rPr>
              <w:t>45</w:t>
            </w:r>
          </w:p>
        </w:tc>
        <w:tc>
          <w:tcPr>
            <w:tcW w:w="1378" w:type="dxa"/>
            <w:tcBorders>
              <w:top w:val="single" w:sz="4" w:space="0" w:color="auto"/>
              <w:left w:val="nil"/>
              <w:bottom w:val="single" w:sz="4" w:space="0" w:color="auto"/>
              <w:right w:val="single" w:sz="4" w:space="0" w:color="auto"/>
            </w:tcBorders>
            <w:shd w:val="clear" w:color="auto" w:fill="C6EFCE"/>
            <w:noWrap/>
          </w:tcPr>
          <w:p w14:paraId="04AE29B9" w14:textId="77777777" w:rsidR="00515398" w:rsidRDefault="006711E6">
            <w:pPr>
              <w:pStyle w:val="P68B1DB1-Normal9"/>
              <w:spacing w:after="0" w:line="240" w:lineRule="auto"/>
              <w:rPr>
                <w:rFonts w:eastAsia="Times New Roman" w:cs="Calibri"/>
                <w:noProof/>
                <w:szCs w:val="18"/>
              </w:rPr>
            </w:pPr>
            <w:r>
              <w:rPr>
                <w:noProof/>
              </w:rPr>
              <w:t xml:space="preserve">3–1.3. Dobíjení a </w:t>
            </w:r>
            <w:r>
              <w:rPr>
                <w:noProof/>
              </w:rPr>
              <w:t>doplňování paliva – 16924_Elektromobilita</w:t>
            </w:r>
          </w:p>
        </w:tc>
        <w:tc>
          <w:tcPr>
            <w:tcW w:w="992" w:type="dxa"/>
            <w:tcBorders>
              <w:top w:val="single" w:sz="4" w:space="0" w:color="auto"/>
              <w:left w:val="nil"/>
              <w:bottom w:val="single" w:sz="4" w:space="0" w:color="auto"/>
              <w:right w:val="single" w:sz="4" w:space="0" w:color="auto"/>
            </w:tcBorders>
            <w:shd w:val="clear" w:color="auto" w:fill="C6EFCE"/>
            <w:noWrap/>
          </w:tcPr>
          <w:p w14:paraId="28835129"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50CD5927" w14:textId="77777777" w:rsidR="00515398" w:rsidRDefault="006711E6">
            <w:pPr>
              <w:pStyle w:val="P68B1DB1-Normal9"/>
              <w:spacing w:after="0" w:line="240" w:lineRule="auto"/>
              <w:rPr>
                <w:rFonts w:eastAsia="Times New Roman" w:cs="Calibri"/>
                <w:noProof/>
                <w:szCs w:val="18"/>
              </w:rPr>
            </w:pPr>
            <w:r>
              <w:rPr>
                <w:noProof/>
              </w:rPr>
              <w:t>Veřejná doprava – provádění nové regulace trhu se závazky veřejné služby (autobusy)</w:t>
            </w:r>
          </w:p>
        </w:tc>
        <w:tc>
          <w:tcPr>
            <w:tcW w:w="2377" w:type="dxa"/>
            <w:tcBorders>
              <w:top w:val="single" w:sz="4" w:space="0" w:color="auto"/>
              <w:left w:val="nil"/>
              <w:bottom w:val="single" w:sz="4" w:space="0" w:color="auto"/>
              <w:right w:val="single" w:sz="4" w:space="0" w:color="auto"/>
            </w:tcBorders>
            <w:shd w:val="clear" w:color="auto" w:fill="C6EFCE"/>
            <w:noWrap/>
          </w:tcPr>
          <w:p w14:paraId="70E1FD0A" w14:textId="77777777" w:rsidR="00515398" w:rsidRDefault="006711E6">
            <w:pPr>
              <w:pStyle w:val="P68B1DB1-Normal9"/>
              <w:spacing w:after="0" w:line="240" w:lineRule="auto"/>
              <w:rPr>
                <w:rFonts w:eastAsia="Times New Roman" w:cs="Calibri"/>
                <w:noProof/>
                <w:szCs w:val="18"/>
                <w:highlight w:val="yellow"/>
              </w:rPr>
            </w:pPr>
            <w:r>
              <w:rPr>
                <w:noProof/>
              </w:rPr>
              <w:t>Vstup v platnost sekundárních právních předpisů týkajících se revidovaného právního rámce.</w:t>
            </w:r>
          </w:p>
        </w:tc>
        <w:tc>
          <w:tcPr>
            <w:tcW w:w="1460" w:type="dxa"/>
            <w:tcBorders>
              <w:top w:val="single" w:sz="4" w:space="0" w:color="auto"/>
              <w:left w:val="nil"/>
              <w:bottom w:val="single" w:sz="4" w:space="0" w:color="auto"/>
              <w:right w:val="single" w:sz="4" w:space="0" w:color="auto"/>
            </w:tcBorders>
            <w:shd w:val="clear" w:color="auto" w:fill="C6EFCE"/>
            <w:noWrap/>
          </w:tcPr>
          <w:p w14:paraId="28B55A9A"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061840F"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4814238B"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7A45B25" w14:textId="77777777" w:rsidR="00515398" w:rsidRDefault="006711E6">
            <w:pPr>
              <w:pStyle w:val="P68B1DB1-Normal9"/>
              <w:spacing w:after="0" w:line="240" w:lineRule="auto"/>
              <w:rPr>
                <w:rFonts w:eastAsia="Times New Roman" w:cs="Calibri"/>
                <w:noProof/>
                <w:szCs w:val="18"/>
              </w:rPr>
            </w:pPr>
            <w:r>
              <w:rPr>
                <w:noProof/>
              </w:rPr>
              <w:t>ČTVRTLETÍ 3</w:t>
            </w:r>
          </w:p>
        </w:tc>
        <w:tc>
          <w:tcPr>
            <w:tcW w:w="709" w:type="dxa"/>
            <w:tcBorders>
              <w:top w:val="single" w:sz="4" w:space="0" w:color="auto"/>
              <w:left w:val="nil"/>
              <w:bottom w:val="single" w:sz="4" w:space="0" w:color="auto"/>
              <w:right w:val="single" w:sz="4" w:space="0" w:color="auto"/>
            </w:tcBorders>
            <w:shd w:val="clear" w:color="auto" w:fill="C6EFCE"/>
            <w:noWrap/>
          </w:tcPr>
          <w:p w14:paraId="07497782" w14:textId="77777777" w:rsidR="00515398" w:rsidRDefault="006711E6">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287A5A45" w14:textId="77777777" w:rsidR="00515398" w:rsidRDefault="006711E6">
            <w:pPr>
              <w:pStyle w:val="P68B1DB1-Normal9"/>
              <w:spacing w:after="0" w:line="240" w:lineRule="auto"/>
              <w:rPr>
                <w:rFonts w:eastAsia="Times New Roman" w:cs="Calibri"/>
                <w:noProof/>
                <w:szCs w:val="18"/>
              </w:rPr>
            </w:pPr>
            <w:r>
              <w:rPr>
                <w:noProof/>
              </w:rPr>
              <w:t xml:space="preserve">Vstup v </w:t>
            </w:r>
            <w:r>
              <w:rPr>
                <w:noProof/>
              </w:rPr>
              <w:t>platnost sekundárních právních předpisů uvedených v revidovaném právním rámci s cílem posílit regulaci trhu veřejných služeb městské a regionální osobní dopravy.</w:t>
            </w:r>
          </w:p>
        </w:tc>
      </w:tr>
      <w:tr w:rsidR="00515398" w14:paraId="7CFF6602"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29E39BA" w14:textId="77777777" w:rsidR="00515398" w:rsidRDefault="006711E6">
            <w:pPr>
              <w:pStyle w:val="P68B1DB1-Normal9"/>
              <w:spacing w:after="0" w:line="240" w:lineRule="auto"/>
              <w:rPr>
                <w:rFonts w:eastAsia="Times New Roman" w:cs="Calibri"/>
                <w:noProof/>
                <w:szCs w:val="18"/>
              </w:rPr>
            </w:pPr>
            <w:r>
              <w:rPr>
                <w:noProof/>
              </w:rPr>
              <w:t>46</w:t>
            </w:r>
          </w:p>
        </w:tc>
        <w:tc>
          <w:tcPr>
            <w:tcW w:w="1378" w:type="dxa"/>
            <w:tcBorders>
              <w:top w:val="single" w:sz="4" w:space="0" w:color="auto"/>
              <w:left w:val="nil"/>
              <w:bottom w:val="single" w:sz="4" w:space="0" w:color="auto"/>
              <w:right w:val="single" w:sz="4" w:space="0" w:color="auto"/>
            </w:tcBorders>
            <w:shd w:val="clear" w:color="auto" w:fill="C6EFCE"/>
            <w:noWrap/>
          </w:tcPr>
          <w:p w14:paraId="2B19626C" w14:textId="77777777" w:rsidR="00515398" w:rsidRDefault="006711E6">
            <w:pPr>
              <w:pStyle w:val="P68B1DB1-Normal9"/>
              <w:spacing w:after="0" w:line="240" w:lineRule="auto"/>
              <w:rPr>
                <w:rFonts w:eastAsia="Times New Roman" w:cs="Calibri"/>
                <w:noProof/>
                <w:szCs w:val="18"/>
              </w:rPr>
            </w:pPr>
            <w:r>
              <w:rPr>
                <w:noProof/>
              </w:rPr>
              <w:t xml:space="preserve">3–1.3. Dobíjení a doplňování paliva – 16831_Produc- E Green </w:t>
            </w:r>
          </w:p>
        </w:tc>
        <w:tc>
          <w:tcPr>
            <w:tcW w:w="992" w:type="dxa"/>
            <w:tcBorders>
              <w:top w:val="single" w:sz="4" w:space="0" w:color="auto"/>
              <w:left w:val="nil"/>
              <w:bottom w:val="single" w:sz="4" w:space="0" w:color="auto"/>
              <w:right w:val="single" w:sz="4" w:space="0" w:color="auto"/>
            </w:tcBorders>
            <w:shd w:val="clear" w:color="auto" w:fill="C6EFCE"/>
            <w:noWrap/>
          </w:tcPr>
          <w:p w14:paraId="07E19883"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74A493CE" w14:textId="77777777" w:rsidR="00515398" w:rsidRDefault="006711E6">
            <w:pPr>
              <w:pStyle w:val="P68B1DB1-Normal9"/>
              <w:spacing w:after="0" w:line="240" w:lineRule="auto"/>
              <w:rPr>
                <w:rFonts w:eastAsia="Times New Roman" w:cs="Calibri"/>
                <w:noProof/>
                <w:szCs w:val="18"/>
              </w:rPr>
            </w:pPr>
            <w:r>
              <w:rPr>
                <w:noProof/>
              </w:rPr>
              <w:t xml:space="preserve">Průmyslové jednotky – </w:t>
            </w:r>
            <w:r>
              <w:rPr>
                <w:noProof/>
              </w:rPr>
              <w:t>zahájení programu</w:t>
            </w:r>
          </w:p>
        </w:tc>
        <w:tc>
          <w:tcPr>
            <w:tcW w:w="2377" w:type="dxa"/>
            <w:tcBorders>
              <w:top w:val="single" w:sz="4" w:space="0" w:color="auto"/>
              <w:left w:val="nil"/>
              <w:bottom w:val="single" w:sz="4" w:space="0" w:color="auto"/>
              <w:right w:val="single" w:sz="4" w:space="0" w:color="auto"/>
            </w:tcBorders>
            <w:shd w:val="clear" w:color="auto" w:fill="C6EFCE"/>
            <w:noWrap/>
          </w:tcPr>
          <w:p w14:paraId="68C74B35" w14:textId="77777777" w:rsidR="00515398" w:rsidRDefault="006711E6">
            <w:pPr>
              <w:pStyle w:val="P68B1DB1-Normal9"/>
              <w:spacing w:after="0" w:line="240" w:lineRule="auto"/>
              <w:rPr>
                <w:rFonts w:eastAsia="Times New Roman" w:cs="Calibri"/>
                <w:noProof/>
                <w:szCs w:val="18"/>
              </w:rPr>
            </w:pPr>
            <w:r>
              <w:rPr>
                <w:noProof/>
              </w:rPr>
              <w:t>Vstup ministerského rozhodnutí v platnost.</w:t>
            </w:r>
          </w:p>
          <w:p w14:paraId="409D1662" w14:textId="77777777" w:rsidR="00515398" w:rsidRDefault="00515398">
            <w:pPr>
              <w:spacing w:after="0" w:line="240" w:lineRule="auto"/>
              <w:rPr>
                <w:rFonts w:eastAsia="Times New Roman" w:cs="Calibri"/>
                <w:noProof/>
                <w:color w:val="006100"/>
                <w:sz w:val="18"/>
                <w:szCs w:val="18"/>
                <w:highlight w:val="yellow"/>
              </w:rPr>
            </w:pPr>
          </w:p>
        </w:tc>
        <w:tc>
          <w:tcPr>
            <w:tcW w:w="1460" w:type="dxa"/>
            <w:tcBorders>
              <w:top w:val="single" w:sz="4" w:space="0" w:color="auto"/>
              <w:left w:val="nil"/>
              <w:bottom w:val="single" w:sz="4" w:space="0" w:color="auto"/>
              <w:right w:val="single" w:sz="4" w:space="0" w:color="auto"/>
            </w:tcBorders>
            <w:shd w:val="clear" w:color="auto" w:fill="C6EFCE"/>
            <w:noWrap/>
          </w:tcPr>
          <w:p w14:paraId="6570772E"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69907CA"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57CC8F52"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DA32CC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57FAC9E1" w14:textId="77777777" w:rsidR="00515398" w:rsidRDefault="006711E6">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4B1F9DEC" w14:textId="77777777" w:rsidR="00515398" w:rsidRDefault="006711E6">
            <w:pPr>
              <w:pStyle w:val="P68B1DB1-Normal9"/>
              <w:spacing w:after="0" w:line="240" w:lineRule="auto"/>
              <w:rPr>
                <w:rFonts w:eastAsia="Times New Roman" w:cs="Calibri"/>
                <w:noProof/>
                <w:szCs w:val="18"/>
              </w:rPr>
            </w:pPr>
            <w:r>
              <w:rPr>
                <w:noProof/>
              </w:rPr>
              <w:t>Zahájení programu výběru průmyslových jednotek a vstup v platnost příslušného ministerského rozhodnutí Ministerstva životního prostředí a energetiky, které stanoví:</w:t>
            </w:r>
          </w:p>
          <w:p w14:paraId="16FA30C4" w14:textId="77777777" w:rsidR="00515398" w:rsidRDefault="006711E6">
            <w:pPr>
              <w:pStyle w:val="P68B1DB1-Normal9"/>
              <w:spacing w:after="0" w:line="240" w:lineRule="auto"/>
              <w:rPr>
                <w:rFonts w:eastAsia="Times New Roman" w:cs="Calibri"/>
                <w:noProof/>
                <w:szCs w:val="18"/>
              </w:rPr>
            </w:pPr>
            <w:r>
              <w:rPr>
                <w:noProof/>
              </w:rPr>
              <w:t xml:space="preserve">— </w:t>
            </w:r>
            <w:r>
              <w:rPr>
                <w:noProof/>
              </w:rPr>
              <w:t>Proces výběru zaměřený na nízkouhlíkové hospodářství a odolnost vůči změně klimatu,</w:t>
            </w:r>
          </w:p>
          <w:p w14:paraId="172D945D" w14:textId="77777777" w:rsidR="00515398" w:rsidRDefault="006711E6">
            <w:pPr>
              <w:pStyle w:val="P68B1DB1-Normal9"/>
              <w:spacing w:after="0" w:line="240" w:lineRule="auto"/>
              <w:rPr>
                <w:rFonts w:eastAsia="Times New Roman" w:cs="Calibri"/>
                <w:noProof/>
                <w:szCs w:val="18"/>
              </w:rPr>
            </w:pPr>
            <w:r>
              <w:rPr>
                <w:noProof/>
              </w:rPr>
              <w:t>—Definovaný prováděcí mechanismus,</w:t>
            </w:r>
          </w:p>
          <w:p w14:paraId="4AA1805D" w14:textId="77777777" w:rsidR="00515398" w:rsidRDefault="006711E6">
            <w:pPr>
              <w:pStyle w:val="P68B1DB1-Normal9"/>
              <w:spacing w:after="0" w:line="240" w:lineRule="auto"/>
              <w:rPr>
                <w:rFonts w:eastAsia="Times New Roman" w:cs="Calibri"/>
                <w:noProof/>
                <w:szCs w:val="18"/>
              </w:rPr>
            </w:pPr>
            <w:r>
              <w:rPr>
                <w:noProof/>
              </w:rPr>
              <w:t>— Certifikační mechanismus (mechanismy) pro ověření, zda je splněn cíl v oblasti změny klimatu (v případě potřeby včetně podrobností o mo</w:t>
            </w:r>
            <w:r>
              <w:rPr>
                <w:noProof/>
              </w:rPr>
              <w:t>žných nápravných opatřeních, a pokud</w:t>
            </w:r>
          </w:p>
          <w:p w14:paraId="30C63BB0" w14:textId="77777777" w:rsidR="00515398" w:rsidRDefault="006711E6">
            <w:pPr>
              <w:pStyle w:val="P68B1DB1-Normal9"/>
              <w:spacing w:after="0" w:line="240" w:lineRule="auto"/>
              <w:rPr>
                <w:rFonts w:eastAsia="Times New Roman" w:cs="Calibri"/>
                <w:noProof/>
                <w:szCs w:val="18"/>
              </w:rPr>
            </w:pPr>
            <w:r>
              <w:rPr>
                <w:noProof/>
              </w:rPr>
              <w:t>— Časová osa.</w:t>
            </w:r>
          </w:p>
          <w:p w14:paraId="3FECA8DA" w14:textId="77777777" w:rsidR="00515398" w:rsidRDefault="00515398">
            <w:pPr>
              <w:spacing w:after="0" w:line="240" w:lineRule="auto"/>
              <w:rPr>
                <w:rFonts w:eastAsia="Times New Roman" w:cs="Calibri"/>
                <w:noProof/>
                <w:color w:val="006100"/>
                <w:sz w:val="18"/>
                <w:szCs w:val="18"/>
              </w:rPr>
            </w:pPr>
          </w:p>
          <w:p w14:paraId="75168BD5" w14:textId="77777777" w:rsidR="00515398" w:rsidRDefault="006711E6">
            <w:pPr>
              <w:pStyle w:val="P68B1DB1-Normal9"/>
              <w:spacing w:after="0" w:line="240" w:lineRule="auto"/>
              <w:rPr>
                <w:rFonts w:eastAsia="Times New Roman" w:cs="Calibri"/>
                <w:noProof/>
                <w:szCs w:val="18"/>
              </w:rPr>
            </w:pPr>
            <w:r>
              <w:rPr>
                <w:noProof/>
              </w:rPr>
              <w:t>Stanovená kritéria výběru/způsobilosti zajistí, aby vybrané projekty splňovaly technické pokyny „významně nepoškozovat“ (2021/C58/01) prostřednictvím seznamu vyloučení a požadavku souladu s příslušnými pr</w:t>
            </w:r>
            <w:r>
              <w:rPr>
                <w:noProof/>
              </w:rPr>
              <w:t>ávními předpisy EU a vnitrostátními právními předpisy v oblasti životního prostředí.</w:t>
            </w:r>
          </w:p>
        </w:tc>
      </w:tr>
      <w:tr w:rsidR="00515398" w14:paraId="389443FF"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CF94FD6" w14:textId="77777777" w:rsidR="00515398" w:rsidRDefault="006711E6">
            <w:pPr>
              <w:pStyle w:val="P68B1DB1-Normal9"/>
              <w:spacing w:after="0" w:line="240" w:lineRule="auto"/>
              <w:rPr>
                <w:rFonts w:eastAsia="Times New Roman" w:cs="Calibri"/>
                <w:noProof/>
                <w:szCs w:val="18"/>
              </w:rPr>
            </w:pPr>
            <w:r>
              <w:rPr>
                <w:noProof/>
              </w:rPr>
              <w:t>47</w:t>
            </w:r>
          </w:p>
        </w:tc>
        <w:tc>
          <w:tcPr>
            <w:tcW w:w="1378" w:type="dxa"/>
            <w:tcBorders>
              <w:top w:val="single" w:sz="4" w:space="0" w:color="auto"/>
              <w:left w:val="nil"/>
              <w:bottom w:val="single" w:sz="4" w:space="0" w:color="auto"/>
              <w:right w:val="single" w:sz="4" w:space="0" w:color="auto"/>
            </w:tcBorders>
            <w:shd w:val="clear" w:color="auto" w:fill="C6EFCE"/>
            <w:noWrap/>
          </w:tcPr>
          <w:p w14:paraId="3378C159" w14:textId="77777777" w:rsidR="00515398" w:rsidRDefault="006711E6">
            <w:pPr>
              <w:pStyle w:val="P68B1DB1-Normal9"/>
              <w:spacing w:after="0" w:line="240" w:lineRule="auto"/>
              <w:rPr>
                <w:rFonts w:eastAsia="Times New Roman" w:cs="Calibri"/>
                <w:noProof/>
                <w:szCs w:val="18"/>
              </w:rPr>
            </w:pPr>
            <w:r>
              <w:rPr>
                <w:noProof/>
              </w:rPr>
              <w:t>3–1.3. Dobíjení a doplňování paliva – 16924_Elektromobilita</w:t>
            </w:r>
          </w:p>
        </w:tc>
        <w:tc>
          <w:tcPr>
            <w:tcW w:w="992" w:type="dxa"/>
            <w:tcBorders>
              <w:top w:val="single" w:sz="4" w:space="0" w:color="auto"/>
              <w:left w:val="nil"/>
              <w:bottom w:val="single" w:sz="4" w:space="0" w:color="auto"/>
              <w:right w:val="single" w:sz="4" w:space="0" w:color="auto"/>
            </w:tcBorders>
            <w:shd w:val="clear" w:color="auto" w:fill="C6EFCE"/>
            <w:noWrap/>
          </w:tcPr>
          <w:p w14:paraId="3A9E4FDE"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666ADE00" w14:textId="77777777" w:rsidR="00515398" w:rsidRDefault="006711E6">
            <w:pPr>
              <w:pStyle w:val="P68B1DB1-Normal9"/>
              <w:spacing w:after="0" w:line="240" w:lineRule="auto"/>
              <w:rPr>
                <w:rFonts w:eastAsia="Times New Roman" w:cs="Calibri"/>
                <w:noProof/>
                <w:szCs w:val="18"/>
              </w:rPr>
            </w:pPr>
            <w:r>
              <w:rPr>
                <w:noProof/>
              </w:rPr>
              <w:t xml:space="preserve"> Dobíjecí stanice pro elektrická vozidla – spuštění programů</w:t>
            </w:r>
          </w:p>
        </w:tc>
        <w:tc>
          <w:tcPr>
            <w:tcW w:w="2377" w:type="dxa"/>
            <w:tcBorders>
              <w:top w:val="single" w:sz="4" w:space="0" w:color="auto"/>
              <w:left w:val="nil"/>
              <w:bottom w:val="single" w:sz="4" w:space="0" w:color="auto"/>
              <w:right w:val="single" w:sz="4" w:space="0" w:color="auto"/>
            </w:tcBorders>
            <w:shd w:val="clear" w:color="auto" w:fill="C6EFCE"/>
            <w:noWrap/>
          </w:tcPr>
          <w:p w14:paraId="2CD3847C" w14:textId="77777777" w:rsidR="00515398" w:rsidRDefault="006711E6">
            <w:pPr>
              <w:pStyle w:val="P68B1DB1-Normal9"/>
              <w:spacing w:after="0" w:line="240" w:lineRule="auto"/>
              <w:rPr>
                <w:rFonts w:eastAsia="Times New Roman" w:cs="Calibri"/>
                <w:noProof/>
                <w:szCs w:val="18"/>
              </w:rPr>
            </w:pPr>
            <w:r>
              <w:rPr>
                <w:noProof/>
              </w:rPr>
              <w:t xml:space="preserve">Vstup ministerského rozhodnutí v </w:t>
            </w:r>
            <w:r>
              <w:rPr>
                <w:noProof/>
              </w:rPr>
              <w:t>platnost.</w:t>
            </w:r>
          </w:p>
          <w:p w14:paraId="498E64C2" w14:textId="77777777" w:rsidR="00515398" w:rsidRDefault="00515398">
            <w:pPr>
              <w:spacing w:after="0" w:line="240" w:lineRule="auto"/>
              <w:rPr>
                <w:rFonts w:eastAsia="Times New Roman" w:cs="Calibri"/>
                <w:noProof/>
                <w:color w:val="006100"/>
                <w:sz w:val="18"/>
                <w:szCs w:val="18"/>
              </w:rPr>
            </w:pPr>
          </w:p>
        </w:tc>
        <w:tc>
          <w:tcPr>
            <w:tcW w:w="1460" w:type="dxa"/>
            <w:tcBorders>
              <w:top w:val="single" w:sz="4" w:space="0" w:color="auto"/>
              <w:left w:val="nil"/>
              <w:bottom w:val="single" w:sz="4" w:space="0" w:color="auto"/>
              <w:right w:val="single" w:sz="4" w:space="0" w:color="auto"/>
            </w:tcBorders>
            <w:shd w:val="clear" w:color="auto" w:fill="C6EFCE"/>
            <w:noWrap/>
          </w:tcPr>
          <w:p w14:paraId="76BC4CE7"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0DF1F5F"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7AC35740"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2F726FD"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4E9F91C0" w14:textId="77777777" w:rsidR="00515398" w:rsidRDefault="006711E6">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5AA7446C" w14:textId="77777777" w:rsidR="00515398" w:rsidRDefault="006711E6">
            <w:pPr>
              <w:pStyle w:val="P68B1DB1-Normal9"/>
              <w:spacing w:after="0" w:line="240" w:lineRule="auto"/>
              <w:rPr>
                <w:rFonts w:eastAsia="Times New Roman" w:cs="Calibri"/>
                <w:noProof/>
                <w:szCs w:val="18"/>
              </w:rPr>
            </w:pPr>
            <w:r>
              <w:rPr>
                <w:noProof/>
              </w:rPr>
              <w:t xml:space="preserve">Zahájení programu výběru více než 8000 veřejně přístupných dobíjecích bodů pro elektrická vozidla ve strategických městských a příměstských lokalitách ve městech a v místech zájmu („elektromobilita“) a vstup v platnost </w:t>
            </w:r>
            <w:r>
              <w:rPr>
                <w:noProof/>
              </w:rPr>
              <w:t>příslušného ministerského rozhodnutí Ministerstva životního prostředí a energetiky, které stanoví:</w:t>
            </w:r>
          </w:p>
          <w:p w14:paraId="5DF8BC9F" w14:textId="77777777" w:rsidR="00515398" w:rsidRDefault="006711E6">
            <w:pPr>
              <w:pStyle w:val="P68B1DB1-Normal9"/>
              <w:spacing w:after="0" w:line="240" w:lineRule="auto"/>
              <w:rPr>
                <w:rFonts w:eastAsia="Times New Roman" w:cs="Calibri"/>
                <w:noProof/>
                <w:szCs w:val="18"/>
              </w:rPr>
            </w:pPr>
            <w:r>
              <w:rPr>
                <w:noProof/>
              </w:rPr>
              <w:t>— Výběrové řízení,</w:t>
            </w:r>
          </w:p>
          <w:p w14:paraId="2A69145A" w14:textId="77777777" w:rsidR="00515398" w:rsidRDefault="006711E6">
            <w:pPr>
              <w:pStyle w:val="P68B1DB1-Normal9"/>
              <w:spacing w:after="0" w:line="240" w:lineRule="auto"/>
              <w:rPr>
                <w:rFonts w:eastAsia="Times New Roman" w:cs="Calibri"/>
                <w:noProof/>
                <w:szCs w:val="18"/>
              </w:rPr>
            </w:pPr>
            <w:r>
              <w:rPr>
                <w:noProof/>
              </w:rPr>
              <w:t>—Definovaný prováděcí mechanismus,</w:t>
            </w:r>
          </w:p>
          <w:p w14:paraId="1C3E8C73" w14:textId="77777777" w:rsidR="00515398" w:rsidRDefault="006711E6">
            <w:pPr>
              <w:pStyle w:val="P68B1DB1-Normal9"/>
              <w:spacing w:after="0" w:line="240" w:lineRule="auto"/>
              <w:rPr>
                <w:rFonts w:eastAsia="Times New Roman" w:cs="Calibri"/>
                <w:noProof/>
                <w:szCs w:val="18"/>
              </w:rPr>
            </w:pPr>
            <w:r>
              <w:rPr>
                <w:noProof/>
              </w:rPr>
              <w:t>— Certifikační mechanismus (mechanismy) pro ověření, zda je splněn cíl v oblasti změny klimatu (v přípa</w:t>
            </w:r>
            <w:r>
              <w:rPr>
                <w:noProof/>
              </w:rPr>
              <w:t>dě potřeby včetně podrobností o možných nápravných opatřeních, a pokud</w:t>
            </w:r>
          </w:p>
          <w:p w14:paraId="269EE3C2" w14:textId="77777777" w:rsidR="00515398" w:rsidRDefault="006711E6">
            <w:pPr>
              <w:pStyle w:val="P68B1DB1-Normal9"/>
              <w:spacing w:after="0" w:line="240" w:lineRule="auto"/>
              <w:rPr>
                <w:rFonts w:eastAsia="Times New Roman" w:cs="Calibri"/>
                <w:noProof/>
                <w:szCs w:val="18"/>
              </w:rPr>
            </w:pPr>
            <w:r>
              <w:rPr>
                <w:noProof/>
              </w:rPr>
              <w:t>Časová osa</w:t>
            </w:r>
          </w:p>
        </w:tc>
      </w:tr>
      <w:tr w:rsidR="00515398" w14:paraId="38FFB40E"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B016228" w14:textId="77777777" w:rsidR="00515398" w:rsidRDefault="006711E6">
            <w:pPr>
              <w:pStyle w:val="P68B1DB1-Normal9"/>
              <w:spacing w:after="0" w:line="240" w:lineRule="auto"/>
              <w:rPr>
                <w:rFonts w:eastAsia="Times New Roman" w:cs="Calibri"/>
                <w:noProof/>
                <w:szCs w:val="18"/>
              </w:rPr>
            </w:pPr>
            <w:r>
              <w:rPr>
                <w:noProof/>
              </w:rPr>
              <w:t>48</w:t>
            </w:r>
          </w:p>
        </w:tc>
        <w:tc>
          <w:tcPr>
            <w:tcW w:w="1378" w:type="dxa"/>
            <w:tcBorders>
              <w:top w:val="single" w:sz="4" w:space="0" w:color="auto"/>
              <w:left w:val="nil"/>
              <w:bottom w:val="single" w:sz="4" w:space="0" w:color="auto"/>
              <w:right w:val="single" w:sz="4" w:space="0" w:color="auto"/>
            </w:tcBorders>
            <w:shd w:val="clear" w:color="auto" w:fill="C6EFCE"/>
            <w:noWrap/>
          </w:tcPr>
          <w:p w14:paraId="6F1F6E2C" w14:textId="77777777" w:rsidR="00515398" w:rsidRDefault="006711E6">
            <w:pPr>
              <w:pStyle w:val="P68B1DB1-Normal9"/>
              <w:spacing w:after="0" w:line="240" w:lineRule="auto"/>
              <w:rPr>
                <w:rFonts w:eastAsia="Times New Roman" w:cs="Calibri"/>
                <w:noProof/>
                <w:szCs w:val="18"/>
              </w:rPr>
            </w:pPr>
            <w:r>
              <w:rPr>
                <w:noProof/>
              </w:rPr>
              <w:t>3–1.3. Dobíjení a doplňování paliva – 16924_Elektromobilita</w:t>
            </w:r>
          </w:p>
        </w:tc>
        <w:tc>
          <w:tcPr>
            <w:tcW w:w="992" w:type="dxa"/>
            <w:tcBorders>
              <w:top w:val="single" w:sz="4" w:space="0" w:color="auto"/>
              <w:left w:val="nil"/>
              <w:bottom w:val="single" w:sz="4" w:space="0" w:color="auto"/>
              <w:right w:val="single" w:sz="4" w:space="0" w:color="auto"/>
            </w:tcBorders>
            <w:shd w:val="clear" w:color="auto" w:fill="C6EFCE"/>
            <w:noWrap/>
          </w:tcPr>
          <w:p w14:paraId="23D27F6E"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5D6F52BC" w14:textId="77777777" w:rsidR="00515398" w:rsidRDefault="006711E6">
            <w:pPr>
              <w:pStyle w:val="P68B1DB1-Normal9"/>
              <w:spacing w:after="0" w:line="240" w:lineRule="auto"/>
              <w:rPr>
                <w:rFonts w:eastAsia="Times New Roman" w:cs="Calibri"/>
                <w:noProof/>
                <w:szCs w:val="18"/>
              </w:rPr>
            </w:pPr>
            <w:r>
              <w:rPr>
                <w:noProof/>
              </w:rPr>
              <w:t>Udržitelná doprava – studie proveditelnosti</w:t>
            </w:r>
          </w:p>
        </w:tc>
        <w:tc>
          <w:tcPr>
            <w:tcW w:w="2377" w:type="dxa"/>
            <w:tcBorders>
              <w:top w:val="single" w:sz="4" w:space="0" w:color="auto"/>
              <w:left w:val="nil"/>
              <w:bottom w:val="single" w:sz="4" w:space="0" w:color="auto"/>
              <w:right w:val="single" w:sz="4" w:space="0" w:color="auto"/>
            </w:tcBorders>
            <w:shd w:val="clear" w:color="auto" w:fill="C6EFCE"/>
            <w:noWrap/>
          </w:tcPr>
          <w:p w14:paraId="12C5E3D8" w14:textId="77777777" w:rsidR="00515398" w:rsidRDefault="006711E6">
            <w:pPr>
              <w:pStyle w:val="P68B1DB1-Normal9"/>
              <w:spacing w:after="0" w:line="240" w:lineRule="auto"/>
              <w:rPr>
                <w:rFonts w:eastAsia="Times New Roman" w:cs="Calibri"/>
                <w:noProof/>
                <w:szCs w:val="18"/>
              </w:rPr>
            </w:pPr>
            <w:r>
              <w:rPr>
                <w:noProof/>
              </w:rPr>
              <w:t xml:space="preserve">Vstup v platnost společného ministerského rozhodnutí, </w:t>
            </w:r>
            <w:r>
              <w:rPr>
                <w:noProof/>
              </w:rPr>
              <w:t>kterým se přijímá studie proveditelnosti pro Agenturu pro elektronickou mobilitu.</w:t>
            </w:r>
          </w:p>
        </w:tc>
        <w:tc>
          <w:tcPr>
            <w:tcW w:w="1460" w:type="dxa"/>
            <w:tcBorders>
              <w:top w:val="single" w:sz="4" w:space="0" w:color="auto"/>
              <w:left w:val="nil"/>
              <w:bottom w:val="single" w:sz="4" w:space="0" w:color="auto"/>
              <w:right w:val="single" w:sz="4" w:space="0" w:color="auto"/>
            </w:tcBorders>
            <w:shd w:val="clear" w:color="auto" w:fill="C6EFCE"/>
            <w:noWrap/>
          </w:tcPr>
          <w:p w14:paraId="4CC29E60"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1429899"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52E5099C"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7AE925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3F3015CD" w14:textId="77777777" w:rsidR="00515398" w:rsidRDefault="006711E6">
            <w:pPr>
              <w:pStyle w:val="P68B1DB1-Normal9"/>
              <w:spacing w:after="0" w:line="240" w:lineRule="auto"/>
              <w:rPr>
                <w:rFonts w:eastAsia="Times New Roman" w:cs="Calibri"/>
                <w:noProof/>
                <w:szCs w:val="18"/>
              </w:rPr>
            </w:pPr>
            <w:r>
              <w:rPr>
                <w:noProof/>
              </w:rPr>
              <w:t>2022</w:t>
            </w:r>
          </w:p>
        </w:tc>
        <w:tc>
          <w:tcPr>
            <w:tcW w:w="3191" w:type="dxa"/>
            <w:tcBorders>
              <w:top w:val="single" w:sz="4" w:space="0" w:color="auto"/>
              <w:left w:val="nil"/>
              <w:bottom w:val="single" w:sz="4" w:space="0" w:color="auto"/>
              <w:right w:val="single" w:sz="4" w:space="0" w:color="auto"/>
            </w:tcBorders>
            <w:shd w:val="clear" w:color="auto" w:fill="C6EFCE"/>
            <w:noWrap/>
          </w:tcPr>
          <w:p w14:paraId="32C13449" w14:textId="77777777" w:rsidR="00515398" w:rsidRDefault="006711E6">
            <w:pPr>
              <w:pStyle w:val="P68B1DB1-Normal9"/>
              <w:spacing w:after="0" w:line="240" w:lineRule="auto"/>
              <w:rPr>
                <w:rFonts w:eastAsia="Times New Roman" w:cs="Calibri"/>
                <w:noProof/>
                <w:szCs w:val="18"/>
              </w:rPr>
            </w:pPr>
            <w:r>
              <w:rPr>
                <w:noProof/>
              </w:rPr>
              <w:t>Vstup v platnost společného ministerského rozhodnutí, kterým se přijímá studie proveditelnosti týkající se zřízení agentury pro elektromobilitu, která</w:t>
            </w:r>
            <w:r>
              <w:rPr>
                <w:noProof/>
              </w:rPr>
              <w:t xml:space="preserve"> zajistí vhodné plánování a koordinaci mezi dopravními a energetickými infrastrukturami, regionálními a místními samosprávami, a podpoří vazby mezi řetězcem elektronických dodávek – včetně výrobců baterií a obnovitelných zdrojů energie – a výzkumnou a inov</w:t>
            </w:r>
            <w:r>
              <w:rPr>
                <w:noProof/>
              </w:rPr>
              <w:t>ační základnou.</w:t>
            </w:r>
          </w:p>
        </w:tc>
      </w:tr>
      <w:tr w:rsidR="00515398" w14:paraId="3AF990E9"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6D0DB4A" w14:textId="77777777" w:rsidR="00515398" w:rsidRDefault="006711E6">
            <w:pPr>
              <w:pStyle w:val="P68B1DB1-Normal9"/>
              <w:spacing w:after="0" w:line="240" w:lineRule="auto"/>
              <w:rPr>
                <w:rFonts w:eastAsia="Times New Roman" w:cs="Calibri"/>
                <w:noProof/>
                <w:szCs w:val="18"/>
              </w:rPr>
            </w:pPr>
            <w:r>
              <w:rPr>
                <w:noProof/>
              </w:rPr>
              <w:t>50</w:t>
            </w:r>
          </w:p>
        </w:tc>
        <w:tc>
          <w:tcPr>
            <w:tcW w:w="1378" w:type="dxa"/>
            <w:tcBorders>
              <w:top w:val="single" w:sz="4" w:space="0" w:color="auto"/>
              <w:left w:val="nil"/>
              <w:bottom w:val="single" w:sz="4" w:space="0" w:color="auto"/>
              <w:right w:val="single" w:sz="4" w:space="0" w:color="auto"/>
            </w:tcBorders>
            <w:shd w:val="clear" w:color="auto" w:fill="C6EFCE"/>
            <w:noWrap/>
          </w:tcPr>
          <w:p w14:paraId="75799B98" w14:textId="77777777" w:rsidR="00515398" w:rsidRDefault="006711E6">
            <w:pPr>
              <w:pStyle w:val="P68B1DB1-Normal9"/>
              <w:spacing w:after="0" w:line="240" w:lineRule="auto"/>
              <w:rPr>
                <w:rFonts w:eastAsia="Times New Roman" w:cs="Calibri"/>
                <w:noProof/>
                <w:szCs w:val="18"/>
              </w:rPr>
            </w:pPr>
            <w:r>
              <w:rPr>
                <w:noProof/>
              </w:rPr>
              <w:t>3–1.3. Dobíjení a doplňování paliva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14:paraId="5552FDC5"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6BDE499A" w14:textId="77777777" w:rsidR="00515398" w:rsidRDefault="006711E6">
            <w:pPr>
              <w:pStyle w:val="P68B1DB1-Normal9"/>
              <w:spacing w:after="0" w:line="240" w:lineRule="auto"/>
              <w:rPr>
                <w:rFonts w:eastAsia="Times New Roman" w:cs="Calibri"/>
                <w:noProof/>
                <w:szCs w:val="18"/>
              </w:rPr>
            </w:pPr>
            <w:r>
              <w:rPr>
                <w:noProof/>
              </w:rPr>
              <w:t>Průmyslové jednotky – vybrané společnosti</w:t>
            </w:r>
          </w:p>
        </w:tc>
        <w:tc>
          <w:tcPr>
            <w:tcW w:w="2377" w:type="dxa"/>
            <w:tcBorders>
              <w:top w:val="single" w:sz="4" w:space="0" w:color="auto"/>
              <w:left w:val="nil"/>
              <w:bottom w:val="single" w:sz="4" w:space="0" w:color="auto"/>
              <w:right w:val="single" w:sz="4" w:space="0" w:color="auto"/>
            </w:tcBorders>
            <w:shd w:val="clear" w:color="auto" w:fill="C6EFCE"/>
            <w:noWrap/>
          </w:tcPr>
          <w:p w14:paraId="49BA8D62" w14:textId="77777777" w:rsidR="00515398" w:rsidRDefault="006711E6">
            <w:pPr>
              <w:pStyle w:val="P68B1DB1-Normal9"/>
              <w:spacing w:after="0" w:line="240" w:lineRule="auto"/>
              <w:rPr>
                <w:rFonts w:eastAsia="Times New Roman" w:cs="Calibri"/>
                <w:noProof/>
                <w:szCs w:val="18"/>
              </w:rPr>
            </w:pPr>
            <w:r>
              <w:rPr>
                <w:noProof/>
              </w:rPr>
              <w:t>Schvalování žádostí Ministerstvem životního prostředí a energetiky</w:t>
            </w:r>
          </w:p>
        </w:tc>
        <w:tc>
          <w:tcPr>
            <w:tcW w:w="1460" w:type="dxa"/>
            <w:tcBorders>
              <w:top w:val="single" w:sz="4" w:space="0" w:color="auto"/>
              <w:left w:val="nil"/>
              <w:bottom w:val="single" w:sz="4" w:space="0" w:color="auto"/>
              <w:right w:val="single" w:sz="4" w:space="0" w:color="auto"/>
            </w:tcBorders>
            <w:shd w:val="clear" w:color="auto" w:fill="C6EFCE"/>
            <w:noWrap/>
          </w:tcPr>
          <w:p w14:paraId="14CECCEF"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C98A89E"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67898D4A"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2FE2C3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0BF24B9D" w14:textId="77777777" w:rsidR="00515398" w:rsidRDefault="006711E6">
            <w:pPr>
              <w:pStyle w:val="P68B1DB1-Normal9"/>
              <w:spacing w:after="0" w:line="240" w:lineRule="auto"/>
              <w:rPr>
                <w:rFonts w:eastAsia="Times New Roman" w:cs="Calibri"/>
                <w:noProof/>
                <w:szCs w:val="18"/>
              </w:rPr>
            </w:pPr>
            <w:r>
              <w:rPr>
                <w:noProof/>
              </w:rPr>
              <w:t>2023</w:t>
            </w:r>
          </w:p>
        </w:tc>
        <w:tc>
          <w:tcPr>
            <w:tcW w:w="3191" w:type="dxa"/>
            <w:tcBorders>
              <w:top w:val="single" w:sz="4" w:space="0" w:color="auto"/>
              <w:left w:val="nil"/>
              <w:bottom w:val="single" w:sz="4" w:space="0" w:color="auto"/>
              <w:right w:val="single" w:sz="4" w:space="0" w:color="auto"/>
            </w:tcBorders>
            <w:shd w:val="clear" w:color="auto" w:fill="C6EFCE"/>
            <w:noWrap/>
          </w:tcPr>
          <w:p w14:paraId="694B8A84" w14:textId="77777777" w:rsidR="00515398" w:rsidRDefault="006711E6">
            <w:pPr>
              <w:pStyle w:val="P68B1DB1-Normal10"/>
              <w:spacing w:after="0" w:line="240" w:lineRule="auto"/>
              <w:rPr>
                <w:rFonts w:eastAsia="Times New Roman" w:cs="Calibri"/>
                <w:noProof/>
              </w:rPr>
            </w:pPr>
            <w:r>
              <w:rPr>
                <w:noProof/>
              </w:rPr>
              <w:t xml:space="preserve">Schválení žádostí podaných pro více </w:t>
            </w:r>
            <w:r>
              <w:rPr>
                <w:noProof/>
              </w:rPr>
              <w:t>než 10 průmyslových jednotek („Produce E-Green“) Ministerstvem životního prostředí a energetiky.</w:t>
            </w:r>
          </w:p>
          <w:p w14:paraId="120DEAE8" w14:textId="77777777" w:rsidR="00515398" w:rsidRDefault="006711E6">
            <w:pPr>
              <w:pStyle w:val="P68B1DB1-Normal10"/>
              <w:spacing w:after="0" w:line="240" w:lineRule="auto"/>
              <w:rPr>
                <w:rFonts w:eastAsia="Times New Roman" w:cs="Calibri"/>
                <w:noProof/>
              </w:rPr>
            </w:pPr>
            <w:r>
              <w:rPr>
                <w:noProof/>
              </w:rPr>
              <w:t>Žádosti se vybírají v souladu s kritérii výběru/způsobilosti a zajistí, aby vybrané projekty splňovaly technické pokyny „významně nepoškozovat“ (2021/C58/01) p</w:t>
            </w:r>
            <w:r>
              <w:rPr>
                <w:noProof/>
              </w:rPr>
              <w:t>rostřednictvím seznamu vyloučení a požadavku souladu s příslušnými právními předpisy EU a vnitrostátními právními předpisy v oblasti životního prostředí.</w:t>
            </w:r>
          </w:p>
        </w:tc>
      </w:tr>
      <w:tr w:rsidR="00515398" w14:paraId="5601DD39"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3391131" w14:textId="77777777" w:rsidR="00515398" w:rsidRDefault="006711E6">
            <w:pPr>
              <w:pStyle w:val="P68B1DB1-Normal9"/>
              <w:spacing w:after="0" w:line="240" w:lineRule="auto"/>
              <w:rPr>
                <w:rFonts w:eastAsia="Times New Roman" w:cs="Calibri"/>
                <w:noProof/>
                <w:szCs w:val="18"/>
              </w:rPr>
            </w:pPr>
            <w:r>
              <w:rPr>
                <w:noProof/>
              </w:rPr>
              <w:t>51</w:t>
            </w:r>
          </w:p>
        </w:tc>
        <w:tc>
          <w:tcPr>
            <w:tcW w:w="1378" w:type="dxa"/>
            <w:tcBorders>
              <w:top w:val="single" w:sz="4" w:space="0" w:color="auto"/>
              <w:left w:val="nil"/>
              <w:bottom w:val="single" w:sz="4" w:space="0" w:color="auto"/>
              <w:right w:val="single" w:sz="4" w:space="0" w:color="auto"/>
            </w:tcBorders>
            <w:shd w:val="clear" w:color="auto" w:fill="C6EFCE"/>
            <w:noWrap/>
          </w:tcPr>
          <w:p w14:paraId="0F55306A" w14:textId="77777777" w:rsidR="00515398" w:rsidRDefault="006711E6">
            <w:pPr>
              <w:pStyle w:val="P68B1DB1-Normal9"/>
              <w:spacing w:after="0" w:line="240" w:lineRule="auto"/>
              <w:rPr>
                <w:rFonts w:eastAsia="Times New Roman" w:cs="Calibri"/>
                <w:noProof/>
                <w:szCs w:val="18"/>
              </w:rPr>
            </w:pPr>
            <w:r>
              <w:rPr>
                <w:noProof/>
              </w:rPr>
              <w:t>3–1.3. Dobíjení a doplňování paliva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14:paraId="522EFB0B"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6F61B919" w14:textId="77777777" w:rsidR="00515398" w:rsidRDefault="006711E6">
            <w:pPr>
              <w:pStyle w:val="P68B1DB1-Normal9"/>
              <w:spacing w:after="0" w:line="240" w:lineRule="auto"/>
              <w:rPr>
                <w:rFonts w:eastAsia="Times New Roman" w:cs="Calibri"/>
                <w:noProof/>
                <w:szCs w:val="18"/>
              </w:rPr>
            </w:pPr>
            <w:r>
              <w:rPr>
                <w:noProof/>
              </w:rPr>
              <w:t xml:space="preserve">Zachycování a ukládání uhlíku </w:t>
            </w:r>
            <w:r>
              <w:rPr>
                <w:noProof/>
              </w:rPr>
              <w:t>(CCS) – povolení k ukládání</w:t>
            </w:r>
          </w:p>
        </w:tc>
        <w:tc>
          <w:tcPr>
            <w:tcW w:w="2377" w:type="dxa"/>
            <w:tcBorders>
              <w:top w:val="single" w:sz="4" w:space="0" w:color="auto"/>
              <w:left w:val="nil"/>
              <w:bottom w:val="single" w:sz="4" w:space="0" w:color="auto"/>
              <w:right w:val="single" w:sz="4" w:space="0" w:color="auto"/>
            </w:tcBorders>
            <w:shd w:val="clear" w:color="auto" w:fill="C6EFCE"/>
            <w:noWrap/>
          </w:tcPr>
          <w:p w14:paraId="1306E7B3" w14:textId="77777777" w:rsidR="00515398" w:rsidRDefault="006711E6">
            <w:pPr>
              <w:pStyle w:val="P68B1DB1-Normal9"/>
              <w:spacing w:after="0" w:line="240" w:lineRule="auto"/>
              <w:rPr>
                <w:rFonts w:eastAsia="Times New Roman" w:cs="Calibri"/>
                <w:noProof/>
                <w:szCs w:val="18"/>
              </w:rPr>
            </w:pPr>
            <w:r>
              <w:rPr>
                <w:noProof/>
              </w:rPr>
              <w:t>Vydání povolení ke skladování a zřízení systému podávání zpráv.</w:t>
            </w:r>
          </w:p>
        </w:tc>
        <w:tc>
          <w:tcPr>
            <w:tcW w:w="1460" w:type="dxa"/>
            <w:tcBorders>
              <w:top w:val="single" w:sz="4" w:space="0" w:color="auto"/>
              <w:left w:val="nil"/>
              <w:bottom w:val="single" w:sz="4" w:space="0" w:color="auto"/>
              <w:right w:val="single" w:sz="4" w:space="0" w:color="auto"/>
            </w:tcBorders>
            <w:shd w:val="clear" w:color="auto" w:fill="C6EFCE"/>
            <w:noWrap/>
          </w:tcPr>
          <w:p w14:paraId="0AF37BFF"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9E8A16E"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2C85D0DA"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4AA1782" w14:textId="5BD23EB0"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2C54A7AD" w14:textId="77777777" w:rsidR="00515398" w:rsidRDefault="006711E6">
            <w:pPr>
              <w:pStyle w:val="P68B1DB1-Normal9"/>
              <w:spacing w:after="0" w:line="240" w:lineRule="auto"/>
              <w:rPr>
                <w:rFonts w:eastAsia="Times New Roman" w:cs="Calibri"/>
                <w:noProof/>
                <w:szCs w:val="18"/>
              </w:rPr>
            </w:pPr>
            <w:r>
              <w:rPr>
                <w:noProof/>
              </w:rPr>
              <w:t>2024</w:t>
            </w:r>
          </w:p>
        </w:tc>
        <w:tc>
          <w:tcPr>
            <w:tcW w:w="3191" w:type="dxa"/>
            <w:tcBorders>
              <w:top w:val="single" w:sz="4" w:space="0" w:color="auto"/>
              <w:left w:val="nil"/>
              <w:bottom w:val="single" w:sz="4" w:space="0" w:color="auto"/>
              <w:right w:val="single" w:sz="4" w:space="0" w:color="auto"/>
            </w:tcBorders>
            <w:shd w:val="clear" w:color="auto" w:fill="C6EFCE"/>
            <w:noWrap/>
          </w:tcPr>
          <w:p w14:paraId="46B15C55" w14:textId="77777777" w:rsidR="00515398" w:rsidRDefault="006711E6">
            <w:pPr>
              <w:pStyle w:val="P68B1DB1-Normal9"/>
              <w:spacing w:after="0" w:line="240" w:lineRule="auto"/>
              <w:rPr>
                <w:rFonts w:eastAsia="Times New Roman" w:cs="Calibri"/>
                <w:noProof/>
                <w:szCs w:val="18"/>
              </w:rPr>
            </w:pPr>
            <w:r>
              <w:rPr>
                <w:noProof/>
              </w:rPr>
              <w:t xml:space="preserve">Vydání povolení ke skladování potvrzenému provozovateli ministerstvem odpovědným za zachycování a ukládání uhlíku (CCS). Podání úplné </w:t>
            </w:r>
            <w:r>
              <w:rPr>
                <w:noProof/>
              </w:rPr>
              <w:t>žádosti žadatelem Ministerstvu životního prostředí a energetiky, která by zahrnovala všechny relevantní studie, jakož i studii posouzení vlivů na životní prostředí. Zřízení systému podávání výročních zpráv o uloženém CO</w:t>
            </w:r>
            <w:r>
              <w:rPr>
                <w:noProof/>
                <w:vertAlign w:val="subscript"/>
              </w:rPr>
              <w:t>2</w:t>
            </w:r>
            <w:r>
              <w:rPr>
                <w:noProof/>
              </w:rPr>
              <w:t xml:space="preserve"> a potvrzení, že nebyla vytěžena žád</w:t>
            </w:r>
            <w:r>
              <w:rPr>
                <w:noProof/>
              </w:rPr>
              <w:t>ná ropa, s výjimkou systému omezeného na nezbytné potřeby řízení tlaku a zajištění bezpečnosti úložišť, a že jakýkoli proces CO</w:t>
            </w:r>
            <w:r>
              <w:rPr>
                <w:noProof/>
                <w:vertAlign w:val="subscript"/>
              </w:rPr>
              <w:t>2</w:t>
            </w:r>
            <w:r>
              <w:rPr>
                <w:noProof/>
              </w:rPr>
              <w:t xml:space="preserve"> související s nezbytnou těžbou musí být oddělen a krmen zpět pro trvalé uložení.</w:t>
            </w:r>
          </w:p>
          <w:p w14:paraId="1D300378" w14:textId="77777777" w:rsidR="00515398" w:rsidRDefault="006711E6">
            <w:pPr>
              <w:pStyle w:val="P68B1DB1-Normal9"/>
              <w:spacing w:after="0" w:line="240" w:lineRule="auto"/>
              <w:rPr>
                <w:rFonts w:eastAsia="Times New Roman" w:cs="Calibri"/>
                <w:noProof/>
                <w:szCs w:val="18"/>
              </w:rPr>
            </w:pPr>
            <w:r>
              <w:rPr>
                <w:noProof/>
              </w:rPr>
              <w:t>Zásah se provádí v souladu s kritérii výběru/z</w:t>
            </w:r>
            <w:r>
              <w:rPr>
                <w:noProof/>
              </w:rPr>
              <w:t>působilosti obsaženými v technických pokynech k zásadě „významně nepoškozovat“ (2021/C58/01), se zvláštním odkazem na splnění požadavku, aby neexistovaly žádné technologické aplikace, ani žádný typ zařízení a zařízení vyvinutých pro aplikaci zdokonalené tě</w:t>
            </w:r>
            <w:r>
              <w:rPr>
                <w:noProof/>
              </w:rPr>
              <w:t>žby ropy (EOR) a zvýšení produkce ropy. Je třeba dbát na to, aby jakákoli případná těžba ropy nebo zemního plynu byla omezena na nezbytné potřeby řízení tlaku a zajištění bezpečnosti úložišť a aby tato těžba byla provedena pouze tehdy, je-li to nezbytné pr</w:t>
            </w:r>
            <w:r>
              <w:rPr>
                <w:noProof/>
              </w:rPr>
              <w:t>o zajištění bezpečného skladování CO</w:t>
            </w:r>
            <w:r>
              <w:rPr>
                <w:noProof/>
                <w:vertAlign w:val="subscript"/>
              </w:rPr>
              <w:t>2</w:t>
            </w:r>
            <w:r>
              <w:rPr>
                <w:noProof/>
              </w:rPr>
              <w:t>. CO</w:t>
            </w:r>
            <w:r>
              <w:rPr>
                <w:noProof/>
                <w:vertAlign w:val="subscript"/>
              </w:rPr>
              <w:t>2</w:t>
            </w:r>
            <w:r>
              <w:rPr>
                <w:noProof/>
              </w:rPr>
              <w:t xml:space="preserve"> s libovolnou ropou nebo plynem, které mohou být vytěženy, musí být oddělen a krmen zpět k trvalému uložení.</w:t>
            </w:r>
          </w:p>
        </w:tc>
      </w:tr>
      <w:tr w:rsidR="00515398" w14:paraId="64E530A3"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090AA40" w14:textId="77777777" w:rsidR="00515398" w:rsidRDefault="006711E6">
            <w:pPr>
              <w:pStyle w:val="P68B1DB1-Normal9"/>
              <w:spacing w:after="0" w:line="240" w:lineRule="auto"/>
              <w:rPr>
                <w:rFonts w:eastAsia="Times New Roman" w:cs="Calibri"/>
                <w:noProof/>
                <w:szCs w:val="18"/>
              </w:rPr>
            </w:pPr>
            <w:r>
              <w:rPr>
                <w:noProof/>
              </w:rPr>
              <w:t>45a</w:t>
            </w:r>
          </w:p>
        </w:tc>
        <w:tc>
          <w:tcPr>
            <w:tcW w:w="1378" w:type="dxa"/>
            <w:tcBorders>
              <w:top w:val="single" w:sz="4" w:space="0" w:color="auto"/>
              <w:left w:val="nil"/>
              <w:bottom w:val="single" w:sz="4" w:space="0" w:color="auto"/>
              <w:right w:val="single" w:sz="4" w:space="0" w:color="auto"/>
            </w:tcBorders>
            <w:shd w:val="clear" w:color="auto" w:fill="C6EFCE"/>
            <w:noWrap/>
          </w:tcPr>
          <w:p w14:paraId="68E02B38" w14:textId="77777777" w:rsidR="00515398" w:rsidRDefault="006711E6">
            <w:pPr>
              <w:pStyle w:val="P68B1DB1-Normal9"/>
              <w:spacing w:after="0" w:line="240" w:lineRule="auto"/>
              <w:rPr>
                <w:rFonts w:eastAsia="Times New Roman" w:cs="Calibri"/>
                <w:noProof/>
                <w:szCs w:val="18"/>
              </w:rPr>
            </w:pPr>
            <w:r>
              <w:rPr>
                <w:noProof/>
              </w:rPr>
              <w:t xml:space="preserve">3–1.3. Dobíjení a doplňování paliva — </w:t>
            </w:r>
          </w:p>
          <w:p w14:paraId="7AE6F89A" w14:textId="77777777" w:rsidR="00515398" w:rsidRDefault="006711E6">
            <w:pPr>
              <w:pStyle w:val="P68B1DB1-Normal9"/>
              <w:spacing w:after="0" w:line="240" w:lineRule="auto"/>
              <w:rPr>
                <w:rFonts w:eastAsia="Times New Roman" w:cs="Calibri"/>
                <w:noProof/>
                <w:szCs w:val="18"/>
              </w:rPr>
            </w:pPr>
            <w:r>
              <w:rPr>
                <w:noProof/>
              </w:rPr>
              <w:t>16924_Elektromobilita</w:t>
            </w:r>
          </w:p>
        </w:tc>
        <w:tc>
          <w:tcPr>
            <w:tcW w:w="992" w:type="dxa"/>
            <w:tcBorders>
              <w:top w:val="single" w:sz="4" w:space="0" w:color="auto"/>
              <w:left w:val="nil"/>
              <w:bottom w:val="single" w:sz="4" w:space="0" w:color="auto"/>
              <w:right w:val="single" w:sz="4" w:space="0" w:color="auto"/>
            </w:tcBorders>
            <w:shd w:val="clear" w:color="auto" w:fill="C6EFCE"/>
            <w:noWrap/>
          </w:tcPr>
          <w:p w14:paraId="09DC366B"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60204DC2" w14:textId="5D4BA05E" w:rsidR="00515398" w:rsidRDefault="006711E6">
            <w:pPr>
              <w:pStyle w:val="P68B1DB1-Normal9"/>
              <w:spacing w:after="0" w:line="240" w:lineRule="auto"/>
              <w:rPr>
                <w:rFonts w:eastAsia="Times New Roman" w:cs="Calibri"/>
                <w:noProof/>
                <w:szCs w:val="18"/>
              </w:rPr>
            </w:pPr>
            <w:r>
              <w:rPr>
                <w:noProof/>
              </w:rPr>
              <w:t xml:space="preserve">Veřejná doprava – zahájení </w:t>
            </w:r>
            <w:r>
              <w:rPr>
                <w:noProof/>
              </w:rPr>
              <w:t>zadávacích řízení pro provozovatele autobusové dopravy zveřejněním příslušných výzev pro 12 regionů</w:t>
            </w:r>
          </w:p>
        </w:tc>
        <w:tc>
          <w:tcPr>
            <w:tcW w:w="2377" w:type="dxa"/>
            <w:tcBorders>
              <w:top w:val="single" w:sz="4" w:space="0" w:color="auto"/>
              <w:left w:val="nil"/>
              <w:bottom w:val="single" w:sz="4" w:space="0" w:color="auto"/>
              <w:right w:val="single" w:sz="4" w:space="0" w:color="auto"/>
            </w:tcBorders>
            <w:shd w:val="clear" w:color="auto" w:fill="C6EFCE"/>
            <w:noWrap/>
          </w:tcPr>
          <w:p w14:paraId="5253EFBB" w14:textId="6BE46CD3" w:rsidR="00515398" w:rsidRDefault="006711E6">
            <w:pPr>
              <w:pStyle w:val="P68B1DB1-Normal9"/>
              <w:spacing w:after="0" w:line="240" w:lineRule="auto"/>
              <w:rPr>
                <w:rFonts w:eastAsia="Times New Roman" w:cs="Calibri"/>
                <w:noProof/>
                <w:szCs w:val="18"/>
              </w:rPr>
            </w:pPr>
            <w:r>
              <w:rPr>
                <w:noProof/>
              </w:rPr>
              <w:t>Zahájená zadávací řízení – zveřejněním příslušných výzev pro 12 regionů.</w:t>
            </w:r>
          </w:p>
        </w:tc>
        <w:tc>
          <w:tcPr>
            <w:tcW w:w="1460" w:type="dxa"/>
            <w:tcBorders>
              <w:top w:val="single" w:sz="4" w:space="0" w:color="auto"/>
              <w:left w:val="nil"/>
              <w:bottom w:val="single" w:sz="4" w:space="0" w:color="auto"/>
              <w:right w:val="single" w:sz="4" w:space="0" w:color="auto"/>
            </w:tcBorders>
            <w:shd w:val="clear" w:color="auto" w:fill="C6EFCE"/>
            <w:noWrap/>
          </w:tcPr>
          <w:p w14:paraId="7920B41E"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6AAE545"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152A8A5F"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C0B0D3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6F05F0DB" w14:textId="77777777" w:rsidR="00515398" w:rsidRDefault="006711E6">
            <w:pPr>
              <w:pStyle w:val="P68B1DB1-Normal9"/>
              <w:spacing w:after="0" w:line="240" w:lineRule="auto"/>
              <w:rPr>
                <w:rFonts w:eastAsia="Times New Roman" w:cs="Calibri"/>
                <w:noProof/>
                <w:szCs w:val="18"/>
              </w:rPr>
            </w:pPr>
            <w:r>
              <w:rPr>
                <w:noProof/>
              </w:rPr>
              <w:t>2024</w:t>
            </w:r>
          </w:p>
        </w:tc>
        <w:tc>
          <w:tcPr>
            <w:tcW w:w="3191" w:type="dxa"/>
            <w:tcBorders>
              <w:top w:val="single" w:sz="4" w:space="0" w:color="auto"/>
              <w:left w:val="nil"/>
              <w:bottom w:val="single" w:sz="4" w:space="0" w:color="auto"/>
              <w:right w:val="single" w:sz="4" w:space="0" w:color="auto"/>
            </w:tcBorders>
            <w:shd w:val="clear" w:color="auto" w:fill="C6EFCE"/>
            <w:noWrap/>
          </w:tcPr>
          <w:p w14:paraId="51F5FC84" w14:textId="73B19896" w:rsidR="00515398" w:rsidRDefault="006711E6">
            <w:pPr>
              <w:pStyle w:val="P68B1DB1-Normal9"/>
              <w:spacing w:after="0" w:line="240" w:lineRule="auto"/>
              <w:rPr>
                <w:rFonts w:eastAsia="Times New Roman" w:cs="Calibri"/>
                <w:noProof/>
                <w:szCs w:val="18"/>
              </w:rPr>
            </w:pPr>
            <w:r>
              <w:rPr>
                <w:noProof/>
              </w:rPr>
              <w:t xml:space="preserve">Po určení autobusové sítě pro pravidelnou dálkovou a </w:t>
            </w:r>
            <w:r>
              <w:rPr>
                <w:noProof/>
              </w:rPr>
              <w:t>městskou linku veřejné silniční osobní dopravy bude postup zadávání veřejných zakázek pro 12 regionů zahájen postupně zveřejněním příslušných výzev pro 12 regionů.</w:t>
            </w:r>
          </w:p>
        </w:tc>
      </w:tr>
      <w:tr w:rsidR="00515398" w14:paraId="1EE5165B"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787D181" w14:textId="77777777" w:rsidR="00515398" w:rsidRDefault="006711E6">
            <w:pPr>
              <w:pStyle w:val="P68B1DB1-Normal9"/>
              <w:spacing w:after="0" w:line="240" w:lineRule="auto"/>
              <w:rPr>
                <w:rFonts w:eastAsia="Times New Roman" w:cs="Calibri"/>
                <w:noProof/>
                <w:szCs w:val="18"/>
              </w:rPr>
            </w:pPr>
            <w:r>
              <w:rPr>
                <w:noProof/>
              </w:rPr>
              <w:t>52</w:t>
            </w:r>
          </w:p>
        </w:tc>
        <w:tc>
          <w:tcPr>
            <w:tcW w:w="1378" w:type="dxa"/>
            <w:tcBorders>
              <w:top w:val="single" w:sz="4" w:space="0" w:color="auto"/>
              <w:left w:val="nil"/>
              <w:bottom w:val="single" w:sz="4" w:space="0" w:color="auto"/>
              <w:right w:val="single" w:sz="4" w:space="0" w:color="auto"/>
            </w:tcBorders>
            <w:shd w:val="clear" w:color="auto" w:fill="C6EFCE"/>
            <w:noWrap/>
          </w:tcPr>
          <w:p w14:paraId="407D181B" w14:textId="77777777" w:rsidR="00515398" w:rsidRDefault="006711E6">
            <w:pPr>
              <w:pStyle w:val="P68B1DB1-Normal9"/>
              <w:spacing w:after="0" w:line="240" w:lineRule="auto"/>
              <w:rPr>
                <w:rFonts w:eastAsia="Times New Roman" w:cs="Calibri"/>
                <w:noProof/>
                <w:szCs w:val="18"/>
              </w:rPr>
            </w:pPr>
            <w:r>
              <w:rPr>
                <w:noProof/>
              </w:rPr>
              <w:t>3–1.3. Dobíjení a doplňování paliva – 16924_Elektromobilita</w:t>
            </w:r>
          </w:p>
        </w:tc>
        <w:tc>
          <w:tcPr>
            <w:tcW w:w="992" w:type="dxa"/>
            <w:tcBorders>
              <w:top w:val="single" w:sz="4" w:space="0" w:color="auto"/>
              <w:left w:val="nil"/>
              <w:bottom w:val="single" w:sz="4" w:space="0" w:color="auto"/>
              <w:right w:val="single" w:sz="4" w:space="0" w:color="auto"/>
            </w:tcBorders>
            <w:shd w:val="clear" w:color="auto" w:fill="C6EFCE"/>
            <w:noWrap/>
          </w:tcPr>
          <w:p w14:paraId="1A12A046" w14:textId="77777777" w:rsidR="00515398" w:rsidRDefault="006711E6">
            <w:pPr>
              <w:pStyle w:val="P68B1DB1-Normal9"/>
              <w:spacing w:after="0" w:line="240" w:lineRule="auto"/>
              <w:rPr>
                <w:rFonts w:eastAsia="Times New Roman" w:cs="Calibri"/>
                <w:noProof/>
                <w:szCs w:val="18"/>
              </w:rPr>
            </w:pPr>
            <w:r>
              <w:rPr>
                <w:noProof/>
              </w:rPr>
              <w:t>Cílová</w:t>
            </w:r>
          </w:p>
        </w:tc>
        <w:tc>
          <w:tcPr>
            <w:tcW w:w="1418" w:type="dxa"/>
            <w:tcBorders>
              <w:top w:val="single" w:sz="4" w:space="0" w:color="auto"/>
              <w:left w:val="nil"/>
              <w:bottom w:val="single" w:sz="4" w:space="0" w:color="auto"/>
              <w:right w:val="single" w:sz="4" w:space="0" w:color="auto"/>
            </w:tcBorders>
            <w:shd w:val="clear" w:color="auto" w:fill="C6EFCE"/>
            <w:noWrap/>
          </w:tcPr>
          <w:p w14:paraId="579B5673" w14:textId="7F37B0AB" w:rsidR="00515398" w:rsidRDefault="006711E6">
            <w:pPr>
              <w:pStyle w:val="P68B1DB1-Normal9"/>
              <w:spacing w:after="0" w:line="240" w:lineRule="auto"/>
              <w:rPr>
                <w:rFonts w:eastAsia="Times New Roman" w:cs="Calibri"/>
                <w:noProof/>
                <w:szCs w:val="18"/>
              </w:rPr>
            </w:pPr>
            <w:r>
              <w:rPr>
                <w:noProof/>
              </w:rPr>
              <w:t xml:space="preserve">Autobusy – nahrazení </w:t>
            </w:r>
            <w:r>
              <w:rPr>
                <w:noProof/>
              </w:rPr>
              <w:t>autobusy elektrickými a uzavření smlouvy o veřejných službách pro linkovou autobusovou dopravu pro městské oblasti regionální jednotky Soluň.</w:t>
            </w:r>
          </w:p>
        </w:tc>
        <w:tc>
          <w:tcPr>
            <w:tcW w:w="2377" w:type="dxa"/>
            <w:tcBorders>
              <w:top w:val="single" w:sz="4" w:space="0" w:color="auto"/>
              <w:left w:val="nil"/>
              <w:bottom w:val="single" w:sz="4" w:space="0" w:color="auto"/>
              <w:right w:val="single" w:sz="4" w:space="0" w:color="auto"/>
            </w:tcBorders>
            <w:shd w:val="clear" w:color="auto" w:fill="C6EFCE"/>
            <w:noWrap/>
          </w:tcPr>
          <w:p w14:paraId="7D505C61" w14:textId="655CF3BE" w:rsidR="00515398" w:rsidRDefault="00515398">
            <w:pPr>
              <w:spacing w:after="0" w:line="240" w:lineRule="auto"/>
              <w:rPr>
                <w:rFonts w:eastAsia="Times New Roman" w:cs="Calibri"/>
                <w:noProof/>
                <w:color w:val="006100"/>
                <w:sz w:val="18"/>
                <w:szCs w:val="18"/>
              </w:rPr>
            </w:pPr>
          </w:p>
        </w:tc>
        <w:tc>
          <w:tcPr>
            <w:tcW w:w="1460" w:type="dxa"/>
            <w:tcBorders>
              <w:top w:val="single" w:sz="4" w:space="0" w:color="auto"/>
              <w:left w:val="nil"/>
              <w:bottom w:val="single" w:sz="4" w:space="0" w:color="auto"/>
              <w:right w:val="single" w:sz="4" w:space="0" w:color="auto"/>
            </w:tcBorders>
            <w:shd w:val="clear" w:color="auto" w:fill="C6EFCE"/>
            <w:noWrap/>
          </w:tcPr>
          <w:p w14:paraId="0EF4F6F1" w14:textId="02DE19AA" w:rsidR="00515398" w:rsidRDefault="006711E6">
            <w:pPr>
              <w:pStyle w:val="P68B1DB1-Normal9"/>
              <w:spacing w:after="0" w:line="240" w:lineRule="auto"/>
              <w:rPr>
                <w:rFonts w:eastAsia="Times New Roman" w:cs="Calibri"/>
                <w:noProof/>
                <w:szCs w:val="18"/>
              </w:rPr>
            </w:pPr>
            <w:r>
              <w:rPr>
                <w:noProof/>
              </w:rPr>
              <w:t xml:space="preserve">Počet starých autobusů vyřazených schváleným zpracovatelským zařízením a nahrazených bateriovými elektrickými </w:t>
            </w:r>
            <w:r>
              <w:rPr>
                <w:noProof/>
              </w:rPr>
              <w:t>autobusy</w:t>
            </w:r>
          </w:p>
        </w:tc>
        <w:tc>
          <w:tcPr>
            <w:tcW w:w="857" w:type="dxa"/>
            <w:tcBorders>
              <w:top w:val="single" w:sz="4" w:space="0" w:color="auto"/>
              <w:left w:val="nil"/>
              <w:bottom w:val="single" w:sz="4" w:space="0" w:color="auto"/>
              <w:right w:val="single" w:sz="4" w:space="0" w:color="auto"/>
            </w:tcBorders>
            <w:shd w:val="clear" w:color="auto" w:fill="C6EFCE"/>
            <w:noWrap/>
          </w:tcPr>
          <w:p w14:paraId="66B23F36" w14:textId="77777777" w:rsidR="00515398" w:rsidRDefault="006711E6">
            <w:pPr>
              <w:pStyle w:val="P68B1DB1-Normal9"/>
              <w:spacing w:after="0" w:line="240" w:lineRule="auto"/>
              <w:rPr>
                <w:rFonts w:eastAsia="Times New Roman" w:cs="Calibri"/>
                <w:noProof/>
                <w:szCs w:val="18"/>
              </w:rPr>
            </w:pPr>
            <w:r>
              <w:rPr>
                <w:noProof/>
              </w:rPr>
              <w:t>0</w:t>
            </w:r>
          </w:p>
        </w:tc>
        <w:tc>
          <w:tcPr>
            <w:tcW w:w="936" w:type="dxa"/>
            <w:tcBorders>
              <w:top w:val="single" w:sz="4" w:space="0" w:color="auto"/>
              <w:left w:val="nil"/>
              <w:bottom w:val="single" w:sz="4" w:space="0" w:color="auto"/>
              <w:right w:val="single" w:sz="4" w:space="0" w:color="auto"/>
            </w:tcBorders>
            <w:shd w:val="clear" w:color="auto" w:fill="C6EFCE"/>
            <w:noWrap/>
          </w:tcPr>
          <w:p w14:paraId="5F2FD547" w14:textId="1D8B337A" w:rsidR="00515398" w:rsidRDefault="006711E6">
            <w:pPr>
              <w:pStyle w:val="P68B1DB1-Normal9"/>
              <w:spacing w:after="0" w:line="240" w:lineRule="auto"/>
              <w:rPr>
                <w:rFonts w:eastAsia="Times New Roman" w:cs="Calibri"/>
                <w:noProof/>
                <w:szCs w:val="18"/>
              </w:rPr>
            </w:pPr>
            <w:r>
              <w:rPr>
                <w:noProof/>
              </w:rPr>
              <w:t>425</w:t>
            </w:r>
          </w:p>
        </w:tc>
        <w:tc>
          <w:tcPr>
            <w:tcW w:w="846" w:type="dxa"/>
            <w:tcBorders>
              <w:top w:val="single" w:sz="4" w:space="0" w:color="auto"/>
              <w:left w:val="nil"/>
              <w:bottom w:val="single" w:sz="4" w:space="0" w:color="auto"/>
              <w:right w:val="single" w:sz="4" w:space="0" w:color="auto"/>
            </w:tcBorders>
            <w:shd w:val="clear" w:color="auto" w:fill="C6EFCE"/>
            <w:noWrap/>
          </w:tcPr>
          <w:p w14:paraId="4915FCC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6B8E4A88" w14:textId="5D202B30" w:rsidR="00515398" w:rsidRDefault="006711E6">
            <w:pPr>
              <w:pStyle w:val="P68B1DB1-Normal9"/>
              <w:spacing w:after="0" w:line="240" w:lineRule="auto"/>
              <w:rPr>
                <w:rFonts w:eastAsia="Times New Roman" w:cs="Calibri"/>
                <w:noProof/>
                <w:szCs w:val="18"/>
              </w:rPr>
            </w:pPr>
            <w:r>
              <w:rPr>
                <w:noProof/>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7AD5E334" w14:textId="1BCDFAED" w:rsidR="00515398" w:rsidRDefault="006711E6">
            <w:pPr>
              <w:pStyle w:val="P68B1DB1-Normal10"/>
              <w:spacing w:after="0" w:line="240" w:lineRule="auto"/>
              <w:rPr>
                <w:noProof/>
              </w:rPr>
            </w:pPr>
            <w:r>
              <w:rPr>
                <w:noProof/>
              </w:rPr>
              <w:t>a) nahrazení 425 starých autobusů 425 novými elektrickými autobusy, přičemž sešrotování starších autobusů musí být provedeno oprávněným zpracovatelským zařízením (ATF) podle směrnice o vozidlech s ukončenou životností (2</w:t>
            </w:r>
            <w:r>
              <w:rPr>
                <w:noProof/>
              </w:rPr>
              <w:t>000/53/ES).</w:t>
            </w:r>
          </w:p>
          <w:p w14:paraId="4CCE3C1E" w14:textId="482022D3" w:rsidR="00515398" w:rsidRDefault="006711E6">
            <w:pPr>
              <w:pStyle w:val="P68B1DB1-Normal17"/>
              <w:spacing w:after="0" w:line="240" w:lineRule="auto"/>
              <w:rPr>
                <w:noProof/>
              </w:rPr>
            </w:pPr>
            <w:r>
              <w:rPr>
                <w:noProof/>
              </w:rPr>
              <w:t>oznámení o zadání veřejné zakázky na služby linkové autobusové dopravy v městských oblastech regionální jednotky Soluň spadající do působnosti dopravního úřadu Soluň S.A. (OSETH).</w:t>
            </w:r>
          </w:p>
        </w:tc>
      </w:tr>
      <w:tr w:rsidR="00515398" w14:paraId="31F36B14"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5975129" w14:textId="77777777" w:rsidR="00515398" w:rsidRDefault="006711E6">
            <w:pPr>
              <w:pStyle w:val="P68B1DB1-Normal9"/>
              <w:spacing w:after="0" w:line="240" w:lineRule="auto"/>
              <w:rPr>
                <w:rFonts w:eastAsia="Times New Roman" w:cs="Calibri"/>
                <w:noProof/>
                <w:szCs w:val="18"/>
              </w:rPr>
            </w:pPr>
            <w:r>
              <w:rPr>
                <w:noProof/>
              </w:rPr>
              <w:t>53</w:t>
            </w:r>
          </w:p>
        </w:tc>
        <w:tc>
          <w:tcPr>
            <w:tcW w:w="1378" w:type="dxa"/>
            <w:tcBorders>
              <w:top w:val="single" w:sz="4" w:space="0" w:color="auto"/>
              <w:left w:val="nil"/>
              <w:bottom w:val="single" w:sz="4" w:space="0" w:color="auto"/>
              <w:right w:val="single" w:sz="4" w:space="0" w:color="auto"/>
            </w:tcBorders>
            <w:shd w:val="clear" w:color="auto" w:fill="C6EFCE"/>
            <w:noWrap/>
          </w:tcPr>
          <w:p w14:paraId="29118343" w14:textId="77777777" w:rsidR="00515398" w:rsidRDefault="006711E6">
            <w:pPr>
              <w:pStyle w:val="P68B1DB1-Normal9"/>
              <w:spacing w:after="0" w:line="240" w:lineRule="auto"/>
              <w:rPr>
                <w:rFonts w:eastAsia="Times New Roman" w:cs="Calibri"/>
                <w:noProof/>
                <w:szCs w:val="18"/>
              </w:rPr>
            </w:pPr>
            <w:r>
              <w:rPr>
                <w:noProof/>
              </w:rPr>
              <w:t>3–1.3. Dobíjení a doplňování paliva – 16831_Produc- E Green</w:t>
            </w:r>
          </w:p>
        </w:tc>
        <w:tc>
          <w:tcPr>
            <w:tcW w:w="992" w:type="dxa"/>
            <w:tcBorders>
              <w:top w:val="single" w:sz="4" w:space="0" w:color="auto"/>
              <w:left w:val="nil"/>
              <w:bottom w:val="single" w:sz="4" w:space="0" w:color="auto"/>
              <w:right w:val="single" w:sz="4" w:space="0" w:color="auto"/>
            </w:tcBorders>
            <w:shd w:val="clear" w:color="auto" w:fill="C6EFCE"/>
            <w:noWrap/>
          </w:tcPr>
          <w:p w14:paraId="1FE5745D"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40ADD127" w14:textId="13E4D27F" w:rsidR="00515398" w:rsidRDefault="006711E6">
            <w:pPr>
              <w:pStyle w:val="P68B1DB1-Normal9"/>
              <w:spacing w:after="0" w:line="240" w:lineRule="auto"/>
              <w:rPr>
                <w:rFonts w:eastAsia="Times New Roman" w:cs="Calibri"/>
                <w:noProof/>
                <w:szCs w:val="18"/>
              </w:rPr>
            </w:pPr>
            <w:r>
              <w:rPr>
                <w:noProof/>
              </w:rPr>
              <w:t>CCS – Dokončení vrtných prací</w:t>
            </w:r>
          </w:p>
        </w:tc>
        <w:tc>
          <w:tcPr>
            <w:tcW w:w="2377" w:type="dxa"/>
            <w:tcBorders>
              <w:top w:val="single" w:sz="4" w:space="0" w:color="auto"/>
              <w:left w:val="nil"/>
              <w:bottom w:val="single" w:sz="4" w:space="0" w:color="auto"/>
              <w:right w:val="single" w:sz="4" w:space="0" w:color="auto"/>
            </w:tcBorders>
            <w:shd w:val="clear" w:color="auto" w:fill="C6EFCE"/>
            <w:noWrap/>
          </w:tcPr>
          <w:p w14:paraId="673D95F0" w14:textId="4C6BFD72" w:rsidR="00515398" w:rsidRDefault="006711E6">
            <w:pPr>
              <w:pStyle w:val="P68B1DB1-Normal9"/>
              <w:spacing w:after="0" w:line="240" w:lineRule="auto"/>
              <w:rPr>
                <w:rFonts w:eastAsia="Times New Roman" w:cs="Calibri"/>
                <w:noProof/>
                <w:szCs w:val="18"/>
              </w:rPr>
            </w:pPr>
            <w:r>
              <w:rPr>
                <w:noProof/>
              </w:rPr>
              <w:t>Dokončení vrtných prací pro zachycování a ukládání uhlíku.</w:t>
            </w:r>
          </w:p>
        </w:tc>
        <w:tc>
          <w:tcPr>
            <w:tcW w:w="1460" w:type="dxa"/>
            <w:tcBorders>
              <w:top w:val="single" w:sz="4" w:space="0" w:color="auto"/>
              <w:left w:val="nil"/>
              <w:bottom w:val="single" w:sz="4" w:space="0" w:color="auto"/>
              <w:right w:val="single" w:sz="4" w:space="0" w:color="auto"/>
            </w:tcBorders>
            <w:shd w:val="clear" w:color="auto" w:fill="C6EFCE"/>
            <w:noWrap/>
          </w:tcPr>
          <w:p w14:paraId="40AE110C"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0D0D2AC"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162EFE1B"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3D721C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0F36E20D" w14:textId="77777777" w:rsidR="00515398" w:rsidRDefault="006711E6">
            <w:pPr>
              <w:pStyle w:val="P68B1DB1-Normal9"/>
              <w:spacing w:after="0" w:line="240" w:lineRule="auto"/>
              <w:rPr>
                <w:rFonts w:eastAsia="Times New Roman" w:cs="Calibri"/>
                <w:noProof/>
                <w:szCs w:val="18"/>
              </w:rPr>
            </w:pPr>
            <w:r>
              <w:rPr>
                <w:noProof/>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478AC6A4" w14:textId="65E6D7CD" w:rsidR="00515398" w:rsidRDefault="006711E6">
            <w:pPr>
              <w:pStyle w:val="P68B1DB1-Normal9"/>
              <w:spacing w:after="0" w:line="240" w:lineRule="auto"/>
              <w:rPr>
                <w:rFonts w:eastAsia="Times New Roman" w:cs="Calibri"/>
                <w:noProof/>
                <w:szCs w:val="18"/>
              </w:rPr>
            </w:pPr>
            <w:r>
              <w:rPr>
                <w:noProof/>
              </w:rPr>
              <w:t>Dokončení vrtných prací na zachycování a ukládání uhlíku podle specifikací.</w:t>
            </w:r>
          </w:p>
        </w:tc>
      </w:tr>
      <w:tr w:rsidR="00515398" w14:paraId="4998DFE2"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25FAE83" w14:textId="77777777" w:rsidR="00515398" w:rsidRDefault="006711E6">
            <w:pPr>
              <w:pStyle w:val="P68B1DB1-Normal9"/>
              <w:spacing w:after="0" w:line="240" w:lineRule="auto"/>
              <w:rPr>
                <w:rFonts w:eastAsia="Times New Roman" w:cs="Calibri"/>
                <w:noProof/>
                <w:szCs w:val="18"/>
              </w:rPr>
            </w:pPr>
            <w:r>
              <w:rPr>
                <w:noProof/>
              </w:rPr>
              <w:t>54</w:t>
            </w:r>
          </w:p>
        </w:tc>
        <w:tc>
          <w:tcPr>
            <w:tcW w:w="1378" w:type="dxa"/>
            <w:tcBorders>
              <w:top w:val="single" w:sz="4" w:space="0" w:color="auto"/>
              <w:left w:val="nil"/>
              <w:bottom w:val="single" w:sz="4" w:space="0" w:color="auto"/>
              <w:right w:val="single" w:sz="4" w:space="0" w:color="auto"/>
            </w:tcBorders>
            <w:shd w:val="clear" w:color="auto" w:fill="C6EFCE"/>
            <w:noWrap/>
          </w:tcPr>
          <w:p w14:paraId="0BB6C60A" w14:textId="77777777" w:rsidR="00515398" w:rsidRDefault="006711E6">
            <w:pPr>
              <w:pStyle w:val="P68B1DB1-Normal9"/>
              <w:spacing w:after="0" w:line="240" w:lineRule="auto"/>
              <w:rPr>
                <w:rFonts w:eastAsia="Times New Roman" w:cs="Calibri"/>
                <w:noProof/>
                <w:szCs w:val="18"/>
              </w:rPr>
            </w:pPr>
            <w:r>
              <w:rPr>
                <w:noProof/>
              </w:rPr>
              <w:t xml:space="preserve">3–1.3. Dobíjení a doplňování paliva – 16831_Produc- E </w:t>
            </w:r>
            <w:r>
              <w:rPr>
                <w:noProof/>
              </w:rPr>
              <w:t>Green</w:t>
            </w:r>
          </w:p>
          <w:p w14:paraId="7DD81711"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5F9D22C" w14:textId="77777777" w:rsidR="00515398" w:rsidRDefault="006711E6">
            <w:pPr>
              <w:pStyle w:val="P68B1DB1-Normal9"/>
              <w:spacing w:after="0" w:line="240" w:lineRule="auto"/>
              <w:rPr>
                <w:rFonts w:eastAsia="Times New Roman" w:cs="Calibri"/>
                <w:noProof/>
                <w:szCs w:val="18"/>
              </w:rPr>
            </w:pPr>
            <w:r>
              <w:rPr>
                <w:noProof/>
              </w:rPr>
              <w:t>Milník</w:t>
            </w:r>
          </w:p>
        </w:tc>
        <w:tc>
          <w:tcPr>
            <w:tcW w:w="1418" w:type="dxa"/>
            <w:tcBorders>
              <w:top w:val="single" w:sz="4" w:space="0" w:color="auto"/>
              <w:left w:val="nil"/>
              <w:bottom w:val="single" w:sz="4" w:space="0" w:color="auto"/>
              <w:right w:val="single" w:sz="4" w:space="0" w:color="auto"/>
            </w:tcBorders>
            <w:shd w:val="clear" w:color="auto" w:fill="C6EFCE"/>
            <w:noWrap/>
          </w:tcPr>
          <w:p w14:paraId="0565C5FB" w14:textId="63F1C80F" w:rsidR="00515398" w:rsidRDefault="006711E6">
            <w:pPr>
              <w:pStyle w:val="P68B1DB1-Normal9"/>
              <w:spacing w:after="0" w:line="240" w:lineRule="auto"/>
              <w:rPr>
                <w:rFonts w:eastAsia="Times New Roman" w:cs="Calibri"/>
                <w:noProof/>
                <w:szCs w:val="18"/>
              </w:rPr>
            </w:pPr>
            <w:r>
              <w:rPr>
                <w:noProof/>
              </w:rPr>
              <w:t>Průmyslové jednotky – Dokončení stavebních prací a instalace zařízení</w:t>
            </w:r>
          </w:p>
        </w:tc>
        <w:tc>
          <w:tcPr>
            <w:tcW w:w="2377" w:type="dxa"/>
            <w:tcBorders>
              <w:top w:val="single" w:sz="4" w:space="0" w:color="auto"/>
              <w:left w:val="nil"/>
              <w:bottom w:val="single" w:sz="4" w:space="0" w:color="auto"/>
              <w:right w:val="single" w:sz="4" w:space="0" w:color="auto"/>
            </w:tcBorders>
            <w:shd w:val="clear" w:color="auto" w:fill="C6EFCE"/>
            <w:noWrap/>
          </w:tcPr>
          <w:p w14:paraId="2C68DF1D" w14:textId="39BDEC33" w:rsidR="00515398" w:rsidRDefault="006711E6">
            <w:pPr>
              <w:pStyle w:val="P68B1DB1-Normal9"/>
              <w:spacing w:after="0" w:line="240" w:lineRule="auto"/>
              <w:rPr>
                <w:rFonts w:eastAsia="Times New Roman" w:cs="Calibri"/>
                <w:noProof/>
                <w:szCs w:val="18"/>
              </w:rPr>
            </w:pPr>
            <w:r>
              <w:rPr>
                <w:noProof/>
              </w:rPr>
              <w:t xml:space="preserve">Dokončení stavebních prací a instalace </w:t>
            </w:r>
            <w:r>
              <w:rPr>
                <w:noProof/>
                <w:szCs w:val="18"/>
              </w:rPr>
              <w:t xml:space="preserve">zařízení </w:t>
            </w:r>
          </w:p>
        </w:tc>
        <w:tc>
          <w:tcPr>
            <w:tcW w:w="1460" w:type="dxa"/>
            <w:tcBorders>
              <w:top w:val="single" w:sz="4" w:space="0" w:color="auto"/>
              <w:left w:val="nil"/>
              <w:bottom w:val="single" w:sz="4" w:space="0" w:color="auto"/>
              <w:right w:val="single" w:sz="4" w:space="0" w:color="auto"/>
            </w:tcBorders>
            <w:shd w:val="clear" w:color="auto" w:fill="C6EFCE"/>
            <w:noWrap/>
          </w:tcPr>
          <w:p w14:paraId="4E442677"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7846F49" w14:textId="77777777" w:rsidR="00515398" w:rsidRDefault="00515398">
            <w:pPr>
              <w:spacing w:after="0" w:line="240" w:lineRule="auto"/>
              <w:rPr>
                <w:rFonts w:eastAsia="Times New Roman" w:cs="Calibri"/>
                <w:noProof/>
                <w:color w:val="006100"/>
                <w:sz w:val="18"/>
                <w:szCs w:val="18"/>
              </w:rPr>
            </w:pPr>
          </w:p>
        </w:tc>
        <w:tc>
          <w:tcPr>
            <w:tcW w:w="936" w:type="dxa"/>
            <w:tcBorders>
              <w:top w:val="single" w:sz="4" w:space="0" w:color="auto"/>
              <w:left w:val="nil"/>
              <w:bottom w:val="single" w:sz="4" w:space="0" w:color="auto"/>
              <w:right w:val="single" w:sz="4" w:space="0" w:color="auto"/>
            </w:tcBorders>
            <w:shd w:val="clear" w:color="auto" w:fill="C6EFCE"/>
            <w:noWrap/>
          </w:tcPr>
          <w:p w14:paraId="1EAE0502"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502EE2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2C7617A5" w14:textId="77777777" w:rsidR="00515398" w:rsidRDefault="006711E6">
            <w:pPr>
              <w:pStyle w:val="P68B1DB1-Normal9"/>
              <w:spacing w:after="0" w:line="240" w:lineRule="auto"/>
              <w:rPr>
                <w:rFonts w:eastAsia="Times New Roman" w:cs="Calibri"/>
                <w:noProof/>
                <w:szCs w:val="18"/>
              </w:rPr>
            </w:pPr>
            <w:r>
              <w:rPr>
                <w:noProof/>
              </w:rPr>
              <w:t>2025</w:t>
            </w:r>
          </w:p>
        </w:tc>
        <w:tc>
          <w:tcPr>
            <w:tcW w:w="3191" w:type="dxa"/>
            <w:tcBorders>
              <w:top w:val="single" w:sz="4" w:space="0" w:color="auto"/>
              <w:left w:val="nil"/>
              <w:bottom w:val="single" w:sz="4" w:space="0" w:color="auto"/>
              <w:right w:val="single" w:sz="4" w:space="0" w:color="auto"/>
            </w:tcBorders>
            <w:shd w:val="clear" w:color="auto" w:fill="C6EFCE"/>
            <w:noWrap/>
          </w:tcPr>
          <w:p w14:paraId="4975DC7F" w14:textId="1DA6794E" w:rsidR="00515398" w:rsidRDefault="006711E6">
            <w:pPr>
              <w:pStyle w:val="P68B1DB1-Normal9"/>
              <w:spacing w:after="0" w:line="240" w:lineRule="auto"/>
              <w:rPr>
                <w:rFonts w:eastAsia="Times New Roman" w:cs="Calibri"/>
                <w:noProof/>
                <w:szCs w:val="18"/>
              </w:rPr>
            </w:pPr>
            <w:r>
              <w:rPr>
                <w:noProof/>
              </w:rPr>
              <w:t>Vybrané průmyslové jednotky musí mít dokončené stavební práce a instalace zařízení.</w:t>
            </w:r>
          </w:p>
        </w:tc>
      </w:tr>
    </w:tbl>
    <w:p w14:paraId="1DF1357E" w14:textId="77777777" w:rsidR="00515398" w:rsidRDefault="00515398">
      <w:pPr>
        <w:spacing w:before="120" w:after="120" w:line="240" w:lineRule="auto"/>
        <w:rPr>
          <w:rFonts w:ascii="Times New Roman" w:hAnsi="Times New Roman" w:cs="Times New Roman"/>
          <w:noProof/>
          <w:sz w:val="24"/>
        </w:rPr>
        <w:sectPr w:rsidR="00515398" w:rsidSect="00271D33">
          <w:headerReference w:type="even" r:id="rId73"/>
          <w:headerReference w:type="default" r:id="rId74"/>
          <w:footerReference w:type="even" r:id="rId75"/>
          <w:footerReference w:type="default" r:id="rId76"/>
          <w:headerReference w:type="first" r:id="rId77"/>
          <w:footerReference w:type="first" r:id="rId78"/>
          <w:pgSz w:w="16839" w:h="11907" w:orient="landscape"/>
          <w:pgMar w:top="720" w:right="720" w:bottom="720" w:left="720" w:header="709" w:footer="359" w:gutter="0"/>
          <w:cols w:space="720"/>
          <w:docGrid w:linePitch="360"/>
        </w:sectPr>
      </w:pPr>
    </w:p>
    <w:p w14:paraId="499DDAD2" w14:textId="77777777" w:rsidR="00515398" w:rsidRDefault="006711E6">
      <w:pPr>
        <w:pStyle w:val="P68B1DB1-Normal2"/>
        <w:spacing w:before="120" w:after="120" w:line="240" w:lineRule="auto"/>
        <w:jc w:val="both"/>
        <w:outlineLvl w:val="3"/>
        <w:rPr>
          <w:rFonts w:cs="Times New Roman"/>
          <w:bCs/>
          <w:noProof/>
        </w:rPr>
      </w:pPr>
      <w:r>
        <w:rPr>
          <w:noProof/>
        </w:rPr>
        <w:t>D. SLOŽKA 1.4: UDRŽITELNÉ VYUŽÍVÁNÍ ZDROJŮ, ODOLNOST VŮČI ZMĚNĚ KLIMATU A OCHRANA ŽIVOTNÍHO PROSTŘEDÍ</w:t>
      </w:r>
    </w:p>
    <w:p w14:paraId="47E07F08" w14:textId="77777777" w:rsidR="00515398" w:rsidRDefault="006711E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Cílem této složky řeckého plánu pro oživení a odolnost je podpořit ekologickou transformaci. </w:t>
      </w:r>
      <w:r>
        <w:rPr>
          <w:rFonts w:ascii="Times New Roman" w:hAnsi="Times New Roman"/>
          <w:noProof/>
          <w:sz w:val="24"/>
        </w:rPr>
        <w:t>Zahrnuje cílené reformy a investice s cílem posílit ochranu a obnovu přírodního prostředí, včetně ochrany biologické rozmanitosti, zlepšit environmentální infrastrukturu a získat zpět ztráty v pokrytí lesů. Kromě toho zahrnuje reformu nakládání s odpady, k</w:t>
      </w:r>
      <w:r>
        <w:rPr>
          <w:rFonts w:ascii="Times New Roman" w:hAnsi="Times New Roman"/>
          <w:noProof/>
          <w:sz w:val="24"/>
        </w:rPr>
        <w:t xml:space="preserve">terá zahrnuje zejména zřízení vnitrostátního regulačního orgánu pro nakládání s odpady na podporu přechodu na oběhové hospodářství založené na předcházení vzniku odpadů, opětovném použití a recyklaci. Dále zřizuje národní vodohospodářský regulační orgán s </w:t>
      </w:r>
      <w:r>
        <w:rPr>
          <w:rFonts w:ascii="Times New Roman" w:hAnsi="Times New Roman"/>
          <w:noProof/>
          <w:sz w:val="24"/>
        </w:rPr>
        <w:t>cílem posílit udržitelnost vodohospodářských činností a investic. Provádění reforem a investic zahrnutých do složky zvýší účinnost využívání přírodních zdrojů a posílí ochranu před environmentálními riziky a dopady na společnost i hospodářství. Tato složka</w:t>
      </w:r>
      <w:r>
        <w:rPr>
          <w:rFonts w:ascii="Times New Roman" w:hAnsi="Times New Roman"/>
          <w:noProof/>
          <w:sz w:val="24"/>
        </w:rPr>
        <w:t xml:space="preserve"> rovněž zahrnuje investice do zlepšení dodávek pitné vody a zajištění kanalizace a do prevence a zmírňování environmentálních problémů způsobených změnou klimatu. </w:t>
      </w:r>
    </w:p>
    <w:p w14:paraId="0A764075" w14:textId="77777777" w:rsidR="00515398" w:rsidRDefault="006711E6">
      <w:pPr>
        <w:pStyle w:val="P68B1DB1-Normal4"/>
        <w:spacing w:before="120" w:after="120" w:line="240" w:lineRule="auto"/>
        <w:jc w:val="both"/>
        <w:rPr>
          <w:rFonts w:cs="Times New Roman"/>
          <w:noProof/>
        </w:rPr>
      </w:pPr>
      <w:r>
        <w:rPr>
          <w:noProof/>
        </w:rPr>
        <w:t>Tato složka podporuje plnění doporučení pro jednotlivé země č. 3 z roku 2020 a doporučení pr</w:t>
      </w:r>
      <w:r>
        <w:rPr>
          <w:noProof/>
        </w:rPr>
        <w:t>o jednotlivé země č. 2 z roku 2019 o veřejných a soukromých investicích. Očekává se, že žádné opatření v této složce významně nepoškozuje environmentální cíle ve smyslu článku 17 nařízení (EU) 2020/852, s přihlédnutím k popisu opatření a zmírňujícím krokům</w:t>
      </w:r>
      <w:r>
        <w:rPr>
          <w:noProof/>
        </w:rPr>
        <w:t xml:space="preserve"> stanoveným v plánu pro oživení a odolnost v souladu s technickými pokyny „významně nepoškozovat“ (2021/C58/01).</w:t>
      </w:r>
    </w:p>
    <w:p w14:paraId="75938737" w14:textId="77777777" w:rsidR="00515398" w:rsidRDefault="006711E6">
      <w:pPr>
        <w:tabs>
          <w:tab w:val="left" w:pos="1134"/>
        </w:tabs>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D.1. </w:t>
      </w:r>
      <w:r>
        <w:rPr>
          <w:noProof/>
        </w:rPr>
        <w:t xml:space="preserve"> </w:t>
      </w:r>
      <w:r>
        <w:rPr>
          <w:rFonts w:ascii="Times New Roman" w:hAnsi="Times New Roman"/>
          <w:b/>
          <w:noProof/>
          <w:sz w:val="24"/>
          <w:u w:val="single"/>
        </w:rPr>
        <w:t>Popis reforem a investic pro nevratnou finanční podporu</w:t>
      </w:r>
    </w:p>
    <w:p w14:paraId="37B74A75" w14:textId="77777777" w:rsidR="00515398" w:rsidRDefault="006711E6">
      <w:pPr>
        <w:pStyle w:val="P68B1DB1-Normal4"/>
        <w:tabs>
          <w:tab w:val="left" w:pos="1134"/>
        </w:tabs>
        <w:spacing w:before="120" w:after="120" w:line="240" w:lineRule="auto"/>
        <w:jc w:val="both"/>
        <w:rPr>
          <w:rFonts w:cs="Times New Roman"/>
          <w:noProof/>
          <w:szCs w:val="24"/>
        </w:rPr>
      </w:pPr>
      <w:r>
        <w:rPr>
          <w:b/>
          <w:noProof/>
        </w:rPr>
        <w:t>Investice:</w:t>
      </w:r>
      <w:r>
        <w:rPr>
          <w:noProof/>
        </w:rPr>
        <w:t xml:space="preserve"> Národní plán opětovného zalesňování, obnova a prevence („antiNERO“), o</w:t>
      </w:r>
      <w:r>
        <w:rPr>
          <w:noProof/>
        </w:rPr>
        <w:t>patření proti erozi a protipovodňová opatření (ID opatření: 16849)</w:t>
      </w:r>
    </w:p>
    <w:p w14:paraId="0DB03F8D" w14:textId="6BC42D6E" w:rsidR="00515398" w:rsidRDefault="006711E6">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Tato investice má tři části. Za prvé, obnova 5</w:t>
      </w:r>
      <w:r>
        <w:rPr>
          <w:rFonts w:ascii="Times New Roman" w:hAnsi="Times New Roman" w:cs="Times New Roman"/>
          <w:noProof/>
          <w:sz w:val="18"/>
        </w:rPr>
        <w:t xml:space="preserve"> </w:t>
      </w:r>
      <w:r>
        <w:rPr>
          <w:rFonts w:ascii="Times New Roman" w:hAnsi="Times New Roman"/>
          <w:noProof/>
          <w:sz w:val="24"/>
          <w:szCs w:val="24"/>
        </w:rPr>
        <w:t>700 ha poškozených lesních ekosystémů v Řecku výsadbou škvarků. Projekt zahrnuje jak studie o opětovném zalesňování, tak jejich provádění. Inv</w:t>
      </w:r>
      <w:r>
        <w:rPr>
          <w:rFonts w:ascii="Times New Roman" w:hAnsi="Times New Roman"/>
          <w:noProof/>
          <w:sz w:val="24"/>
          <w:szCs w:val="24"/>
        </w:rPr>
        <w:t xml:space="preserve">estice </w:t>
      </w:r>
      <w:bookmarkStart w:id="2" w:name="_Int_luhtzGZB"/>
      <w:bookmarkEnd w:id="2"/>
      <w:r>
        <w:rPr>
          <w:rFonts w:ascii="Times New Roman" w:hAnsi="Times New Roman"/>
          <w:noProof/>
          <w:sz w:val="24"/>
          <w:szCs w:val="24"/>
        </w:rPr>
        <w:t xml:space="preserve"> navíc zahrnuje modernizaci čtyř veřejných lesních školek (Ambrosias, Lagada, Organis a Aliartos) a provádění všech činností předpokládaných v pilotním provádění národního plánu pro opětovné zalesňování. Za druhé, v rámci programů antiNERO investice</w:t>
      </w:r>
      <w:r>
        <w:rPr>
          <w:rFonts w:ascii="Times New Roman" w:hAnsi="Times New Roman"/>
          <w:noProof/>
          <w:sz w:val="24"/>
          <w:szCs w:val="24"/>
        </w:rPr>
        <w:t xml:space="preserve"> zahrnuje protipožární opatření, včetně odklízení lesů a lesů a údržby sítě lesních silnic a stávajících požárních zón, vytváření smíšených požárních zón, včetně těžby stromů a keřů, čištění a prořezávání a výsadby rostlin. Zatřetí investice zahrnuje opatř</w:t>
      </w:r>
      <w:r>
        <w:rPr>
          <w:rFonts w:ascii="Times New Roman" w:hAnsi="Times New Roman"/>
          <w:noProof/>
          <w:sz w:val="24"/>
          <w:szCs w:val="24"/>
        </w:rPr>
        <w:t xml:space="preserve">ení týkající se boje proti erozi a protipovodňové ochrany </w:t>
      </w:r>
      <w:r>
        <w:rPr>
          <w:rFonts w:ascii="Times New Roman" w:hAnsi="Times New Roman"/>
          <w:noProof/>
          <w:sz w:val="24"/>
        </w:rPr>
        <w:t>v oblastech Evros a Rhodope,</w:t>
      </w:r>
      <w:r>
        <w:rPr>
          <w:rFonts w:ascii="Times New Roman" w:hAnsi="Times New Roman" w:cs="Times New Roman"/>
          <w:noProof/>
          <w:sz w:val="24"/>
          <w:szCs w:val="24"/>
        </w:rPr>
        <w:t>jakož i dalších oblastí postižených lesními požáry a povodněmi v celém Řecku. Území, která mají být pokryta (v hektarech) různými opatřeními uvedenými v milníku, se mohou</w:t>
      </w:r>
      <w:r>
        <w:rPr>
          <w:rFonts w:ascii="Times New Roman" w:hAnsi="Times New Roman" w:cs="Times New Roman"/>
          <w:noProof/>
          <w:sz w:val="24"/>
          <w:szCs w:val="24"/>
        </w:rPr>
        <w:t xml:space="preserve"> překrývat. Investice musí být provedena do 31. prosince 2025.</w:t>
      </w:r>
    </w:p>
    <w:p w14:paraId="3D82BDEB"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Městské odpadní vody a infrastruktury pro nakládání s kalem z čištění odpadních vod (ID opatření: 16846)</w:t>
      </w:r>
    </w:p>
    <w:p w14:paraId="7DAEA872" w14:textId="77777777" w:rsidR="00515398" w:rsidRDefault="006711E6">
      <w:pPr>
        <w:pStyle w:val="P68B1DB1-Normal5"/>
        <w:spacing w:before="120" w:after="120" w:line="240" w:lineRule="auto"/>
        <w:jc w:val="both"/>
        <w:rPr>
          <w:noProof/>
        </w:rPr>
      </w:pPr>
      <w:r>
        <w:rPr>
          <w:noProof/>
        </w:rPr>
        <w:t>Cílem investice je snížit znečištění přírodního prostředí a životního prostře</w:t>
      </w:r>
      <w:r>
        <w:rPr>
          <w:noProof/>
        </w:rPr>
        <w:t xml:space="preserve">dí způsobené člověkem v důsledku čištění odpadních vod vybudováním nové a modernizací stávající infrastruktury. Skládá se ze tří dílčích projektů: a) výstavba 37 nových infrastruktur kanalizačních sítí a čistíren odpadních vod, b) modernizace, rozšíření a </w:t>
      </w:r>
      <w:r>
        <w:rPr>
          <w:noProof/>
        </w:rPr>
        <w:t xml:space="preserve">modernizace jedenácti čistíren odpadních vod a opětovné využívání vyčištěné vody a c) výstavba 16 infrastruktur pro nakládání s kaly z čistíren odpadních vod. </w:t>
      </w:r>
    </w:p>
    <w:p w14:paraId="63D00E5A" w14:textId="77777777" w:rsidR="00515398" w:rsidRDefault="006711E6">
      <w:pPr>
        <w:pStyle w:val="P68B1DB1-Normal5"/>
        <w:rPr>
          <w:noProof/>
        </w:rPr>
      </w:pPr>
      <w:r>
        <w:rPr>
          <w:noProof/>
        </w:rPr>
        <w:br w:type="page"/>
      </w:r>
    </w:p>
    <w:p w14:paraId="5BBCB4F7" w14:textId="30811A05" w:rsidR="00515398" w:rsidRDefault="006711E6">
      <w:pPr>
        <w:pStyle w:val="P68B1DB1-Normal5"/>
        <w:spacing w:before="120" w:after="120" w:line="240" w:lineRule="auto"/>
        <w:jc w:val="both"/>
        <w:rPr>
          <w:rFonts w:cs="Times New Roman"/>
          <w:noProof/>
        </w:rPr>
      </w:pPr>
      <w:r>
        <w:rPr>
          <w:noProof/>
        </w:rPr>
        <w:t>Část investice související s modernizací a modernizací jedenácti čistíren odpadních vod musí b</w:t>
      </w:r>
      <w:r>
        <w:rPr>
          <w:noProof/>
        </w:rPr>
        <w:t>ýt v souladu s požadavkem na obnovu celého systému odpadních vod tak, aby vedla ke snížení průměrné spotřeby energie alespoň o 10 % dosažené výhradně opatřeními v oblasti energetické účinnosti, a nikoli podstatnými změnami nebo změnami zatížení. Očekává se</w:t>
      </w:r>
      <w:r>
        <w:rPr>
          <w:noProof/>
        </w:rPr>
        <w:t>, že toto opatření významně nepoškodí environmentální cíle ve smyslu článku 17 nařízení (EU) 2020/852, s přihlédnutím k popisu opatření a zmírňujícím krokům stanoveným v plánu na podporu oživení a odolnosti v souladu s technickými pokyny „nezpůsobit význam</w:t>
      </w:r>
      <w:r>
        <w:rPr>
          <w:noProof/>
        </w:rPr>
        <w:t xml:space="preserve">nou újmu“ (2021/C58/01). Opatření zejména podléhá posouzení vlivů na životní prostředí podle směrnice 2011/92/EU, jakož i příslušným posouzením v souvislosti se směrnicí 2000/60/ES a směrnicí 92/43/EHS, včetně provádění požadovaných zmírňujících opatření. </w:t>
      </w:r>
      <w:r>
        <w:rPr>
          <w:noProof/>
        </w:rPr>
        <w:t>Investice musí být provedena do 31. prosince 2025.</w:t>
      </w:r>
    </w:p>
    <w:p w14:paraId="71774457"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Investice do vnitrostátní zavlažovací sítě prostřednictvím programů partnerství veřejného a soukromého sektoru (ID opatření: 16285)</w:t>
      </w:r>
    </w:p>
    <w:p w14:paraId="0785AAEE" w14:textId="77777777" w:rsidR="00515398" w:rsidRDefault="006711E6">
      <w:pPr>
        <w:pStyle w:val="P68B1DB1-Normal4"/>
        <w:spacing w:before="120" w:after="120" w:line="240" w:lineRule="auto"/>
        <w:jc w:val="both"/>
        <w:rPr>
          <w:rFonts w:cs="Times New Roman"/>
          <w:noProof/>
        </w:rPr>
      </w:pPr>
      <w:r>
        <w:rPr>
          <w:noProof/>
        </w:rPr>
        <w:t xml:space="preserve">Investice je uceleným programem pro modernizaci a modernizaci </w:t>
      </w:r>
      <w:r>
        <w:rPr>
          <w:noProof/>
        </w:rPr>
        <w:t>vnitrostátního agroenvironmentálního rámce, rámce pro zlepšování půdy a sanace. Tyto investice posílí odolnost a konkurenceschopnost zemědělského odvětví, zvýší dodávky a kvalitu dostupné vody, racionalizují spotřebu vody, zmírní rizika zasolování a desert</w:t>
      </w:r>
      <w:r>
        <w:rPr>
          <w:noProof/>
        </w:rPr>
        <w:t xml:space="preserve">ifikace a zaměří se na zachování a ochranu biologické rozmanitosti a přírodních stanovišť. Toto opatření rovněž zahrnuje reformu institucionálního, organizačního a provozního rámce kolektivních zavlažovacích sítí. Opatření vyžaduje, aby všechny práce byly </w:t>
      </w:r>
      <w:r>
        <w:rPr>
          <w:noProof/>
        </w:rPr>
        <w:t>v souladu s těmito zásadami: i) musí být provedena veškerá technicky proveditelná a ekologicky relevantní</w:t>
      </w:r>
      <w:r>
        <w:rPr>
          <w:i/>
          <w:noProof/>
        </w:rPr>
        <w:t xml:space="preserve"> </w:t>
      </w:r>
      <w:r>
        <w:rPr>
          <w:noProof/>
        </w:rPr>
        <w:t xml:space="preserve">opatření pro přizpůsobení se změně klimatu, jakož i zmírňování možných nepříznivých dopadů na vodu a příslušná stanoviště a druhy, pokud se jeví jako </w:t>
      </w:r>
      <w:r>
        <w:rPr>
          <w:noProof/>
        </w:rPr>
        <w:t>nezbytná další opatření; II) u nově vybudované přehrady zajistit, aby nevedla ke zhoršení stavu ani neohrožovala dosažení dobrého stavu příslušných a propojených vodních útvarů. Očekává se, že toto opatření významně nepoškodí environmentální cíle ve smyslu</w:t>
      </w:r>
      <w:r>
        <w:rPr>
          <w:noProof/>
        </w:rPr>
        <w:t xml:space="preserve"> článku 17 nařízení (EU) 2020/852, s přihlédnutím k popisu opatření a zmírňujícím krokům stanoveným v plánu na podporu oživení a odolnosti v souladu s technickými pokyny „nezpůsobit významnou újmu“ (2021/C58/01). Zejména u každé dílčí investice musí být za</w:t>
      </w:r>
      <w:r>
        <w:rPr>
          <w:noProof/>
        </w:rPr>
        <w:t xml:space="preserve">jištěn plný soulad s požadavky právních předpisů EU, včetně rámcové směrnice o vodě, před zahájením stavebních prací, v jejich průběhu a po jejich zahájení. Opatření je dále předmětem posouzení vlivů na životní prostředí podle směrnice 2011/92/EU, jakož i </w:t>
      </w:r>
      <w:r>
        <w:rPr>
          <w:noProof/>
        </w:rPr>
        <w:t>příslušných posouzení v souvislosti se směrnicí 2000/60/ES a směrnicí 92/43/EHS, včetně provádění požadovaných zmírňujících opatření. Investice musí být provedena do 31. prosince 2025.</w:t>
      </w:r>
    </w:p>
    <w:p w14:paraId="2DFB208A"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Infrastruktura pro dodávky a úsporu pitné vody (ID opatření:</w:t>
      </w:r>
      <w:r>
        <w:rPr>
          <w:noProof/>
        </w:rPr>
        <w:t xml:space="preserve"> 16850)</w:t>
      </w:r>
    </w:p>
    <w:p w14:paraId="49079FD8" w14:textId="77777777" w:rsidR="00515398" w:rsidRDefault="006711E6">
      <w:pPr>
        <w:pStyle w:val="P68B1DB1-Normal5"/>
        <w:spacing w:before="120" w:after="120" w:line="240" w:lineRule="auto"/>
        <w:jc w:val="both"/>
        <w:rPr>
          <w:noProof/>
        </w:rPr>
      </w:pPr>
      <w:r>
        <w:rPr>
          <w:noProof/>
        </w:rPr>
        <w:t>Cílem investice je zlepšit dostupnost a kvalitu pitné vody a snížit rizika úniku vody a rizika pro veřejné zdraví související s vodohospodářskou infrastrukturou. Investice sestává ze tří dílčích projektů: a) výstavba nových infrastruktur pro zásobo</w:t>
      </w:r>
      <w:r>
        <w:rPr>
          <w:noProof/>
        </w:rPr>
        <w:t>vání vodou v nejméně sedmi oblastech a alespoň ve třech odsolovacích zařízeních, b) zřízení telemetrických systémů – systémů dálkového ovládání pro zjišťování úniků ve vodovodních sítích a c) pořízení digitálních hydrometrů. Očekává se, že toto opatření vý</w:t>
      </w:r>
      <w:r>
        <w:rPr>
          <w:noProof/>
        </w:rPr>
        <w:t>znamně nepoškodí environmentální cíle ve smyslu článku 17 nařízení (EU) 2020/852, s přihlédnutím k popisu opatření a zmírňujícím krokům stanoveným v plánu na podporu oživení a odolnosti v souladu s technickými pokyny „nezpůsobit významnou újmu“ (2021/C58/0</w:t>
      </w:r>
      <w:r>
        <w:rPr>
          <w:noProof/>
        </w:rPr>
        <w:t xml:space="preserve">1). </w:t>
      </w:r>
    </w:p>
    <w:p w14:paraId="497CB423" w14:textId="77777777" w:rsidR="00515398" w:rsidRDefault="006711E6">
      <w:pPr>
        <w:pStyle w:val="P68B1DB1-Normal5"/>
        <w:rPr>
          <w:noProof/>
        </w:rPr>
      </w:pPr>
      <w:r>
        <w:rPr>
          <w:noProof/>
        </w:rPr>
        <w:br w:type="page"/>
      </w:r>
    </w:p>
    <w:p w14:paraId="161C0AD4" w14:textId="448BFD2E" w:rsidR="00515398" w:rsidRDefault="006711E6">
      <w:pPr>
        <w:pStyle w:val="P68B1DB1-Normal5"/>
        <w:spacing w:before="120" w:after="120" w:line="240" w:lineRule="auto"/>
        <w:jc w:val="both"/>
        <w:rPr>
          <w:rFonts w:cs="Times New Roman"/>
          <w:noProof/>
        </w:rPr>
      </w:pPr>
      <w:r>
        <w:rPr>
          <w:noProof/>
        </w:rPr>
        <w:t>Opatření zejména podléhá posouzení vlivů na životní prostředí podle směrnice 2011/92/EU, jakož i příslušným posouzením v souvislosti se směrnicí 2000/60/ES a směrnicí 92/43/EHS, včetně provádění požadovaných zmírňujících opatření. Investice musí být</w:t>
      </w:r>
      <w:r>
        <w:rPr>
          <w:noProof/>
        </w:rPr>
        <w:t xml:space="preserve"> provedena do 31. prosince 2025.</w:t>
      </w:r>
    </w:p>
    <w:p w14:paraId="4CD81F70" w14:textId="77777777" w:rsidR="00515398" w:rsidRDefault="006711E6">
      <w:pPr>
        <w:pStyle w:val="P68B1DB1-Normal5"/>
        <w:spacing w:before="120" w:after="120" w:line="240" w:lineRule="auto"/>
        <w:jc w:val="both"/>
        <w:rPr>
          <w:rFonts w:cs="Times New Roman"/>
          <w:noProof/>
        </w:rPr>
      </w:pPr>
      <w:r>
        <w:rPr>
          <w:b/>
          <w:noProof/>
        </w:rPr>
        <w:t>Investice:</w:t>
      </w:r>
      <w:r>
        <w:rPr>
          <w:noProof/>
        </w:rPr>
        <w:t xml:space="preserve"> Letecké prostředky pro řešení krizí (ID opatření: 16911)</w:t>
      </w:r>
    </w:p>
    <w:p w14:paraId="1A3ADCEA" w14:textId="4DC471E6" w:rsidR="00515398" w:rsidRDefault="006711E6">
      <w:pPr>
        <w:pStyle w:val="P68B1DB1-Normal4"/>
        <w:spacing w:before="120" w:after="120" w:line="240" w:lineRule="auto"/>
        <w:jc w:val="both"/>
        <w:rPr>
          <w:rFonts w:cs="Times New Roman"/>
          <w:noProof/>
        </w:rPr>
      </w:pPr>
      <w:r>
        <w:rPr>
          <w:noProof/>
        </w:rPr>
        <w:t>Investice zahrnuje dodání zakoupených leteckých prostředků a modernizaci stávajících letadel používaných pro civilní ochranu, například vrtulníků pro lékař</w:t>
      </w:r>
      <w:r>
        <w:rPr>
          <w:noProof/>
        </w:rPr>
        <w:t>ské účely, přepravy a zavádění nouzové infrastruktury, bezpilotních letounů pro letecký dohled a letadel pro hašení požárů. Očekává se, že toto opatření významně nepoškodí environmentální cíle ve smyslu článku 17 nařízení (EU) 2020/852, s přihlédnutím k po</w:t>
      </w:r>
      <w:r>
        <w:rPr>
          <w:noProof/>
        </w:rPr>
        <w:t>pisu opatření a zmírňujícím krokům stanoveným v plánu na podporu oživení a odolnosti v souladu s technickými pokyny „nezpůsobit významnou újmu“ (2021/C58/01). Zejména všechna letadla pro zvláštní účely musí být aktiva „nejlepší ve třídě“. Investice musí bý</w:t>
      </w:r>
      <w:r>
        <w:rPr>
          <w:noProof/>
        </w:rPr>
        <w:t>t provedena do 31. prosince 2025.</w:t>
      </w:r>
    </w:p>
    <w:p w14:paraId="5F39AC96"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Vybavení pro hašení lesních požárů, prevenci a reakci (ID opatření: 16912)</w:t>
      </w:r>
    </w:p>
    <w:p w14:paraId="429EDD72" w14:textId="77777777" w:rsidR="00515398" w:rsidRDefault="006711E6">
      <w:pPr>
        <w:pStyle w:val="P68B1DB1-Normal4"/>
        <w:spacing w:before="120" w:after="120" w:line="240" w:lineRule="auto"/>
        <w:jc w:val="both"/>
        <w:rPr>
          <w:rFonts w:cs="Times New Roman"/>
          <w:noProof/>
          <w:szCs w:val="24"/>
        </w:rPr>
      </w:pPr>
      <w:r>
        <w:rPr>
          <w:noProof/>
        </w:rPr>
        <w:t xml:space="preserve">Investice zahrnuje dodání zakoupených požárních motorů a dalších zásahových vozidel (včetně personálu a vybavení přepravujících vozidla </w:t>
      </w:r>
      <w:r>
        <w:rPr>
          <w:noProof/>
        </w:rPr>
        <w:t>a tankery); dodání vozidel pro Generální sekretariát civilní ochrany, regionální/místní operační střediska civilní ochrany a dobrovolnické organizace; a stlačitelné přenosné mosty. Investice musí být provedena do 31. prosince 2025.</w:t>
      </w:r>
    </w:p>
    <w:p w14:paraId="63A227EB"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Ochrana biolo</w:t>
      </w:r>
      <w:r>
        <w:rPr>
          <w:noProof/>
        </w:rPr>
        <w:t>gické rozmanitosti jako hnací síla udržitelného růstu (ID opatření: 16851)</w:t>
      </w:r>
    </w:p>
    <w:p w14:paraId="5EE2437A" w14:textId="14B50EFE" w:rsidR="00515398" w:rsidRDefault="006711E6">
      <w:pPr>
        <w:pStyle w:val="P68B1DB1-Normal4"/>
        <w:spacing w:before="120" w:after="120" w:line="240" w:lineRule="auto"/>
        <w:jc w:val="both"/>
        <w:rPr>
          <w:rFonts w:cs="Times New Roman"/>
          <w:noProof/>
          <w:szCs w:val="24"/>
        </w:rPr>
      </w:pPr>
      <w:r>
        <w:rPr>
          <w:noProof/>
        </w:rPr>
        <w:t xml:space="preserve"> Investice se skládá z: projekty na ochranu biologické rozmanitosti, vytvoření vnitrostátní sítě cest a turistických stezek, zřízení Národního muzea přírodních dějin a modernizace M</w:t>
      </w:r>
      <w:r>
        <w:rPr>
          <w:noProof/>
        </w:rPr>
        <w:t>uzea přírodních dějin na Krétě, digitalizace sbírek řeckých přírodních dějin, vytvoření podnikové identity pro produkty související s řeckou přírodou, vytvoření operačního systému podporujícího plán horizontálního systému monitorování a hlídkování pro všec</w:t>
      </w:r>
      <w:r>
        <w:rPr>
          <w:noProof/>
        </w:rPr>
        <w:t>hny chráněné oblasti Řecka. Investice musí být provedena do 31. prosince 2025.</w:t>
      </w:r>
    </w:p>
    <w:p w14:paraId="294388B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Infrastruktura – Zavedení strategického vnitrostátního řízení rizik katastrof (ID opatření: 16909)</w:t>
      </w:r>
    </w:p>
    <w:p w14:paraId="1EE1D0AB" w14:textId="2492BF33" w:rsidR="00515398" w:rsidRDefault="006711E6">
      <w:pPr>
        <w:pStyle w:val="P68B1DB1-Normal4"/>
        <w:spacing w:before="120" w:after="120" w:line="240" w:lineRule="auto"/>
        <w:jc w:val="both"/>
        <w:rPr>
          <w:rFonts w:cs="Times New Roman"/>
          <w:noProof/>
        </w:rPr>
      </w:pPr>
      <w:r>
        <w:rPr>
          <w:noProof/>
        </w:rPr>
        <w:t>Investice zahrnuje modernizaci a dodávku digitálního vybavení pro g</w:t>
      </w:r>
      <w:r>
        <w:rPr>
          <w:noProof/>
        </w:rPr>
        <w:t>enerální sekretariát pro budovy civilní ochrany a dodávku mobilních administrativních středisek a středisek řízení na místě. Investice musí být provedena do 31. prosince 2025.</w:t>
      </w:r>
    </w:p>
    <w:p w14:paraId="580EFC52"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Systém monitorování a řízení (ID opatření: 16910)</w:t>
      </w:r>
    </w:p>
    <w:p w14:paraId="51F2CB93" w14:textId="06937D57" w:rsidR="00515398" w:rsidRDefault="006711E6">
      <w:pPr>
        <w:pStyle w:val="P68B1DB1-Normal4"/>
        <w:spacing w:before="120" w:after="120" w:line="240" w:lineRule="auto"/>
        <w:jc w:val="both"/>
        <w:rPr>
          <w:rFonts w:cs="Times New Roman"/>
          <w:noProof/>
        </w:rPr>
      </w:pPr>
      <w:r>
        <w:rPr>
          <w:noProof/>
        </w:rPr>
        <w:t>Investice spočívá v</w:t>
      </w:r>
      <w:r>
        <w:rPr>
          <w:noProof/>
        </w:rPr>
        <w:t xml:space="preserve"> zajištění digitální infrastruktury pro generální sekretariát pro civilní ochranu, například monitorovacího systému GPS, rozšíření „zapojujícího“ informačního systému, systému včasného varování, systémů detekce požáru a hasicích systémů a tísňových komunik</w:t>
      </w:r>
      <w:r>
        <w:rPr>
          <w:noProof/>
        </w:rPr>
        <w:t>ačních stanic. Investice musí být provedena do 31. prosince 2025.</w:t>
      </w:r>
    </w:p>
    <w:p w14:paraId="31CFB137" w14:textId="74E218AE" w:rsidR="00515398" w:rsidRDefault="006711E6">
      <w:pPr>
        <w:pStyle w:val="P68B1DB1-Normal4"/>
        <w:spacing w:before="120" w:after="120" w:line="240" w:lineRule="auto"/>
        <w:jc w:val="both"/>
        <w:rPr>
          <w:noProof/>
        </w:rPr>
      </w:pPr>
      <w:r>
        <w:rPr>
          <w:b/>
          <w:noProof/>
        </w:rPr>
        <w:t>Investice:</w:t>
      </w:r>
      <w:r>
        <w:rPr>
          <w:noProof/>
        </w:rPr>
        <w:t xml:space="preserve"> Realizace regionálních středisek civilní ochrany (PEKEPP) prostřednictvím programů partnerství veřejného a soukromého sektoru (ID opatření: 16283)</w:t>
      </w:r>
    </w:p>
    <w:p w14:paraId="33C19881" w14:textId="5017882B" w:rsidR="00515398" w:rsidRDefault="006711E6">
      <w:pPr>
        <w:pStyle w:val="P68B1DB1-Normal4"/>
        <w:spacing w:before="120" w:after="120" w:line="240" w:lineRule="auto"/>
        <w:jc w:val="both"/>
        <w:rPr>
          <w:rFonts w:cs="Times New Roman"/>
          <w:noProof/>
          <w:szCs w:val="24"/>
        </w:rPr>
      </w:pPr>
      <w:r>
        <w:rPr>
          <w:noProof/>
        </w:rPr>
        <w:t>Výstavba 13 regionálních středis</w:t>
      </w:r>
      <w:r>
        <w:rPr>
          <w:noProof/>
        </w:rPr>
        <w:t>ek pro civilní ochranu prostřednictvím partnerství veřejného a soukromého sektoru. Cílem investice je zajistit včasné a účinné řízení rizik a krizí na regionální úrovni. Nově postavené budovy musí splňovat požadavek na primární energii (PED), který je ales</w:t>
      </w:r>
      <w:r>
        <w:rPr>
          <w:noProof/>
        </w:rPr>
        <w:t>poň o 20 % nižší než požadavek na budovy s téměř nulovou spotřebou energie (budova s téměř nulovou spotřebou energie, vnitrostátní směrnice). Očekává se, že toto opatření významně nepoškodí environmentální cíle ve smyslu článku 17 nařízení (EU) 2020/852, s</w:t>
      </w:r>
      <w:r>
        <w:rPr>
          <w:noProof/>
        </w:rPr>
        <w:t xml:space="preserve"> přihlédnutím k popisu opatření a zmírňujícím krokům stanoveným v plánu na podporu oživení a odolnosti v souladu s technickými pokyny „nezpůsobit významnou újmu“ (2021/C58/01). Opatření zejména vyžaduje, aby hospodářské subjekty provádějící stavební práce </w:t>
      </w:r>
      <w:r>
        <w:rPr>
          <w:noProof/>
        </w:rPr>
        <w:t>zajistily, že nejméně 70 % (hmotnostních) konstrukčních a demoličních odpadů neklasifikovaných jako nebezpečné (s výjimkou přirozeně se vyskytujících materiálů uvedených v kategorii 17 05 04 na evropském seznamu odpadů stanoveném rozhodnutím 2000/532/ES ze</w:t>
      </w:r>
      <w:r>
        <w:rPr>
          <w:noProof/>
        </w:rPr>
        <w:t xml:space="preserve"> dne 3. května 2000, kterým se nahrazuje rozhodnutí 94/3/ES, kterým se stanoví seznam odpadů podle čl. 1 písm. a) směrnice Rady 75/442/EHS o odpadech a rozhodnutí Rady 94/904/ES, kterým se stanoví seznam nebezpečných odpadů ve smyslu čl. 1 odst. 4 směrnice</w:t>
      </w:r>
      <w:r>
        <w:rPr>
          <w:noProof/>
        </w:rPr>
        <w:t xml:space="preserve"> Rady 91/689/EHS o nebezpečných odpadech (oznámeno pod číslem K(2000) 1147)) vzniklých na staveništi, bude připraveno k opětovnému použití, recyklace a jiné materiálové využití, včetně zasypávání odpadů za účelem nahrazení jiných materiálů, v souladu s hie</w:t>
      </w:r>
      <w:r>
        <w:rPr>
          <w:noProof/>
        </w:rPr>
        <w:t>rarchií způsobů nakládání s odpady a protokolem EU o nakládání se stavebním a demoličním odpadem. Investice musí být provedena do 31. prosince 2025.</w:t>
      </w:r>
    </w:p>
    <w:p w14:paraId="25044D61"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Právní předpisy o nakládání s odpady pro provádění udržitelného skládkování a recyklace (ID opatře</w:t>
      </w:r>
      <w:r>
        <w:rPr>
          <w:noProof/>
        </w:rPr>
        <w:t>ní: 16772)</w:t>
      </w:r>
    </w:p>
    <w:p w14:paraId="311944C7" w14:textId="04525B8D" w:rsidR="00515398" w:rsidRDefault="006711E6">
      <w:pPr>
        <w:pStyle w:val="P68B1DB1-Normal5"/>
        <w:spacing w:before="120" w:after="120" w:line="240" w:lineRule="auto"/>
        <w:jc w:val="both"/>
        <w:rPr>
          <w:rFonts w:cs="Times New Roman"/>
          <w:noProof/>
        </w:rPr>
      </w:pPr>
      <w:r>
        <w:rPr>
          <w:noProof/>
        </w:rPr>
        <w:t>Tato reforma zahrnuje revizi stávajících právních předpisů v oblasti nakládání s odpady s cílem umožnit přechod na oběhové hospodářství. Reforma zejména zavede pobídky pro obce k dosažení vyšší míry recyklace, k prosazování tříděného sběru biolo</w:t>
      </w:r>
      <w:r>
        <w:rPr>
          <w:noProof/>
        </w:rPr>
        <w:t xml:space="preserve">gického odpadu do konce roku 2022 a sběru kovů, papíru, skla a plastů, rozšíří systém odpovědnosti výrobce, zmodernizuje provoz recyklačních třídicích zařízení a zjednoduší právní předpisy týkající se zelených bodů. Cílem reformy je podpořit dosažení cílů </w:t>
      </w:r>
      <w:r>
        <w:rPr>
          <w:noProof/>
        </w:rPr>
        <w:t>zvýšení míry opětovného použití a recyklace pevného komunálního odpadu na 60 % a snížení míry skládkování na 10 % do roku 2030. Vnitrostátní regulační orgán pro nakládání s odpady, který bude zřízen v souvislosti s touto reformou, odpovídá mimo jiné za zaj</w:t>
      </w:r>
      <w:r>
        <w:rPr>
          <w:noProof/>
        </w:rPr>
        <w:t>ištění řádné cenové politiky, dohled nad prováděním nakládání s odpady v celé zemi a dohled nad řádným fungováním regionálních a místních veřejných služeb pro nakládání s odpady. Provádění reformy se dokončí do 31. prosince 2025.</w:t>
      </w:r>
    </w:p>
    <w:p w14:paraId="31704529"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Zřízení nového re</w:t>
      </w:r>
      <w:r>
        <w:rPr>
          <w:noProof/>
        </w:rPr>
        <w:t>gulačního orgánu pro vodu a odpadní vody (ID opatření: 16979)</w:t>
      </w:r>
    </w:p>
    <w:p w14:paraId="3B19F895" w14:textId="77777777" w:rsidR="00515398" w:rsidRDefault="006711E6">
      <w:pPr>
        <w:pStyle w:val="P68B1DB1-Normal5"/>
        <w:spacing w:before="120" w:after="120" w:line="240" w:lineRule="auto"/>
        <w:jc w:val="both"/>
        <w:rPr>
          <w:rFonts w:cs="Times New Roman"/>
          <w:noProof/>
        </w:rPr>
      </w:pPr>
      <w:r>
        <w:rPr>
          <w:noProof/>
        </w:rPr>
        <w:t>Reforma zřídí jediný orgán, Národní vodohospodářský regulační orgán (NWRA), který bude pověřen prováděním politiky racionálního hospodaření s vodními zdroji navržené Ministerstvem životního pros</w:t>
      </w:r>
      <w:r>
        <w:rPr>
          <w:noProof/>
        </w:rPr>
        <w:t>tředí a energetiky. Nový úřad posílí institucionální rámec a dohlíží na toto odvětví, včetně racionalizace politiky sazeb za vodu v souladu se zásadou „znečišťovatel platí“ a zajištění udržitelnosti vodohospodářských služeb v Řecku. Provádění reformy se do</w:t>
      </w:r>
      <w:r>
        <w:rPr>
          <w:noProof/>
        </w:rPr>
        <w:t>končí do 31. prosince 2023.</w:t>
      </w:r>
    </w:p>
    <w:p w14:paraId="6E6238EE" w14:textId="77777777" w:rsidR="00515398" w:rsidRDefault="006711E6">
      <w:pPr>
        <w:pStyle w:val="P68B1DB1-Normal4"/>
        <w:spacing w:before="120" w:after="120" w:line="240" w:lineRule="auto"/>
        <w:jc w:val="both"/>
        <w:rPr>
          <w:rFonts w:cs="Times New Roman"/>
          <w:noProof/>
          <w:szCs w:val="24"/>
        </w:rPr>
      </w:pPr>
      <w:r>
        <w:rPr>
          <w:b/>
          <w:noProof/>
        </w:rPr>
        <w:t>Investice:</w:t>
      </w:r>
      <w:r>
        <w:rPr>
          <w:noProof/>
        </w:rPr>
        <w:t xml:space="preserve"> Předběžná kontrola seismické odolnosti budov (opatření ID: 16983)</w:t>
      </w:r>
    </w:p>
    <w:p w14:paraId="6F08CBCE" w14:textId="103029CE" w:rsidR="00515398" w:rsidRDefault="006711E6">
      <w:pPr>
        <w:pStyle w:val="P68B1DB1-Normal4"/>
        <w:spacing w:before="120" w:after="120" w:line="240" w:lineRule="auto"/>
        <w:jc w:val="both"/>
        <w:rPr>
          <w:rFonts w:cs="Times New Roman"/>
          <w:noProof/>
        </w:rPr>
        <w:sectPr w:rsidR="00515398" w:rsidSect="00271D33">
          <w:headerReference w:type="even" r:id="rId79"/>
          <w:headerReference w:type="default" r:id="rId80"/>
          <w:footerReference w:type="even" r:id="rId81"/>
          <w:footerReference w:type="default" r:id="rId82"/>
          <w:headerReference w:type="first" r:id="rId83"/>
          <w:footerReference w:type="first" r:id="rId84"/>
          <w:pgSz w:w="11907" w:h="16839"/>
          <w:pgMar w:top="1134" w:right="1418" w:bottom="1134" w:left="1418" w:header="709" w:footer="327" w:gutter="0"/>
          <w:cols w:space="720"/>
          <w:docGrid w:linePitch="360"/>
        </w:sectPr>
      </w:pPr>
      <w:r>
        <w:rPr>
          <w:noProof/>
        </w:rPr>
        <w:t>Investice zahrnuje hodnocení seismického rizika různých kritických budov (včetně vzdělávacích budov, nemocnic a zdravotních středisek, policejních útvarů, požárních stanic) v zemi s cílem posoudit jejich odolnost při zemětřesení. To se provádí prostřednict</w:t>
      </w:r>
      <w:r>
        <w:rPr>
          <w:noProof/>
        </w:rPr>
        <w:t>vím rychlé vizuální inspekce (RVI) prováděné auditory civilních inženýrů.  Vytvoří se doplňkový on-line systém pro registraci základních stavebních údajů do hlavního cloudového úložiště RVI před zemětřesením. Provádění investice se dokončí do 31. března 20</w:t>
      </w:r>
      <w:r>
        <w:rPr>
          <w:noProof/>
        </w:rPr>
        <w:t>25.</w:t>
      </w:r>
    </w:p>
    <w:p w14:paraId="3F7F94BF" w14:textId="77777777" w:rsidR="00515398" w:rsidRDefault="006711E6">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noProof/>
          <w:sz w:val="24"/>
          <w:u w:val="single"/>
        </w:rPr>
        <w:t xml:space="preserve">D.2. </w:t>
      </w:r>
      <w:r>
        <w:rPr>
          <w:noProof/>
        </w:rPr>
        <w:t xml:space="preserve"> </w:t>
      </w:r>
      <w:r>
        <w:rPr>
          <w:rFonts w:ascii="Times New Roman" w:hAnsi="Times New Roman"/>
          <w:b/>
          <w:noProof/>
          <w:sz w:val="24"/>
          <w:u w:val="single"/>
        </w:rPr>
        <w:t>Milníky, cíle, ukazatele a harmonogram monitorování a provádění nevratné finanční podpory</w:t>
      </w:r>
    </w:p>
    <w:p w14:paraId="1C7A476B" w14:textId="77777777" w:rsidR="00515398" w:rsidRDefault="00515398">
      <w:pPr>
        <w:rPr>
          <w:noProof/>
        </w:rPr>
      </w:pPr>
    </w:p>
    <w:p w14:paraId="1A129A28" w14:textId="77777777" w:rsidR="00515398" w:rsidRDefault="006711E6">
      <w:pPr>
        <w:pStyle w:val="P68B1DB1-Normal6"/>
        <w:keepNext/>
        <w:keepLines/>
        <w:spacing w:before="40" w:after="0" w:line="240" w:lineRule="auto"/>
        <w:jc w:val="both"/>
        <w:outlineLvl w:val="4"/>
        <w:rPr>
          <w:rFonts w:eastAsia="Times New Roman"/>
          <w:noProof/>
        </w:rPr>
      </w:pPr>
      <w:r>
        <w:rPr>
          <w:noProof/>
        </w:rPr>
        <w:t>Klíčová reforma 4: Nakládání s odpady a vodohospodářská reforma pro udržitelné využívání zdrojů</w:t>
      </w:r>
    </w:p>
    <w:tbl>
      <w:tblPr>
        <w:tblpPr w:leftFromText="180" w:rightFromText="180" w:vertAnchor="text" w:tblpXSpec="center" w:tblpY="1"/>
        <w:tblOverlap w:val="never"/>
        <w:tblW w:w="15759" w:type="dxa"/>
        <w:tblLayout w:type="fixed"/>
        <w:tblLook w:val="04A0" w:firstRow="1" w:lastRow="0" w:firstColumn="1" w:lastColumn="0" w:noHBand="0" w:noVBand="1"/>
      </w:tblPr>
      <w:tblGrid>
        <w:gridCol w:w="1027"/>
        <w:gridCol w:w="1797"/>
        <w:gridCol w:w="966"/>
        <w:gridCol w:w="1190"/>
        <w:gridCol w:w="1468"/>
        <w:gridCol w:w="1031"/>
        <w:gridCol w:w="857"/>
        <w:gridCol w:w="844"/>
        <w:gridCol w:w="851"/>
        <w:gridCol w:w="709"/>
        <w:gridCol w:w="5019"/>
      </w:tblGrid>
      <w:tr w:rsidR="00515398" w14:paraId="369BBE76" w14:textId="77777777">
        <w:trPr>
          <w:trHeight w:val="927"/>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B0B28B"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BE594F"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r>
              <w:rPr>
                <w:noProof/>
              </w:rPr>
              <w:t>)</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750B3C"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190" w:type="dxa"/>
            <w:vMerge w:val="restart"/>
            <w:tcBorders>
              <w:top w:val="single" w:sz="4" w:space="0" w:color="auto"/>
              <w:left w:val="nil"/>
              <w:bottom w:val="single" w:sz="4" w:space="0" w:color="auto"/>
              <w:right w:val="single" w:sz="4" w:space="0" w:color="auto"/>
            </w:tcBorders>
            <w:shd w:val="clear" w:color="auto" w:fill="BDD7EE"/>
            <w:vAlign w:val="center"/>
            <w:hideMark/>
          </w:tcPr>
          <w:p w14:paraId="4D3CC6FA"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AA37EB"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732" w:type="dxa"/>
            <w:gridSpan w:val="3"/>
            <w:tcBorders>
              <w:top w:val="single" w:sz="4" w:space="0" w:color="auto"/>
              <w:left w:val="nil"/>
              <w:bottom w:val="single" w:sz="4" w:space="0" w:color="auto"/>
              <w:right w:val="single" w:sz="4" w:space="0" w:color="auto"/>
            </w:tcBorders>
            <w:shd w:val="clear" w:color="auto" w:fill="BDD7EE"/>
            <w:vAlign w:val="center"/>
            <w:hideMark/>
          </w:tcPr>
          <w:p w14:paraId="302FF6B5"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14:paraId="3B184A68"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50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EB4AA7"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59D133E4" w14:textId="77777777">
        <w:trPr>
          <w:trHeight w:val="619"/>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FE68DE3" w14:textId="77777777" w:rsidR="00515398" w:rsidRDefault="00515398">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1ADDE8DA"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4E3AAD30" w14:textId="77777777" w:rsidR="00515398" w:rsidRDefault="00515398">
            <w:pPr>
              <w:spacing w:after="0" w:line="240" w:lineRule="auto"/>
              <w:rPr>
                <w:rFonts w:ascii="Times New Roman" w:eastAsia="Times New Roman" w:hAnsi="Times New Roman" w:cs="Times New Roman"/>
                <w:b/>
                <w:bCs/>
                <w:noProof/>
                <w:sz w:val="18"/>
                <w:szCs w:val="18"/>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3C12FAE8" w14:textId="77777777" w:rsidR="00515398" w:rsidRDefault="00515398">
            <w:pPr>
              <w:spacing w:after="0" w:line="240" w:lineRule="auto"/>
              <w:rPr>
                <w:rFonts w:ascii="Times New Roman" w:eastAsia="Times New Roman" w:hAnsi="Times New Roman" w:cs="Times New Roman"/>
                <w:b/>
                <w:bCs/>
                <w:noProof/>
                <w:sz w:val="18"/>
                <w:szCs w:val="18"/>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F306269" w14:textId="77777777" w:rsidR="00515398" w:rsidRDefault="00515398">
            <w:pPr>
              <w:spacing w:after="0" w:line="240" w:lineRule="auto"/>
              <w:rPr>
                <w:rFonts w:ascii="Times New Roman" w:eastAsia="Times New Roman" w:hAnsi="Times New Roman" w:cs="Times New Roman"/>
                <w:b/>
                <w:bCs/>
                <w:noProof/>
                <w:sz w:val="18"/>
                <w:szCs w:val="18"/>
              </w:rPr>
            </w:pPr>
          </w:p>
        </w:tc>
        <w:tc>
          <w:tcPr>
            <w:tcW w:w="103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3C1E9A"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236EC639"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44" w:type="dxa"/>
            <w:tcBorders>
              <w:top w:val="nil"/>
              <w:left w:val="nil"/>
              <w:bottom w:val="single" w:sz="4" w:space="0" w:color="auto"/>
              <w:right w:val="single" w:sz="4" w:space="0" w:color="auto"/>
            </w:tcBorders>
            <w:shd w:val="clear" w:color="auto" w:fill="BDD7EE"/>
            <w:vAlign w:val="center"/>
            <w:hideMark/>
          </w:tcPr>
          <w:p w14:paraId="6BB74F19"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1" w:type="dxa"/>
            <w:tcBorders>
              <w:top w:val="nil"/>
              <w:left w:val="nil"/>
              <w:bottom w:val="single" w:sz="4" w:space="0" w:color="auto"/>
              <w:right w:val="single" w:sz="4" w:space="0" w:color="auto"/>
            </w:tcBorders>
            <w:shd w:val="clear" w:color="auto" w:fill="BDD7EE"/>
            <w:vAlign w:val="center"/>
            <w:hideMark/>
          </w:tcPr>
          <w:p w14:paraId="72625C7A"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tcBorders>
              <w:top w:val="nil"/>
              <w:left w:val="nil"/>
              <w:bottom w:val="single" w:sz="4" w:space="0" w:color="auto"/>
              <w:right w:val="single" w:sz="4" w:space="0" w:color="auto"/>
            </w:tcBorders>
            <w:shd w:val="clear" w:color="auto" w:fill="BDD7EE"/>
            <w:vAlign w:val="center"/>
            <w:hideMark/>
          </w:tcPr>
          <w:p w14:paraId="4282B1D3"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5019" w:type="dxa"/>
            <w:vMerge/>
            <w:tcBorders>
              <w:top w:val="single" w:sz="4" w:space="0" w:color="auto"/>
              <w:bottom w:val="single" w:sz="4" w:space="0" w:color="auto"/>
              <w:right w:val="single" w:sz="4" w:space="0" w:color="auto"/>
            </w:tcBorders>
            <w:vAlign w:val="center"/>
            <w:hideMark/>
          </w:tcPr>
          <w:p w14:paraId="2AECCF15"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4DE1973C" w14:textId="77777777">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9C094CF" w14:textId="77777777" w:rsidR="00515398" w:rsidRDefault="006711E6">
            <w:pPr>
              <w:pStyle w:val="P68B1DB1-Normal9"/>
              <w:spacing w:after="0" w:line="240" w:lineRule="auto"/>
              <w:rPr>
                <w:rFonts w:eastAsia="Times New Roman" w:cs="Calibri"/>
                <w:noProof/>
                <w:szCs w:val="18"/>
              </w:rPr>
            </w:pPr>
            <w:r>
              <w:rPr>
                <w:noProof/>
              </w:rPr>
              <w:t>56</w:t>
            </w:r>
          </w:p>
        </w:tc>
        <w:tc>
          <w:tcPr>
            <w:tcW w:w="1797" w:type="dxa"/>
            <w:tcBorders>
              <w:top w:val="single" w:sz="4" w:space="0" w:color="auto"/>
              <w:left w:val="nil"/>
              <w:bottom w:val="single" w:sz="4" w:space="0" w:color="auto"/>
              <w:right w:val="single" w:sz="4" w:space="0" w:color="auto"/>
            </w:tcBorders>
            <w:shd w:val="clear" w:color="auto" w:fill="C6EFCE"/>
            <w:noWrap/>
          </w:tcPr>
          <w:p w14:paraId="7C19A103"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w:t>
            </w:r>
            <w:r>
              <w:rPr>
                <w:noProof/>
              </w:rPr>
              <w:t>odolnost vůči změně klimatu a ochrana životního prostředí – 16772_Právní předpisy o nakládání s odpady pro provádění udržitelného skládkování a recyklace</w:t>
            </w:r>
          </w:p>
        </w:tc>
        <w:tc>
          <w:tcPr>
            <w:tcW w:w="966" w:type="dxa"/>
            <w:tcBorders>
              <w:top w:val="single" w:sz="4" w:space="0" w:color="auto"/>
              <w:left w:val="nil"/>
              <w:bottom w:val="single" w:sz="4" w:space="0" w:color="auto"/>
              <w:right w:val="single" w:sz="4" w:space="0" w:color="auto"/>
            </w:tcBorders>
            <w:shd w:val="clear" w:color="auto" w:fill="C6EFCE"/>
            <w:noWrap/>
          </w:tcPr>
          <w:p w14:paraId="7E42EBCB" w14:textId="77777777" w:rsidR="00515398" w:rsidRDefault="006711E6">
            <w:pPr>
              <w:pStyle w:val="P68B1DB1-Normal9"/>
              <w:spacing w:after="0" w:line="240" w:lineRule="auto"/>
              <w:rPr>
                <w:rFonts w:eastAsia="Times New Roman" w:cs="Calibri"/>
                <w:noProof/>
                <w:szCs w:val="18"/>
              </w:rPr>
            </w:pPr>
            <w:r>
              <w:rPr>
                <w:noProof/>
              </w:rPr>
              <w:t>Milník</w:t>
            </w:r>
          </w:p>
        </w:tc>
        <w:tc>
          <w:tcPr>
            <w:tcW w:w="1190" w:type="dxa"/>
            <w:tcBorders>
              <w:top w:val="single" w:sz="4" w:space="0" w:color="auto"/>
              <w:left w:val="nil"/>
              <w:bottom w:val="single" w:sz="4" w:space="0" w:color="auto"/>
              <w:right w:val="single" w:sz="4" w:space="0" w:color="auto"/>
            </w:tcBorders>
            <w:shd w:val="clear" w:color="auto" w:fill="C6EFCE"/>
            <w:noWrap/>
          </w:tcPr>
          <w:p w14:paraId="685CC6C0" w14:textId="77777777" w:rsidR="00515398" w:rsidRDefault="006711E6">
            <w:pPr>
              <w:pStyle w:val="P68B1DB1-Normal9"/>
              <w:spacing w:after="0" w:line="240" w:lineRule="auto"/>
              <w:rPr>
                <w:rFonts w:eastAsia="Times New Roman" w:cs="Calibri"/>
                <w:noProof/>
                <w:szCs w:val="18"/>
              </w:rPr>
            </w:pPr>
            <w:r>
              <w:rPr>
                <w:noProof/>
              </w:rPr>
              <w:t>Vstup v platnost právních předpisů o nakládání s odpady</w:t>
            </w:r>
          </w:p>
        </w:tc>
        <w:tc>
          <w:tcPr>
            <w:tcW w:w="1468" w:type="dxa"/>
            <w:tcBorders>
              <w:top w:val="single" w:sz="4" w:space="0" w:color="auto"/>
              <w:left w:val="nil"/>
              <w:bottom w:val="single" w:sz="4" w:space="0" w:color="auto"/>
              <w:right w:val="single" w:sz="4" w:space="0" w:color="auto"/>
            </w:tcBorders>
            <w:shd w:val="clear" w:color="auto" w:fill="C6EFCE"/>
            <w:noWrap/>
          </w:tcPr>
          <w:p w14:paraId="4A41A544" w14:textId="77777777" w:rsidR="00515398" w:rsidRDefault="006711E6">
            <w:pPr>
              <w:pStyle w:val="P68B1DB1-Normal9"/>
              <w:spacing w:after="0" w:line="240" w:lineRule="auto"/>
              <w:rPr>
                <w:rFonts w:eastAsia="Times New Roman" w:cs="Calibri"/>
                <w:noProof/>
                <w:szCs w:val="18"/>
              </w:rPr>
            </w:pPr>
            <w:r>
              <w:rPr>
                <w:noProof/>
              </w:rPr>
              <w:t>Vstup právních předpisů v platnost</w:t>
            </w:r>
          </w:p>
        </w:tc>
        <w:tc>
          <w:tcPr>
            <w:tcW w:w="1031" w:type="dxa"/>
            <w:tcBorders>
              <w:top w:val="single" w:sz="4" w:space="0" w:color="auto"/>
              <w:left w:val="nil"/>
              <w:bottom w:val="single" w:sz="4" w:space="0" w:color="auto"/>
              <w:right w:val="single" w:sz="4" w:space="0" w:color="auto"/>
            </w:tcBorders>
            <w:shd w:val="clear" w:color="auto" w:fill="C6EFCE"/>
            <w:noWrap/>
          </w:tcPr>
          <w:p w14:paraId="536E02A9"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3E68E8E2" w14:textId="77777777" w:rsidR="00515398" w:rsidRDefault="00515398">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59BAF79F"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4BA8093" w14:textId="77777777" w:rsidR="00515398" w:rsidRDefault="006711E6">
            <w:pPr>
              <w:pStyle w:val="P68B1DB1-Normal9"/>
              <w:spacing w:after="0" w:line="240" w:lineRule="auto"/>
              <w:rPr>
                <w:rFonts w:eastAsia="Times New Roman" w:cs="Calibri"/>
                <w:noProof/>
                <w:szCs w:val="18"/>
              </w:rPr>
            </w:pPr>
            <w:r>
              <w:rPr>
                <w:noProof/>
              </w:rPr>
              <w:t>ČTVRTLETÍ 3</w:t>
            </w:r>
          </w:p>
        </w:tc>
        <w:tc>
          <w:tcPr>
            <w:tcW w:w="709" w:type="dxa"/>
            <w:tcBorders>
              <w:top w:val="nil"/>
              <w:left w:val="nil"/>
              <w:bottom w:val="single" w:sz="4" w:space="0" w:color="auto"/>
              <w:right w:val="single" w:sz="4" w:space="0" w:color="auto"/>
            </w:tcBorders>
            <w:shd w:val="clear" w:color="auto" w:fill="C6EFCE"/>
            <w:noWrap/>
          </w:tcPr>
          <w:p w14:paraId="31E3843C" w14:textId="77777777" w:rsidR="00515398" w:rsidRDefault="006711E6">
            <w:pPr>
              <w:pStyle w:val="P68B1DB1-Normal9"/>
              <w:spacing w:after="0" w:line="240" w:lineRule="auto"/>
              <w:rPr>
                <w:rFonts w:eastAsia="Times New Roman" w:cs="Calibri"/>
                <w:noProof/>
                <w:szCs w:val="18"/>
              </w:rPr>
            </w:pPr>
            <w:r>
              <w:rPr>
                <w:noProof/>
              </w:rPr>
              <w:t>2021</w:t>
            </w:r>
          </w:p>
        </w:tc>
        <w:tc>
          <w:tcPr>
            <w:tcW w:w="5019" w:type="dxa"/>
            <w:tcBorders>
              <w:top w:val="single" w:sz="4" w:space="0" w:color="auto"/>
              <w:left w:val="nil"/>
              <w:bottom w:val="single" w:sz="4" w:space="0" w:color="auto"/>
              <w:right w:val="single" w:sz="4" w:space="0" w:color="auto"/>
            </w:tcBorders>
            <w:shd w:val="clear" w:color="auto" w:fill="C6EFCE"/>
            <w:noWrap/>
          </w:tcPr>
          <w:p w14:paraId="0054BCF4" w14:textId="77777777" w:rsidR="00515398" w:rsidRDefault="006711E6">
            <w:pPr>
              <w:pStyle w:val="P68B1DB1-Normal9"/>
              <w:spacing w:after="0" w:line="240" w:lineRule="auto"/>
              <w:rPr>
                <w:rFonts w:eastAsia="Times New Roman" w:cs="Calibri"/>
                <w:noProof/>
                <w:szCs w:val="18"/>
              </w:rPr>
            </w:pPr>
            <w:r>
              <w:rPr>
                <w:noProof/>
              </w:rPr>
              <w:t xml:space="preserve">Vstup v platnost zákona o recyklaci a skládkování, jakož i zavedení pobídek pro obce, aby dosáhly vysoké míry opětovného použití a recyklace, a zavedení daně ze skládkování. Daň ze skládkování se uplatňuje od prvního čtvrtletí roku 2022 a </w:t>
            </w:r>
            <w:r>
              <w:rPr>
                <w:noProof/>
              </w:rPr>
              <w:t>sazby se postupně zvyšují, dokud nedosáhnou horní prahové hodnoty daně ze skládkování do třetího čtvrtletí roku 2024.</w:t>
            </w:r>
          </w:p>
        </w:tc>
      </w:tr>
      <w:tr w:rsidR="00515398" w14:paraId="2D216134"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6273B449" w14:textId="77777777" w:rsidR="00515398" w:rsidRDefault="006711E6">
            <w:pPr>
              <w:pStyle w:val="P68B1DB1-Normal9"/>
              <w:spacing w:after="0" w:line="240" w:lineRule="auto"/>
              <w:rPr>
                <w:rFonts w:eastAsia="Times New Roman" w:cs="Calibri"/>
                <w:noProof/>
                <w:szCs w:val="18"/>
              </w:rPr>
            </w:pPr>
            <w:r>
              <w:rPr>
                <w:noProof/>
              </w:rPr>
              <w:t>57</w:t>
            </w:r>
          </w:p>
        </w:tc>
        <w:tc>
          <w:tcPr>
            <w:tcW w:w="1797" w:type="dxa"/>
            <w:tcBorders>
              <w:top w:val="nil"/>
              <w:left w:val="nil"/>
              <w:bottom w:val="single" w:sz="4" w:space="0" w:color="auto"/>
              <w:right w:val="single" w:sz="4" w:space="0" w:color="auto"/>
            </w:tcBorders>
            <w:shd w:val="clear" w:color="auto" w:fill="C6EFCE"/>
            <w:noWrap/>
          </w:tcPr>
          <w:p w14:paraId="0BD8346E"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odolnost vůči změně klimatu a ochrana životního prostředí – 16772_Právní předpisy o nakládání s </w:t>
            </w:r>
            <w:r>
              <w:rPr>
                <w:noProof/>
              </w:rPr>
              <w:t>odpady pro provádění udržitelného skládkování a recyklace</w:t>
            </w:r>
          </w:p>
        </w:tc>
        <w:tc>
          <w:tcPr>
            <w:tcW w:w="966" w:type="dxa"/>
            <w:tcBorders>
              <w:top w:val="nil"/>
              <w:left w:val="nil"/>
              <w:bottom w:val="single" w:sz="4" w:space="0" w:color="auto"/>
              <w:right w:val="single" w:sz="4" w:space="0" w:color="auto"/>
            </w:tcBorders>
            <w:shd w:val="clear" w:color="auto" w:fill="C6EFCE"/>
            <w:noWrap/>
          </w:tcPr>
          <w:p w14:paraId="0060269F" w14:textId="77777777" w:rsidR="00515398" w:rsidRDefault="006711E6">
            <w:pPr>
              <w:pStyle w:val="P68B1DB1-Normal9"/>
              <w:spacing w:after="0" w:line="240" w:lineRule="auto"/>
              <w:rPr>
                <w:rFonts w:eastAsia="Times New Roman" w:cs="Calibri"/>
                <w:noProof/>
                <w:szCs w:val="18"/>
              </w:rPr>
            </w:pPr>
            <w:r>
              <w:rPr>
                <w:noProof/>
              </w:rPr>
              <w:t>Milník</w:t>
            </w:r>
          </w:p>
        </w:tc>
        <w:tc>
          <w:tcPr>
            <w:tcW w:w="1190" w:type="dxa"/>
            <w:tcBorders>
              <w:top w:val="nil"/>
              <w:left w:val="nil"/>
              <w:bottom w:val="single" w:sz="4" w:space="0" w:color="auto"/>
              <w:right w:val="single" w:sz="4" w:space="0" w:color="auto"/>
            </w:tcBorders>
            <w:shd w:val="clear" w:color="auto" w:fill="C6EFCE"/>
            <w:noWrap/>
          </w:tcPr>
          <w:p w14:paraId="03B66042" w14:textId="77777777" w:rsidR="00515398" w:rsidRDefault="006711E6">
            <w:pPr>
              <w:pStyle w:val="P68B1DB1-Normal9"/>
              <w:spacing w:after="0" w:line="240" w:lineRule="auto"/>
              <w:rPr>
                <w:rFonts w:eastAsia="Times New Roman" w:cs="Calibri"/>
                <w:noProof/>
                <w:szCs w:val="18"/>
              </w:rPr>
            </w:pPr>
            <w:r>
              <w:rPr>
                <w:noProof/>
              </w:rPr>
              <w:t>Vstup v platnost zákona o regulačním orgánu pro nakládání s odpady</w:t>
            </w:r>
          </w:p>
        </w:tc>
        <w:tc>
          <w:tcPr>
            <w:tcW w:w="1468" w:type="dxa"/>
            <w:tcBorders>
              <w:top w:val="nil"/>
              <w:left w:val="nil"/>
              <w:bottom w:val="single" w:sz="4" w:space="0" w:color="auto"/>
              <w:right w:val="single" w:sz="4" w:space="0" w:color="auto"/>
            </w:tcBorders>
            <w:shd w:val="clear" w:color="auto" w:fill="C6EFCE"/>
            <w:noWrap/>
          </w:tcPr>
          <w:p w14:paraId="069763D4" w14:textId="77777777" w:rsidR="00515398" w:rsidRDefault="006711E6">
            <w:pPr>
              <w:pStyle w:val="P68B1DB1-Normal9"/>
              <w:spacing w:after="0" w:line="240" w:lineRule="auto"/>
              <w:rPr>
                <w:rFonts w:eastAsia="Times New Roman" w:cs="Calibri"/>
                <w:noProof/>
                <w:szCs w:val="18"/>
              </w:rPr>
            </w:pPr>
            <w:r>
              <w:rPr>
                <w:noProof/>
              </w:rPr>
              <w:t xml:space="preserve">Vstup právních předpisů v platnost </w:t>
            </w:r>
          </w:p>
        </w:tc>
        <w:tc>
          <w:tcPr>
            <w:tcW w:w="1031" w:type="dxa"/>
            <w:tcBorders>
              <w:top w:val="nil"/>
              <w:left w:val="nil"/>
              <w:bottom w:val="single" w:sz="4" w:space="0" w:color="auto"/>
              <w:right w:val="single" w:sz="4" w:space="0" w:color="auto"/>
            </w:tcBorders>
            <w:shd w:val="clear" w:color="auto" w:fill="C6EFCE"/>
            <w:noWrap/>
          </w:tcPr>
          <w:p w14:paraId="78DD5F11"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F94F8CA" w14:textId="77777777" w:rsidR="00515398" w:rsidRDefault="00515398">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711952F1"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38FE787" w14:textId="77777777" w:rsidR="00515398" w:rsidRDefault="006711E6">
            <w:pPr>
              <w:pStyle w:val="P68B1DB1-Normal9"/>
              <w:spacing w:after="0" w:line="240" w:lineRule="auto"/>
              <w:rPr>
                <w:rFonts w:eastAsia="Times New Roman" w:cs="Calibri"/>
                <w:noProof/>
                <w:szCs w:val="18"/>
              </w:rPr>
            </w:pPr>
            <w:r>
              <w:rPr>
                <w:noProof/>
              </w:rPr>
              <w:t>ČTVRTLETÍ 3</w:t>
            </w:r>
          </w:p>
        </w:tc>
        <w:tc>
          <w:tcPr>
            <w:tcW w:w="709" w:type="dxa"/>
            <w:tcBorders>
              <w:top w:val="nil"/>
              <w:left w:val="nil"/>
              <w:bottom w:val="single" w:sz="4" w:space="0" w:color="auto"/>
              <w:right w:val="single" w:sz="4" w:space="0" w:color="auto"/>
            </w:tcBorders>
            <w:shd w:val="clear" w:color="auto" w:fill="C6EFCE"/>
            <w:noWrap/>
          </w:tcPr>
          <w:p w14:paraId="72B2092C" w14:textId="77777777" w:rsidR="00515398" w:rsidRDefault="006711E6">
            <w:pPr>
              <w:pStyle w:val="P68B1DB1-Normal9"/>
              <w:spacing w:after="0" w:line="240" w:lineRule="auto"/>
              <w:rPr>
                <w:rFonts w:eastAsia="Times New Roman" w:cs="Calibri"/>
                <w:noProof/>
                <w:szCs w:val="18"/>
              </w:rPr>
            </w:pPr>
            <w:r>
              <w:rPr>
                <w:noProof/>
              </w:rPr>
              <w:t>2022</w:t>
            </w:r>
          </w:p>
        </w:tc>
        <w:tc>
          <w:tcPr>
            <w:tcW w:w="5019" w:type="dxa"/>
            <w:tcBorders>
              <w:top w:val="nil"/>
              <w:left w:val="nil"/>
              <w:bottom w:val="single" w:sz="4" w:space="0" w:color="auto"/>
              <w:right w:val="single" w:sz="4" w:space="0" w:color="auto"/>
            </w:tcBorders>
            <w:shd w:val="clear" w:color="auto" w:fill="C6EFCE"/>
            <w:noWrap/>
          </w:tcPr>
          <w:p w14:paraId="3316C2D0" w14:textId="77777777" w:rsidR="00515398" w:rsidRDefault="006711E6">
            <w:pPr>
              <w:pStyle w:val="P68B1DB1-Normal9"/>
              <w:spacing w:after="0" w:line="240" w:lineRule="auto"/>
              <w:jc w:val="both"/>
              <w:rPr>
                <w:rFonts w:eastAsia="Times New Roman" w:cs="Calibri"/>
                <w:noProof/>
                <w:szCs w:val="18"/>
              </w:rPr>
            </w:pPr>
            <w:r>
              <w:rPr>
                <w:noProof/>
              </w:rPr>
              <w:t>Vstup v platnost zákona s cílem:</w:t>
            </w:r>
          </w:p>
          <w:p w14:paraId="0B3C79B6" w14:textId="77777777" w:rsidR="00515398" w:rsidRDefault="006711E6">
            <w:pPr>
              <w:pStyle w:val="P68B1DB1-Normal9"/>
              <w:numPr>
                <w:ilvl w:val="0"/>
                <w:numId w:val="53"/>
              </w:numPr>
              <w:spacing w:after="0" w:line="240" w:lineRule="auto"/>
              <w:jc w:val="both"/>
              <w:rPr>
                <w:rFonts w:eastAsia="Times New Roman" w:cs="Calibri"/>
                <w:noProof/>
                <w:szCs w:val="18"/>
              </w:rPr>
            </w:pPr>
            <w:r>
              <w:rPr>
                <w:noProof/>
              </w:rPr>
              <w:t>zřídit vnitrostátní regulační orgán</w:t>
            </w:r>
            <w:r>
              <w:rPr>
                <w:noProof/>
              </w:rPr>
              <w:t xml:space="preserve"> pro nakládání s odpady, jeho fungování a povinnosti;</w:t>
            </w:r>
          </w:p>
          <w:p w14:paraId="2A15EDEC" w14:textId="77777777" w:rsidR="00515398" w:rsidRDefault="006711E6">
            <w:pPr>
              <w:pStyle w:val="P68B1DB1-Normal9"/>
              <w:numPr>
                <w:ilvl w:val="0"/>
                <w:numId w:val="53"/>
              </w:numPr>
              <w:spacing w:after="0" w:line="240" w:lineRule="auto"/>
              <w:jc w:val="both"/>
              <w:rPr>
                <w:rFonts w:eastAsia="Times New Roman" w:cs="Calibri"/>
                <w:noProof/>
                <w:szCs w:val="18"/>
              </w:rPr>
            </w:pPr>
            <w:r>
              <w:rPr>
                <w:noProof/>
              </w:rPr>
              <w:t>Reforma regionálních a místních orgánů pro nakládání s odpady (FOSDA); a pokud</w:t>
            </w:r>
          </w:p>
          <w:p w14:paraId="6BBEA1C7" w14:textId="4CA0FC1B" w:rsidR="00515398" w:rsidRDefault="006711E6">
            <w:pPr>
              <w:pStyle w:val="P68B1DB1-Normal17"/>
              <w:numPr>
                <w:ilvl w:val="0"/>
                <w:numId w:val="53"/>
              </w:numPr>
              <w:spacing w:after="0" w:line="240" w:lineRule="auto"/>
              <w:jc w:val="both"/>
              <w:rPr>
                <w:noProof/>
              </w:rPr>
            </w:pPr>
            <w:r>
              <w:rPr>
                <w:noProof/>
              </w:rPr>
              <w:t>Zavést řádné nákladové a cenové politiky v souladu se zásadami „pay as you throw“ a „znečišťovatel platí“.</w:t>
            </w:r>
          </w:p>
          <w:p w14:paraId="2655300E" w14:textId="468F2D79" w:rsidR="00515398" w:rsidRDefault="00515398">
            <w:pPr>
              <w:spacing w:after="0" w:line="240" w:lineRule="auto"/>
              <w:ind w:left="720"/>
              <w:jc w:val="both"/>
              <w:rPr>
                <w:noProof/>
              </w:rPr>
            </w:pPr>
          </w:p>
        </w:tc>
      </w:tr>
      <w:tr w:rsidR="00515398" w14:paraId="2A304879"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49AD2BE" w14:textId="77777777" w:rsidR="00515398" w:rsidRDefault="006711E6">
            <w:pPr>
              <w:pStyle w:val="P68B1DB1-Normal9"/>
              <w:spacing w:after="0" w:line="240" w:lineRule="auto"/>
              <w:rPr>
                <w:rFonts w:eastAsia="Times New Roman" w:cs="Calibri"/>
                <w:noProof/>
                <w:szCs w:val="18"/>
              </w:rPr>
            </w:pPr>
            <w:r>
              <w:rPr>
                <w:noProof/>
              </w:rPr>
              <w:t>58</w:t>
            </w:r>
          </w:p>
        </w:tc>
        <w:tc>
          <w:tcPr>
            <w:tcW w:w="1797" w:type="dxa"/>
            <w:tcBorders>
              <w:top w:val="nil"/>
              <w:left w:val="nil"/>
              <w:bottom w:val="single" w:sz="4" w:space="0" w:color="auto"/>
              <w:right w:val="single" w:sz="4" w:space="0" w:color="auto"/>
            </w:tcBorders>
            <w:shd w:val="clear" w:color="auto" w:fill="C6EFCE"/>
            <w:noWrap/>
          </w:tcPr>
          <w:p w14:paraId="7293AE78" w14:textId="77777777" w:rsidR="00515398" w:rsidRDefault="006711E6">
            <w:pPr>
              <w:pStyle w:val="P68B1DB1-Normal9"/>
              <w:spacing w:after="0" w:line="240" w:lineRule="auto"/>
              <w:rPr>
                <w:rFonts w:eastAsia="Times New Roman" w:cs="Calibri"/>
                <w:noProof/>
                <w:szCs w:val="18"/>
              </w:rPr>
            </w:pPr>
            <w:r>
              <w:rPr>
                <w:noProof/>
              </w:rPr>
              <w:t xml:space="preserve">4–1.4. </w:t>
            </w:r>
            <w:r>
              <w:rPr>
                <w:noProof/>
              </w:rPr>
              <w:t>Udržitelné využívání zdrojů, odolnost vůči změně klimatu a ochrana životního prostředí – 16979_Zřízení nového regulačního orgánu pro vodu a odpadní vody</w:t>
            </w:r>
          </w:p>
        </w:tc>
        <w:tc>
          <w:tcPr>
            <w:tcW w:w="966" w:type="dxa"/>
            <w:tcBorders>
              <w:top w:val="nil"/>
              <w:left w:val="nil"/>
              <w:bottom w:val="single" w:sz="4" w:space="0" w:color="auto"/>
              <w:right w:val="single" w:sz="4" w:space="0" w:color="auto"/>
            </w:tcBorders>
            <w:shd w:val="clear" w:color="auto" w:fill="C6EFCE"/>
            <w:noWrap/>
          </w:tcPr>
          <w:p w14:paraId="26991DB8" w14:textId="77777777" w:rsidR="00515398" w:rsidRDefault="006711E6">
            <w:pPr>
              <w:pStyle w:val="P68B1DB1-Normal9"/>
              <w:spacing w:after="0" w:line="240" w:lineRule="auto"/>
              <w:rPr>
                <w:rFonts w:eastAsia="Times New Roman" w:cs="Calibri"/>
                <w:noProof/>
                <w:szCs w:val="18"/>
              </w:rPr>
            </w:pPr>
            <w:r>
              <w:rPr>
                <w:noProof/>
              </w:rPr>
              <w:t>Milník</w:t>
            </w:r>
          </w:p>
        </w:tc>
        <w:tc>
          <w:tcPr>
            <w:tcW w:w="1190" w:type="dxa"/>
            <w:tcBorders>
              <w:top w:val="nil"/>
              <w:left w:val="nil"/>
              <w:bottom w:val="single" w:sz="4" w:space="0" w:color="auto"/>
              <w:right w:val="single" w:sz="4" w:space="0" w:color="auto"/>
            </w:tcBorders>
            <w:shd w:val="clear" w:color="auto" w:fill="C6EFCE"/>
            <w:noWrap/>
          </w:tcPr>
          <w:p w14:paraId="5B15D384" w14:textId="77777777" w:rsidR="00515398" w:rsidRDefault="006711E6">
            <w:pPr>
              <w:pStyle w:val="P68B1DB1-Normal9"/>
              <w:spacing w:after="0" w:line="240" w:lineRule="auto"/>
              <w:rPr>
                <w:rFonts w:eastAsia="Times New Roman" w:cs="Calibri"/>
                <w:noProof/>
                <w:szCs w:val="18"/>
              </w:rPr>
            </w:pPr>
            <w:r>
              <w:rPr>
                <w:noProof/>
              </w:rPr>
              <w:t>Vstup v platnost zákona o vodohospodářských orgánech</w:t>
            </w:r>
          </w:p>
        </w:tc>
        <w:tc>
          <w:tcPr>
            <w:tcW w:w="1468" w:type="dxa"/>
            <w:tcBorders>
              <w:top w:val="nil"/>
              <w:left w:val="nil"/>
              <w:bottom w:val="single" w:sz="4" w:space="0" w:color="auto"/>
              <w:right w:val="single" w:sz="4" w:space="0" w:color="auto"/>
            </w:tcBorders>
            <w:shd w:val="clear" w:color="auto" w:fill="C6EFCE"/>
            <w:noWrap/>
          </w:tcPr>
          <w:p w14:paraId="6F604737" w14:textId="77777777" w:rsidR="00515398" w:rsidRDefault="006711E6">
            <w:pPr>
              <w:pStyle w:val="P68B1DB1-Normal9"/>
              <w:spacing w:after="0" w:line="240" w:lineRule="auto"/>
              <w:rPr>
                <w:rFonts w:eastAsia="Times New Roman" w:cs="Calibri"/>
                <w:noProof/>
                <w:szCs w:val="18"/>
              </w:rPr>
            </w:pPr>
            <w:r>
              <w:rPr>
                <w:noProof/>
              </w:rPr>
              <w:t xml:space="preserve">Vstup právních předpisů v platnost </w:t>
            </w:r>
          </w:p>
        </w:tc>
        <w:tc>
          <w:tcPr>
            <w:tcW w:w="1031" w:type="dxa"/>
            <w:tcBorders>
              <w:top w:val="nil"/>
              <w:left w:val="nil"/>
              <w:bottom w:val="single" w:sz="4" w:space="0" w:color="auto"/>
              <w:right w:val="single" w:sz="4" w:space="0" w:color="auto"/>
            </w:tcBorders>
            <w:shd w:val="clear" w:color="auto" w:fill="C6EFCE"/>
            <w:noWrap/>
          </w:tcPr>
          <w:p w14:paraId="5B990822"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8D9E3A2" w14:textId="77777777" w:rsidR="00515398" w:rsidRDefault="00515398">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79FE8B2D"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52E289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46D7402E" w14:textId="77777777" w:rsidR="00515398" w:rsidRDefault="006711E6">
            <w:pPr>
              <w:pStyle w:val="P68B1DB1-Normal9"/>
              <w:spacing w:after="0" w:line="240" w:lineRule="auto"/>
              <w:rPr>
                <w:rFonts w:eastAsia="Times New Roman" w:cs="Calibri"/>
                <w:noProof/>
                <w:szCs w:val="18"/>
              </w:rPr>
            </w:pPr>
            <w:r>
              <w:rPr>
                <w:noProof/>
              </w:rPr>
              <w:t>2022</w:t>
            </w:r>
          </w:p>
        </w:tc>
        <w:tc>
          <w:tcPr>
            <w:tcW w:w="5019" w:type="dxa"/>
            <w:tcBorders>
              <w:top w:val="nil"/>
              <w:left w:val="nil"/>
              <w:bottom w:val="single" w:sz="4" w:space="0" w:color="auto"/>
              <w:right w:val="single" w:sz="4" w:space="0" w:color="auto"/>
            </w:tcBorders>
            <w:shd w:val="clear" w:color="auto" w:fill="C6EFCE"/>
            <w:noWrap/>
          </w:tcPr>
          <w:p w14:paraId="4AC60811" w14:textId="77777777" w:rsidR="00515398" w:rsidRDefault="006711E6">
            <w:pPr>
              <w:pStyle w:val="P68B1DB1-Normal9"/>
              <w:spacing w:after="0" w:line="240" w:lineRule="auto"/>
              <w:rPr>
                <w:rFonts w:eastAsia="Times New Roman" w:cs="Calibri"/>
                <w:noProof/>
                <w:szCs w:val="18"/>
              </w:rPr>
            </w:pPr>
            <w:r>
              <w:rPr>
                <w:noProof/>
              </w:rPr>
              <w:t>Vstup v platnost zákona o zřízení a provozu nového regulačního orgánu pro vodu a odpadní vody.</w:t>
            </w:r>
          </w:p>
        </w:tc>
      </w:tr>
      <w:tr w:rsidR="00515398" w14:paraId="18A12DC2"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19590AB3" w14:textId="77777777" w:rsidR="00515398" w:rsidRDefault="006711E6">
            <w:pPr>
              <w:pStyle w:val="P68B1DB1-Normal9"/>
              <w:spacing w:after="0" w:line="240" w:lineRule="auto"/>
              <w:rPr>
                <w:rFonts w:eastAsia="Times New Roman" w:cs="Calibri"/>
                <w:noProof/>
                <w:szCs w:val="18"/>
              </w:rPr>
            </w:pPr>
            <w:r>
              <w:rPr>
                <w:noProof/>
              </w:rPr>
              <w:t>59</w:t>
            </w:r>
          </w:p>
        </w:tc>
        <w:tc>
          <w:tcPr>
            <w:tcW w:w="1797" w:type="dxa"/>
            <w:tcBorders>
              <w:top w:val="nil"/>
              <w:left w:val="nil"/>
              <w:bottom w:val="single" w:sz="4" w:space="0" w:color="auto"/>
              <w:right w:val="single" w:sz="4" w:space="0" w:color="auto"/>
            </w:tcBorders>
            <w:shd w:val="clear" w:color="auto" w:fill="C6EFCE"/>
            <w:noWrap/>
          </w:tcPr>
          <w:p w14:paraId="07FC261C"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odolnost vůči změně klimatu a ochrana životního prostředí – 16772_Právní předpisy o nakládání s </w:t>
            </w:r>
            <w:r>
              <w:rPr>
                <w:noProof/>
              </w:rPr>
              <w:t>odpady pro provádění udržitelného skládkování a recyklace</w:t>
            </w:r>
          </w:p>
        </w:tc>
        <w:tc>
          <w:tcPr>
            <w:tcW w:w="966" w:type="dxa"/>
            <w:tcBorders>
              <w:top w:val="nil"/>
              <w:left w:val="nil"/>
              <w:bottom w:val="single" w:sz="4" w:space="0" w:color="auto"/>
              <w:right w:val="single" w:sz="4" w:space="0" w:color="auto"/>
            </w:tcBorders>
            <w:shd w:val="clear" w:color="auto" w:fill="C6EFCE"/>
            <w:noWrap/>
          </w:tcPr>
          <w:p w14:paraId="6F4EB2AC" w14:textId="77777777" w:rsidR="00515398" w:rsidRDefault="006711E6">
            <w:pPr>
              <w:pStyle w:val="P68B1DB1-Normal9"/>
              <w:spacing w:after="0" w:line="240" w:lineRule="auto"/>
              <w:rPr>
                <w:rFonts w:eastAsia="Times New Roman" w:cs="Calibri"/>
                <w:noProof/>
                <w:szCs w:val="18"/>
              </w:rPr>
            </w:pPr>
            <w:r>
              <w:rPr>
                <w:noProof/>
              </w:rPr>
              <w:t>Milník</w:t>
            </w:r>
          </w:p>
        </w:tc>
        <w:tc>
          <w:tcPr>
            <w:tcW w:w="1190" w:type="dxa"/>
            <w:tcBorders>
              <w:top w:val="nil"/>
              <w:left w:val="nil"/>
              <w:bottom w:val="single" w:sz="4" w:space="0" w:color="auto"/>
              <w:right w:val="single" w:sz="4" w:space="0" w:color="auto"/>
            </w:tcBorders>
            <w:shd w:val="clear" w:color="auto" w:fill="C6EFCE"/>
            <w:noWrap/>
          </w:tcPr>
          <w:p w14:paraId="39295AA9" w14:textId="77777777" w:rsidR="00515398" w:rsidRDefault="006711E6">
            <w:pPr>
              <w:pStyle w:val="P68B1DB1-Normal9"/>
              <w:spacing w:after="0" w:line="240" w:lineRule="auto"/>
              <w:rPr>
                <w:rFonts w:eastAsia="Times New Roman" w:cs="Calibri"/>
                <w:noProof/>
                <w:szCs w:val="18"/>
              </w:rPr>
            </w:pPr>
            <w:r>
              <w:rPr>
                <w:noProof/>
              </w:rPr>
              <w:t>Zřízení a fungování regulačního orgánu pro nakládání s odpady</w:t>
            </w:r>
          </w:p>
        </w:tc>
        <w:tc>
          <w:tcPr>
            <w:tcW w:w="1468" w:type="dxa"/>
            <w:tcBorders>
              <w:top w:val="nil"/>
              <w:left w:val="nil"/>
              <w:bottom w:val="single" w:sz="4" w:space="0" w:color="auto"/>
              <w:right w:val="single" w:sz="4" w:space="0" w:color="auto"/>
            </w:tcBorders>
            <w:shd w:val="clear" w:color="auto" w:fill="C6EFCE"/>
            <w:noWrap/>
          </w:tcPr>
          <w:p w14:paraId="0287C7B6" w14:textId="77777777" w:rsidR="00515398" w:rsidRDefault="006711E6">
            <w:pPr>
              <w:pStyle w:val="P68B1DB1-Normal9"/>
              <w:spacing w:after="0" w:line="240" w:lineRule="auto"/>
              <w:rPr>
                <w:rFonts w:eastAsia="Times New Roman" w:cs="Calibri"/>
                <w:noProof/>
                <w:szCs w:val="18"/>
              </w:rPr>
            </w:pPr>
            <w:r>
              <w:rPr>
                <w:noProof/>
              </w:rPr>
              <w:t xml:space="preserve">Vstup v platnost společného ministerského rozhodnutí a všech nezbytných správních a legislativních opatření pro zřízení Kontrolního úřadu </w:t>
            </w:r>
          </w:p>
        </w:tc>
        <w:tc>
          <w:tcPr>
            <w:tcW w:w="1031" w:type="dxa"/>
            <w:tcBorders>
              <w:top w:val="nil"/>
              <w:left w:val="nil"/>
              <w:bottom w:val="single" w:sz="4" w:space="0" w:color="auto"/>
              <w:right w:val="single" w:sz="4" w:space="0" w:color="auto"/>
            </w:tcBorders>
            <w:shd w:val="clear" w:color="auto" w:fill="C6EFCE"/>
            <w:noWrap/>
          </w:tcPr>
          <w:p w14:paraId="2E053B14"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9B83D52" w14:textId="77777777" w:rsidR="00515398" w:rsidRDefault="00515398">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4C152F1B"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63BD011D"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64E09B5C" w14:textId="77777777" w:rsidR="00515398" w:rsidRDefault="006711E6">
            <w:pPr>
              <w:pStyle w:val="P68B1DB1-Normal9"/>
              <w:spacing w:after="0" w:line="240" w:lineRule="auto"/>
              <w:rPr>
                <w:rFonts w:eastAsia="Times New Roman" w:cs="Calibri"/>
                <w:noProof/>
                <w:szCs w:val="18"/>
              </w:rPr>
            </w:pPr>
            <w:r>
              <w:rPr>
                <w:noProof/>
              </w:rPr>
              <w:t>2023</w:t>
            </w:r>
          </w:p>
        </w:tc>
        <w:tc>
          <w:tcPr>
            <w:tcW w:w="5019" w:type="dxa"/>
            <w:tcBorders>
              <w:top w:val="nil"/>
              <w:left w:val="nil"/>
              <w:bottom w:val="single" w:sz="4" w:space="0" w:color="auto"/>
              <w:right w:val="single" w:sz="4" w:space="0" w:color="auto"/>
            </w:tcBorders>
            <w:shd w:val="clear" w:color="auto" w:fill="C6EFCE"/>
            <w:noWrap/>
          </w:tcPr>
          <w:p w14:paraId="17B512DC" w14:textId="77777777" w:rsidR="00515398" w:rsidRDefault="006711E6">
            <w:pPr>
              <w:pStyle w:val="P68B1DB1-Normal9"/>
              <w:spacing w:after="0" w:line="240" w:lineRule="auto"/>
              <w:rPr>
                <w:rFonts w:eastAsia="Times New Roman" w:cs="Calibri"/>
                <w:noProof/>
                <w:szCs w:val="18"/>
              </w:rPr>
            </w:pPr>
            <w:r>
              <w:rPr>
                <w:noProof/>
              </w:rPr>
              <w:t>Nový vnitrostátní regulační orgán pro nakládání s odpady má zaměstnance a je vybaven prostory</w:t>
            </w:r>
            <w:r>
              <w:rPr>
                <w:noProof/>
              </w:rPr>
              <w:t>.</w:t>
            </w:r>
          </w:p>
        </w:tc>
      </w:tr>
      <w:tr w:rsidR="00515398" w14:paraId="55675E7B"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A6528EA" w14:textId="77777777" w:rsidR="00515398" w:rsidRDefault="006711E6">
            <w:pPr>
              <w:pStyle w:val="P68B1DB1-Normal9"/>
              <w:spacing w:after="0" w:line="240" w:lineRule="auto"/>
              <w:rPr>
                <w:noProof/>
              </w:rPr>
            </w:pPr>
            <w:r>
              <w:rPr>
                <w:noProof/>
              </w:rPr>
              <w:t>59a</w:t>
            </w:r>
          </w:p>
        </w:tc>
        <w:tc>
          <w:tcPr>
            <w:tcW w:w="1797" w:type="dxa"/>
            <w:tcBorders>
              <w:top w:val="nil"/>
              <w:left w:val="nil"/>
              <w:bottom w:val="single" w:sz="4" w:space="0" w:color="auto"/>
              <w:right w:val="single" w:sz="4" w:space="0" w:color="auto"/>
            </w:tcBorders>
            <w:shd w:val="clear" w:color="auto" w:fill="C6EFCE"/>
            <w:noWrap/>
          </w:tcPr>
          <w:p w14:paraId="15DF971D" w14:textId="77777777" w:rsidR="00515398" w:rsidRDefault="006711E6">
            <w:pPr>
              <w:pStyle w:val="P68B1DB1-Normal9"/>
              <w:spacing w:after="0" w:line="240" w:lineRule="auto"/>
              <w:rPr>
                <w:noProof/>
              </w:rPr>
            </w:pPr>
            <w:r>
              <w:rPr>
                <w:noProof/>
              </w:rPr>
              <w:t>4–1.4. Udržitelné využívání zdrojů, odolnost vůči změně klimatu a ochrana životního prostředí – 16772_Právní předpisy o nakládání s odpady pro provádění udržitelného skládkování a recyklace</w:t>
            </w:r>
          </w:p>
        </w:tc>
        <w:tc>
          <w:tcPr>
            <w:tcW w:w="966" w:type="dxa"/>
            <w:tcBorders>
              <w:top w:val="nil"/>
              <w:left w:val="nil"/>
              <w:bottom w:val="single" w:sz="4" w:space="0" w:color="auto"/>
              <w:right w:val="single" w:sz="4" w:space="0" w:color="auto"/>
            </w:tcBorders>
            <w:shd w:val="clear" w:color="auto" w:fill="C6EFCE"/>
            <w:noWrap/>
          </w:tcPr>
          <w:p w14:paraId="3DB501FC" w14:textId="77777777" w:rsidR="00515398" w:rsidRDefault="006711E6">
            <w:pPr>
              <w:pStyle w:val="P68B1DB1-Normal9"/>
              <w:spacing w:after="0" w:line="240" w:lineRule="auto"/>
              <w:rPr>
                <w:noProof/>
              </w:rPr>
            </w:pPr>
            <w:r>
              <w:rPr>
                <w:noProof/>
              </w:rPr>
              <w:t>Milník</w:t>
            </w:r>
          </w:p>
        </w:tc>
        <w:tc>
          <w:tcPr>
            <w:tcW w:w="1190" w:type="dxa"/>
            <w:tcBorders>
              <w:top w:val="nil"/>
              <w:left w:val="nil"/>
              <w:bottom w:val="single" w:sz="4" w:space="0" w:color="auto"/>
              <w:right w:val="single" w:sz="4" w:space="0" w:color="auto"/>
            </w:tcBorders>
            <w:shd w:val="clear" w:color="auto" w:fill="C6EFCE"/>
            <w:noWrap/>
          </w:tcPr>
          <w:p w14:paraId="641A0134" w14:textId="77777777" w:rsidR="00515398" w:rsidRDefault="006711E6">
            <w:pPr>
              <w:pStyle w:val="P68B1DB1-Normal9"/>
              <w:spacing w:after="0" w:line="240" w:lineRule="auto"/>
              <w:rPr>
                <w:noProof/>
              </w:rPr>
            </w:pPr>
            <w:r>
              <w:rPr>
                <w:noProof/>
              </w:rPr>
              <w:t xml:space="preserve">Certifikace subjektů pro nakládání s pevným odpadem </w:t>
            </w:r>
            <w:r>
              <w:rPr>
                <w:noProof/>
              </w:rPr>
              <w:t>(FODSA) regulačním orgánem</w:t>
            </w:r>
          </w:p>
        </w:tc>
        <w:tc>
          <w:tcPr>
            <w:tcW w:w="1468" w:type="dxa"/>
            <w:tcBorders>
              <w:top w:val="nil"/>
              <w:left w:val="nil"/>
              <w:bottom w:val="single" w:sz="4" w:space="0" w:color="auto"/>
              <w:right w:val="single" w:sz="4" w:space="0" w:color="auto"/>
            </w:tcBorders>
            <w:shd w:val="clear" w:color="auto" w:fill="C6EFCE"/>
            <w:noWrap/>
          </w:tcPr>
          <w:p w14:paraId="54AD0DDE" w14:textId="46F507FD" w:rsidR="00515398" w:rsidRDefault="006711E6">
            <w:pPr>
              <w:spacing w:after="0" w:line="240" w:lineRule="auto"/>
              <w:rPr>
                <w:noProof/>
                <w:color w:val="006100"/>
                <w:sz w:val="18"/>
              </w:rPr>
            </w:pPr>
            <w:r>
              <w:rPr>
                <w:noProof/>
                <w:color w:val="006100"/>
                <w:sz w:val="18"/>
              </w:rPr>
              <w:t xml:space="preserve">Certifikace subjektů pro nakládání s pevným odpadem (FODSA) </w:t>
            </w:r>
            <w:r>
              <w:rPr>
                <w:noProof/>
              </w:rPr>
              <w:t xml:space="preserve"> </w:t>
            </w:r>
            <w:r>
              <w:rPr>
                <w:noProof/>
                <w:color w:val="006100"/>
                <w:sz w:val="18"/>
              </w:rPr>
              <w:t>regulačním orgánem</w:t>
            </w:r>
          </w:p>
          <w:p w14:paraId="0DF9DFA8" w14:textId="6E7DD342" w:rsidR="00515398" w:rsidRDefault="00515398">
            <w:pPr>
              <w:spacing w:after="0" w:line="240" w:lineRule="auto"/>
              <w:rPr>
                <w:noProof/>
                <w:color w:val="006100"/>
                <w:sz w:val="18"/>
              </w:rPr>
            </w:pPr>
          </w:p>
        </w:tc>
        <w:tc>
          <w:tcPr>
            <w:tcW w:w="1031" w:type="dxa"/>
            <w:tcBorders>
              <w:top w:val="nil"/>
              <w:left w:val="nil"/>
              <w:bottom w:val="single" w:sz="4" w:space="0" w:color="auto"/>
              <w:right w:val="single" w:sz="4" w:space="0" w:color="auto"/>
            </w:tcBorders>
            <w:shd w:val="clear" w:color="auto" w:fill="C6EFCE"/>
            <w:noWrap/>
          </w:tcPr>
          <w:p w14:paraId="4605F9FC"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E541D19" w14:textId="77777777" w:rsidR="00515398" w:rsidRDefault="00515398">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2BED3F25"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479C3A0B" w14:textId="77777777" w:rsidR="00515398" w:rsidRDefault="006711E6">
            <w:pPr>
              <w:pStyle w:val="P68B1DB1-Normal9"/>
              <w:spacing w:after="0" w:line="240" w:lineRule="auto"/>
              <w:rPr>
                <w:noProof/>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4F6B9C66" w14:textId="77777777" w:rsidR="00515398" w:rsidRDefault="006711E6">
            <w:pPr>
              <w:pStyle w:val="P68B1DB1-Normal9"/>
              <w:spacing w:after="0" w:line="240" w:lineRule="auto"/>
              <w:rPr>
                <w:noProof/>
              </w:rPr>
            </w:pPr>
            <w:r>
              <w:rPr>
                <w:noProof/>
              </w:rPr>
              <w:t>2025</w:t>
            </w:r>
          </w:p>
        </w:tc>
        <w:tc>
          <w:tcPr>
            <w:tcW w:w="5019" w:type="dxa"/>
            <w:tcBorders>
              <w:top w:val="nil"/>
              <w:left w:val="nil"/>
              <w:bottom w:val="single" w:sz="4" w:space="0" w:color="auto"/>
              <w:right w:val="single" w:sz="4" w:space="0" w:color="auto"/>
            </w:tcBorders>
            <w:shd w:val="clear" w:color="auto" w:fill="C6EFCE"/>
            <w:noWrap/>
          </w:tcPr>
          <w:p w14:paraId="6E5BDE2D" w14:textId="08064D23" w:rsidR="00515398" w:rsidRDefault="006711E6">
            <w:pPr>
              <w:spacing w:after="0" w:line="240" w:lineRule="auto"/>
              <w:rPr>
                <w:noProof/>
                <w:color w:val="006100"/>
                <w:sz w:val="18"/>
              </w:rPr>
            </w:pPr>
            <w:r>
              <w:rPr>
                <w:noProof/>
                <w:color w:val="006100"/>
                <w:sz w:val="18"/>
              </w:rPr>
              <w:t xml:space="preserve">Regulační úřad pro odpady, energetiku a vodu (RAAEY) </w:t>
            </w:r>
            <w:r>
              <w:rPr>
                <w:noProof/>
              </w:rPr>
              <w:t xml:space="preserve"> </w:t>
            </w:r>
            <w:r>
              <w:rPr>
                <w:noProof/>
                <w:color w:val="006100"/>
                <w:sz w:val="18"/>
              </w:rPr>
              <w:t xml:space="preserve">vydá zprávu dokládající, že FODSA splňují minimální úrovně kapacity </w:t>
            </w:r>
            <w:r>
              <w:rPr>
                <w:noProof/>
                <w:color w:val="006100"/>
                <w:sz w:val="18"/>
              </w:rPr>
              <w:t>podle kritérií stanovených pro jejich posouzení v souladu s vnitrostátními právními předpisy.</w:t>
            </w:r>
          </w:p>
        </w:tc>
      </w:tr>
      <w:tr w:rsidR="00515398" w14:paraId="6A6FB2CB" w14:textId="77777777">
        <w:trPr>
          <w:trHeight w:val="309"/>
        </w:trPr>
        <w:tc>
          <w:tcPr>
            <w:tcW w:w="1027" w:type="dxa"/>
            <w:tcBorders>
              <w:top w:val="nil"/>
              <w:left w:val="single" w:sz="4" w:space="0" w:color="auto"/>
              <w:bottom w:val="single" w:sz="4" w:space="0" w:color="auto"/>
              <w:right w:val="single" w:sz="4" w:space="0" w:color="auto"/>
            </w:tcBorders>
            <w:shd w:val="clear" w:color="auto" w:fill="C6EFCE"/>
            <w:noWrap/>
          </w:tcPr>
          <w:p w14:paraId="79A07184" w14:textId="77777777" w:rsidR="00515398" w:rsidRDefault="006711E6">
            <w:pPr>
              <w:pStyle w:val="P68B1DB1-Normal9"/>
              <w:spacing w:after="0" w:line="240" w:lineRule="auto"/>
              <w:rPr>
                <w:rFonts w:eastAsia="Times New Roman" w:cs="Calibri"/>
                <w:noProof/>
                <w:szCs w:val="18"/>
              </w:rPr>
            </w:pPr>
            <w:r>
              <w:rPr>
                <w:noProof/>
              </w:rPr>
              <w:t>60</w:t>
            </w:r>
          </w:p>
        </w:tc>
        <w:tc>
          <w:tcPr>
            <w:tcW w:w="1797" w:type="dxa"/>
            <w:tcBorders>
              <w:top w:val="nil"/>
              <w:left w:val="nil"/>
              <w:bottom w:val="single" w:sz="4" w:space="0" w:color="auto"/>
              <w:right w:val="single" w:sz="4" w:space="0" w:color="auto"/>
            </w:tcBorders>
            <w:shd w:val="clear" w:color="auto" w:fill="C6EFCE"/>
            <w:noWrap/>
          </w:tcPr>
          <w:p w14:paraId="1B2FD72E"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odolnost vůči změně klimatu a ochrana životního prostředí – 16979_Zřízení nového regulačního orgánu pro vodu a odpadní </w:t>
            </w:r>
            <w:r>
              <w:rPr>
                <w:noProof/>
              </w:rPr>
              <w:t>vody</w:t>
            </w:r>
          </w:p>
        </w:tc>
        <w:tc>
          <w:tcPr>
            <w:tcW w:w="966" w:type="dxa"/>
            <w:tcBorders>
              <w:top w:val="nil"/>
              <w:left w:val="nil"/>
              <w:bottom w:val="single" w:sz="4" w:space="0" w:color="auto"/>
              <w:right w:val="single" w:sz="4" w:space="0" w:color="auto"/>
            </w:tcBorders>
            <w:shd w:val="clear" w:color="auto" w:fill="C6EFCE"/>
            <w:noWrap/>
          </w:tcPr>
          <w:p w14:paraId="155ECDDD" w14:textId="77777777" w:rsidR="00515398" w:rsidRDefault="006711E6">
            <w:pPr>
              <w:pStyle w:val="P68B1DB1-Normal9"/>
              <w:spacing w:after="0" w:line="240" w:lineRule="auto"/>
              <w:rPr>
                <w:rFonts w:eastAsia="Times New Roman" w:cs="Calibri"/>
                <w:noProof/>
                <w:szCs w:val="18"/>
              </w:rPr>
            </w:pPr>
            <w:r>
              <w:rPr>
                <w:noProof/>
              </w:rPr>
              <w:t>Milník</w:t>
            </w:r>
          </w:p>
        </w:tc>
        <w:tc>
          <w:tcPr>
            <w:tcW w:w="1190" w:type="dxa"/>
            <w:tcBorders>
              <w:top w:val="nil"/>
              <w:left w:val="nil"/>
              <w:bottom w:val="single" w:sz="4" w:space="0" w:color="auto"/>
              <w:right w:val="single" w:sz="4" w:space="0" w:color="auto"/>
            </w:tcBorders>
            <w:shd w:val="clear" w:color="auto" w:fill="C6EFCE"/>
            <w:noWrap/>
          </w:tcPr>
          <w:p w14:paraId="710C5C11" w14:textId="77777777" w:rsidR="00515398" w:rsidRDefault="006711E6">
            <w:pPr>
              <w:pStyle w:val="P68B1DB1-Normal9"/>
              <w:spacing w:after="0" w:line="240" w:lineRule="auto"/>
              <w:rPr>
                <w:rFonts w:eastAsia="Times New Roman" w:cs="Calibri"/>
                <w:noProof/>
                <w:szCs w:val="18"/>
              </w:rPr>
            </w:pPr>
            <w:r>
              <w:rPr>
                <w:noProof/>
              </w:rPr>
              <w:t>Zřízení a fungování vodohospodářského regulačního orgánu</w:t>
            </w:r>
          </w:p>
        </w:tc>
        <w:tc>
          <w:tcPr>
            <w:tcW w:w="1468" w:type="dxa"/>
            <w:tcBorders>
              <w:top w:val="nil"/>
              <w:left w:val="nil"/>
              <w:bottom w:val="single" w:sz="4" w:space="0" w:color="auto"/>
              <w:right w:val="single" w:sz="4" w:space="0" w:color="auto"/>
            </w:tcBorders>
            <w:shd w:val="clear" w:color="auto" w:fill="C6EFCE"/>
            <w:noWrap/>
          </w:tcPr>
          <w:p w14:paraId="0234EEA4" w14:textId="77777777" w:rsidR="00515398" w:rsidRDefault="006711E6">
            <w:pPr>
              <w:pStyle w:val="P68B1DB1-Normal9"/>
              <w:spacing w:after="0" w:line="240" w:lineRule="auto"/>
              <w:rPr>
                <w:rFonts w:eastAsia="Times New Roman" w:cs="Calibri"/>
                <w:noProof/>
                <w:szCs w:val="18"/>
              </w:rPr>
            </w:pPr>
            <w:r>
              <w:rPr>
                <w:noProof/>
              </w:rPr>
              <w:t xml:space="preserve">Vstup v platnost společného ministerského rozhodnutí a všech nezbytných správních a legislativních opatření pro zřízení Kontrolního úřadu </w:t>
            </w:r>
          </w:p>
        </w:tc>
        <w:tc>
          <w:tcPr>
            <w:tcW w:w="1031" w:type="dxa"/>
            <w:tcBorders>
              <w:top w:val="nil"/>
              <w:left w:val="nil"/>
              <w:bottom w:val="single" w:sz="4" w:space="0" w:color="auto"/>
              <w:right w:val="single" w:sz="4" w:space="0" w:color="auto"/>
            </w:tcBorders>
            <w:shd w:val="clear" w:color="auto" w:fill="C6EFCE"/>
            <w:noWrap/>
          </w:tcPr>
          <w:p w14:paraId="43B3C3CC"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26B481E" w14:textId="77777777" w:rsidR="00515398" w:rsidRDefault="00515398">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48BAA407"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B33876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42DEFCC5" w14:textId="77777777" w:rsidR="00515398" w:rsidRDefault="006711E6">
            <w:pPr>
              <w:pStyle w:val="P68B1DB1-Normal9"/>
              <w:spacing w:after="0" w:line="240" w:lineRule="auto"/>
              <w:rPr>
                <w:rFonts w:eastAsia="Times New Roman" w:cs="Calibri"/>
                <w:noProof/>
                <w:szCs w:val="18"/>
              </w:rPr>
            </w:pPr>
            <w:r>
              <w:rPr>
                <w:noProof/>
              </w:rPr>
              <w:t>2023</w:t>
            </w:r>
          </w:p>
        </w:tc>
        <w:tc>
          <w:tcPr>
            <w:tcW w:w="5019" w:type="dxa"/>
            <w:tcBorders>
              <w:top w:val="nil"/>
              <w:left w:val="nil"/>
              <w:bottom w:val="single" w:sz="4" w:space="0" w:color="auto"/>
              <w:right w:val="single" w:sz="4" w:space="0" w:color="auto"/>
            </w:tcBorders>
            <w:shd w:val="clear" w:color="auto" w:fill="C6EFCE"/>
            <w:noWrap/>
          </w:tcPr>
          <w:p w14:paraId="7F93F6CA" w14:textId="77777777" w:rsidR="00515398" w:rsidRDefault="006711E6">
            <w:pPr>
              <w:pStyle w:val="P68B1DB1-Normal9"/>
              <w:spacing w:after="0" w:line="240" w:lineRule="auto"/>
              <w:rPr>
                <w:rFonts w:eastAsia="Times New Roman" w:cs="Calibri"/>
                <w:noProof/>
                <w:szCs w:val="18"/>
              </w:rPr>
            </w:pPr>
            <w:r>
              <w:rPr>
                <w:noProof/>
              </w:rPr>
              <w:t xml:space="preserve">Nový Národní regulační </w:t>
            </w:r>
            <w:r>
              <w:rPr>
                <w:noProof/>
              </w:rPr>
              <w:t>orgán pro vodu a odpadní vody má zaměstnance a je vybaven prostory.</w:t>
            </w:r>
          </w:p>
        </w:tc>
      </w:tr>
    </w:tbl>
    <w:p w14:paraId="5A2B090F" w14:textId="77777777" w:rsidR="00515398" w:rsidRDefault="00515398">
      <w:pPr>
        <w:spacing w:before="120" w:after="120" w:line="240" w:lineRule="auto"/>
        <w:ind w:left="709"/>
        <w:jc w:val="both"/>
        <w:rPr>
          <w:rFonts w:ascii="Times New Roman" w:hAnsi="Times New Roman" w:cs="Times New Roman"/>
          <w:noProof/>
          <w:sz w:val="24"/>
          <w:szCs w:val="24"/>
        </w:rPr>
      </w:pPr>
    </w:p>
    <w:p w14:paraId="40077332"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5 Národní plán opětovného zalesňování a ochrana biologické rozmanitosti</w:t>
      </w:r>
    </w:p>
    <w:p w14:paraId="78DB0A78" w14:textId="77777777" w:rsidR="00515398" w:rsidRDefault="006711E6">
      <w:pPr>
        <w:pStyle w:val="P68B1DB1-Normal4"/>
        <w:spacing w:before="120" w:after="120" w:line="240" w:lineRule="auto"/>
        <w:rPr>
          <w:rFonts w:cs="Times New Roman"/>
          <w:noProof/>
        </w:rPr>
      </w:pPr>
      <w:r>
        <w:rPr>
          <w:noProof/>
        </w:rPr>
        <w:t>Opatření zahrnutá do této skupiny jsou:</w:t>
      </w:r>
    </w:p>
    <w:p w14:paraId="062D9E79" w14:textId="77777777" w:rsidR="00515398" w:rsidRDefault="006711E6">
      <w:pPr>
        <w:spacing w:before="120" w:after="120" w:line="240" w:lineRule="auto"/>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 xml:space="preserve"> Národní plán opětovného zalesňování, obnova a prevence („antiNERO“), opatření proti erozi a protipovodňová opatření (ID: 16849)</w:t>
      </w:r>
    </w:p>
    <w:p w14:paraId="1F254B9F"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 xml:space="preserve">Ochrana biologické rozmanitosti jako hnací síla udržitelného růstu (ID: 16851) </w:t>
      </w:r>
    </w:p>
    <w:tbl>
      <w:tblPr>
        <w:tblpPr w:leftFromText="180" w:rightFromText="180" w:vertAnchor="text" w:tblpXSpec="center" w:tblpY="1"/>
        <w:tblOverlap w:val="never"/>
        <w:tblW w:w="15304" w:type="dxa"/>
        <w:tblLook w:val="04A0" w:firstRow="1" w:lastRow="0" w:firstColumn="1" w:lastColumn="0" w:noHBand="0" w:noVBand="1"/>
      </w:tblPr>
      <w:tblGrid>
        <w:gridCol w:w="1062"/>
        <w:gridCol w:w="1880"/>
        <w:gridCol w:w="992"/>
        <w:gridCol w:w="2254"/>
        <w:gridCol w:w="1559"/>
        <w:gridCol w:w="991"/>
        <w:gridCol w:w="991"/>
        <w:gridCol w:w="709"/>
        <w:gridCol w:w="983"/>
        <w:gridCol w:w="822"/>
        <w:gridCol w:w="3146"/>
      </w:tblGrid>
      <w:tr w:rsidR="00515398" w14:paraId="4D669FCE" w14:textId="77777777">
        <w:trPr>
          <w:trHeight w:val="328"/>
          <w:tblHeader/>
        </w:trPr>
        <w:tc>
          <w:tcPr>
            <w:tcW w:w="106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74D2C70F" w14:textId="77777777" w:rsidR="00515398" w:rsidRDefault="006711E6">
            <w:pPr>
              <w:pStyle w:val="P68B1DB1-Normal7"/>
              <w:spacing w:after="0" w:line="240" w:lineRule="auto"/>
              <w:jc w:val="center"/>
              <w:rPr>
                <w:noProof/>
              </w:rPr>
            </w:pPr>
            <w:r>
              <w:rPr>
                <w:noProof/>
              </w:rPr>
              <w:t>Pořadové číslo</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52B8269" w14:textId="77777777" w:rsidR="00515398" w:rsidRDefault="006711E6">
            <w:pPr>
              <w:pStyle w:val="P68B1DB1-Normal7"/>
              <w:spacing w:after="0" w:line="240" w:lineRule="auto"/>
              <w:jc w:val="center"/>
              <w:rPr>
                <w:noProof/>
              </w:rPr>
            </w:pPr>
            <w:r>
              <w:rPr>
                <w:noProof/>
              </w:rPr>
              <w:t xml:space="preserve">Související opatření (reforma </w:t>
            </w:r>
            <w:r>
              <w:rPr>
                <w:noProof/>
              </w:rPr>
              <w:t>nebo investice)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0136C8A5" w14:textId="77777777" w:rsidR="00515398" w:rsidRDefault="006711E6">
            <w:pPr>
              <w:pStyle w:val="P68B1DB1-Normal7"/>
              <w:spacing w:after="0" w:line="240" w:lineRule="auto"/>
              <w:jc w:val="center"/>
              <w:rPr>
                <w:noProof/>
              </w:rPr>
            </w:pPr>
            <w:r>
              <w:rPr>
                <w:noProof/>
              </w:rPr>
              <w:t>Milník/cíl</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DBC14E5" w14:textId="77777777" w:rsidR="00515398" w:rsidRDefault="006711E6">
            <w:pPr>
              <w:pStyle w:val="P68B1DB1-Normal7"/>
              <w:spacing w:after="0" w:line="240" w:lineRule="auto"/>
              <w:jc w:val="center"/>
              <w:rPr>
                <w:noProof/>
              </w:rPr>
            </w:pPr>
            <w:r>
              <w:rPr>
                <w:noProof/>
              </w:rPr>
              <w:t>Jméno</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37A5C74" w14:textId="77777777" w:rsidR="00515398" w:rsidRDefault="006711E6">
            <w:pPr>
              <w:pStyle w:val="P68B1DB1-Normal7"/>
              <w:spacing w:after="0" w:line="240" w:lineRule="auto"/>
              <w:jc w:val="center"/>
              <w:rPr>
                <w:noProof/>
              </w:rPr>
            </w:pPr>
            <w:r>
              <w:rPr>
                <w:noProof/>
              </w:rPr>
              <w:t>Kvalitativní ukazatele (pro milníky)</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8398327" w14:textId="77777777" w:rsidR="00515398" w:rsidRDefault="006711E6">
            <w:pPr>
              <w:pStyle w:val="P68B1DB1-Normal7"/>
              <w:spacing w:after="0" w:line="240" w:lineRule="auto"/>
              <w:jc w:val="center"/>
              <w:rPr>
                <w:noProof/>
              </w:rPr>
            </w:pPr>
            <w:r>
              <w:rPr>
                <w:noProof/>
              </w:rPr>
              <w:t>Kvantitativní ukazatele (pro cíle)</w:t>
            </w:r>
          </w:p>
        </w:tc>
        <w:tc>
          <w:tcPr>
            <w:tcW w:w="1711" w:type="dxa"/>
            <w:gridSpan w:val="2"/>
            <w:tcBorders>
              <w:top w:val="single" w:sz="4" w:space="0" w:color="auto"/>
              <w:left w:val="nil"/>
              <w:bottom w:val="single" w:sz="4" w:space="0" w:color="auto"/>
              <w:right w:val="single" w:sz="4" w:space="0" w:color="auto"/>
            </w:tcBorders>
            <w:shd w:val="clear" w:color="auto" w:fill="B8CCE4" w:themeFill="accent1" w:themeFillTint="66"/>
            <w:noWrap/>
          </w:tcPr>
          <w:p w14:paraId="4169496B" w14:textId="77777777" w:rsidR="00515398" w:rsidRDefault="006711E6">
            <w:pPr>
              <w:pStyle w:val="P68B1DB1-Normal7"/>
              <w:spacing w:after="0" w:line="240" w:lineRule="auto"/>
              <w:jc w:val="center"/>
              <w:rPr>
                <w:noProof/>
              </w:rPr>
            </w:pPr>
            <w:r>
              <w:rPr>
                <w:noProof/>
              </w:rPr>
              <w:t>Orientační harmonogram pro dokončení</w:t>
            </w:r>
          </w:p>
        </w:tc>
        <w:tc>
          <w:tcPr>
            <w:tcW w:w="3148" w:type="dxa"/>
            <w:vMerge w:val="restar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7F3272AF" w14:textId="77777777" w:rsidR="00515398" w:rsidRDefault="006711E6">
            <w:pPr>
              <w:pStyle w:val="P68B1DB1-Normal7"/>
              <w:spacing w:after="0" w:line="240" w:lineRule="auto"/>
              <w:jc w:val="center"/>
              <w:rPr>
                <w:noProof/>
              </w:rPr>
            </w:pPr>
            <w:r>
              <w:rPr>
                <w:noProof/>
              </w:rPr>
              <w:t>Popis každého milníku a cíle</w:t>
            </w:r>
          </w:p>
        </w:tc>
      </w:tr>
      <w:tr w:rsidR="00515398" w14:paraId="3F9601F5" w14:textId="77777777">
        <w:trPr>
          <w:trHeight w:val="328"/>
          <w:tblHeader/>
        </w:trPr>
        <w:tc>
          <w:tcPr>
            <w:tcW w:w="1062" w:type="dxa"/>
            <w:vMerge/>
            <w:tcBorders>
              <w:top w:val="single" w:sz="4" w:space="0" w:color="auto"/>
              <w:left w:val="single" w:sz="4" w:space="0" w:color="auto"/>
              <w:bottom w:val="single" w:sz="4" w:space="0" w:color="auto"/>
              <w:right w:val="single" w:sz="4" w:space="0" w:color="auto"/>
            </w:tcBorders>
            <w:noWrap/>
            <w:vAlign w:val="center"/>
          </w:tcPr>
          <w:p w14:paraId="750D81F7" w14:textId="77777777" w:rsidR="00515398" w:rsidRDefault="00515398">
            <w:pPr>
              <w:spacing w:after="0" w:line="240" w:lineRule="auto"/>
              <w:rPr>
                <w:rFonts w:ascii="Times New Roman" w:eastAsia="Times New Roman" w:hAnsi="Times New Roman" w:cs="Times New Roman"/>
                <w:b/>
                <w:bCs/>
                <w:noProof/>
                <w:sz w:val="18"/>
                <w:szCs w:val="18"/>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14:paraId="223FE2A9" w14:textId="77777777" w:rsidR="00515398" w:rsidRDefault="00515398">
            <w:pPr>
              <w:spacing w:after="0" w:line="240" w:lineRule="auto"/>
              <w:rPr>
                <w:rFonts w:ascii="Times New Roman" w:eastAsia="Times New Roman" w:hAnsi="Times New Roman" w:cs="Times New Roman"/>
                <w:b/>
                <w:bCs/>
                <w:noProof/>
                <w:sz w:val="18"/>
                <w:szCs w:val="18"/>
              </w:rPr>
            </w:pPr>
          </w:p>
        </w:tc>
        <w:tc>
          <w:tcPr>
            <w:tcW w:w="993" w:type="dxa"/>
            <w:vMerge/>
            <w:tcBorders>
              <w:top w:val="single" w:sz="4" w:space="0" w:color="auto"/>
              <w:left w:val="single" w:sz="4" w:space="0" w:color="auto"/>
              <w:bottom w:val="single" w:sz="4" w:space="0" w:color="auto"/>
              <w:right w:val="single" w:sz="4" w:space="0" w:color="auto"/>
            </w:tcBorders>
            <w:noWrap/>
            <w:vAlign w:val="center"/>
          </w:tcPr>
          <w:p w14:paraId="07E71FAD" w14:textId="77777777" w:rsidR="00515398" w:rsidRDefault="00515398">
            <w:pPr>
              <w:spacing w:after="0" w:line="240" w:lineRule="auto"/>
              <w:rPr>
                <w:rFonts w:ascii="Times New Roman" w:eastAsia="Times New Roman" w:hAnsi="Times New Roman" w:cs="Times New Roman"/>
                <w:b/>
                <w:bCs/>
                <w:noProof/>
                <w:sz w:val="18"/>
                <w:szCs w:val="18"/>
              </w:rPr>
            </w:pPr>
          </w:p>
        </w:tc>
        <w:tc>
          <w:tcPr>
            <w:tcW w:w="2256" w:type="dxa"/>
            <w:vMerge/>
            <w:tcBorders>
              <w:top w:val="single" w:sz="4" w:space="0" w:color="auto"/>
              <w:left w:val="single" w:sz="4" w:space="0" w:color="auto"/>
              <w:bottom w:val="single" w:sz="4" w:space="0" w:color="auto"/>
              <w:right w:val="single" w:sz="4" w:space="0" w:color="auto"/>
            </w:tcBorders>
            <w:noWrap/>
            <w:vAlign w:val="center"/>
          </w:tcPr>
          <w:p w14:paraId="48B6DEC1" w14:textId="77777777" w:rsidR="00515398" w:rsidRDefault="00515398">
            <w:pPr>
              <w:spacing w:after="0" w:line="240" w:lineRule="auto"/>
              <w:rPr>
                <w:rFonts w:ascii="Times New Roman" w:eastAsia="Times New Roman" w:hAnsi="Times New Roman" w:cs="Times New Roman"/>
                <w:b/>
                <w:bCs/>
                <w:noProof/>
                <w:sz w:val="18"/>
                <w:szCs w:val="18"/>
              </w:rPr>
            </w:pPr>
          </w:p>
        </w:tc>
        <w:tc>
          <w:tcPr>
            <w:tcW w:w="1560" w:type="dxa"/>
            <w:vMerge/>
            <w:tcBorders>
              <w:top w:val="single" w:sz="4" w:space="0" w:color="auto"/>
              <w:left w:val="single" w:sz="4" w:space="0" w:color="auto"/>
              <w:bottom w:val="single" w:sz="4" w:space="0" w:color="auto"/>
              <w:right w:val="single" w:sz="4" w:space="0" w:color="auto"/>
            </w:tcBorders>
            <w:noWrap/>
            <w:vAlign w:val="center"/>
          </w:tcPr>
          <w:p w14:paraId="2A8C60B7" w14:textId="77777777" w:rsidR="00515398" w:rsidRDefault="00515398">
            <w:pPr>
              <w:spacing w:after="0" w:line="240" w:lineRule="auto"/>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66714B6" w14:textId="77777777" w:rsidR="00515398" w:rsidRDefault="006711E6">
            <w:pPr>
              <w:pStyle w:val="P68B1DB1-Normal7"/>
              <w:spacing w:after="0" w:line="240" w:lineRule="auto"/>
              <w:rPr>
                <w:rFonts w:eastAsia="Times New Roman" w:cs="Times New Roman"/>
                <w:bCs/>
                <w:noProof/>
                <w:szCs w:val="18"/>
              </w:rPr>
            </w:pPr>
            <w:r>
              <w:rPr>
                <w:noProof/>
              </w:rPr>
              <w:t>Jednotka měření</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9267DB" w14:textId="77777777" w:rsidR="00515398" w:rsidRDefault="006711E6">
            <w:pPr>
              <w:pStyle w:val="P68B1DB1-Normal7"/>
              <w:spacing w:after="0" w:line="240" w:lineRule="auto"/>
              <w:rPr>
                <w:rFonts w:eastAsia="Times New Roman" w:cs="Times New Roman"/>
                <w:bCs/>
                <w:noProof/>
                <w:szCs w:val="18"/>
              </w:rPr>
            </w:pPr>
            <w:r>
              <w:rPr>
                <w:noProof/>
              </w:rPr>
              <w:t>Výchozí stav</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A6F8F3" w14:textId="77777777" w:rsidR="00515398" w:rsidRDefault="006711E6">
            <w:pPr>
              <w:pStyle w:val="P68B1DB1-Normal7"/>
              <w:spacing w:after="0" w:line="240" w:lineRule="auto"/>
              <w:rPr>
                <w:rFonts w:eastAsia="Times New Roman" w:cs="Times New Roman"/>
                <w:bCs/>
                <w:noProof/>
                <w:szCs w:val="18"/>
              </w:rPr>
            </w:pPr>
            <w:r>
              <w:rPr>
                <w:noProof/>
              </w:rPr>
              <w:t xml:space="preserve">Cíl </w:t>
            </w:r>
          </w:p>
        </w:tc>
        <w:tc>
          <w:tcPr>
            <w:tcW w:w="88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2A96B8D"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8FE1EE"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148" w:type="dxa"/>
            <w:vMerge/>
            <w:tcBorders>
              <w:top w:val="single" w:sz="4" w:space="0" w:color="auto"/>
              <w:bottom w:val="single" w:sz="4" w:space="0" w:color="auto"/>
              <w:right w:val="single" w:sz="4" w:space="0" w:color="auto"/>
            </w:tcBorders>
            <w:noWrap/>
            <w:vAlign w:val="center"/>
          </w:tcPr>
          <w:p w14:paraId="52DB3BE8"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65792085"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78D5E333" w14:textId="77777777" w:rsidR="00515398" w:rsidRDefault="006711E6">
            <w:pPr>
              <w:pStyle w:val="P68B1DB1-Normal9"/>
              <w:spacing w:after="0" w:line="240" w:lineRule="auto"/>
              <w:rPr>
                <w:rFonts w:eastAsia="Times New Roman" w:cs="Calibri"/>
                <w:noProof/>
                <w:szCs w:val="18"/>
              </w:rPr>
            </w:pPr>
            <w:r>
              <w:rPr>
                <w:noProof/>
              </w:rPr>
              <w:t>61</w:t>
            </w:r>
          </w:p>
        </w:tc>
        <w:tc>
          <w:tcPr>
            <w:tcW w:w="1881" w:type="dxa"/>
            <w:tcBorders>
              <w:top w:val="single" w:sz="4" w:space="0" w:color="auto"/>
              <w:left w:val="nil"/>
              <w:bottom w:val="single" w:sz="4" w:space="0" w:color="auto"/>
              <w:right w:val="single" w:sz="4" w:space="0" w:color="auto"/>
            </w:tcBorders>
            <w:shd w:val="clear" w:color="auto" w:fill="C6EFCE"/>
            <w:noWrap/>
          </w:tcPr>
          <w:p w14:paraId="407A1B81" w14:textId="77777777" w:rsidR="00515398" w:rsidRDefault="006711E6">
            <w:pPr>
              <w:pStyle w:val="P68B1DB1-Normal9"/>
              <w:spacing w:after="0" w:line="240" w:lineRule="auto"/>
              <w:rPr>
                <w:rFonts w:eastAsia="Times New Roman" w:cs="Calibri"/>
                <w:noProof/>
                <w:szCs w:val="18"/>
              </w:rPr>
            </w:pPr>
            <w:r>
              <w:rPr>
                <w:noProof/>
              </w:rPr>
              <w:t>4–1.4. Udržitelné využívání</w:t>
            </w:r>
            <w:r>
              <w:rPr>
                <w:noProof/>
              </w:rPr>
              <w:t xml:space="preserve"> zdrojů, odolnost vůči změně klimatu a ochrana životního prostředí – 16849_ Národní plán obnovy, obnovy a prevence („antiNERO“), opatření proti erozi a protipovodňová opatření</w:t>
            </w:r>
          </w:p>
        </w:tc>
        <w:tc>
          <w:tcPr>
            <w:tcW w:w="993" w:type="dxa"/>
            <w:tcBorders>
              <w:top w:val="single" w:sz="4" w:space="0" w:color="auto"/>
              <w:left w:val="nil"/>
              <w:bottom w:val="single" w:sz="4" w:space="0" w:color="auto"/>
              <w:right w:val="single" w:sz="4" w:space="0" w:color="auto"/>
            </w:tcBorders>
            <w:shd w:val="clear" w:color="auto" w:fill="C6EFCE"/>
            <w:noWrap/>
          </w:tcPr>
          <w:p w14:paraId="277E06FF" w14:textId="77777777" w:rsidR="00515398" w:rsidRDefault="006711E6">
            <w:pPr>
              <w:pStyle w:val="P68B1DB1-Normal9"/>
              <w:spacing w:after="0" w:line="240" w:lineRule="auto"/>
              <w:rPr>
                <w:rFonts w:eastAsia="Times New Roman" w:cs="Calibri"/>
                <w:noProof/>
                <w:szCs w:val="18"/>
              </w:rPr>
            </w:pPr>
            <w:r>
              <w:rPr>
                <w:noProof/>
              </w:rPr>
              <w:t>Milník</w:t>
            </w:r>
          </w:p>
        </w:tc>
        <w:tc>
          <w:tcPr>
            <w:tcW w:w="2256" w:type="dxa"/>
            <w:tcBorders>
              <w:top w:val="single" w:sz="4" w:space="0" w:color="auto"/>
              <w:left w:val="nil"/>
              <w:bottom w:val="single" w:sz="4" w:space="0" w:color="auto"/>
              <w:right w:val="single" w:sz="4" w:space="0" w:color="auto"/>
            </w:tcBorders>
            <w:shd w:val="clear" w:color="auto" w:fill="C6EFCE"/>
            <w:noWrap/>
          </w:tcPr>
          <w:p w14:paraId="28DF2407" w14:textId="77777777" w:rsidR="00515398" w:rsidRDefault="006711E6">
            <w:pPr>
              <w:pStyle w:val="P68B1DB1-Normal9"/>
              <w:spacing w:after="0" w:line="240" w:lineRule="auto"/>
              <w:rPr>
                <w:rFonts w:eastAsia="Times New Roman" w:cs="Calibri"/>
                <w:noProof/>
                <w:szCs w:val="18"/>
              </w:rPr>
            </w:pPr>
            <w:r>
              <w:rPr>
                <w:noProof/>
              </w:rPr>
              <w:t>Opětovné zalesňování, obnova a prevence – zakázky 1</w:t>
            </w:r>
          </w:p>
        </w:tc>
        <w:tc>
          <w:tcPr>
            <w:tcW w:w="1560" w:type="dxa"/>
            <w:tcBorders>
              <w:top w:val="single" w:sz="4" w:space="0" w:color="auto"/>
              <w:left w:val="nil"/>
              <w:bottom w:val="single" w:sz="4" w:space="0" w:color="auto"/>
              <w:right w:val="single" w:sz="4" w:space="0" w:color="auto"/>
            </w:tcBorders>
            <w:shd w:val="clear" w:color="auto" w:fill="C6EFCE"/>
            <w:noWrap/>
          </w:tcPr>
          <w:p w14:paraId="1375EDA6" w14:textId="77777777" w:rsidR="00515398" w:rsidRDefault="006711E6">
            <w:pPr>
              <w:pStyle w:val="P68B1DB1-Normal9"/>
              <w:spacing w:after="0" w:line="240" w:lineRule="auto"/>
              <w:rPr>
                <w:rFonts w:eastAsia="Times New Roman" w:cs="Calibri"/>
                <w:noProof/>
                <w:szCs w:val="18"/>
              </w:rPr>
            </w:pPr>
            <w:r>
              <w:rPr>
                <w:noProof/>
              </w:rPr>
              <w:t xml:space="preserve">Oznámení o zadání </w:t>
            </w:r>
            <w:r>
              <w:rPr>
                <w:noProof/>
              </w:rPr>
              <w:t>zakázky</w:t>
            </w:r>
          </w:p>
        </w:tc>
        <w:tc>
          <w:tcPr>
            <w:tcW w:w="992" w:type="dxa"/>
            <w:tcBorders>
              <w:top w:val="single" w:sz="4" w:space="0" w:color="auto"/>
              <w:left w:val="nil"/>
              <w:bottom w:val="single" w:sz="4" w:space="0" w:color="auto"/>
              <w:right w:val="single" w:sz="4" w:space="0" w:color="auto"/>
            </w:tcBorders>
            <w:shd w:val="clear" w:color="auto" w:fill="C6EFCE"/>
            <w:noWrap/>
          </w:tcPr>
          <w:p w14:paraId="2E2AA943"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5AC2C68" w14:textId="77777777" w:rsidR="00515398" w:rsidRDefault="00515398">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29306D0C" w14:textId="77777777" w:rsidR="00515398" w:rsidRDefault="00515398">
            <w:pPr>
              <w:spacing w:after="0" w:line="240" w:lineRule="auto"/>
              <w:rPr>
                <w:rFonts w:eastAsia="Times New Roman" w:cs="Calibri"/>
                <w:noProof/>
                <w:color w:val="006100"/>
                <w:sz w:val="18"/>
                <w:szCs w:val="18"/>
              </w:rPr>
            </w:pPr>
          </w:p>
        </w:tc>
        <w:tc>
          <w:tcPr>
            <w:tcW w:w="888" w:type="dxa"/>
            <w:tcBorders>
              <w:top w:val="single" w:sz="4" w:space="0" w:color="auto"/>
              <w:left w:val="nil"/>
              <w:bottom w:val="single" w:sz="4" w:space="0" w:color="auto"/>
              <w:right w:val="single" w:sz="4" w:space="0" w:color="auto"/>
            </w:tcBorders>
            <w:shd w:val="clear" w:color="auto" w:fill="C6EFCE"/>
            <w:noWrap/>
          </w:tcPr>
          <w:p w14:paraId="41D421FA" w14:textId="77777777" w:rsidR="00515398" w:rsidRDefault="006711E6">
            <w:pPr>
              <w:pStyle w:val="P68B1DB1-Normal9"/>
              <w:spacing w:after="0" w:line="240" w:lineRule="auto"/>
              <w:rPr>
                <w:rFonts w:eastAsia="Times New Roman" w:cs="Calibri"/>
                <w:noProof/>
                <w:szCs w:val="18"/>
              </w:rPr>
            </w:pPr>
            <w:r>
              <w:rPr>
                <w:noProof/>
              </w:rPr>
              <w:t>ČTVRTLETÍ</w:t>
            </w:r>
          </w:p>
        </w:tc>
        <w:tc>
          <w:tcPr>
            <w:tcW w:w="823" w:type="dxa"/>
            <w:tcBorders>
              <w:top w:val="single" w:sz="4" w:space="0" w:color="auto"/>
              <w:left w:val="nil"/>
              <w:bottom w:val="single" w:sz="4" w:space="0" w:color="auto"/>
              <w:right w:val="single" w:sz="4" w:space="0" w:color="auto"/>
            </w:tcBorders>
            <w:shd w:val="clear" w:color="auto" w:fill="C6EFCE"/>
            <w:noWrap/>
          </w:tcPr>
          <w:p w14:paraId="02284BA4" w14:textId="77777777" w:rsidR="00515398" w:rsidRDefault="006711E6">
            <w:pPr>
              <w:pStyle w:val="P68B1DB1-Normal9"/>
              <w:spacing w:after="0" w:line="240" w:lineRule="auto"/>
              <w:rPr>
                <w:rFonts w:eastAsia="Times New Roman" w:cs="Calibri"/>
                <w:noProof/>
                <w:szCs w:val="18"/>
              </w:rPr>
            </w:pPr>
            <w:r>
              <w:rPr>
                <w:noProof/>
              </w:rPr>
              <w:t>2023</w:t>
            </w:r>
          </w:p>
        </w:tc>
        <w:tc>
          <w:tcPr>
            <w:tcW w:w="3148" w:type="dxa"/>
            <w:tcBorders>
              <w:top w:val="single" w:sz="4" w:space="0" w:color="auto"/>
              <w:left w:val="nil"/>
              <w:bottom w:val="single" w:sz="4" w:space="0" w:color="auto"/>
              <w:right w:val="single" w:sz="4" w:space="0" w:color="auto"/>
            </w:tcBorders>
            <w:shd w:val="clear" w:color="auto" w:fill="C6EFCE"/>
            <w:noWrap/>
          </w:tcPr>
          <w:p w14:paraId="5EEA818E" w14:textId="55509D59" w:rsidR="00515398" w:rsidRDefault="006711E6">
            <w:pPr>
              <w:pStyle w:val="P68B1DB1-Normal9"/>
              <w:spacing w:after="0" w:line="240" w:lineRule="auto"/>
              <w:rPr>
                <w:rFonts w:eastAsia="Times New Roman" w:cs="Calibri"/>
                <w:noProof/>
                <w:szCs w:val="18"/>
              </w:rPr>
            </w:pPr>
            <w:r>
              <w:rPr>
                <w:noProof/>
              </w:rPr>
              <w:t xml:space="preserve">Oznámení o zadání všech zakázek na programy I a II Antinero na modernizaci znehodnocených lesních ekosystémů o rozloze 37 500 ha, včetně vyklizení lesů a lesů a údržbu sítě lesních silnic a stávajících požárních zón. </w:t>
            </w:r>
          </w:p>
        </w:tc>
      </w:tr>
      <w:tr w:rsidR="00515398" w14:paraId="6D0994C5"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5E4DC2A7" w14:textId="2C4C56CB" w:rsidR="00515398" w:rsidRDefault="006711E6">
            <w:pPr>
              <w:pStyle w:val="P68B1DB1-Normal9"/>
              <w:spacing w:after="0" w:line="240" w:lineRule="auto"/>
              <w:rPr>
                <w:noProof/>
              </w:rPr>
            </w:pPr>
            <w:r>
              <w:rPr>
                <w:noProof/>
              </w:rPr>
              <w:t>62</w:t>
            </w:r>
          </w:p>
        </w:tc>
        <w:tc>
          <w:tcPr>
            <w:tcW w:w="1881" w:type="dxa"/>
            <w:tcBorders>
              <w:top w:val="single" w:sz="4" w:space="0" w:color="auto"/>
              <w:left w:val="nil"/>
              <w:bottom w:val="single" w:sz="4" w:space="0" w:color="auto"/>
              <w:right w:val="single" w:sz="4" w:space="0" w:color="auto"/>
            </w:tcBorders>
            <w:shd w:val="clear" w:color="auto" w:fill="C6EFCE"/>
            <w:noWrap/>
          </w:tcPr>
          <w:p w14:paraId="07AA6D7C" w14:textId="77777777" w:rsidR="00515398" w:rsidRDefault="006711E6">
            <w:pPr>
              <w:pStyle w:val="P68B1DB1-Normal9"/>
              <w:spacing w:after="0" w:line="240" w:lineRule="auto"/>
              <w:rPr>
                <w:noProof/>
              </w:rPr>
            </w:pPr>
            <w:r>
              <w:rPr>
                <w:noProof/>
              </w:rPr>
              <w:t xml:space="preserve">4–1.4. </w:t>
            </w:r>
            <w:r>
              <w:rPr>
                <w:noProof/>
              </w:rPr>
              <w:t>Udržitelné využívání zdrojů, odolnost vůči změně klimatu a ochrana životního prostředí – 16849_ Národní plán obnovy, obnovy a prevence („antiNERO“), opatření proti erozi a protipovodňová opatření</w:t>
            </w:r>
          </w:p>
          <w:p w14:paraId="06685455" w14:textId="77777777" w:rsidR="00515398" w:rsidRDefault="00515398">
            <w:pPr>
              <w:rPr>
                <w:noProof/>
                <w:sz w:val="18"/>
              </w:rPr>
            </w:pPr>
          </w:p>
          <w:p w14:paraId="683161FF" w14:textId="77777777" w:rsidR="00515398" w:rsidRDefault="00515398">
            <w:pPr>
              <w:spacing w:after="0" w:line="240" w:lineRule="auto"/>
              <w:rPr>
                <w:noProof/>
                <w:color w:val="006100"/>
                <w:sz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498971F7" w14:textId="6B77FE65" w:rsidR="00515398" w:rsidRDefault="006711E6">
            <w:pPr>
              <w:pStyle w:val="P68B1DB1-Normal9"/>
              <w:spacing w:after="0" w:line="240" w:lineRule="auto"/>
              <w:rPr>
                <w:noProof/>
              </w:rPr>
            </w:pPr>
            <w:r>
              <w:rPr>
                <w:noProof/>
              </w:rPr>
              <w:t>Milník</w:t>
            </w:r>
          </w:p>
        </w:tc>
        <w:tc>
          <w:tcPr>
            <w:tcW w:w="2256" w:type="dxa"/>
            <w:tcBorders>
              <w:top w:val="single" w:sz="4" w:space="0" w:color="auto"/>
              <w:left w:val="nil"/>
              <w:bottom w:val="single" w:sz="4" w:space="0" w:color="auto"/>
              <w:right w:val="single" w:sz="4" w:space="0" w:color="auto"/>
            </w:tcBorders>
            <w:shd w:val="clear" w:color="auto" w:fill="C6EFCE"/>
            <w:noWrap/>
          </w:tcPr>
          <w:p w14:paraId="38E5F403" w14:textId="75674766" w:rsidR="00515398" w:rsidRDefault="006711E6">
            <w:pPr>
              <w:pStyle w:val="P68B1DB1-Normal9"/>
              <w:spacing w:after="0" w:line="240" w:lineRule="auto"/>
              <w:rPr>
                <w:noProof/>
              </w:rPr>
            </w:pPr>
            <w:r>
              <w:rPr>
                <w:noProof/>
              </w:rPr>
              <w:t>Opětovné zalesňování, obnova a prevence – zakázky 2</w:t>
            </w:r>
          </w:p>
        </w:tc>
        <w:tc>
          <w:tcPr>
            <w:tcW w:w="1560" w:type="dxa"/>
            <w:tcBorders>
              <w:top w:val="single" w:sz="4" w:space="0" w:color="auto"/>
              <w:left w:val="nil"/>
              <w:bottom w:val="single" w:sz="4" w:space="0" w:color="auto"/>
              <w:right w:val="single" w:sz="4" w:space="0" w:color="auto"/>
            </w:tcBorders>
            <w:shd w:val="clear" w:color="auto" w:fill="C6EFCE"/>
            <w:noWrap/>
          </w:tcPr>
          <w:p w14:paraId="68CEE46A" w14:textId="162B04AD" w:rsidR="00515398" w:rsidRDefault="006711E6">
            <w:pPr>
              <w:pStyle w:val="P68B1DB1-Normal9"/>
              <w:spacing w:after="0" w:line="240" w:lineRule="auto"/>
              <w:rPr>
                <w:noProof/>
              </w:rPr>
            </w:pPr>
            <w:r>
              <w:rPr>
                <w:noProof/>
              </w:rPr>
              <w:t>Oznámení o zadání zakázek</w:t>
            </w:r>
          </w:p>
        </w:tc>
        <w:tc>
          <w:tcPr>
            <w:tcW w:w="992" w:type="dxa"/>
            <w:tcBorders>
              <w:top w:val="single" w:sz="4" w:space="0" w:color="auto"/>
              <w:left w:val="nil"/>
              <w:bottom w:val="single" w:sz="4" w:space="0" w:color="auto"/>
              <w:right w:val="single" w:sz="4" w:space="0" w:color="auto"/>
            </w:tcBorders>
            <w:shd w:val="clear" w:color="auto" w:fill="C6EFCE"/>
            <w:noWrap/>
          </w:tcPr>
          <w:p w14:paraId="641DA1BA"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5FD25A00" w14:textId="77777777" w:rsidR="00515398" w:rsidRDefault="00515398">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23D38E63" w14:textId="77777777" w:rsidR="00515398" w:rsidRDefault="00515398">
            <w:pPr>
              <w:spacing w:after="0" w:line="240" w:lineRule="auto"/>
              <w:rPr>
                <w:rFonts w:eastAsia="Times New Roman" w:cs="Calibri"/>
                <w:noProof/>
                <w:color w:val="006100"/>
                <w:sz w:val="18"/>
                <w:szCs w:val="18"/>
              </w:rPr>
            </w:pPr>
          </w:p>
        </w:tc>
        <w:tc>
          <w:tcPr>
            <w:tcW w:w="888" w:type="dxa"/>
            <w:tcBorders>
              <w:top w:val="single" w:sz="4" w:space="0" w:color="auto"/>
              <w:left w:val="nil"/>
              <w:bottom w:val="single" w:sz="4" w:space="0" w:color="auto"/>
              <w:right w:val="single" w:sz="4" w:space="0" w:color="auto"/>
            </w:tcBorders>
            <w:shd w:val="clear" w:color="auto" w:fill="C6EFCE"/>
            <w:noWrap/>
          </w:tcPr>
          <w:p w14:paraId="060A4462" w14:textId="0B5F14A0" w:rsidR="00515398" w:rsidRDefault="006711E6">
            <w:pPr>
              <w:pStyle w:val="P68B1DB1-Normal9"/>
              <w:spacing w:after="0" w:line="240" w:lineRule="auto"/>
              <w:rPr>
                <w:noProof/>
              </w:rPr>
            </w:pPr>
            <w:r>
              <w:rPr>
                <w:noProof/>
              </w:rPr>
              <w:t>ČTVRTLETÍ ČTVRT</w:t>
            </w:r>
          </w:p>
        </w:tc>
        <w:tc>
          <w:tcPr>
            <w:tcW w:w="823" w:type="dxa"/>
            <w:tcBorders>
              <w:top w:val="single" w:sz="4" w:space="0" w:color="auto"/>
              <w:left w:val="nil"/>
              <w:bottom w:val="single" w:sz="4" w:space="0" w:color="auto"/>
              <w:right w:val="single" w:sz="4" w:space="0" w:color="auto"/>
            </w:tcBorders>
            <w:shd w:val="clear" w:color="auto" w:fill="C6EFCE"/>
            <w:noWrap/>
          </w:tcPr>
          <w:p w14:paraId="52EE23F7" w14:textId="59A7054E" w:rsidR="00515398" w:rsidRDefault="006711E6">
            <w:pPr>
              <w:pStyle w:val="P68B1DB1-Normal9"/>
              <w:spacing w:after="0" w:line="240" w:lineRule="auto"/>
              <w:rPr>
                <w:noProof/>
              </w:rPr>
            </w:pPr>
            <w:r>
              <w:rPr>
                <w:noProof/>
              </w:rPr>
              <w:t>2023</w:t>
            </w:r>
          </w:p>
        </w:tc>
        <w:tc>
          <w:tcPr>
            <w:tcW w:w="3148" w:type="dxa"/>
            <w:tcBorders>
              <w:top w:val="single" w:sz="4" w:space="0" w:color="auto"/>
              <w:left w:val="nil"/>
              <w:bottom w:val="single" w:sz="4" w:space="0" w:color="auto"/>
              <w:right w:val="single" w:sz="4" w:space="0" w:color="auto"/>
            </w:tcBorders>
            <w:shd w:val="clear" w:color="auto" w:fill="C6EFCE"/>
            <w:noWrap/>
          </w:tcPr>
          <w:p w14:paraId="7783709A" w14:textId="77777777" w:rsidR="00515398" w:rsidRDefault="006711E6">
            <w:pPr>
              <w:pStyle w:val="P68B1DB1-Normal9"/>
              <w:spacing w:after="0" w:line="240" w:lineRule="auto"/>
              <w:rPr>
                <w:rFonts w:eastAsia="Times New Roman" w:cs="Calibri"/>
                <w:noProof/>
                <w:szCs w:val="18"/>
              </w:rPr>
            </w:pPr>
            <w:r>
              <w:rPr>
                <w:noProof/>
              </w:rPr>
              <w:t xml:space="preserve"> Oznámení o zadání všech zakázek na:</w:t>
            </w:r>
          </w:p>
          <w:p w14:paraId="0883BA09" w14:textId="77777777" w:rsidR="00515398" w:rsidRDefault="006711E6">
            <w:pPr>
              <w:pStyle w:val="P68B1DB1-Normal9"/>
              <w:spacing w:after="0" w:line="240" w:lineRule="auto"/>
              <w:rPr>
                <w:rFonts w:eastAsia="Times New Roman" w:cs="Calibri"/>
                <w:noProof/>
                <w:szCs w:val="18"/>
              </w:rPr>
            </w:pPr>
            <w:r>
              <w:rPr>
                <w:noProof/>
              </w:rPr>
              <w:t>1. Obnova 5 700 ha poškozených lesních ekosystémů v Řecku postupnou výsadbou s využitím alespoň 50 % původních druhů; a pokud</w:t>
            </w:r>
          </w:p>
          <w:p w14:paraId="4084A8F0" w14:textId="77777777" w:rsidR="00515398" w:rsidRDefault="006711E6">
            <w:pPr>
              <w:pStyle w:val="P68B1DB1-Normal9"/>
              <w:spacing w:after="0" w:line="240" w:lineRule="auto"/>
              <w:rPr>
                <w:rFonts w:eastAsia="Times New Roman" w:cs="Calibri"/>
                <w:noProof/>
                <w:szCs w:val="18"/>
              </w:rPr>
            </w:pPr>
            <w:r>
              <w:rPr>
                <w:noProof/>
              </w:rPr>
              <w:t xml:space="preserve">2. Modernizace a modernizace čtyř lesních </w:t>
            </w:r>
            <w:r>
              <w:rPr>
                <w:noProof/>
              </w:rPr>
              <w:t>školek; a pokud</w:t>
            </w:r>
          </w:p>
          <w:p w14:paraId="3C51C579" w14:textId="77777777" w:rsidR="00515398" w:rsidRDefault="006711E6">
            <w:pPr>
              <w:pStyle w:val="P68B1DB1-Normal9"/>
              <w:spacing w:after="0" w:line="240" w:lineRule="auto"/>
              <w:rPr>
                <w:rFonts w:eastAsia="Times New Roman" w:cs="Calibri"/>
                <w:noProof/>
                <w:szCs w:val="18"/>
              </w:rPr>
            </w:pPr>
            <w:r>
              <w:rPr>
                <w:noProof/>
              </w:rPr>
              <w:t xml:space="preserve">3. Pilotní provádění národního plánu pro opětovné zalesňování; a pokud </w:t>
            </w:r>
          </w:p>
          <w:p w14:paraId="14E695B2" w14:textId="281174F8" w:rsidR="00515398" w:rsidRDefault="006711E6">
            <w:pPr>
              <w:pStyle w:val="P68B1DB1-Normal9"/>
              <w:spacing w:after="0" w:line="240" w:lineRule="auto"/>
              <w:rPr>
                <w:noProof/>
              </w:rPr>
            </w:pPr>
            <w:r>
              <w:rPr>
                <w:noProof/>
              </w:rPr>
              <w:t xml:space="preserve">4. Antierozní a protipovodňová opatření v Evrosu a Rhodopech, která pokrývají celkem 5000 hektarů antierozí a 175 000 m² protipovodňových prací. </w:t>
            </w:r>
          </w:p>
        </w:tc>
      </w:tr>
      <w:tr w:rsidR="00515398" w14:paraId="0F376B88"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23263388" w14:textId="2AB6D70B" w:rsidR="00515398" w:rsidRDefault="006711E6">
            <w:pPr>
              <w:pStyle w:val="P68B1DB1-Normal9"/>
              <w:spacing w:after="0" w:line="240" w:lineRule="auto"/>
              <w:rPr>
                <w:noProof/>
              </w:rPr>
            </w:pPr>
            <w:r>
              <w:rPr>
                <w:noProof/>
              </w:rPr>
              <w:t>62a</w:t>
            </w:r>
          </w:p>
        </w:tc>
        <w:tc>
          <w:tcPr>
            <w:tcW w:w="1881" w:type="dxa"/>
            <w:tcBorders>
              <w:top w:val="single" w:sz="4" w:space="0" w:color="auto"/>
              <w:left w:val="nil"/>
              <w:bottom w:val="single" w:sz="4" w:space="0" w:color="auto"/>
              <w:right w:val="single" w:sz="4" w:space="0" w:color="auto"/>
            </w:tcBorders>
            <w:shd w:val="clear" w:color="auto" w:fill="C6EFCE"/>
            <w:noWrap/>
          </w:tcPr>
          <w:p w14:paraId="0B93C073" w14:textId="150373F6" w:rsidR="00515398" w:rsidRDefault="006711E6">
            <w:pPr>
              <w:spacing w:after="0" w:line="240" w:lineRule="auto"/>
              <w:rPr>
                <w:noProof/>
                <w:color w:val="006100"/>
                <w:sz w:val="18"/>
              </w:rPr>
            </w:pPr>
            <w:r>
              <w:rPr>
                <w:rStyle w:val="normaltextrun"/>
                <w:rFonts w:cs="Calibri"/>
                <w:noProof/>
                <w:color w:val="006100"/>
                <w:sz w:val="18"/>
                <w:szCs w:val="18"/>
                <w:bdr w:val="none" w:sz="0" w:space="0" w:color="auto" w:frame="1"/>
              </w:rPr>
              <w:t>4–1.4. Udržitelné</w:t>
            </w:r>
            <w:r>
              <w:rPr>
                <w:rStyle w:val="normaltextrun"/>
                <w:rFonts w:cs="Calibri"/>
                <w:noProof/>
                <w:color w:val="006100"/>
                <w:sz w:val="18"/>
                <w:szCs w:val="18"/>
                <w:bdr w:val="none" w:sz="0" w:space="0" w:color="auto" w:frame="1"/>
              </w:rPr>
              <w:t xml:space="preserve"> využívání zdrojů, odolnost vůči změně klimatu a ochrana životního prostředí – 16849_ Národní plán obnovy, obnovy a prevence („antiNERO“), opatření proti erozi a protipovodňová opatření</w:t>
            </w:r>
          </w:p>
        </w:tc>
        <w:tc>
          <w:tcPr>
            <w:tcW w:w="993" w:type="dxa"/>
            <w:tcBorders>
              <w:top w:val="single" w:sz="4" w:space="0" w:color="auto"/>
              <w:left w:val="nil"/>
              <w:bottom w:val="single" w:sz="4" w:space="0" w:color="auto"/>
              <w:right w:val="single" w:sz="4" w:space="0" w:color="auto"/>
            </w:tcBorders>
            <w:shd w:val="clear" w:color="auto" w:fill="C6EFCE"/>
            <w:noWrap/>
          </w:tcPr>
          <w:p w14:paraId="3E4ABFAA" w14:textId="75A78B68" w:rsidR="00515398" w:rsidRDefault="006711E6">
            <w:pPr>
              <w:spacing w:after="0" w:line="240" w:lineRule="auto"/>
              <w:rPr>
                <w:noProof/>
                <w:color w:val="006100"/>
                <w:sz w:val="18"/>
              </w:rPr>
            </w:pPr>
            <w:r>
              <w:rPr>
                <w:rStyle w:val="normaltextrun"/>
                <w:rFonts w:cs="Calibri"/>
                <w:noProof/>
                <w:color w:val="006100"/>
                <w:sz w:val="18"/>
                <w:szCs w:val="18"/>
              </w:rPr>
              <w:t>Milník</w:t>
            </w:r>
          </w:p>
        </w:tc>
        <w:tc>
          <w:tcPr>
            <w:tcW w:w="2256" w:type="dxa"/>
            <w:tcBorders>
              <w:top w:val="single" w:sz="4" w:space="0" w:color="auto"/>
              <w:left w:val="nil"/>
              <w:bottom w:val="single" w:sz="4" w:space="0" w:color="auto"/>
              <w:right w:val="single" w:sz="4" w:space="0" w:color="auto"/>
            </w:tcBorders>
            <w:shd w:val="clear" w:color="auto" w:fill="C6EFCE"/>
            <w:noWrap/>
          </w:tcPr>
          <w:p w14:paraId="54A7A5F6" w14:textId="2E802397" w:rsidR="00515398" w:rsidRDefault="006711E6">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Opětovné zalesňování, obnova a prevence – zakázky 3</w:t>
            </w:r>
            <w:r>
              <w:rPr>
                <w:rStyle w:val="normaltextrun"/>
                <w:noProof/>
                <w:bdr w:val="none" w:sz="0" w:space="0" w:color="auto" w:frame="1"/>
              </w:rPr>
              <w:t> </w:t>
            </w:r>
          </w:p>
        </w:tc>
        <w:tc>
          <w:tcPr>
            <w:tcW w:w="1560" w:type="dxa"/>
            <w:tcBorders>
              <w:top w:val="single" w:sz="4" w:space="0" w:color="auto"/>
              <w:left w:val="nil"/>
              <w:bottom w:val="single" w:sz="4" w:space="0" w:color="auto"/>
              <w:right w:val="single" w:sz="4" w:space="0" w:color="auto"/>
            </w:tcBorders>
            <w:shd w:val="clear" w:color="auto" w:fill="C6EFCE"/>
            <w:noWrap/>
          </w:tcPr>
          <w:p w14:paraId="3E96B9F7" w14:textId="634B64B3" w:rsidR="00515398" w:rsidRDefault="006711E6">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Oznámení o</w:t>
            </w:r>
            <w:r>
              <w:rPr>
                <w:rStyle w:val="normaltextrun"/>
                <w:rFonts w:cs="Calibri"/>
                <w:noProof/>
                <w:color w:val="006100"/>
                <w:sz w:val="18"/>
                <w:szCs w:val="18"/>
                <w:bdr w:val="none" w:sz="0" w:space="0" w:color="auto" w:frame="1"/>
              </w:rPr>
              <w:t xml:space="preserve"> zadání zakázek</w:t>
            </w:r>
            <w:r>
              <w:rPr>
                <w:rStyle w:val="normaltextrun"/>
                <w:noProof/>
                <w:bdr w:val="none" w:sz="0" w:space="0" w:color="auto" w:frame="1"/>
              </w:rPr>
              <w:t> </w:t>
            </w:r>
          </w:p>
        </w:tc>
        <w:tc>
          <w:tcPr>
            <w:tcW w:w="992" w:type="dxa"/>
            <w:tcBorders>
              <w:top w:val="single" w:sz="4" w:space="0" w:color="auto"/>
              <w:left w:val="nil"/>
              <w:bottom w:val="single" w:sz="4" w:space="0" w:color="auto"/>
              <w:right w:val="single" w:sz="4" w:space="0" w:color="auto"/>
            </w:tcBorders>
            <w:shd w:val="clear" w:color="auto" w:fill="C6EFCE"/>
            <w:noWrap/>
          </w:tcPr>
          <w:p w14:paraId="37690C47" w14:textId="77777777" w:rsidR="00515398" w:rsidRDefault="00515398">
            <w:pPr>
              <w:spacing w:after="0" w:line="240" w:lineRule="auto"/>
              <w:rPr>
                <w:rStyle w:val="normaltextrun"/>
                <w:noProof/>
                <w:bdr w:val="none" w:sz="0" w:space="0" w:color="auto" w:frame="1"/>
              </w:rPr>
            </w:pPr>
          </w:p>
        </w:tc>
        <w:tc>
          <w:tcPr>
            <w:tcW w:w="992" w:type="dxa"/>
            <w:tcBorders>
              <w:top w:val="single" w:sz="4" w:space="0" w:color="auto"/>
              <w:left w:val="nil"/>
              <w:bottom w:val="single" w:sz="4" w:space="0" w:color="auto"/>
              <w:right w:val="single" w:sz="4" w:space="0" w:color="auto"/>
            </w:tcBorders>
            <w:shd w:val="clear" w:color="auto" w:fill="C6EFCE"/>
            <w:noWrap/>
          </w:tcPr>
          <w:p w14:paraId="5408C793" w14:textId="77777777" w:rsidR="00515398" w:rsidRDefault="00515398">
            <w:pPr>
              <w:spacing w:after="0" w:line="240" w:lineRule="auto"/>
              <w:rPr>
                <w:rStyle w:val="normaltextrun"/>
                <w:noProof/>
                <w:bdr w:val="none" w:sz="0" w:space="0" w:color="auto" w:frame="1"/>
              </w:rPr>
            </w:pPr>
          </w:p>
        </w:tc>
        <w:tc>
          <w:tcPr>
            <w:tcW w:w="709" w:type="dxa"/>
            <w:tcBorders>
              <w:top w:val="single" w:sz="4" w:space="0" w:color="auto"/>
              <w:left w:val="nil"/>
              <w:bottom w:val="single" w:sz="4" w:space="0" w:color="auto"/>
              <w:right w:val="single" w:sz="4" w:space="0" w:color="auto"/>
            </w:tcBorders>
            <w:shd w:val="clear" w:color="auto" w:fill="C6EFCE"/>
            <w:noWrap/>
          </w:tcPr>
          <w:p w14:paraId="6FDD2CB0" w14:textId="77777777" w:rsidR="00515398" w:rsidRDefault="00515398">
            <w:pPr>
              <w:spacing w:after="0" w:line="240" w:lineRule="auto"/>
              <w:rPr>
                <w:rStyle w:val="normaltextrun"/>
                <w:noProof/>
                <w:bdr w:val="none" w:sz="0" w:space="0" w:color="auto" w:frame="1"/>
              </w:rPr>
            </w:pPr>
          </w:p>
        </w:tc>
        <w:tc>
          <w:tcPr>
            <w:tcW w:w="888" w:type="dxa"/>
            <w:tcBorders>
              <w:top w:val="single" w:sz="4" w:space="0" w:color="auto"/>
              <w:left w:val="nil"/>
              <w:bottom w:val="single" w:sz="4" w:space="0" w:color="auto"/>
              <w:right w:val="single" w:sz="4" w:space="0" w:color="auto"/>
            </w:tcBorders>
            <w:shd w:val="clear" w:color="auto" w:fill="C6EFCE"/>
            <w:noWrap/>
          </w:tcPr>
          <w:p w14:paraId="1308576C" w14:textId="4EC7F47A" w:rsidR="00515398" w:rsidRDefault="006711E6">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ČTVRTLETÍ ČTVRT</w:t>
            </w:r>
            <w:r>
              <w:rPr>
                <w:rStyle w:val="normaltextrun"/>
                <w:noProof/>
                <w:bdr w:val="none" w:sz="0" w:space="0" w:color="auto" w:frame="1"/>
              </w:rPr>
              <w:t> </w:t>
            </w:r>
          </w:p>
        </w:tc>
        <w:tc>
          <w:tcPr>
            <w:tcW w:w="823" w:type="dxa"/>
            <w:tcBorders>
              <w:top w:val="single" w:sz="4" w:space="0" w:color="auto"/>
              <w:left w:val="nil"/>
              <w:bottom w:val="single" w:sz="4" w:space="0" w:color="auto"/>
              <w:right w:val="single" w:sz="4" w:space="0" w:color="auto"/>
            </w:tcBorders>
            <w:shd w:val="clear" w:color="auto" w:fill="C6EFCE"/>
            <w:noWrap/>
          </w:tcPr>
          <w:p w14:paraId="420E8AE6" w14:textId="1FC4DC16" w:rsidR="00515398" w:rsidRDefault="006711E6">
            <w:pPr>
              <w:spacing w:after="0" w:line="240" w:lineRule="auto"/>
              <w:rPr>
                <w:rStyle w:val="normaltextrun"/>
                <w:rFonts w:cs="Calibri"/>
                <w:noProof/>
                <w:szCs w:val="18"/>
                <w:bdr w:val="none" w:sz="0" w:space="0" w:color="auto" w:frame="1"/>
              </w:rPr>
            </w:pPr>
            <w:r>
              <w:rPr>
                <w:rStyle w:val="normaltextrun"/>
                <w:rFonts w:cs="Calibri"/>
                <w:noProof/>
                <w:color w:val="006100"/>
                <w:sz w:val="18"/>
                <w:szCs w:val="18"/>
                <w:bdr w:val="none" w:sz="0" w:space="0" w:color="auto" w:frame="1"/>
              </w:rPr>
              <w:t>2024</w:t>
            </w:r>
            <w:r>
              <w:rPr>
                <w:rStyle w:val="normaltextrun"/>
                <w:noProof/>
                <w:bdr w:val="none" w:sz="0" w:space="0" w:color="auto" w:frame="1"/>
              </w:rPr>
              <w:t> </w:t>
            </w:r>
          </w:p>
        </w:tc>
        <w:tc>
          <w:tcPr>
            <w:tcW w:w="3148" w:type="dxa"/>
            <w:tcBorders>
              <w:top w:val="single" w:sz="4" w:space="0" w:color="auto"/>
              <w:left w:val="nil"/>
              <w:bottom w:val="single" w:sz="4" w:space="0" w:color="auto"/>
              <w:right w:val="single" w:sz="4" w:space="0" w:color="auto"/>
            </w:tcBorders>
            <w:shd w:val="clear" w:color="auto" w:fill="C6EFCE"/>
            <w:noWrap/>
          </w:tcPr>
          <w:p w14:paraId="42F36A07" w14:textId="34E466EE" w:rsidR="00515398" w:rsidRDefault="006711E6">
            <w:pPr>
              <w:spacing w:after="0" w:line="240" w:lineRule="auto"/>
              <w:rPr>
                <w:rStyle w:val="normaltextrun"/>
                <w:rFonts w:cs="Calibri"/>
                <w:noProof/>
                <w:bdr w:val="none" w:sz="0" w:space="0" w:color="auto" w:frame="1"/>
              </w:rPr>
            </w:pPr>
            <w:r>
              <w:rPr>
                <w:rStyle w:val="normaltextrun"/>
                <w:rFonts w:cs="Calibri"/>
                <w:noProof/>
                <w:color w:val="006100"/>
                <w:sz w:val="18"/>
                <w:szCs w:val="18"/>
              </w:rPr>
              <w:t xml:space="preserve">Oznámení o zadání všech zakázek pro Antinero III na modernizaci 41 200 ha znehodnocených lesních ekosystémů, včetně vyklizení lesů a lesů a údržby lesní silniční sítě a stávající požární zóny, vytvoření smíšených </w:t>
            </w:r>
            <w:r>
              <w:rPr>
                <w:rStyle w:val="normaltextrun"/>
                <w:rFonts w:cs="Calibri"/>
                <w:noProof/>
                <w:color w:val="006100"/>
                <w:sz w:val="18"/>
                <w:szCs w:val="18"/>
              </w:rPr>
              <w:t>požárních zón a dalších pracovních toků, jako je hospodaření s biomasou, betonové příkopy, kopce, irské přechody, nábřeží, požární věže, stavba na silnici, vodní nádrže.</w:t>
            </w:r>
          </w:p>
        </w:tc>
      </w:tr>
      <w:tr w:rsidR="00515398" w14:paraId="3408F59B" w14:textId="77777777">
        <w:trPr>
          <w:trHeight w:val="313"/>
          <w:tblHeader/>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14:paraId="6DA16859" w14:textId="180C5995" w:rsidR="00515398" w:rsidRDefault="006711E6">
            <w:pPr>
              <w:pStyle w:val="P68B1DB1-Normal9"/>
              <w:spacing w:after="0" w:line="240" w:lineRule="auto"/>
              <w:rPr>
                <w:noProof/>
              </w:rPr>
            </w:pPr>
            <w:r>
              <w:rPr>
                <w:noProof/>
              </w:rPr>
              <w:t>63</w:t>
            </w:r>
          </w:p>
        </w:tc>
        <w:tc>
          <w:tcPr>
            <w:tcW w:w="1881" w:type="dxa"/>
            <w:tcBorders>
              <w:top w:val="single" w:sz="4" w:space="0" w:color="auto"/>
              <w:left w:val="nil"/>
              <w:bottom w:val="single" w:sz="4" w:space="0" w:color="auto"/>
              <w:right w:val="single" w:sz="4" w:space="0" w:color="auto"/>
            </w:tcBorders>
            <w:shd w:val="clear" w:color="auto" w:fill="C6EFCE"/>
            <w:noWrap/>
          </w:tcPr>
          <w:p w14:paraId="642D1025" w14:textId="085A300B" w:rsidR="00515398" w:rsidRDefault="006711E6">
            <w:pPr>
              <w:pStyle w:val="P68B1DB1-Normal9"/>
              <w:spacing w:after="0" w:line="240" w:lineRule="auto"/>
              <w:rPr>
                <w:noProof/>
              </w:rPr>
            </w:pPr>
            <w:r>
              <w:rPr>
                <w:noProof/>
              </w:rPr>
              <w:t xml:space="preserve">4–1.4. Udržitelné využívání zdrojů, odolnost vůči změně klimatu a ochrana </w:t>
            </w:r>
            <w:r>
              <w:rPr>
                <w:noProof/>
              </w:rPr>
              <w:t>životního prostředí – 16849_ Národní plán obnovy, obnovy a prevence („antiNERO“), opatření proti erozi a protipovodňová opatření</w:t>
            </w:r>
          </w:p>
        </w:tc>
        <w:tc>
          <w:tcPr>
            <w:tcW w:w="993" w:type="dxa"/>
            <w:tcBorders>
              <w:top w:val="single" w:sz="4" w:space="0" w:color="auto"/>
              <w:left w:val="nil"/>
              <w:bottom w:val="single" w:sz="4" w:space="0" w:color="auto"/>
              <w:right w:val="single" w:sz="4" w:space="0" w:color="auto"/>
            </w:tcBorders>
            <w:shd w:val="clear" w:color="auto" w:fill="C6EFCE"/>
            <w:noWrap/>
          </w:tcPr>
          <w:p w14:paraId="2FD15859" w14:textId="061FFA30" w:rsidR="00515398" w:rsidRDefault="006711E6">
            <w:pPr>
              <w:pStyle w:val="P68B1DB1-Normal9"/>
              <w:spacing w:after="0" w:line="240" w:lineRule="auto"/>
              <w:rPr>
                <w:noProof/>
              </w:rPr>
            </w:pPr>
            <w:r>
              <w:rPr>
                <w:noProof/>
              </w:rPr>
              <w:t>Milník</w:t>
            </w:r>
          </w:p>
        </w:tc>
        <w:tc>
          <w:tcPr>
            <w:tcW w:w="2256" w:type="dxa"/>
            <w:tcBorders>
              <w:top w:val="single" w:sz="4" w:space="0" w:color="auto"/>
              <w:left w:val="nil"/>
              <w:bottom w:val="single" w:sz="4" w:space="0" w:color="auto"/>
              <w:right w:val="single" w:sz="4" w:space="0" w:color="auto"/>
            </w:tcBorders>
            <w:shd w:val="clear" w:color="auto" w:fill="C6EFCE"/>
            <w:noWrap/>
          </w:tcPr>
          <w:p w14:paraId="0D37204F" w14:textId="58B220DD" w:rsidR="00515398" w:rsidRDefault="006711E6">
            <w:pPr>
              <w:pStyle w:val="P68B1DB1-Normal9"/>
              <w:spacing w:after="0" w:line="240" w:lineRule="auto"/>
              <w:rPr>
                <w:noProof/>
              </w:rPr>
            </w:pPr>
            <w:r>
              <w:rPr>
                <w:noProof/>
              </w:rPr>
              <w:t xml:space="preserve"> Opětovné zalesňování, obnova a prevence – Dokončení prací</w:t>
            </w:r>
          </w:p>
        </w:tc>
        <w:tc>
          <w:tcPr>
            <w:tcW w:w="1560" w:type="dxa"/>
            <w:tcBorders>
              <w:top w:val="single" w:sz="4" w:space="0" w:color="auto"/>
              <w:left w:val="nil"/>
              <w:bottom w:val="single" w:sz="4" w:space="0" w:color="auto"/>
              <w:right w:val="single" w:sz="4" w:space="0" w:color="auto"/>
            </w:tcBorders>
            <w:shd w:val="clear" w:color="auto" w:fill="C6EFCE"/>
            <w:noWrap/>
          </w:tcPr>
          <w:p w14:paraId="16DF1F3D" w14:textId="564BB00D" w:rsidR="00515398" w:rsidRDefault="006711E6">
            <w:pPr>
              <w:pStyle w:val="P68B1DB1-Normal9"/>
              <w:spacing w:after="0" w:line="240" w:lineRule="auto"/>
              <w:rPr>
                <w:noProof/>
              </w:rPr>
            </w:pPr>
            <w:r>
              <w:rPr>
                <w:noProof/>
              </w:rPr>
              <w:t xml:space="preserve">Osvědčení Ministerstva životního prostředí o dokončení </w:t>
            </w:r>
            <w:r>
              <w:rPr>
                <w:noProof/>
              </w:rPr>
              <w:t>projektů</w:t>
            </w:r>
          </w:p>
        </w:tc>
        <w:tc>
          <w:tcPr>
            <w:tcW w:w="992" w:type="dxa"/>
            <w:tcBorders>
              <w:top w:val="single" w:sz="4" w:space="0" w:color="auto"/>
              <w:left w:val="nil"/>
              <w:bottom w:val="single" w:sz="4" w:space="0" w:color="auto"/>
              <w:right w:val="single" w:sz="4" w:space="0" w:color="auto"/>
            </w:tcBorders>
            <w:shd w:val="clear" w:color="auto" w:fill="C6EFCE"/>
            <w:noWrap/>
          </w:tcPr>
          <w:p w14:paraId="08BE24E8"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019A7F2C" w14:textId="77777777" w:rsidR="00515398" w:rsidRDefault="00515398">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1F0D78E1" w14:textId="77777777" w:rsidR="00515398" w:rsidRDefault="00515398">
            <w:pPr>
              <w:spacing w:after="0" w:line="240" w:lineRule="auto"/>
              <w:rPr>
                <w:rFonts w:eastAsia="Times New Roman" w:cs="Calibri"/>
                <w:noProof/>
                <w:color w:val="006100"/>
                <w:sz w:val="18"/>
                <w:szCs w:val="18"/>
              </w:rPr>
            </w:pPr>
          </w:p>
        </w:tc>
        <w:tc>
          <w:tcPr>
            <w:tcW w:w="888" w:type="dxa"/>
            <w:tcBorders>
              <w:top w:val="single" w:sz="4" w:space="0" w:color="auto"/>
              <w:left w:val="nil"/>
              <w:bottom w:val="single" w:sz="4" w:space="0" w:color="auto"/>
              <w:right w:val="single" w:sz="4" w:space="0" w:color="auto"/>
            </w:tcBorders>
            <w:shd w:val="clear" w:color="auto" w:fill="C6EFCE"/>
            <w:noWrap/>
          </w:tcPr>
          <w:p w14:paraId="62E30490" w14:textId="30ADBE83" w:rsidR="00515398" w:rsidRDefault="006711E6">
            <w:pPr>
              <w:pStyle w:val="P68B1DB1-Normal9"/>
              <w:spacing w:after="0" w:line="240" w:lineRule="auto"/>
              <w:rPr>
                <w:noProof/>
              </w:rPr>
            </w:pPr>
            <w:r>
              <w:rPr>
                <w:noProof/>
              </w:rPr>
              <w:t>ČTVRTLETÍ ČTVRT</w:t>
            </w:r>
          </w:p>
        </w:tc>
        <w:tc>
          <w:tcPr>
            <w:tcW w:w="823" w:type="dxa"/>
            <w:tcBorders>
              <w:top w:val="single" w:sz="4" w:space="0" w:color="auto"/>
              <w:left w:val="nil"/>
              <w:bottom w:val="single" w:sz="4" w:space="0" w:color="auto"/>
              <w:right w:val="single" w:sz="4" w:space="0" w:color="auto"/>
            </w:tcBorders>
            <w:shd w:val="clear" w:color="auto" w:fill="C6EFCE"/>
            <w:noWrap/>
          </w:tcPr>
          <w:p w14:paraId="3A32EFD4" w14:textId="394D7CB9" w:rsidR="00515398" w:rsidRDefault="006711E6">
            <w:pPr>
              <w:pStyle w:val="P68B1DB1-Normal9"/>
              <w:spacing w:after="0" w:line="240" w:lineRule="auto"/>
              <w:rPr>
                <w:noProof/>
              </w:rPr>
            </w:pPr>
            <w:r>
              <w:rPr>
                <w:noProof/>
              </w:rPr>
              <w:t>2025</w:t>
            </w:r>
          </w:p>
        </w:tc>
        <w:tc>
          <w:tcPr>
            <w:tcW w:w="3148" w:type="dxa"/>
            <w:tcBorders>
              <w:top w:val="single" w:sz="4" w:space="0" w:color="auto"/>
              <w:left w:val="nil"/>
              <w:bottom w:val="single" w:sz="4" w:space="0" w:color="auto"/>
              <w:right w:val="single" w:sz="4" w:space="0" w:color="auto"/>
            </w:tcBorders>
            <w:shd w:val="clear" w:color="auto" w:fill="C6EFCE"/>
            <w:noWrap/>
          </w:tcPr>
          <w:p w14:paraId="050AAB19" w14:textId="77777777" w:rsidR="00515398" w:rsidRDefault="006711E6">
            <w:pPr>
              <w:pStyle w:val="P68B1DB1-Normal10"/>
              <w:spacing w:after="0" w:line="240" w:lineRule="auto"/>
              <w:rPr>
                <w:rFonts w:eastAsia="Times New Roman" w:cs="Calibri"/>
                <w:noProof/>
              </w:rPr>
            </w:pPr>
            <w:r>
              <w:rPr>
                <w:noProof/>
              </w:rPr>
              <w:t>Dokončení všech prací pro:</w:t>
            </w:r>
          </w:p>
          <w:p w14:paraId="05528FB0" w14:textId="77777777" w:rsidR="00515398" w:rsidRDefault="006711E6">
            <w:pPr>
              <w:pStyle w:val="P68B1DB1-Normal9"/>
              <w:spacing w:after="0" w:line="240" w:lineRule="auto"/>
              <w:rPr>
                <w:rFonts w:eastAsia="Times New Roman" w:cs="Calibri"/>
                <w:noProof/>
                <w:szCs w:val="18"/>
              </w:rPr>
            </w:pPr>
            <w:r>
              <w:rPr>
                <w:noProof/>
              </w:rPr>
              <w:t xml:space="preserve">— obnova 5 700 ha poškozených lesních ekosystémů v Řecku prostřednictvím střídavé výsadby s využitím alespoň 50 % původních druhů. (Opětovné zalesňování – dílčí projekt č. 1). </w:t>
            </w:r>
          </w:p>
          <w:p w14:paraId="4B5F0FDB" w14:textId="77777777" w:rsidR="00515398" w:rsidRDefault="006711E6">
            <w:pPr>
              <w:pStyle w:val="P68B1DB1-Normal9"/>
              <w:spacing w:after="0" w:line="240" w:lineRule="auto"/>
              <w:rPr>
                <w:rFonts w:eastAsia="Times New Roman" w:cs="Calibri"/>
                <w:noProof/>
                <w:szCs w:val="18"/>
              </w:rPr>
            </w:pPr>
            <w:r>
              <w:rPr>
                <w:noProof/>
              </w:rPr>
              <w:t>moderni</w:t>
            </w:r>
            <w:r>
              <w:rPr>
                <w:noProof/>
              </w:rPr>
              <w:t xml:space="preserve">zace a modernizace čtyř lesních školek, </w:t>
            </w:r>
          </w:p>
          <w:p w14:paraId="18F011E3" w14:textId="77777777" w:rsidR="00515398" w:rsidRDefault="006711E6">
            <w:pPr>
              <w:pStyle w:val="P68B1DB1-Normal9"/>
              <w:spacing w:after="0" w:line="240" w:lineRule="auto"/>
              <w:rPr>
                <w:rFonts w:eastAsia="Times New Roman" w:cs="Calibri"/>
                <w:noProof/>
                <w:szCs w:val="18"/>
              </w:rPr>
            </w:pPr>
            <w:r>
              <w:rPr>
                <w:noProof/>
              </w:rPr>
              <w:t>pilotní provádění národního plánu pro opětovné zalesňování</w:t>
            </w:r>
          </w:p>
          <w:p w14:paraId="4CEAF653" w14:textId="353A057C" w:rsidR="00515398" w:rsidRDefault="006711E6">
            <w:pPr>
              <w:pStyle w:val="P68B1DB1-Normal10"/>
              <w:spacing w:after="0" w:line="240" w:lineRule="auto"/>
              <w:rPr>
                <w:noProof/>
              </w:rPr>
            </w:pPr>
            <w:r>
              <w:rPr>
                <w:noProof/>
              </w:rPr>
              <w:t>— AntiNERO I, II, III &amp; IV (pro modernizaci 87 900 ha poškozených ekosystémů prostřednictvím čištění lesů a lesů, údržbu lesních cest a stávajících požárníc</w:t>
            </w:r>
            <w:r>
              <w:rPr>
                <w:noProof/>
              </w:rPr>
              <w:t>h zón, vytvoření smíšených požárních zón a dalších pracovních toků, jako je hospodaření s biomasou, betonové příkopy, výkopy, irské přechody, hrázi, požární věže, stavba na silnici, vodní nádrže. . Celkový rozpočet realizovaný na tyto programy po dobu trvá</w:t>
            </w:r>
            <w:r>
              <w:rPr>
                <w:noProof/>
              </w:rPr>
              <w:t>ní opatření činí nejméně 411 300 000 EUR.</w:t>
            </w:r>
          </w:p>
          <w:p w14:paraId="4F275C33" w14:textId="6CF8A537" w:rsidR="00515398" w:rsidRDefault="006711E6">
            <w:pPr>
              <w:pStyle w:val="P68B1DB1-Normal10"/>
              <w:spacing w:after="0" w:line="240" w:lineRule="auto"/>
              <w:rPr>
                <w:noProof/>
              </w:rPr>
            </w:pPr>
            <w:r>
              <w:rPr>
                <w:noProof/>
              </w:rPr>
              <w:t>— Antierozní a protipovodňová opatření v Evrosu a Rhodopech, která pokrývají celkem 5 000 ha antierozí a 175 000 m² protipovodňových prací. Dodatečné rekultivační práce zahrnují opatření proti erozi a protipovodňov</w:t>
            </w:r>
            <w:r>
              <w:rPr>
                <w:noProof/>
              </w:rPr>
              <w:t>á opatření v celém Řecku, která se týkají 1 221 ha protierozních prací a 226 437 m² protipovodňových prací.</w:t>
            </w:r>
          </w:p>
        </w:tc>
      </w:tr>
    </w:tbl>
    <w:p w14:paraId="585A6A42" w14:textId="7EF53F5B" w:rsidR="00515398" w:rsidRDefault="00515398">
      <w:pPr>
        <w:rPr>
          <w:noProof/>
        </w:rPr>
      </w:pPr>
    </w:p>
    <w:tbl>
      <w:tblPr>
        <w:tblpPr w:leftFromText="180" w:rightFromText="180" w:vertAnchor="text" w:tblpXSpec="center" w:tblpY="1"/>
        <w:tblOverlap w:val="neve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851"/>
        <w:gridCol w:w="979"/>
        <w:gridCol w:w="2219"/>
        <w:gridCol w:w="1535"/>
        <w:gridCol w:w="1094"/>
        <w:gridCol w:w="1113"/>
        <w:gridCol w:w="668"/>
        <w:gridCol w:w="978"/>
        <w:gridCol w:w="811"/>
        <w:gridCol w:w="3093"/>
      </w:tblGrid>
      <w:tr w:rsidR="00515398" w14:paraId="1476D068" w14:textId="77777777">
        <w:trPr>
          <w:trHeight w:val="599"/>
          <w:tblHeader/>
        </w:trPr>
        <w:tc>
          <w:tcPr>
            <w:tcW w:w="1054" w:type="dxa"/>
            <w:vMerge w:val="restart"/>
            <w:shd w:val="clear" w:color="auto" w:fill="B8CCE4" w:themeFill="accent1" w:themeFillTint="66"/>
            <w:noWrap/>
            <w:vAlign w:val="center"/>
          </w:tcPr>
          <w:p w14:paraId="2F0046D1" w14:textId="724B932F" w:rsidR="00515398" w:rsidRDefault="006711E6">
            <w:pPr>
              <w:pStyle w:val="P68B1DB1-Normal7"/>
              <w:spacing w:after="0" w:line="240" w:lineRule="auto"/>
              <w:jc w:val="center"/>
              <w:rPr>
                <w:noProof/>
                <w:color w:val="006100"/>
              </w:rPr>
            </w:pPr>
            <w:r>
              <w:rPr>
                <w:noProof/>
              </w:rPr>
              <w:t>Pořadové číslo</w:t>
            </w:r>
          </w:p>
        </w:tc>
        <w:tc>
          <w:tcPr>
            <w:tcW w:w="1864" w:type="dxa"/>
            <w:vMerge w:val="restart"/>
            <w:shd w:val="clear" w:color="auto" w:fill="B8CCE4" w:themeFill="accent1" w:themeFillTint="66"/>
            <w:noWrap/>
            <w:vAlign w:val="center"/>
          </w:tcPr>
          <w:p w14:paraId="38A9902D" w14:textId="77777777" w:rsidR="00515398" w:rsidRDefault="006711E6">
            <w:pPr>
              <w:pStyle w:val="P68B1DB1-Normal7"/>
              <w:spacing w:after="0" w:line="240" w:lineRule="auto"/>
              <w:jc w:val="center"/>
              <w:rPr>
                <w:noProof/>
                <w:color w:val="006100"/>
              </w:rPr>
            </w:pPr>
            <w:r>
              <w:rPr>
                <w:noProof/>
              </w:rPr>
              <w:t>Související opatření (reforma nebo investice)</w:t>
            </w:r>
          </w:p>
        </w:tc>
        <w:tc>
          <w:tcPr>
            <w:tcW w:w="985" w:type="dxa"/>
            <w:vMerge w:val="restart"/>
            <w:shd w:val="clear" w:color="auto" w:fill="B8CCE4" w:themeFill="accent1" w:themeFillTint="66"/>
            <w:noWrap/>
            <w:vAlign w:val="center"/>
          </w:tcPr>
          <w:p w14:paraId="5C0CD66D" w14:textId="77777777" w:rsidR="00515398" w:rsidRDefault="006711E6">
            <w:pPr>
              <w:pStyle w:val="P68B1DB1-Normal7"/>
              <w:spacing w:after="0" w:line="240" w:lineRule="auto"/>
              <w:jc w:val="center"/>
              <w:rPr>
                <w:noProof/>
                <w:color w:val="006100"/>
              </w:rPr>
            </w:pPr>
            <w:r>
              <w:rPr>
                <w:noProof/>
              </w:rPr>
              <w:t>Milník/cíl</w:t>
            </w:r>
          </w:p>
        </w:tc>
        <w:tc>
          <w:tcPr>
            <w:tcW w:w="2235" w:type="dxa"/>
            <w:vMerge w:val="restart"/>
            <w:shd w:val="clear" w:color="auto" w:fill="B8CCE4" w:themeFill="accent1" w:themeFillTint="66"/>
            <w:noWrap/>
            <w:vAlign w:val="center"/>
          </w:tcPr>
          <w:p w14:paraId="738B09C2" w14:textId="77777777" w:rsidR="00515398" w:rsidRDefault="006711E6">
            <w:pPr>
              <w:pStyle w:val="P68B1DB1-Normal7"/>
              <w:spacing w:after="0" w:line="240" w:lineRule="auto"/>
              <w:jc w:val="center"/>
              <w:rPr>
                <w:noProof/>
                <w:color w:val="006100"/>
              </w:rPr>
            </w:pPr>
            <w:r>
              <w:rPr>
                <w:noProof/>
              </w:rPr>
              <w:t>Jméno</w:t>
            </w:r>
          </w:p>
        </w:tc>
        <w:tc>
          <w:tcPr>
            <w:tcW w:w="1545" w:type="dxa"/>
            <w:vMerge w:val="restart"/>
            <w:shd w:val="clear" w:color="auto" w:fill="B8CCE4" w:themeFill="accent1" w:themeFillTint="66"/>
            <w:noWrap/>
            <w:vAlign w:val="center"/>
          </w:tcPr>
          <w:p w14:paraId="3802427A" w14:textId="77777777" w:rsidR="00515398" w:rsidRDefault="006711E6">
            <w:pPr>
              <w:pStyle w:val="P68B1DB1-Normal7"/>
              <w:spacing w:after="0" w:line="240" w:lineRule="auto"/>
              <w:jc w:val="center"/>
              <w:rPr>
                <w:noProof/>
                <w:color w:val="006100"/>
              </w:rPr>
            </w:pPr>
            <w:r>
              <w:rPr>
                <w:noProof/>
              </w:rPr>
              <w:t>Kvalitativní ukazatele (pro milníky)</w:t>
            </w:r>
          </w:p>
        </w:tc>
        <w:tc>
          <w:tcPr>
            <w:tcW w:w="2893" w:type="dxa"/>
            <w:gridSpan w:val="3"/>
            <w:shd w:val="clear" w:color="auto" w:fill="B8CCE4" w:themeFill="accent1" w:themeFillTint="66"/>
            <w:noWrap/>
            <w:vAlign w:val="center"/>
          </w:tcPr>
          <w:p w14:paraId="49BD047B" w14:textId="77777777" w:rsidR="00515398" w:rsidRDefault="006711E6">
            <w:pPr>
              <w:pStyle w:val="P68B1DB1-Normal7"/>
              <w:spacing w:after="0" w:line="240" w:lineRule="auto"/>
              <w:jc w:val="center"/>
              <w:rPr>
                <w:rFonts w:eastAsia="Times New Roman" w:cs="Calibri"/>
                <w:noProof/>
                <w:color w:val="006100"/>
                <w:szCs w:val="18"/>
              </w:rPr>
            </w:pPr>
            <w:r>
              <w:rPr>
                <w:noProof/>
              </w:rPr>
              <w:t xml:space="preserve">Kvantitativní ukazatele (pro </w:t>
            </w:r>
            <w:r>
              <w:rPr>
                <w:noProof/>
              </w:rPr>
              <w:t>cíle)</w:t>
            </w:r>
          </w:p>
        </w:tc>
        <w:tc>
          <w:tcPr>
            <w:tcW w:w="1697" w:type="dxa"/>
            <w:gridSpan w:val="2"/>
            <w:shd w:val="clear" w:color="auto" w:fill="B8CCE4" w:themeFill="accent1" w:themeFillTint="66"/>
            <w:noWrap/>
            <w:vAlign w:val="center"/>
          </w:tcPr>
          <w:p w14:paraId="7361CB6E" w14:textId="77777777" w:rsidR="00515398" w:rsidRDefault="006711E6">
            <w:pPr>
              <w:pStyle w:val="P68B1DB1-Normal7"/>
              <w:spacing w:after="0" w:line="240" w:lineRule="auto"/>
              <w:jc w:val="center"/>
              <w:rPr>
                <w:noProof/>
                <w:color w:val="006100"/>
              </w:rPr>
            </w:pPr>
            <w:r>
              <w:rPr>
                <w:noProof/>
              </w:rPr>
              <w:t>Orientační harmonogram pro dokončení</w:t>
            </w:r>
          </w:p>
        </w:tc>
        <w:tc>
          <w:tcPr>
            <w:tcW w:w="3116" w:type="dxa"/>
            <w:vMerge w:val="restart"/>
            <w:shd w:val="clear" w:color="auto" w:fill="B8CCE4" w:themeFill="accent1" w:themeFillTint="66"/>
            <w:noWrap/>
            <w:vAlign w:val="center"/>
          </w:tcPr>
          <w:p w14:paraId="09C6389F" w14:textId="77777777" w:rsidR="00515398" w:rsidRDefault="006711E6">
            <w:pPr>
              <w:pStyle w:val="P68B1DB1-Normal7"/>
              <w:spacing w:after="0" w:line="240" w:lineRule="auto"/>
              <w:jc w:val="center"/>
              <w:rPr>
                <w:noProof/>
                <w:color w:val="006100"/>
              </w:rPr>
            </w:pPr>
            <w:r>
              <w:rPr>
                <w:noProof/>
              </w:rPr>
              <w:t>Popis každého milníku a cíle</w:t>
            </w:r>
          </w:p>
        </w:tc>
      </w:tr>
      <w:tr w:rsidR="00515398" w14:paraId="50A0582B" w14:textId="77777777">
        <w:trPr>
          <w:trHeight w:val="548"/>
          <w:tblHeader/>
        </w:trPr>
        <w:tc>
          <w:tcPr>
            <w:tcW w:w="1054" w:type="dxa"/>
            <w:vMerge/>
            <w:noWrap/>
            <w:vAlign w:val="center"/>
          </w:tcPr>
          <w:p w14:paraId="2D25D271" w14:textId="77777777" w:rsidR="00515398" w:rsidRDefault="00515398">
            <w:pPr>
              <w:spacing w:after="0" w:line="240" w:lineRule="auto"/>
              <w:rPr>
                <w:rFonts w:ascii="Times New Roman" w:hAnsi="Times New Roman"/>
                <w:b/>
                <w:noProof/>
                <w:sz w:val="18"/>
              </w:rPr>
            </w:pPr>
          </w:p>
        </w:tc>
        <w:tc>
          <w:tcPr>
            <w:tcW w:w="1864" w:type="dxa"/>
            <w:vMerge/>
            <w:noWrap/>
            <w:vAlign w:val="center"/>
          </w:tcPr>
          <w:p w14:paraId="1F06F66B" w14:textId="77777777" w:rsidR="00515398" w:rsidRDefault="00515398">
            <w:pPr>
              <w:spacing w:after="0" w:line="240" w:lineRule="auto"/>
              <w:rPr>
                <w:rFonts w:ascii="Times New Roman" w:hAnsi="Times New Roman"/>
                <w:b/>
                <w:noProof/>
                <w:sz w:val="18"/>
              </w:rPr>
            </w:pPr>
          </w:p>
        </w:tc>
        <w:tc>
          <w:tcPr>
            <w:tcW w:w="985" w:type="dxa"/>
            <w:vMerge/>
            <w:noWrap/>
            <w:vAlign w:val="center"/>
          </w:tcPr>
          <w:p w14:paraId="692837A4" w14:textId="77777777" w:rsidR="00515398" w:rsidRDefault="00515398">
            <w:pPr>
              <w:spacing w:after="0" w:line="240" w:lineRule="auto"/>
              <w:rPr>
                <w:rFonts w:ascii="Times New Roman" w:hAnsi="Times New Roman"/>
                <w:b/>
                <w:noProof/>
                <w:sz w:val="18"/>
              </w:rPr>
            </w:pPr>
          </w:p>
        </w:tc>
        <w:tc>
          <w:tcPr>
            <w:tcW w:w="2235" w:type="dxa"/>
            <w:vMerge/>
            <w:noWrap/>
            <w:vAlign w:val="center"/>
          </w:tcPr>
          <w:p w14:paraId="46EB8770" w14:textId="77777777" w:rsidR="00515398" w:rsidRDefault="00515398">
            <w:pPr>
              <w:spacing w:after="0" w:line="240" w:lineRule="auto"/>
              <w:rPr>
                <w:rFonts w:ascii="Times New Roman" w:hAnsi="Times New Roman"/>
                <w:b/>
                <w:noProof/>
                <w:sz w:val="18"/>
              </w:rPr>
            </w:pPr>
          </w:p>
        </w:tc>
        <w:tc>
          <w:tcPr>
            <w:tcW w:w="1545" w:type="dxa"/>
            <w:vMerge/>
            <w:noWrap/>
            <w:vAlign w:val="center"/>
          </w:tcPr>
          <w:p w14:paraId="54B7AD00" w14:textId="77777777" w:rsidR="00515398" w:rsidRDefault="00515398">
            <w:pPr>
              <w:spacing w:after="0" w:line="240" w:lineRule="auto"/>
              <w:rPr>
                <w:rFonts w:ascii="Times New Roman" w:hAnsi="Times New Roman"/>
                <w:b/>
                <w:noProof/>
                <w:sz w:val="18"/>
              </w:rPr>
            </w:pPr>
          </w:p>
        </w:tc>
        <w:tc>
          <w:tcPr>
            <w:tcW w:w="1101" w:type="dxa"/>
            <w:shd w:val="clear" w:color="auto" w:fill="B8CCE4" w:themeFill="accent1" w:themeFillTint="66"/>
            <w:noWrap/>
            <w:vAlign w:val="center"/>
          </w:tcPr>
          <w:p w14:paraId="2574C69F" w14:textId="77777777" w:rsidR="00515398" w:rsidRDefault="006711E6">
            <w:pPr>
              <w:pStyle w:val="P68B1DB1-Normal7"/>
              <w:spacing w:after="0" w:line="240" w:lineRule="auto"/>
              <w:jc w:val="center"/>
              <w:rPr>
                <w:rFonts w:eastAsia="Times New Roman" w:cs="Calibri"/>
                <w:noProof/>
                <w:color w:val="006100"/>
                <w:szCs w:val="18"/>
              </w:rPr>
            </w:pPr>
            <w:r>
              <w:rPr>
                <w:noProof/>
              </w:rPr>
              <w:t>Jednotka měření</w:t>
            </w:r>
          </w:p>
        </w:tc>
        <w:tc>
          <w:tcPr>
            <w:tcW w:w="1120" w:type="dxa"/>
            <w:shd w:val="clear" w:color="auto" w:fill="B8CCE4" w:themeFill="accent1" w:themeFillTint="66"/>
            <w:vAlign w:val="center"/>
          </w:tcPr>
          <w:p w14:paraId="0BF491A4" w14:textId="77777777" w:rsidR="00515398" w:rsidRDefault="006711E6">
            <w:pPr>
              <w:pStyle w:val="P68B1DB1-Normal7"/>
              <w:spacing w:after="0" w:line="240" w:lineRule="auto"/>
              <w:jc w:val="center"/>
              <w:rPr>
                <w:rFonts w:eastAsia="Times New Roman" w:cs="Calibri"/>
                <w:noProof/>
                <w:color w:val="006100"/>
                <w:szCs w:val="18"/>
              </w:rPr>
            </w:pPr>
            <w:r>
              <w:rPr>
                <w:noProof/>
              </w:rPr>
              <w:t>Výchozí stav</w:t>
            </w:r>
          </w:p>
        </w:tc>
        <w:tc>
          <w:tcPr>
            <w:tcW w:w="672" w:type="dxa"/>
            <w:shd w:val="clear" w:color="auto" w:fill="B8CCE4" w:themeFill="accent1" w:themeFillTint="66"/>
            <w:vAlign w:val="center"/>
          </w:tcPr>
          <w:p w14:paraId="4083E5D1" w14:textId="77777777" w:rsidR="00515398" w:rsidRDefault="006711E6">
            <w:pPr>
              <w:pStyle w:val="P68B1DB1-Normal7"/>
              <w:spacing w:after="0" w:line="240" w:lineRule="auto"/>
              <w:jc w:val="center"/>
              <w:rPr>
                <w:rFonts w:eastAsia="Times New Roman" w:cs="Calibri"/>
                <w:noProof/>
                <w:color w:val="006100"/>
                <w:szCs w:val="18"/>
              </w:rPr>
            </w:pPr>
            <w:r>
              <w:rPr>
                <w:noProof/>
              </w:rPr>
              <w:t>Cíl</w:t>
            </w:r>
          </w:p>
        </w:tc>
        <w:tc>
          <w:tcPr>
            <w:tcW w:w="881" w:type="dxa"/>
            <w:shd w:val="clear" w:color="auto" w:fill="B8CCE4" w:themeFill="accent1" w:themeFillTint="66"/>
            <w:noWrap/>
            <w:vAlign w:val="center"/>
          </w:tcPr>
          <w:p w14:paraId="1F146755" w14:textId="77777777" w:rsidR="00515398" w:rsidRDefault="006711E6">
            <w:pPr>
              <w:pStyle w:val="P68B1DB1-Normal7"/>
              <w:spacing w:after="0" w:line="240" w:lineRule="auto"/>
              <w:jc w:val="center"/>
              <w:rPr>
                <w:noProof/>
                <w:color w:val="006100"/>
              </w:rPr>
            </w:pPr>
            <w:r>
              <w:rPr>
                <w:noProof/>
              </w:rPr>
              <w:t>Čtvrtina</w:t>
            </w:r>
          </w:p>
        </w:tc>
        <w:tc>
          <w:tcPr>
            <w:tcW w:w="816" w:type="dxa"/>
            <w:shd w:val="clear" w:color="auto" w:fill="B8CCE4" w:themeFill="accent1" w:themeFillTint="66"/>
            <w:vAlign w:val="center"/>
          </w:tcPr>
          <w:p w14:paraId="6CCCEAA3" w14:textId="77777777" w:rsidR="00515398" w:rsidRDefault="006711E6">
            <w:pPr>
              <w:pStyle w:val="P68B1DB1-Normal7"/>
              <w:spacing w:after="0" w:line="240" w:lineRule="auto"/>
              <w:jc w:val="center"/>
              <w:rPr>
                <w:noProof/>
                <w:color w:val="006100"/>
              </w:rPr>
            </w:pPr>
            <w:r>
              <w:rPr>
                <w:noProof/>
              </w:rPr>
              <w:t>Rok</w:t>
            </w:r>
          </w:p>
        </w:tc>
        <w:tc>
          <w:tcPr>
            <w:tcW w:w="3116" w:type="dxa"/>
            <w:vMerge/>
            <w:noWrap/>
          </w:tcPr>
          <w:p w14:paraId="0C52695A" w14:textId="77777777" w:rsidR="00515398" w:rsidRDefault="00515398">
            <w:pPr>
              <w:spacing w:after="0" w:line="240" w:lineRule="auto"/>
              <w:rPr>
                <w:noProof/>
                <w:color w:val="006100"/>
                <w:sz w:val="18"/>
              </w:rPr>
            </w:pPr>
          </w:p>
        </w:tc>
      </w:tr>
      <w:tr w:rsidR="00515398" w14:paraId="7417F5E4" w14:textId="77777777">
        <w:trPr>
          <w:trHeight w:val="313"/>
          <w:tblHeader/>
        </w:trPr>
        <w:tc>
          <w:tcPr>
            <w:tcW w:w="1054" w:type="dxa"/>
            <w:shd w:val="clear" w:color="auto" w:fill="C6EFCE"/>
            <w:noWrap/>
          </w:tcPr>
          <w:p w14:paraId="3263457C" w14:textId="77777777" w:rsidR="00515398" w:rsidRDefault="006711E6">
            <w:pPr>
              <w:pStyle w:val="P68B1DB1-Normal9"/>
              <w:spacing w:after="0" w:line="240" w:lineRule="auto"/>
              <w:rPr>
                <w:rFonts w:eastAsia="Times New Roman" w:cs="Calibri"/>
                <w:noProof/>
                <w:szCs w:val="18"/>
              </w:rPr>
            </w:pPr>
            <w:r>
              <w:rPr>
                <w:noProof/>
              </w:rPr>
              <w:t>64</w:t>
            </w:r>
          </w:p>
        </w:tc>
        <w:tc>
          <w:tcPr>
            <w:tcW w:w="1864" w:type="dxa"/>
            <w:shd w:val="clear" w:color="auto" w:fill="C6EFCE"/>
            <w:noWrap/>
          </w:tcPr>
          <w:p w14:paraId="256D740D"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odolnost vůči změně klimatu a ochrana životního prostředí – 16851_Ochrana biologické </w:t>
            </w:r>
            <w:r>
              <w:rPr>
                <w:noProof/>
              </w:rPr>
              <w:t>rozmanitosti jako hnací síla udržitelného růstu</w:t>
            </w:r>
          </w:p>
        </w:tc>
        <w:tc>
          <w:tcPr>
            <w:tcW w:w="985" w:type="dxa"/>
            <w:shd w:val="clear" w:color="auto" w:fill="C6EFCE"/>
            <w:noWrap/>
          </w:tcPr>
          <w:p w14:paraId="7309CD91" w14:textId="77777777" w:rsidR="00515398" w:rsidRDefault="006711E6">
            <w:pPr>
              <w:pStyle w:val="P68B1DB1-Normal9"/>
              <w:spacing w:after="0" w:line="240" w:lineRule="auto"/>
              <w:rPr>
                <w:rFonts w:eastAsia="Times New Roman" w:cs="Calibri"/>
                <w:noProof/>
                <w:szCs w:val="18"/>
              </w:rPr>
            </w:pPr>
            <w:r>
              <w:rPr>
                <w:noProof/>
              </w:rPr>
              <w:t>Milník</w:t>
            </w:r>
          </w:p>
        </w:tc>
        <w:tc>
          <w:tcPr>
            <w:tcW w:w="2235" w:type="dxa"/>
            <w:shd w:val="clear" w:color="auto" w:fill="C6EFCE"/>
            <w:noWrap/>
          </w:tcPr>
          <w:p w14:paraId="5A203261" w14:textId="77777777" w:rsidR="00515398" w:rsidRDefault="006711E6">
            <w:pPr>
              <w:pStyle w:val="P68B1DB1-Normal9"/>
              <w:spacing w:after="0" w:line="240" w:lineRule="auto"/>
              <w:rPr>
                <w:rFonts w:eastAsia="Times New Roman" w:cs="Calibri"/>
                <w:noProof/>
                <w:szCs w:val="18"/>
              </w:rPr>
            </w:pPr>
            <w:r>
              <w:rPr>
                <w:noProof/>
              </w:rPr>
              <w:t>Biologická rozmanitost – dokončení</w:t>
            </w:r>
          </w:p>
        </w:tc>
        <w:tc>
          <w:tcPr>
            <w:tcW w:w="1545" w:type="dxa"/>
            <w:shd w:val="clear" w:color="auto" w:fill="C6EFCE"/>
            <w:noWrap/>
          </w:tcPr>
          <w:p w14:paraId="20399313" w14:textId="370E29C7" w:rsidR="00515398" w:rsidRDefault="006711E6">
            <w:pPr>
              <w:pStyle w:val="P68B1DB1-Normal9"/>
              <w:spacing w:after="0" w:line="240" w:lineRule="auto"/>
              <w:rPr>
                <w:noProof/>
              </w:rPr>
            </w:pPr>
            <w:r>
              <w:rPr>
                <w:noProof/>
              </w:rPr>
              <w:t>Dokončení prací</w:t>
            </w:r>
          </w:p>
        </w:tc>
        <w:tc>
          <w:tcPr>
            <w:tcW w:w="1101" w:type="dxa"/>
            <w:shd w:val="clear" w:color="auto" w:fill="C6EFCE"/>
            <w:noWrap/>
          </w:tcPr>
          <w:p w14:paraId="5BCBFF97" w14:textId="77777777" w:rsidR="00515398" w:rsidRDefault="00515398">
            <w:pPr>
              <w:spacing w:after="0" w:line="240" w:lineRule="auto"/>
              <w:rPr>
                <w:rFonts w:eastAsia="Times New Roman" w:cs="Calibri"/>
                <w:noProof/>
                <w:color w:val="006100"/>
                <w:sz w:val="18"/>
                <w:szCs w:val="18"/>
              </w:rPr>
            </w:pPr>
          </w:p>
        </w:tc>
        <w:tc>
          <w:tcPr>
            <w:tcW w:w="1120" w:type="dxa"/>
            <w:shd w:val="clear" w:color="auto" w:fill="C6EFCE"/>
            <w:noWrap/>
          </w:tcPr>
          <w:p w14:paraId="3C192CD5" w14:textId="77777777" w:rsidR="00515398" w:rsidRDefault="00515398">
            <w:pPr>
              <w:spacing w:after="0" w:line="240" w:lineRule="auto"/>
              <w:rPr>
                <w:rFonts w:eastAsia="Times New Roman" w:cs="Calibri"/>
                <w:noProof/>
                <w:color w:val="006100"/>
                <w:sz w:val="18"/>
                <w:szCs w:val="18"/>
              </w:rPr>
            </w:pPr>
          </w:p>
        </w:tc>
        <w:tc>
          <w:tcPr>
            <w:tcW w:w="672" w:type="dxa"/>
            <w:shd w:val="clear" w:color="auto" w:fill="C6EFCE"/>
            <w:noWrap/>
          </w:tcPr>
          <w:p w14:paraId="2CD9AD37" w14:textId="77777777" w:rsidR="00515398" w:rsidRDefault="00515398">
            <w:pPr>
              <w:spacing w:after="0" w:line="240" w:lineRule="auto"/>
              <w:rPr>
                <w:rFonts w:eastAsia="Times New Roman" w:cs="Calibri"/>
                <w:noProof/>
                <w:color w:val="006100"/>
                <w:sz w:val="18"/>
                <w:szCs w:val="18"/>
              </w:rPr>
            </w:pPr>
          </w:p>
        </w:tc>
        <w:tc>
          <w:tcPr>
            <w:tcW w:w="881" w:type="dxa"/>
            <w:shd w:val="clear" w:color="auto" w:fill="C6EFCE"/>
            <w:noWrap/>
          </w:tcPr>
          <w:p w14:paraId="35D6D58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16" w:type="dxa"/>
            <w:shd w:val="clear" w:color="auto" w:fill="C6EFCE"/>
            <w:noWrap/>
          </w:tcPr>
          <w:p w14:paraId="0DCB290A" w14:textId="77777777" w:rsidR="00515398" w:rsidRDefault="006711E6">
            <w:pPr>
              <w:pStyle w:val="P68B1DB1-Normal9"/>
              <w:spacing w:after="0" w:line="240" w:lineRule="auto"/>
              <w:rPr>
                <w:rFonts w:eastAsia="Times New Roman" w:cs="Calibri"/>
                <w:noProof/>
                <w:szCs w:val="18"/>
              </w:rPr>
            </w:pPr>
            <w:r>
              <w:rPr>
                <w:noProof/>
              </w:rPr>
              <w:t>2025</w:t>
            </w:r>
          </w:p>
        </w:tc>
        <w:tc>
          <w:tcPr>
            <w:tcW w:w="3116" w:type="dxa"/>
            <w:shd w:val="clear" w:color="auto" w:fill="C6EFCE"/>
            <w:noWrap/>
          </w:tcPr>
          <w:p w14:paraId="45F21B8E" w14:textId="7EFDEA54" w:rsidR="00515398" w:rsidRDefault="006711E6">
            <w:pPr>
              <w:pStyle w:val="P68B1DB1-Normal9"/>
              <w:spacing w:after="0" w:line="240" w:lineRule="auto"/>
              <w:rPr>
                <w:rFonts w:eastAsia="Times New Roman" w:cs="Calibri"/>
                <w:noProof/>
                <w:szCs w:val="18"/>
              </w:rPr>
            </w:pPr>
            <w:r>
              <w:rPr>
                <w:noProof/>
              </w:rPr>
              <w:t>Dokončení všech dílčích projektů na ochranu biologické rozmanitosti: vytvoření národní sítě tras a turistických tras je zřízen</w:t>
            </w:r>
            <w:r>
              <w:rPr>
                <w:noProof/>
              </w:rPr>
              <w:t>ím Národního muzea přírodních dějin a modernizací Muzea přírodních dějin na Krétě, digitalizací sbírek řeckých přírodních dějin, vytvořením podnikové identity pro produkty související s řeckou přírodou, zřízením operačního systému podporujícího plán horizo</w:t>
            </w:r>
            <w:r>
              <w:rPr>
                <w:noProof/>
              </w:rPr>
              <w:t>ntálního systému monitorování a hlídkování pro všechny chráněné oblasti Řecka.</w:t>
            </w:r>
          </w:p>
        </w:tc>
      </w:tr>
    </w:tbl>
    <w:p w14:paraId="56412DD4" w14:textId="77777777" w:rsidR="00515398" w:rsidRDefault="00515398">
      <w:pPr>
        <w:keepNext/>
        <w:keepLines/>
        <w:spacing w:before="240" w:after="0" w:line="240" w:lineRule="auto"/>
        <w:jc w:val="both"/>
        <w:outlineLvl w:val="4"/>
        <w:rPr>
          <w:rFonts w:ascii="Cambria" w:hAnsi="Cambria"/>
          <w:noProof/>
          <w:color w:val="365F91"/>
          <w:sz w:val="24"/>
        </w:rPr>
        <w:sectPr w:rsidR="00515398" w:rsidSect="00271D33">
          <w:headerReference w:type="even" r:id="rId85"/>
          <w:headerReference w:type="default" r:id="rId86"/>
          <w:footerReference w:type="even" r:id="rId87"/>
          <w:footerReference w:type="default" r:id="rId88"/>
          <w:headerReference w:type="first" r:id="rId89"/>
          <w:footerReference w:type="first" r:id="rId90"/>
          <w:pgSz w:w="16839" w:h="11907" w:orient="landscape"/>
          <w:pgMar w:top="720" w:right="720" w:bottom="720" w:left="720" w:header="709" w:footer="709" w:gutter="0"/>
          <w:cols w:space="720"/>
          <w:docGrid w:linePitch="360"/>
        </w:sectPr>
      </w:pPr>
    </w:p>
    <w:p w14:paraId="1D87FD8D" w14:textId="77777777" w:rsidR="00515398" w:rsidRDefault="006711E6">
      <w:pPr>
        <w:pStyle w:val="P68B1DB1-Normal6"/>
        <w:keepNext/>
        <w:keepLines/>
        <w:spacing w:before="240" w:after="0" w:line="240" w:lineRule="auto"/>
        <w:jc w:val="both"/>
        <w:outlineLvl w:val="4"/>
        <w:rPr>
          <w:rFonts w:eastAsia="Times New Roman"/>
          <w:noProof/>
        </w:rPr>
      </w:pPr>
      <w:r>
        <w:rPr>
          <w:noProof/>
        </w:rPr>
        <w:t>Skupina 6 Odpadní vody a vodohospodářská infrastruktura, úspory vody</w:t>
      </w:r>
    </w:p>
    <w:p w14:paraId="0516D468" w14:textId="77777777" w:rsidR="00515398" w:rsidRDefault="006711E6">
      <w:pPr>
        <w:pStyle w:val="P68B1DB1-Normal4"/>
        <w:spacing w:before="120" w:after="120" w:line="240" w:lineRule="auto"/>
        <w:rPr>
          <w:rFonts w:cs="Times New Roman"/>
          <w:noProof/>
        </w:rPr>
      </w:pPr>
      <w:r>
        <w:rPr>
          <w:noProof/>
        </w:rPr>
        <w:t>Opatření zahrnutá do této skupiny jsou:</w:t>
      </w:r>
    </w:p>
    <w:p w14:paraId="57DF4683"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Infrastruktura pro nakládání s městskými odpadními vodami a kalem (ID: 16846)</w:t>
      </w:r>
    </w:p>
    <w:p w14:paraId="2BA0FA4A"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Infrastruktura pro dodávky a úspory pitné vody (ID: 16850)</w:t>
      </w:r>
    </w:p>
    <w:tbl>
      <w:tblPr>
        <w:tblpPr w:leftFromText="180" w:rightFromText="180" w:vertAnchor="text" w:tblpXSpec="center" w:tblpY="1"/>
        <w:tblOverlap w:val="never"/>
        <w:tblW w:w="15276" w:type="dxa"/>
        <w:tblLayout w:type="fixed"/>
        <w:tblLook w:val="04A0" w:firstRow="1" w:lastRow="0" w:firstColumn="1" w:lastColumn="0" w:noHBand="0" w:noVBand="1"/>
      </w:tblPr>
      <w:tblGrid>
        <w:gridCol w:w="1027"/>
        <w:gridCol w:w="1374"/>
        <w:gridCol w:w="1042"/>
        <w:gridCol w:w="1302"/>
        <w:gridCol w:w="1778"/>
        <w:gridCol w:w="866"/>
        <w:gridCol w:w="857"/>
        <w:gridCol w:w="587"/>
        <w:gridCol w:w="1134"/>
        <w:gridCol w:w="709"/>
        <w:gridCol w:w="4600"/>
      </w:tblGrid>
      <w:tr w:rsidR="00515398" w14:paraId="22B2565B" w14:textId="77777777">
        <w:trPr>
          <w:trHeight w:val="939"/>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AEB589"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771BA5"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6C385F"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BB6D88"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65A5CB"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31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79616BE" w14:textId="77777777" w:rsidR="00515398" w:rsidRDefault="006711E6">
            <w:pPr>
              <w:pStyle w:val="P68B1DB1-Normal7"/>
              <w:spacing w:after="0" w:line="240" w:lineRule="auto"/>
              <w:jc w:val="center"/>
              <w:rPr>
                <w:rFonts w:eastAsia="Times New Roman" w:cs="Times New Roman"/>
                <w:bCs/>
                <w:noProof/>
                <w:szCs w:val="18"/>
              </w:rPr>
            </w:pPr>
            <w:r>
              <w:rPr>
                <w:noProof/>
              </w:rPr>
              <w:t>Kv</w:t>
            </w:r>
            <w:r>
              <w:rPr>
                <w:noProof/>
              </w:rPr>
              <w:t>antitativní ukazatele (pro cíle)</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63F34120"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165B1F"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242DCA2B" w14:textId="77777777">
        <w:trPr>
          <w:trHeight w:val="609"/>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EA7AD56" w14:textId="77777777" w:rsidR="00515398" w:rsidRDefault="00515398">
            <w:pPr>
              <w:spacing w:after="0" w:line="240" w:lineRule="auto"/>
              <w:rPr>
                <w:rFonts w:ascii="Times New Roman" w:eastAsia="Times New Roman" w:hAnsi="Times New Roman" w:cs="Times New Roman"/>
                <w:b/>
                <w:bCs/>
                <w:noProof/>
                <w:sz w:val="18"/>
                <w:szCs w:val="18"/>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71B192A2" w14:textId="77777777" w:rsidR="00515398" w:rsidRDefault="00515398">
            <w:pPr>
              <w:spacing w:after="0" w:line="240" w:lineRule="auto"/>
              <w:rPr>
                <w:rFonts w:ascii="Times New Roman" w:eastAsia="Times New Roman" w:hAnsi="Times New Roman" w:cs="Times New Roman"/>
                <w:b/>
                <w:bCs/>
                <w:noProof/>
                <w:sz w:val="18"/>
                <w:szCs w:val="1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44533B40" w14:textId="77777777" w:rsidR="00515398" w:rsidRDefault="00515398">
            <w:pPr>
              <w:spacing w:after="0" w:line="240" w:lineRule="auto"/>
              <w:rPr>
                <w:rFonts w:ascii="Times New Roman" w:eastAsia="Times New Roman" w:hAnsi="Times New Roman" w:cs="Times New Roman"/>
                <w:b/>
                <w:bCs/>
                <w:noProof/>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4814DD64" w14:textId="77777777" w:rsidR="00515398" w:rsidRDefault="00515398">
            <w:pPr>
              <w:spacing w:after="0" w:line="240" w:lineRule="auto"/>
              <w:rPr>
                <w:rFonts w:ascii="Times New Roman" w:eastAsia="Times New Roman" w:hAnsi="Times New Roman" w:cs="Times New Roman"/>
                <w:b/>
                <w:bCs/>
                <w:noProof/>
                <w:sz w:val="18"/>
                <w:szCs w:val="1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637E28AE" w14:textId="77777777" w:rsidR="00515398" w:rsidRDefault="00515398">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9EB95DE"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DE14CC0"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58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74A393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1134" w:type="dxa"/>
            <w:tcBorders>
              <w:top w:val="nil"/>
              <w:left w:val="nil"/>
              <w:bottom w:val="single" w:sz="4" w:space="0" w:color="auto"/>
              <w:right w:val="single" w:sz="4" w:space="0" w:color="auto"/>
            </w:tcBorders>
            <w:shd w:val="clear" w:color="auto" w:fill="BDD7EE"/>
            <w:vAlign w:val="center"/>
            <w:hideMark/>
          </w:tcPr>
          <w:p w14:paraId="6580E5AA"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tcBorders>
              <w:top w:val="nil"/>
              <w:left w:val="nil"/>
              <w:bottom w:val="single" w:sz="4" w:space="0" w:color="auto"/>
              <w:right w:val="single" w:sz="4" w:space="0" w:color="auto"/>
            </w:tcBorders>
            <w:shd w:val="clear" w:color="auto" w:fill="BDD7EE"/>
            <w:vAlign w:val="center"/>
            <w:hideMark/>
          </w:tcPr>
          <w:p w14:paraId="1CF794EF"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600" w:type="dxa"/>
            <w:vMerge/>
            <w:vAlign w:val="center"/>
            <w:hideMark/>
          </w:tcPr>
          <w:p w14:paraId="6119570F"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C35C22C"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BB1A6CC" w14:textId="77777777" w:rsidR="00515398" w:rsidRDefault="006711E6">
            <w:pPr>
              <w:pStyle w:val="P68B1DB1-Normal9"/>
              <w:spacing w:after="0" w:line="240" w:lineRule="auto"/>
              <w:rPr>
                <w:rFonts w:eastAsia="Times New Roman" w:cs="Calibri"/>
                <w:noProof/>
                <w:szCs w:val="18"/>
              </w:rPr>
            </w:pPr>
            <w:r>
              <w:rPr>
                <w:noProof/>
              </w:rPr>
              <w:t>66</w:t>
            </w:r>
          </w:p>
        </w:tc>
        <w:tc>
          <w:tcPr>
            <w:tcW w:w="1374" w:type="dxa"/>
            <w:tcBorders>
              <w:top w:val="single" w:sz="4" w:space="0" w:color="auto"/>
              <w:left w:val="nil"/>
              <w:bottom w:val="single" w:sz="4" w:space="0" w:color="auto"/>
              <w:right w:val="single" w:sz="4" w:space="0" w:color="auto"/>
            </w:tcBorders>
            <w:shd w:val="clear" w:color="auto" w:fill="C6EFCE"/>
            <w:noWrap/>
          </w:tcPr>
          <w:p w14:paraId="3958850D"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odolnost vůči změně klimatu a ochrana životního prostředí – </w:t>
            </w:r>
            <w:r>
              <w:rPr>
                <w:noProof/>
              </w:rPr>
              <w:t>16850_Infrastruktury pro dodávky a úspory pitné vody</w:t>
            </w:r>
          </w:p>
        </w:tc>
        <w:tc>
          <w:tcPr>
            <w:tcW w:w="1042" w:type="dxa"/>
            <w:tcBorders>
              <w:top w:val="single" w:sz="4" w:space="0" w:color="auto"/>
              <w:left w:val="nil"/>
              <w:bottom w:val="single" w:sz="4" w:space="0" w:color="auto"/>
              <w:right w:val="single" w:sz="4" w:space="0" w:color="auto"/>
            </w:tcBorders>
            <w:shd w:val="clear" w:color="auto" w:fill="C6EFCE"/>
            <w:noWrap/>
          </w:tcPr>
          <w:p w14:paraId="13F50C42" w14:textId="77777777" w:rsidR="00515398" w:rsidRDefault="006711E6">
            <w:pPr>
              <w:pStyle w:val="P68B1DB1-Normal9"/>
              <w:spacing w:after="0" w:line="240" w:lineRule="auto"/>
              <w:rPr>
                <w:rFonts w:eastAsia="Times New Roman" w:cs="Calibri"/>
                <w:noProof/>
                <w:szCs w:val="18"/>
              </w:rPr>
            </w:pPr>
            <w:r>
              <w:rPr>
                <w:noProof/>
              </w:rPr>
              <w:t>Milník</w:t>
            </w:r>
          </w:p>
        </w:tc>
        <w:tc>
          <w:tcPr>
            <w:tcW w:w="1302" w:type="dxa"/>
            <w:tcBorders>
              <w:top w:val="single" w:sz="4" w:space="0" w:color="auto"/>
              <w:left w:val="nil"/>
              <w:bottom w:val="single" w:sz="4" w:space="0" w:color="auto"/>
              <w:right w:val="single" w:sz="4" w:space="0" w:color="auto"/>
            </w:tcBorders>
            <w:shd w:val="clear" w:color="auto" w:fill="C6EFCE"/>
            <w:noWrap/>
          </w:tcPr>
          <w:p w14:paraId="3AE3ECDC" w14:textId="77777777" w:rsidR="00515398" w:rsidRDefault="006711E6">
            <w:pPr>
              <w:pStyle w:val="P68B1DB1-Normal9"/>
              <w:spacing w:after="0" w:line="240" w:lineRule="auto"/>
              <w:rPr>
                <w:rFonts w:eastAsia="Times New Roman" w:cs="Calibri"/>
                <w:noProof/>
                <w:szCs w:val="18"/>
              </w:rPr>
            </w:pPr>
            <w:r>
              <w:rPr>
                <w:noProof/>
              </w:rPr>
              <w:t>Schvalování žádostí o vodohospodářské infrastruktury</w:t>
            </w:r>
          </w:p>
        </w:tc>
        <w:tc>
          <w:tcPr>
            <w:tcW w:w="1778" w:type="dxa"/>
            <w:tcBorders>
              <w:top w:val="single" w:sz="4" w:space="0" w:color="auto"/>
              <w:left w:val="nil"/>
              <w:bottom w:val="single" w:sz="4" w:space="0" w:color="auto"/>
              <w:right w:val="single" w:sz="4" w:space="0" w:color="auto"/>
            </w:tcBorders>
            <w:shd w:val="clear" w:color="auto" w:fill="C6EFCE"/>
            <w:noWrap/>
          </w:tcPr>
          <w:p w14:paraId="55028631" w14:textId="77777777" w:rsidR="00515398" w:rsidRDefault="006711E6">
            <w:pPr>
              <w:pStyle w:val="P68B1DB1-Normal9"/>
              <w:spacing w:after="0" w:line="240" w:lineRule="auto"/>
              <w:rPr>
                <w:rFonts w:eastAsia="Times New Roman" w:cs="Calibri"/>
                <w:noProof/>
                <w:szCs w:val="18"/>
              </w:rPr>
            </w:pPr>
            <w:r>
              <w:rPr>
                <w:noProof/>
              </w:rPr>
              <w:t>Žádosti schválené Ministerstvem životního prostředí a energetiky</w:t>
            </w:r>
          </w:p>
        </w:tc>
        <w:tc>
          <w:tcPr>
            <w:tcW w:w="866" w:type="dxa"/>
            <w:tcBorders>
              <w:top w:val="single" w:sz="4" w:space="0" w:color="auto"/>
              <w:left w:val="nil"/>
              <w:bottom w:val="single" w:sz="4" w:space="0" w:color="auto"/>
              <w:right w:val="single" w:sz="4" w:space="0" w:color="auto"/>
            </w:tcBorders>
            <w:shd w:val="clear" w:color="auto" w:fill="C6EFCE"/>
            <w:noWrap/>
          </w:tcPr>
          <w:p w14:paraId="5CE2F092"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9340B07"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C97B3EE" w14:textId="77777777" w:rsidR="00515398" w:rsidRDefault="00515398">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52DE87A1" w14:textId="77777777" w:rsidR="00515398" w:rsidRDefault="006711E6">
            <w:pPr>
              <w:pStyle w:val="P68B1DB1-Normal9"/>
              <w:spacing w:after="0" w:line="240" w:lineRule="auto"/>
              <w:rPr>
                <w:rFonts w:eastAsia="Times New Roman" w:cs="Calibri"/>
                <w:noProof/>
                <w:szCs w:val="18"/>
              </w:rPr>
            </w:pPr>
            <w:r>
              <w:rPr>
                <w:noProof/>
              </w:rPr>
              <w:t>ČTVRTLETÍ</w:t>
            </w:r>
          </w:p>
        </w:tc>
        <w:tc>
          <w:tcPr>
            <w:tcW w:w="709" w:type="dxa"/>
            <w:tcBorders>
              <w:top w:val="nil"/>
              <w:left w:val="nil"/>
              <w:bottom w:val="single" w:sz="4" w:space="0" w:color="auto"/>
              <w:right w:val="single" w:sz="4" w:space="0" w:color="auto"/>
            </w:tcBorders>
            <w:shd w:val="clear" w:color="auto" w:fill="C6EFCE"/>
            <w:noWrap/>
          </w:tcPr>
          <w:p w14:paraId="3E0600FB" w14:textId="77777777" w:rsidR="00515398" w:rsidRDefault="006711E6">
            <w:pPr>
              <w:pStyle w:val="P68B1DB1-Normal9"/>
              <w:spacing w:after="0" w:line="240" w:lineRule="auto"/>
              <w:rPr>
                <w:rFonts w:eastAsia="Times New Roman" w:cs="Calibri"/>
                <w:noProof/>
                <w:szCs w:val="18"/>
              </w:rPr>
            </w:pPr>
            <w:r>
              <w:rPr>
                <w:noProof/>
              </w:rPr>
              <w:t>2023</w:t>
            </w:r>
          </w:p>
        </w:tc>
        <w:tc>
          <w:tcPr>
            <w:tcW w:w="4600" w:type="dxa"/>
            <w:tcBorders>
              <w:top w:val="single" w:sz="4" w:space="0" w:color="auto"/>
              <w:left w:val="nil"/>
              <w:bottom w:val="single" w:sz="4" w:space="0" w:color="auto"/>
              <w:right w:val="single" w:sz="4" w:space="0" w:color="auto"/>
            </w:tcBorders>
            <w:shd w:val="clear" w:color="auto" w:fill="C6EFCE"/>
            <w:noWrap/>
          </w:tcPr>
          <w:p w14:paraId="076080B1" w14:textId="77777777" w:rsidR="00515398" w:rsidRDefault="006711E6">
            <w:pPr>
              <w:pStyle w:val="P68B1DB1-Normal10"/>
              <w:spacing w:after="0" w:line="240" w:lineRule="auto"/>
              <w:rPr>
                <w:rFonts w:asciiTheme="minorHAnsi" w:eastAsiaTheme="minorEastAsia" w:hAnsiTheme="minorHAnsi" w:cstheme="minorBidi"/>
                <w:noProof/>
              </w:rPr>
            </w:pPr>
            <w:r>
              <w:rPr>
                <w:noProof/>
              </w:rPr>
              <w:t xml:space="preserve">Vydání výzvy k vyjádření zájmu o projekty vodohospodářské </w:t>
            </w:r>
            <w:r>
              <w:rPr>
                <w:noProof/>
              </w:rPr>
              <w:t>infrastruktury, která bude zahrnovat tyto požadavky:  i) u nově vybudovaných systémů s indexem úniků z infrastruktury (ILI), který musí být menší nebo roven 1,5 ii) u renovačních činností za účelem snížení úniku o více než 20 % nebo snížení průměrné spotře</w:t>
            </w:r>
            <w:r>
              <w:rPr>
                <w:noProof/>
              </w:rPr>
              <w:t>by energie o více než 20 % a iii) u odsolovacích zařízení, která mají být připojena k obnovitelným zdrojům energie a jejichž průměrná spotřeba energie musí být nižší nebo rovna 0,5 kWh.</w:t>
            </w:r>
          </w:p>
        </w:tc>
      </w:tr>
      <w:tr w:rsidR="00515398" w14:paraId="046D10FB" w14:textId="77777777">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5566CA7B" w14:textId="77777777" w:rsidR="00515398" w:rsidRDefault="006711E6">
            <w:pPr>
              <w:pStyle w:val="P68B1DB1-Normal9"/>
              <w:spacing w:after="0" w:line="240" w:lineRule="auto"/>
              <w:rPr>
                <w:rFonts w:eastAsia="Times New Roman" w:cs="Calibri"/>
                <w:noProof/>
                <w:szCs w:val="18"/>
              </w:rPr>
            </w:pPr>
            <w:r>
              <w:rPr>
                <w:noProof/>
              </w:rPr>
              <w:t>68</w:t>
            </w:r>
          </w:p>
        </w:tc>
        <w:tc>
          <w:tcPr>
            <w:tcW w:w="1374" w:type="dxa"/>
            <w:tcBorders>
              <w:top w:val="nil"/>
              <w:left w:val="nil"/>
              <w:bottom w:val="single" w:sz="4" w:space="0" w:color="auto"/>
              <w:right w:val="single" w:sz="4" w:space="0" w:color="auto"/>
            </w:tcBorders>
            <w:shd w:val="clear" w:color="auto" w:fill="C6EFCE"/>
            <w:noWrap/>
          </w:tcPr>
          <w:p w14:paraId="6372A8DF"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odolnost vůči změně klimatu a </w:t>
            </w:r>
            <w:r>
              <w:rPr>
                <w:noProof/>
              </w:rPr>
              <w:t>ochrana životního prostředí – 16846_ Infrastruktury pro nakládání s městskými odpadními vodami a kaly z čištění odpadních vod</w:t>
            </w:r>
          </w:p>
        </w:tc>
        <w:tc>
          <w:tcPr>
            <w:tcW w:w="1042" w:type="dxa"/>
            <w:tcBorders>
              <w:top w:val="nil"/>
              <w:left w:val="nil"/>
              <w:bottom w:val="single" w:sz="4" w:space="0" w:color="auto"/>
              <w:right w:val="single" w:sz="4" w:space="0" w:color="auto"/>
            </w:tcBorders>
            <w:shd w:val="clear" w:color="auto" w:fill="C6EFCE"/>
            <w:noWrap/>
          </w:tcPr>
          <w:p w14:paraId="40C56B32" w14:textId="77777777" w:rsidR="00515398" w:rsidRDefault="006711E6">
            <w:pPr>
              <w:pStyle w:val="P68B1DB1-Normal9"/>
              <w:spacing w:after="0" w:line="240" w:lineRule="auto"/>
              <w:rPr>
                <w:rFonts w:eastAsia="Times New Roman" w:cs="Calibri"/>
                <w:noProof/>
                <w:szCs w:val="18"/>
              </w:rPr>
            </w:pPr>
            <w:r>
              <w:rPr>
                <w:noProof/>
              </w:rPr>
              <w:t>Milník</w:t>
            </w:r>
          </w:p>
        </w:tc>
        <w:tc>
          <w:tcPr>
            <w:tcW w:w="1302" w:type="dxa"/>
            <w:tcBorders>
              <w:top w:val="nil"/>
              <w:left w:val="nil"/>
              <w:bottom w:val="single" w:sz="4" w:space="0" w:color="auto"/>
              <w:right w:val="single" w:sz="4" w:space="0" w:color="auto"/>
            </w:tcBorders>
            <w:shd w:val="clear" w:color="auto" w:fill="C6EFCE"/>
            <w:noWrap/>
          </w:tcPr>
          <w:p w14:paraId="70AE447D" w14:textId="77777777" w:rsidR="00515398" w:rsidRDefault="006711E6">
            <w:pPr>
              <w:pStyle w:val="P68B1DB1-Normal9"/>
              <w:spacing w:after="0" w:line="240" w:lineRule="auto"/>
              <w:rPr>
                <w:rFonts w:eastAsia="Times New Roman" w:cs="Calibri"/>
                <w:noProof/>
                <w:szCs w:val="18"/>
              </w:rPr>
            </w:pPr>
            <w:r>
              <w:rPr>
                <w:noProof/>
              </w:rPr>
              <w:t>Oznámení o zadání zakázky na projekty v oblasti odpadních vod</w:t>
            </w:r>
          </w:p>
        </w:tc>
        <w:tc>
          <w:tcPr>
            <w:tcW w:w="1778" w:type="dxa"/>
            <w:tcBorders>
              <w:top w:val="nil"/>
              <w:left w:val="nil"/>
              <w:bottom w:val="single" w:sz="4" w:space="0" w:color="auto"/>
              <w:right w:val="single" w:sz="4" w:space="0" w:color="auto"/>
            </w:tcBorders>
            <w:shd w:val="clear" w:color="auto" w:fill="C6EFCE"/>
            <w:noWrap/>
          </w:tcPr>
          <w:p w14:paraId="68865BC1" w14:textId="77777777" w:rsidR="00515398" w:rsidRDefault="006711E6">
            <w:pPr>
              <w:pStyle w:val="P68B1DB1-Normal9"/>
              <w:spacing w:after="0" w:line="240" w:lineRule="auto"/>
              <w:rPr>
                <w:rFonts w:eastAsia="Times New Roman" w:cs="Calibri"/>
                <w:noProof/>
                <w:szCs w:val="18"/>
              </w:rPr>
            </w:pPr>
            <w:r>
              <w:rPr>
                <w:noProof/>
              </w:rPr>
              <w:t>Oznámení o zadání všech zakázek</w:t>
            </w:r>
          </w:p>
        </w:tc>
        <w:tc>
          <w:tcPr>
            <w:tcW w:w="866" w:type="dxa"/>
            <w:tcBorders>
              <w:top w:val="nil"/>
              <w:left w:val="nil"/>
              <w:bottom w:val="single" w:sz="4" w:space="0" w:color="auto"/>
              <w:right w:val="single" w:sz="4" w:space="0" w:color="auto"/>
            </w:tcBorders>
            <w:shd w:val="clear" w:color="auto" w:fill="C6EFCE"/>
            <w:noWrap/>
          </w:tcPr>
          <w:p w14:paraId="057AEE22"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80E3ADC"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4F4DFB7" w14:textId="77777777" w:rsidR="00515398" w:rsidRDefault="00515398">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3137487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30E501E2" w14:textId="77777777" w:rsidR="00515398" w:rsidRDefault="006711E6">
            <w:pPr>
              <w:pStyle w:val="P68B1DB1-Normal9"/>
              <w:spacing w:after="0" w:line="240" w:lineRule="auto"/>
              <w:rPr>
                <w:rFonts w:eastAsia="Times New Roman" w:cs="Calibri"/>
                <w:noProof/>
                <w:szCs w:val="18"/>
              </w:rPr>
            </w:pPr>
            <w:r>
              <w:rPr>
                <w:noProof/>
              </w:rPr>
              <w:t>2023</w:t>
            </w:r>
          </w:p>
        </w:tc>
        <w:tc>
          <w:tcPr>
            <w:tcW w:w="4600" w:type="dxa"/>
            <w:tcBorders>
              <w:top w:val="nil"/>
              <w:left w:val="nil"/>
              <w:bottom w:val="single" w:sz="4" w:space="0" w:color="auto"/>
              <w:right w:val="single" w:sz="4" w:space="0" w:color="auto"/>
            </w:tcBorders>
            <w:shd w:val="clear" w:color="auto" w:fill="C6EFCE"/>
            <w:noWrap/>
          </w:tcPr>
          <w:p w14:paraId="5C861B75" w14:textId="77777777" w:rsidR="00515398" w:rsidRDefault="006711E6">
            <w:pPr>
              <w:pStyle w:val="P68B1DB1-Normal9"/>
              <w:spacing w:after="0" w:line="240" w:lineRule="auto"/>
              <w:rPr>
                <w:rFonts w:eastAsia="Times New Roman" w:cs="Calibri"/>
                <w:noProof/>
                <w:szCs w:val="18"/>
              </w:rPr>
            </w:pPr>
            <w:r>
              <w:rPr>
                <w:noProof/>
              </w:rPr>
              <w:t>Oznám</w:t>
            </w:r>
            <w:r>
              <w:rPr>
                <w:noProof/>
              </w:rPr>
              <w:t>ení o zadání zakázky na projekty nakládání s odpadními vodami a kaly:</w:t>
            </w:r>
          </w:p>
          <w:p w14:paraId="1FD847F9" w14:textId="77777777" w:rsidR="00515398" w:rsidRDefault="006711E6">
            <w:pPr>
              <w:pStyle w:val="P68B1DB1-Normal9"/>
              <w:spacing w:after="0" w:line="240" w:lineRule="auto"/>
              <w:rPr>
                <w:rFonts w:eastAsia="Times New Roman" w:cs="Calibri"/>
                <w:noProof/>
                <w:szCs w:val="18"/>
              </w:rPr>
            </w:pPr>
            <w:r>
              <w:rPr>
                <w:noProof/>
              </w:rPr>
              <w:t>1. Infrastruktura kanalizačních sítí a čistírny odpadních vod.</w:t>
            </w:r>
          </w:p>
          <w:p w14:paraId="474DE796" w14:textId="77777777" w:rsidR="00515398" w:rsidRDefault="006711E6">
            <w:pPr>
              <w:pStyle w:val="P68B1DB1-Normal9"/>
              <w:spacing w:after="0" w:line="240" w:lineRule="auto"/>
              <w:rPr>
                <w:rFonts w:eastAsia="Times New Roman" w:cs="Calibri"/>
                <w:noProof/>
                <w:szCs w:val="18"/>
              </w:rPr>
            </w:pPr>
            <w:r>
              <w:rPr>
                <w:noProof/>
              </w:rPr>
              <w:t>2. Modernizace, rozšíření a modernizace čistíren odpadních vod a opětovné využívání vyčištěné vody.</w:t>
            </w:r>
          </w:p>
          <w:p w14:paraId="12BA2DF3" w14:textId="77777777" w:rsidR="00515398" w:rsidRDefault="006711E6">
            <w:pPr>
              <w:pStyle w:val="P68B1DB1-Normal9"/>
              <w:spacing w:after="0" w:line="240" w:lineRule="auto"/>
              <w:rPr>
                <w:rFonts w:eastAsia="Times New Roman" w:cs="Calibri"/>
                <w:noProof/>
                <w:szCs w:val="18"/>
              </w:rPr>
            </w:pPr>
            <w:r>
              <w:rPr>
                <w:noProof/>
              </w:rPr>
              <w:t>3. Zavádění infrastrukt</w:t>
            </w:r>
            <w:r>
              <w:rPr>
                <w:noProof/>
              </w:rPr>
              <w:t>ury pro nakládání s kaly z čistíren odpadních vod.</w:t>
            </w:r>
          </w:p>
          <w:p w14:paraId="0B818F8F" w14:textId="77777777" w:rsidR="00515398" w:rsidRDefault="00515398">
            <w:pPr>
              <w:spacing w:after="0" w:line="240" w:lineRule="auto"/>
              <w:rPr>
                <w:rFonts w:eastAsia="Times New Roman" w:cs="Calibri"/>
                <w:noProof/>
                <w:color w:val="006100"/>
                <w:sz w:val="18"/>
                <w:szCs w:val="18"/>
              </w:rPr>
            </w:pPr>
          </w:p>
        </w:tc>
      </w:tr>
      <w:tr w:rsidR="00515398" w14:paraId="20A9F924" w14:textId="77777777">
        <w:trPr>
          <w:trHeight w:val="313"/>
        </w:trPr>
        <w:tc>
          <w:tcPr>
            <w:tcW w:w="1027" w:type="dxa"/>
            <w:tcBorders>
              <w:top w:val="nil"/>
              <w:left w:val="single" w:sz="4" w:space="0" w:color="auto"/>
              <w:bottom w:val="single" w:sz="4" w:space="0" w:color="auto"/>
              <w:right w:val="single" w:sz="4" w:space="0" w:color="auto"/>
            </w:tcBorders>
            <w:shd w:val="clear" w:color="auto" w:fill="C6EFCE"/>
            <w:noWrap/>
          </w:tcPr>
          <w:p w14:paraId="47514CD4" w14:textId="77777777" w:rsidR="00515398" w:rsidRDefault="006711E6">
            <w:pPr>
              <w:pStyle w:val="P68B1DB1-Normal9"/>
              <w:spacing w:after="0" w:line="240" w:lineRule="auto"/>
              <w:rPr>
                <w:rFonts w:eastAsia="Times New Roman" w:cs="Calibri"/>
                <w:noProof/>
                <w:szCs w:val="18"/>
              </w:rPr>
            </w:pPr>
            <w:r>
              <w:rPr>
                <w:noProof/>
              </w:rPr>
              <w:t>73</w:t>
            </w:r>
          </w:p>
        </w:tc>
        <w:tc>
          <w:tcPr>
            <w:tcW w:w="1374" w:type="dxa"/>
            <w:tcBorders>
              <w:top w:val="nil"/>
              <w:left w:val="nil"/>
              <w:bottom w:val="single" w:sz="4" w:space="0" w:color="auto"/>
              <w:right w:val="single" w:sz="4" w:space="0" w:color="auto"/>
            </w:tcBorders>
            <w:shd w:val="clear" w:color="auto" w:fill="C6EFCE"/>
            <w:noWrap/>
          </w:tcPr>
          <w:p w14:paraId="14FD4619" w14:textId="77777777" w:rsidR="00515398" w:rsidRDefault="006711E6">
            <w:pPr>
              <w:pStyle w:val="P68B1DB1-Normal9"/>
              <w:spacing w:after="0" w:line="240" w:lineRule="auto"/>
              <w:rPr>
                <w:rFonts w:eastAsia="Times New Roman" w:cs="Calibri"/>
                <w:noProof/>
                <w:szCs w:val="18"/>
              </w:rPr>
            </w:pPr>
            <w:r>
              <w:rPr>
                <w:noProof/>
              </w:rPr>
              <w:t>4–1.4. Udržitelné využívání zdrojů, odolnost vůči změně klimatu a ochrana životního prostředí – 16846_ Infrastruktury pro nakládání s městskými odpadními vodami a kaly z čištění odpadních vod</w:t>
            </w:r>
          </w:p>
        </w:tc>
        <w:tc>
          <w:tcPr>
            <w:tcW w:w="1042" w:type="dxa"/>
            <w:tcBorders>
              <w:top w:val="nil"/>
              <w:left w:val="nil"/>
              <w:bottom w:val="single" w:sz="4" w:space="0" w:color="auto"/>
              <w:right w:val="single" w:sz="4" w:space="0" w:color="auto"/>
            </w:tcBorders>
            <w:shd w:val="clear" w:color="auto" w:fill="C6EFCE"/>
            <w:noWrap/>
          </w:tcPr>
          <w:p w14:paraId="5376E1D5" w14:textId="77777777" w:rsidR="00515398" w:rsidRDefault="006711E6">
            <w:pPr>
              <w:pStyle w:val="P68B1DB1-Normal9"/>
              <w:spacing w:after="0" w:line="240" w:lineRule="auto"/>
              <w:rPr>
                <w:rFonts w:eastAsia="Times New Roman" w:cs="Calibri"/>
                <w:noProof/>
                <w:szCs w:val="18"/>
              </w:rPr>
            </w:pPr>
            <w:r>
              <w:rPr>
                <w:noProof/>
              </w:rPr>
              <w:t>Milník</w:t>
            </w:r>
          </w:p>
        </w:tc>
        <w:tc>
          <w:tcPr>
            <w:tcW w:w="1302" w:type="dxa"/>
            <w:tcBorders>
              <w:top w:val="nil"/>
              <w:left w:val="nil"/>
              <w:bottom w:val="single" w:sz="4" w:space="0" w:color="auto"/>
              <w:right w:val="single" w:sz="4" w:space="0" w:color="auto"/>
            </w:tcBorders>
            <w:shd w:val="clear" w:color="auto" w:fill="C6EFCE"/>
            <w:noWrap/>
          </w:tcPr>
          <w:p w14:paraId="12C27D6D" w14:textId="77777777" w:rsidR="00515398" w:rsidRDefault="006711E6">
            <w:pPr>
              <w:pStyle w:val="P68B1DB1-Normal9"/>
              <w:spacing w:after="0" w:line="240" w:lineRule="auto"/>
              <w:rPr>
                <w:rFonts w:eastAsia="Times New Roman" w:cs="Calibri"/>
                <w:noProof/>
                <w:szCs w:val="18"/>
              </w:rPr>
            </w:pPr>
            <w:r>
              <w:rPr>
                <w:noProof/>
              </w:rPr>
              <w:t>Dokončení infrastruktury pro nakládání s městskými odpadními vodami a kalem</w:t>
            </w:r>
          </w:p>
        </w:tc>
        <w:tc>
          <w:tcPr>
            <w:tcW w:w="1778" w:type="dxa"/>
            <w:tcBorders>
              <w:top w:val="nil"/>
              <w:left w:val="nil"/>
              <w:bottom w:val="single" w:sz="4" w:space="0" w:color="auto"/>
              <w:right w:val="single" w:sz="4" w:space="0" w:color="auto"/>
            </w:tcBorders>
            <w:shd w:val="clear" w:color="auto" w:fill="C6EFCE"/>
            <w:noWrap/>
          </w:tcPr>
          <w:p w14:paraId="4A52784B" w14:textId="346C9B60" w:rsidR="00515398" w:rsidRDefault="006711E6">
            <w:pPr>
              <w:pStyle w:val="P68B1DB1-Normal10"/>
              <w:spacing w:after="0" w:line="240" w:lineRule="auto"/>
              <w:rPr>
                <w:rFonts w:eastAsia="Times New Roman" w:cs="Calibri"/>
                <w:noProof/>
              </w:rPr>
            </w:pPr>
            <w:r>
              <w:rPr>
                <w:noProof/>
              </w:rPr>
              <w:t>Dokončení prací</w:t>
            </w:r>
          </w:p>
        </w:tc>
        <w:tc>
          <w:tcPr>
            <w:tcW w:w="866" w:type="dxa"/>
            <w:tcBorders>
              <w:top w:val="nil"/>
              <w:left w:val="nil"/>
              <w:bottom w:val="single" w:sz="4" w:space="0" w:color="auto"/>
              <w:right w:val="single" w:sz="4" w:space="0" w:color="auto"/>
            </w:tcBorders>
            <w:shd w:val="clear" w:color="auto" w:fill="C6EFCE"/>
            <w:noWrap/>
          </w:tcPr>
          <w:p w14:paraId="58DDA9D7"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AC979B7"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2E4F4ECD" w14:textId="77777777" w:rsidR="00515398" w:rsidRDefault="00515398">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338EE8D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0C8735D5" w14:textId="77777777" w:rsidR="00515398" w:rsidRDefault="006711E6">
            <w:pPr>
              <w:pStyle w:val="P68B1DB1-Normal9"/>
              <w:spacing w:after="0" w:line="240" w:lineRule="auto"/>
              <w:rPr>
                <w:rFonts w:eastAsia="Times New Roman" w:cs="Calibri"/>
                <w:noProof/>
                <w:szCs w:val="18"/>
              </w:rPr>
            </w:pPr>
            <w:r>
              <w:rPr>
                <w:noProof/>
              </w:rPr>
              <w:t>2025</w:t>
            </w:r>
          </w:p>
        </w:tc>
        <w:tc>
          <w:tcPr>
            <w:tcW w:w="4600" w:type="dxa"/>
            <w:tcBorders>
              <w:top w:val="nil"/>
              <w:left w:val="nil"/>
              <w:bottom w:val="single" w:sz="4" w:space="0" w:color="auto"/>
              <w:right w:val="single" w:sz="4" w:space="0" w:color="auto"/>
            </w:tcBorders>
            <w:shd w:val="clear" w:color="auto" w:fill="C6EFCE"/>
            <w:noWrap/>
          </w:tcPr>
          <w:p w14:paraId="3A28E8EC" w14:textId="77777777" w:rsidR="00515398" w:rsidRDefault="006711E6">
            <w:pPr>
              <w:pStyle w:val="P68B1DB1-Normal9"/>
              <w:spacing w:after="0" w:line="240" w:lineRule="auto"/>
              <w:rPr>
                <w:rFonts w:eastAsia="Times New Roman" w:cs="Calibri"/>
                <w:noProof/>
                <w:szCs w:val="18"/>
              </w:rPr>
            </w:pPr>
            <w:r>
              <w:rPr>
                <w:noProof/>
              </w:rPr>
              <w:t xml:space="preserve">Dokončení všech projektů nakládání s městskými odpadními vodami a kaly: </w:t>
            </w:r>
          </w:p>
          <w:p w14:paraId="4E7C7695" w14:textId="77777777" w:rsidR="00515398" w:rsidRDefault="006711E6">
            <w:pPr>
              <w:pStyle w:val="P68B1DB1-Normal9"/>
              <w:spacing w:after="0" w:line="240" w:lineRule="auto"/>
              <w:rPr>
                <w:rFonts w:eastAsia="Times New Roman" w:cs="Calibri"/>
                <w:noProof/>
                <w:szCs w:val="18"/>
              </w:rPr>
            </w:pPr>
            <w:r>
              <w:rPr>
                <w:noProof/>
              </w:rPr>
              <w:t>1. Infrastruktura kanalizační sítě a čistírny odpadních vod;</w:t>
            </w:r>
          </w:p>
          <w:p w14:paraId="17DE0B99" w14:textId="77777777" w:rsidR="00515398" w:rsidRDefault="006711E6">
            <w:pPr>
              <w:pStyle w:val="P68B1DB1-Normal9"/>
              <w:spacing w:after="0" w:line="240" w:lineRule="auto"/>
              <w:rPr>
                <w:rFonts w:eastAsia="Times New Roman" w:cs="Calibri"/>
                <w:noProof/>
                <w:szCs w:val="18"/>
              </w:rPr>
            </w:pPr>
            <w:r>
              <w:rPr>
                <w:noProof/>
              </w:rPr>
              <w:t>2. Mod</w:t>
            </w:r>
            <w:r>
              <w:rPr>
                <w:noProof/>
              </w:rPr>
              <w:t>ernizace, rozšíření a modernizace čistíren odpadních vod a opětovné využívání vyčištěné vody; a pokud</w:t>
            </w:r>
          </w:p>
          <w:p w14:paraId="3C6F9B6A" w14:textId="77777777" w:rsidR="00515398" w:rsidRDefault="006711E6">
            <w:pPr>
              <w:pStyle w:val="P68B1DB1-Normal9"/>
              <w:spacing w:after="0" w:line="240" w:lineRule="auto"/>
              <w:rPr>
                <w:rFonts w:eastAsia="Times New Roman" w:cs="Calibri"/>
                <w:noProof/>
                <w:szCs w:val="18"/>
              </w:rPr>
            </w:pPr>
            <w:r>
              <w:rPr>
                <w:noProof/>
              </w:rPr>
              <w:t>3. Zavádění infrastruktury pro nakládání s kaly z čistíren odpadních vod.</w:t>
            </w:r>
          </w:p>
        </w:tc>
      </w:tr>
      <w:tr w:rsidR="00515398" w14:paraId="4823D228" w14:textId="77777777">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3C7A66E" w14:textId="77777777" w:rsidR="00515398" w:rsidRDefault="006711E6">
            <w:pPr>
              <w:pStyle w:val="P68B1DB1-Normal9"/>
              <w:spacing w:after="0" w:line="240" w:lineRule="auto"/>
              <w:rPr>
                <w:rFonts w:eastAsia="Times New Roman" w:cs="Calibri"/>
                <w:noProof/>
                <w:szCs w:val="18"/>
              </w:rPr>
            </w:pPr>
            <w:r>
              <w:rPr>
                <w:noProof/>
              </w:rPr>
              <w:t>74</w:t>
            </w:r>
          </w:p>
        </w:tc>
        <w:tc>
          <w:tcPr>
            <w:tcW w:w="1374" w:type="dxa"/>
            <w:tcBorders>
              <w:top w:val="single" w:sz="4" w:space="0" w:color="auto"/>
              <w:left w:val="nil"/>
              <w:bottom w:val="single" w:sz="4" w:space="0" w:color="auto"/>
              <w:right w:val="single" w:sz="4" w:space="0" w:color="auto"/>
            </w:tcBorders>
            <w:shd w:val="clear" w:color="auto" w:fill="C6EFCE"/>
            <w:noWrap/>
          </w:tcPr>
          <w:p w14:paraId="0D48A753" w14:textId="77777777" w:rsidR="00515398" w:rsidRDefault="006711E6">
            <w:pPr>
              <w:pStyle w:val="P68B1DB1-Normal9"/>
              <w:spacing w:after="0" w:line="240" w:lineRule="auto"/>
              <w:rPr>
                <w:rFonts w:eastAsia="Times New Roman" w:cs="Calibri"/>
                <w:noProof/>
                <w:szCs w:val="18"/>
              </w:rPr>
            </w:pPr>
            <w:r>
              <w:rPr>
                <w:noProof/>
              </w:rPr>
              <w:t xml:space="preserve">4–1.4. Udržitelné využívání zdrojů, odolnost vůči změně klimatu a ochrana </w:t>
            </w:r>
            <w:r>
              <w:rPr>
                <w:noProof/>
              </w:rPr>
              <w:t>životního prostředí – 16850_Infrastruktury pro dodávky a úspory pitné vody</w:t>
            </w:r>
          </w:p>
        </w:tc>
        <w:tc>
          <w:tcPr>
            <w:tcW w:w="1042" w:type="dxa"/>
            <w:tcBorders>
              <w:top w:val="single" w:sz="4" w:space="0" w:color="auto"/>
              <w:left w:val="nil"/>
              <w:bottom w:val="single" w:sz="4" w:space="0" w:color="auto"/>
              <w:right w:val="single" w:sz="4" w:space="0" w:color="auto"/>
            </w:tcBorders>
            <w:shd w:val="clear" w:color="auto" w:fill="C6EFCE"/>
            <w:noWrap/>
          </w:tcPr>
          <w:p w14:paraId="3747DB11" w14:textId="77777777" w:rsidR="00515398" w:rsidRDefault="006711E6">
            <w:pPr>
              <w:pStyle w:val="P68B1DB1-Normal9"/>
              <w:spacing w:after="0" w:line="240" w:lineRule="auto"/>
              <w:rPr>
                <w:rFonts w:eastAsia="Times New Roman" w:cs="Calibri"/>
                <w:noProof/>
                <w:szCs w:val="18"/>
              </w:rPr>
            </w:pPr>
            <w:r>
              <w:rPr>
                <w:noProof/>
              </w:rPr>
              <w:t>Milník</w:t>
            </w:r>
          </w:p>
        </w:tc>
        <w:tc>
          <w:tcPr>
            <w:tcW w:w="1302" w:type="dxa"/>
            <w:tcBorders>
              <w:top w:val="single" w:sz="4" w:space="0" w:color="auto"/>
              <w:left w:val="nil"/>
              <w:bottom w:val="single" w:sz="4" w:space="0" w:color="auto"/>
              <w:right w:val="single" w:sz="4" w:space="0" w:color="auto"/>
            </w:tcBorders>
            <w:shd w:val="clear" w:color="auto" w:fill="C6EFCE"/>
            <w:noWrap/>
          </w:tcPr>
          <w:p w14:paraId="5AABF2B1" w14:textId="77777777" w:rsidR="00515398" w:rsidRDefault="006711E6">
            <w:pPr>
              <w:pStyle w:val="P68B1DB1-Normal9"/>
              <w:spacing w:after="0" w:line="240" w:lineRule="auto"/>
              <w:rPr>
                <w:rFonts w:eastAsia="Times New Roman" w:cs="Calibri"/>
                <w:noProof/>
                <w:szCs w:val="18"/>
              </w:rPr>
            </w:pPr>
            <w:r>
              <w:rPr>
                <w:noProof/>
              </w:rPr>
              <w:t>Dokončení vodohospodářské infrastruktury</w:t>
            </w:r>
          </w:p>
        </w:tc>
        <w:tc>
          <w:tcPr>
            <w:tcW w:w="1778" w:type="dxa"/>
            <w:tcBorders>
              <w:top w:val="single" w:sz="4" w:space="0" w:color="auto"/>
              <w:left w:val="nil"/>
              <w:bottom w:val="single" w:sz="4" w:space="0" w:color="auto"/>
              <w:right w:val="single" w:sz="4" w:space="0" w:color="auto"/>
            </w:tcBorders>
            <w:shd w:val="clear" w:color="auto" w:fill="C6EFCE"/>
            <w:noWrap/>
          </w:tcPr>
          <w:p w14:paraId="118A5023" w14:textId="45916E91" w:rsidR="00515398" w:rsidRDefault="006711E6">
            <w:pPr>
              <w:pStyle w:val="P68B1DB1-Normal10"/>
              <w:spacing w:after="0" w:line="240" w:lineRule="auto"/>
              <w:rPr>
                <w:rFonts w:eastAsia="Times New Roman" w:cs="Calibri"/>
                <w:noProof/>
              </w:rPr>
            </w:pPr>
            <w:r>
              <w:rPr>
                <w:noProof/>
              </w:rPr>
              <w:t>Dokončení prací</w:t>
            </w:r>
          </w:p>
        </w:tc>
        <w:tc>
          <w:tcPr>
            <w:tcW w:w="866" w:type="dxa"/>
            <w:tcBorders>
              <w:top w:val="single" w:sz="4" w:space="0" w:color="auto"/>
              <w:left w:val="nil"/>
              <w:bottom w:val="single" w:sz="4" w:space="0" w:color="auto"/>
              <w:right w:val="single" w:sz="4" w:space="0" w:color="auto"/>
            </w:tcBorders>
            <w:shd w:val="clear" w:color="auto" w:fill="C6EFCE"/>
            <w:noWrap/>
          </w:tcPr>
          <w:p w14:paraId="02310E68"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F026E65"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0B51DE88"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ED2B69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54B46925" w14:textId="77777777" w:rsidR="00515398" w:rsidRDefault="006711E6">
            <w:pPr>
              <w:pStyle w:val="P68B1DB1-Normal9"/>
              <w:spacing w:after="0" w:line="240" w:lineRule="auto"/>
              <w:rPr>
                <w:rFonts w:eastAsia="Times New Roman" w:cs="Calibri"/>
                <w:noProof/>
                <w:szCs w:val="18"/>
              </w:rPr>
            </w:pPr>
            <w:r>
              <w:rPr>
                <w:noProof/>
              </w:rPr>
              <w:t>2025</w:t>
            </w:r>
          </w:p>
        </w:tc>
        <w:tc>
          <w:tcPr>
            <w:tcW w:w="4600" w:type="dxa"/>
            <w:tcBorders>
              <w:top w:val="single" w:sz="4" w:space="0" w:color="auto"/>
              <w:left w:val="nil"/>
              <w:bottom w:val="single" w:sz="4" w:space="0" w:color="auto"/>
              <w:right w:val="single" w:sz="4" w:space="0" w:color="auto"/>
            </w:tcBorders>
            <w:shd w:val="clear" w:color="auto" w:fill="C6EFCE"/>
            <w:noWrap/>
          </w:tcPr>
          <w:p w14:paraId="28328E8E" w14:textId="774B9AF5" w:rsidR="00515398" w:rsidRDefault="006711E6">
            <w:pPr>
              <w:pStyle w:val="P68B1DB1-Normal9"/>
              <w:spacing w:after="0" w:line="240" w:lineRule="auto"/>
              <w:rPr>
                <w:rFonts w:eastAsia="Times New Roman" w:cs="Calibri"/>
                <w:noProof/>
                <w:szCs w:val="18"/>
              </w:rPr>
            </w:pPr>
            <w:r>
              <w:rPr>
                <w:noProof/>
              </w:rPr>
              <w:t xml:space="preserve">Dokončení </w:t>
            </w:r>
            <w:r>
              <w:rPr>
                <w:noProof/>
                <w:szCs w:val="18"/>
              </w:rPr>
              <w:t>projektů v oblasti dodávek vody a úspor infrastruktury</w:t>
            </w:r>
            <w:r>
              <w:rPr>
                <w:noProof/>
              </w:rPr>
              <w:t xml:space="preserve">, včetně: </w:t>
            </w:r>
          </w:p>
          <w:p w14:paraId="56FFDB2C" w14:textId="08BAEADC" w:rsidR="00515398" w:rsidRDefault="006711E6">
            <w:pPr>
              <w:pStyle w:val="P68B1DB1-Normal10"/>
              <w:spacing w:after="0" w:line="240" w:lineRule="auto"/>
              <w:rPr>
                <w:rFonts w:eastAsia="Times New Roman" w:cs="Calibri"/>
                <w:noProof/>
              </w:rPr>
            </w:pPr>
            <w:r>
              <w:rPr>
                <w:noProof/>
              </w:rPr>
              <w:t xml:space="preserve">a) Infrastruktury </w:t>
            </w:r>
            <w:r>
              <w:rPr>
                <w:noProof/>
              </w:rPr>
              <w:t>pro zásobování vodou v nejméně sedmi oblastech a alespoň ve třech odsolovacích zařízeních</w:t>
            </w:r>
          </w:p>
          <w:p w14:paraId="30880A91" w14:textId="05D0B27F" w:rsidR="00515398" w:rsidRDefault="006711E6">
            <w:pPr>
              <w:pStyle w:val="P68B1DB1-Normal10"/>
              <w:spacing w:after="0" w:line="240" w:lineRule="auto"/>
              <w:rPr>
                <w:rFonts w:eastAsia="Times New Roman" w:cs="Calibri"/>
                <w:noProof/>
              </w:rPr>
            </w:pPr>
            <w:r>
              <w:rPr>
                <w:noProof/>
              </w:rPr>
              <w:t>b) Telemetrie – projekty dálkového řízení pro zjišťování úniků ve vodovodních sítích a</w:t>
            </w:r>
          </w:p>
          <w:p w14:paraId="6E0A1F82" w14:textId="325C6AEF" w:rsidR="00515398" w:rsidRDefault="006711E6">
            <w:pPr>
              <w:pStyle w:val="P68B1DB1-Normal9"/>
              <w:spacing w:after="0" w:line="240" w:lineRule="auto"/>
              <w:rPr>
                <w:rFonts w:eastAsia="Times New Roman" w:cs="Calibri"/>
                <w:noProof/>
                <w:szCs w:val="18"/>
              </w:rPr>
            </w:pPr>
            <w:r>
              <w:rPr>
                <w:noProof/>
                <w:szCs w:val="18"/>
              </w:rPr>
              <w:t>C)</w:t>
            </w:r>
            <w:r>
              <w:rPr>
                <w:noProof/>
              </w:rPr>
              <w:t xml:space="preserve"> Zadávání veřejných zakázek na digitální vodoměry </w:t>
            </w:r>
          </w:p>
          <w:p w14:paraId="1567BF55" w14:textId="168249B4" w:rsidR="00515398" w:rsidRDefault="00515398">
            <w:pPr>
              <w:spacing w:after="0" w:line="240" w:lineRule="auto"/>
              <w:rPr>
                <w:rFonts w:eastAsia="Times New Roman" w:cs="Calibri"/>
                <w:noProof/>
                <w:color w:val="006100"/>
                <w:sz w:val="18"/>
                <w:szCs w:val="18"/>
              </w:rPr>
            </w:pPr>
          </w:p>
        </w:tc>
      </w:tr>
    </w:tbl>
    <w:p w14:paraId="21421DCD" w14:textId="296A0486" w:rsidR="00515398" w:rsidRDefault="00515398">
      <w:pPr>
        <w:spacing w:before="120" w:after="120" w:line="240" w:lineRule="auto"/>
        <w:rPr>
          <w:rFonts w:ascii="Times New Roman" w:hAnsi="Times New Roman" w:cs="Times New Roman"/>
          <w:noProof/>
          <w:sz w:val="24"/>
        </w:rPr>
      </w:pPr>
    </w:p>
    <w:p w14:paraId="633C44EC" w14:textId="77777777" w:rsidR="00515398" w:rsidRDefault="006711E6">
      <w:pPr>
        <w:pStyle w:val="P68B1DB1-Normal18"/>
        <w:rPr>
          <w:noProof/>
        </w:rPr>
      </w:pPr>
      <w:r>
        <w:rPr>
          <w:noProof/>
        </w:rPr>
        <w:br w:type="page"/>
      </w:r>
    </w:p>
    <w:p w14:paraId="7F3B7121" w14:textId="77777777" w:rsidR="00515398" w:rsidRDefault="006711E6">
      <w:pPr>
        <w:pStyle w:val="P68B1DB1-Normal6"/>
        <w:keepNext/>
        <w:keepLines/>
        <w:spacing w:before="360" w:after="0" w:line="240" w:lineRule="auto"/>
        <w:jc w:val="both"/>
        <w:outlineLvl w:val="4"/>
        <w:rPr>
          <w:rFonts w:eastAsia="Times New Roman"/>
          <w:noProof/>
        </w:rPr>
      </w:pPr>
      <w:r>
        <w:rPr>
          <w:noProof/>
        </w:rPr>
        <w:t xml:space="preserve">Skupina 7: Projekty </w:t>
      </w:r>
      <w:r>
        <w:rPr>
          <w:noProof/>
        </w:rPr>
        <w:t>civilní ochrany</w:t>
      </w:r>
    </w:p>
    <w:p w14:paraId="26700317" w14:textId="77777777" w:rsidR="00515398" w:rsidRDefault="006711E6">
      <w:pPr>
        <w:pStyle w:val="P68B1DB1-Normal4"/>
        <w:spacing w:before="120" w:after="120" w:line="240" w:lineRule="auto"/>
        <w:rPr>
          <w:rFonts w:cs="Times New Roman"/>
          <w:noProof/>
        </w:rPr>
      </w:pPr>
      <w:r>
        <w:rPr>
          <w:noProof/>
        </w:rPr>
        <w:t>Opatření zahrnutá do této skupiny jsou:</w:t>
      </w:r>
    </w:p>
    <w:p w14:paraId="3233515D"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Letecké prostředky pro řešení krizí (ID: 16911)</w:t>
      </w:r>
    </w:p>
    <w:p w14:paraId="75C5259D"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Vývoj inovativního systému monitorování a řízení (ID: 16910)</w:t>
      </w:r>
    </w:p>
    <w:p w14:paraId="2740E728"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Vytvoření strategického vnitrostátního řízení rizik katastrof (ID: 16909)</w:t>
      </w:r>
    </w:p>
    <w:p w14:paraId="7FF0AB64"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 xml:space="preserve">Vybavení </w:t>
      </w:r>
      <w:r>
        <w:rPr>
          <w:rFonts w:ascii="Times New Roman" w:hAnsi="Times New Roman"/>
          <w:noProof/>
          <w:sz w:val="24"/>
        </w:rPr>
        <w:t>pro hašení lesních požárů, prevenci a reakci (ID: 16912)</w:t>
      </w:r>
    </w:p>
    <w:p w14:paraId="4EEC0E91" w14:textId="77777777" w:rsidR="00515398" w:rsidRDefault="006711E6">
      <w:pPr>
        <w:spacing w:before="120" w:after="120" w:line="240" w:lineRule="auto"/>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Realizace regionálních středisek civilní ochrany (PEKEPP) prostřednictvím programů partnerství veřejného a soukromého sektoru (ID: 16283)</w:t>
      </w:r>
    </w:p>
    <w:p w14:paraId="50F7B89A" w14:textId="77777777" w:rsidR="00515398" w:rsidRDefault="006711E6">
      <w:pPr>
        <w:pStyle w:val="P68B1DB1-ListParagraph19"/>
        <w:numPr>
          <w:ilvl w:val="0"/>
          <w:numId w:val="2"/>
        </w:numPr>
        <w:spacing w:before="120" w:after="120" w:line="240" w:lineRule="auto"/>
        <w:rPr>
          <w:noProof/>
          <w:szCs w:val="24"/>
        </w:rPr>
      </w:pPr>
      <w:r>
        <w:rPr>
          <w:noProof/>
        </w:rPr>
        <w:t>Předběžná kontrola seismické odolnosti budov (ID: 16983)</w:t>
      </w:r>
    </w:p>
    <w:p w14:paraId="4A71C350" w14:textId="77777777" w:rsidR="00515398" w:rsidRDefault="00515398">
      <w:pPr>
        <w:spacing w:before="120" w:after="120" w:line="240" w:lineRule="auto"/>
        <w:rPr>
          <w:rFonts w:ascii="Times New Roman" w:hAnsi="Times New Roman" w:cs="Times New Roman"/>
          <w:noProof/>
          <w:sz w:val="24"/>
        </w:rPr>
      </w:pPr>
    </w:p>
    <w:tbl>
      <w:tblPr>
        <w:tblStyle w:val="TableGrid"/>
        <w:tblW w:w="15588" w:type="dxa"/>
        <w:jc w:val="center"/>
        <w:tblLayout w:type="fixed"/>
        <w:tblLook w:val="0480" w:firstRow="0" w:lastRow="0" w:firstColumn="1" w:lastColumn="0" w:noHBand="0" w:noVBand="1"/>
      </w:tblPr>
      <w:tblGrid>
        <w:gridCol w:w="1129"/>
        <w:gridCol w:w="1276"/>
        <w:gridCol w:w="993"/>
        <w:gridCol w:w="1277"/>
        <w:gridCol w:w="1320"/>
        <w:gridCol w:w="1200"/>
        <w:gridCol w:w="960"/>
        <w:gridCol w:w="960"/>
        <w:gridCol w:w="960"/>
        <w:gridCol w:w="960"/>
        <w:gridCol w:w="4553"/>
      </w:tblGrid>
      <w:tr w:rsidR="00515398" w14:paraId="0D2BC415" w14:textId="77777777">
        <w:trPr>
          <w:trHeight w:val="612"/>
          <w:tblHeader/>
          <w:jc w:val="center"/>
        </w:trPr>
        <w:tc>
          <w:tcPr>
            <w:tcW w:w="1129" w:type="dxa"/>
            <w:vMerge w:val="restart"/>
            <w:shd w:val="clear" w:color="auto" w:fill="BDD7EE"/>
            <w:vAlign w:val="center"/>
            <w:hideMark/>
          </w:tcPr>
          <w:p w14:paraId="095EA5F6" w14:textId="77777777" w:rsidR="00515398" w:rsidRDefault="006711E6">
            <w:pPr>
              <w:pStyle w:val="P68B1DB1-Normal7"/>
              <w:jc w:val="center"/>
              <w:rPr>
                <w:rFonts w:eastAsia="Times New Roman" w:cs="Times New Roman"/>
                <w:bCs/>
                <w:noProof/>
                <w:szCs w:val="18"/>
              </w:rPr>
            </w:pPr>
            <w:r>
              <w:rPr>
                <w:noProof/>
              </w:rPr>
              <w:t>P</w:t>
            </w:r>
            <w:r>
              <w:rPr>
                <w:noProof/>
              </w:rPr>
              <w:t>ořadové číslo</w:t>
            </w:r>
          </w:p>
        </w:tc>
        <w:tc>
          <w:tcPr>
            <w:tcW w:w="1276" w:type="dxa"/>
            <w:vMerge w:val="restart"/>
            <w:shd w:val="clear" w:color="auto" w:fill="BDD7EE"/>
            <w:vAlign w:val="center"/>
            <w:hideMark/>
          </w:tcPr>
          <w:p w14:paraId="0F11964D" w14:textId="77777777" w:rsidR="00515398" w:rsidRDefault="006711E6">
            <w:pPr>
              <w:pStyle w:val="P68B1DB1-Normal7"/>
              <w:jc w:val="center"/>
              <w:rPr>
                <w:rFonts w:eastAsia="Times New Roman" w:cs="Times New Roman"/>
                <w:bCs/>
                <w:noProof/>
                <w:szCs w:val="18"/>
              </w:rPr>
            </w:pPr>
            <w:r>
              <w:rPr>
                <w:noProof/>
              </w:rPr>
              <w:t>Související opatření (reforma nebo investice)</w:t>
            </w:r>
          </w:p>
        </w:tc>
        <w:tc>
          <w:tcPr>
            <w:tcW w:w="993" w:type="dxa"/>
            <w:vMerge w:val="restart"/>
            <w:shd w:val="clear" w:color="auto" w:fill="BDD7EE"/>
            <w:vAlign w:val="center"/>
            <w:hideMark/>
          </w:tcPr>
          <w:p w14:paraId="30BFC9D6" w14:textId="77777777" w:rsidR="00515398" w:rsidRDefault="006711E6">
            <w:pPr>
              <w:pStyle w:val="P68B1DB1-Normal7"/>
              <w:jc w:val="center"/>
              <w:rPr>
                <w:rFonts w:eastAsia="Times New Roman" w:cs="Times New Roman"/>
                <w:bCs/>
                <w:noProof/>
                <w:szCs w:val="18"/>
              </w:rPr>
            </w:pPr>
            <w:r>
              <w:rPr>
                <w:noProof/>
              </w:rPr>
              <w:t>Milník/cíl</w:t>
            </w:r>
          </w:p>
        </w:tc>
        <w:tc>
          <w:tcPr>
            <w:tcW w:w="1277" w:type="dxa"/>
            <w:vMerge w:val="restart"/>
            <w:shd w:val="clear" w:color="auto" w:fill="BDD7EE"/>
            <w:vAlign w:val="center"/>
            <w:hideMark/>
          </w:tcPr>
          <w:p w14:paraId="48AEE39E" w14:textId="77777777" w:rsidR="00515398" w:rsidRDefault="006711E6">
            <w:pPr>
              <w:pStyle w:val="P68B1DB1-Normal7"/>
              <w:jc w:val="center"/>
              <w:rPr>
                <w:rFonts w:eastAsia="Times New Roman" w:cs="Times New Roman"/>
                <w:bCs/>
                <w:noProof/>
                <w:szCs w:val="18"/>
              </w:rPr>
            </w:pPr>
            <w:r>
              <w:rPr>
                <w:noProof/>
              </w:rPr>
              <w:t>Jméno</w:t>
            </w:r>
          </w:p>
        </w:tc>
        <w:tc>
          <w:tcPr>
            <w:tcW w:w="1320" w:type="dxa"/>
            <w:vMerge w:val="restart"/>
            <w:shd w:val="clear" w:color="auto" w:fill="BDD7EE"/>
            <w:vAlign w:val="center"/>
            <w:hideMark/>
          </w:tcPr>
          <w:p w14:paraId="785F0C2C" w14:textId="77777777" w:rsidR="00515398" w:rsidRDefault="006711E6">
            <w:pPr>
              <w:pStyle w:val="P68B1DB1-Normal7"/>
              <w:jc w:val="center"/>
              <w:rPr>
                <w:rFonts w:eastAsia="Times New Roman" w:cs="Times New Roman"/>
                <w:bCs/>
                <w:noProof/>
                <w:szCs w:val="18"/>
              </w:rPr>
            </w:pPr>
            <w:r>
              <w:rPr>
                <w:noProof/>
              </w:rPr>
              <w:t>Kvalitativní ukazatele (pro milníky)</w:t>
            </w:r>
          </w:p>
        </w:tc>
        <w:tc>
          <w:tcPr>
            <w:tcW w:w="3120" w:type="dxa"/>
            <w:gridSpan w:val="3"/>
            <w:shd w:val="clear" w:color="auto" w:fill="BDD7EE"/>
            <w:vAlign w:val="center"/>
            <w:hideMark/>
          </w:tcPr>
          <w:p w14:paraId="7162E3C6" w14:textId="77777777" w:rsidR="00515398" w:rsidRDefault="006711E6">
            <w:pPr>
              <w:pStyle w:val="P68B1DB1-Normal7"/>
              <w:jc w:val="center"/>
              <w:rPr>
                <w:rFonts w:eastAsia="Times New Roman" w:cs="Times New Roman"/>
                <w:bCs/>
                <w:noProof/>
                <w:szCs w:val="18"/>
              </w:rPr>
            </w:pPr>
            <w:r>
              <w:rPr>
                <w:noProof/>
              </w:rPr>
              <w:t>Kvantitativní ukazatele (pro cíle)</w:t>
            </w:r>
          </w:p>
        </w:tc>
        <w:tc>
          <w:tcPr>
            <w:tcW w:w="1920" w:type="dxa"/>
            <w:gridSpan w:val="2"/>
            <w:shd w:val="clear" w:color="auto" w:fill="BDD7EE"/>
            <w:vAlign w:val="center"/>
            <w:hideMark/>
          </w:tcPr>
          <w:p w14:paraId="79C9236E" w14:textId="77777777" w:rsidR="00515398" w:rsidRDefault="006711E6">
            <w:pPr>
              <w:pStyle w:val="P68B1DB1-Normal7"/>
              <w:jc w:val="center"/>
              <w:rPr>
                <w:rFonts w:eastAsia="Times New Roman" w:cs="Times New Roman"/>
                <w:bCs/>
                <w:noProof/>
                <w:szCs w:val="18"/>
              </w:rPr>
            </w:pPr>
            <w:r>
              <w:rPr>
                <w:noProof/>
              </w:rPr>
              <w:t xml:space="preserve">Orientační harmonogram pro dokončení </w:t>
            </w:r>
          </w:p>
        </w:tc>
        <w:tc>
          <w:tcPr>
            <w:tcW w:w="4553" w:type="dxa"/>
            <w:vMerge w:val="restart"/>
            <w:shd w:val="clear" w:color="auto" w:fill="BDD7EE"/>
            <w:vAlign w:val="center"/>
            <w:hideMark/>
          </w:tcPr>
          <w:p w14:paraId="34612095" w14:textId="77777777" w:rsidR="00515398" w:rsidRDefault="006711E6">
            <w:pPr>
              <w:pStyle w:val="P68B1DB1-Normal7"/>
              <w:jc w:val="center"/>
              <w:rPr>
                <w:rFonts w:eastAsia="Times New Roman" w:cs="Times New Roman"/>
                <w:bCs/>
                <w:noProof/>
                <w:szCs w:val="18"/>
              </w:rPr>
            </w:pPr>
            <w:r>
              <w:rPr>
                <w:noProof/>
              </w:rPr>
              <w:t>Popis každého milníku a cíle</w:t>
            </w:r>
          </w:p>
        </w:tc>
      </w:tr>
      <w:tr w:rsidR="00515398" w14:paraId="1DECA2EC" w14:textId="77777777">
        <w:trPr>
          <w:trHeight w:val="540"/>
          <w:tblHeader/>
          <w:jc w:val="center"/>
        </w:trPr>
        <w:tc>
          <w:tcPr>
            <w:tcW w:w="1129" w:type="dxa"/>
            <w:vMerge/>
            <w:vAlign w:val="center"/>
            <w:hideMark/>
          </w:tcPr>
          <w:p w14:paraId="630E05D6" w14:textId="77777777" w:rsidR="00515398" w:rsidRDefault="00515398">
            <w:pPr>
              <w:rPr>
                <w:rFonts w:ascii="Times New Roman" w:eastAsia="Times New Roman" w:hAnsi="Times New Roman" w:cs="Times New Roman"/>
                <w:b/>
                <w:bCs/>
                <w:noProof/>
                <w:sz w:val="18"/>
                <w:szCs w:val="18"/>
              </w:rPr>
            </w:pPr>
          </w:p>
        </w:tc>
        <w:tc>
          <w:tcPr>
            <w:tcW w:w="1276" w:type="dxa"/>
            <w:vMerge/>
            <w:vAlign w:val="center"/>
            <w:hideMark/>
          </w:tcPr>
          <w:p w14:paraId="2C02C307" w14:textId="77777777" w:rsidR="00515398" w:rsidRDefault="00515398">
            <w:pPr>
              <w:rPr>
                <w:rFonts w:ascii="Times New Roman" w:eastAsia="Times New Roman" w:hAnsi="Times New Roman" w:cs="Times New Roman"/>
                <w:b/>
                <w:bCs/>
                <w:noProof/>
                <w:sz w:val="18"/>
                <w:szCs w:val="18"/>
              </w:rPr>
            </w:pPr>
          </w:p>
        </w:tc>
        <w:tc>
          <w:tcPr>
            <w:tcW w:w="993" w:type="dxa"/>
            <w:vMerge/>
            <w:vAlign w:val="center"/>
            <w:hideMark/>
          </w:tcPr>
          <w:p w14:paraId="0100A6AF" w14:textId="77777777" w:rsidR="00515398" w:rsidRDefault="00515398">
            <w:pPr>
              <w:rPr>
                <w:rFonts w:ascii="Times New Roman" w:eastAsia="Times New Roman" w:hAnsi="Times New Roman" w:cs="Times New Roman"/>
                <w:b/>
                <w:bCs/>
                <w:noProof/>
                <w:sz w:val="18"/>
                <w:szCs w:val="18"/>
              </w:rPr>
            </w:pPr>
          </w:p>
        </w:tc>
        <w:tc>
          <w:tcPr>
            <w:tcW w:w="1277" w:type="dxa"/>
            <w:vMerge/>
            <w:vAlign w:val="center"/>
            <w:hideMark/>
          </w:tcPr>
          <w:p w14:paraId="11073176" w14:textId="77777777" w:rsidR="00515398" w:rsidRDefault="00515398">
            <w:pPr>
              <w:rPr>
                <w:rFonts w:ascii="Times New Roman" w:eastAsia="Times New Roman" w:hAnsi="Times New Roman" w:cs="Times New Roman"/>
                <w:b/>
                <w:bCs/>
                <w:noProof/>
                <w:sz w:val="18"/>
                <w:szCs w:val="18"/>
              </w:rPr>
            </w:pPr>
          </w:p>
        </w:tc>
        <w:tc>
          <w:tcPr>
            <w:tcW w:w="1320" w:type="dxa"/>
            <w:vMerge/>
            <w:vAlign w:val="center"/>
            <w:hideMark/>
          </w:tcPr>
          <w:p w14:paraId="5C0143F3" w14:textId="77777777" w:rsidR="00515398" w:rsidRDefault="00515398">
            <w:pPr>
              <w:rPr>
                <w:rFonts w:ascii="Times New Roman" w:eastAsia="Times New Roman" w:hAnsi="Times New Roman" w:cs="Times New Roman"/>
                <w:b/>
                <w:bCs/>
                <w:noProof/>
                <w:sz w:val="18"/>
                <w:szCs w:val="18"/>
              </w:rPr>
            </w:pPr>
          </w:p>
        </w:tc>
        <w:tc>
          <w:tcPr>
            <w:tcW w:w="1200" w:type="dxa"/>
            <w:shd w:val="clear" w:color="auto" w:fill="BDD7EE"/>
            <w:vAlign w:val="center"/>
            <w:hideMark/>
          </w:tcPr>
          <w:p w14:paraId="37989C94" w14:textId="77777777" w:rsidR="00515398" w:rsidRDefault="006711E6">
            <w:pPr>
              <w:pStyle w:val="P68B1DB1-Normal7"/>
              <w:jc w:val="center"/>
              <w:rPr>
                <w:rFonts w:eastAsia="Times New Roman" w:cs="Times New Roman"/>
                <w:bCs/>
                <w:noProof/>
                <w:szCs w:val="18"/>
              </w:rPr>
            </w:pPr>
            <w:r>
              <w:rPr>
                <w:noProof/>
              </w:rPr>
              <w:t>Jednotka měření</w:t>
            </w:r>
          </w:p>
        </w:tc>
        <w:tc>
          <w:tcPr>
            <w:tcW w:w="960" w:type="dxa"/>
            <w:shd w:val="clear" w:color="auto" w:fill="BDD7EE"/>
            <w:vAlign w:val="center"/>
            <w:hideMark/>
          </w:tcPr>
          <w:p w14:paraId="74BBAD15" w14:textId="77777777" w:rsidR="00515398" w:rsidRDefault="006711E6">
            <w:pPr>
              <w:pStyle w:val="P68B1DB1-Normal7"/>
              <w:jc w:val="center"/>
              <w:rPr>
                <w:rFonts w:eastAsia="Times New Roman" w:cs="Times New Roman"/>
                <w:bCs/>
                <w:noProof/>
                <w:szCs w:val="18"/>
              </w:rPr>
            </w:pPr>
            <w:r>
              <w:rPr>
                <w:noProof/>
              </w:rPr>
              <w:t xml:space="preserve">Výchozí stav </w:t>
            </w:r>
          </w:p>
        </w:tc>
        <w:tc>
          <w:tcPr>
            <w:tcW w:w="960" w:type="dxa"/>
            <w:shd w:val="clear" w:color="auto" w:fill="BDD7EE"/>
            <w:vAlign w:val="center"/>
            <w:hideMark/>
          </w:tcPr>
          <w:p w14:paraId="5EEBFE3B" w14:textId="77777777" w:rsidR="00515398" w:rsidRDefault="006711E6">
            <w:pPr>
              <w:pStyle w:val="P68B1DB1-Normal7"/>
              <w:jc w:val="center"/>
              <w:rPr>
                <w:rFonts w:eastAsia="Times New Roman" w:cs="Times New Roman"/>
                <w:bCs/>
                <w:noProof/>
                <w:szCs w:val="18"/>
              </w:rPr>
            </w:pPr>
            <w:r>
              <w:rPr>
                <w:noProof/>
              </w:rPr>
              <w:t xml:space="preserve">Cíl </w:t>
            </w:r>
          </w:p>
        </w:tc>
        <w:tc>
          <w:tcPr>
            <w:tcW w:w="960" w:type="dxa"/>
            <w:shd w:val="clear" w:color="auto" w:fill="BDD7EE"/>
            <w:vAlign w:val="center"/>
            <w:hideMark/>
          </w:tcPr>
          <w:p w14:paraId="1E85042A" w14:textId="77777777" w:rsidR="00515398" w:rsidRDefault="006711E6">
            <w:pPr>
              <w:pStyle w:val="P68B1DB1-Normal7"/>
              <w:jc w:val="center"/>
              <w:rPr>
                <w:rFonts w:eastAsia="Times New Roman" w:cs="Times New Roman"/>
                <w:bCs/>
                <w:noProof/>
                <w:szCs w:val="18"/>
              </w:rPr>
            </w:pPr>
            <w:r>
              <w:rPr>
                <w:noProof/>
              </w:rPr>
              <w:t>Čtvrtina</w:t>
            </w:r>
          </w:p>
        </w:tc>
        <w:tc>
          <w:tcPr>
            <w:tcW w:w="960" w:type="dxa"/>
            <w:shd w:val="clear" w:color="auto" w:fill="BDD7EE"/>
            <w:vAlign w:val="center"/>
            <w:hideMark/>
          </w:tcPr>
          <w:p w14:paraId="6FFD73DB" w14:textId="77777777" w:rsidR="00515398" w:rsidRDefault="006711E6">
            <w:pPr>
              <w:pStyle w:val="P68B1DB1-Normal7"/>
              <w:jc w:val="center"/>
              <w:rPr>
                <w:rFonts w:eastAsia="Times New Roman" w:cs="Times New Roman"/>
                <w:bCs/>
                <w:noProof/>
                <w:szCs w:val="18"/>
              </w:rPr>
            </w:pPr>
            <w:r>
              <w:rPr>
                <w:noProof/>
              </w:rPr>
              <w:t>Rok</w:t>
            </w:r>
          </w:p>
        </w:tc>
        <w:tc>
          <w:tcPr>
            <w:tcW w:w="4553" w:type="dxa"/>
            <w:vMerge/>
            <w:vAlign w:val="center"/>
            <w:hideMark/>
          </w:tcPr>
          <w:p w14:paraId="69528607" w14:textId="77777777" w:rsidR="00515398" w:rsidRDefault="00515398">
            <w:pPr>
              <w:rPr>
                <w:rFonts w:ascii="Times New Roman" w:eastAsia="Times New Roman" w:hAnsi="Times New Roman" w:cs="Times New Roman"/>
                <w:b/>
                <w:bCs/>
                <w:noProof/>
                <w:sz w:val="18"/>
                <w:szCs w:val="18"/>
              </w:rPr>
            </w:pPr>
          </w:p>
        </w:tc>
      </w:tr>
      <w:tr w:rsidR="00515398" w14:paraId="2867B527" w14:textId="77777777">
        <w:trPr>
          <w:trHeight w:val="309"/>
          <w:jc w:val="center"/>
        </w:trPr>
        <w:tc>
          <w:tcPr>
            <w:tcW w:w="1129" w:type="dxa"/>
            <w:shd w:val="clear" w:color="auto" w:fill="C6EFCE"/>
            <w:noWrap/>
          </w:tcPr>
          <w:p w14:paraId="1A32EC30" w14:textId="77777777" w:rsidR="00515398" w:rsidRDefault="006711E6">
            <w:pPr>
              <w:pStyle w:val="P68B1DB1-Normal9"/>
              <w:rPr>
                <w:rFonts w:eastAsia="Times New Roman" w:cs="Calibri"/>
                <w:noProof/>
                <w:szCs w:val="18"/>
              </w:rPr>
            </w:pPr>
            <w:r>
              <w:rPr>
                <w:noProof/>
              </w:rPr>
              <w:t>77</w:t>
            </w:r>
          </w:p>
        </w:tc>
        <w:tc>
          <w:tcPr>
            <w:tcW w:w="1276" w:type="dxa"/>
            <w:shd w:val="clear" w:color="auto" w:fill="C6EFCE"/>
            <w:noWrap/>
          </w:tcPr>
          <w:p w14:paraId="2E9BA69C" w14:textId="77777777" w:rsidR="00515398" w:rsidRDefault="006711E6">
            <w:pPr>
              <w:pStyle w:val="P68B1DB1-Normal9"/>
              <w:rPr>
                <w:rFonts w:eastAsia="Times New Roman" w:cs="Calibri"/>
                <w:noProof/>
                <w:szCs w:val="18"/>
              </w:rPr>
            </w:pPr>
            <w:r>
              <w:rPr>
                <w:noProof/>
              </w:rPr>
              <w:t>4–1.4. Udržitelné využívání zdrojů, odolnost vůči změně klimatu a ochrana životního prostředí – 16283_Provádění regionálních středisek civilní ochrany (PEKEPP) prostřednictvím programů PPP</w:t>
            </w:r>
          </w:p>
        </w:tc>
        <w:tc>
          <w:tcPr>
            <w:tcW w:w="993" w:type="dxa"/>
            <w:shd w:val="clear" w:color="auto" w:fill="C6EFCE"/>
            <w:noWrap/>
          </w:tcPr>
          <w:p w14:paraId="245378DA" w14:textId="77777777" w:rsidR="00515398" w:rsidRDefault="006711E6">
            <w:pPr>
              <w:pStyle w:val="P68B1DB1-Normal9"/>
              <w:rPr>
                <w:rFonts w:eastAsia="Times New Roman" w:cs="Calibri"/>
                <w:noProof/>
                <w:szCs w:val="18"/>
              </w:rPr>
            </w:pPr>
            <w:r>
              <w:rPr>
                <w:noProof/>
              </w:rPr>
              <w:t>Milník</w:t>
            </w:r>
          </w:p>
        </w:tc>
        <w:tc>
          <w:tcPr>
            <w:tcW w:w="1277" w:type="dxa"/>
            <w:shd w:val="clear" w:color="auto" w:fill="C6EFCE"/>
            <w:noWrap/>
          </w:tcPr>
          <w:p w14:paraId="3150164B" w14:textId="77777777" w:rsidR="00515398" w:rsidRDefault="006711E6">
            <w:pPr>
              <w:pStyle w:val="P68B1DB1-Normal9"/>
              <w:rPr>
                <w:rFonts w:eastAsia="Times New Roman" w:cs="Calibri"/>
                <w:noProof/>
                <w:szCs w:val="18"/>
              </w:rPr>
            </w:pPr>
            <w:r>
              <w:rPr>
                <w:noProof/>
              </w:rPr>
              <w:t xml:space="preserve">Nabídkové řízení na 13 regionálních </w:t>
            </w:r>
            <w:r>
              <w:rPr>
                <w:noProof/>
              </w:rPr>
              <w:t>středisek</w:t>
            </w:r>
          </w:p>
        </w:tc>
        <w:tc>
          <w:tcPr>
            <w:tcW w:w="1320" w:type="dxa"/>
            <w:shd w:val="clear" w:color="auto" w:fill="C6EFCE"/>
            <w:noWrap/>
          </w:tcPr>
          <w:p w14:paraId="6873FF94" w14:textId="77777777" w:rsidR="00515398" w:rsidRDefault="006711E6">
            <w:pPr>
              <w:pStyle w:val="P68B1DB1-Normal9"/>
              <w:rPr>
                <w:rFonts w:eastAsia="Times New Roman" w:cs="Calibri"/>
                <w:noProof/>
                <w:szCs w:val="18"/>
              </w:rPr>
            </w:pPr>
            <w:r>
              <w:rPr>
                <w:noProof/>
              </w:rPr>
              <w:t>Zveřejnění oznámení o zahájení zadávacího řízení</w:t>
            </w:r>
          </w:p>
        </w:tc>
        <w:tc>
          <w:tcPr>
            <w:tcW w:w="1200" w:type="dxa"/>
            <w:shd w:val="clear" w:color="auto" w:fill="C6EFCE"/>
            <w:noWrap/>
          </w:tcPr>
          <w:p w14:paraId="4520C3C8" w14:textId="77777777" w:rsidR="00515398" w:rsidRDefault="00515398">
            <w:pPr>
              <w:rPr>
                <w:rFonts w:eastAsia="Times New Roman" w:cs="Calibri"/>
                <w:noProof/>
                <w:color w:val="006100"/>
                <w:sz w:val="18"/>
                <w:szCs w:val="18"/>
              </w:rPr>
            </w:pPr>
          </w:p>
        </w:tc>
        <w:tc>
          <w:tcPr>
            <w:tcW w:w="960" w:type="dxa"/>
            <w:shd w:val="clear" w:color="auto" w:fill="C6EFCE"/>
            <w:noWrap/>
          </w:tcPr>
          <w:p w14:paraId="1503A288" w14:textId="77777777" w:rsidR="00515398" w:rsidRDefault="00515398">
            <w:pPr>
              <w:rPr>
                <w:rFonts w:eastAsia="Times New Roman" w:cs="Calibri"/>
                <w:noProof/>
                <w:color w:val="006100"/>
                <w:sz w:val="18"/>
                <w:szCs w:val="18"/>
              </w:rPr>
            </w:pPr>
          </w:p>
        </w:tc>
        <w:tc>
          <w:tcPr>
            <w:tcW w:w="960" w:type="dxa"/>
            <w:shd w:val="clear" w:color="auto" w:fill="C6EFCE"/>
            <w:noWrap/>
          </w:tcPr>
          <w:p w14:paraId="477EEAD6" w14:textId="77777777" w:rsidR="00515398" w:rsidRDefault="00515398">
            <w:pPr>
              <w:rPr>
                <w:rFonts w:eastAsia="Times New Roman" w:cs="Calibri"/>
                <w:noProof/>
                <w:color w:val="006100"/>
                <w:sz w:val="18"/>
                <w:szCs w:val="18"/>
              </w:rPr>
            </w:pPr>
          </w:p>
        </w:tc>
        <w:tc>
          <w:tcPr>
            <w:tcW w:w="960" w:type="dxa"/>
            <w:shd w:val="clear" w:color="auto" w:fill="C6EFCE"/>
            <w:noWrap/>
          </w:tcPr>
          <w:p w14:paraId="6B03ECC1" w14:textId="77777777" w:rsidR="00515398" w:rsidRDefault="006711E6">
            <w:pPr>
              <w:pStyle w:val="P68B1DB1-Normal9"/>
              <w:rPr>
                <w:rFonts w:eastAsia="Times New Roman" w:cs="Calibri"/>
                <w:noProof/>
                <w:szCs w:val="18"/>
              </w:rPr>
            </w:pPr>
            <w:r>
              <w:rPr>
                <w:noProof/>
              </w:rPr>
              <w:t>ČTVRTLETÍ 3</w:t>
            </w:r>
          </w:p>
        </w:tc>
        <w:tc>
          <w:tcPr>
            <w:tcW w:w="960" w:type="dxa"/>
            <w:shd w:val="clear" w:color="auto" w:fill="C6EFCE"/>
            <w:noWrap/>
          </w:tcPr>
          <w:p w14:paraId="109EA03A" w14:textId="77777777" w:rsidR="00515398" w:rsidRDefault="006711E6">
            <w:pPr>
              <w:pStyle w:val="P68B1DB1-Normal9"/>
              <w:rPr>
                <w:rFonts w:eastAsia="Times New Roman" w:cs="Calibri"/>
                <w:noProof/>
                <w:szCs w:val="18"/>
              </w:rPr>
            </w:pPr>
            <w:r>
              <w:rPr>
                <w:noProof/>
              </w:rPr>
              <w:t>2021</w:t>
            </w:r>
          </w:p>
        </w:tc>
        <w:tc>
          <w:tcPr>
            <w:tcW w:w="4553" w:type="dxa"/>
            <w:shd w:val="clear" w:color="auto" w:fill="C6EFCE"/>
            <w:noWrap/>
          </w:tcPr>
          <w:p w14:paraId="30758B24" w14:textId="77777777" w:rsidR="00515398" w:rsidRDefault="006711E6">
            <w:pPr>
              <w:pStyle w:val="P68B1DB1-Normal9"/>
              <w:rPr>
                <w:rFonts w:eastAsia="Times New Roman" w:cs="Calibri"/>
                <w:noProof/>
                <w:szCs w:val="18"/>
              </w:rPr>
            </w:pPr>
            <w:r>
              <w:rPr>
                <w:noProof/>
              </w:rPr>
              <w:t>Zveřejnění oznámení o zahájení zadávacího řízení na výstavbu 13 regionálních středisek civilní ochrany.</w:t>
            </w:r>
          </w:p>
        </w:tc>
      </w:tr>
      <w:tr w:rsidR="00515398" w14:paraId="6394FF89" w14:textId="77777777">
        <w:trPr>
          <w:trHeight w:val="309"/>
          <w:jc w:val="center"/>
        </w:trPr>
        <w:tc>
          <w:tcPr>
            <w:tcW w:w="1129" w:type="dxa"/>
            <w:shd w:val="clear" w:color="auto" w:fill="C6EFCE"/>
            <w:noWrap/>
          </w:tcPr>
          <w:p w14:paraId="2D9D612D" w14:textId="77777777" w:rsidR="00515398" w:rsidRDefault="006711E6">
            <w:pPr>
              <w:pStyle w:val="P68B1DB1-Normal9"/>
              <w:rPr>
                <w:rFonts w:eastAsia="Times New Roman" w:cs="Calibri"/>
                <w:noProof/>
                <w:szCs w:val="18"/>
              </w:rPr>
            </w:pPr>
            <w:r>
              <w:rPr>
                <w:noProof/>
              </w:rPr>
              <w:t>78</w:t>
            </w:r>
          </w:p>
        </w:tc>
        <w:tc>
          <w:tcPr>
            <w:tcW w:w="1276" w:type="dxa"/>
            <w:shd w:val="clear" w:color="auto" w:fill="C6EFCE"/>
            <w:noWrap/>
          </w:tcPr>
          <w:p w14:paraId="09A5C42E" w14:textId="77777777" w:rsidR="00515398" w:rsidRDefault="006711E6">
            <w:pPr>
              <w:pStyle w:val="P68B1DB1-Normal9"/>
              <w:rPr>
                <w:rFonts w:eastAsia="Times New Roman" w:cs="Calibri"/>
                <w:noProof/>
                <w:szCs w:val="18"/>
              </w:rPr>
            </w:pPr>
            <w:r>
              <w:rPr>
                <w:noProof/>
              </w:rPr>
              <w:t xml:space="preserve">4–1.4. Udržitelné využívání zdrojů, odolnost vůči změně klimatu a </w:t>
            </w:r>
            <w:r>
              <w:rPr>
                <w:noProof/>
              </w:rPr>
              <w:t>ochrana životního prostředí – 16910_Systém monitorování a řízení</w:t>
            </w:r>
          </w:p>
        </w:tc>
        <w:tc>
          <w:tcPr>
            <w:tcW w:w="993" w:type="dxa"/>
            <w:shd w:val="clear" w:color="auto" w:fill="C6EFCE"/>
            <w:noWrap/>
          </w:tcPr>
          <w:p w14:paraId="3763E178" w14:textId="77777777" w:rsidR="00515398" w:rsidRDefault="006711E6">
            <w:pPr>
              <w:pStyle w:val="P68B1DB1-Normal9"/>
              <w:rPr>
                <w:rFonts w:eastAsia="Times New Roman" w:cs="Calibri"/>
                <w:noProof/>
                <w:szCs w:val="18"/>
              </w:rPr>
            </w:pPr>
            <w:r>
              <w:rPr>
                <w:noProof/>
              </w:rPr>
              <w:t>Milník</w:t>
            </w:r>
          </w:p>
        </w:tc>
        <w:tc>
          <w:tcPr>
            <w:tcW w:w="1277" w:type="dxa"/>
            <w:shd w:val="clear" w:color="auto" w:fill="C6EFCE"/>
            <w:noWrap/>
          </w:tcPr>
          <w:p w14:paraId="0DCD7A62" w14:textId="77777777" w:rsidR="00515398" w:rsidRDefault="006711E6">
            <w:pPr>
              <w:pStyle w:val="P68B1DB1-Normal9"/>
              <w:rPr>
                <w:rFonts w:eastAsia="Times New Roman" w:cs="Calibri"/>
                <w:noProof/>
                <w:szCs w:val="18"/>
              </w:rPr>
            </w:pPr>
            <w:r>
              <w:rPr>
                <w:noProof/>
              </w:rPr>
              <w:t>Smlouva na GPS</w:t>
            </w:r>
          </w:p>
        </w:tc>
        <w:tc>
          <w:tcPr>
            <w:tcW w:w="1320" w:type="dxa"/>
            <w:shd w:val="clear" w:color="auto" w:fill="C6EFCE"/>
            <w:noWrap/>
          </w:tcPr>
          <w:p w14:paraId="1EDCC783" w14:textId="77777777" w:rsidR="00515398" w:rsidRDefault="006711E6">
            <w:pPr>
              <w:pStyle w:val="P68B1DB1-Normal9"/>
              <w:rPr>
                <w:rFonts w:eastAsia="Times New Roman" w:cs="Calibri"/>
                <w:noProof/>
                <w:szCs w:val="18"/>
              </w:rPr>
            </w:pPr>
            <w:r>
              <w:rPr>
                <w:noProof/>
              </w:rPr>
              <w:t xml:space="preserve">Oznámení o zadání zakázek </w:t>
            </w:r>
          </w:p>
        </w:tc>
        <w:tc>
          <w:tcPr>
            <w:tcW w:w="1200" w:type="dxa"/>
            <w:shd w:val="clear" w:color="auto" w:fill="C6EFCE"/>
            <w:noWrap/>
          </w:tcPr>
          <w:p w14:paraId="16DEB220" w14:textId="77777777" w:rsidR="00515398" w:rsidRDefault="00515398">
            <w:pPr>
              <w:rPr>
                <w:rFonts w:eastAsia="Times New Roman" w:cs="Calibri"/>
                <w:noProof/>
                <w:color w:val="006100"/>
                <w:sz w:val="18"/>
                <w:szCs w:val="18"/>
              </w:rPr>
            </w:pPr>
          </w:p>
        </w:tc>
        <w:tc>
          <w:tcPr>
            <w:tcW w:w="960" w:type="dxa"/>
            <w:shd w:val="clear" w:color="auto" w:fill="C6EFCE"/>
            <w:noWrap/>
          </w:tcPr>
          <w:p w14:paraId="78643EAD" w14:textId="77777777" w:rsidR="00515398" w:rsidRDefault="00515398">
            <w:pPr>
              <w:rPr>
                <w:rFonts w:eastAsia="Times New Roman" w:cs="Calibri"/>
                <w:noProof/>
                <w:color w:val="006100"/>
                <w:sz w:val="18"/>
                <w:szCs w:val="18"/>
              </w:rPr>
            </w:pPr>
          </w:p>
        </w:tc>
        <w:tc>
          <w:tcPr>
            <w:tcW w:w="960" w:type="dxa"/>
            <w:shd w:val="clear" w:color="auto" w:fill="C6EFCE"/>
            <w:noWrap/>
          </w:tcPr>
          <w:p w14:paraId="38C576DF" w14:textId="77777777" w:rsidR="00515398" w:rsidRDefault="00515398">
            <w:pPr>
              <w:rPr>
                <w:rFonts w:eastAsia="Times New Roman" w:cs="Calibri"/>
                <w:noProof/>
                <w:color w:val="006100"/>
                <w:sz w:val="18"/>
                <w:szCs w:val="18"/>
              </w:rPr>
            </w:pPr>
          </w:p>
        </w:tc>
        <w:tc>
          <w:tcPr>
            <w:tcW w:w="960" w:type="dxa"/>
            <w:shd w:val="clear" w:color="auto" w:fill="C6EFCE"/>
            <w:noWrap/>
          </w:tcPr>
          <w:p w14:paraId="0A6E24F4" w14:textId="77777777" w:rsidR="00515398" w:rsidRDefault="006711E6">
            <w:pPr>
              <w:pStyle w:val="P68B1DB1-Normal9"/>
              <w:rPr>
                <w:rFonts w:eastAsia="Times New Roman" w:cs="Calibri"/>
                <w:noProof/>
                <w:szCs w:val="18"/>
              </w:rPr>
            </w:pPr>
            <w:r>
              <w:rPr>
                <w:noProof/>
              </w:rPr>
              <w:t>ČTVRTLETÍ ČTVRT</w:t>
            </w:r>
          </w:p>
        </w:tc>
        <w:tc>
          <w:tcPr>
            <w:tcW w:w="960" w:type="dxa"/>
            <w:shd w:val="clear" w:color="auto" w:fill="C6EFCE"/>
            <w:noWrap/>
          </w:tcPr>
          <w:p w14:paraId="3E8C533F" w14:textId="77777777" w:rsidR="00515398" w:rsidRDefault="006711E6">
            <w:pPr>
              <w:pStyle w:val="P68B1DB1-Normal9"/>
              <w:rPr>
                <w:rFonts w:eastAsia="Times New Roman" w:cs="Calibri"/>
                <w:noProof/>
                <w:szCs w:val="18"/>
              </w:rPr>
            </w:pPr>
            <w:r>
              <w:rPr>
                <w:noProof/>
              </w:rPr>
              <w:t>2022</w:t>
            </w:r>
          </w:p>
        </w:tc>
        <w:tc>
          <w:tcPr>
            <w:tcW w:w="4553" w:type="dxa"/>
            <w:shd w:val="clear" w:color="auto" w:fill="C6EFCE"/>
            <w:noWrap/>
          </w:tcPr>
          <w:p w14:paraId="286270FA" w14:textId="77777777" w:rsidR="00515398" w:rsidRDefault="006711E6">
            <w:pPr>
              <w:pStyle w:val="P68B1DB1-Normal9"/>
              <w:rPr>
                <w:rFonts w:eastAsia="Times New Roman" w:cs="Calibri"/>
                <w:noProof/>
                <w:szCs w:val="18"/>
              </w:rPr>
            </w:pPr>
            <w:r>
              <w:rPr>
                <w:noProof/>
              </w:rPr>
              <w:t xml:space="preserve">Oznámení o zadání zakázky na monitorovací systém GPS a systém včasného varování. </w:t>
            </w:r>
          </w:p>
        </w:tc>
      </w:tr>
      <w:tr w:rsidR="00515398" w14:paraId="0DBF7C0E" w14:textId="77777777">
        <w:trPr>
          <w:trHeight w:val="309"/>
          <w:jc w:val="center"/>
        </w:trPr>
        <w:tc>
          <w:tcPr>
            <w:tcW w:w="1129" w:type="dxa"/>
            <w:shd w:val="clear" w:color="auto" w:fill="C6EFCE"/>
            <w:noWrap/>
          </w:tcPr>
          <w:p w14:paraId="661C0701" w14:textId="77777777" w:rsidR="00515398" w:rsidRDefault="006711E6">
            <w:pPr>
              <w:pStyle w:val="P68B1DB1-Normal9"/>
              <w:rPr>
                <w:rFonts w:eastAsia="Times New Roman" w:cs="Calibri"/>
                <w:noProof/>
                <w:szCs w:val="18"/>
              </w:rPr>
            </w:pPr>
            <w:r>
              <w:rPr>
                <w:noProof/>
              </w:rPr>
              <w:t>79</w:t>
            </w:r>
          </w:p>
        </w:tc>
        <w:tc>
          <w:tcPr>
            <w:tcW w:w="1276" w:type="dxa"/>
            <w:shd w:val="clear" w:color="auto" w:fill="C6EFCE"/>
            <w:noWrap/>
          </w:tcPr>
          <w:p w14:paraId="5C45A234" w14:textId="77777777" w:rsidR="00515398" w:rsidRDefault="006711E6">
            <w:pPr>
              <w:pStyle w:val="P68B1DB1-Normal9"/>
              <w:rPr>
                <w:rFonts w:eastAsia="Times New Roman" w:cs="Calibri"/>
                <w:noProof/>
                <w:szCs w:val="18"/>
              </w:rPr>
            </w:pPr>
            <w:r>
              <w:rPr>
                <w:noProof/>
              </w:rPr>
              <w:t xml:space="preserve">4–1.4. Udržitelné využívání </w:t>
            </w:r>
            <w:r>
              <w:rPr>
                <w:noProof/>
              </w:rPr>
              <w:t>zdrojů, odolnost vůči změně klimatu a ochrana životního prostředí – 16911_Aerialní prostředky pro řešení krizí</w:t>
            </w:r>
          </w:p>
        </w:tc>
        <w:tc>
          <w:tcPr>
            <w:tcW w:w="993" w:type="dxa"/>
            <w:shd w:val="clear" w:color="auto" w:fill="C6EFCE"/>
            <w:noWrap/>
          </w:tcPr>
          <w:p w14:paraId="766C93DB" w14:textId="77777777" w:rsidR="00515398" w:rsidRDefault="006711E6">
            <w:pPr>
              <w:pStyle w:val="P68B1DB1-Normal9"/>
              <w:rPr>
                <w:rFonts w:eastAsia="Times New Roman" w:cs="Calibri"/>
                <w:noProof/>
                <w:szCs w:val="18"/>
              </w:rPr>
            </w:pPr>
            <w:r>
              <w:rPr>
                <w:noProof/>
              </w:rPr>
              <w:t>Milník</w:t>
            </w:r>
          </w:p>
        </w:tc>
        <w:tc>
          <w:tcPr>
            <w:tcW w:w="1277" w:type="dxa"/>
            <w:shd w:val="clear" w:color="auto" w:fill="C6EFCE"/>
            <w:noWrap/>
          </w:tcPr>
          <w:p w14:paraId="3E713923" w14:textId="77777777" w:rsidR="00515398" w:rsidRDefault="006711E6">
            <w:pPr>
              <w:pStyle w:val="P68B1DB1-Normal9"/>
              <w:rPr>
                <w:rFonts w:eastAsia="Times New Roman" w:cs="Calibri"/>
                <w:noProof/>
                <w:szCs w:val="18"/>
              </w:rPr>
            </w:pPr>
            <w:r>
              <w:rPr>
                <w:noProof/>
              </w:rPr>
              <w:t>Nákup dvou středně velkých hasičských vrtulníků</w:t>
            </w:r>
          </w:p>
        </w:tc>
        <w:tc>
          <w:tcPr>
            <w:tcW w:w="1320" w:type="dxa"/>
            <w:shd w:val="clear" w:color="auto" w:fill="C6EFCE"/>
            <w:noWrap/>
          </w:tcPr>
          <w:p w14:paraId="18A9C1DE" w14:textId="77777777" w:rsidR="00515398" w:rsidRDefault="006711E6">
            <w:pPr>
              <w:pStyle w:val="P68B1DB1-Normal9"/>
              <w:rPr>
                <w:rFonts w:eastAsia="Times New Roman" w:cs="Calibri"/>
                <w:noProof/>
                <w:szCs w:val="18"/>
              </w:rPr>
            </w:pPr>
            <w:r>
              <w:rPr>
                <w:noProof/>
              </w:rPr>
              <w:t xml:space="preserve">Oznámení o zadání zakázek </w:t>
            </w:r>
          </w:p>
        </w:tc>
        <w:tc>
          <w:tcPr>
            <w:tcW w:w="1200" w:type="dxa"/>
            <w:shd w:val="clear" w:color="auto" w:fill="C6EFCE"/>
            <w:noWrap/>
          </w:tcPr>
          <w:p w14:paraId="437F266F" w14:textId="77777777" w:rsidR="00515398" w:rsidRDefault="00515398">
            <w:pPr>
              <w:rPr>
                <w:rFonts w:eastAsia="Times New Roman" w:cs="Calibri"/>
                <w:noProof/>
                <w:color w:val="006100"/>
                <w:sz w:val="18"/>
                <w:szCs w:val="18"/>
              </w:rPr>
            </w:pPr>
          </w:p>
        </w:tc>
        <w:tc>
          <w:tcPr>
            <w:tcW w:w="960" w:type="dxa"/>
            <w:shd w:val="clear" w:color="auto" w:fill="C6EFCE"/>
            <w:noWrap/>
          </w:tcPr>
          <w:p w14:paraId="7FF2406B" w14:textId="77777777" w:rsidR="00515398" w:rsidRDefault="00515398">
            <w:pPr>
              <w:rPr>
                <w:rFonts w:eastAsia="Times New Roman" w:cs="Calibri"/>
                <w:noProof/>
                <w:color w:val="006100"/>
                <w:sz w:val="18"/>
                <w:szCs w:val="18"/>
              </w:rPr>
            </w:pPr>
          </w:p>
        </w:tc>
        <w:tc>
          <w:tcPr>
            <w:tcW w:w="960" w:type="dxa"/>
            <w:shd w:val="clear" w:color="auto" w:fill="C6EFCE"/>
            <w:noWrap/>
          </w:tcPr>
          <w:p w14:paraId="0B9E4FBF" w14:textId="77777777" w:rsidR="00515398" w:rsidRDefault="00515398">
            <w:pPr>
              <w:rPr>
                <w:rFonts w:eastAsia="Times New Roman" w:cs="Calibri"/>
                <w:noProof/>
                <w:color w:val="006100"/>
                <w:sz w:val="18"/>
                <w:szCs w:val="18"/>
              </w:rPr>
            </w:pPr>
          </w:p>
        </w:tc>
        <w:tc>
          <w:tcPr>
            <w:tcW w:w="960" w:type="dxa"/>
            <w:shd w:val="clear" w:color="auto" w:fill="C6EFCE"/>
            <w:noWrap/>
          </w:tcPr>
          <w:p w14:paraId="53660410" w14:textId="77777777" w:rsidR="00515398" w:rsidRDefault="006711E6">
            <w:pPr>
              <w:pStyle w:val="P68B1DB1-Normal9"/>
              <w:rPr>
                <w:rFonts w:eastAsia="Times New Roman" w:cs="Calibri"/>
                <w:noProof/>
                <w:szCs w:val="18"/>
              </w:rPr>
            </w:pPr>
            <w:r>
              <w:rPr>
                <w:noProof/>
              </w:rPr>
              <w:t>ČTVRTLETÍ ČTVRT</w:t>
            </w:r>
          </w:p>
        </w:tc>
        <w:tc>
          <w:tcPr>
            <w:tcW w:w="960" w:type="dxa"/>
            <w:shd w:val="clear" w:color="auto" w:fill="C6EFCE"/>
            <w:noWrap/>
          </w:tcPr>
          <w:p w14:paraId="0BB6C410" w14:textId="77777777" w:rsidR="00515398" w:rsidRDefault="006711E6">
            <w:pPr>
              <w:pStyle w:val="P68B1DB1-Normal9"/>
              <w:rPr>
                <w:rFonts w:eastAsia="Times New Roman" w:cs="Calibri"/>
                <w:noProof/>
                <w:szCs w:val="18"/>
              </w:rPr>
            </w:pPr>
            <w:r>
              <w:rPr>
                <w:noProof/>
              </w:rPr>
              <w:t>2023</w:t>
            </w:r>
          </w:p>
        </w:tc>
        <w:tc>
          <w:tcPr>
            <w:tcW w:w="4553" w:type="dxa"/>
            <w:shd w:val="clear" w:color="auto" w:fill="C6EFCE"/>
            <w:noWrap/>
          </w:tcPr>
          <w:p w14:paraId="7D8C6304" w14:textId="77777777" w:rsidR="00515398" w:rsidRDefault="006711E6">
            <w:pPr>
              <w:pStyle w:val="P68B1DB1-Normal9"/>
              <w:rPr>
                <w:rFonts w:eastAsia="Times New Roman" w:cs="Calibri"/>
                <w:noProof/>
                <w:szCs w:val="18"/>
              </w:rPr>
            </w:pPr>
            <w:r>
              <w:rPr>
                <w:noProof/>
              </w:rPr>
              <w:t>Oznámení o zadání zakázky na nákup dvou</w:t>
            </w:r>
            <w:r>
              <w:rPr>
                <w:noProof/>
              </w:rPr>
              <w:t xml:space="preserve"> středně velkých požárních vrtulníků pro potřeby civilní ochrany a hašení požárů.</w:t>
            </w:r>
          </w:p>
        </w:tc>
      </w:tr>
      <w:tr w:rsidR="00515398" w14:paraId="7EA846FA" w14:textId="77777777">
        <w:trPr>
          <w:trHeight w:val="309"/>
          <w:jc w:val="center"/>
        </w:trPr>
        <w:tc>
          <w:tcPr>
            <w:tcW w:w="1129" w:type="dxa"/>
            <w:shd w:val="clear" w:color="auto" w:fill="C6EFCE"/>
            <w:noWrap/>
          </w:tcPr>
          <w:p w14:paraId="20933168" w14:textId="77777777" w:rsidR="00515398" w:rsidRDefault="006711E6">
            <w:pPr>
              <w:pStyle w:val="P68B1DB1-Normal9"/>
              <w:rPr>
                <w:rFonts w:eastAsia="Times New Roman" w:cs="Calibri"/>
                <w:noProof/>
                <w:szCs w:val="18"/>
              </w:rPr>
            </w:pPr>
            <w:r>
              <w:rPr>
                <w:noProof/>
              </w:rPr>
              <w:t>81</w:t>
            </w:r>
          </w:p>
        </w:tc>
        <w:tc>
          <w:tcPr>
            <w:tcW w:w="1276" w:type="dxa"/>
            <w:shd w:val="clear" w:color="auto" w:fill="C6EFCE"/>
            <w:noWrap/>
          </w:tcPr>
          <w:p w14:paraId="3B1E37C1" w14:textId="77777777" w:rsidR="00515398" w:rsidRDefault="006711E6">
            <w:pPr>
              <w:pStyle w:val="P68B1DB1-Normal9"/>
              <w:rPr>
                <w:noProof/>
              </w:rPr>
            </w:pPr>
            <w:r>
              <w:rPr>
                <w:noProof/>
              </w:rPr>
              <w:t>4–1.4. Udržitelné využívání zdrojů, odolnost vůči změně klimatu a ochrana životního prostředí – 16910</w:t>
            </w:r>
          </w:p>
          <w:p w14:paraId="49DB28FD" w14:textId="2DED94A9" w:rsidR="00515398" w:rsidRDefault="006711E6">
            <w:pPr>
              <w:pStyle w:val="P68B1DB1-Normal9"/>
              <w:rPr>
                <w:rFonts w:eastAsia="Times New Roman" w:cs="Calibri"/>
                <w:noProof/>
                <w:szCs w:val="18"/>
                <w:highlight w:val="magenta"/>
              </w:rPr>
            </w:pPr>
            <w:r>
              <w:rPr>
                <w:noProof/>
              </w:rPr>
              <w:t>Systém sledování a řízení</w:t>
            </w:r>
          </w:p>
        </w:tc>
        <w:tc>
          <w:tcPr>
            <w:tcW w:w="993" w:type="dxa"/>
            <w:shd w:val="clear" w:color="auto" w:fill="C6EFCE"/>
            <w:noWrap/>
          </w:tcPr>
          <w:p w14:paraId="77C05350" w14:textId="77777777" w:rsidR="00515398" w:rsidRDefault="006711E6">
            <w:pPr>
              <w:pStyle w:val="P68B1DB1-Normal9"/>
              <w:rPr>
                <w:rFonts w:eastAsia="Times New Roman" w:cs="Calibri"/>
                <w:noProof/>
                <w:szCs w:val="18"/>
              </w:rPr>
            </w:pPr>
            <w:r>
              <w:rPr>
                <w:noProof/>
              </w:rPr>
              <w:t>Milník</w:t>
            </w:r>
          </w:p>
        </w:tc>
        <w:tc>
          <w:tcPr>
            <w:tcW w:w="1277" w:type="dxa"/>
            <w:shd w:val="clear" w:color="auto" w:fill="C6EFCE"/>
            <w:noWrap/>
          </w:tcPr>
          <w:p w14:paraId="2849295D" w14:textId="77777777" w:rsidR="00515398" w:rsidRDefault="006711E6">
            <w:pPr>
              <w:pStyle w:val="P68B1DB1-Normal9"/>
              <w:rPr>
                <w:rFonts w:eastAsia="Times New Roman" w:cs="Calibri"/>
                <w:noProof/>
                <w:szCs w:val="18"/>
              </w:rPr>
            </w:pPr>
            <w:r>
              <w:rPr>
                <w:noProof/>
              </w:rPr>
              <w:t>Dokončení systému monitorování a ří</w:t>
            </w:r>
            <w:r>
              <w:rPr>
                <w:noProof/>
              </w:rPr>
              <w:t>zení civilní ochrany</w:t>
            </w:r>
          </w:p>
        </w:tc>
        <w:tc>
          <w:tcPr>
            <w:tcW w:w="1320" w:type="dxa"/>
            <w:shd w:val="clear" w:color="auto" w:fill="C6EFCE"/>
            <w:noWrap/>
          </w:tcPr>
          <w:p w14:paraId="19C48DA9" w14:textId="1F52304C" w:rsidR="00515398" w:rsidRDefault="006711E6">
            <w:pPr>
              <w:pStyle w:val="P68B1DB1-Normal9"/>
              <w:rPr>
                <w:rFonts w:eastAsia="Times New Roman" w:cs="Calibri"/>
                <w:noProof/>
                <w:szCs w:val="18"/>
              </w:rPr>
            </w:pPr>
            <w:r>
              <w:rPr>
                <w:noProof/>
              </w:rPr>
              <w:t>Dokončení certifikováno zprávou ministerstva pro klimatickou krizi a civilní ochranu</w:t>
            </w:r>
          </w:p>
        </w:tc>
        <w:tc>
          <w:tcPr>
            <w:tcW w:w="1200" w:type="dxa"/>
            <w:shd w:val="clear" w:color="auto" w:fill="C6EFCE"/>
            <w:noWrap/>
          </w:tcPr>
          <w:p w14:paraId="247B3AB4" w14:textId="77777777" w:rsidR="00515398" w:rsidRDefault="00515398">
            <w:pPr>
              <w:rPr>
                <w:rFonts w:eastAsia="Times New Roman" w:cs="Calibri"/>
                <w:noProof/>
                <w:color w:val="006100"/>
                <w:sz w:val="18"/>
                <w:szCs w:val="18"/>
              </w:rPr>
            </w:pPr>
          </w:p>
        </w:tc>
        <w:tc>
          <w:tcPr>
            <w:tcW w:w="960" w:type="dxa"/>
            <w:shd w:val="clear" w:color="auto" w:fill="C6EFCE"/>
            <w:noWrap/>
          </w:tcPr>
          <w:p w14:paraId="2687C89C" w14:textId="77777777" w:rsidR="00515398" w:rsidRDefault="00515398">
            <w:pPr>
              <w:rPr>
                <w:rFonts w:eastAsia="Times New Roman" w:cs="Calibri"/>
                <w:noProof/>
                <w:color w:val="006100"/>
                <w:sz w:val="18"/>
                <w:szCs w:val="18"/>
              </w:rPr>
            </w:pPr>
          </w:p>
        </w:tc>
        <w:tc>
          <w:tcPr>
            <w:tcW w:w="960" w:type="dxa"/>
            <w:shd w:val="clear" w:color="auto" w:fill="C6EFCE"/>
            <w:noWrap/>
          </w:tcPr>
          <w:p w14:paraId="4227CB82" w14:textId="77777777" w:rsidR="00515398" w:rsidRDefault="00515398">
            <w:pPr>
              <w:rPr>
                <w:rFonts w:eastAsia="Times New Roman" w:cs="Calibri"/>
                <w:noProof/>
                <w:color w:val="006100"/>
                <w:sz w:val="18"/>
                <w:szCs w:val="18"/>
              </w:rPr>
            </w:pPr>
          </w:p>
        </w:tc>
        <w:tc>
          <w:tcPr>
            <w:tcW w:w="960" w:type="dxa"/>
            <w:shd w:val="clear" w:color="auto" w:fill="C6EFCE"/>
            <w:noWrap/>
          </w:tcPr>
          <w:p w14:paraId="0BB714F8" w14:textId="77777777" w:rsidR="00515398" w:rsidRDefault="006711E6">
            <w:pPr>
              <w:pStyle w:val="P68B1DB1-Normal9"/>
              <w:rPr>
                <w:rFonts w:eastAsia="Times New Roman" w:cs="Calibri"/>
                <w:noProof/>
                <w:szCs w:val="18"/>
              </w:rPr>
            </w:pPr>
            <w:r>
              <w:rPr>
                <w:noProof/>
              </w:rPr>
              <w:t>ČTVRTLETÍ ČTVRT</w:t>
            </w:r>
          </w:p>
        </w:tc>
        <w:tc>
          <w:tcPr>
            <w:tcW w:w="960" w:type="dxa"/>
            <w:shd w:val="clear" w:color="auto" w:fill="C6EFCE"/>
            <w:noWrap/>
          </w:tcPr>
          <w:p w14:paraId="09AC204D" w14:textId="77777777" w:rsidR="00515398" w:rsidRDefault="006711E6">
            <w:pPr>
              <w:pStyle w:val="P68B1DB1-Normal9"/>
              <w:rPr>
                <w:rFonts w:eastAsia="Times New Roman" w:cs="Calibri"/>
                <w:noProof/>
                <w:szCs w:val="18"/>
              </w:rPr>
            </w:pPr>
            <w:r>
              <w:rPr>
                <w:noProof/>
              </w:rPr>
              <w:t>2025</w:t>
            </w:r>
          </w:p>
        </w:tc>
        <w:tc>
          <w:tcPr>
            <w:tcW w:w="4553" w:type="dxa"/>
            <w:shd w:val="clear" w:color="auto" w:fill="C6EFCE"/>
            <w:noWrap/>
          </w:tcPr>
          <w:p w14:paraId="2B5FD1E9" w14:textId="77777777" w:rsidR="00515398" w:rsidRDefault="006711E6">
            <w:pPr>
              <w:pStyle w:val="P68B1DB1-Normal9"/>
              <w:rPr>
                <w:rFonts w:eastAsia="Times New Roman" w:cs="Calibri"/>
                <w:noProof/>
                <w:szCs w:val="18"/>
              </w:rPr>
            </w:pPr>
            <w:r>
              <w:rPr>
                <w:noProof/>
              </w:rPr>
              <w:t>Dokončení těchto opatření:</w:t>
            </w:r>
          </w:p>
          <w:p w14:paraId="1604AA5E" w14:textId="77777777" w:rsidR="00515398" w:rsidRDefault="006711E6">
            <w:pPr>
              <w:pStyle w:val="P68B1DB1-Normal9"/>
              <w:numPr>
                <w:ilvl w:val="0"/>
                <w:numId w:val="48"/>
              </w:numPr>
              <w:spacing w:before="120" w:line="259" w:lineRule="auto"/>
              <w:contextualSpacing/>
              <w:jc w:val="both"/>
              <w:rPr>
                <w:rFonts w:eastAsia="Times New Roman" w:cs="Calibri"/>
                <w:noProof/>
                <w:szCs w:val="18"/>
              </w:rPr>
            </w:pPr>
            <w:r>
              <w:rPr>
                <w:noProof/>
              </w:rPr>
              <w:t>Monitorovací systém GPS používaný řeckou hasičskou službou, jakož i vozidla regionálního operačního</w:t>
            </w:r>
            <w:r>
              <w:rPr>
                <w:noProof/>
              </w:rPr>
              <w:t xml:space="preserve"> střediska civilní ochrany (projektová strojní zařízení atd.). Rozšíření informačního systému „zapojení“ Řecké hasičské služby;</w:t>
            </w:r>
          </w:p>
          <w:p w14:paraId="4C08A001" w14:textId="77777777" w:rsidR="00515398" w:rsidRDefault="006711E6">
            <w:pPr>
              <w:pStyle w:val="P68B1DB1-Normal9"/>
              <w:numPr>
                <w:ilvl w:val="0"/>
                <w:numId w:val="48"/>
              </w:numPr>
              <w:spacing w:before="120" w:line="259" w:lineRule="auto"/>
              <w:contextualSpacing/>
              <w:jc w:val="both"/>
              <w:rPr>
                <w:rFonts w:eastAsia="Times New Roman" w:cs="Calibri"/>
                <w:noProof/>
                <w:szCs w:val="18"/>
              </w:rPr>
            </w:pPr>
            <w:r>
              <w:rPr>
                <w:noProof/>
              </w:rPr>
              <w:t>Systém včasného varování;</w:t>
            </w:r>
          </w:p>
          <w:p w14:paraId="01EF27A0" w14:textId="77777777" w:rsidR="00515398" w:rsidRDefault="006711E6">
            <w:pPr>
              <w:pStyle w:val="P68B1DB1-Normal9"/>
              <w:numPr>
                <w:ilvl w:val="0"/>
                <w:numId w:val="48"/>
              </w:numPr>
              <w:spacing w:before="120" w:line="259" w:lineRule="auto"/>
              <w:contextualSpacing/>
              <w:jc w:val="both"/>
              <w:rPr>
                <w:rFonts w:eastAsia="Times New Roman" w:cs="Calibri"/>
                <w:noProof/>
                <w:szCs w:val="18"/>
              </w:rPr>
            </w:pPr>
            <w:r>
              <w:rPr>
                <w:noProof/>
              </w:rPr>
              <w:t>Systémy detekce požáru a hasicí systémy;</w:t>
            </w:r>
          </w:p>
          <w:p w14:paraId="15622CE2" w14:textId="667510AD" w:rsidR="00515398" w:rsidRDefault="006711E6">
            <w:pPr>
              <w:pStyle w:val="P68B1DB1-Normal9"/>
              <w:numPr>
                <w:ilvl w:val="0"/>
                <w:numId w:val="48"/>
              </w:numPr>
              <w:spacing w:before="120" w:line="259" w:lineRule="auto"/>
              <w:contextualSpacing/>
              <w:jc w:val="both"/>
              <w:rPr>
                <w:rFonts w:eastAsia="Times New Roman" w:cs="Calibri"/>
                <w:noProof/>
                <w:szCs w:val="18"/>
              </w:rPr>
            </w:pPr>
            <w:r>
              <w:rPr>
                <w:noProof/>
              </w:rPr>
              <w:t xml:space="preserve">Tísňové komunikační stanice a poskytování klimatických údajů </w:t>
            </w:r>
            <w:r>
              <w:rPr>
                <w:noProof/>
              </w:rPr>
              <w:t>v oblastech zájmu.</w:t>
            </w:r>
          </w:p>
          <w:p w14:paraId="726097B1" w14:textId="77777777" w:rsidR="00515398" w:rsidRDefault="00515398">
            <w:pPr>
              <w:rPr>
                <w:rFonts w:eastAsia="Times New Roman" w:cs="Calibri"/>
                <w:noProof/>
                <w:color w:val="006100"/>
                <w:sz w:val="18"/>
                <w:szCs w:val="18"/>
              </w:rPr>
            </w:pPr>
          </w:p>
        </w:tc>
      </w:tr>
      <w:tr w:rsidR="00515398" w14:paraId="1BD751C1" w14:textId="77777777">
        <w:trPr>
          <w:trHeight w:val="309"/>
          <w:jc w:val="center"/>
        </w:trPr>
        <w:tc>
          <w:tcPr>
            <w:tcW w:w="1129" w:type="dxa"/>
            <w:shd w:val="clear" w:color="auto" w:fill="C6EFCE"/>
            <w:noWrap/>
          </w:tcPr>
          <w:p w14:paraId="18B7D165" w14:textId="77777777" w:rsidR="00515398" w:rsidRDefault="006711E6">
            <w:pPr>
              <w:pStyle w:val="P68B1DB1-Normal9"/>
              <w:rPr>
                <w:rFonts w:eastAsia="Times New Roman" w:cs="Calibri"/>
                <w:noProof/>
                <w:szCs w:val="18"/>
              </w:rPr>
            </w:pPr>
            <w:r>
              <w:rPr>
                <w:noProof/>
              </w:rPr>
              <w:t>82</w:t>
            </w:r>
          </w:p>
        </w:tc>
        <w:tc>
          <w:tcPr>
            <w:tcW w:w="1276" w:type="dxa"/>
            <w:shd w:val="clear" w:color="auto" w:fill="C6EFCE"/>
            <w:noWrap/>
          </w:tcPr>
          <w:p w14:paraId="5EE8CACF" w14:textId="77777777" w:rsidR="00515398" w:rsidRDefault="006711E6">
            <w:pPr>
              <w:pStyle w:val="P68B1DB1-Normal9"/>
              <w:rPr>
                <w:rFonts w:eastAsia="Times New Roman" w:cs="Calibri"/>
                <w:noProof/>
                <w:szCs w:val="18"/>
              </w:rPr>
            </w:pPr>
            <w:r>
              <w:rPr>
                <w:noProof/>
              </w:rPr>
              <w:t>4–1.4. Udržitelné využívání zdrojů, odolnost vůči změně klimatu a ochrana životního prostředí – 16911_Aerialní prostředky pro řešení krizí</w:t>
            </w:r>
          </w:p>
        </w:tc>
        <w:tc>
          <w:tcPr>
            <w:tcW w:w="993" w:type="dxa"/>
            <w:shd w:val="clear" w:color="auto" w:fill="C6EFCE"/>
            <w:noWrap/>
          </w:tcPr>
          <w:p w14:paraId="23B94D1B" w14:textId="77777777" w:rsidR="00515398" w:rsidRDefault="006711E6">
            <w:pPr>
              <w:pStyle w:val="P68B1DB1-Normal9"/>
              <w:rPr>
                <w:rFonts w:eastAsia="Times New Roman" w:cs="Calibri"/>
                <w:noProof/>
                <w:szCs w:val="18"/>
              </w:rPr>
            </w:pPr>
            <w:r>
              <w:rPr>
                <w:noProof/>
              </w:rPr>
              <w:t>Milník</w:t>
            </w:r>
          </w:p>
        </w:tc>
        <w:tc>
          <w:tcPr>
            <w:tcW w:w="1277" w:type="dxa"/>
            <w:shd w:val="clear" w:color="auto" w:fill="C6EFCE"/>
            <w:noWrap/>
          </w:tcPr>
          <w:p w14:paraId="16CFB97C" w14:textId="77777777" w:rsidR="00515398" w:rsidRDefault="006711E6">
            <w:pPr>
              <w:pStyle w:val="P68B1DB1-Normal9"/>
              <w:rPr>
                <w:rFonts w:eastAsia="Times New Roman" w:cs="Calibri"/>
                <w:noProof/>
                <w:szCs w:val="18"/>
              </w:rPr>
            </w:pPr>
            <w:r>
              <w:rPr>
                <w:noProof/>
              </w:rPr>
              <w:t>Dokončení projektu leteckých prostředků pro řešení krizí</w:t>
            </w:r>
          </w:p>
        </w:tc>
        <w:tc>
          <w:tcPr>
            <w:tcW w:w="1320" w:type="dxa"/>
            <w:shd w:val="clear" w:color="auto" w:fill="C6EFCE"/>
            <w:noWrap/>
          </w:tcPr>
          <w:p w14:paraId="3A0B981F" w14:textId="340DAC31" w:rsidR="00515398" w:rsidRDefault="006711E6">
            <w:pPr>
              <w:rPr>
                <w:rFonts w:eastAsia="Times New Roman" w:cs="Calibri"/>
                <w:noProof/>
                <w:color w:val="006100"/>
                <w:sz w:val="18"/>
                <w:szCs w:val="18"/>
              </w:rPr>
            </w:pPr>
            <w:r>
              <w:rPr>
                <w:noProof/>
                <w:color w:val="006100"/>
                <w:sz w:val="18"/>
              </w:rPr>
              <w:t xml:space="preserve">Dokončení certifikováno zprávou ministerstva pro klimatickou </w:t>
            </w:r>
            <w:r>
              <w:rPr>
                <w:noProof/>
              </w:rPr>
              <w:t xml:space="preserve"> </w:t>
            </w:r>
            <w:r>
              <w:rPr>
                <w:noProof/>
                <w:color w:val="006100"/>
                <w:sz w:val="18"/>
              </w:rPr>
              <w:t>krizi a civilní ochranu</w:t>
            </w:r>
          </w:p>
        </w:tc>
        <w:tc>
          <w:tcPr>
            <w:tcW w:w="1200" w:type="dxa"/>
            <w:shd w:val="clear" w:color="auto" w:fill="C6EFCE"/>
            <w:noWrap/>
          </w:tcPr>
          <w:p w14:paraId="69D7C170" w14:textId="77777777" w:rsidR="00515398" w:rsidRDefault="00515398">
            <w:pPr>
              <w:rPr>
                <w:rFonts w:eastAsia="Times New Roman" w:cs="Calibri"/>
                <w:noProof/>
                <w:color w:val="006100"/>
                <w:sz w:val="18"/>
                <w:szCs w:val="18"/>
              </w:rPr>
            </w:pPr>
          </w:p>
        </w:tc>
        <w:tc>
          <w:tcPr>
            <w:tcW w:w="960" w:type="dxa"/>
            <w:shd w:val="clear" w:color="auto" w:fill="C6EFCE"/>
            <w:noWrap/>
          </w:tcPr>
          <w:p w14:paraId="1524E046" w14:textId="77777777" w:rsidR="00515398" w:rsidRDefault="00515398">
            <w:pPr>
              <w:rPr>
                <w:rFonts w:eastAsia="Times New Roman" w:cs="Calibri"/>
                <w:noProof/>
                <w:color w:val="006100"/>
                <w:sz w:val="18"/>
                <w:szCs w:val="18"/>
              </w:rPr>
            </w:pPr>
          </w:p>
        </w:tc>
        <w:tc>
          <w:tcPr>
            <w:tcW w:w="960" w:type="dxa"/>
            <w:shd w:val="clear" w:color="auto" w:fill="C6EFCE"/>
            <w:noWrap/>
          </w:tcPr>
          <w:p w14:paraId="42BC9733" w14:textId="77777777" w:rsidR="00515398" w:rsidRDefault="00515398">
            <w:pPr>
              <w:rPr>
                <w:rFonts w:eastAsia="Times New Roman" w:cs="Calibri"/>
                <w:noProof/>
                <w:color w:val="006100"/>
                <w:sz w:val="18"/>
                <w:szCs w:val="18"/>
              </w:rPr>
            </w:pPr>
          </w:p>
        </w:tc>
        <w:tc>
          <w:tcPr>
            <w:tcW w:w="960" w:type="dxa"/>
            <w:shd w:val="clear" w:color="auto" w:fill="C6EFCE"/>
            <w:noWrap/>
          </w:tcPr>
          <w:p w14:paraId="58015B17" w14:textId="77777777" w:rsidR="00515398" w:rsidRDefault="006711E6">
            <w:pPr>
              <w:pStyle w:val="P68B1DB1-Normal9"/>
              <w:rPr>
                <w:rFonts w:eastAsia="Times New Roman" w:cs="Calibri"/>
                <w:noProof/>
                <w:szCs w:val="18"/>
              </w:rPr>
            </w:pPr>
            <w:r>
              <w:rPr>
                <w:noProof/>
              </w:rPr>
              <w:t>ČTVRTLETÍ ČTVRT</w:t>
            </w:r>
          </w:p>
        </w:tc>
        <w:tc>
          <w:tcPr>
            <w:tcW w:w="960" w:type="dxa"/>
            <w:shd w:val="clear" w:color="auto" w:fill="C6EFCE"/>
            <w:noWrap/>
          </w:tcPr>
          <w:p w14:paraId="471059D8" w14:textId="77777777" w:rsidR="00515398" w:rsidRDefault="006711E6">
            <w:pPr>
              <w:pStyle w:val="P68B1DB1-Normal9"/>
              <w:rPr>
                <w:rFonts w:eastAsia="Times New Roman" w:cs="Calibri"/>
                <w:noProof/>
                <w:szCs w:val="18"/>
              </w:rPr>
            </w:pPr>
            <w:r>
              <w:rPr>
                <w:noProof/>
              </w:rPr>
              <w:t>2025</w:t>
            </w:r>
          </w:p>
        </w:tc>
        <w:tc>
          <w:tcPr>
            <w:tcW w:w="4553" w:type="dxa"/>
            <w:shd w:val="clear" w:color="auto" w:fill="C6EFCE"/>
            <w:noWrap/>
          </w:tcPr>
          <w:p w14:paraId="5953A12A" w14:textId="77777777" w:rsidR="00515398" w:rsidRDefault="006711E6">
            <w:pPr>
              <w:pStyle w:val="P68B1DB1-Normal9"/>
              <w:rPr>
                <w:rFonts w:eastAsia="Times New Roman" w:cs="Calibri"/>
                <w:noProof/>
                <w:szCs w:val="18"/>
              </w:rPr>
            </w:pPr>
            <w:r>
              <w:rPr>
                <w:noProof/>
              </w:rPr>
              <w:t>Dokončení těchto opatření:</w:t>
            </w:r>
          </w:p>
          <w:p w14:paraId="785A9F19" w14:textId="77777777" w:rsidR="00515398" w:rsidRDefault="006711E6">
            <w:pPr>
              <w:pStyle w:val="P68B1DB1-Normal9"/>
              <w:numPr>
                <w:ilvl w:val="0"/>
                <w:numId w:val="49"/>
              </w:numPr>
              <w:spacing w:before="120" w:line="259" w:lineRule="auto"/>
              <w:contextualSpacing/>
              <w:jc w:val="both"/>
              <w:rPr>
                <w:rFonts w:eastAsia="Times New Roman" w:cs="Calibri"/>
                <w:noProof/>
                <w:szCs w:val="18"/>
              </w:rPr>
            </w:pPr>
            <w:r>
              <w:rPr>
                <w:noProof/>
              </w:rPr>
              <w:t>Dodání dvou užitkových vrtulníků střední velikosti pro lékařské použití;</w:t>
            </w:r>
          </w:p>
          <w:p w14:paraId="47966FED" w14:textId="77777777" w:rsidR="00515398" w:rsidRDefault="006711E6">
            <w:pPr>
              <w:pStyle w:val="P68B1DB1-Normal9"/>
              <w:numPr>
                <w:ilvl w:val="0"/>
                <w:numId w:val="49"/>
              </w:numPr>
              <w:spacing w:before="120" w:line="259" w:lineRule="auto"/>
              <w:contextualSpacing/>
              <w:jc w:val="both"/>
              <w:rPr>
                <w:rFonts w:eastAsia="Times New Roman" w:cs="Calibri"/>
                <w:noProof/>
                <w:szCs w:val="18"/>
              </w:rPr>
            </w:pPr>
            <w:r>
              <w:rPr>
                <w:noProof/>
              </w:rPr>
              <w:t xml:space="preserve">Dodání bezpilotních vzdušných prostředků – </w:t>
            </w:r>
            <w:r>
              <w:rPr>
                <w:noProof/>
              </w:rPr>
              <w:t>bezpilotních vzdušných prostředků (Drones) pro letecký dohled;</w:t>
            </w:r>
          </w:p>
          <w:p w14:paraId="414A25B8" w14:textId="77777777" w:rsidR="00515398" w:rsidRDefault="006711E6">
            <w:pPr>
              <w:pStyle w:val="P68B1DB1-Normal9"/>
              <w:numPr>
                <w:ilvl w:val="0"/>
                <w:numId w:val="49"/>
              </w:numPr>
              <w:spacing w:before="120" w:line="259" w:lineRule="auto"/>
              <w:contextualSpacing/>
              <w:jc w:val="both"/>
              <w:rPr>
                <w:rFonts w:eastAsia="Times New Roman" w:cs="Calibri"/>
                <w:noProof/>
                <w:szCs w:val="18"/>
              </w:rPr>
            </w:pPr>
            <w:r>
              <w:rPr>
                <w:noProof/>
              </w:rPr>
              <w:t>Dodání dvou vrtulníků střední velikosti pro hašení požárů;</w:t>
            </w:r>
          </w:p>
          <w:p w14:paraId="5495E147" w14:textId="77777777" w:rsidR="00515398" w:rsidRDefault="006711E6">
            <w:pPr>
              <w:pStyle w:val="P68B1DB1-Normal9"/>
              <w:numPr>
                <w:ilvl w:val="0"/>
                <w:numId w:val="49"/>
              </w:numPr>
              <w:spacing w:before="120" w:line="259" w:lineRule="auto"/>
              <w:contextualSpacing/>
              <w:jc w:val="both"/>
              <w:rPr>
                <w:rFonts w:eastAsia="Times New Roman" w:cs="Calibri"/>
                <w:noProof/>
                <w:szCs w:val="18"/>
              </w:rPr>
            </w:pPr>
            <w:r>
              <w:rPr>
                <w:noProof/>
              </w:rPr>
              <w:t>Dodání 1 vrtulníku pro přepravu týmu generálního sekretariátu Rady pro řešení incidentů;</w:t>
            </w:r>
          </w:p>
          <w:p w14:paraId="14F04E0B" w14:textId="1DC8973C" w:rsidR="00515398" w:rsidRDefault="006711E6">
            <w:pPr>
              <w:pStyle w:val="P68B1DB1-Normal9"/>
              <w:numPr>
                <w:ilvl w:val="0"/>
                <w:numId w:val="49"/>
              </w:numPr>
              <w:spacing w:before="120" w:line="259" w:lineRule="auto"/>
              <w:contextualSpacing/>
              <w:jc w:val="both"/>
              <w:rPr>
                <w:rFonts w:eastAsia="Times New Roman" w:cs="Calibri"/>
                <w:noProof/>
                <w:szCs w:val="18"/>
              </w:rPr>
            </w:pPr>
            <w:r>
              <w:rPr>
                <w:noProof/>
              </w:rPr>
              <w:t>Dodání 8 obojživelných jednomotorových hasicí</w:t>
            </w:r>
            <w:r>
              <w:rPr>
                <w:noProof/>
              </w:rPr>
              <w:t>ch letounů pro ostrovní komplexy; a pokud</w:t>
            </w:r>
          </w:p>
          <w:p w14:paraId="61EEA907" w14:textId="77777777" w:rsidR="00515398" w:rsidRDefault="006711E6">
            <w:pPr>
              <w:pStyle w:val="P68B1DB1-Normal9"/>
              <w:numPr>
                <w:ilvl w:val="0"/>
                <w:numId w:val="49"/>
              </w:numPr>
              <w:spacing w:before="120" w:line="259" w:lineRule="auto"/>
              <w:contextualSpacing/>
              <w:jc w:val="both"/>
              <w:rPr>
                <w:rFonts w:eastAsia="Times New Roman" w:cs="Calibri"/>
                <w:noProof/>
                <w:szCs w:val="18"/>
              </w:rPr>
            </w:pPr>
            <w:r>
              <w:rPr>
                <w:noProof/>
              </w:rPr>
              <w:t>Modernizace – modernizace dvou (2) Super Pumas.</w:t>
            </w:r>
          </w:p>
        </w:tc>
      </w:tr>
      <w:tr w:rsidR="00515398" w14:paraId="65A141A2" w14:textId="77777777">
        <w:trPr>
          <w:trHeight w:val="309"/>
          <w:jc w:val="center"/>
        </w:trPr>
        <w:tc>
          <w:tcPr>
            <w:tcW w:w="1129" w:type="dxa"/>
            <w:shd w:val="clear" w:color="auto" w:fill="C6EFCE"/>
            <w:noWrap/>
          </w:tcPr>
          <w:p w14:paraId="2E681548" w14:textId="77777777" w:rsidR="00515398" w:rsidRDefault="006711E6">
            <w:pPr>
              <w:pStyle w:val="P68B1DB1-Normal9"/>
              <w:rPr>
                <w:rFonts w:eastAsia="Times New Roman" w:cs="Calibri"/>
                <w:noProof/>
                <w:szCs w:val="18"/>
              </w:rPr>
            </w:pPr>
            <w:r>
              <w:rPr>
                <w:noProof/>
              </w:rPr>
              <w:t>83</w:t>
            </w:r>
          </w:p>
        </w:tc>
        <w:tc>
          <w:tcPr>
            <w:tcW w:w="1276" w:type="dxa"/>
            <w:shd w:val="clear" w:color="auto" w:fill="C6EFCE"/>
            <w:noWrap/>
          </w:tcPr>
          <w:p w14:paraId="6A053F86" w14:textId="77777777" w:rsidR="00515398" w:rsidRDefault="006711E6">
            <w:pPr>
              <w:pStyle w:val="P68B1DB1-Normal9"/>
              <w:rPr>
                <w:rFonts w:eastAsia="Times New Roman" w:cs="Calibri"/>
                <w:noProof/>
                <w:szCs w:val="18"/>
                <w:highlight w:val="magenta"/>
              </w:rPr>
            </w:pPr>
            <w:r>
              <w:rPr>
                <w:noProof/>
              </w:rPr>
              <w:t>4–1.4. Udržitelné využívání zdrojů, odolnost vůči změně klimatu a ochrana životního prostředí – 16912_Zařízení pro hašení požárů, prevenci a reakci v lesích</w:t>
            </w:r>
          </w:p>
        </w:tc>
        <w:tc>
          <w:tcPr>
            <w:tcW w:w="993" w:type="dxa"/>
            <w:shd w:val="clear" w:color="auto" w:fill="C6EFCE"/>
            <w:noWrap/>
          </w:tcPr>
          <w:p w14:paraId="6662E5BF" w14:textId="77777777" w:rsidR="00515398" w:rsidRDefault="006711E6">
            <w:pPr>
              <w:pStyle w:val="P68B1DB1-Normal9"/>
              <w:rPr>
                <w:rFonts w:eastAsia="Times New Roman" w:cs="Calibri"/>
                <w:noProof/>
                <w:szCs w:val="18"/>
              </w:rPr>
            </w:pPr>
            <w:r>
              <w:rPr>
                <w:noProof/>
              </w:rPr>
              <w:t>Milník</w:t>
            </w:r>
          </w:p>
        </w:tc>
        <w:tc>
          <w:tcPr>
            <w:tcW w:w="1277" w:type="dxa"/>
            <w:shd w:val="clear" w:color="auto" w:fill="C6EFCE"/>
            <w:noWrap/>
          </w:tcPr>
          <w:p w14:paraId="7B14CA11" w14:textId="77777777" w:rsidR="00515398" w:rsidRDefault="006711E6">
            <w:pPr>
              <w:pStyle w:val="P68B1DB1-Normal9"/>
              <w:rPr>
                <w:rFonts w:eastAsia="Times New Roman" w:cs="Calibri"/>
                <w:noProof/>
                <w:szCs w:val="18"/>
              </w:rPr>
            </w:pPr>
            <w:r>
              <w:rPr>
                <w:noProof/>
              </w:rPr>
              <w:t>Dokončení lesnického vybavení</w:t>
            </w:r>
          </w:p>
        </w:tc>
        <w:tc>
          <w:tcPr>
            <w:tcW w:w="1320" w:type="dxa"/>
            <w:shd w:val="clear" w:color="auto" w:fill="C6EFCE"/>
            <w:noWrap/>
          </w:tcPr>
          <w:p w14:paraId="6798EDC7" w14:textId="77777777" w:rsidR="00515398" w:rsidRDefault="006711E6">
            <w:pPr>
              <w:pStyle w:val="P68B1DB1-Normal9"/>
              <w:rPr>
                <w:rFonts w:eastAsia="Times New Roman" w:cs="Calibri"/>
                <w:noProof/>
                <w:szCs w:val="18"/>
              </w:rPr>
            </w:pPr>
            <w:r>
              <w:rPr>
                <w:noProof/>
              </w:rPr>
              <w:t>Dokončení potvrzeno zprávou ministerstva vnitra</w:t>
            </w:r>
          </w:p>
        </w:tc>
        <w:tc>
          <w:tcPr>
            <w:tcW w:w="1200" w:type="dxa"/>
            <w:shd w:val="clear" w:color="auto" w:fill="C6EFCE"/>
            <w:noWrap/>
          </w:tcPr>
          <w:p w14:paraId="70E6D204" w14:textId="77777777" w:rsidR="00515398" w:rsidRDefault="00515398">
            <w:pPr>
              <w:rPr>
                <w:rFonts w:eastAsia="Times New Roman" w:cs="Calibri"/>
                <w:noProof/>
                <w:color w:val="006100"/>
                <w:sz w:val="18"/>
                <w:szCs w:val="18"/>
              </w:rPr>
            </w:pPr>
          </w:p>
        </w:tc>
        <w:tc>
          <w:tcPr>
            <w:tcW w:w="960" w:type="dxa"/>
            <w:shd w:val="clear" w:color="auto" w:fill="C6EFCE"/>
            <w:noWrap/>
          </w:tcPr>
          <w:p w14:paraId="6213E4C7" w14:textId="77777777" w:rsidR="00515398" w:rsidRDefault="00515398">
            <w:pPr>
              <w:rPr>
                <w:rFonts w:eastAsia="Times New Roman" w:cs="Calibri"/>
                <w:noProof/>
                <w:color w:val="006100"/>
                <w:sz w:val="18"/>
                <w:szCs w:val="18"/>
              </w:rPr>
            </w:pPr>
          </w:p>
        </w:tc>
        <w:tc>
          <w:tcPr>
            <w:tcW w:w="960" w:type="dxa"/>
            <w:shd w:val="clear" w:color="auto" w:fill="C6EFCE"/>
            <w:noWrap/>
          </w:tcPr>
          <w:p w14:paraId="303C93EA" w14:textId="77777777" w:rsidR="00515398" w:rsidRDefault="00515398">
            <w:pPr>
              <w:rPr>
                <w:rFonts w:eastAsia="Times New Roman" w:cs="Calibri"/>
                <w:noProof/>
                <w:color w:val="006100"/>
                <w:sz w:val="18"/>
                <w:szCs w:val="18"/>
              </w:rPr>
            </w:pPr>
          </w:p>
        </w:tc>
        <w:tc>
          <w:tcPr>
            <w:tcW w:w="960" w:type="dxa"/>
            <w:shd w:val="clear" w:color="auto" w:fill="C6EFCE"/>
            <w:noWrap/>
          </w:tcPr>
          <w:p w14:paraId="1F0347E2" w14:textId="77777777" w:rsidR="00515398" w:rsidRDefault="006711E6">
            <w:pPr>
              <w:pStyle w:val="P68B1DB1-Normal9"/>
              <w:rPr>
                <w:rFonts w:eastAsia="Times New Roman" w:cs="Calibri"/>
                <w:noProof/>
                <w:szCs w:val="18"/>
              </w:rPr>
            </w:pPr>
            <w:r>
              <w:rPr>
                <w:noProof/>
              </w:rPr>
              <w:t>ČTVRTLETÍ ČTVRT</w:t>
            </w:r>
          </w:p>
        </w:tc>
        <w:tc>
          <w:tcPr>
            <w:tcW w:w="960" w:type="dxa"/>
            <w:shd w:val="clear" w:color="auto" w:fill="C6EFCE"/>
            <w:noWrap/>
          </w:tcPr>
          <w:p w14:paraId="5BE974B4" w14:textId="77777777" w:rsidR="00515398" w:rsidRDefault="006711E6">
            <w:pPr>
              <w:pStyle w:val="P68B1DB1-Normal9"/>
              <w:rPr>
                <w:rFonts w:eastAsia="Times New Roman" w:cs="Calibri"/>
                <w:noProof/>
                <w:szCs w:val="18"/>
              </w:rPr>
            </w:pPr>
            <w:r>
              <w:rPr>
                <w:noProof/>
              </w:rPr>
              <w:t>2025</w:t>
            </w:r>
          </w:p>
        </w:tc>
        <w:tc>
          <w:tcPr>
            <w:tcW w:w="4553" w:type="dxa"/>
            <w:shd w:val="clear" w:color="auto" w:fill="C6EFCE"/>
            <w:noWrap/>
          </w:tcPr>
          <w:p w14:paraId="262F01CC" w14:textId="77777777" w:rsidR="00515398" w:rsidRDefault="006711E6">
            <w:pPr>
              <w:pStyle w:val="P68B1DB1-Normal9"/>
              <w:rPr>
                <w:rFonts w:eastAsia="Times New Roman" w:cs="Calibri"/>
                <w:noProof/>
                <w:szCs w:val="18"/>
              </w:rPr>
            </w:pPr>
            <w:r>
              <w:rPr>
                <w:noProof/>
              </w:rPr>
              <w:t>Dokončení těchto opatření:</w:t>
            </w:r>
          </w:p>
          <w:p w14:paraId="7464B1DE" w14:textId="77777777" w:rsidR="00515398" w:rsidRDefault="006711E6">
            <w:pPr>
              <w:pStyle w:val="P68B1DB1-Normal9"/>
              <w:numPr>
                <w:ilvl w:val="0"/>
                <w:numId w:val="50"/>
              </w:numPr>
              <w:spacing w:before="120" w:line="259" w:lineRule="auto"/>
              <w:contextualSpacing/>
              <w:jc w:val="both"/>
              <w:rPr>
                <w:rFonts w:eastAsia="Times New Roman" w:cs="Calibri"/>
                <w:noProof/>
                <w:szCs w:val="18"/>
              </w:rPr>
            </w:pPr>
            <w:r>
              <w:rPr>
                <w:noProof/>
              </w:rPr>
              <w:t>Dodání požárních motorů a jiných zásahových vozidel;</w:t>
            </w:r>
          </w:p>
          <w:p w14:paraId="56088BC8" w14:textId="77777777" w:rsidR="00515398" w:rsidRDefault="006711E6">
            <w:pPr>
              <w:pStyle w:val="P68B1DB1-Normal9"/>
              <w:numPr>
                <w:ilvl w:val="0"/>
                <w:numId w:val="50"/>
              </w:numPr>
              <w:spacing w:before="120" w:line="259" w:lineRule="auto"/>
              <w:contextualSpacing/>
              <w:jc w:val="both"/>
              <w:rPr>
                <w:rFonts w:eastAsia="Times New Roman" w:cs="Calibri"/>
                <w:noProof/>
                <w:szCs w:val="18"/>
              </w:rPr>
            </w:pPr>
            <w:r>
              <w:rPr>
                <w:noProof/>
              </w:rPr>
              <w:t xml:space="preserve">Dodání vozidel pro generální sekretariát Rady, regionální/místní </w:t>
            </w:r>
            <w:r>
              <w:rPr>
                <w:noProof/>
              </w:rPr>
              <w:t>operační střediska civilní ochrany a dobrovolnické organizace; a pokud</w:t>
            </w:r>
          </w:p>
          <w:p w14:paraId="20E7547F" w14:textId="77777777" w:rsidR="00515398" w:rsidRDefault="006711E6">
            <w:pPr>
              <w:pStyle w:val="P68B1DB1-Normal9"/>
              <w:numPr>
                <w:ilvl w:val="0"/>
                <w:numId w:val="50"/>
              </w:numPr>
              <w:spacing w:before="120" w:line="259" w:lineRule="auto"/>
              <w:contextualSpacing/>
              <w:jc w:val="both"/>
              <w:rPr>
                <w:rFonts w:eastAsia="Times New Roman" w:cs="Calibri"/>
                <w:noProof/>
                <w:szCs w:val="18"/>
              </w:rPr>
            </w:pPr>
            <w:r>
              <w:rPr>
                <w:noProof/>
              </w:rPr>
              <w:t xml:space="preserve">Dodání stlačitelných přepravitelných mostů. </w:t>
            </w:r>
          </w:p>
        </w:tc>
      </w:tr>
      <w:tr w:rsidR="00515398" w14:paraId="799FA2AA" w14:textId="77777777">
        <w:trPr>
          <w:trHeight w:val="309"/>
          <w:jc w:val="center"/>
        </w:trPr>
        <w:tc>
          <w:tcPr>
            <w:tcW w:w="1129" w:type="dxa"/>
            <w:shd w:val="clear" w:color="auto" w:fill="C6EFCE"/>
            <w:noWrap/>
          </w:tcPr>
          <w:p w14:paraId="765FD836" w14:textId="77777777" w:rsidR="00515398" w:rsidRDefault="006711E6">
            <w:pPr>
              <w:pStyle w:val="P68B1DB1-Normal9"/>
              <w:rPr>
                <w:rFonts w:eastAsia="Times New Roman" w:cs="Calibri"/>
                <w:noProof/>
                <w:szCs w:val="18"/>
              </w:rPr>
            </w:pPr>
            <w:r>
              <w:rPr>
                <w:noProof/>
              </w:rPr>
              <w:t>84</w:t>
            </w:r>
          </w:p>
        </w:tc>
        <w:tc>
          <w:tcPr>
            <w:tcW w:w="1276" w:type="dxa"/>
            <w:tcBorders>
              <w:bottom w:val="single" w:sz="4" w:space="0" w:color="auto"/>
            </w:tcBorders>
            <w:shd w:val="clear" w:color="auto" w:fill="C6EFCE"/>
            <w:noWrap/>
          </w:tcPr>
          <w:p w14:paraId="55F69331" w14:textId="77777777" w:rsidR="00515398" w:rsidRDefault="006711E6">
            <w:pPr>
              <w:pStyle w:val="P68B1DB1-Normal9"/>
              <w:rPr>
                <w:rFonts w:eastAsia="Times New Roman" w:cs="Calibri"/>
                <w:noProof/>
                <w:szCs w:val="18"/>
              </w:rPr>
            </w:pPr>
            <w:r>
              <w:rPr>
                <w:noProof/>
              </w:rPr>
              <w:t>4–1.4. Udržitelné využívání zdrojů, odolnost vůči změně klimatu a ochrana životního prostředí – 16909_Infrastruktura – Vytvoření strateg</w:t>
            </w:r>
            <w:r>
              <w:rPr>
                <w:noProof/>
              </w:rPr>
              <w:t>ického vnitrostátního řízení rizik katastrof</w:t>
            </w:r>
          </w:p>
        </w:tc>
        <w:tc>
          <w:tcPr>
            <w:tcW w:w="993" w:type="dxa"/>
            <w:tcBorders>
              <w:bottom w:val="single" w:sz="4" w:space="0" w:color="auto"/>
            </w:tcBorders>
            <w:shd w:val="clear" w:color="auto" w:fill="C6EFCE"/>
            <w:noWrap/>
          </w:tcPr>
          <w:p w14:paraId="6F799723" w14:textId="77777777" w:rsidR="00515398" w:rsidRDefault="006711E6">
            <w:pPr>
              <w:pStyle w:val="P68B1DB1-Normal9"/>
              <w:rPr>
                <w:rFonts w:eastAsia="Times New Roman" w:cs="Calibri"/>
                <w:noProof/>
                <w:szCs w:val="18"/>
              </w:rPr>
            </w:pPr>
            <w:r>
              <w:rPr>
                <w:noProof/>
              </w:rPr>
              <w:t>Milník</w:t>
            </w:r>
          </w:p>
        </w:tc>
        <w:tc>
          <w:tcPr>
            <w:tcW w:w="1277" w:type="dxa"/>
            <w:tcBorders>
              <w:bottom w:val="single" w:sz="4" w:space="0" w:color="auto"/>
            </w:tcBorders>
            <w:shd w:val="clear" w:color="auto" w:fill="C6EFCE"/>
            <w:noWrap/>
          </w:tcPr>
          <w:p w14:paraId="26A81FD7" w14:textId="77777777" w:rsidR="00515398" w:rsidRDefault="006711E6">
            <w:pPr>
              <w:pStyle w:val="P68B1DB1-Normal9"/>
              <w:rPr>
                <w:rFonts w:eastAsia="Times New Roman" w:cs="Calibri"/>
                <w:noProof/>
                <w:szCs w:val="18"/>
              </w:rPr>
            </w:pPr>
            <w:r>
              <w:rPr>
                <w:noProof/>
              </w:rPr>
              <w:t>Dokončení vnitrostátního řízení rizik katastrof</w:t>
            </w:r>
          </w:p>
        </w:tc>
        <w:tc>
          <w:tcPr>
            <w:tcW w:w="1320" w:type="dxa"/>
            <w:tcBorders>
              <w:bottom w:val="single" w:sz="4" w:space="0" w:color="auto"/>
            </w:tcBorders>
            <w:shd w:val="clear" w:color="auto" w:fill="C6EFCE"/>
            <w:noWrap/>
          </w:tcPr>
          <w:p w14:paraId="1ADA33FB" w14:textId="335E974A" w:rsidR="00515398" w:rsidRDefault="006711E6">
            <w:pPr>
              <w:pStyle w:val="P68B1DB1-Normal9"/>
              <w:rPr>
                <w:rFonts w:eastAsia="Times New Roman" w:cs="Calibri"/>
                <w:noProof/>
                <w:szCs w:val="18"/>
              </w:rPr>
            </w:pPr>
            <w:r>
              <w:rPr>
                <w:noProof/>
              </w:rPr>
              <w:t xml:space="preserve">Dokončení potvrzeno zprávou ministerstva pro klimatickou krizi a civilní ochranu </w:t>
            </w:r>
          </w:p>
        </w:tc>
        <w:tc>
          <w:tcPr>
            <w:tcW w:w="1200" w:type="dxa"/>
            <w:shd w:val="clear" w:color="auto" w:fill="C6EFCE"/>
            <w:noWrap/>
          </w:tcPr>
          <w:p w14:paraId="4008D27D" w14:textId="77777777" w:rsidR="00515398" w:rsidRDefault="00515398">
            <w:pPr>
              <w:rPr>
                <w:rFonts w:eastAsia="Times New Roman" w:cs="Calibri"/>
                <w:noProof/>
                <w:color w:val="006100"/>
                <w:sz w:val="18"/>
                <w:szCs w:val="18"/>
              </w:rPr>
            </w:pPr>
          </w:p>
        </w:tc>
        <w:tc>
          <w:tcPr>
            <w:tcW w:w="960" w:type="dxa"/>
            <w:shd w:val="clear" w:color="auto" w:fill="C6EFCE"/>
            <w:noWrap/>
          </w:tcPr>
          <w:p w14:paraId="2D7FE8FE" w14:textId="77777777" w:rsidR="00515398" w:rsidRDefault="00515398">
            <w:pPr>
              <w:rPr>
                <w:rFonts w:eastAsia="Times New Roman" w:cs="Calibri"/>
                <w:noProof/>
                <w:color w:val="006100"/>
                <w:sz w:val="18"/>
                <w:szCs w:val="18"/>
              </w:rPr>
            </w:pPr>
          </w:p>
        </w:tc>
        <w:tc>
          <w:tcPr>
            <w:tcW w:w="960" w:type="dxa"/>
            <w:shd w:val="clear" w:color="auto" w:fill="C6EFCE"/>
            <w:noWrap/>
          </w:tcPr>
          <w:p w14:paraId="1F1A1B1D" w14:textId="77777777" w:rsidR="00515398" w:rsidRDefault="00515398">
            <w:pPr>
              <w:rPr>
                <w:rFonts w:eastAsia="Times New Roman" w:cs="Calibri"/>
                <w:noProof/>
                <w:color w:val="006100"/>
                <w:sz w:val="18"/>
                <w:szCs w:val="18"/>
              </w:rPr>
            </w:pPr>
          </w:p>
        </w:tc>
        <w:tc>
          <w:tcPr>
            <w:tcW w:w="960" w:type="dxa"/>
            <w:shd w:val="clear" w:color="auto" w:fill="C6EFCE"/>
            <w:noWrap/>
          </w:tcPr>
          <w:p w14:paraId="478EDBE9" w14:textId="77777777" w:rsidR="00515398" w:rsidRDefault="006711E6">
            <w:pPr>
              <w:pStyle w:val="P68B1DB1-Normal9"/>
              <w:rPr>
                <w:rFonts w:eastAsia="Times New Roman" w:cs="Calibri"/>
                <w:noProof/>
                <w:szCs w:val="18"/>
              </w:rPr>
            </w:pPr>
            <w:r>
              <w:rPr>
                <w:noProof/>
              </w:rPr>
              <w:t>ČTVRTLETÍ ČTVRT</w:t>
            </w:r>
          </w:p>
        </w:tc>
        <w:tc>
          <w:tcPr>
            <w:tcW w:w="960" w:type="dxa"/>
            <w:shd w:val="clear" w:color="auto" w:fill="C6EFCE"/>
            <w:noWrap/>
          </w:tcPr>
          <w:p w14:paraId="4E975236" w14:textId="77777777" w:rsidR="00515398" w:rsidRDefault="006711E6">
            <w:pPr>
              <w:pStyle w:val="P68B1DB1-Normal9"/>
              <w:rPr>
                <w:rFonts w:eastAsia="Times New Roman" w:cs="Calibri"/>
                <w:noProof/>
                <w:szCs w:val="18"/>
              </w:rPr>
            </w:pPr>
            <w:r>
              <w:rPr>
                <w:noProof/>
              </w:rPr>
              <w:t>2025</w:t>
            </w:r>
          </w:p>
        </w:tc>
        <w:tc>
          <w:tcPr>
            <w:tcW w:w="4553" w:type="dxa"/>
            <w:shd w:val="clear" w:color="auto" w:fill="C6EFCE"/>
            <w:noWrap/>
          </w:tcPr>
          <w:p w14:paraId="1E39AFEB" w14:textId="77777777" w:rsidR="00515398" w:rsidRDefault="006711E6">
            <w:pPr>
              <w:pStyle w:val="P68B1DB1-Normal9"/>
              <w:rPr>
                <w:rFonts w:eastAsia="Times New Roman" w:cs="Calibri"/>
                <w:noProof/>
                <w:szCs w:val="18"/>
              </w:rPr>
            </w:pPr>
            <w:r>
              <w:rPr>
                <w:noProof/>
              </w:rPr>
              <w:t>Dokončení těchto opatření:</w:t>
            </w:r>
          </w:p>
          <w:p w14:paraId="261E9D18" w14:textId="77777777" w:rsidR="00515398" w:rsidRDefault="006711E6">
            <w:pPr>
              <w:pStyle w:val="P68B1DB1-Normal9"/>
              <w:numPr>
                <w:ilvl w:val="0"/>
                <w:numId w:val="51"/>
              </w:numPr>
              <w:spacing w:before="120" w:line="259" w:lineRule="auto"/>
              <w:contextualSpacing/>
              <w:jc w:val="both"/>
              <w:rPr>
                <w:rFonts w:eastAsia="Times New Roman" w:cs="Calibri"/>
                <w:noProof/>
                <w:szCs w:val="18"/>
              </w:rPr>
            </w:pPr>
            <w:r>
              <w:rPr>
                <w:noProof/>
              </w:rPr>
              <w:t xml:space="preserve">Zřízení strategického </w:t>
            </w:r>
            <w:r>
              <w:rPr>
                <w:noProof/>
              </w:rPr>
              <w:t>národního střediska pro řízení rizik katastrof v budovách Atlantas a Faros.</w:t>
            </w:r>
          </w:p>
          <w:p w14:paraId="09480DAA" w14:textId="77777777" w:rsidR="00515398" w:rsidRDefault="006711E6">
            <w:pPr>
              <w:pStyle w:val="P68B1DB1-Normal9"/>
              <w:numPr>
                <w:ilvl w:val="0"/>
                <w:numId w:val="51"/>
              </w:numPr>
              <w:spacing w:before="120" w:line="259" w:lineRule="auto"/>
              <w:contextualSpacing/>
              <w:jc w:val="both"/>
              <w:rPr>
                <w:rFonts w:eastAsia="Times New Roman" w:cs="Calibri"/>
                <w:noProof/>
                <w:szCs w:val="18"/>
              </w:rPr>
            </w:pPr>
            <w:r>
              <w:rPr>
                <w:noProof/>
              </w:rPr>
              <w:t>Výstavba nových stavebních zařízení a kancelářského vybavení pro vzdělávací instituce civilní ochrany a hasičského sboru.</w:t>
            </w:r>
          </w:p>
          <w:p w14:paraId="2C40DD8B" w14:textId="7F20B6C5" w:rsidR="00515398" w:rsidRDefault="006711E6">
            <w:pPr>
              <w:pStyle w:val="P68B1DB1-Normal9"/>
              <w:numPr>
                <w:ilvl w:val="0"/>
                <w:numId w:val="51"/>
              </w:numPr>
              <w:spacing w:before="120" w:line="259" w:lineRule="auto"/>
              <w:contextualSpacing/>
              <w:jc w:val="both"/>
              <w:rPr>
                <w:rFonts w:eastAsia="Times New Roman" w:cs="Calibri"/>
                <w:noProof/>
                <w:szCs w:val="18"/>
              </w:rPr>
            </w:pPr>
            <w:r>
              <w:rPr>
                <w:noProof/>
              </w:rPr>
              <w:t>Dodání tří letadel jako kontrolních a řídících středisek l</w:t>
            </w:r>
            <w:r>
              <w:rPr>
                <w:noProof/>
              </w:rPr>
              <w:t>eteckého dohledu.</w:t>
            </w:r>
          </w:p>
          <w:p w14:paraId="4F7FEC78" w14:textId="77777777" w:rsidR="00515398" w:rsidRDefault="006711E6">
            <w:pPr>
              <w:pStyle w:val="P68B1DB1-Normal9"/>
              <w:numPr>
                <w:ilvl w:val="0"/>
                <w:numId w:val="51"/>
              </w:numPr>
              <w:spacing w:before="120" w:line="259" w:lineRule="auto"/>
              <w:contextualSpacing/>
              <w:jc w:val="both"/>
              <w:rPr>
                <w:rFonts w:eastAsia="Times New Roman" w:cs="Calibri"/>
                <w:noProof/>
                <w:szCs w:val="18"/>
              </w:rPr>
            </w:pPr>
            <w:r>
              <w:rPr>
                <w:noProof/>
              </w:rPr>
              <w:t>Poskytování mobilních administrativních středisek a kontrolních středisek na místě ve 13 regionech.</w:t>
            </w:r>
          </w:p>
        </w:tc>
      </w:tr>
      <w:tr w:rsidR="00515398" w14:paraId="792E2060" w14:textId="77777777">
        <w:trPr>
          <w:trHeight w:val="309"/>
          <w:jc w:val="center"/>
        </w:trPr>
        <w:tc>
          <w:tcPr>
            <w:tcW w:w="1129" w:type="dxa"/>
            <w:shd w:val="clear" w:color="auto" w:fill="C6EFCE"/>
            <w:noWrap/>
          </w:tcPr>
          <w:p w14:paraId="7C30433F" w14:textId="77777777" w:rsidR="00515398" w:rsidRDefault="006711E6">
            <w:pPr>
              <w:pStyle w:val="P68B1DB1-Normal9"/>
              <w:rPr>
                <w:rFonts w:eastAsia="Times New Roman" w:cs="Calibri"/>
                <w:noProof/>
                <w:szCs w:val="18"/>
              </w:rPr>
            </w:pPr>
            <w:r>
              <w:rPr>
                <w:noProof/>
              </w:rPr>
              <w:t>332</w:t>
            </w:r>
          </w:p>
        </w:tc>
        <w:tc>
          <w:tcPr>
            <w:tcW w:w="1276" w:type="dxa"/>
            <w:tcBorders>
              <w:bottom w:val="single" w:sz="4" w:space="0" w:color="auto"/>
            </w:tcBorders>
            <w:shd w:val="clear" w:color="auto" w:fill="C6EFCE"/>
            <w:noWrap/>
          </w:tcPr>
          <w:p w14:paraId="6290D2E0" w14:textId="77777777" w:rsidR="00515398" w:rsidRDefault="006711E6">
            <w:pPr>
              <w:pStyle w:val="P68B1DB1-Normal9"/>
              <w:rPr>
                <w:rFonts w:eastAsia="Times New Roman" w:cs="Calibri"/>
                <w:noProof/>
                <w:szCs w:val="18"/>
              </w:rPr>
            </w:pPr>
            <w:r>
              <w:rPr>
                <w:noProof/>
              </w:rPr>
              <w:t xml:space="preserve">4–1.4. Udržitelné využívání zdrojů, odolnost vůči změně klimatu a ochrana životního prostředí – 16983_Předběžná kontrola seismické </w:t>
            </w:r>
            <w:r>
              <w:rPr>
                <w:noProof/>
              </w:rPr>
              <w:t>odolnosti budov</w:t>
            </w:r>
          </w:p>
        </w:tc>
        <w:tc>
          <w:tcPr>
            <w:tcW w:w="993" w:type="dxa"/>
            <w:tcBorders>
              <w:bottom w:val="single" w:sz="4" w:space="0" w:color="auto"/>
            </w:tcBorders>
            <w:shd w:val="clear" w:color="auto" w:fill="C6EFCE"/>
            <w:noWrap/>
          </w:tcPr>
          <w:p w14:paraId="68F6D97A" w14:textId="77777777" w:rsidR="00515398" w:rsidRDefault="006711E6">
            <w:pPr>
              <w:pStyle w:val="P68B1DB1-Normal9"/>
              <w:rPr>
                <w:rFonts w:eastAsia="Times New Roman" w:cs="Calibri"/>
                <w:noProof/>
                <w:szCs w:val="18"/>
              </w:rPr>
            </w:pPr>
            <w:r>
              <w:rPr>
                <w:noProof/>
              </w:rPr>
              <w:t>Milník</w:t>
            </w:r>
          </w:p>
        </w:tc>
        <w:tc>
          <w:tcPr>
            <w:tcW w:w="1277" w:type="dxa"/>
            <w:tcBorders>
              <w:bottom w:val="single" w:sz="4" w:space="0" w:color="auto"/>
            </w:tcBorders>
            <w:shd w:val="clear" w:color="auto" w:fill="C6EFCE"/>
            <w:noWrap/>
          </w:tcPr>
          <w:p w14:paraId="6102120F" w14:textId="77777777" w:rsidR="00515398" w:rsidRDefault="006711E6">
            <w:pPr>
              <w:pStyle w:val="P68B1DB1-Normal9"/>
              <w:rPr>
                <w:rFonts w:eastAsia="Times New Roman" w:cs="Calibri"/>
                <w:noProof/>
                <w:szCs w:val="18"/>
              </w:rPr>
            </w:pPr>
            <w:r>
              <w:rPr>
                <w:noProof/>
              </w:rPr>
              <w:t>Dokončení předběžných seizmických inspekcí</w:t>
            </w:r>
          </w:p>
        </w:tc>
        <w:tc>
          <w:tcPr>
            <w:tcW w:w="1320" w:type="dxa"/>
            <w:tcBorders>
              <w:bottom w:val="single" w:sz="4" w:space="0" w:color="auto"/>
            </w:tcBorders>
            <w:shd w:val="clear" w:color="auto" w:fill="C6EFCE"/>
            <w:noWrap/>
          </w:tcPr>
          <w:p w14:paraId="277BA324" w14:textId="77777777" w:rsidR="00515398" w:rsidRDefault="006711E6">
            <w:pPr>
              <w:pStyle w:val="P68B1DB1-Normal9"/>
              <w:rPr>
                <w:rFonts w:eastAsia="Times New Roman" w:cs="Calibri"/>
                <w:noProof/>
                <w:szCs w:val="18"/>
              </w:rPr>
            </w:pPr>
            <w:r>
              <w:rPr>
                <w:noProof/>
              </w:rPr>
              <w:t>Dokončení potvrzeno zprávou ministerstva pro klimatickou krizi a civilní ochranu</w:t>
            </w:r>
          </w:p>
        </w:tc>
        <w:tc>
          <w:tcPr>
            <w:tcW w:w="1200" w:type="dxa"/>
            <w:shd w:val="clear" w:color="auto" w:fill="C6EFCE"/>
            <w:noWrap/>
          </w:tcPr>
          <w:p w14:paraId="4D2E5FD0" w14:textId="77777777" w:rsidR="00515398" w:rsidRDefault="00515398">
            <w:pPr>
              <w:rPr>
                <w:rFonts w:eastAsia="Times New Roman" w:cs="Calibri"/>
                <w:noProof/>
                <w:color w:val="006100"/>
                <w:sz w:val="18"/>
                <w:szCs w:val="18"/>
              </w:rPr>
            </w:pPr>
          </w:p>
        </w:tc>
        <w:tc>
          <w:tcPr>
            <w:tcW w:w="960" w:type="dxa"/>
            <w:shd w:val="clear" w:color="auto" w:fill="C6EFCE"/>
            <w:noWrap/>
          </w:tcPr>
          <w:p w14:paraId="071E9033" w14:textId="77777777" w:rsidR="00515398" w:rsidRDefault="00515398">
            <w:pPr>
              <w:rPr>
                <w:rFonts w:eastAsia="Times New Roman" w:cs="Calibri"/>
                <w:noProof/>
                <w:color w:val="006100"/>
                <w:sz w:val="18"/>
                <w:szCs w:val="18"/>
              </w:rPr>
            </w:pPr>
          </w:p>
        </w:tc>
        <w:tc>
          <w:tcPr>
            <w:tcW w:w="960" w:type="dxa"/>
            <w:shd w:val="clear" w:color="auto" w:fill="C6EFCE"/>
            <w:noWrap/>
          </w:tcPr>
          <w:p w14:paraId="3A8E9BA4" w14:textId="77777777" w:rsidR="00515398" w:rsidRDefault="00515398">
            <w:pPr>
              <w:rPr>
                <w:rFonts w:eastAsia="Times New Roman" w:cs="Calibri"/>
                <w:noProof/>
                <w:color w:val="006100"/>
                <w:sz w:val="18"/>
                <w:szCs w:val="18"/>
              </w:rPr>
            </w:pPr>
          </w:p>
        </w:tc>
        <w:tc>
          <w:tcPr>
            <w:tcW w:w="960" w:type="dxa"/>
            <w:shd w:val="clear" w:color="auto" w:fill="C6EFCE"/>
            <w:noWrap/>
          </w:tcPr>
          <w:p w14:paraId="0BF5B561" w14:textId="77777777" w:rsidR="00515398" w:rsidRDefault="006711E6">
            <w:pPr>
              <w:pStyle w:val="P68B1DB1-Normal9"/>
              <w:rPr>
                <w:rFonts w:eastAsia="Times New Roman" w:cs="Calibri"/>
                <w:noProof/>
                <w:szCs w:val="18"/>
              </w:rPr>
            </w:pPr>
            <w:r>
              <w:rPr>
                <w:noProof/>
              </w:rPr>
              <w:t>ČTVRTLETÍ 1</w:t>
            </w:r>
          </w:p>
        </w:tc>
        <w:tc>
          <w:tcPr>
            <w:tcW w:w="960" w:type="dxa"/>
            <w:shd w:val="clear" w:color="auto" w:fill="C6EFCE"/>
            <w:noWrap/>
          </w:tcPr>
          <w:p w14:paraId="6C3BF2B2" w14:textId="77777777" w:rsidR="00515398" w:rsidRDefault="006711E6">
            <w:pPr>
              <w:pStyle w:val="P68B1DB1-Normal9"/>
              <w:rPr>
                <w:rFonts w:eastAsia="Times New Roman" w:cs="Calibri"/>
                <w:noProof/>
                <w:szCs w:val="18"/>
              </w:rPr>
            </w:pPr>
            <w:r>
              <w:rPr>
                <w:noProof/>
              </w:rPr>
              <w:t>2025</w:t>
            </w:r>
          </w:p>
        </w:tc>
        <w:tc>
          <w:tcPr>
            <w:tcW w:w="4553" w:type="dxa"/>
            <w:shd w:val="clear" w:color="auto" w:fill="C6EFCE"/>
            <w:noWrap/>
          </w:tcPr>
          <w:p w14:paraId="52DA9A2A" w14:textId="77777777" w:rsidR="00515398" w:rsidRDefault="006711E6">
            <w:pPr>
              <w:pStyle w:val="P68B1DB1-Normal9"/>
              <w:rPr>
                <w:rFonts w:eastAsia="Times New Roman" w:cs="Calibri"/>
                <w:noProof/>
                <w:szCs w:val="18"/>
              </w:rPr>
            </w:pPr>
            <w:r>
              <w:rPr>
                <w:noProof/>
              </w:rPr>
              <w:t>Dokončení těchto opatření:</w:t>
            </w:r>
          </w:p>
          <w:p w14:paraId="27590EB5" w14:textId="77777777" w:rsidR="00515398" w:rsidRDefault="006711E6">
            <w:pPr>
              <w:pStyle w:val="P68B1DB1-ListParagraph20"/>
              <w:numPr>
                <w:ilvl w:val="0"/>
                <w:numId w:val="1"/>
              </w:numPr>
              <w:spacing w:after="0" w:line="240" w:lineRule="auto"/>
              <w:rPr>
                <w:rFonts w:eastAsia="Times New Roman" w:cs="Calibri"/>
                <w:noProof/>
                <w:szCs w:val="18"/>
              </w:rPr>
            </w:pPr>
            <w:r>
              <w:rPr>
                <w:noProof/>
              </w:rPr>
              <w:t xml:space="preserve">Vývoj on-line systému pro registraci základních stavebních </w:t>
            </w:r>
            <w:r>
              <w:rPr>
                <w:noProof/>
              </w:rPr>
              <w:t>údajů do hlavního cloudového úložiště RVI před zemětřesením;</w:t>
            </w:r>
          </w:p>
          <w:p w14:paraId="1E95FA3E" w14:textId="0D8868A1" w:rsidR="00515398" w:rsidRDefault="006711E6">
            <w:pPr>
              <w:pStyle w:val="ListParagraph"/>
              <w:numPr>
                <w:ilvl w:val="0"/>
                <w:numId w:val="1"/>
              </w:numPr>
              <w:spacing w:after="0" w:line="240" w:lineRule="auto"/>
              <w:rPr>
                <w:noProof/>
                <w:color w:val="006100"/>
                <w:sz w:val="18"/>
                <w:szCs w:val="18"/>
              </w:rPr>
            </w:pPr>
            <w:r>
              <w:rPr>
                <w:noProof/>
              </w:rPr>
              <w:t xml:space="preserve"> </w:t>
            </w:r>
            <w:r>
              <w:rPr>
                <w:noProof/>
                <w:color w:val="006100"/>
                <w:sz w:val="18"/>
                <w:szCs w:val="18"/>
              </w:rPr>
              <w:t>Poskytování vzdělávacích materiálů a vzdělávací systém pro auditory civilních inženýrů;</w:t>
            </w:r>
          </w:p>
          <w:p w14:paraId="7AADD0BF" w14:textId="3AD0594B" w:rsidR="00515398" w:rsidRDefault="006711E6">
            <w:pPr>
              <w:pStyle w:val="P68B1DB1-ListParagraph20"/>
              <w:numPr>
                <w:ilvl w:val="0"/>
                <w:numId w:val="1"/>
              </w:numPr>
              <w:spacing w:after="0" w:line="240" w:lineRule="auto"/>
              <w:rPr>
                <w:noProof/>
                <w:szCs w:val="18"/>
              </w:rPr>
            </w:pPr>
            <w:r>
              <w:rPr>
                <w:noProof/>
              </w:rPr>
              <w:t>Předběžná rychlá vizuální inspekce (RVI) u</w:t>
            </w:r>
            <w:r>
              <w:rPr>
                <w:rFonts w:cs="Calibri"/>
                <w:noProof/>
                <w:szCs w:val="18"/>
              </w:rPr>
              <w:t xml:space="preserve"> </w:t>
            </w:r>
            <w:r>
              <w:rPr>
                <w:noProof/>
              </w:rPr>
              <w:t>21970 budov.</w:t>
            </w:r>
          </w:p>
        </w:tc>
      </w:tr>
    </w:tbl>
    <w:p w14:paraId="799CFFC7" w14:textId="77233D0B" w:rsidR="00515398" w:rsidRDefault="006711E6">
      <w:pPr>
        <w:spacing w:before="120" w:after="120" w:line="240" w:lineRule="auto"/>
        <w:rPr>
          <w:rFonts w:ascii="Times New Roman" w:hAnsi="Times New Roman" w:cs="Times New Roman"/>
          <w:noProof/>
          <w:sz w:val="24"/>
        </w:rPr>
        <w:sectPr w:rsidR="00515398" w:rsidSect="00271D33">
          <w:headerReference w:type="even" r:id="rId91"/>
          <w:headerReference w:type="default" r:id="rId92"/>
          <w:footerReference w:type="even" r:id="rId93"/>
          <w:footerReference w:type="default" r:id="rId94"/>
          <w:headerReference w:type="first" r:id="rId95"/>
          <w:footerReference w:type="first" r:id="rId96"/>
          <w:pgSz w:w="16839" w:h="11907" w:orient="landscape"/>
          <w:pgMar w:top="720" w:right="720" w:bottom="720" w:left="720" w:header="709" w:footer="709" w:gutter="0"/>
          <w:cols w:space="720"/>
          <w:docGrid w:linePitch="360"/>
        </w:sectPr>
      </w:pPr>
      <w:r>
        <w:rPr>
          <w:noProof/>
        </w:rPr>
        <w:tab/>
      </w:r>
      <w:r>
        <w:rPr>
          <w:rFonts w:ascii="Times New Roman" w:hAnsi="Times New Roman"/>
          <w:noProof/>
          <w:sz w:val="24"/>
        </w:rPr>
        <w:t xml:space="preserve"> </w:t>
      </w:r>
      <w:r>
        <w:rPr>
          <w:noProof/>
        </w:rPr>
        <w:t xml:space="preserve"> </w:t>
      </w:r>
      <w:r>
        <w:rPr>
          <w:rFonts w:ascii="Times New Roman" w:hAnsi="Times New Roman"/>
          <w:noProof/>
          <w:sz w:val="24"/>
        </w:rPr>
        <w:t xml:space="preserve"> </w:t>
      </w:r>
      <w:r>
        <w:rPr>
          <w:noProof/>
        </w:rPr>
        <w:t xml:space="preserve"> </w:t>
      </w:r>
      <w:r>
        <w:rPr>
          <w:rFonts w:ascii="Times New Roman" w:hAnsi="Times New Roman"/>
          <w:noProof/>
          <w:sz w:val="24"/>
        </w:rPr>
        <w:t xml:space="preserve"> </w:t>
      </w:r>
      <w:r>
        <w:rPr>
          <w:noProof/>
        </w:rPr>
        <w:t xml:space="preserve"> </w:t>
      </w:r>
      <w:r>
        <w:rPr>
          <w:rFonts w:ascii="Times New Roman" w:hAnsi="Times New Roman"/>
          <w:noProof/>
          <w:sz w:val="24"/>
        </w:rPr>
        <w:t xml:space="preserve"> </w:t>
      </w:r>
      <w:r>
        <w:rPr>
          <w:noProof/>
        </w:rPr>
        <w:tab/>
      </w:r>
    </w:p>
    <w:p w14:paraId="170D6DB5" w14:textId="77777777" w:rsidR="00515398" w:rsidRDefault="006711E6">
      <w:pPr>
        <w:pStyle w:val="P68B1DB1-ListParagraph3"/>
        <w:numPr>
          <w:ilvl w:val="0"/>
          <w:numId w:val="91"/>
        </w:numPr>
        <w:spacing w:before="120" w:after="120" w:line="240" w:lineRule="auto"/>
        <w:jc w:val="both"/>
        <w:outlineLvl w:val="3"/>
        <w:rPr>
          <w:rFonts w:cs="Times New Roman"/>
          <w:bCs/>
          <w:noProof/>
        </w:rPr>
      </w:pPr>
      <w:r>
        <w:rPr>
          <w:noProof/>
        </w:rPr>
        <w:t>SLOŽKA 2.1: PROPOJIT</w:t>
      </w:r>
    </w:p>
    <w:p w14:paraId="79366855" w14:textId="77777777" w:rsidR="00515398" w:rsidRDefault="006711E6">
      <w:pPr>
        <w:pStyle w:val="P68B1DB1-Normal4"/>
        <w:spacing w:before="120" w:after="120" w:line="240" w:lineRule="auto"/>
        <w:jc w:val="both"/>
        <w:rPr>
          <w:rFonts w:cs="Times New Roman"/>
          <w:noProof/>
        </w:rPr>
      </w:pPr>
      <w:r>
        <w:rPr>
          <w:noProof/>
        </w:rPr>
        <w:t xml:space="preserve">Tato složka </w:t>
      </w:r>
      <w:r>
        <w:rPr>
          <w:noProof/>
          <w:color w:val="000000"/>
        </w:rPr>
        <w:t>řeckého plánu pro oživení a odolnost</w:t>
      </w:r>
      <w:r>
        <w:rPr>
          <w:noProof/>
        </w:rPr>
        <w:t xml:space="preserve"> obsahuje opatření, jejichž cílem je podpořit a usnadnit rozsáhlé zavádění sítí s velmi vysokou kapacitou, včetně sítí 5G a optických vláken, v souladu s cíli EU v oblasti 5G a gigabitového připojení do roku 2025 a rozvoj konstelace malých družic. Investic</w:t>
      </w:r>
      <w:r>
        <w:rPr>
          <w:noProof/>
        </w:rPr>
        <w:t>e zahrnuté do této složky se týkají instalace infrastruktury pro optická vlákna v budovách a využívání kosmických technologií a aplikací vytvořením konstelace malých družic, která podpoří služby bezpečné konektivity spolu s víceúčelovými aplikacemi pro poz</w:t>
      </w:r>
      <w:r>
        <w:rPr>
          <w:noProof/>
        </w:rPr>
        <w:t>orování Země. Reformy zahrnuté do této složky vytvářejí rámec pro usnadnění přechodu na rychlé širokopásmové připojení a přechodu na technologii 5G.</w:t>
      </w:r>
    </w:p>
    <w:p w14:paraId="374D6BD5" w14:textId="77777777" w:rsidR="00515398" w:rsidRDefault="006711E6">
      <w:pPr>
        <w:pStyle w:val="P68B1DB1-Normal4"/>
        <w:spacing w:before="120" w:after="120" w:line="240" w:lineRule="auto"/>
        <w:jc w:val="both"/>
        <w:rPr>
          <w:rFonts w:cs="Times New Roman"/>
          <w:noProof/>
          <w:szCs w:val="24"/>
        </w:rPr>
      </w:pPr>
      <w:r>
        <w:rPr>
          <w:noProof/>
        </w:rPr>
        <w:t>Všechny navrhované investice a reformy řeší výzvy vyplývající z rostoucí potřeby konektivity a pozorování Z</w:t>
      </w:r>
      <w:r>
        <w:rPr>
          <w:noProof/>
        </w:rPr>
        <w:t xml:space="preserve">emě a dohledu nad ní. Opatření na podporu plnění </w:t>
      </w:r>
      <w:r>
        <w:rPr>
          <w:i/>
          <w:noProof/>
          <w:color w:val="000000" w:themeColor="text1"/>
        </w:rPr>
        <w:t xml:space="preserve">doporučení pro jednotlivé země </w:t>
      </w:r>
      <w:r>
        <w:rPr>
          <w:noProof/>
        </w:rPr>
        <w:t>o veřejných a soukromých investicích (</w:t>
      </w:r>
      <w:r>
        <w:rPr>
          <w:i/>
          <w:noProof/>
          <w:color w:val="000000" w:themeColor="text1"/>
        </w:rPr>
        <w:t xml:space="preserve">doporučení pro jednotlivé země </w:t>
      </w:r>
      <w:r>
        <w:rPr>
          <w:noProof/>
        </w:rPr>
        <w:t>č. 3 z roku 2020), které Řecko vyzývá, aby zaměřilo investice na digitální transformaci, a zejména na digit</w:t>
      </w:r>
      <w:r>
        <w:rPr>
          <w:noProof/>
        </w:rPr>
        <w:t>ální infrastrukturu s velmi vysokou kapacitou. Rovněž účinně reagují na digitální transformaci a/nebo výzvy, které z ní vyplývají, neboť se očekává, že významně přispějí ke zlepšení vysokorychlostního připojení v Řecku. Očekává se, že žádné opatření v této</w:t>
      </w:r>
      <w:r>
        <w:rPr>
          <w:noProof/>
        </w:rPr>
        <w:t xml:space="preserve"> složce významně nepoškozuje environmentální cíle ve smyslu článku 17 nařízení (EU) 2020/852, s přihlédnutím k popisu opatření a zmírňujícím krokům stanoveným v plánu pro oživení a odolnost v souladu s technickými pokyny „významně nepoškozovat“ (2021/C58/0</w:t>
      </w:r>
      <w:r>
        <w:rPr>
          <w:noProof/>
        </w:rPr>
        <w:t>1).</w:t>
      </w:r>
    </w:p>
    <w:p w14:paraId="302E9409" w14:textId="77777777" w:rsidR="00515398" w:rsidRDefault="006711E6">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E.1. </w:t>
      </w:r>
      <w:r>
        <w:rPr>
          <w:noProof/>
        </w:rPr>
        <w:t xml:space="preserve"> </w:t>
      </w:r>
      <w:r>
        <w:rPr>
          <w:rFonts w:ascii="Times New Roman" w:hAnsi="Times New Roman"/>
          <w:b/>
          <w:noProof/>
          <w:sz w:val="24"/>
          <w:u w:val="single"/>
        </w:rPr>
        <w:t>Popis reforem a investic pro nevratnou finanční podporu</w:t>
      </w:r>
    </w:p>
    <w:p w14:paraId="05F1E5F4"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Malé družice (ID opatření: 16855)</w:t>
      </w:r>
    </w:p>
    <w:p w14:paraId="2C0F7C76" w14:textId="77777777" w:rsidR="00515398" w:rsidRDefault="006711E6">
      <w:pPr>
        <w:pStyle w:val="P68B1DB1-Normal4"/>
        <w:spacing w:before="120" w:after="120" w:line="240" w:lineRule="auto"/>
        <w:jc w:val="both"/>
        <w:rPr>
          <w:rFonts w:cs="Times New Roman"/>
          <w:noProof/>
        </w:rPr>
      </w:pPr>
      <w:r>
        <w:rPr>
          <w:noProof/>
        </w:rPr>
        <w:t>Investice se týká vývoje konstelace malých družic, která podpoří služby konektivity, jakož i aplikace pozorování Země v oblasti mapování, lodní d</w:t>
      </w:r>
      <w:r>
        <w:rPr>
          <w:noProof/>
        </w:rPr>
        <w:t>opravy, přesného zemědělství, územního plánování a dalších. Investice musí být provedena do 31. prosince 2025.</w:t>
      </w:r>
    </w:p>
    <w:p w14:paraId="692684E5" w14:textId="77777777" w:rsidR="00515398" w:rsidRDefault="006711E6">
      <w:pPr>
        <w:pStyle w:val="P68B1DB1-Normal4"/>
        <w:spacing w:before="120" w:after="120" w:line="240" w:lineRule="auto"/>
        <w:jc w:val="both"/>
        <w:rPr>
          <w:rFonts w:cs="Times New Roman"/>
          <w:noProof/>
          <w:szCs w:val="24"/>
        </w:rPr>
      </w:pPr>
      <w:r>
        <w:rPr>
          <w:b/>
          <w:noProof/>
        </w:rPr>
        <w:t>Reforma:</w:t>
      </w:r>
      <w:r>
        <w:rPr>
          <w:noProof/>
        </w:rPr>
        <w:t xml:space="preserve"> Přechod na technologii 5G, usnadnění rozvoje inovativních služeb na dálku (ID opatření: 16844)</w:t>
      </w:r>
    </w:p>
    <w:p w14:paraId="05C530B8" w14:textId="77777777" w:rsidR="00515398" w:rsidRDefault="006711E6">
      <w:pPr>
        <w:pStyle w:val="P68B1DB1-Normal4"/>
        <w:spacing w:before="120" w:after="120" w:line="240" w:lineRule="auto"/>
        <w:jc w:val="both"/>
        <w:rPr>
          <w:rFonts w:cs="Times New Roman"/>
          <w:noProof/>
        </w:rPr>
      </w:pPr>
      <w:r>
        <w:rPr>
          <w:noProof/>
        </w:rPr>
        <w:t>Reforma vytvoří základ pro přechod na tec</w:t>
      </w:r>
      <w:r>
        <w:rPr>
          <w:noProof/>
        </w:rPr>
        <w:t>hnologii 5G. První fáze reformy se zaměřuje na provádění regulačního a legislativního rámce, zejména s využitím 25 % příjmů z dražeb ve více pásmech 5G na podporu inovativního fondu Phaistos, který investuje do společností a projektů poskytujících produkty</w:t>
      </w:r>
      <w:r>
        <w:rPr>
          <w:noProof/>
        </w:rPr>
        <w:t xml:space="preserve"> a služby 5G. Druhá fáze zahrnuje postup pro určení dalších příležitostí a rizik při rozvoji sítí 5G, zjednodušení postupů a posouzení požadavků a rizik v konkrétních ekonomických aplikacích (např. v dopravě). Provádění reformy bude dokončeno do 30. září 2</w:t>
      </w:r>
      <w:r>
        <w:rPr>
          <w:noProof/>
        </w:rPr>
        <w:t>024.</w:t>
      </w:r>
    </w:p>
    <w:p w14:paraId="78EAA90E" w14:textId="77777777" w:rsidR="00515398" w:rsidRDefault="006711E6">
      <w:pPr>
        <w:pStyle w:val="P68B1DB1-Normal4"/>
        <w:spacing w:before="120" w:after="120" w:line="240" w:lineRule="auto"/>
        <w:jc w:val="both"/>
        <w:rPr>
          <w:rFonts w:cs="Times New Roman"/>
          <w:noProof/>
        </w:rPr>
      </w:pPr>
      <w:r>
        <w:rPr>
          <w:b/>
          <w:noProof/>
        </w:rPr>
        <w:t xml:space="preserve">Reforma: </w:t>
      </w:r>
      <w:r>
        <w:rPr>
          <w:noProof/>
        </w:rPr>
        <w:t>Přechod na gigabitová širokopásmová připojení – přechod na gigabitové širokopásmové připojení a posílení poptávky po gigabitovém širokopásmovém připojení (ID opatření: 16857)</w:t>
      </w:r>
    </w:p>
    <w:p w14:paraId="3636EFB7" w14:textId="2C3C8FD5" w:rsidR="00515398" w:rsidRDefault="006711E6">
      <w:pPr>
        <w:pStyle w:val="P68B1DB1-Normal4"/>
        <w:spacing w:before="120" w:after="120" w:line="240" w:lineRule="auto"/>
        <w:jc w:val="both"/>
        <w:rPr>
          <w:rFonts w:cs="Times New Roman"/>
          <w:noProof/>
        </w:rPr>
      </w:pPr>
      <w:r>
        <w:rPr>
          <w:noProof/>
        </w:rPr>
        <w:t>Tato reforma spočívá ve vstupu v platnost právního rámce pro přecho</w:t>
      </w:r>
      <w:r>
        <w:rPr>
          <w:noProof/>
        </w:rPr>
        <w:t xml:space="preserve">d na připojení sítě VHCN s velmi vysokou kapacitou prostřednictvím instalace optických vláken a doprovodného zařízení v budovách, jakož i podmořských kabelů v případě řeckých ostrovů, což umožní větší pokrytí gigabitových širokopásmových připojení. Právní </w:t>
      </w:r>
      <w:r>
        <w:rPr>
          <w:noProof/>
        </w:rPr>
        <w:t>rámec vymezí technické specifikace a příslušná pravidla a postupy pro zavádění širokopásmové infrastruktury uvnitř budovy schopné poskytovat koncovým uživatelům gigabitové připojení. Provádění reformy bude dokončeno do 30. června 2024.</w:t>
      </w:r>
      <w:r>
        <w:rPr>
          <w:b/>
          <w:noProof/>
        </w:rPr>
        <w:t>Investice:</w:t>
      </w:r>
      <w:r>
        <w:rPr>
          <w:noProof/>
        </w:rPr>
        <w:t xml:space="preserve"> Optická i</w:t>
      </w:r>
      <w:r>
        <w:rPr>
          <w:noProof/>
        </w:rPr>
        <w:t>nfrastruktura v budovách (opatření ID: 16818)</w:t>
      </w:r>
    </w:p>
    <w:p w14:paraId="7497150C" w14:textId="77777777" w:rsidR="00515398" w:rsidRDefault="006711E6">
      <w:pPr>
        <w:pStyle w:val="P68B1DB1-Normal4"/>
        <w:spacing w:before="120" w:after="120" w:line="240" w:lineRule="auto"/>
        <w:jc w:val="both"/>
        <w:rPr>
          <w:rFonts w:cs="Times New Roman"/>
          <w:noProof/>
        </w:rPr>
      </w:pPr>
      <w:r>
        <w:rPr>
          <w:noProof/>
        </w:rPr>
        <w:t>Investice podporuje instalaci infrastruktury optických vláken v obytných a komerčních budovách a připojení koncových uživatelů k sítím s velmi vysokou kapacitou (VHCN) na základě systému subvencí poptávky (pouk</w:t>
      </w:r>
      <w:r>
        <w:rPr>
          <w:noProof/>
        </w:rPr>
        <w:t>azů), který dotuje a) náklady na interní kabeláž a b) poplatky za připojení (jednorázový poplatek za zřízení širokopásmových služeb). Investice musí být provedena do 31. prosince 2025.</w:t>
      </w:r>
    </w:p>
    <w:p w14:paraId="630F57D5" w14:textId="77777777" w:rsidR="00515398" w:rsidRDefault="00515398">
      <w:pPr>
        <w:spacing w:before="120" w:after="120" w:line="240" w:lineRule="auto"/>
        <w:jc w:val="both"/>
        <w:rPr>
          <w:rFonts w:ascii="Times New Roman" w:hAnsi="Times New Roman" w:cs="Times New Roman"/>
          <w:b/>
          <w:noProof/>
          <w:sz w:val="24"/>
        </w:rPr>
      </w:pPr>
    </w:p>
    <w:p w14:paraId="5EA96490" w14:textId="77777777" w:rsidR="00515398" w:rsidRDefault="00515398">
      <w:pPr>
        <w:spacing w:before="120" w:after="120" w:line="240" w:lineRule="auto"/>
        <w:ind w:left="709"/>
        <w:jc w:val="both"/>
        <w:rPr>
          <w:rFonts w:ascii="Times New Roman" w:hAnsi="Times New Roman" w:cs="Times New Roman"/>
          <w:noProof/>
          <w:sz w:val="24"/>
        </w:rPr>
      </w:pPr>
    </w:p>
    <w:p w14:paraId="2383CE84"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97"/>
          <w:headerReference w:type="default" r:id="rId98"/>
          <w:footerReference w:type="even" r:id="rId99"/>
          <w:footerReference w:type="default" r:id="rId100"/>
          <w:headerReference w:type="first" r:id="rId101"/>
          <w:footerReference w:type="first" r:id="rId102"/>
          <w:pgSz w:w="11907" w:h="16839"/>
          <w:pgMar w:top="1134" w:right="1418" w:bottom="1134" w:left="1418" w:header="709" w:footer="709" w:gutter="0"/>
          <w:cols w:space="720"/>
          <w:docGrid w:linePitch="360"/>
        </w:sectPr>
      </w:pPr>
    </w:p>
    <w:p w14:paraId="12966E81"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E.2. </w:t>
      </w:r>
      <w:r>
        <w:rPr>
          <w:noProof/>
        </w:rPr>
        <w:t xml:space="preserve"> </w:t>
      </w:r>
      <w:r>
        <w:rPr>
          <w:rFonts w:ascii="Times New Roman" w:hAnsi="Times New Roman"/>
          <w:b/>
          <w:noProof/>
          <w:sz w:val="24"/>
          <w:u w:val="single"/>
        </w:rPr>
        <w:t>Miln</w:t>
      </w:r>
      <w:r>
        <w:rPr>
          <w:rFonts w:ascii="Times New Roman" w:hAnsi="Times New Roman"/>
          <w:b/>
          <w:noProof/>
          <w:sz w:val="24"/>
          <w:u w:val="single"/>
        </w:rPr>
        <w:t>íky, cíle, ukazatele a harmonogram monitorování a provádění nevratné finanční podpory</w:t>
      </w:r>
    </w:p>
    <w:p w14:paraId="301A0875" w14:textId="77777777" w:rsidR="00515398" w:rsidRDefault="00515398">
      <w:pPr>
        <w:keepNext/>
        <w:keepLines/>
        <w:spacing w:before="40" w:after="0" w:line="240" w:lineRule="auto"/>
        <w:ind w:firstLine="709"/>
        <w:jc w:val="both"/>
        <w:outlineLvl w:val="4"/>
        <w:rPr>
          <w:rFonts w:ascii="Cambria" w:eastAsia="Times New Roman" w:hAnsi="Cambria"/>
          <w:noProof/>
          <w:color w:val="365F91"/>
          <w:sz w:val="24"/>
        </w:rPr>
      </w:pPr>
    </w:p>
    <w:p w14:paraId="71C32FD1" w14:textId="77777777" w:rsidR="00515398" w:rsidRDefault="006711E6">
      <w:pPr>
        <w:pStyle w:val="P68B1DB1-Normal6"/>
        <w:keepNext/>
        <w:keepLines/>
        <w:spacing w:before="40" w:after="0" w:line="240" w:lineRule="auto"/>
        <w:ind w:firstLine="709"/>
        <w:jc w:val="both"/>
        <w:outlineLvl w:val="4"/>
        <w:rPr>
          <w:rFonts w:eastAsia="Times New Roman"/>
          <w:noProof/>
        </w:rPr>
      </w:pPr>
      <w:r>
        <w:rPr>
          <w:noProof/>
        </w:rPr>
        <w:t>Skupina 8: Propojení</w:t>
      </w:r>
    </w:p>
    <w:p w14:paraId="680E516B" w14:textId="77777777" w:rsidR="00515398" w:rsidRDefault="006711E6">
      <w:pPr>
        <w:pStyle w:val="P68B1DB1-Normal4"/>
        <w:spacing w:before="120" w:after="120" w:line="240" w:lineRule="auto"/>
        <w:ind w:left="709"/>
        <w:jc w:val="both"/>
        <w:rPr>
          <w:rFonts w:cs="Times New Roman"/>
          <w:noProof/>
          <w:szCs w:val="24"/>
        </w:rPr>
      </w:pPr>
      <w:r>
        <w:rPr>
          <w:noProof/>
        </w:rPr>
        <w:t>Opatření zahrnutá do této skupiny jsou:</w:t>
      </w:r>
    </w:p>
    <w:p w14:paraId="085676AD" w14:textId="77777777" w:rsidR="00515398" w:rsidRDefault="006711E6">
      <w:pPr>
        <w:spacing w:before="120" w:after="120" w:line="240" w:lineRule="auto"/>
        <w:ind w:left="709"/>
        <w:jc w:val="both"/>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Přechod na technologii 5G, usnadnění rozvoje inovativních služeb na dálku. (ID: 16844)</w:t>
      </w:r>
    </w:p>
    <w:p w14:paraId="78138789" w14:textId="77777777" w:rsidR="00515398" w:rsidRDefault="006711E6">
      <w:pPr>
        <w:spacing w:before="120" w:after="120" w:line="240" w:lineRule="auto"/>
        <w:ind w:left="709"/>
        <w:jc w:val="both"/>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 xml:space="preserve">Přechod na </w:t>
      </w:r>
      <w:r>
        <w:rPr>
          <w:rFonts w:ascii="Times New Roman" w:hAnsi="Times New Roman"/>
          <w:noProof/>
          <w:sz w:val="24"/>
        </w:rPr>
        <w:t>gigabitová širokopásmová připojení – přechod na gigabitové širokopásmové připojení a posílení poptávky po gigabitovém širokopásmovém připojení (ID: 16857)</w:t>
      </w:r>
    </w:p>
    <w:p w14:paraId="204397EB" w14:textId="77777777" w:rsidR="00515398" w:rsidRDefault="006711E6">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Optická infrastruktura v budovách (ID: 16818)</w:t>
      </w:r>
    </w:p>
    <w:p w14:paraId="5C27E3AB" w14:textId="77777777" w:rsidR="00515398" w:rsidRDefault="006711E6">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noProof/>
        </w:rPr>
        <w:tab/>
      </w:r>
      <w:r>
        <w:rPr>
          <w:noProof/>
        </w:rPr>
        <w:tab/>
      </w:r>
      <w:r>
        <w:rPr>
          <w:rFonts w:ascii="Times New Roman" w:hAnsi="Times New Roman"/>
          <w:noProof/>
          <w:sz w:val="24"/>
        </w:rPr>
        <w:t>Malé družice (ID: 16855)</w:t>
      </w:r>
      <w:r>
        <w:rPr>
          <w:noProof/>
        </w:rPr>
        <w:tab/>
      </w:r>
    </w:p>
    <w:tbl>
      <w:tblPr>
        <w:tblW w:w="15446" w:type="dxa"/>
        <w:jc w:val="center"/>
        <w:tblLayout w:type="fixed"/>
        <w:tblLook w:val="04A0" w:firstRow="1" w:lastRow="0" w:firstColumn="1" w:lastColumn="0" w:noHBand="0" w:noVBand="1"/>
      </w:tblPr>
      <w:tblGrid>
        <w:gridCol w:w="704"/>
        <w:gridCol w:w="1276"/>
        <w:gridCol w:w="992"/>
        <w:gridCol w:w="1343"/>
        <w:gridCol w:w="1440"/>
        <w:gridCol w:w="1800"/>
        <w:gridCol w:w="960"/>
        <w:gridCol w:w="840"/>
        <w:gridCol w:w="960"/>
        <w:gridCol w:w="840"/>
        <w:gridCol w:w="4291"/>
      </w:tblGrid>
      <w:tr w:rsidR="00515398" w14:paraId="03EE8968" w14:textId="77777777">
        <w:trPr>
          <w:trHeight w:val="585"/>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55F409"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7FB9BC" w14:textId="77777777" w:rsidR="00515398" w:rsidRDefault="006711E6">
            <w:pPr>
              <w:pStyle w:val="P68B1DB1-Normal7"/>
              <w:spacing w:after="0" w:line="240" w:lineRule="auto"/>
              <w:jc w:val="center"/>
              <w:rPr>
                <w:rFonts w:eastAsia="Times New Roman" w:cs="Times New Roman"/>
                <w:bCs/>
                <w:noProof/>
                <w:szCs w:val="18"/>
              </w:rPr>
            </w:pPr>
            <w:r>
              <w:rPr>
                <w:noProof/>
              </w:rPr>
              <w:t>Souvisejí</w:t>
            </w:r>
            <w:r>
              <w:rPr>
                <w:noProof/>
              </w:rPr>
              <w:t>cí opatření (reforma nebo investice)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05518B"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43" w:type="dxa"/>
            <w:vMerge w:val="restart"/>
            <w:tcBorders>
              <w:top w:val="single" w:sz="4" w:space="0" w:color="auto"/>
              <w:left w:val="nil"/>
              <w:bottom w:val="single" w:sz="4" w:space="0" w:color="auto"/>
              <w:right w:val="single" w:sz="4" w:space="0" w:color="auto"/>
            </w:tcBorders>
            <w:shd w:val="clear" w:color="auto" w:fill="BDD7EE"/>
            <w:vAlign w:val="center"/>
            <w:hideMark/>
          </w:tcPr>
          <w:p w14:paraId="2B16042F"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AB4BE1"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600" w:type="dxa"/>
            <w:gridSpan w:val="3"/>
            <w:tcBorders>
              <w:top w:val="single" w:sz="4" w:space="0" w:color="auto"/>
              <w:left w:val="nil"/>
              <w:bottom w:val="single" w:sz="4" w:space="0" w:color="auto"/>
              <w:right w:val="single" w:sz="4" w:space="0" w:color="auto"/>
            </w:tcBorders>
            <w:shd w:val="clear" w:color="auto" w:fill="BDD7EE"/>
            <w:vAlign w:val="center"/>
            <w:hideMark/>
          </w:tcPr>
          <w:p w14:paraId="748AB12E"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07BC25A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2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FC44F6"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54F9E674" w14:textId="77777777">
        <w:trPr>
          <w:trHeight w:val="372"/>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11A0DCE" w14:textId="77777777" w:rsidR="00515398" w:rsidRDefault="00515398">
            <w:pPr>
              <w:spacing w:after="0" w:line="240" w:lineRule="auto"/>
              <w:rPr>
                <w:rFonts w:ascii="Times New Roman" w:eastAsia="Times New Roman" w:hAnsi="Times New Roman" w:cs="Times New Roman"/>
                <w:b/>
                <w:bCs/>
                <w:noProof/>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908C6D" w14:textId="77777777" w:rsidR="00515398" w:rsidRDefault="00515398">
            <w:pPr>
              <w:spacing w:after="0" w:line="240" w:lineRule="auto"/>
              <w:rPr>
                <w:rFonts w:ascii="Times New Roman" w:eastAsia="Times New Roman" w:hAnsi="Times New Roman" w:cs="Times New Roman"/>
                <w:b/>
                <w:bCs/>
                <w:noProof/>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767FD5A" w14:textId="77777777" w:rsidR="00515398" w:rsidRDefault="00515398">
            <w:pPr>
              <w:spacing w:after="0" w:line="240" w:lineRule="auto"/>
              <w:rPr>
                <w:rFonts w:ascii="Times New Roman" w:eastAsia="Times New Roman" w:hAnsi="Times New Roman" w:cs="Times New Roman"/>
                <w:b/>
                <w:bCs/>
                <w:noProof/>
                <w:sz w:val="18"/>
                <w:szCs w:val="18"/>
              </w:rPr>
            </w:pPr>
          </w:p>
        </w:tc>
        <w:tc>
          <w:tcPr>
            <w:tcW w:w="1343" w:type="dxa"/>
            <w:vMerge/>
            <w:tcBorders>
              <w:top w:val="single" w:sz="4" w:space="0" w:color="auto"/>
              <w:left w:val="nil"/>
              <w:bottom w:val="single" w:sz="4" w:space="0" w:color="000000"/>
              <w:right w:val="single" w:sz="4" w:space="0" w:color="auto"/>
            </w:tcBorders>
            <w:vAlign w:val="center"/>
            <w:hideMark/>
          </w:tcPr>
          <w:p w14:paraId="2B6F31AD" w14:textId="77777777" w:rsidR="00515398" w:rsidRDefault="00515398">
            <w:pPr>
              <w:spacing w:after="0" w:line="240" w:lineRule="auto"/>
              <w:rPr>
                <w:rFonts w:ascii="Times New Roman" w:eastAsia="Times New Roman" w:hAnsi="Times New Roman" w:cs="Times New Roman"/>
                <w:b/>
                <w:bCs/>
                <w:noProof/>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63D1745D" w14:textId="77777777" w:rsidR="00515398" w:rsidRDefault="00515398">
            <w:pPr>
              <w:spacing w:after="0" w:line="240" w:lineRule="auto"/>
              <w:rPr>
                <w:rFonts w:ascii="Times New Roman" w:eastAsia="Times New Roman" w:hAnsi="Times New Roman" w:cs="Times New Roman"/>
                <w:b/>
                <w:bCs/>
                <w:noProof/>
                <w:sz w:val="18"/>
                <w:szCs w:val="18"/>
              </w:rPr>
            </w:pPr>
          </w:p>
        </w:tc>
        <w:tc>
          <w:tcPr>
            <w:tcW w:w="1800" w:type="dxa"/>
            <w:tcBorders>
              <w:top w:val="single" w:sz="4" w:space="0" w:color="auto"/>
              <w:left w:val="nil"/>
              <w:bottom w:val="single" w:sz="4" w:space="0" w:color="auto"/>
              <w:right w:val="single" w:sz="4" w:space="0" w:color="auto"/>
            </w:tcBorders>
            <w:shd w:val="clear" w:color="auto" w:fill="BDD7EE"/>
            <w:vAlign w:val="center"/>
            <w:hideMark/>
          </w:tcPr>
          <w:p w14:paraId="756A0EAA"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00C18BC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40" w:type="dxa"/>
            <w:tcBorders>
              <w:top w:val="single" w:sz="4" w:space="0" w:color="auto"/>
              <w:left w:val="nil"/>
              <w:bottom w:val="single" w:sz="4" w:space="0" w:color="auto"/>
              <w:right w:val="single" w:sz="4" w:space="0" w:color="auto"/>
            </w:tcBorders>
            <w:shd w:val="clear" w:color="auto" w:fill="BDD7EE"/>
            <w:vAlign w:val="center"/>
            <w:hideMark/>
          </w:tcPr>
          <w:p w14:paraId="1C1BA95C"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6C3CE904"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840" w:type="dxa"/>
            <w:tcBorders>
              <w:top w:val="single" w:sz="4" w:space="0" w:color="auto"/>
              <w:left w:val="nil"/>
              <w:bottom w:val="single" w:sz="4" w:space="0" w:color="auto"/>
              <w:right w:val="single" w:sz="4" w:space="0" w:color="auto"/>
            </w:tcBorders>
            <w:shd w:val="clear" w:color="auto" w:fill="BDD7EE"/>
            <w:vAlign w:val="center"/>
            <w:hideMark/>
          </w:tcPr>
          <w:p w14:paraId="77C42570"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291" w:type="dxa"/>
            <w:vMerge/>
            <w:tcBorders>
              <w:top w:val="single" w:sz="4" w:space="0" w:color="auto"/>
              <w:left w:val="single" w:sz="4" w:space="0" w:color="auto"/>
              <w:bottom w:val="single" w:sz="4" w:space="0" w:color="auto"/>
              <w:right w:val="single" w:sz="4" w:space="0" w:color="auto"/>
            </w:tcBorders>
            <w:vAlign w:val="center"/>
            <w:hideMark/>
          </w:tcPr>
          <w:p w14:paraId="3ADD4056"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19CADF9"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120AC75C" w14:textId="77777777" w:rsidR="00515398" w:rsidRDefault="006711E6">
            <w:pPr>
              <w:pStyle w:val="P68B1DB1-Normal9"/>
              <w:spacing w:after="0" w:line="240" w:lineRule="auto"/>
              <w:rPr>
                <w:rFonts w:eastAsia="Times New Roman" w:cs="Calibri"/>
                <w:noProof/>
                <w:szCs w:val="18"/>
              </w:rPr>
            </w:pPr>
            <w:r>
              <w:rPr>
                <w:noProof/>
              </w:rPr>
              <w:t>85</w:t>
            </w:r>
          </w:p>
        </w:tc>
        <w:tc>
          <w:tcPr>
            <w:tcW w:w="1276" w:type="dxa"/>
            <w:tcBorders>
              <w:top w:val="nil"/>
              <w:left w:val="nil"/>
              <w:bottom w:val="single" w:sz="4" w:space="0" w:color="auto"/>
              <w:right w:val="single" w:sz="4" w:space="0" w:color="auto"/>
            </w:tcBorders>
            <w:shd w:val="clear" w:color="auto" w:fill="C6EFCE"/>
            <w:noWrap/>
          </w:tcPr>
          <w:p w14:paraId="428ED862" w14:textId="77777777" w:rsidR="00515398" w:rsidRDefault="006711E6">
            <w:pPr>
              <w:pStyle w:val="P68B1DB1-Normal9"/>
              <w:spacing w:after="0" w:line="240" w:lineRule="auto"/>
              <w:rPr>
                <w:rFonts w:eastAsia="Times New Roman" w:cs="Calibri"/>
                <w:noProof/>
                <w:szCs w:val="18"/>
              </w:rPr>
            </w:pPr>
            <w:r>
              <w:rPr>
                <w:noProof/>
              </w:rPr>
              <w:t>5–2.1. Connect – 16818_Infrastruktura optických vláken v budovách</w:t>
            </w:r>
          </w:p>
        </w:tc>
        <w:tc>
          <w:tcPr>
            <w:tcW w:w="992" w:type="dxa"/>
            <w:tcBorders>
              <w:top w:val="nil"/>
              <w:left w:val="nil"/>
              <w:bottom w:val="single" w:sz="4" w:space="0" w:color="auto"/>
              <w:right w:val="single" w:sz="4" w:space="0" w:color="auto"/>
            </w:tcBorders>
            <w:shd w:val="clear" w:color="auto" w:fill="C6EFCE"/>
            <w:noWrap/>
          </w:tcPr>
          <w:p w14:paraId="7D0FF7C5"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tcBorders>
              <w:top w:val="nil"/>
              <w:left w:val="nil"/>
              <w:bottom w:val="single" w:sz="4" w:space="0" w:color="auto"/>
              <w:right w:val="single" w:sz="4" w:space="0" w:color="auto"/>
            </w:tcBorders>
            <w:shd w:val="clear" w:color="auto" w:fill="C6EFCE"/>
            <w:noWrap/>
          </w:tcPr>
          <w:p w14:paraId="68A14E67" w14:textId="77777777" w:rsidR="00515398" w:rsidRDefault="006711E6">
            <w:pPr>
              <w:pStyle w:val="P68B1DB1-Normal9"/>
              <w:spacing w:after="0" w:line="240" w:lineRule="auto"/>
              <w:rPr>
                <w:rFonts w:eastAsia="Times New Roman" w:cs="Calibri"/>
                <w:noProof/>
                <w:szCs w:val="18"/>
              </w:rPr>
            </w:pPr>
            <w:r>
              <w:rPr>
                <w:noProof/>
              </w:rPr>
              <w:t>Zadání zakázky (zakázek) na projekt „Infrastruktura optických vláken v budovách“</w:t>
            </w:r>
          </w:p>
        </w:tc>
        <w:tc>
          <w:tcPr>
            <w:tcW w:w="1440" w:type="dxa"/>
            <w:tcBorders>
              <w:top w:val="nil"/>
              <w:left w:val="nil"/>
              <w:bottom w:val="single" w:sz="4" w:space="0" w:color="auto"/>
              <w:right w:val="single" w:sz="4" w:space="0" w:color="auto"/>
            </w:tcBorders>
            <w:shd w:val="clear" w:color="auto" w:fill="C6EFCE"/>
            <w:noWrap/>
          </w:tcPr>
          <w:p w14:paraId="0F49BFC7" w14:textId="77777777" w:rsidR="00515398" w:rsidRDefault="006711E6">
            <w:pPr>
              <w:pStyle w:val="P68B1DB1-Normal9"/>
              <w:spacing w:after="0" w:line="240" w:lineRule="auto"/>
              <w:rPr>
                <w:rFonts w:eastAsia="Times New Roman" w:cs="Calibri"/>
                <w:strike/>
                <w:noProof/>
                <w:szCs w:val="18"/>
              </w:rPr>
            </w:pPr>
            <w:r>
              <w:rPr>
                <w:noProof/>
              </w:rPr>
              <w:t xml:space="preserve">Oznámení o zadání zakázky (zakázek) </w:t>
            </w:r>
          </w:p>
        </w:tc>
        <w:tc>
          <w:tcPr>
            <w:tcW w:w="1800" w:type="dxa"/>
            <w:tcBorders>
              <w:top w:val="nil"/>
              <w:left w:val="nil"/>
              <w:bottom w:val="single" w:sz="4" w:space="0" w:color="auto"/>
              <w:right w:val="single" w:sz="4" w:space="0" w:color="auto"/>
            </w:tcBorders>
            <w:shd w:val="clear" w:color="auto" w:fill="C6EFCE"/>
            <w:noWrap/>
          </w:tcPr>
          <w:p w14:paraId="1B4F0086"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0D3D63E" w14:textId="77777777" w:rsidR="00515398" w:rsidRDefault="00515398">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tcPr>
          <w:p w14:paraId="19CEDFE4"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306FFFBA" w14:textId="77777777" w:rsidR="00515398" w:rsidRDefault="006711E6">
            <w:pPr>
              <w:pStyle w:val="P68B1DB1-Normal9"/>
              <w:spacing w:after="0" w:line="240" w:lineRule="auto"/>
              <w:rPr>
                <w:rFonts w:eastAsia="Times New Roman" w:cs="Calibri"/>
                <w:noProof/>
                <w:szCs w:val="18"/>
              </w:rPr>
            </w:pPr>
            <w:r>
              <w:rPr>
                <w:noProof/>
              </w:rPr>
              <w:t>ČTVRTLETÍ 3</w:t>
            </w:r>
          </w:p>
        </w:tc>
        <w:tc>
          <w:tcPr>
            <w:tcW w:w="840" w:type="dxa"/>
            <w:tcBorders>
              <w:top w:val="nil"/>
              <w:left w:val="nil"/>
              <w:bottom w:val="single" w:sz="4" w:space="0" w:color="auto"/>
              <w:right w:val="single" w:sz="4" w:space="0" w:color="auto"/>
            </w:tcBorders>
            <w:shd w:val="clear" w:color="auto" w:fill="C6EFCE"/>
            <w:noWrap/>
          </w:tcPr>
          <w:p w14:paraId="53B24A80" w14:textId="77777777" w:rsidR="00515398" w:rsidRDefault="006711E6">
            <w:pPr>
              <w:pStyle w:val="P68B1DB1-Normal9"/>
              <w:spacing w:after="0" w:line="240" w:lineRule="auto"/>
              <w:rPr>
                <w:rFonts w:eastAsia="Times New Roman" w:cs="Calibri"/>
                <w:noProof/>
                <w:szCs w:val="18"/>
              </w:rPr>
            </w:pPr>
            <w:r>
              <w:rPr>
                <w:noProof/>
              </w:rPr>
              <w:t>2022</w:t>
            </w:r>
          </w:p>
        </w:tc>
        <w:tc>
          <w:tcPr>
            <w:tcW w:w="4291" w:type="dxa"/>
            <w:tcBorders>
              <w:top w:val="nil"/>
              <w:left w:val="nil"/>
              <w:bottom w:val="single" w:sz="4" w:space="0" w:color="auto"/>
              <w:right w:val="single" w:sz="4" w:space="0" w:color="auto"/>
            </w:tcBorders>
            <w:shd w:val="clear" w:color="auto" w:fill="C6EFCE"/>
            <w:noWrap/>
          </w:tcPr>
          <w:p w14:paraId="79E0F8B9" w14:textId="77777777" w:rsidR="00515398" w:rsidRDefault="006711E6">
            <w:pPr>
              <w:pStyle w:val="P68B1DB1-Normal9"/>
              <w:spacing w:after="0" w:line="240" w:lineRule="auto"/>
              <w:rPr>
                <w:rFonts w:eastAsia="Times New Roman" w:cs="Calibri"/>
                <w:noProof/>
                <w:szCs w:val="18"/>
              </w:rPr>
            </w:pPr>
            <w:r>
              <w:rPr>
                <w:noProof/>
              </w:rPr>
              <w:t>Zadání zakázky (zakázek) po úspěšném dokon</w:t>
            </w:r>
            <w:r>
              <w:rPr>
                <w:noProof/>
              </w:rPr>
              <w:t>čení nabídkového řízení na projekt „Infrastruktura optických vláken v budovách“.</w:t>
            </w:r>
          </w:p>
          <w:p w14:paraId="46B2C472" w14:textId="77777777" w:rsidR="00515398" w:rsidRDefault="00515398">
            <w:pPr>
              <w:spacing w:after="0" w:line="240" w:lineRule="auto"/>
              <w:rPr>
                <w:rFonts w:eastAsia="Times New Roman" w:cs="Calibri"/>
                <w:noProof/>
                <w:color w:val="006100"/>
                <w:sz w:val="18"/>
                <w:szCs w:val="18"/>
              </w:rPr>
            </w:pPr>
          </w:p>
          <w:p w14:paraId="53273157" w14:textId="77777777" w:rsidR="00515398" w:rsidRDefault="006711E6">
            <w:pPr>
              <w:pStyle w:val="P68B1DB1-Normal9"/>
              <w:spacing w:after="0" w:line="240" w:lineRule="auto"/>
              <w:rPr>
                <w:rFonts w:eastAsia="Times New Roman" w:cs="Calibri"/>
                <w:noProof/>
                <w:szCs w:val="18"/>
              </w:rPr>
            </w:pPr>
            <w:r>
              <w:rPr>
                <w:noProof/>
              </w:rPr>
              <w:t xml:space="preserve">Dozorový úřad pro informační společnost/ministerstvo pro digitální správu zajistí, aby byly všechny předložené žádosti posouzeny s cílem potvrdit, zda žádosti řádně reagují </w:t>
            </w:r>
            <w:r>
              <w:rPr>
                <w:noProof/>
              </w:rPr>
              <w:t>na požadavky výzvy. Po výběru příslušného dodavatele přistoupí informační společnost S.A./ministerstvo pro digitální správu k zadání zakázky, která vymezí povinnosti, úlohy a povinnosti smluvních stran.</w:t>
            </w:r>
          </w:p>
        </w:tc>
      </w:tr>
      <w:tr w:rsidR="00515398" w14:paraId="46234CFD"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12CAFB5B" w14:textId="77777777" w:rsidR="00515398" w:rsidRDefault="006711E6">
            <w:pPr>
              <w:pStyle w:val="P68B1DB1-Normal9"/>
              <w:spacing w:after="0" w:line="240" w:lineRule="auto"/>
              <w:rPr>
                <w:rFonts w:eastAsia="Times New Roman" w:cs="Calibri"/>
                <w:noProof/>
                <w:szCs w:val="18"/>
              </w:rPr>
            </w:pPr>
            <w:r>
              <w:rPr>
                <w:noProof/>
              </w:rPr>
              <w:t>87</w:t>
            </w:r>
          </w:p>
        </w:tc>
        <w:tc>
          <w:tcPr>
            <w:tcW w:w="1276" w:type="dxa"/>
            <w:tcBorders>
              <w:top w:val="nil"/>
              <w:left w:val="nil"/>
              <w:bottom w:val="single" w:sz="4" w:space="0" w:color="auto"/>
              <w:right w:val="single" w:sz="4" w:space="0" w:color="auto"/>
            </w:tcBorders>
            <w:shd w:val="clear" w:color="auto" w:fill="C6EFCE"/>
            <w:noWrap/>
          </w:tcPr>
          <w:p w14:paraId="101999FE" w14:textId="77777777" w:rsidR="00515398" w:rsidRDefault="006711E6">
            <w:pPr>
              <w:pStyle w:val="P68B1DB1-Normal9"/>
              <w:spacing w:after="0" w:line="240" w:lineRule="auto"/>
              <w:rPr>
                <w:rFonts w:eastAsia="Times New Roman" w:cs="Calibri"/>
                <w:noProof/>
                <w:szCs w:val="18"/>
              </w:rPr>
            </w:pPr>
            <w:r>
              <w:rPr>
                <w:noProof/>
              </w:rPr>
              <w:t>5–2.1. Connect – 16855_Malé družice</w:t>
            </w:r>
          </w:p>
          <w:p w14:paraId="41356723"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38C27698"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tcBorders>
              <w:top w:val="nil"/>
              <w:left w:val="nil"/>
              <w:bottom w:val="single" w:sz="4" w:space="0" w:color="auto"/>
              <w:right w:val="single" w:sz="4" w:space="0" w:color="auto"/>
            </w:tcBorders>
            <w:shd w:val="clear" w:color="auto" w:fill="C6EFCE"/>
            <w:noWrap/>
          </w:tcPr>
          <w:p w14:paraId="174C66A2" w14:textId="77777777" w:rsidR="00515398" w:rsidRDefault="006711E6">
            <w:pPr>
              <w:pStyle w:val="P68B1DB1-Normal9"/>
              <w:spacing w:after="0" w:line="240" w:lineRule="auto"/>
              <w:rPr>
                <w:rFonts w:eastAsia="Times New Roman" w:cs="Calibri"/>
                <w:noProof/>
                <w:szCs w:val="18"/>
              </w:rPr>
            </w:pPr>
            <w:r>
              <w:rPr>
                <w:noProof/>
              </w:rPr>
              <w:t>Zadání zakázky (zakázek) na projekt „Malé družice“</w:t>
            </w:r>
          </w:p>
        </w:tc>
        <w:tc>
          <w:tcPr>
            <w:tcW w:w="1440" w:type="dxa"/>
            <w:tcBorders>
              <w:top w:val="nil"/>
              <w:left w:val="nil"/>
              <w:bottom w:val="single" w:sz="4" w:space="0" w:color="auto"/>
              <w:right w:val="single" w:sz="4" w:space="0" w:color="auto"/>
            </w:tcBorders>
            <w:shd w:val="clear" w:color="auto" w:fill="C6EFCE"/>
            <w:noWrap/>
          </w:tcPr>
          <w:p w14:paraId="690A1E47" w14:textId="77777777" w:rsidR="00515398" w:rsidRDefault="006711E6">
            <w:pPr>
              <w:pStyle w:val="P68B1DB1-Normal9"/>
              <w:spacing w:after="0" w:line="240" w:lineRule="auto"/>
              <w:rPr>
                <w:rFonts w:eastAsia="Times New Roman" w:cs="Calibri"/>
                <w:noProof/>
                <w:szCs w:val="18"/>
              </w:rPr>
            </w:pPr>
            <w:r>
              <w:rPr>
                <w:noProof/>
              </w:rPr>
              <w:t xml:space="preserve">Oznámení o zadání zakázky (zakázek) </w:t>
            </w:r>
          </w:p>
        </w:tc>
        <w:tc>
          <w:tcPr>
            <w:tcW w:w="1800" w:type="dxa"/>
            <w:tcBorders>
              <w:top w:val="nil"/>
              <w:left w:val="nil"/>
              <w:bottom w:val="single" w:sz="4" w:space="0" w:color="auto"/>
              <w:right w:val="single" w:sz="4" w:space="0" w:color="auto"/>
            </w:tcBorders>
            <w:shd w:val="clear" w:color="auto" w:fill="C6EFCE"/>
            <w:noWrap/>
          </w:tcPr>
          <w:p w14:paraId="44388A4C"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81E4CCB" w14:textId="77777777" w:rsidR="00515398" w:rsidRDefault="00515398">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tcPr>
          <w:p w14:paraId="4D74D0A7"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15756665"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tcBorders>
              <w:top w:val="nil"/>
              <w:left w:val="nil"/>
              <w:bottom w:val="single" w:sz="4" w:space="0" w:color="auto"/>
              <w:right w:val="single" w:sz="4" w:space="0" w:color="auto"/>
            </w:tcBorders>
            <w:shd w:val="clear" w:color="auto" w:fill="C6EFCE"/>
            <w:noWrap/>
          </w:tcPr>
          <w:p w14:paraId="53E5EE5B" w14:textId="77777777" w:rsidR="00515398" w:rsidRDefault="006711E6">
            <w:pPr>
              <w:pStyle w:val="P68B1DB1-Normal9"/>
              <w:spacing w:after="0" w:line="240" w:lineRule="auto"/>
              <w:rPr>
                <w:rFonts w:eastAsia="Times New Roman" w:cs="Calibri"/>
                <w:noProof/>
                <w:szCs w:val="18"/>
              </w:rPr>
            </w:pPr>
            <w:r>
              <w:rPr>
                <w:noProof/>
              </w:rPr>
              <w:t>2023</w:t>
            </w:r>
          </w:p>
        </w:tc>
        <w:tc>
          <w:tcPr>
            <w:tcW w:w="4291" w:type="dxa"/>
            <w:tcBorders>
              <w:top w:val="nil"/>
              <w:left w:val="nil"/>
              <w:bottom w:val="single" w:sz="4" w:space="0" w:color="auto"/>
              <w:right w:val="single" w:sz="4" w:space="0" w:color="auto"/>
            </w:tcBorders>
            <w:shd w:val="clear" w:color="auto" w:fill="C6EFCE"/>
            <w:noWrap/>
          </w:tcPr>
          <w:p w14:paraId="36F605B5" w14:textId="77777777" w:rsidR="00515398" w:rsidRDefault="006711E6">
            <w:pPr>
              <w:pStyle w:val="P68B1DB1-Normal9"/>
              <w:spacing w:after="0" w:line="240" w:lineRule="auto"/>
              <w:rPr>
                <w:rFonts w:eastAsia="Times New Roman" w:cs="Calibri"/>
                <w:noProof/>
                <w:szCs w:val="18"/>
              </w:rPr>
            </w:pPr>
            <w:r>
              <w:rPr>
                <w:noProof/>
              </w:rPr>
              <w:t>Zadání zakázky (zakázek) po úspěšném dokončení výběrového řízení na projekt „Small Satellites“.</w:t>
            </w:r>
          </w:p>
          <w:p w14:paraId="1745B2C5" w14:textId="77777777" w:rsidR="00515398" w:rsidRDefault="00515398">
            <w:pPr>
              <w:spacing w:after="0" w:line="240" w:lineRule="auto"/>
              <w:rPr>
                <w:rFonts w:eastAsia="Times New Roman" w:cs="Calibri"/>
                <w:noProof/>
                <w:color w:val="006100"/>
                <w:sz w:val="18"/>
                <w:szCs w:val="18"/>
              </w:rPr>
            </w:pPr>
          </w:p>
          <w:p w14:paraId="67E7E404" w14:textId="77777777" w:rsidR="00515398" w:rsidRDefault="00515398">
            <w:pPr>
              <w:spacing w:after="0" w:line="240" w:lineRule="auto"/>
              <w:rPr>
                <w:rFonts w:eastAsia="Times New Roman" w:cs="Calibri"/>
                <w:noProof/>
                <w:color w:val="006100"/>
                <w:sz w:val="18"/>
                <w:szCs w:val="18"/>
              </w:rPr>
            </w:pPr>
          </w:p>
        </w:tc>
      </w:tr>
      <w:tr w:rsidR="00515398" w14:paraId="37B196FF" w14:textId="77777777">
        <w:trPr>
          <w:trHeight w:val="309"/>
          <w:jc w:val="center"/>
        </w:trPr>
        <w:tc>
          <w:tcPr>
            <w:tcW w:w="704" w:type="dxa"/>
            <w:tcBorders>
              <w:top w:val="nil"/>
              <w:left w:val="single" w:sz="4" w:space="0" w:color="auto"/>
              <w:bottom w:val="single" w:sz="4" w:space="0" w:color="auto"/>
              <w:right w:val="single" w:sz="4" w:space="0" w:color="auto"/>
            </w:tcBorders>
            <w:shd w:val="clear" w:color="auto" w:fill="C6EFCE"/>
            <w:noWrap/>
          </w:tcPr>
          <w:p w14:paraId="534D5017" w14:textId="77777777" w:rsidR="00515398" w:rsidRDefault="006711E6">
            <w:pPr>
              <w:pStyle w:val="P68B1DB1-Normal9"/>
              <w:spacing w:after="0" w:line="240" w:lineRule="auto"/>
              <w:rPr>
                <w:rFonts w:eastAsia="Times New Roman" w:cs="Calibri"/>
                <w:noProof/>
                <w:szCs w:val="18"/>
              </w:rPr>
            </w:pPr>
            <w:r>
              <w:rPr>
                <w:noProof/>
              </w:rPr>
              <w:t>90</w:t>
            </w:r>
          </w:p>
        </w:tc>
        <w:tc>
          <w:tcPr>
            <w:tcW w:w="1276" w:type="dxa"/>
            <w:tcBorders>
              <w:top w:val="nil"/>
              <w:left w:val="nil"/>
              <w:bottom w:val="single" w:sz="4" w:space="0" w:color="auto"/>
              <w:right w:val="single" w:sz="4" w:space="0" w:color="auto"/>
            </w:tcBorders>
            <w:shd w:val="clear" w:color="auto" w:fill="C6EFCE"/>
            <w:noWrap/>
          </w:tcPr>
          <w:p w14:paraId="58065573" w14:textId="77777777" w:rsidR="00515398" w:rsidRDefault="006711E6">
            <w:pPr>
              <w:pStyle w:val="P68B1DB1-Normal9"/>
              <w:spacing w:after="0" w:line="240" w:lineRule="auto"/>
              <w:rPr>
                <w:rFonts w:eastAsia="Times New Roman" w:cs="Calibri"/>
                <w:noProof/>
                <w:szCs w:val="18"/>
              </w:rPr>
            </w:pPr>
            <w:r>
              <w:rPr>
                <w:noProof/>
              </w:rPr>
              <w:t xml:space="preserve">5–2.1. Connect – 16818_Infrastruktura optických </w:t>
            </w:r>
            <w:r>
              <w:rPr>
                <w:noProof/>
              </w:rPr>
              <w:t>vláken v budovách</w:t>
            </w:r>
          </w:p>
        </w:tc>
        <w:tc>
          <w:tcPr>
            <w:tcW w:w="992" w:type="dxa"/>
            <w:tcBorders>
              <w:top w:val="nil"/>
              <w:left w:val="nil"/>
              <w:bottom w:val="single" w:sz="4" w:space="0" w:color="auto"/>
              <w:right w:val="single" w:sz="4" w:space="0" w:color="auto"/>
            </w:tcBorders>
            <w:shd w:val="clear" w:color="auto" w:fill="C6EFCE"/>
            <w:noWrap/>
          </w:tcPr>
          <w:p w14:paraId="0609077B" w14:textId="77777777" w:rsidR="00515398" w:rsidRDefault="006711E6">
            <w:pPr>
              <w:pStyle w:val="P68B1DB1-Normal9"/>
              <w:spacing w:after="0" w:line="240" w:lineRule="auto"/>
              <w:rPr>
                <w:rFonts w:eastAsia="Times New Roman" w:cs="Calibri"/>
                <w:noProof/>
                <w:szCs w:val="18"/>
              </w:rPr>
            </w:pPr>
            <w:r>
              <w:rPr>
                <w:noProof/>
              </w:rPr>
              <w:t>Cílová</w:t>
            </w:r>
          </w:p>
        </w:tc>
        <w:tc>
          <w:tcPr>
            <w:tcW w:w="1343" w:type="dxa"/>
            <w:tcBorders>
              <w:top w:val="nil"/>
              <w:left w:val="nil"/>
              <w:bottom w:val="single" w:sz="4" w:space="0" w:color="auto"/>
              <w:right w:val="single" w:sz="4" w:space="0" w:color="auto"/>
            </w:tcBorders>
            <w:shd w:val="clear" w:color="auto" w:fill="C6EFCE"/>
            <w:noWrap/>
          </w:tcPr>
          <w:p w14:paraId="23709FF9" w14:textId="16125968" w:rsidR="00515398" w:rsidRDefault="006711E6">
            <w:pPr>
              <w:pStyle w:val="P68B1DB1-Normal9"/>
              <w:spacing w:after="0" w:line="240" w:lineRule="auto"/>
              <w:rPr>
                <w:rFonts w:eastAsia="Times New Roman" w:cs="Calibri"/>
                <w:noProof/>
                <w:szCs w:val="18"/>
              </w:rPr>
            </w:pPr>
            <w:r>
              <w:rPr>
                <w:noProof/>
              </w:rPr>
              <w:t>Dokončení projektu „Infrastruktura optických vláken v budovách“</w:t>
            </w:r>
          </w:p>
        </w:tc>
        <w:tc>
          <w:tcPr>
            <w:tcW w:w="1440" w:type="dxa"/>
            <w:tcBorders>
              <w:top w:val="nil"/>
              <w:left w:val="nil"/>
              <w:bottom w:val="single" w:sz="4" w:space="0" w:color="auto"/>
              <w:right w:val="single" w:sz="4" w:space="0" w:color="auto"/>
            </w:tcBorders>
            <w:shd w:val="clear" w:color="auto" w:fill="C6EFCE"/>
            <w:noWrap/>
          </w:tcPr>
          <w:p w14:paraId="32B5E654" w14:textId="77777777" w:rsidR="00515398" w:rsidRDefault="00515398">
            <w:pPr>
              <w:spacing w:after="0" w:line="240" w:lineRule="auto"/>
              <w:rPr>
                <w:rFonts w:eastAsia="Times New Roman" w:cs="Calibri"/>
                <w:noProof/>
                <w:color w:val="006100"/>
                <w:sz w:val="18"/>
                <w:szCs w:val="18"/>
              </w:rPr>
            </w:pPr>
          </w:p>
        </w:tc>
        <w:tc>
          <w:tcPr>
            <w:tcW w:w="1800" w:type="dxa"/>
            <w:tcBorders>
              <w:top w:val="nil"/>
              <w:left w:val="nil"/>
              <w:bottom w:val="single" w:sz="4" w:space="0" w:color="auto"/>
              <w:right w:val="single" w:sz="4" w:space="0" w:color="auto"/>
            </w:tcBorders>
            <w:shd w:val="clear" w:color="auto" w:fill="C6EFCE"/>
            <w:noWrap/>
          </w:tcPr>
          <w:p w14:paraId="0751FA50" w14:textId="1469E744" w:rsidR="00515398" w:rsidRDefault="006711E6">
            <w:pPr>
              <w:pStyle w:val="P68B1DB1-Normal9"/>
              <w:spacing w:after="0" w:line="240" w:lineRule="auto"/>
              <w:rPr>
                <w:rFonts w:eastAsia="Times New Roman" w:cs="Calibri"/>
                <w:noProof/>
                <w:szCs w:val="18"/>
              </w:rPr>
            </w:pPr>
            <w:r>
              <w:rPr>
                <w:noProof/>
              </w:rPr>
              <w:t>Obydlí spojená s optickou infrastrukturou a službou Fiber to The Home (FTTH)</w:t>
            </w:r>
          </w:p>
        </w:tc>
        <w:tc>
          <w:tcPr>
            <w:tcW w:w="960" w:type="dxa"/>
            <w:tcBorders>
              <w:top w:val="nil"/>
              <w:left w:val="nil"/>
              <w:bottom w:val="single" w:sz="4" w:space="0" w:color="auto"/>
              <w:right w:val="single" w:sz="4" w:space="0" w:color="auto"/>
            </w:tcBorders>
            <w:shd w:val="clear" w:color="auto" w:fill="C6EFCE"/>
            <w:noWrap/>
          </w:tcPr>
          <w:p w14:paraId="6EFC81B6" w14:textId="77777777" w:rsidR="00515398" w:rsidRDefault="006711E6">
            <w:pPr>
              <w:pStyle w:val="P68B1DB1-Normal9"/>
              <w:spacing w:after="0" w:line="240" w:lineRule="auto"/>
              <w:rPr>
                <w:rFonts w:eastAsia="Times New Roman" w:cs="Calibri"/>
                <w:noProof/>
                <w:szCs w:val="18"/>
              </w:rPr>
            </w:pPr>
            <w:r>
              <w:rPr>
                <w:noProof/>
              </w:rPr>
              <w:t>0</w:t>
            </w:r>
          </w:p>
        </w:tc>
        <w:tc>
          <w:tcPr>
            <w:tcW w:w="840" w:type="dxa"/>
            <w:tcBorders>
              <w:top w:val="nil"/>
              <w:left w:val="nil"/>
              <w:bottom w:val="single" w:sz="4" w:space="0" w:color="auto"/>
              <w:right w:val="single" w:sz="4" w:space="0" w:color="auto"/>
            </w:tcBorders>
            <w:shd w:val="clear" w:color="auto" w:fill="C6EFCE"/>
            <w:noWrap/>
          </w:tcPr>
          <w:p w14:paraId="68091B3A" w14:textId="3DD9DD6A" w:rsidR="00515398" w:rsidRDefault="006711E6">
            <w:pPr>
              <w:pStyle w:val="P68B1DB1-Normal9"/>
              <w:spacing w:after="0" w:line="240" w:lineRule="auto"/>
              <w:rPr>
                <w:rFonts w:eastAsia="Times New Roman" w:cs="Calibri"/>
                <w:noProof/>
                <w:szCs w:val="18"/>
              </w:rPr>
            </w:pPr>
            <w:r>
              <w:rPr>
                <w:noProof/>
              </w:rPr>
              <w:t>230</w:t>
            </w:r>
            <w:r>
              <w:rPr>
                <w:rFonts w:cs="Calibri"/>
                <w:noProof/>
                <w:szCs w:val="18"/>
              </w:rPr>
              <w:t xml:space="preserve"> </w:t>
            </w:r>
            <w:r>
              <w:rPr>
                <w:noProof/>
              </w:rPr>
              <w:t>000</w:t>
            </w:r>
          </w:p>
        </w:tc>
        <w:tc>
          <w:tcPr>
            <w:tcW w:w="960" w:type="dxa"/>
            <w:tcBorders>
              <w:top w:val="nil"/>
              <w:left w:val="nil"/>
              <w:bottom w:val="single" w:sz="4" w:space="0" w:color="auto"/>
              <w:right w:val="single" w:sz="4" w:space="0" w:color="auto"/>
            </w:tcBorders>
            <w:shd w:val="clear" w:color="auto" w:fill="C6EFCE"/>
            <w:noWrap/>
          </w:tcPr>
          <w:p w14:paraId="4066608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nil"/>
              <w:left w:val="nil"/>
              <w:bottom w:val="single" w:sz="4" w:space="0" w:color="auto"/>
              <w:right w:val="single" w:sz="4" w:space="0" w:color="auto"/>
            </w:tcBorders>
            <w:shd w:val="clear" w:color="auto" w:fill="C6EFCE"/>
            <w:noWrap/>
          </w:tcPr>
          <w:p w14:paraId="329105F0" w14:textId="77777777" w:rsidR="00515398" w:rsidRDefault="006711E6">
            <w:pPr>
              <w:pStyle w:val="P68B1DB1-Normal9"/>
              <w:spacing w:after="0" w:line="240" w:lineRule="auto"/>
              <w:rPr>
                <w:rFonts w:eastAsia="Times New Roman" w:cs="Calibri"/>
                <w:noProof/>
                <w:szCs w:val="18"/>
              </w:rPr>
            </w:pPr>
            <w:r>
              <w:rPr>
                <w:noProof/>
              </w:rPr>
              <w:t>2025</w:t>
            </w:r>
          </w:p>
        </w:tc>
        <w:tc>
          <w:tcPr>
            <w:tcW w:w="4291" w:type="dxa"/>
            <w:tcBorders>
              <w:top w:val="nil"/>
              <w:left w:val="nil"/>
              <w:bottom w:val="single" w:sz="4" w:space="0" w:color="auto"/>
              <w:right w:val="single" w:sz="4" w:space="0" w:color="auto"/>
            </w:tcBorders>
            <w:shd w:val="clear" w:color="auto" w:fill="C6EFCE"/>
            <w:noWrap/>
          </w:tcPr>
          <w:p w14:paraId="009D9033" w14:textId="4F5032D0" w:rsidR="00515398" w:rsidRDefault="006711E6">
            <w:pPr>
              <w:pStyle w:val="P68B1DB1-Normal9"/>
              <w:spacing w:after="0" w:line="240" w:lineRule="auto"/>
              <w:rPr>
                <w:rFonts w:eastAsia="Times New Roman" w:cs="Calibri"/>
                <w:noProof/>
                <w:szCs w:val="18"/>
              </w:rPr>
            </w:pPr>
            <w:r>
              <w:rPr>
                <w:noProof/>
              </w:rPr>
              <w:t>230000 bytů spojených s optickou infrastrukturou a službou</w:t>
            </w:r>
            <w:r>
              <w:rPr>
                <w:noProof/>
              </w:rPr>
              <w:t xml:space="preserve"> FTTH.</w:t>
            </w:r>
          </w:p>
        </w:tc>
      </w:tr>
      <w:tr w:rsidR="00515398" w14:paraId="5ABD5FC6"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32FA7D65" w14:textId="77777777" w:rsidR="00515398" w:rsidRDefault="006711E6">
            <w:pPr>
              <w:pStyle w:val="P68B1DB1-Normal9"/>
              <w:spacing w:after="0" w:line="240" w:lineRule="auto"/>
              <w:rPr>
                <w:rFonts w:eastAsia="Times New Roman" w:cs="Calibri"/>
                <w:noProof/>
                <w:szCs w:val="18"/>
              </w:rPr>
            </w:pPr>
            <w:r>
              <w:rPr>
                <w:noProof/>
              </w:rPr>
              <w:t>92</w:t>
            </w:r>
          </w:p>
        </w:tc>
        <w:tc>
          <w:tcPr>
            <w:tcW w:w="1276" w:type="dxa"/>
            <w:tcBorders>
              <w:top w:val="single" w:sz="4" w:space="0" w:color="auto"/>
              <w:left w:val="nil"/>
              <w:bottom w:val="single" w:sz="4" w:space="0" w:color="auto"/>
              <w:right w:val="single" w:sz="4" w:space="0" w:color="auto"/>
            </w:tcBorders>
            <w:shd w:val="clear" w:color="auto" w:fill="C6EFCE"/>
            <w:noWrap/>
          </w:tcPr>
          <w:p w14:paraId="4EA958F1" w14:textId="03F0AF79" w:rsidR="00515398" w:rsidRDefault="006711E6">
            <w:pPr>
              <w:pStyle w:val="P68B1DB1-Normal9"/>
              <w:spacing w:after="0" w:line="240" w:lineRule="auto"/>
              <w:rPr>
                <w:rFonts w:eastAsia="Times New Roman" w:cs="Calibri"/>
                <w:noProof/>
                <w:szCs w:val="18"/>
              </w:rPr>
            </w:pPr>
            <w:r>
              <w:rPr>
                <w:noProof/>
              </w:rPr>
              <w:t>Connect – 16855_Malé družice</w:t>
            </w:r>
          </w:p>
        </w:tc>
        <w:tc>
          <w:tcPr>
            <w:tcW w:w="992" w:type="dxa"/>
            <w:tcBorders>
              <w:top w:val="single" w:sz="4" w:space="0" w:color="auto"/>
              <w:left w:val="nil"/>
              <w:bottom w:val="single" w:sz="4" w:space="0" w:color="auto"/>
              <w:right w:val="single" w:sz="4" w:space="0" w:color="auto"/>
            </w:tcBorders>
            <w:shd w:val="clear" w:color="auto" w:fill="C6EFCE"/>
            <w:noWrap/>
          </w:tcPr>
          <w:p w14:paraId="51C5F9CE"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tcBorders>
              <w:top w:val="single" w:sz="4" w:space="0" w:color="auto"/>
              <w:left w:val="nil"/>
              <w:bottom w:val="single" w:sz="4" w:space="0" w:color="auto"/>
              <w:right w:val="single" w:sz="4" w:space="0" w:color="auto"/>
            </w:tcBorders>
            <w:shd w:val="clear" w:color="auto" w:fill="C6EFCE"/>
            <w:noWrap/>
          </w:tcPr>
          <w:p w14:paraId="330D2F06" w14:textId="77777777" w:rsidR="00515398" w:rsidRDefault="006711E6">
            <w:pPr>
              <w:pStyle w:val="P68B1DB1-Normal9"/>
              <w:spacing w:after="0" w:line="240" w:lineRule="auto"/>
              <w:rPr>
                <w:rFonts w:eastAsia="Times New Roman" w:cs="Calibri"/>
                <w:noProof/>
                <w:szCs w:val="18"/>
              </w:rPr>
            </w:pPr>
            <w:r>
              <w:rPr>
                <w:noProof/>
              </w:rPr>
              <w:t xml:space="preserve">Dokončení projektu „malé družice“ </w:t>
            </w:r>
          </w:p>
        </w:tc>
        <w:tc>
          <w:tcPr>
            <w:tcW w:w="1440" w:type="dxa"/>
            <w:tcBorders>
              <w:top w:val="single" w:sz="4" w:space="0" w:color="auto"/>
              <w:left w:val="nil"/>
              <w:bottom w:val="single" w:sz="4" w:space="0" w:color="auto"/>
              <w:right w:val="single" w:sz="4" w:space="0" w:color="auto"/>
            </w:tcBorders>
            <w:shd w:val="clear" w:color="auto" w:fill="C6EFCE"/>
            <w:noWrap/>
          </w:tcPr>
          <w:p w14:paraId="1BD1D532" w14:textId="77777777" w:rsidR="00515398" w:rsidRDefault="006711E6">
            <w:pPr>
              <w:pStyle w:val="P68B1DB1-Normal9"/>
              <w:spacing w:after="0" w:line="240" w:lineRule="auto"/>
              <w:rPr>
                <w:rFonts w:eastAsia="Times New Roman" w:cs="Calibri"/>
                <w:noProof/>
                <w:szCs w:val="18"/>
              </w:rPr>
            </w:pPr>
            <w:r>
              <w:rPr>
                <w:noProof/>
              </w:rPr>
              <w:t xml:space="preserve">Zprávy o komisi na oběžné dráze po vypuštění malých družic </w:t>
            </w:r>
          </w:p>
        </w:tc>
        <w:tc>
          <w:tcPr>
            <w:tcW w:w="1800" w:type="dxa"/>
            <w:tcBorders>
              <w:top w:val="single" w:sz="4" w:space="0" w:color="auto"/>
              <w:left w:val="nil"/>
              <w:bottom w:val="single" w:sz="4" w:space="0" w:color="auto"/>
              <w:right w:val="single" w:sz="4" w:space="0" w:color="auto"/>
            </w:tcBorders>
            <w:shd w:val="clear" w:color="auto" w:fill="C6EFCE"/>
            <w:noWrap/>
          </w:tcPr>
          <w:p w14:paraId="5BEC94BD"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E12EBA2" w14:textId="77777777" w:rsidR="00515398" w:rsidRDefault="00515398">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56E65894"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5DE0FE7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1B8F90EC" w14:textId="77777777" w:rsidR="00515398" w:rsidRDefault="006711E6">
            <w:pPr>
              <w:pStyle w:val="P68B1DB1-Normal9"/>
              <w:spacing w:after="0" w:line="240" w:lineRule="auto"/>
              <w:rPr>
                <w:rFonts w:eastAsia="Times New Roman" w:cs="Calibri"/>
                <w:noProof/>
                <w:szCs w:val="18"/>
              </w:rPr>
            </w:pPr>
            <w:r>
              <w:rPr>
                <w:noProof/>
              </w:rPr>
              <w:t>2025</w:t>
            </w:r>
          </w:p>
        </w:tc>
        <w:tc>
          <w:tcPr>
            <w:tcW w:w="4291" w:type="dxa"/>
            <w:tcBorders>
              <w:top w:val="single" w:sz="4" w:space="0" w:color="auto"/>
              <w:left w:val="nil"/>
              <w:bottom w:val="single" w:sz="4" w:space="0" w:color="auto"/>
              <w:right w:val="single" w:sz="4" w:space="0" w:color="auto"/>
            </w:tcBorders>
            <w:shd w:val="clear" w:color="auto" w:fill="C6EFCE"/>
            <w:noWrap/>
          </w:tcPr>
          <w:p w14:paraId="6DB77836" w14:textId="77777777" w:rsidR="00515398" w:rsidRDefault="006711E6">
            <w:pPr>
              <w:pStyle w:val="P68B1DB1-Normal9"/>
              <w:spacing w:after="0" w:line="240" w:lineRule="auto"/>
              <w:rPr>
                <w:rFonts w:eastAsia="Times New Roman" w:cs="Calibri"/>
                <w:noProof/>
                <w:szCs w:val="18"/>
              </w:rPr>
            </w:pPr>
            <w:r>
              <w:rPr>
                <w:noProof/>
              </w:rPr>
              <w:t xml:space="preserve">Pilotní projekt zahajuje běžný provoz a je spuštěna a umístěna na oběžné dráze konstelace </w:t>
            </w:r>
            <w:r>
              <w:rPr>
                <w:noProof/>
              </w:rPr>
              <w:t>malých družic.</w:t>
            </w:r>
          </w:p>
          <w:p w14:paraId="328B9E96" w14:textId="77777777" w:rsidR="00515398" w:rsidRDefault="00515398">
            <w:pPr>
              <w:spacing w:after="0" w:line="240" w:lineRule="auto"/>
              <w:rPr>
                <w:rFonts w:eastAsia="Times New Roman" w:cs="Calibri"/>
                <w:noProof/>
                <w:color w:val="006100"/>
                <w:sz w:val="18"/>
                <w:szCs w:val="18"/>
              </w:rPr>
            </w:pPr>
          </w:p>
          <w:p w14:paraId="314FBAC8" w14:textId="77777777" w:rsidR="00515398" w:rsidRDefault="006711E6">
            <w:pPr>
              <w:pStyle w:val="P68B1DB1-Normal9"/>
              <w:spacing w:after="0" w:line="240" w:lineRule="auto"/>
              <w:rPr>
                <w:rFonts w:eastAsia="Times New Roman" w:cs="Calibri"/>
                <w:noProof/>
                <w:szCs w:val="18"/>
              </w:rPr>
            </w:pPr>
            <w:r>
              <w:rPr>
                <w:noProof/>
              </w:rPr>
              <w:t>Realizace projektu se hodnotí z hlediska jeho výkonnosti (zda malé družice podporují bezpečné telekomunikační služby spolu s aplikacemi pro pozorování Země v oblastech mapování, lodní dopravy, přesného zemědělství, územního plánování a dalš</w:t>
            </w:r>
            <w:r>
              <w:rPr>
                <w:noProof/>
              </w:rPr>
              <w:t>ích hospodářských odvětví).</w:t>
            </w:r>
          </w:p>
        </w:tc>
      </w:tr>
      <w:tr w:rsidR="00515398" w14:paraId="42490ED1"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2E1015F5" w14:textId="77777777" w:rsidR="00515398" w:rsidRDefault="006711E6">
            <w:pPr>
              <w:pStyle w:val="P68B1DB1-Normal9"/>
              <w:spacing w:after="0" w:line="240" w:lineRule="auto"/>
              <w:rPr>
                <w:rFonts w:eastAsia="Times New Roman" w:cs="Calibri"/>
                <w:noProof/>
                <w:szCs w:val="18"/>
              </w:rPr>
            </w:pPr>
            <w:r>
              <w:rPr>
                <w:noProof/>
              </w:rPr>
              <w:t>333</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A27287A" w14:textId="77777777" w:rsidR="00515398" w:rsidRDefault="006711E6">
            <w:pPr>
              <w:spacing w:after="0" w:line="240" w:lineRule="auto"/>
              <w:rPr>
                <w:rFonts w:eastAsia="Times New Roman" w:cs="Calibri"/>
                <w:noProof/>
                <w:color w:val="006100"/>
                <w:sz w:val="18"/>
                <w:szCs w:val="18"/>
              </w:rPr>
            </w:pPr>
            <w:r>
              <w:rPr>
                <w:noProof/>
                <w:color w:val="006100"/>
                <w:sz w:val="18"/>
              </w:rPr>
              <w:t>5–2.1. Connect – 16844_</w:t>
            </w:r>
            <w:r>
              <w:rPr>
                <w:noProof/>
              </w:rPr>
              <w:t xml:space="preserve"> </w:t>
            </w:r>
            <w:r>
              <w:rPr>
                <w:noProof/>
                <w:color w:val="006100"/>
                <w:sz w:val="18"/>
              </w:rPr>
              <w:t>Přechod na technologii 5G, usnadnění rozvoje inovativních služeb na dálku</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0B48AD4F"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tcBorders>
              <w:top w:val="single" w:sz="4" w:space="0" w:color="auto"/>
              <w:left w:val="single" w:sz="4" w:space="0" w:color="auto"/>
              <w:bottom w:val="single" w:sz="4" w:space="0" w:color="auto"/>
              <w:right w:val="single" w:sz="4" w:space="0" w:color="auto"/>
            </w:tcBorders>
            <w:shd w:val="clear" w:color="auto" w:fill="C6EFCE"/>
            <w:noWrap/>
          </w:tcPr>
          <w:p w14:paraId="7E2D7322" w14:textId="77777777" w:rsidR="00515398" w:rsidRDefault="006711E6">
            <w:pPr>
              <w:pStyle w:val="P68B1DB1-Normal9"/>
              <w:spacing w:after="0" w:line="240" w:lineRule="auto"/>
              <w:rPr>
                <w:rFonts w:eastAsia="Times New Roman" w:cs="Calibri"/>
                <w:noProof/>
                <w:szCs w:val="18"/>
              </w:rPr>
            </w:pPr>
            <w:r>
              <w:rPr>
                <w:noProof/>
              </w:rPr>
              <w:t>Vstup v platnost transformace na technologickou reformu 5G</w:t>
            </w:r>
          </w:p>
        </w:tc>
        <w:tc>
          <w:tcPr>
            <w:tcW w:w="1440" w:type="dxa"/>
            <w:tcBorders>
              <w:top w:val="single" w:sz="4" w:space="0" w:color="auto"/>
              <w:left w:val="single" w:sz="4" w:space="0" w:color="auto"/>
              <w:bottom w:val="single" w:sz="4" w:space="0" w:color="auto"/>
              <w:right w:val="single" w:sz="4" w:space="0" w:color="auto"/>
            </w:tcBorders>
            <w:shd w:val="clear" w:color="auto" w:fill="C6EFCE"/>
            <w:noWrap/>
          </w:tcPr>
          <w:p w14:paraId="30A6CB79" w14:textId="77777777" w:rsidR="00515398" w:rsidRDefault="006711E6">
            <w:pPr>
              <w:pStyle w:val="P68B1DB1-Normal9"/>
              <w:spacing w:after="0" w:line="240" w:lineRule="auto"/>
              <w:rPr>
                <w:rFonts w:eastAsia="Times New Roman" w:cs="Calibri"/>
                <w:noProof/>
                <w:szCs w:val="18"/>
              </w:rPr>
            </w:pPr>
            <w:r>
              <w:rPr>
                <w:noProof/>
              </w:rPr>
              <w:t>Vstup regulačního a legislativního rámce v platnost</w:t>
            </w:r>
          </w:p>
        </w:tc>
        <w:tc>
          <w:tcPr>
            <w:tcW w:w="1800" w:type="dxa"/>
            <w:tcBorders>
              <w:top w:val="single" w:sz="4" w:space="0" w:color="auto"/>
              <w:left w:val="single" w:sz="4" w:space="0" w:color="auto"/>
              <w:bottom w:val="single" w:sz="4" w:space="0" w:color="auto"/>
              <w:right w:val="single" w:sz="4" w:space="0" w:color="auto"/>
            </w:tcBorders>
            <w:shd w:val="clear" w:color="auto" w:fill="C6EFCE"/>
            <w:noWrap/>
          </w:tcPr>
          <w:p w14:paraId="09D8BEFF"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C6EFCE"/>
            <w:noWrap/>
          </w:tcPr>
          <w:p w14:paraId="5B23EE8A" w14:textId="77777777" w:rsidR="00515398" w:rsidRDefault="00515398">
            <w:pPr>
              <w:spacing w:after="0" w:line="240" w:lineRule="auto"/>
              <w:rPr>
                <w:rFonts w:eastAsia="Times New Roman" w:cs="Calibri"/>
                <w:noProof/>
                <w:color w:val="006100"/>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0C82FCED"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C6EFCE"/>
            <w:noWrap/>
          </w:tcPr>
          <w:p w14:paraId="182DCCF1" w14:textId="77777777" w:rsidR="00515398" w:rsidRDefault="006711E6">
            <w:pPr>
              <w:pStyle w:val="P68B1DB1-Normal9"/>
              <w:spacing w:after="0" w:line="240" w:lineRule="auto"/>
              <w:rPr>
                <w:rFonts w:eastAsia="Times New Roman" w:cs="Calibri"/>
                <w:noProof/>
                <w:szCs w:val="18"/>
              </w:rPr>
            </w:pPr>
            <w:r>
              <w:rPr>
                <w:noProof/>
              </w:rPr>
              <w:t>ČTVRTLETÍ 3</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301BFFE9" w14:textId="77777777" w:rsidR="00515398" w:rsidRDefault="006711E6">
            <w:pPr>
              <w:pStyle w:val="P68B1DB1-Normal9"/>
              <w:spacing w:after="0" w:line="240" w:lineRule="auto"/>
              <w:rPr>
                <w:rFonts w:eastAsia="Times New Roman" w:cs="Calibri"/>
                <w:noProof/>
                <w:szCs w:val="18"/>
              </w:rPr>
            </w:pPr>
            <w:r>
              <w:rPr>
                <w:noProof/>
              </w:rPr>
              <w:t>2024</w:t>
            </w:r>
          </w:p>
        </w:tc>
        <w:tc>
          <w:tcPr>
            <w:tcW w:w="4291" w:type="dxa"/>
            <w:tcBorders>
              <w:top w:val="single" w:sz="4" w:space="0" w:color="auto"/>
              <w:left w:val="single" w:sz="4" w:space="0" w:color="auto"/>
              <w:bottom w:val="single" w:sz="4" w:space="0" w:color="auto"/>
              <w:right w:val="single" w:sz="4" w:space="0" w:color="auto"/>
            </w:tcBorders>
            <w:shd w:val="clear" w:color="auto" w:fill="C6EFCE"/>
            <w:noWrap/>
          </w:tcPr>
          <w:p w14:paraId="3D3556A0" w14:textId="77777777" w:rsidR="00515398" w:rsidRDefault="006711E6">
            <w:pPr>
              <w:pStyle w:val="P68B1DB1-Normal9"/>
              <w:spacing w:after="0" w:line="240" w:lineRule="auto"/>
              <w:rPr>
                <w:rFonts w:eastAsia="Times New Roman" w:cs="Calibri"/>
                <w:noProof/>
                <w:szCs w:val="18"/>
              </w:rPr>
            </w:pPr>
            <w:r>
              <w:rPr>
                <w:noProof/>
              </w:rPr>
              <w:t>Vstup v platnost sekundárních právních předpisů založených na změně zákona zveřejněné v Úředním věstníku zákona č. 4727/2020, články 92 a 107 (body 61, 62, 63), které definují proces přidělování spektra 5G na pilotní projekty prostřednictv</w:t>
            </w:r>
            <w:r>
              <w:rPr>
                <w:noProof/>
              </w:rPr>
              <w:t>ím fondu Phaistos nebo univerzitních subjektů, včetně procesu identifikace dalších příležitostí a rizik při rozvoji sítí 5G, zjednodušení postupů a posouzení požadavků a rizik v konkrétních ekonomických aplikacích.</w:t>
            </w:r>
          </w:p>
        </w:tc>
      </w:tr>
      <w:tr w:rsidR="00515398" w14:paraId="22282A31" w14:textId="77777777">
        <w:trPr>
          <w:trHeight w:val="309"/>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14:paraId="07CA47D6" w14:textId="77777777" w:rsidR="00515398" w:rsidRDefault="006711E6">
            <w:pPr>
              <w:pStyle w:val="P68B1DB1-Normal9"/>
              <w:spacing w:after="0" w:line="240" w:lineRule="auto"/>
              <w:rPr>
                <w:rFonts w:eastAsia="Times New Roman" w:cs="Calibri"/>
                <w:noProof/>
                <w:szCs w:val="18"/>
              </w:rPr>
            </w:pPr>
            <w:r>
              <w:rPr>
                <w:noProof/>
              </w:rPr>
              <w:t>334</w:t>
            </w:r>
          </w:p>
        </w:tc>
        <w:tc>
          <w:tcPr>
            <w:tcW w:w="1276" w:type="dxa"/>
            <w:tcBorders>
              <w:top w:val="single" w:sz="4" w:space="0" w:color="auto"/>
              <w:left w:val="nil"/>
              <w:bottom w:val="single" w:sz="4" w:space="0" w:color="auto"/>
              <w:right w:val="single" w:sz="4" w:space="0" w:color="auto"/>
            </w:tcBorders>
            <w:shd w:val="clear" w:color="auto" w:fill="C6EFCE"/>
            <w:noWrap/>
          </w:tcPr>
          <w:p w14:paraId="7632A366" w14:textId="77777777" w:rsidR="00515398" w:rsidRDefault="006711E6">
            <w:pPr>
              <w:pStyle w:val="P68B1DB1-Normal9"/>
              <w:spacing w:after="0" w:line="240" w:lineRule="auto"/>
              <w:rPr>
                <w:rFonts w:eastAsia="Times New Roman" w:cs="Calibri"/>
                <w:noProof/>
                <w:szCs w:val="18"/>
              </w:rPr>
            </w:pPr>
            <w:r>
              <w:rPr>
                <w:noProof/>
              </w:rPr>
              <w:t xml:space="preserve">16857_Připojení na gigabitová </w:t>
            </w:r>
            <w:r>
              <w:rPr>
                <w:noProof/>
              </w:rPr>
              <w:t>širokopásmová připojení – Přechod na gigabitové širokopásmové připojení a posílení poptávky po gigabitovém širokopásmovém připojení</w:t>
            </w:r>
          </w:p>
        </w:tc>
        <w:tc>
          <w:tcPr>
            <w:tcW w:w="992" w:type="dxa"/>
            <w:tcBorders>
              <w:top w:val="single" w:sz="4" w:space="0" w:color="auto"/>
              <w:left w:val="nil"/>
              <w:bottom w:val="single" w:sz="4" w:space="0" w:color="auto"/>
              <w:right w:val="single" w:sz="4" w:space="0" w:color="auto"/>
            </w:tcBorders>
            <w:shd w:val="clear" w:color="auto" w:fill="C6EFCE"/>
            <w:noWrap/>
          </w:tcPr>
          <w:p w14:paraId="0FB364E9" w14:textId="77777777" w:rsidR="00515398" w:rsidRDefault="006711E6">
            <w:pPr>
              <w:pStyle w:val="P68B1DB1-Normal9"/>
              <w:spacing w:after="0" w:line="240" w:lineRule="auto"/>
              <w:rPr>
                <w:rFonts w:eastAsia="Times New Roman" w:cs="Calibri"/>
                <w:noProof/>
                <w:szCs w:val="18"/>
              </w:rPr>
            </w:pPr>
            <w:r>
              <w:rPr>
                <w:noProof/>
              </w:rPr>
              <w:t>Milník</w:t>
            </w:r>
          </w:p>
        </w:tc>
        <w:tc>
          <w:tcPr>
            <w:tcW w:w="1343" w:type="dxa"/>
            <w:tcBorders>
              <w:top w:val="single" w:sz="4" w:space="0" w:color="auto"/>
              <w:left w:val="nil"/>
              <w:bottom w:val="single" w:sz="4" w:space="0" w:color="auto"/>
              <w:right w:val="single" w:sz="4" w:space="0" w:color="auto"/>
            </w:tcBorders>
            <w:shd w:val="clear" w:color="auto" w:fill="C6EFCE"/>
            <w:noWrap/>
          </w:tcPr>
          <w:p w14:paraId="70330500" w14:textId="77777777" w:rsidR="00515398" w:rsidRDefault="006711E6">
            <w:pPr>
              <w:pStyle w:val="P68B1DB1-Normal9"/>
              <w:spacing w:after="0" w:line="240" w:lineRule="auto"/>
              <w:rPr>
                <w:rFonts w:eastAsia="Times New Roman" w:cs="Calibri"/>
                <w:noProof/>
                <w:szCs w:val="18"/>
              </w:rPr>
            </w:pPr>
            <w:r>
              <w:rPr>
                <w:noProof/>
              </w:rPr>
              <w:t>Vstup v platnost reformy přechodu na gigabitové širokopásmové připojení</w:t>
            </w:r>
          </w:p>
        </w:tc>
        <w:tc>
          <w:tcPr>
            <w:tcW w:w="1440" w:type="dxa"/>
            <w:tcBorders>
              <w:top w:val="single" w:sz="4" w:space="0" w:color="auto"/>
              <w:left w:val="nil"/>
              <w:bottom w:val="single" w:sz="4" w:space="0" w:color="auto"/>
              <w:right w:val="single" w:sz="4" w:space="0" w:color="auto"/>
            </w:tcBorders>
            <w:shd w:val="clear" w:color="auto" w:fill="C6EFCE"/>
            <w:noWrap/>
          </w:tcPr>
          <w:p w14:paraId="7053C057" w14:textId="77777777" w:rsidR="00515398" w:rsidRDefault="006711E6">
            <w:pPr>
              <w:pStyle w:val="P68B1DB1-Normal9"/>
              <w:spacing w:after="0" w:line="240" w:lineRule="auto"/>
              <w:rPr>
                <w:rFonts w:eastAsia="Times New Roman" w:cs="Calibri"/>
                <w:noProof/>
                <w:szCs w:val="18"/>
              </w:rPr>
            </w:pPr>
            <w:r>
              <w:rPr>
                <w:noProof/>
              </w:rPr>
              <w:t>Vstup legislativního rámce v platnost</w:t>
            </w:r>
          </w:p>
        </w:tc>
        <w:tc>
          <w:tcPr>
            <w:tcW w:w="1800" w:type="dxa"/>
            <w:tcBorders>
              <w:top w:val="single" w:sz="4" w:space="0" w:color="auto"/>
              <w:left w:val="nil"/>
              <w:bottom w:val="single" w:sz="4" w:space="0" w:color="auto"/>
              <w:right w:val="single" w:sz="4" w:space="0" w:color="auto"/>
            </w:tcBorders>
            <w:shd w:val="clear" w:color="auto" w:fill="C6EFCE"/>
            <w:noWrap/>
          </w:tcPr>
          <w:p w14:paraId="5806C6CF"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705E11F" w14:textId="77777777" w:rsidR="00515398" w:rsidRDefault="00515398">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579A27A5"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4FEFC66C"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tcBorders>
              <w:top w:val="single" w:sz="4" w:space="0" w:color="auto"/>
              <w:left w:val="nil"/>
              <w:bottom w:val="single" w:sz="4" w:space="0" w:color="auto"/>
              <w:right w:val="single" w:sz="4" w:space="0" w:color="auto"/>
            </w:tcBorders>
            <w:shd w:val="clear" w:color="auto" w:fill="C6EFCE"/>
            <w:noWrap/>
          </w:tcPr>
          <w:p w14:paraId="3C9C0323" w14:textId="77777777" w:rsidR="00515398" w:rsidRDefault="006711E6">
            <w:pPr>
              <w:pStyle w:val="P68B1DB1-Normal9"/>
              <w:spacing w:after="0" w:line="240" w:lineRule="auto"/>
              <w:rPr>
                <w:rFonts w:eastAsia="Times New Roman" w:cs="Calibri"/>
                <w:noProof/>
                <w:szCs w:val="18"/>
              </w:rPr>
            </w:pPr>
            <w:r>
              <w:rPr>
                <w:noProof/>
              </w:rPr>
              <w:t>2024</w:t>
            </w:r>
          </w:p>
        </w:tc>
        <w:tc>
          <w:tcPr>
            <w:tcW w:w="4291" w:type="dxa"/>
            <w:tcBorders>
              <w:top w:val="single" w:sz="4" w:space="0" w:color="auto"/>
              <w:left w:val="nil"/>
              <w:bottom w:val="single" w:sz="4" w:space="0" w:color="auto"/>
              <w:right w:val="single" w:sz="4" w:space="0" w:color="auto"/>
            </w:tcBorders>
            <w:shd w:val="clear" w:color="auto" w:fill="C6EFCE"/>
            <w:noWrap/>
          </w:tcPr>
          <w:p w14:paraId="483130C1" w14:textId="77777777" w:rsidR="00515398" w:rsidRDefault="006711E6">
            <w:pPr>
              <w:pStyle w:val="P68B1DB1-xmsonormal21"/>
              <w:rPr>
                <w:rFonts w:eastAsia="Times New Roman" w:cs="Calibri"/>
                <w:noProof/>
                <w:szCs w:val="18"/>
              </w:rPr>
            </w:pPr>
            <w:r>
              <w:rPr>
                <w:noProof/>
              </w:rPr>
              <w:t xml:space="preserve">Vstup v platnost právního rámce, který vymezuje technické specifikace a příslušná pravidla a postupy pro zavádění širokopásmové infrastruktury uvnitř budovy schopné poskytovat koncovým uživatelům gigabitové připojení. </w:t>
            </w:r>
          </w:p>
        </w:tc>
      </w:tr>
    </w:tbl>
    <w:p w14:paraId="1CCB4232" w14:textId="77777777" w:rsidR="00515398" w:rsidRDefault="00515398">
      <w:pPr>
        <w:spacing w:before="120" w:after="120" w:line="240" w:lineRule="auto"/>
        <w:ind w:left="709"/>
        <w:jc w:val="both"/>
        <w:rPr>
          <w:rFonts w:ascii="Times New Roman" w:hAnsi="Times New Roman" w:cs="Times New Roman"/>
          <w:noProof/>
          <w:sz w:val="24"/>
          <w:szCs w:val="24"/>
        </w:rPr>
        <w:sectPr w:rsidR="00515398" w:rsidSect="00271D33">
          <w:headerReference w:type="even" r:id="rId103"/>
          <w:headerReference w:type="default" r:id="rId104"/>
          <w:footerReference w:type="even" r:id="rId105"/>
          <w:footerReference w:type="default" r:id="rId106"/>
          <w:headerReference w:type="first" r:id="rId107"/>
          <w:footerReference w:type="first" r:id="rId108"/>
          <w:pgSz w:w="16839" w:h="11907" w:orient="landscape"/>
          <w:pgMar w:top="1417" w:right="1134" w:bottom="1417" w:left="1134" w:header="709" w:footer="359" w:gutter="0"/>
          <w:cols w:space="720"/>
          <w:docGrid w:linePitch="360"/>
        </w:sectPr>
      </w:pPr>
    </w:p>
    <w:p w14:paraId="3CB741AB" w14:textId="77777777" w:rsidR="00515398" w:rsidRDefault="006711E6">
      <w:pPr>
        <w:pStyle w:val="P68B1DB1-Normal2"/>
        <w:spacing w:before="120" w:after="120" w:line="240" w:lineRule="auto"/>
        <w:ind w:firstLine="6"/>
        <w:jc w:val="both"/>
        <w:outlineLvl w:val="3"/>
        <w:rPr>
          <w:rFonts w:cs="Times New Roman"/>
          <w:bCs/>
          <w:noProof/>
        </w:rPr>
      </w:pPr>
      <w:r>
        <w:rPr>
          <w:noProof/>
        </w:rPr>
        <w:t>F. SLOŽKA 2.2: MODERNIZOVAT</w:t>
      </w:r>
    </w:p>
    <w:p w14:paraId="5D5F1E3A" w14:textId="77777777" w:rsidR="00515398" w:rsidRDefault="006711E6">
      <w:pPr>
        <w:pStyle w:val="P68B1DB1-Normal4"/>
        <w:spacing w:before="120" w:after="120" w:line="240" w:lineRule="auto"/>
        <w:jc w:val="both"/>
        <w:rPr>
          <w:rFonts w:cs="Times New Roman"/>
          <w:noProof/>
        </w:rPr>
      </w:pPr>
      <w:r>
        <w:rPr>
          <w:noProof/>
        </w:rPr>
        <w:t xml:space="preserve">Cílem složky „ </w:t>
      </w:r>
      <w:r>
        <w:rPr>
          <w:noProof/>
          <w:color w:val="000000"/>
        </w:rPr>
        <w:t>Modernizace“ řeckého plánu pro oživení a odolnost</w:t>
      </w:r>
      <w:r>
        <w:rPr>
          <w:noProof/>
        </w:rPr>
        <w:t xml:space="preserve"> je modernizovat veřejnou správu zlepšením jejího operačního modelu a zajištěním vysoce kvalitních služeb občanům a podnikům. Urychlení úsilí o zlepšení digitální výkonnosti veřejné správy bude působit jako katalyzátor pro dosažení tohoto cíle. Cíle refore</w:t>
      </w:r>
      <w:r>
        <w:rPr>
          <w:noProof/>
        </w:rPr>
        <w:t>m a investic: a) digitální transformace organizací veřejného sektoru, včetně digitalizace archivů a zdokonalených digitálních služeb; b) zlepšení obchodních procesů následovaná začleněním moderních informačních systémů; C) zvýšená interoperabilita mezi sys</w:t>
      </w:r>
      <w:r>
        <w:rPr>
          <w:noProof/>
        </w:rPr>
        <w:t>témy a daty; d) rozsáhlé strategie a politiky v oblasti kybernetické bezpečnosti a správy dat; jakož i e) rozšířené využívání pokročilých technologií, jako je cloud computing, umělá inteligence a data velkého objemu.</w:t>
      </w:r>
    </w:p>
    <w:p w14:paraId="2517807F" w14:textId="77777777" w:rsidR="00515398" w:rsidRDefault="006711E6">
      <w:pPr>
        <w:pStyle w:val="P68B1DB1-Normal4"/>
        <w:spacing w:before="120" w:after="120" w:line="240" w:lineRule="auto"/>
        <w:jc w:val="both"/>
        <w:rPr>
          <w:rFonts w:cs="Times New Roman"/>
          <w:noProof/>
        </w:rPr>
      </w:pPr>
      <w:r>
        <w:rPr>
          <w:noProof/>
        </w:rPr>
        <w:t>Cílem složky je řešit problém moderniza</w:t>
      </w:r>
      <w:r>
        <w:rPr>
          <w:noProof/>
        </w:rPr>
        <w:t>ce a digitalizace veřejné správy a zároveň zefektivnit a zjednodušit její klíčové procesy a postupy. Podporuje plnění doporučení pro jednotlivé země o veřejných a soukromých investicích (doporučení pro jednotlivé země č. 3 2020 a 2 z roku 2019) zlepšením ú</w:t>
      </w:r>
      <w:r>
        <w:rPr>
          <w:noProof/>
        </w:rPr>
        <w:t>činnosti a digitalizace veřejné správy. Očekává se, že žádné opatření v této složce významně nepoškozuje environmentální cíle ve smyslu článku 17 nařízení (EU) 2020/852, s přihlédnutím k popisu opatření a zmírňujícím krokům stanoveným v plánu pro oživení a</w:t>
      </w:r>
      <w:r>
        <w:rPr>
          <w:noProof/>
        </w:rPr>
        <w:t xml:space="preserve"> odolnost v souladu s technickými pokyny „významně nepoškozovat“ (2021/C58/01).</w:t>
      </w:r>
    </w:p>
    <w:p w14:paraId="11A9516B" w14:textId="77777777" w:rsidR="00515398" w:rsidRDefault="006711E6">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F.1. </w:t>
      </w:r>
      <w:r>
        <w:rPr>
          <w:noProof/>
        </w:rPr>
        <w:t xml:space="preserve"> </w:t>
      </w:r>
      <w:r>
        <w:rPr>
          <w:rFonts w:ascii="Times New Roman" w:hAnsi="Times New Roman"/>
          <w:b/>
          <w:noProof/>
          <w:sz w:val="24"/>
          <w:u w:val="single"/>
        </w:rPr>
        <w:t>Popis reforem a investic pro nevratnou finanční podporu</w:t>
      </w:r>
    </w:p>
    <w:p w14:paraId="27A54213"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Směrem ke službám veřejné správy zaměřeným na „zákazníky“ prostřednictvím zjednodušení a zlepšení procesů</w:t>
      </w:r>
      <w:r>
        <w:rPr>
          <w:noProof/>
        </w:rPr>
        <w:t>, zlepšení systémů a souladu s evropskými strategiemi a politikami (opatření ID 16929)</w:t>
      </w:r>
    </w:p>
    <w:p w14:paraId="09E4A254" w14:textId="4BD12948" w:rsidR="00515398" w:rsidRDefault="006711E6">
      <w:pPr>
        <w:pStyle w:val="P68B1DB1-Normal4"/>
        <w:spacing w:before="120" w:after="120" w:line="240" w:lineRule="auto"/>
        <w:jc w:val="both"/>
        <w:rPr>
          <w:rFonts w:cs="Times New Roman"/>
          <w:noProof/>
        </w:rPr>
      </w:pPr>
      <w:r>
        <w:rPr>
          <w:noProof/>
        </w:rPr>
        <w:t>Cílem reformy je poskytování služeb orientovaných na uživatele řeckým občanům a podnikům a zlepšení vnitřního fungování řecké veřejné správy. Reforma spočívá v provádění</w:t>
      </w:r>
      <w:r>
        <w:rPr>
          <w:noProof/>
        </w:rPr>
        <w:t xml:space="preserve"> střednědobé strategie pro snížení administrativní zátěže a vytvoření služeb zaměřených na zákazníky v rámci veřejné správy a v provádění Národního programu pro zjednodušení procesu, včetně zřízení národního registru postupů a zřízení Střediska pro sledová</w:t>
      </w:r>
      <w:r>
        <w:rPr>
          <w:noProof/>
        </w:rPr>
        <w:t>ní dopadu regulace a Národního registru postupů (dále jen „Mitos“). Reforma zahrnuje dokončení zjednodušení/digitalizace: postupy posuzování dopadů, žádosti o občanství, zahájení podnikání fyzických osob, zjednodušení postupů týkajících se „životních událo</w:t>
      </w:r>
      <w:r>
        <w:rPr>
          <w:noProof/>
        </w:rPr>
        <w:t>stí“ občanů, včetně narození, úmrtí a rozvodu, zjednodušení soudních postupů týkajících se právníků, soudní rozhodnutí, digitální podpisy, osvědčení vydaná soudy, obnovení řidičského průkazu a provoz myfoto.gov.gr, elektronický oběh dokumentů v rámci veřej</w:t>
      </w:r>
      <w:r>
        <w:rPr>
          <w:noProof/>
        </w:rPr>
        <w:t>né správy a postupy zadávání veřejných zakázek. Reforma rovněž zahrnuje: a) zjednodušení právního rámce místní samosprávy vstupem v platnost kapitol o jednotném kodexu místní správy, které se týkají úpravy organizačních otázek a regulace finančního rámce a</w:t>
      </w:r>
      <w:r>
        <w:rPr>
          <w:noProof/>
        </w:rPr>
        <w:t xml:space="preserve"> řízení, a b) v souvislosti se Střediskem pro sledování administrativní zátěže, standardizací metodiky a postupů pro měření administrativní zátěže, vypracováním indexu měření administrativní zátěže (BMI), návrhem a vývojem mechanismu na podporu analýzy dop</w:t>
      </w:r>
      <w:r>
        <w:rPr>
          <w:noProof/>
        </w:rPr>
        <w:t>adů regulace a zveřejňováním měření administrativní zátěže pomocí standardního nákladového modelu. Provádění reformy se dokončí do 31. prosince 2025.</w:t>
      </w:r>
    </w:p>
    <w:p w14:paraId="233438AC"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Digitalizace archivů a souvisejících služeb (opatření ID 16778)</w:t>
      </w:r>
    </w:p>
    <w:p w14:paraId="0ACF9941" w14:textId="481C417F" w:rsidR="00515398" w:rsidRDefault="006711E6">
      <w:pPr>
        <w:pStyle w:val="P68B1DB1-Normal4"/>
        <w:spacing w:before="120" w:after="120" w:line="240" w:lineRule="auto"/>
        <w:jc w:val="both"/>
        <w:rPr>
          <w:noProof/>
        </w:rPr>
      </w:pPr>
      <w:r>
        <w:rPr>
          <w:noProof/>
        </w:rPr>
        <w:t>Investice spočívá v digitalizac</w:t>
      </w:r>
      <w:r>
        <w:rPr>
          <w:noProof/>
        </w:rPr>
        <w:t>i klíčových archivů v různých odvětvích (spravedlnost, zdravotnictví, všeobecné archivy státu, územní plánování, vyvlastnění, katastr, přistěhovalectví a azyl, námořní záležitosti) a v integraci do příslušných informačních systémů a v pilotním zavádění bez</w:t>
      </w:r>
      <w:r>
        <w:rPr>
          <w:noProof/>
        </w:rPr>
        <w:t xml:space="preserve">pečného ukládání veřejných archivů a „zlepšených“ archivů veřejného sektoru (celkem devět dílčích projektů). </w:t>
      </w:r>
    </w:p>
    <w:p w14:paraId="256EF541" w14:textId="1641754D" w:rsidR="00515398" w:rsidRDefault="006711E6">
      <w:pPr>
        <w:pStyle w:val="P68B1DB1-Normal4"/>
        <w:spacing w:before="120" w:after="120" w:line="240" w:lineRule="auto"/>
        <w:jc w:val="both"/>
        <w:rPr>
          <w:rFonts w:cs="Times New Roman"/>
          <w:noProof/>
        </w:rPr>
      </w:pPr>
      <w:r>
        <w:rPr>
          <w:noProof/>
        </w:rPr>
        <w:t>Uvedené dílčí projekty konkrétně zahrnují digitalizaci 1260800000 stran a další nezbytná opatření týkající se těchto archivů: 1) systém soudnictví</w:t>
      </w:r>
      <w:r>
        <w:rPr>
          <w:noProof/>
        </w:rPr>
        <w:t>, 2) lékařská dokumentace a zobrazovací prohlídky systému veřejné zdravotní péče, 3) všeobecné archivy státu pro ústřední a místní orgány, 4) imigrační a azylový systém, 5) plány vyvlastnění, 6) stavební povolení a plány a vytváření metadat a geokódování p</w:t>
      </w:r>
      <w:r>
        <w:rPr>
          <w:noProof/>
        </w:rPr>
        <w:t>ro agentury územního plánování, 7a) vlastnické tituly a příslušné dokumenty v hypotečních úřadech katastru a 7b) provádění vylepšených služeb katastru, 8) námořní záležitosti. Dílčí projekt 9) se týká pilotní realizace bezpečného uložení 1440000 schránek s</w:t>
      </w:r>
      <w:r>
        <w:rPr>
          <w:noProof/>
        </w:rPr>
        <w:t>ouborů obsahujících fyzické soubory v jiných archivech veřejného sektoru. Cílem této investice je snížit časové náklady na poskytování služeb veřejnosti ze strany veřejné správy, zatímco lepší přístup k archivům má rovněž vést k významným úsporám nákladů a</w:t>
      </w:r>
      <w:r>
        <w:rPr>
          <w:noProof/>
        </w:rPr>
        <w:t xml:space="preserve"> uvolnění zdrojů. Investice musí být provedena do 31. prosince 2025.</w:t>
      </w:r>
    </w:p>
    <w:p w14:paraId="2CC37F21"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CRM pro vládní instituce (opatření IČ 16810)</w:t>
      </w:r>
    </w:p>
    <w:p w14:paraId="62F0D786" w14:textId="1487E19C" w:rsidR="00515398" w:rsidRDefault="006711E6">
      <w:pPr>
        <w:pStyle w:val="P68B1DB1-Normal4"/>
        <w:spacing w:before="120" w:after="120" w:line="240" w:lineRule="auto"/>
        <w:jc w:val="both"/>
        <w:rPr>
          <w:rFonts w:cs="Times New Roman"/>
          <w:noProof/>
        </w:rPr>
      </w:pPr>
      <w:r>
        <w:rPr>
          <w:noProof/>
        </w:rPr>
        <w:t>Investice se týká návrhu, vývoje, provádění a provozu (z technického hlediska) integrovaného systému pro řízení celého životního cy</w:t>
      </w:r>
      <w:r>
        <w:rPr>
          <w:noProof/>
        </w:rPr>
        <w:t>klu vztahů veřejné správy s občany a podniky. Projekt zlepší stávající kapacitu veřejné správy pro sledování jejích interakcí a transakcí s občany a podniky. Systém využívá informace shromážděné občany a podniky k individualizaci přístupu a podpoře vyšší ú</w:t>
      </w:r>
      <w:r>
        <w:rPr>
          <w:noProof/>
        </w:rPr>
        <w:t>rovně služeb. Investice zahrnuje a) služby integrace a interoperability prostřednictvím přijetí moderních metodik navrhování a vývoje softwaru, b) přístup k podpůrnému mechanismu služeb, což je soubor nástrojů pro vývoj nových aplikací založených na techno</w:t>
      </w:r>
      <w:r>
        <w:rPr>
          <w:noProof/>
        </w:rPr>
        <w:t xml:space="preserve">logiích s nízkým kódem, c) platformu pro řízení vztahů se zákazníky (CRM), která shromažďuje a spravuje všechny údaje o obsluhovaných občanech a řídí provádění obchodních procesů bez ohledu na iniciační službu; d) systém řízení konsenzu občanů pro přístup </w:t>
      </w:r>
      <w:r>
        <w:rPr>
          <w:noProof/>
        </w:rPr>
        <w:t>k elektronickým službám, e) služby kontaktních středisek, jejichž prostřednictvím je služba poskytovaná občanům a podnikům prováděna s využitím tradičních kanálů, jako jsou telefonická centra, ale také s využitím moderních kanálů, jako jsou webové formulář</w:t>
      </w:r>
      <w:r>
        <w:rPr>
          <w:noProof/>
        </w:rPr>
        <w:t>e, sociální média, aplikace pro zprávy, aplikace telekonference, f) modernizace digitální platformy platformy pro výměnu poznatků a její propojení s jednotným systémem správy občanských případů, call centrem a gov.gr g) zjednodušení a zlepšení procesů a sl</w:t>
      </w:r>
      <w:r>
        <w:rPr>
          <w:noProof/>
        </w:rPr>
        <w:t>užeb souvisejících s fyzickou přítomností „zákazníků“ rozšířením stávající infrastruktury myKEPlive a její integrací se systémem pro plánování schůzek fyzické přítomnosti, h) zavedení integrovaného systému elektronické komunikace mezi systémy a službami ve</w:t>
      </w:r>
      <w:r>
        <w:rPr>
          <w:noProof/>
        </w:rPr>
        <w:t>řejného sektoru a řeckými občany (Gov. gr – possenger). Investice se uskuteční do 30. června 2025.</w:t>
      </w:r>
    </w:p>
    <w:p w14:paraId="4C8914E8"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Další modernizace jednotných kontaktních míst veřejné správy (opatření ID 16780)</w:t>
      </w:r>
    </w:p>
    <w:p w14:paraId="2D17275E" w14:textId="3F542254" w:rsidR="00515398" w:rsidRDefault="006711E6">
      <w:pPr>
        <w:pStyle w:val="P68B1DB1-Normal5"/>
        <w:spacing w:before="120" w:after="120" w:line="240" w:lineRule="auto"/>
        <w:jc w:val="both"/>
        <w:rPr>
          <w:rFonts w:cs="Times New Roman"/>
          <w:noProof/>
        </w:rPr>
      </w:pPr>
      <w:r>
        <w:rPr>
          <w:noProof/>
        </w:rPr>
        <w:t>Investice spočívá v další modernizaci středisek občanských služeb</w:t>
      </w:r>
      <w:r>
        <w:rPr>
          <w:noProof/>
        </w:rPr>
        <w:t xml:space="preserve"> (KEP) prostřednictvím mobilní aplikace a automatů na výdej lístků a jízdenek. Investice zahrnuje: a) modernizace technologického vybavení, b) moderní řízení front a inteligentní systémy oznamování, c) systémy hodnocení zákazníků (občanů). Investice se usk</w:t>
      </w:r>
      <w:r>
        <w:rPr>
          <w:noProof/>
        </w:rPr>
        <w:t>uteční do 31. prosince 2024.</w:t>
      </w:r>
    </w:p>
    <w:p w14:paraId="467E16AE" w14:textId="5936F9BA" w:rsidR="00515398" w:rsidRDefault="006711E6">
      <w:pPr>
        <w:pStyle w:val="P68B1DB1-Normal4"/>
        <w:spacing w:before="120" w:after="120" w:line="240" w:lineRule="auto"/>
        <w:jc w:val="both"/>
        <w:rPr>
          <w:rFonts w:cs="Times New Roman"/>
          <w:noProof/>
        </w:rPr>
      </w:pPr>
      <w:r>
        <w:rPr>
          <w:b/>
          <w:noProof/>
        </w:rPr>
        <w:t>Investice:</w:t>
      </w:r>
      <w:r>
        <w:rPr>
          <w:noProof/>
        </w:rPr>
        <w:t xml:space="preserve"> Nový systém pro zadávání veřejných zakázek (opatření ID 16736)</w:t>
      </w:r>
    </w:p>
    <w:p w14:paraId="6E38F204" w14:textId="6F6B43C4" w:rsidR="00515398" w:rsidRDefault="006711E6">
      <w:pPr>
        <w:pStyle w:val="P68B1DB1-Normal5"/>
        <w:spacing w:before="120" w:after="120" w:line="240" w:lineRule="auto"/>
        <w:jc w:val="both"/>
        <w:rPr>
          <w:rFonts w:cs="Times New Roman"/>
          <w:noProof/>
        </w:rPr>
      </w:pPr>
      <w:r>
        <w:rPr>
          <w:noProof/>
        </w:rPr>
        <w:t>Investice se týká přepracování a zavedení nového informačního systému pro zadávání veřejných zakázek. Investice zahrnuje: a) přepracování a obohacení por</w:t>
      </w:r>
      <w:r>
        <w:rPr>
          <w:noProof/>
        </w:rPr>
        <w:t>tálu www.eprocurement.gov.gr; rozsáhlé doplňky a přizpůsobení subsystémů používaných pro nabídková řízení; C) reformu, úpravu a obohacení centrálního elektronického registru veřejných zakázek (KIMDIS), modernizaci a rozšíření systémů extrakce statistických</w:t>
      </w:r>
      <w:r>
        <w:rPr>
          <w:noProof/>
        </w:rPr>
        <w:t xml:space="preserve"> údajů a jejich další statistické zpracování; d) rozšíření konfigurace a provádění elektronického systému zadávání veřejných zakázek (ESIDIS) na podporu nových strategií a obchodních procesů v oblasti zadávání veřejných zakázek elektronickými prostředky; z</w:t>
      </w:r>
      <w:r>
        <w:rPr>
          <w:noProof/>
        </w:rPr>
        <w:t>lepšení již zavedených služeb interoperability a zavedení nových služeb pro výměnu údajů;  F) Služby elektronické interoperability s gov.gr, příslušnými orgány, bankovními organizacemi pro integraci možností digitálního podpisu elektronických dokumentů a d</w:t>
      </w:r>
      <w:r>
        <w:rPr>
          <w:noProof/>
        </w:rPr>
        <w:t>alších údajů za použití systému a zajištění „neodmítnutí“; g) zřízení mechanismu šifrování údajů uloženého v systémových databázích s cílem zabránit zlovolným krokům správců ESIDIS a G-Cloud;  H) novou bezpečnostní studii a dodatky nebo změny systému za úč</w:t>
      </w:r>
      <w:r>
        <w:rPr>
          <w:noProof/>
        </w:rPr>
        <w:t>elem zvýšení jeho bezpečnosti, certifikace a zásahů s cílem zvýšit bezpečnost systému, aby byly certifikovány nezávislým posouzením bezpečnosti; i) zlepšení a opětovné spuštění systému plánování zadávání veřejných zakázek za účelem širší podpory zadávání v</w:t>
      </w:r>
      <w:r>
        <w:rPr>
          <w:noProof/>
        </w:rPr>
        <w:t>eřejných zakázek a centralizovaných zadávacích řízení s využitím elektronických katalogů; J) doplnění žádostí o podporu hospodářských subjektů: obohacování žádostí o vyhledávání nabídek, historické a statistické údaje o jejich zapojení do zadávacích řízení</w:t>
      </w:r>
      <w:r>
        <w:rPr>
          <w:noProof/>
        </w:rPr>
        <w:t xml:space="preserve">, obohacování informačních a komunikačních subsystémů dodavatelů a veřejných zadavatelů, systém prodeje jízdenek pro kladení dotazů a podávání zpráv – řešení problémů nebo nástroj asistenční služby; k) doplnění schopností virtuálního asistenta, aby každý, </w:t>
      </w:r>
      <w:r>
        <w:rPr>
          <w:noProof/>
        </w:rPr>
        <w:t>kdo má zájem, mohl klást otázky v přirozeném jazyce; L) přidání elektronického systému archivace souborů (ESIDIS – KIMDIS), který je v souladu s ustanoveními právního rámce pro elektronické soubory; tvorba školicích materiálů a propagačních akcí; N) služby</w:t>
      </w:r>
      <w:r>
        <w:rPr>
          <w:noProof/>
        </w:rPr>
        <w:t xml:space="preserve"> technické podpory a monitorování projektů; o) studii hodnotící možnosti a účinnost stávajících nástrojů elektronického zadávání veřejných zakázek a jejich výběr nebo modernizaci nebo jejich nahrazení novými a účinnějšími nástroji; P) modelování informací </w:t>
      </w:r>
      <w:r>
        <w:rPr>
          <w:noProof/>
        </w:rPr>
        <w:t>o budovách (BIM); Q) Podpora IKT pro vnitrostátní centralizovaný orgán pro zadávání veřejných zakázek v oblasti zdraví (EKAPY). Investice musí být provedena do 31. prosince 2025.</w:t>
      </w:r>
    </w:p>
    <w:p w14:paraId="19A9775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ministerstva zahraničních věcí (opatření ID</w:t>
      </w:r>
      <w:r>
        <w:rPr>
          <w:noProof/>
        </w:rPr>
        <w:t xml:space="preserve"> 16742)</w:t>
      </w:r>
    </w:p>
    <w:p w14:paraId="09C7A099" w14:textId="5CCEEA09" w:rsidR="00515398" w:rsidRDefault="006711E6">
      <w:pPr>
        <w:pStyle w:val="P68B1DB1-Normal4"/>
        <w:spacing w:before="120" w:after="120" w:line="240" w:lineRule="auto"/>
        <w:jc w:val="both"/>
        <w:rPr>
          <w:rFonts w:cs="Times New Roman"/>
          <w:noProof/>
        </w:rPr>
      </w:pPr>
      <w:r>
        <w:rPr>
          <w:noProof/>
        </w:rPr>
        <w:t>Cílem investice je modernizovat ministerstvo zahraničních věcí prostřednictvím rozšířené digitalizace jeho operací a infrastruktur IT. Investice sestává z: a) standardizace procesů makrofinanční pomoci, která zajistí životaschopnost strategického a</w:t>
      </w:r>
      <w:r>
        <w:rPr>
          <w:noProof/>
        </w:rPr>
        <w:t xml:space="preserve"> operačního plánování, a tím i její úspěch; b) přispění k širší podpoře rozsahu práce makrofinanční pomoci a co nejlepšímu využití jejích zdrojů jejich sladěním se sledovanými cíli; c) zajištění přímého přístupu k informacím v co nejrychlejším časovém rámc</w:t>
      </w:r>
      <w:r>
        <w:rPr>
          <w:noProof/>
        </w:rPr>
        <w:t>i začleněním podpory sémantického vyhledávání na základě nejmodernějších nástrojů umělé inteligence; d) vytvoření přístupné a důležité archivní databáze a informačního střediska pro účinné správní povinnosti a pokrytí požadavků makrofinanční pomoci, aby mo</w:t>
      </w:r>
      <w:r>
        <w:rPr>
          <w:noProof/>
        </w:rPr>
        <w:t>hla účinněji vykonávat veřejnou a hospodářskou diplomacii, e) modernizace infrastruktury pro zabezpečení kryptografických informačních technologií a telekomunikací ministerstva zahraničních věcí v rámci jeho digitální transformace. Investice se uskuteční d</w:t>
      </w:r>
      <w:r>
        <w:rPr>
          <w:noProof/>
        </w:rPr>
        <w:t>o 30. června 2025.</w:t>
      </w:r>
    </w:p>
    <w:p w14:paraId="7F5EFD94" w14:textId="6C4E0FF8" w:rsidR="00515398" w:rsidRDefault="006711E6">
      <w:pPr>
        <w:pStyle w:val="P68B1DB1-Normal4"/>
        <w:spacing w:before="120" w:after="120" w:line="240" w:lineRule="auto"/>
        <w:jc w:val="both"/>
        <w:rPr>
          <w:rFonts w:cs="Times New Roman"/>
          <w:noProof/>
        </w:rPr>
      </w:pPr>
      <w:r>
        <w:rPr>
          <w:b/>
          <w:noProof/>
        </w:rPr>
        <w:t>Investice:</w:t>
      </w:r>
      <w:r>
        <w:rPr>
          <w:noProof/>
        </w:rPr>
        <w:t xml:space="preserve"> Programy zlepšování digitálních dovedností pro brance (opatření ID 16826)</w:t>
      </w:r>
    </w:p>
    <w:p w14:paraId="7A331684" w14:textId="77777777" w:rsidR="00515398" w:rsidRDefault="006711E6">
      <w:pPr>
        <w:pStyle w:val="P68B1DB1-Normal4"/>
        <w:spacing w:before="120" w:after="120" w:line="240" w:lineRule="auto"/>
        <w:jc w:val="both"/>
        <w:rPr>
          <w:rFonts w:cs="Times New Roman"/>
          <w:noProof/>
        </w:rPr>
      </w:pPr>
      <w:r>
        <w:rPr>
          <w:noProof/>
        </w:rPr>
        <w:t>Investice zahrnuje výcvikový program a certifikaci digitálních dovedností do povinné vojenské služby. Účelem je využít času, který branci potřebují k př</w:t>
      </w:r>
      <w:r>
        <w:rPr>
          <w:noProof/>
        </w:rPr>
        <w:t>edávání digitálních dovedností potřebných v dnešních ozbrojených silách a na trhu práce. Tato investice se realizuje prostřednictvím modernizace a rozšíření platformy Digitální akademie občanů a zahrnuje: a) personalizovaný přístup branců na školicí portál</w:t>
      </w:r>
      <w:r>
        <w:rPr>
          <w:noProof/>
        </w:rPr>
        <w:t xml:space="preserve">, který musí mít silné mechanismy kybernetické bezpečnosti a odrazovat od kybernetických útoků, spolu s posílenou architekturou ochrany osobních údajů, b) konfigurace elektronického portfolia (e-portfolia), v němž se jeho vzdělávací profil odráží, jakož i </w:t>
      </w:r>
      <w:r>
        <w:rPr>
          <w:noProof/>
        </w:rPr>
        <w:t>jeho stávající kvalifikace c) rozvoj a konfigurace programů odborné přípravy v oblasti digitálních dovedností, d) vývoj a používání nástroje pro sebehodnocení, e) 50000 tabletů, které budou získány a dodány brancům po dobu účasti v programech distančního v</w:t>
      </w:r>
      <w:r>
        <w:rPr>
          <w:noProof/>
        </w:rPr>
        <w:t xml:space="preserve">zdělávání, e) certifikace digitálních dovedností získaných během procesu odborné přípravy, která bude založena na evropských a vnitrostátních rámcích digitálních dovedností. Investice se uskuteční do 30. června 2025. </w:t>
      </w:r>
    </w:p>
    <w:p w14:paraId="14F3BA9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řecké národní organizace cestovního ruchu (opatření ID 16791)</w:t>
      </w:r>
    </w:p>
    <w:p w14:paraId="654B1231" w14:textId="77777777" w:rsidR="00515398" w:rsidRDefault="006711E6">
      <w:pPr>
        <w:pStyle w:val="P68B1DB1-Normal4"/>
        <w:spacing w:before="120" w:after="120" w:line="240" w:lineRule="auto"/>
        <w:jc w:val="both"/>
        <w:rPr>
          <w:rFonts w:cs="Times New Roman"/>
          <w:noProof/>
        </w:rPr>
      </w:pPr>
      <w:r>
        <w:rPr>
          <w:noProof/>
        </w:rPr>
        <w:t>Investice spočívají v rozvoji digitálních kapacit řecké národní organizace cestovního ruchu, konkrétně mapy digitálního cestovního ruchu, digitálního úložiště řeckých kul</w:t>
      </w:r>
      <w:r>
        <w:rPr>
          <w:noProof/>
        </w:rPr>
        <w:t>turních statků a inovativního systému, který turistům a občanům poskytuje informace s využitím druhé generace technologií umělé inteligence. Investice zahrnuje a) rozvoj platformy (digitální mapa cestovního ruchu), na níž musí mít návštěvník možnost získat</w:t>
      </w:r>
      <w:r>
        <w:rPr>
          <w:noProof/>
        </w:rPr>
        <w:t xml:space="preserve"> informace o zvláštních vlastnostech turistického produktu města nebo ostrova, aby potenciální návštěvník s využitím této platformy obdržel významný zdroj informací o zážitcích a zájmech, které upřednostňují, b) vytvoření propagačních nástrojů, jako jsou d</w:t>
      </w:r>
      <w:r>
        <w:rPr>
          <w:noProof/>
        </w:rPr>
        <w:t>igitální aplikace, internetové stránky a propagační činnosti, a úložiště, které bude rovněž fungovat jako knihovna, umožnit destinacím a jejich klíčovým zúčastněným stranám provádět dobře navržené a udržitelné propagační strategie; c) vývoj inovativního sy</w:t>
      </w:r>
      <w:r>
        <w:rPr>
          <w:noProof/>
        </w:rPr>
        <w:t>stému pro turistické informace s informacemi – stánky s dotykovými obrazovkami v hlavních centrech, jakož i mapy s historickými, zeměpisnými a kulturními vrstvami, včetně všech kulturních statků a aktivit, které budou snadno dostupné z mobilní aplikace. Re</w:t>
      </w:r>
      <w:r>
        <w:rPr>
          <w:noProof/>
        </w:rPr>
        <w:t>alizace investice musí být dokončena do 30. června 2025.</w:t>
      </w:r>
    </w:p>
    <w:p w14:paraId="0C05D6FE"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Strategie a politiky kybernetické bezpečnosti pro veřejný sektor a pokročilé bezpečnostní služby pro vnitrostátní kritické infrastruktury (opatření ID 16823)</w:t>
      </w:r>
    </w:p>
    <w:p w14:paraId="5715850C" w14:textId="77777777" w:rsidR="00515398" w:rsidRDefault="006711E6">
      <w:pPr>
        <w:pStyle w:val="P68B1DB1-Normal4"/>
        <w:spacing w:before="120" w:after="120" w:line="240" w:lineRule="auto"/>
        <w:jc w:val="both"/>
        <w:rPr>
          <w:rFonts w:cs="Times New Roman"/>
          <w:noProof/>
        </w:rPr>
      </w:pPr>
      <w:r>
        <w:rPr>
          <w:noProof/>
        </w:rPr>
        <w:t>Reforma se týká vypracování a pr</w:t>
      </w:r>
      <w:r>
        <w:rPr>
          <w:noProof/>
        </w:rPr>
        <w:t xml:space="preserve">ovádění strategie kybernetické bezpečnosti a souboru politik kybernetické bezpečnosti, jejichž cílem je zvýšit spolehlivost a bezpečnost systémů a údajů veřejného sektoru nebo informací a zlepšit důvěru občanů v jejich interakci s veřejným sektorem. Kromě </w:t>
      </w:r>
      <w:r>
        <w:rPr>
          <w:noProof/>
        </w:rPr>
        <w:t>toho reforma zahrnuje provádění Národního operačního střediska pro kybernetickou bezpečnost (SOC), jakož i poskytování pokročilých bezpečnostních služeb (SOC a DDoS) v kritické infrastruktuře G-Cloud s cílem systematicky a trvale zlepšovat bezpečnost a ome</w:t>
      </w:r>
      <w:r>
        <w:rPr>
          <w:noProof/>
        </w:rPr>
        <w:t xml:space="preserve">zovat kybernetické bezpečnostní hrozby pro centrální infrastruktury veřejného sektoru a informační systémy, které jejím prostřednictvím fungují. Provádění reformy se dokončí do 31. prosince 2024. </w:t>
      </w:r>
    </w:p>
    <w:p w14:paraId="6F9DEEBB"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Interoperabilita a rozvoj internetových služeb (</w:t>
      </w:r>
      <w:r>
        <w:rPr>
          <w:noProof/>
        </w:rPr>
        <w:t>opatření ID 16779)</w:t>
      </w:r>
    </w:p>
    <w:p w14:paraId="18DC5FD1" w14:textId="14FB7416" w:rsidR="00515398" w:rsidRDefault="006711E6">
      <w:pPr>
        <w:pStyle w:val="P68B1DB1-Normal4"/>
        <w:spacing w:before="120" w:after="120" w:line="240" w:lineRule="auto"/>
        <w:jc w:val="both"/>
        <w:rPr>
          <w:rFonts w:cs="Times New Roman"/>
          <w:noProof/>
          <w:szCs w:val="24"/>
        </w:rPr>
      </w:pPr>
      <w:r>
        <w:rPr>
          <w:noProof/>
        </w:rPr>
        <w:t>Investice spočívá ve vývoji centrální infrastruktury interoperability pro integrované řízení služeb a ve vývoji a poskytování rozhraní pro veřejnou správu, která usnadní výměnu informací mezi vládními agenturami a poskytování interaktivn</w:t>
      </w:r>
      <w:r>
        <w:rPr>
          <w:noProof/>
        </w:rPr>
        <w:t xml:space="preserve">ích on-line služeb. </w:t>
      </w:r>
      <w:r>
        <w:rPr>
          <w:noProof/>
          <w:szCs w:val="24"/>
        </w:rPr>
        <w:t>Investice zahrnuje a) provádění internetových služeb a jejich dokumentaci (jak je popsáno v příslušném ministerském rozhodnutí), b) integraci služeb do gov.gr c) vymezení a provedení požadovaných kontrolních testů, d) přenos internetový</w:t>
      </w:r>
      <w:r>
        <w:rPr>
          <w:noProof/>
          <w:szCs w:val="24"/>
        </w:rPr>
        <w:t>ch služeb do výroby (konečné provedení po pilotní fázi), e) podporu nových internetových služeb. Investice musí být provedena do 31. prosince 2024.</w:t>
      </w:r>
    </w:p>
    <w:p w14:paraId="59548D5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Propojení a interoperabilita registrů, systémů a služeb pro výměnu údajů mezi vnitrostátními </w:t>
      </w:r>
      <w:r>
        <w:rPr>
          <w:noProof/>
        </w:rPr>
        <w:t>veřejnými organizacemi (opatření ID 16782)</w:t>
      </w:r>
    </w:p>
    <w:p w14:paraId="1BBF608F" w14:textId="616C647C" w:rsidR="00515398" w:rsidRDefault="006711E6">
      <w:pPr>
        <w:pStyle w:val="P68B1DB1-Normal5"/>
        <w:spacing w:before="120" w:after="120" w:line="240" w:lineRule="auto"/>
        <w:jc w:val="both"/>
        <w:rPr>
          <w:rFonts w:cs="Times New Roman"/>
          <w:noProof/>
        </w:rPr>
      </w:pPr>
      <w:r>
        <w:rPr>
          <w:noProof/>
        </w:rPr>
        <w:t>Cílem reformy je vytvořit komplexní rámec a plán pro propojení a interoperabilitu registrů a služeb pro výměnu údajů mezi veřejnými organizacemi v souladu s aktem o Interoperabilní Evropě a usnadnit poskytování in</w:t>
      </w:r>
      <w:r>
        <w:rPr>
          <w:noProof/>
        </w:rPr>
        <w:t>teroperabilních, personalizovaných a uživatelsky vstřícných digitálních veřejných služeb občanům a podnikům. Reforma zavede organizační, procesní a legislativní změny s cílem a) sladit stávající řecký vnitrostátní rámec interoperability (eGIF) s aktem o In</w:t>
      </w:r>
      <w:r>
        <w:rPr>
          <w:noProof/>
        </w:rPr>
        <w:t>teroperabilní Evropě, b) propojit příslušné vnitrostátní, regionální a místní zdroje údajů a digitální infrastruktury s evropským systémem pro výměnu důkazů založeným pouze na zásadě „OOP“, zřízeným nařízením o jednotné digitální bráně, a c) regulovat fung</w:t>
      </w:r>
      <w:r>
        <w:rPr>
          <w:noProof/>
        </w:rPr>
        <w:t>ování rejstříku dokumentů, jehož cílem je posílit elektronické vyhledávání z moci úřední v podpůrných dokumentech ze strany orgánů veřejné moci, které je nezbytné pro zpracování správních postupů. Provádění reformy se dokončí do 31. prosince 2024.</w:t>
      </w:r>
    </w:p>
    <w:p w14:paraId="2F10A225" w14:textId="77777777" w:rsidR="00515398" w:rsidRDefault="006711E6">
      <w:pPr>
        <w:pStyle w:val="P68B1DB1-Normal4"/>
        <w:spacing w:before="120" w:after="120" w:line="240" w:lineRule="auto"/>
        <w:jc w:val="both"/>
        <w:rPr>
          <w:rFonts w:cs="Times New Roman"/>
          <w:noProof/>
        </w:rPr>
      </w:pPr>
      <w:r>
        <w:rPr>
          <w:b/>
          <w:noProof/>
        </w:rPr>
        <w:t>Investic</w:t>
      </w:r>
      <w:r>
        <w:rPr>
          <w:b/>
          <w:noProof/>
        </w:rPr>
        <w:t>e:</w:t>
      </w:r>
      <w:r>
        <w:rPr>
          <w:noProof/>
        </w:rPr>
        <w:t xml:space="preserve"> Centrum interoperability příští generace (KED) (opatření ID 16964)</w:t>
      </w:r>
    </w:p>
    <w:p w14:paraId="2C292030" w14:textId="77777777" w:rsidR="00515398" w:rsidRDefault="006711E6">
      <w:pPr>
        <w:pStyle w:val="P68B1DB1-Normal4"/>
        <w:spacing w:before="120" w:after="120" w:line="240" w:lineRule="auto"/>
        <w:jc w:val="both"/>
        <w:rPr>
          <w:rFonts w:cs="Times New Roman"/>
          <w:noProof/>
        </w:rPr>
      </w:pPr>
      <w:r>
        <w:rPr>
          <w:noProof/>
        </w:rPr>
        <w:t>Cílem investice je modernizace Střediska interoperability generálního sekretariátu informačních systémů pro veřejnou správu (GSISPA), aby bylo možné zajistit interoperabilitu mezi instit</w:t>
      </w:r>
      <w:r>
        <w:rPr>
          <w:noProof/>
        </w:rPr>
        <w:t>ucemi a mezi systémy s vysokou dostupností. Investice sestává z a) studie proveditelnosti a bezpečnosti, b) dodávek a instalace požadovaných licencí pro platformu pro databázové a hybridní cloudové aplikace, c) návrhu a provádění Střediska interoperability</w:t>
      </w:r>
      <w:r>
        <w:rPr>
          <w:noProof/>
        </w:rPr>
        <w:t xml:space="preserve"> nové generace (KED), d) zavedení nových internetových služeb v centru interoperability příští generace (KED). Investice se uskuteční do 30. června 2025.</w:t>
      </w:r>
    </w:p>
    <w:p w14:paraId="40C49480"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Elektronické rejstříky (identifikační číslo opatření 16824)</w:t>
      </w:r>
    </w:p>
    <w:p w14:paraId="5081BBC7" w14:textId="230D3AB6" w:rsidR="00515398" w:rsidRDefault="006711E6">
      <w:pPr>
        <w:pStyle w:val="P68B1DB1-Normal4"/>
        <w:spacing w:before="120" w:after="120" w:line="240" w:lineRule="auto"/>
        <w:jc w:val="both"/>
        <w:rPr>
          <w:rFonts w:cs="Times New Roman"/>
          <w:noProof/>
        </w:rPr>
      </w:pPr>
      <w:r>
        <w:rPr>
          <w:noProof/>
        </w:rPr>
        <w:t xml:space="preserve">Investice spočívá ve vytvoření </w:t>
      </w:r>
      <w:r>
        <w:rPr>
          <w:noProof/>
        </w:rPr>
        <w:t xml:space="preserve">interoperability a rozhraní mezi stávajícími rejstříky ústředních orgánů veřejné správy, jakož i ve shromažďování a rozšiřování rejstříků s cílem postupně vést k hladkému a řádnému fungování digitálních veřejných služeb s využitím propojených a aktuálních </w:t>
      </w:r>
      <w:r>
        <w:rPr>
          <w:noProof/>
        </w:rPr>
        <w:t>rejstříků obsahujících vyčištěné datové záznamy. Za tímto účelem investice usnadní shromažďování a rozšiřování stávajících registrů v jednom centrálním zdroji s cílem postupně vést k hladkému a řádnému fungování digitálních veřejných služeb. To zahrnuje a)</w:t>
      </w:r>
      <w:r>
        <w:rPr>
          <w:noProof/>
        </w:rPr>
        <w:t xml:space="preserve"> údaje na jednom místě: registry jsou přístupné prostřednictvím jednoho rozhraní a lze v nich vyhledávat b) aktuální údaje: všechny údaje v registrech musí být aktuální a připravené k použití. Ke každému registru je přístup prostřednictvím společného API, </w:t>
      </w:r>
      <w:r>
        <w:rPr>
          <w:noProof/>
        </w:rPr>
        <w:t>c) čistých údajů: do konce projektu musí být údaje z registrů na nejvyšší možné úrovni čisté a musí být zavedeny postupy a politiky pro čisté údaje, d) propojené registry: musí být zajištěna interoperabilita. Investice musí být provedena do 31. prosince 20</w:t>
      </w:r>
      <w:r>
        <w:rPr>
          <w:noProof/>
        </w:rPr>
        <w:t>25.</w:t>
      </w:r>
    </w:p>
    <w:p w14:paraId="1C0DB3DC"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Registr cestovního ruchu e-MHTE (opatření ID 16785)</w:t>
      </w:r>
    </w:p>
    <w:p w14:paraId="54B9CE58" w14:textId="77777777" w:rsidR="00515398" w:rsidRDefault="006711E6">
      <w:pPr>
        <w:pStyle w:val="P68B1DB1-Normal4"/>
        <w:spacing w:before="120" w:after="120" w:line="240" w:lineRule="auto"/>
        <w:jc w:val="both"/>
        <w:rPr>
          <w:rFonts w:cs="Times New Roman"/>
          <w:noProof/>
        </w:rPr>
      </w:pPr>
      <w:r>
        <w:rPr>
          <w:noProof/>
        </w:rPr>
        <w:t>Investice spočívá ve vývoji platformy digitálního registru pro podniky působící v oblasti cestovního ruchu (e-MHTE), jejímž cílem je interoperabilita s ostatními veřejnými registry a inform</w:t>
      </w:r>
      <w:r>
        <w:rPr>
          <w:noProof/>
        </w:rPr>
        <w:t>ačními systémy. Veškeré údaje a funkce stávajícího rejstříku (MИTE) se převedou na novou platformu s cílem poskytovat lepší a kvalitnější služby, vydávání nových provozních licencí a obnovu stávajících licencí. Investice rovněž zahrnuje digitalizaci archiv</w:t>
      </w:r>
      <w:r>
        <w:rPr>
          <w:noProof/>
        </w:rPr>
        <w:t>u (1875000 souborů odboru územního plánování a infrastruktury), včetně metataggování a ukládání. Investice se uskuteční do 30. června 2025.</w:t>
      </w:r>
    </w:p>
    <w:p w14:paraId="772DF47C"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Začlenění nových technologií a trendů směrem k vyspělým službám veřejné správy, zvýšení účinnosti a účelnos</w:t>
      </w:r>
      <w:r>
        <w:rPr>
          <w:noProof/>
        </w:rPr>
        <w:t>ti a snížení nákladů na provoz, modernizaci a údržbu systémů (opatření ID 16928)</w:t>
      </w:r>
    </w:p>
    <w:p w14:paraId="3909362E" w14:textId="7896E395" w:rsidR="00515398" w:rsidRDefault="006711E6">
      <w:pPr>
        <w:pStyle w:val="P68B1DB1-Normal4"/>
        <w:spacing w:before="120" w:after="120" w:line="240" w:lineRule="auto"/>
        <w:jc w:val="both"/>
        <w:rPr>
          <w:rFonts w:cs="Times New Roman"/>
          <w:noProof/>
        </w:rPr>
      </w:pPr>
      <w:r>
        <w:rPr>
          <w:noProof/>
        </w:rPr>
        <w:t>Reforma spočívá ve vytvoření rámce, jehož cílem je začlenit do veřejné správy technologický pokrok (Cloud computing, Business Intelligence, umělá inteligence – umělá inteligen</w:t>
      </w:r>
      <w:r>
        <w:rPr>
          <w:noProof/>
        </w:rPr>
        <w:t>ce, strojové učení, technologie distribuované účetní knihy – DLT) pro účely účinného shromažďování, zpracování, prezentace a uchovávání údajů a usnadnění lepších digitálních služeb, vhodného rozhodování a účinného provozu a údržby systémů a infrastruktury.</w:t>
      </w:r>
      <w:r>
        <w:rPr>
          <w:noProof/>
        </w:rPr>
        <w:t xml:space="preserve"> Provádění reformy se dokončí do 31. prosince 2025.</w:t>
      </w:r>
    </w:p>
    <w:p w14:paraId="31704360"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Inteligentní města (opatření ID 16854)</w:t>
      </w:r>
    </w:p>
    <w:p w14:paraId="3AD58A59" w14:textId="42CE24D8" w:rsidR="00515398" w:rsidRDefault="006711E6">
      <w:pPr>
        <w:pStyle w:val="P68B1DB1-Normal5"/>
        <w:spacing w:before="120" w:after="120" w:line="240" w:lineRule="auto"/>
        <w:jc w:val="both"/>
        <w:rPr>
          <w:rFonts w:cs="Times New Roman"/>
          <w:noProof/>
        </w:rPr>
      </w:pPr>
      <w:r>
        <w:rPr>
          <w:noProof/>
        </w:rPr>
        <w:t>Cílem investice je postupně přeměnit 11 řeckých obcí na „inteligentní města“ prostřednictvím rozvoje nové infrastruktury, digitálních platforem a informač</w:t>
      </w:r>
      <w:r>
        <w:rPr>
          <w:noProof/>
        </w:rPr>
        <w:t xml:space="preserve">ních systémů. Řešení pro inteligentní města umožní obcím využívat technologie, informace a otevřená data ke zlepšení městské infrastruktury a elektronických služeb. Opatření sestává ze dvou dílčích projektů: 1) investiční iniciativa řeckých inteligentních </w:t>
      </w:r>
      <w:r>
        <w:rPr>
          <w:noProof/>
        </w:rPr>
        <w:t>měst investující do 11 obcí, z nichž čtyři již byly vybrány (Atény, Soluň, Piraeus a Trikala) a sedm dalších bude vybráno na základě návrhů vypracovaných obcemi. 2) podpůrný mechanismus pro provádění a monitorování výkonnosti iniciativy. Investice musí být</w:t>
      </w:r>
      <w:r>
        <w:rPr>
          <w:noProof/>
        </w:rPr>
        <w:t xml:space="preserve"> provedena do 31. prosince 2025.</w:t>
      </w:r>
    </w:p>
    <w:p w14:paraId="2D295552"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Poskytování infrastruktury a služeb centrální cloud computingu (opatření ID 16853)</w:t>
      </w:r>
    </w:p>
    <w:p w14:paraId="25BAEE3A" w14:textId="79685AFE" w:rsidR="00515398" w:rsidRDefault="006711E6">
      <w:pPr>
        <w:pStyle w:val="P68B1DB1-Normal4"/>
        <w:spacing w:before="120" w:after="120" w:line="240" w:lineRule="auto"/>
        <w:jc w:val="both"/>
        <w:rPr>
          <w:rFonts w:cs="Times New Roman"/>
          <w:noProof/>
          <w:szCs w:val="24"/>
        </w:rPr>
      </w:pPr>
      <w:r>
        <w:rPr>
          <w:noProof/>
        </w:rPr>
        <w:t>Cílem investice je zlepšit fungování klíčových institucí ministerstva digitální správy, konkrétně GSISPA a IDIKA SA, prostřednict</w:t>
      </w:r>
      <w:r>
        <w:rPr>
          <w:noProof/>
        </w:rPr>
        <w:t xml:space="preserve">vím zavádění infrastruktury a služeb cloud computingu (v souladu se zákonem 4727/2020) v souladu s mezinárodními osvědčenými postupy pro zavádění vládní cloudové infrastruktury a služeb (G-Cloud). Projekt poskytne moderní hybridní cloudovou infrastrukturu </w:t>
      </w:r>
      <w:r>
        <w:rPr>
          <w:noProof/>
        </w:rPr>
        <w:t>sestávající ze dvou nájemníků: Jeden pro G-Cloud a druhý pro H-Cloud. Každý nájemce má soukromou složku cloudu a veřejnou složku cloudu v jednotném prostředí pro řízení a poskytování služeb. Investice musí být provedena do 30. června 2024.</w:t>
      </w:r>
    </w:p>
    <w:p w14:paraId="3237FA51" w14:textId="33A572DF" w:rsidR="00515398" w:rsidRDefault="006711E6">
      <w:pPr>
        <w:pStyle w:val="P68B1DB1-Normal4"/>
        <w:spacing w:before="120" w:after="120" w:line="240" w:lineRule="auto"/>
        <w:jc w:val="both"/>
        <w:rPr>
          <w:noProof/>
        </w:rPr>
      </w:pPr>
      <w:r>
        <w:rPr>
          <w:noProof/>
        </w:rPr>
        <w:t>Datová centra po</w:t>
      </w:r>
      <w:r>
        <w:rPr>
          <w:noProof/>
        </w:rPr>
        <w:t xml:space="preserve">skytovatele cloudových služeb jsou povinna dodržovat „Evropský kodex chování pro energetickou účinnost datových center“. </w:t>
      </w:r>
    </w:p>
    <w:p w14:paraId="0F51ECD5" w14:textId="7B060D45" w:rsidR="00515398" w:rsidRDefault="006711E6">
      <w:pPr>
        <w:pStyle w:val="P68B1DB1-Normal4"/>
        <w:spacing w:before="120" w:after="120" w:line="240" w:lineRule="auto"/>
        <w:jc w:val="both"/>
        <w:rPr>
          <w:rFonts w:cs="Times New Roman"/>
          <w:noProof/>
        </w:rPr>
      </w:pPr>
      <w:r>
        <w:rPr>
          <w:noProof/>
        </w:rPr>
        <w:t>Tento požadavek je v souladu s nařízením Evropského parlamentu a Rady (EU) 2018/1999 ze dne 11. prosince 2018 o správě energetické uni</w:t>
      </w:r>
      <w:r>
        <w:rPr>
          <w:noProof/>
        </w:rPr>
        <w:t>e a opatření v oblasti klimatu tím, že podporuje ekologickou transformaci a přispívá k dosažení cílů Unie v oblasti klimatu do roku 2030 stanovených v čl. 2 odst. 11 ve znění článku 10 právního rámce EU pro klima a v souladu s cílem klimatické neutrality E</w:t>
      </w:r>
      <w:r>
        <w:rPr>
          <w:noProof/>
        </w:rPr>
        <w:t>U do roku 2050 a digitální transformace, čímž přispívá k vzestupné hospodářské a sociální konvergenci, obnově a podpoře udržitelného růstu a integraci ekonomik Unie.</w:t>
      </w:r>
    </w:p>
    <w:p w14:paraId="54F75EFA"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Modernizace cloudové výpočetní infrastruktury a služeb vnitrostátních infrastru</w:t>
      </w:r>
      <w:r>
        <w:rPr>
          <w:noProof/>
        </w:rPr>
        <w:t>ktur pro výzkum a technologie (GRNET) (opatření ID 16955)</w:t>
      </w:r>
    </w:p>
    <w:p w14:paraId="31036E1E" w14:textId="506498A0" w:rsidR="00515398" w:rsidRDefault="006711E6">
      <w:pPr>
        <w:pStyle w:val="P68B1DB1-Normal4"/>
        <w:spacing w:before="120" w:after="120" w:line="240" w:lineRule="auto"/>
        <w:jc w:val="both"/>
        <w:rPr>
          <w:rFonts w:cs="Times New Roman"/>
          <w:noProof/>
        </w:rPr>
      </w:pPr>
      <w:r>
        <w:rPr>
          <w:noProof/>
        </w:rPr>
        <w:t>Investice spočívá v modernizaci infrastruktur a služeb skupiny GRNET, a to a) modernizací jejího softwaru a služeb cloud computingu, které jsou určeny zejména členům výzkumné a akademické obce, b) z</w:t>
      </w:r>
      <w:r>
        <w:rPr>
          <w:noProof/>
        </w:rPr>
        <w:t>avedením nového superpočítače Daedalus (fáze A investice) a c) leasingem infrastruktury optických vláken. Investice musí být provedena do 31. prosince 2025.</w:t>
      </w:r>
    </w:p>
    <w:p w14:paraId="6BA451CF" w14:textId="77777777" w:rsidR="00515398" w:rsidRDefault="006711E6">
      <w:pPr>
        <w:pStyle w:val="P68B1DB1-Normal4"/>
        <w:spacing w:before="120" w:after="120" w:line="240" w:lineRule="auto"/>
        <w:jc w:val="both"/>
        <w:rPr>
          <w:rFonts w:cs="Times New Roman"/>
          <w:noProof/>
        </w:rPr>
      </w:pPr>
      <w:r>
        <w:rPr>
          <w:noProof/>
        </w:rPr>
        <w:t>Datová centra musí dodržovat „Evropský kodex chování pro energetickou účinnost datových center“. Te</w:t>
      </w:r>
      <w:r>
        <w:rPr>
          <w:noProof/>
        </w:rPr>
        <w:t xml:space="preserve">nto požadavek je v souladu s nařízením Evropského parlamentu a Rady (EU) 2018/1999 ze dne 11. prosince 2018 o správě energetické unie a opatření v oblasti klimatu tím, že podporuje ekologickou transformaci a přispívá k dosažení cílů Unie v oblasti klimatu </w:t>
      </w:r>
      <w:r>
        <w:rPr>
          <w:noProof/>
        </w:rPr>
        <w:t>do roku 2030 stanovených v čl. 2 odst. 11 ve znění článku 10 právního rámce EU pro klima a v souladu s cílem klimatické neutrality EU do roku 2050 a digitální transformace, čímž přispívá k vzestupné hospodářské a sociální konvergenci, obnově a podpoře udrž</w:t>
      </w:r>
      <w:r>
        <w:rPr>
          <w:noProof/>
        </w:rPr>
        <w:t>itelného růstu a integraci ekonomik Unie.</w:t>
      </w:r>
    </w:p>
    <w:p w14:paraId="19E35508"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Rozšíření Syzefksis II (opatření ID 16956)</w:t>
      </w:r>
    </w:p>
    <w:p w14:paraId="4141DDDC" w14:textId="0C64F6CF" w:rsidR="00515398" w:rsidRDefault="006711E6">
      <w:pPr>
        <w:pStyle w:val="P68B1DB1-Normal5"/>
        <w:spacing w:before="120" w:after="120" w:line="240" w:lineRule="auto"/>
        <w:jc w:val="both"/>
        <w:rPr>
          <w:rFonts w:cs="Times New Roman"/>
          <w:noProof/>
        </w:rPr>
      </w:pPr>
      <w:r>
        <w:rPr>
          <w:noProof/>
        </w:rPr>
        <w:t xml:space="preserve">Investice spočívá v rozšíření celostátní sítě veřejného sektoru (SYZEFXIS II) s cílem poskytovat soubor modernizovaných telekomunikačních služeb všem vládním </w:t>
      </w:r>
      <w:r>
        <w:rPr>
          <w:noProof/>
        </w:rPr>
        <w:t xml:space="preserve">institucím, vytvoření sítě veřejného sektoru (rozšíření) pro poskytování souboru modernizovaných telekomunikačních služeb orgánům veřejné správy po dobu tří po sobě jdoucích let a konkrétně v poskytování pokrytí přibližně 34000 budov, jakož i bezdrátových </w:t>
      </w:r>
      <w:r>
        <w:rPr>
          <w:noProof/>
        </w:rPr>
        <w:t xml:space="preserve">telekomunikačních služeb. Zahrnuje rozšíření stávající národní sítě veřejné správy „SYZEFXIS“, která v současné době zahrnuje pouze 4500 míst přítomných subjektů. Všechny veřejné subjekty tak musí zmodernizovat telekomunikační služby se zvýšením rychlosti </w:t>
      </w:r>
      <w:r>
        <w:rPr>
          <w:noProof/>
        </w:rPr>
        <w:t>přístupu k internetu, a nabídnout tak občanům lepší připojení. Investice musí být provedena do 31. prosince 2025.</w:t>
      </w:r>
    </w:p>
    <w:p w14:paraId="16E9257A"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Strategie a politiky správy dat pro veřejný sektor (opatření ID 16827)</w:t>
      </w:r>
    </w:p>
    <w:p w14:paraId="22E4D0FC" w14:textId="07676648" w:rsidR="00515398" w:rsidRDefault="006711E6">
      <w:pPr>
        <w:pStyle w:val="P68B1DB1-Normal22"/>
        <w:spacing w:before="120" w:after="120" w:line="240" w:lineRule="auto"/>
        <w:jc w:val="both"/>
        <w:rPr>
          <w:rFonts w:ascii="Times New Roman" w:hAnsi="Times New Roman"/>
          <w:b/>
          <w:noProof/>
        </w:rPr>
      </w:pPr>
      <w:r>
        <w:rPr>
          <w:rFonts w:ascii="Times New Roman" w:hAnsi="Times New Roman"/>
          <w:noProof/>
        </w:rPr>
        <w:t xml:space="preserve">Reforma se týká a) zavedení vládní strategie a politik správy </w:t>
      </w:r>
      <w:r>
        <w:rPr>
          <w:rFonts w:ascii="Times New Roman" w:hAnsi="Times New Roman"/>
          <w:noProof/>
        </w:rPr>
        <w:t>cloudových dat, b) vytvoření rámce pro správu veřejných dat, politiky pro otevřená a opakovaně použitelná data a poskytování příslušných služeb veřejnému a soukromému sektoru a c) vymezení vzoru pro studie klasifikace údajů týkající se informačních systémů</w:t>
      </w:r>
      <w:r>
        <w:rPr>
          <w:rFonts w:ascii="Times New Roman" w:hAnsi="Times New Roman"/>
          <w:noProof/>
        </w:rPr>
        <w:t xml:space="preserve"> veřejného sektoru instalovaných ve vládním cloudu veřejného sektoru (G-Cloud), které provozuje Generální sekretariát informačních systémů pro veřejnou správu (GSISPA). Konečná část reformy sestává z návrhu a standardizace studií klasifikace dat centrálníc</w:t>
      </w:r>
      <w:r>
        <w:rPr>
          <w:rFonts w:ascii="Times New Roman" w:hAnsi="Times New Roman"/>
          <w:noProof/>
        </w:rPr>
        <w:t>h informačních systémů a provádění 220 příslušných studií pro celý již instalovaný centrální informační systém a aplikace veřejného sektoru.</w:t>
      </w:r>
      <w:r>
        <w:rPr>
          <w:rFonts w:asciiTheme="minorHAnsi" w:eastAsiaTheme="minorEastAsia" w:hAnsiTheme="minorHAnsi" w:cstheme="minorBidi"/>
          <w:noProof/>
        </w:rPr>
        <w:t xml:space="preserve"> </w:t>
      </w:r>
      <w:r>
        <w:rPr>
          <w:rFonts w:ascii="Times New Roman" w:hAnsi="Times New Roman"/>
          <w:noProof/>
        </w:rPr>
        <w:t>Provádění reformy se dokončí do 31. prosince 2025.</w:t>
      </w:r>
    </w:p>
    <w:p w14:paraId="4B6EAD58"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Central BI – Data Analytics (opatření ID 16842)</w:t>
      </w:r>
    </w:p>
    <w:p w14:paraId="6FFCE667" w14:textId="20CFF9CD" w:rsidR="00515398" w:rsidRDefault="006711E6">
      <w:pPr>
        <w:pStyle w:val="P68B1DB1-Normal4"/>
        <w:spacing w:before="120" w:after="120" w:line="240" w:lineRule="auto"/>
        <w:jc w:val="both"/>
        <w:rPr>
          <w:rFonts w:cs="Times New Roman"/>
          <w:noProof/>
        </w:rPr>
      </w:pPr>
      <w:r>
        <w:rPr>
          <w:noProof/>
        </w:rPr>
        <w:t>Cílem</w:t>
      </w:r>
      <w:r>
        <w:rPr>
          <w:noProof/>
        </w:rPr>
        <w:t xml:space="preserve"> investice je umožnit veřejné správě maximalizovat hodnotu, kterou získává ze svých údajů prostřednictvím zavedení centrální platformy pro analýzu dat. Platforma umožní agenturám veřejné správy získávat, integrovat a interpretovat údaje z jakéhokoli zdroje</w:t>
      </w:r>
      <w:r>
        <w:rPr>
          <w:noProof/>
        </w:rPr>
        <w:t xml:space="preserve"> a využívat je k analýze informací, které ovlivňují jejich činnost a pracovní toky, čímž se usnadní rozhodování. Toho se dosáhne prostřednictvím a) určení klíčových ukazatelů výkonnosti, b) vytvoření datového slovníku, c) vytvoření rámce pro správu dat, d)</w:t>
      </w:r>
      <w:r>
        <w:rPr>
          <w:noProof/>
        </w:rPr>
        <w:t xml:space="preserve"> návrhu vhodného architektonického plánu, architektonického přístupu, stavebních kamenů a integračních bodů, e) konfigurace datového skladu, f) integrace s informačním systémem back office, g) vypracování požadovaných zpráv obchodního zpravodajství a analý</w:t>
      </w:r>
      <w:r>
        <w:rPr>
          <w:noProof/>
        </w:rPr>
        <w:t>zy, h) technické podpory. Investice musí být provedena do 31. prosince 2025.</w:t>
      </w:r>
    </w:p>
    <w:p w14:paraId="541FEAAA"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Centrální systém správy dokumentů (opatření ID 16738)</w:t>
      </w:r>
    </w:p>
    <w:p w14:paraId="677A4F4D" w14:textId="2EBBA2E8" w:rsidR="00515398" w:rsidRDefault="006711E6">
      <w:pPr>
        <w:pStyle w:val="P68B1DB1-Normal5"/>
        <w:spacing w:before="120" w:after="120" w:line="240" w:lineRule="auto"/>
        <w:jc w:val="both"/>
        <w:rPr>
          <w:noProof/>
        </w:rPr>
      </w:pPr>
      <w:r>
        <w:rPr>
          <w:noProof/>
        </w:rPr>
        <w:t xml:space="preserve">Investice spočívá v zavedení centrálního systému pro správu dokumentů, který zachycuje, uchovává a vyhledává papírové a elektronické dokumenty. Tento systém usnadňuje interoperabilitu mezi organizacemi veřejného sektoru a jeho cílem je urychlit vyřizování </w:t>
      </w:r>
      <w:r>
        <w:rPr>
          <w:noProof/>
        </w:rPr>
        <w:t xml:space="preserve">případů občanů a podniků a jejich žádostí o služby. Investice zahrnuje a) dodání 20000 schválených digitálních podpisů na dálku, b) vývoj aplikací pro interoperabilitu, vytvoření jedinečného QR kódu nebo ID, které mají být začleněny do dokumentů, c) vývoj </w:t>
      </w:r>
      <w:r>
        <w:rPr>
          <w:noProof/>
        </w:rPr>
        <w:t>subsystémů k pokrytí potřeb vlády, pokud jde o podepisování dokumentů digitálními podpisy, d) podpůrné služby (včetně služeb pro vypracování studií), školení a asistenční služby. Investice musí být provedena do 30. června 2024.</w:t>
      </w:r>
    </w:p>
    <w:p w14:paraId="5A412B1E" w14:textId="77777777" w:rsidR="00515398" w:rsidRDefault="00515398">
      <w:pPr>
        <w:spacing w:before="120" w:after="120" w:line="240" w:lineRule="auto"/>
        <w:ind w:left="709"/>
        <w:jc w:val="both"/>
        <w:rPr>
          <w:rFonts w:ascii="Times New Roman" w:hAnsi="Times New Roman" w:cs="Times New Roman"/>
          <w:noProof/>
          <w:sz w:val="24"/>
        </w:rPr>
      </w:pPr>
    </w:p>
    <w:p w14:paraId="69281F2F"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109"/>
          <w:headerReference w:type="default" r:id="rId110"/>
          <w:footerReference w:type="even" r:id="rId111"/>
          <w:footerReference w:type="default" r:id="rId112"/>
          <w:headerReference w:type="first" r:id="rId113"/>
          <w:footerReference w:type="first" r:id="rId114"/>
          <w:pgSz w:w="11907" w:h="16839"/>
          <w:pgMar w:top="1134" w:right="1418" w:bottom="1134" w:left="1418" w:header="709" w:footer="327" w:gutter="0"/>
          <w:cols w:space="720"/>
          <w:docGrid w:linePitch="360"/>
        </w:sectPr>
      </w:pPr>
    </w:p>
    <w:p w14:paraId="43414F2D"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F.2. </w:t>
      </w:r>
      <w:r>
        <w:rPr>
          <w:noProof/>
        </w:rPr>
        <w:t xml:space="preserve"> </w:t>
      </w:r>
      <w:r>
        <w:rPr>
          <w:rFonts w:ascii="Times New Roman" w:hAnsi="Times New Roman"/>
          <w:b/>
          <w:noProof/>
          <w:sz w:val="24"/>
          <w:u w:val="single"/>
        </w:rPr>
        <w:t>Milníky, cíle, ukazatele a harmonogram monitorování a provádění nevratné finanční podpory</w:t>
      </w:r>
    </w:p>
    <w:p w14:paraId="3B8749EA"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p w14:paraId="502B644F" w14:textId="77777777" w:rsidR="00515398" w:rsidRDefault="006711E6">
      <w:pPr>
        <w:pStyle w:val="P68B1DB1-Normal6"/>
        <w:keepNext/>
        <w:keepLines/>
        <w:spacing w:before="40" w:after="0" w:line="240" w:lineRule="auto"/>
        <w:jc w:val="both"/>
        <w:outlineLvl w:val="4"/>
        <w:rPr>
          <w:rFonts w:eastAsia="Times New Roman"/>
          <w:noProof/>
        </w:rPr>
      </w:pPr>
      <w:r>
        <w:rPr>
          <w:noProof/>
        </w:rPr>
        <w:t>Nejvyšší investice 3: Digitalizace archivů a souvisejících služeb</w:t>
      </w:r>
    </w:p>
    <w:tbl>
      <w:tblPr>
        <w:tblW w:w="15588" w:type="dxa"/>
        <w:jc w:val="center"/>
        <w:tblLayout w:type="fixed"/>
        <w:tblLook w:val="04A0" w:firstRow="1" w:lastRow="0" w:firstColumn="1" w:lastColumn="0" w:noHBand="0" w:noVBand="1"/>
      </w:tblPr>
      <w:tblGrid>
        <w:gridCol w:w="562"/>
        <w:gridCol w:w="1985"/>
        <w:gridCol w:w="992"/>
        <w:gridCol w:w="1701"/>
        <w:gridCol w:w="1715"/>
        <w:gridCol w:w="1200"/>
        <w:gridCol w:w="1080"/>
        <w:gridCol w:w="960"/>
        <w:gridCol w:w="960"/>
        <w:gridCol w:w="840"/>
        <w:gridCol w:w="3593"/>
      </w:tblGrid>
      <w:tr w:rsidR="00515398" w14:paraId="0D96C86C" w14:textId="77777777">
        <w:trPr>
          <w:trHeight w:val="927"/>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B3FD6C" w14:textId="0638099C" w:rsidR="00515398" w:rsidRDefault="006711E6">
            <w:pPr>
              <w:pStyle w:val="P68B1DB1-Normal7"/>
              <w:spacing w:after="0" w:line="240" w:lineRule="auto"/>
              <w:jc w:val="center"/>
              <w:rPr>
                <w:rFonts w:eastAsia="Times New Roman" w:cs="Times New Roman"/>
                <w:bCs/>
                <w:noProof/>
                <w:szCs w:val="18"/>
              </w:rPr>
            </w:pPr>
            <w:r>
              <w:rPr>
                <w:noProof/>
              </w:rPr>
              <w:t>Poř. Č.</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0DE017" w14:textId="77777777" w:rsidR="00515398" w:rsidRDefault="006711E6">
            <w:pPr>
              <w:pStyle w:val="P68B1DB1-Normal7"/>
              <w:spacing w:after="0" w:line="240" w:lineRule="auto"/>
              <w:ind w:left="-561" w:firstLine="561"/>
              <w:jc w:val="right"/>
              <w:rPr>
                <w:rFonts w:eastAsia="Times New Roman" w:cs="Times New Roman"/>
                <w:bCs/>
                <w:noProof/>
                <w:szCs w:val="18"/>
              </w:rPr>
            </w:pPr>
            <w:r>
              <w:rPr>
                <w:noProof/>
              </w:rPr>
              <w:t>Související opatření (reforma nebo investice)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5AB39D"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50A95F08"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AF9D50"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240" w:type="dxa"/>
            <w:gridSpan w:val="3"/>
            <w:tcBorders>
              <w:top w:val="single" w:sz="4" w:space="0" w:color="auto"/>
              <w:left w:val="nil"/>
              <w:bottom w:val="single" w:sz="4" w:space="0" w:color="auto"/>
              <w:right w:val="single" w:sz="4" w:space="0" w:color="auto"/>
            </w:tcBorders>
            <w:shd w:val="clear" w:color="auto" w:fill="BDD7EE"/>
            <w:vAlign w:val="center"/>
            <w:hideMark/>
          </w:tcPr>
          <w:p w14:paraId="4832ACA7"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5B164B0C"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5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49F709"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778862F0" w14:textId="77777777">
        <w:trPr>
          <w:trHeight w:val="512"/>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C939AE5" w14:textId="77777777" w:rsidR="00515398" w:rsidRDefault="00515398">
            <w:pPr>
              <w:spacing w:after="0" w:line="240" w:lineRule="auto"/>
              <w:rPr>
                <w:rFonts w:ascii="Times New Roman" w:eastAsia="Times New Roman" w:hAnsi="Times New Roman" w:cs="Times New Roman"/>
                <w:b/>
                <w:bCs/>
                <w:noProo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AA295A" w14:textId="77777777" w:rsidR="00515398" w:rsidRDefault="00515398">
            <w:pPr>
              <w:spacing w:after="0" w:line="240" w:lineRule="auto"/>
              <w:rPr>
                <w:rFonts w:ascii="Times New Roman" w:eastAsia="Times New Roman" w:hAnsi="Times New Roman" w:cs="Times New Roman"/>
                <w:b/>
                <w:bCs/>
                <w:noProo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016858" w14:textId="77777777" w:rsidR="00515398" w:rsidRDefault="00515398">
            <w:pPr>
              <w:spacing w:after="0" w:line="240" w:lineRule="auto"/>
              <w:rPr>
                <w:rFonts w:ascii="Times New Roman" w:eastAsia="Times New Roman" w:hAnsi="Times New Roman" w:cs="Times New Roman"/>
                <w:b/>
                <w:bCs/>
                <w:noProo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0CBB2D" w14:textId="77777777" w:rsidR="00515398" w:rsidRDefault="00515398">
            <w:pPr>
              <w:spacing w:after="0" w:line="240" w:lineRule="auto"/>
              <w:rPr>
                <w:rFonts w:ascii="Times New Roman" w:eastAsia="Times New Roman" w:hAnsi="Times New Roman" w:cs="Times New Roman"/>
                <w:b/>
                <w:bCs/>
                <w:noProof/>
                <w:sz w:val="18"/>
                <w:szCs w:val="18"/>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6C75AAED" w14:textId="77777777" w:rsidR="00515398" w:rsidRDefault="00515398">
            <w:pPr>
              <w:spacing w:after="0" w:line="240" w:lineRule="auto"/>
              <w:rPr>
                <w:rFonts w:ascii="Times New Roman" w:eastAsia="Times New Roman" w:hAnsi="Times New Roman" w:cs="Times New Roman"/>
                <w:b/>
                <w:bCs/>
                <w:noProof/>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92B306B"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8ED6F7C"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DAB03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BA691A8"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8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2EC0E9"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593" w:type="dxa"/>
            <w:vMerge/>
            <w:vAlign w:val="center"/>
            <w:hideMark/>
          </w:tcPr>
          <w:p w14:paraId="1CAB6D2F"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552AB35E" w14:textId="77777777">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tcPr>
          <w:p w14:paraId="464888A0" w14:textId="77777777" w:rsidR="00515398" w:rsidRDefault="006711E6">
            <w:pPr>
              <w:pStyle w:val="P68B1DB1-Normal9"/>
              <w:spacing w:after="0" w:line="240" w:lineRule="auto"/>
              <w:rPr>
                <w:noProof/>
              </w:rPr>
            </w:pPr>
            <w:r>
              <w:rPr>
                <w:noProof/>
              </w:rPr>
              <w:t>93</w:t>
            </w:r>
          </w:p>
          <w:p w14:paraId="67AE2A47" w14:textId="77777777" w:rsidR="00515398" w:rsidRDefault="00515398">
            <w:pPr>
              <w:rPr>
                <w:rFonts w:eastAsia="Times New Roman" w:cs="Calibri"/>
                <w:noProof/>
                <w:sz w:val="18"/>
                <w:szCs w:val="18"/>
              </w:rPr>
            </w:pPr>
          </w:p>
          <w:p w14:paraId="1F98E2ED" w14:textId="77777777" w:rsidR="00515398" w:rsidRDefault="00515398">
            <w:pPr>
              <w:rPr>
                <w:rFonts w:eastAsia="Times New Roman" w:cs="Calibri"/>
                <w:noProof/>
                <w:sz w:val="18"/>
                <w:szCs w:val="18"/>
              </w:rPr>
            </w:pPr>
          </w:p>
          <w:p w14:paraId="47465E9C" w14:textId="77777777" w:rsidR="00515398" w:rsidRDefault="00515398">
            <w:pPr>
              <w:rPr>
                <w:rFonts w:eastAsia="Times New Roman" w:cs="Calibri"/>
                <w:noProof/>
                <w:sz w:val="18"/>
                <w:szCs w:val="18"/>
              </w:rPr>
            </w:pPr>
          </w:p>
          <w:p w14:paraId="71A86F92" w14:textId="77777777" w:rsidR="00515398" w:rsidRDefault="00515398">
            <w:pPr>
              <w:rPr>
                <w:rFonts w:eastAsia="Times New Roman" w:cs="Calibri"/>
                <w:noProof/>
                <w:sz w:val="18"/>
                <w:szCs w:val="18"/>
              </w:rPr>
            </w:pPr>
          </w:p>
          <w:p w14:paraId="65CD1944" w14:textId="77777777" w:rsidR="00515398" w:rsidRDefault="00515398">
            <w:pPr>
              <w:rPr>
                <w:rFonts w:eastAsia="Times New Roman" w:cs="Calibri"/>
                <w:noProof/>
                <w:sz w:val="18"/>
                <w:szCs w:val="18"/>
              </w:rPr>
            </w:pPr>
          </w:p>
          <w:p w14:paraId="084F2ED5" w14:textId="77777777" w:rsidR="00515398" w:rsidRDefault="00515398">
            <w:pPr>
              <w:rPr>
                <w:rFonts w:eastAsia="Times New Roman" w:cs="Calibri"/>
                <w:noProof/>
                <w:sz w:val="18"/>
                <w:szCs w:val="18"/>
              </w:rPr>
            </w:pPr>
          </w:p>
          <w:p w14:paraId="60C44EC9" w14:textId="77777777" w:rsidR="00515398" w:rsidRDefault="00515398">
            <w:pPr>
              <w:rPr>
                <w:rFonts w:eastAsia="Times New Roman" w:cs="Calibri"/>
                <w:noProof/>
                <w:sz w:val="18"/>
                <w:szCs w:val="18"/>
              </w:rPr>
            </w:pPr>
          </w:p>
          <w:p w14:paraId="660F51B4" w14:textId="77777777" w:rsidR="00515398" w:rsidRDefault="00515398">
            <w:pPr>
              <w:rPr>
                <w:rFonts w:eastAsia="Times New Roman" w:cs="Calibri"/>
                <w:noProof/>
                <w:sz w:val="18"/>
                <w:szCs w:val="18"/>
              </w:rPr>
            </w:pPr>
          </w:p>
          <w:p w14:paraId="74BE5AAD" w14:textId="77777777" w:rsidR="00515398" w:rsidRDefault="00515398">
            <w:pPr>
              <w:rPr>
                <w:rFonts w:eastAsia="Times New Roman" w:cs="Calibri"/>
                <w:noProof/>
                <w:sz w:val="18"/>
                <w:szCs w:val="18"/>
              </w:rPr>
            </w:pPr>
          </w:p>
          <w:p w14:paraId="45A99B74" w14:textId="77777777" w:rsidR="00515398" w:rsidRDefault="00515398">
            <w:pPr>
              <w:rPr>
                <w:rFonts w:eastAsia="Times New Roman" w:cs="Calibri"/>
                <w:noProof/>
                <w:sz w:val="18"/>
                <w:szCs w:val="18"/>
              </w:rPr>
            </w:pPr>
          </w:p>
          <w:p w14:paraId="16BD8DAE" w14:textId="77777777" w:rsidR="00515398" w:rsidRDefault="00515398">
            <w:pPr>
              <w:rPr>
                <w:rFonts w:eastAsia="Times New Roman" w:cs="Calibri"/>
                <w:noProof/>
                <w:sz w:val="18"/>
                <w:szCs w:val="18"/>
              </w:rPr>
            </w:pPr>
          </w:p>
          <w:p w14:paraId="00F10C34" w14:textId="77777777" w:rsidR="00515398" w:rsidRDefault="00515398">
            <w:pPr>
              <w:rPr>
                <w:rFonts w:eastAsia="Times New Roman" w:cs="Calibri"/>
                <w:noProof/>
                <w:sz w:val="18"/>
                <w:szCs w:val="18"/>
              </w:rPr>
            </w:pPr>
          </w:p>
          <w:p w14:paraId="3A6DDF03" w14:textId="77777777" w:rsidR="00515398" w:rsidRDefault="00515398">
            <w:pPr>
              <w:rPr>
                <w:rFonts w:eastAsia="Times New Roman" w:cs="Calibri"/>
                <w:noProof/>
                <w:sz w:val="18"/>
                <w:szCs w:val="18"/>
              </w:rPr>
            </w:pPr>
          </w:p>
          <w:p w14:paraId="241151CE" w14:textId="77777777" w:rsidR="00515398" w:rsidRDefault="00515398">
            <w:pPr>
              <w:rPr>
                <w:rFonts w:eastAsia="Times New Roman" w:cs="Calibri"/>
                <w:noProof/>
                <w:sz w:val="18"/>
                <w:szCs w:val="18"/>
              </w:rPr>
            </w:pPr>
          </w:p>
          <w:p w14:paraId="477C175D" w14:textId="77777777" w:rsidR="00515398" w:rsidRDefault="00515398">
            <w:pPr>
              <w:rPr>
                <w:rFonts w:eastAsia="Times New Roman" w:cs="Calibri"/>
                <w:noProof/>
                <w:sz w:val="18"/>
                <w:szCs w:val="18"/>
              </w:rPr>
            </w:pPr>
          </w:p>
          <w:p w14:paraId="7E992838" w14:textId="77777777" w:rsidR="00515398" w:rsidRDefault="00515398">
            <w:pPr>
              <w:rPr>
                <w:rFonts w:eastAsia="Times New Roman" w:cs="Calibri"/>
                <w:noProof/>
                <w:sz w:val="18"/>
                <w:szCs w:val="18"/>
              </w:rPr>
            </w:pPr>
          </w:p>
          <w:p w14:paraId="54A8D997" w14:textId="77777777" w:rsidR="00515398" w:rsidRDefault="00515398">
            <w:pPr>
              <w:rPr>
                <w:rFonts w:eastAsia="Times New Roman" w:cs="Calibri"/>
                <w:noProof/>
                <w:sz w:val="18"/>
                <w:szCs w:val="18"/>
              </w:rPr>
            </w:pPr>
          </w:p>
        </w:tc>
        <w:tc>
          <w:tcPr>
            <w:tcW w:w="1985" w:type="dxa"/>
            <w:tcBorders>
              <w:top w:val="single" w:sz="4" w:space="0" w:color="auto"/>
              <w:left w:val="nil"/>
              <w:bottom w:val="single" w:sz="4" w:space="0" w:color="auto"/>
              <w:right w:val="single" w:sz="4" w:space="0" w:color="auto"/>
            </w:tcBorders>
            <w:shd w:val="clear" w:color="auto" w:fill="C6EFCE"/>
            <w:noWrap/>
          </w:tcPr>
          <w:p w14:paraId="6CB04966" w14:textId="77777777" w:rsidR="00515398" w:rsidRDefault="006711E6">
            <w:pPr>
              <w:pStyle w:val="P68B1DB1-Normal9"/>
              <w:spacing w:after="0" w:line="240" w:lineRule="auto"/>
              <w:rPr>
                <w:rFonts w:eastAsia="Times New Roman" w:cs="Calibri"/>
                <w:noProof/>
                <w:szCs w:val="18"/>
              </w:rPr>
            </w:pPr>
            <w:r>
              <w:rPr>
                <w:noProof/>
              </w:rPr>
              <w:t xml:space="preserve">6–2.2. Modernizace – </w:t>
            </w:r>
            <w:r>
              <w:rPr>
                <w:noProof/>
              </w:rPr>
              <w:t>16778_Digitalizace archivů a souvisejících služeb</w:t>
            </w:r>
          </w:p>
        </w:tc>
        <w:tc>
          <w:tcPr>
            <w:tcW w:w="992" w:type="dxa"/>
            <w:tcBorders>
              <w:top w:val="single" w:sz="4" w:space="0" w:color="auto"/>
              <w:left w:val="nil"/>
              <w:bottom w:val="single" w:sz="4" w:space="0" w:color="auto"/>
              <w:right w:val="single" w:sz="4" w:space="0" w:color="auto"/>
            </w:tcBorders>
            <w:shd w:val="clear" w:color="auto" w:fill="C6EFCE"/>
            <w:noWrap/>
          </w:tcPr>
          <w:p w14:paraId="41FCBC33"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single" w:sz="4" w:space="0" w:color="auto"/>
              <w:left w:val="nil"/>
              <w:bottom w:val="single" w:sz="4" w:space="0" w:color="auto"/>
              <w:right w:val="single" w:sz="4" w:space="0" w:color="auto"/>
            </w:tcBorders>
            <w:shd w:val="clear" w:color="auto" w:fill="C6EFCE"/>
            <w:noWrap/>
          </w:tcPr>
          <w:p w14:paraId="17CCCAF8" w14:textId="77777777" w:rsidR="00515398" w:rsidRDefault="006711E6">
            <w:pPr>
              <w:pStyle w:val="P68B1DB1-Normal9"/>
              <w:spacing w:after="0" w:line="240" w:lineRule="auto"/>
              <w:rPr>
                <w:rFonts w:eastAsia="Times New Roman" w:cs="Calibri"/>
                <w:iCs/>
                <w:noProof/>
                <w:szCs w:val="18"/>
              </w:rPr>
            </w:pPr>
            <w:r>
              <w:rPr>
                <w:noProof/>
              </w:rPr>
              <w:t>Zadání zakázky (zakázek) na digitalizaci archivů</w:t>
            </w:r>
          </w:p>
        </w:tc>
        <w:tc>
          <w:tcPr>
            <w:tcW w:w="1715" w:type="dxa"/>
            <w:tcBorders>
              <w:top w:val="single" w:sz="4" w:space="0" w:color="auto"/>
              <w:left w:val="nil"/>
              <w:bottom w:val="single" w:sz="4" w:space="0" w:color="auto"/>
              <w:right w:val="single" w:sz="4" w:space="0" w:color="auto"/>
            </w:tcBorders>
            <w:shd w:val="clear" w:color="auto" w:fill="C6EFCE"/>
            <w:noWrap/>
          </w:tcPr>
          <w:p w14:paraId="269348CA" w14:textId="77777777" w:rsidR="00515398" w:rsidRDefault="006711E6">
            <w:pPr>
              <w:pStyle w:val="P68B1DB1-Normal9"/>
              <w:spacing w:after="0" w:line="240" w:lineRule="auto"/>
              <w:rPr>
                <w:rFonts w:eastAsia="Times New Roman" w:cs="Calibri"/>
                <w:noProof/>
                <w:szCs w:val="18"/>
              </w:rPr>
            </w:pPr>
            <w:r>
              <w:rPr>
                <w:noProof/>
              </w:rPr>
              <w:t xml:space="preserve">Oznámení o zadání zakázky (zakázek) zahrnující všech 9 dílčích projektů projektu digitalizace archivů </w:t>
            </w:r>
          </w:p>
        </w:tc>
        <w:tc>
          <w:tcPr>
            <w:tcW w:w="1200" w:type="dxa"/>
            <w:tcBorders>
              <w:top w:val="single" w:sz="4" w:space="0" w:color="auto"/>
              <w:left w:val="nil"/>
              <w:bottom w:val="single" w:sz="4" w:space="0" w:color="auto"/>
              <w:right w:val="single" w:sz="4" w:space="0" w:color="auto"/>
            </w:tcBorders>
            <w:shd w:val="clear" w:color="auto" w:fill="C6EFCE"/>
            <w:noWrap/>
          </w:tcPr>
          <w:p w14:paraId="7B5C25CD"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9232110"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3B81264"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7A66D4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46BB2CD0" w14:textId="77777777" w:rsidR="00515398" w:rsidRDefault="006711E6">
            <w:pPr>
              <w:pStyle w:val="P68B1DB1-Normal9"/>
              <w:spacing w:after="0" w:line="240" w:lineRule="auto"/>
              <w:rPr>
                <w:rFonts w:eastAsia="Times New Roman" w:cs="Calibri"/>
                <w:noProof/>
                <w:szCs w:val="18"/>
              </w:rPr>
            </w:pPr>
            <w:r>
              <w:rPr>
                <w:noProof/>
              </w:rPr>
              <w:t>2022</w:t>
            </w:r>
          </w:p>
        </w:tc>
        <w:tc>
          <w:tcPr>
            <w:tcW w:w="3593" w:type="dxa"/>
            <w:tcBorders>
              <w:top w:val="single" w:sz="4" w:space="0" w:color="auto"/>
              <w:left w:val="nil"/>
              <w:bottom w:val="single" w:sz="4" w:space="0" w:color="auto"/>
              <w:right w:val="single" w:sz="4" w:space="0" w:color="auto"/>
            </w:tcBorders>
            <w:shd w:val="clear" w:color="auto" w:fill="C6EFCE"/>
            <w:noWrap/>
          </w:tcPr>
          <w:p w14:paraId="15B2F052" w14:textId="77777777" w:rsidR="00515398" w:rsidRDefault="006711E6">
            <w:pPr>
              <w:pStyle w:val="P68B1DB1-Normal9"/>
              <w:spacing w:after="0" w:line="240" w:lineRule="auto"/>
              <w:rPr>
                <w:rFonts w:eastAsia="Times New Roman" w:cs="Calibri"/>
                <w:noProof/>
                <w:szCs w:val="18"/>
              </w:rPr>
            </w:pPr>
            <w:r>
              <w:rPr>
                <w:noProof/>
              </w:rPr>
              <w:t>Zadání zakázky (zakázek</w:t>
            </w:r>
            <w:r>
              <w:rPr>
                <w:noProof/>
              </w:rPr>
              <w:t xml:space="preserve">) na pokrytí každého z následujících devíti dílčích projektů, včetně všech jejich základních složek: </w:t>
            </w:r>
          </w:p>
          <w:p w14:paraId="0CBA3B94" w14:textId="77777777" w:rsidR="00515398" w:rsidRDefault="006711E6">
            <w:pPr>
              <w:pStyle w:val="P68B1DB1-Normal9"/>
              <w:numPr>
                <w:ilvl w:val="0"/>
                <w:numId w:val="54"/>
              </w:numPr>
              <w:spacing w:before="120" w:after="160" w:line="259" w:lineRule="auto"/>
              <w:ind w:left="220" w:hanging="169"/>
              <w:contextualSpacing/>
              <w:jc w:val="both"/>
              <w:rPr>
                <w:rFonts w:eastAsia="Times New Roman" w:cs="Calibri"/>
                <w:noProof/>
                <w:szCs w:val="18"/>
              </w:rPr>
            </w:pPr>
            <w:r>
              <w:rPr>
                <w:noProof/>
              </w:rPr>
              <w:t>Dílčí projekt 1: Digitalizace archivů soudního systému</w:t>
            </w:r>
          </w:p>
          <w:p w14:paraId="5F8C62AC"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2: Digitalizace archivů systému veřejného zdraví</w:t>
            </w:r>
          </w:p>
          <w:p w14:paraId="27B24C62"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 xml:space="preserve">Dílčí projekt 3: Digitalizace </w:t>
            </w:r>
            <w:r>
              <w:rPr>
                <w:noProof/>
              </w:rPr>
              <w:t>všeobecných státních archivů</w:t>
            </w:r>
          </w:p>
          <w:p w14:paraId="7E2914A7"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4: Digitalizace archivů imigračního a azylového systému</w:t>
            </w:r>
          </w:p>
          <w:p w14:paraId="090A4EB2"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5: Digitalizace archivů vyvlastnění</w:t>
            </w:r>
          </w:p>
          <w:p w14:paraId="6B79B83C"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6: Digitalizace archivů agentur územního plánování</w:t>
            </w:r>
          </w:p>
          <w:p w14:paraId="379DD121"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7A – Digitalizace archivů ka</w:t>
            </w:r>
            <w:r>
              <w:rPr>
                <w:noProof/>
              </w:rPr>
              <w:t>tastru nemovitostí (Ktimatologio)</w:t>
            </w:r>
          </w:p>
          <w:p w14:paraId="3C6CB83A"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7B – Zdokonalené digitální služby katastru</w:t>
            </w:r>
          </w:p>
          <w:p w14:paraId="31E46FB9"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8 – Digitalizace archivů námořních</w:t>
            </w:r>
          </w:p>
          <w:p w14:paraId="239EE034" w14:textId="77777777" w:rsidR="00515398" w:rsidRDefault="006711E6">
            <w:pPr>
              <w:pStyle w:val="P68B1DB1-Normal9"/>
              <w:numPr>
                <w:ilvl w:val="0"/>
                <w:numId w:val="54"/>
              </w:numPr>
              <w:spacing w:before="120" w:after="0" w:line="259" w:lineRule="auto"/>
              <w:ind w:left="220" w:hanging="169"/>
              <w:contextualSpacing/>
              <w:jc w:val="both"/>
              <w:rPr>
                <w:rFonts w:eastAsia="Times New Roman" w:cs="Calibri"/>
                <w:noProof/>
                <w:szCs w:val="18"/>
              </w:rPr>
            </w:pPr>
            <w:r>
              <w:rPr>
                <w:noProof/>
              </w:rPr>
              <w:t>Dílčí projekt 9: Bezpečné skladování veřejného sektoru a „širokého“ veřejného sektoru</w:t>
            </w:r>
          </w:p>
          <w:p w14:paraId="210BF61F" w14:textId="77777777" w:rsidR="00515398" w:rsidRDefault="006711E6">
            <w:pPr>
              <w:pStyle w:val="P68B1DB1-Normal9"/>
              <w:spacing w:after="0" w:line="240" w:lineRule="auto"/>
              <w:rPr>
                <w:rFonts w:eastAsia="Times New Roman" w:cs="Calibri"/>
                <w:noProof/>
                <w:szCs w:val="18"/>
              </w:rPr>
            </w:pPr>
            <w:r>
              <w:rPr>
                <w:noProof/>
              </w:rPr>
              <w:t>Specifikace zahrn</w:t>
            </w:r>
            <w:r>
              <w:rPr>
                <w:noProof/>
              </w:rPr>
              <w:t xml:space="preserve">ují harmonogramy a cíle a u každého z devíti dílčích projektů podrobně popisují: </w:t>
            </w:r>
          </w:p>
          <w:p w14:paraId="62EDC4D2" w14:textId="77777777" w:rsidR="00515398" w:rsidRDefault="006711E6">
            <w:pPr>
              <w:pStyle w:val="P68B1DB1-Normal9"/>
              <w:spacing w:after="0" w:line="240" w:lineRule="auto"/>
              <w:rPr>
                <w:rFonts w:eastAsia="Times New Roman" w:cs="Calibri"/>
                <w:noProof/>
                <w:szCs w:val="18"/>
              </w:rPr>
            </w:pPr>
            <w:r>
              <w:rPr>
                <w:noProof/>
              </w:rPr>
              <w:t xml:space="preserve">1. digitalizace fyzických záznamů </w:t>
            </w:r>
          </w:p>
          <w:p w14:paraId="56A4AA05" w14:textId="77777777" w:rsidR="00515398" w:rsidRDefault="006711E6">
            <w:pPr>
              <w:pStyle w:val="P68B1DB1-Normal9"/>
              <w:spacing w:after="0" w:line="240" w:lineRule="auto"/>
              <w:rPr>
                <w:rFonts w:eastAsia="Times New Roman" w:cs="Calibri"/>
                <w:noProof/>
                <w:szCs w:val="18"/>
              </w:rPr>
            </w:pPr>
            <w:r>
              <w:rPr>
                <w:noProof/>
              </w:rPr>
              <w:t>2. migrace digitálních záznamů do stávajících systémů (včetně soudních spisů v OSDDY-PP/OSDDY-DD; majetková práva v informačním systému Nár</w:t>
            </w:r>
            <w:r>
              <w:rPr>
                <w:noProof/>
              </w:rPr>
              <w:t>odního katastru nemovitostí)</w:t>
            </w:r>
          </w:p>
          <w:p w14:paraId="061B53B8" w14:textId="77777777" w:rsidR="00515398" w:rsidRDefault="006711E6">
            <w:pPr>
              <w:pStyle w:val="P68B1DB1-Normal9"/>
              <w:spacing w:after="0" w:line="240" w:lineRule="auto"/>
              <w:rPr>
                <w:rFonts w:eastAsia="Times New Roman" w:cs="Calibri"/>
                <w:noProof/>
                <w:szCs w:val="18"/>
              </w:rPr>
            </w:pPr>
            <w:r>
              <w:rPr>
                <w:noProof/>
              </w:rPr>
              <w:t>3. analýza, koncepce a zavádění datových center a infrastruktury umístěné pro místní agentury spolu s příslušným jednotným portálem (včetně centrálního úložiště záznamů o pacientech; Integrovaný geografický informační systém je</w:t>
            </w:r>
            <w:r>
              <w:rPr>
                <w:noProof/>
              </w:rPr>
              <w:t>dnotné digitální mapy vyvlastnění a nároků na vyvlastnění; Systém správy dokumentů a digitálních souborů (DMS/DAS) pro katastrální záznamy; instalace softwaru pro správu archivů).</w:t>
            </w:r>
          </w:p>
          <w:p w14:paraId="61675B69" w14:textId="77777777" w:rsidR="00515398" w:rsidRDefault="006711E6">
            <w:pPr>
              <w:pStyle w:val="P68B1DB1-Normal9"/>
              <w:spacing w:after="0" w:line="240" w:lineRule="auto"/>
              <w:rPr>
                <w:rFonts w:eastAsia="Times New Roman" w:cs="Calibri"/>
                <w:noProof/>
                <w:szCs w:val="18"/>
              </w:rPr>
            </w:pPr>
            <w:r>
              <w:rPr>
                <w:noProof/>
              </w:rPr>
              <w:t>4. podpůrné služby (včetně nových elektronických služeb souvisejících s vyhl</w:t>
            </w:r>
            <w:r>
              <w:rPr>
                <w:noProof/>
              </w:rPr>
              <w:t>edáváním a vyhledáváním souborů pro občany; veřejné správy; výzkumní pracovníci pro státní archiv).</w:t>
            </w:r>
          </w:p>
        </w:tc>
      </w:tr>
      <w:tr w:rsidR="00515398" w14:paraId="1FFE316C" w14:textId="77777777">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hideMark/>
          </w:tcPr>
          <w:p w14:paraId="2C944E33" w14:textId="77777777" w:rsidR="00515398" w:rsidRDefault="006711E6">
            <w:pPr>
              <w:pStyle w:val="P68B1DB1-Normal9"/>
              <w:spacing w:after="0" w:line="240" w:lineRule="auto"/>
              <w:rPr>
                <w:rFonts w:eastAsia="Times New Roman" w:cs="Calibri"/>
                <w:noProof/>
                <w:szCs w:val="18"/>
              </w:rPr>
            </w:pPr>
            <w:r>
              <w:rPr>
                <w:noProof/>
              </w:rPr>
              <w:t>95</w:t>
            </w:r>
          </w:p>
        </w:tc>
        <w:tc>
          <w:tcPr>
            <w:tcW w:w="1985" w:type="dxa"/>
            <w:tcBorders>
              <w:top w:val="single" w:sz="4" w:space="0" w:color="auto"/>
              <w:left w:val="nil"/>
              <w:bottom w:val="single" w:sz="4" w:space="0" w:color="auto"/>
              <w:right w:val="single" w:sz="4" w:space="0" w:color="auto"/>
            </w:tcBorders>
            <w:shd w:val="clear" w:color="auto" w:fill="C6EFCE"/>
            <w:noWrap/>
            <w:hideMark/>
          </w:tcPr>
          <w:p w14:paraId="5088BDE3" w14:textId="0C5F7936" w:rsidR="00515398" w:rsidRDefault="006711E6">
            <w:pPr>
              <w:pStyle w:val="P68B1DB1-Normal9"/>
              <w:spacing w:after="0" w:line="240" w:lineRule="auto"/>
              <w:rPr>
                <w:rFonts w:eastAsia="Times New Roman" w:cs="Calibri"/>
                <w:noProof/>
                <w:szCs w:val="18"/>
              </w:rPr>
            </w:pPr>
            <w:r>
              <w:rPr>
                <w:noProof/>
              </w:rPr>
              <w:t>6–2.2. Modernizace – 16778_Digitalizace archivů a souvisejících služeb</w:t>
            </w:r>
          </w:p>
        </w:tc>
        <w:tc>
          <w:tcPr>
            <w:tcW w:w="992" w:type="dxa"/>
            <w:tcBorders>
              <w:top w:val="single" w:sz="4" w:space="0" w:color="auto"/>
              <w:left w:val="nil"/>
              <w:bottom w:val="single" w:sz="4" w:space="0" w:color="auto"/>
              <w:right w:val="single" w:sz="4" w:space="0" w:color="auto"/>
            </w:tcBorders>
            <w:shd w:val="clear" w:color="auto" w:fill="C6EFCE"/>
            <w:noWrap/>
            <w:hideMark/>
          </w:tcPr>
          <w:p w14:paraId="28E9929F" w14:textId="47F7E6D6" w:rsidR="00515398" w:rsidRDefault="006711E6">
            <w:pPr>
              <w:pStyle w:val="P68B1DB1-Normal9"/>
              <w:spacing w:after="0" w:line="240" w:lineRule="auto"/>
              <w:rPr>
                <w:rFonts w:eastAsia="Times New Roman" w:cs="Calibri"/>
                <w:noProof/>
                <w:szCs w:val="18"/>
              </w:rPr>
            </w:pPr>
            <w:r>
              <w:rPr>
                <w:noProof/>
              </w:rPr>
              <w:t>Cílová</w:t>
            </w:r>
          </w:p>
        </w:tc>
        <w:tc>
          <w:tcPr>
            <w:tcW w:w="1701" w:type="dxa"/>
            <w:tcBorders>
              <w:top w:val="single" w:sz="4" w:space="0" w:color="auto"/>
              <w:left w:val="nil"/>
              <w:bottom w:val="single" w:sz="4" w:space="0" w:color="auto"/>
              <w:right w:val="single" w:sz="4" w:space="0" w:color="auto"/>
            </w:tcBorders>
            <w:shd w:val="clear" w:color="auto" w:fill="C6EFCE"/>
            <w:noWrap/>
            <w:hideMark/>
          </w:tcPr>
          <w:p w14:paraId="23AA997B" w14:textId="77777777" w:rsidR="00515398" w:rsidRDefault="006711E6">
            <w:pPr>
              <w:pStyle w:val="P68B1DB1-Normal9"/>
              <w:spacing w:after="0" w:line="240" w:lineRule="auto"/>
              <w:rPr>
                <w:rFonts w:eastAsia="Times New Roman" w:cs="Calibri"/>
                <w:noProof/>
                <w:szCs w:val="18"/>
              </w:rPr>
            </w:pPr>
            <w:r>
              <w:rPr>
                <w:noProof/>
              </w:rPr>
              <w:t>Digitalizace archivů – plné provedení</w:t>
            </w:r>
          </w:p>
        </w:tc>
        <w:tc>
          <w:tcPr>
            <w:tcW w:w="1715" w:type="dxa"/>
            <w:tcBorders>
              <w:top w:val="single" w:sz="4" w:space="0" w:color="auto"/>
              <w:left w:val="nil"/>
              <w:bottom w:val="single" w:sz="4" w:space="0" w:color="auto"/>
              <w:right w:val="single" w:sz="4" w:space="0" w:color="auto"/>
            </w:tcBorders>
            <w:shd w:val="clear" w:color="auto" w:fill="C6EFCE"/>
            <w:noWrap/>
            <w:hideMark/>
          </w:tcPr>
          <w:p w14:paraId="62CED49B" w14:textId="77777777" w:rsidR="00515398" w:rsidRDefault="00515398">
            <w:pPr>
              <w:spacing w:after="0" w:line="240" w:lineRule="auto"/>
              <w:rPr>
                <w:rFonts w:eastAsia="Times New Roman" w:cs="Calibri"/>
                <w:noProof/>
                <w:color w:val="006100"/>
                <w:sz w:val="18"/>
                <w:szCs w:val="18"/>
              </w:rPr>
            </w:pPr>
          </w:p>
        </w:tc>
        <w:tc>
          <w:tcPr>
            <w:tcW w:w="1200" w:type="dxa"/>
            <w:tcBorders>
              <w:top w:val="single" w:sz="4" w:space="0" w:color="auto"/>
              <w:left w:val="nil"/>
              <w:bottom w:val="single" w:sz="4" w:space="0" w:color="auto"/>
              <w:right w:val="single" w:sz="4" w:space="0" w:color="auto"/>
            </w:tcBorders>
            <w:shd w:val="clear" w:color="auto" w:fill="C6EFCE"/>
            <w:noWrap/>
            <w:hideMark/>
          </w:tcPr>
          <w:p w14:paraId="33BF1EBE" w14:textId="0F4C3238" w:rsidR="00515398" w:rsidRDefault="006711E6">
            <w:pPr>
              <w:pStyle w:val="P68B1DB1-Normal9"/>
              <w:spacing w:after="0" w:line="240" w:lineRule="auto"/>
              <w:rPr>
                <w:rFonts w:eastAsia="Times New Roman" w:cs="Calibri"/>
                <w:noProof/>
                <w:szCs w:val="18"/>
              </w:rPr>
            </w:pPr>
            <w:r>
              <w:rPr>
                <w:noProof/>
              </w:rPr>
              <w:t xml:space="preserve">Procento stran digitalizovaných, </w:t>
            </w:r>
            <w:r>
              <w:rPr>
                <w:noProof/>
              </w:rPr>
              <w:t>metatagovaných a převedených do stávajících systémů</w:t>
            </w:r>
          </w:p>
        </w:tc>
        <w:tc>
          <w:tcPr>
            <w:tcW w:w="1080" w:type="dxa"/>
            <w:tcBorders>
              <w:top w:val="single" w:sz="4" w:space="0" w:color="auto"/>
              <w:left w:val="nil"/>
              <w:bottom w:val="single" w:sz="4" w:space="0" w:color="auto"/>
              <w:right w:val="single" w:sz="4" w:space="0" w:color="auto"/>
            </w:tcBorders>
            <w:shd w:val="clear" w:color="auto" w:fill="C6EFCE"/>
            <w:noWrap/>
            <w:hideMark/>
          </w:tcPr>
          <w:p w14:paraId="460B3019" w14:textId="792F3D78" w:rsidR="00515398" w:rsidRDefault="006711E6">
            <w:pPr>
              <w:pStyle w:val="P68B1DB1-Normal10"/>
              <w:spacing w:after="0" w:line="240" w:lineRule="auto"/>
              <w:rPr>
                <w:rFonts w:eastAsia="Times New Roman" w:cs="Calibri"/>
                <w:noProof/>
              </w:rPr>
            </w:pPr>
            <w:r>
              <w:rPr>
                <w:noProof/>
              </w:rPr>
              <w:t>0</w:t>
            </w:r>
          </w:p>
        </w:tc>
        <w:tc>
          <w:tcPr>
            <w:tcW w:w="960" w:type="dxa"/>
            <w:tcBorders>
              <w:top w:val="single" w:sz="4" w:space="0" w:color="auto"/>
              <w:left w:val="nil"/>
              <w:bottom w:val="single" w:sz="4" w:space="0" w:color="auto"/>
              <w:right w:val="single" w:sz="4" w:space="0" w:color="auto"/>
            </w:tcBorders>
            <w:shd w:val="clear" w:color="auto" w:fill="C6EFCE"/>
            <w:noWrap/>
            <w:hideMark/>
          </w:tcPr>
          <w:p w14:paraId="3640F717" w14:textId="77777777" w:rsidR="00515398" w:rsidRDefault="006711E6">
            <w:pPr>
              <w:pStyle w:val="P68B1DB1-Normal9"/>
              <w:spacing w:after="0" w:line="240" w:lineRule="auto"/>
              <w:rPr>
                <w:rFonts w:eastAsia="Times New Roman" w:cs="Calibri"/>
                <w:noProof/>
                <w:szCs w:val="18"/>
              </w:rPr>
            </w:pPr>
            <w:r>
              <w:rPr>
                <w:noProof/>
              </w:rPr>
              <w:t>90 %</w:t>
            </w:r>
          </w:p>
        </w:tc>
        <w:tc>
          <w:tcPr>
            <w:tcW w:w="960" w:type="dxa"/>
            <w:tcBorders>
              <w:top w:val="single" w:sz="4" w:space="0" w:color="auto"/>
              <w:left w:val="nil"/>
              <w:bottom w:val="single" w:sz="4" w:space="0" w:color="auto"/>
              <w:right w:val="single" w:sz="4" w:space="0" w:color="auto"/>
            </w:tcBorders>
            <w:shd w:val="clear" w:color="auto" w:fill="C6EFCE"/>
            <w:noWrap/>
            <w:hideMark/>
          </w:tcPr>
          <w:p w14:paraId="7553F62F" w14:textId="49547421"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hideMark/>
          </w:tcPr>
          <w:p w14:paraId="31185832" w14:textId="77777777" w:rsidR="00515398" w:rsidRDefault="006711E6">
            <w:pPr>
              <w:pStyle w:val="P68B1DB1-Normal9"/>
              <w:spacing w:after="0" w:line="240" w:lineRule="auto"/>
              <w:rPr>
                <w:rFonts w:eastAsia="Times New Roman" w:cs="Calibri"/>
                <w:noProof/>
                <w:szCs w:val="18"/>
              </w:rPr>
            </w:pPr>
            <w:r>
              <w:rPr>
                <w:noProof/>
              </w:rPr>
              <w:t>2025</w:t>
            </w:r>
          </w:p>
        </w:tc>
        <w:tc>
          <w:tcPr>
            <w:tcW w:w="3593" w:type="dxa"/>
            <w:tcBorders>
              <w:top w:val="single" w:sz="4" w:space="0" w:color="auto"/>
              <w:left w:val="nil"/>
              <w:bottom w:val="single" w:sz="4" w:space="0" w:color="auto"/>
              <w:right w:val="single" w:sz="4" w:space="0" w:color="auto"/>
            </w:tcBorders>
            <w:shd w:val="clear" w:color="auto" w:fill="C6EFCE"/>
            <w:noWrap/>
            <w:hideMark/>
          </w:tcPr>
          <w:p w14:paraId="0DFC3808" w14:textId="0E546CAB" w:rsidR="00515398" w:rsidRDefault="006711E6">
            <w:pPr>
              <w:pStyle w:val="P68B1DB1-Normal9"/>
              <w:spacing w:after="0" w:line="240" w:lineRule="auto"/>
              <w:rPr>
                <w:rFonts w:eastAsia="Times New Roman" w:cs="Calibri"/>
                <w:noProof/>
                <w:szCs w:val="18"/>
              </w:rPr>
            </w:pPr>
            <w:r>
              <w:rPr>
                <w:noProof/>
              </w:rPr>
              <w:t xml:space="preserve">Digitalizace alespoň 90 % celkového počtu stran. </w:t>
            </w:r>
          </w:p>
        </w:tc>
      </w:tr>
      <w:tr w:rsidR="00515398" w14:paraId="5D0CEFBE" w14:textId="77777777">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auto" w:fill="C6EFCE"/>
            <w:noWrap/>
          </w:tcPr>
          <w:p w14:paraId="75BABDA5" w14:textId="77777777" w:rsidR="00515398" w:rsidRDefault="006711E6">
            <w:pPr>
              <w:pStyle w:val="P68B1DB1-Normal9"/>
              <w:spacing w:after="0" w:line="240" w:lineRule="auto"/>
              <w:rPr>
                <w:rFonts w:eastAsia="Times New Roman" w:cs="Calibri"/>
                <w:noProof/>
                <w:szCs w:val="18"/>
              </w:rPr>
            </w:pPr>
            <w:r>
              <w:rPr>
                <w:noProof/>
              </w:rPr>
              <w:t>95a</w:t>
            </w:r>
          </w:p>
        </w:tc>
        <w:tc>
          <w:tcPr>
            <w:tcW w:w="1985" w:type="dxa"/>
            <w:tcBorders>
              <w:top w:val="single" w:sz="4" w:space="0" w:color="auto"/>
              <w:left w:val="nil"/>
              <w:bottom w:val="single" w:sz="4" w:space="0" w:color="auto"/>
              <w:right w:val="single" w:sz="4" w:space="0" w:color="auto"/>
            </w:tcBorders>
            <w:shd w:val="clear" w:color="auto" w:fill="C6EFCE"/>
            <w:noWrap/>
          </w:tcPr>
          <w:p w14:paraId="180A52BD" w14:textId="77777777" w:rsidR="00515398" w:rsidRDefault="006711E6">
            <w:pPr>
              <w:pStyle w:val="P68B1DB1-Normal9"/>
              <w:spacing w:after="0" w:line="240" w:lineRule="auto"/>
              <w:rPr>
                <w:rFonts w:eastAsia="Times New Roman" w:cs="Calibri"/>
                <w:noProof/>
                <w:szCs w:val="18"/>
              </w:rPr>
            </w:pPr>
            <w:r>
              <w:rPr>
                <w:noProof/>
              </w:rPr>
              <w:t>6–2.2. Modernizace – 16778_Digitalizace archivů a souvisejících služeb</w:t>
            </w:r>
          </w:p>
        </w:tc>
        <w:tc>
          <w:tcPr>
            <w:tcW w:w="992" w:type="dxa"/>
            <w:tcBorders>
              <w:top w:val="single" w:sz="4" w:space="0" w:color="auto"/>
              <w:left w:val="nil"/>
              <w:bottom w:val="single" w:sz="4" w:space="0" w:color="auto"/>
              <w:right w:val="single" w:sz="4" w:space="0" w:color="auto"/>
            </w:tcBorders>
            <w:shd w:val="clear" w:color="auto" w:fill="C6EFCE"/>
            <w:noWrap/>
          </w:tcPr>
          <w:p w14:paraId="5F14D06F"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single" w:sz="4" w:space="0" w:color="auto"/>
              <w:left w:val="nil"/>
              <w:bottom w:val="single" w:sz="4" w:space="0" w:color="auto"/>
              <w:right w:val="single" w:sz="4" w:space="0" w:color="auto"/>
            </w:tcBorders>
            <w:shd w:val="clear" w:color="auto" w:fill="C6EFCE"/>
            <w:noWrap/>
          </w:tcPr>
          <w:p w14:paraId="3C8D1FDF" w14:textId="77777777" w:rsidR="00515398" w:rsidRDefault="006711E6">
            <w:pPr>
              <w:pStyle w:val="P68B1DB1-Normal9"/>
              <w:spacing w:after="0" w:line="240" w:lineRule="auto"/>
              <w:rPr>
                <w:rFonts w:eastAsia="Times New Roman" w:cs="Calibri"/>
                <w:noProof/>
                <w:szCs w:val="18"/>
              </w:rPr>
            </w:pPr>
            <w:r>
              <w:rPr>
                <w:noProof/>
              </w:rPr>
              <w:t>Provádění dílčích projektů 7B a 9</w:t>
            </w:r>
          </w:p>
        </w:tc>
        <w:tc>
          <w:tcPr>
            <w:tcW w:w="1715" w:type="dxa"/>
            <w:tcBorders>
              <w:top w:val="single" w:sz="4" w:space="0" w:color="auto"/>
              <w:left w:val="nil"/>
              <w:bottom w:val="single" w:sz="4" w:space="0" w:color="auto"/>
              <w:right w:val="single" w:sz="4" w:space="0" w:color="auto"/>
            </w:tcBorders>
            <w:shd w:val="clear" w:color="auto" w:fill="C6EFCE"/>
            <w:noWrap/>
          </w:tcPr>
          <w:p w14:paraId="0D0C76EC" w14:textId="77777777" w:rsidR="00515398" w:rsidRDefault="006711E6">
            <w:pPr>
              <w:pStyle w:val="P68B1DB1-Normal9"/>
              <w:spacing w:after="0" w:line="240" w:lineRule="auto"/>
              <w:rPr>
                <w:rFonts w:eastAsia="Times New Roman" w:cs="Calibri"/>
                <w:noProof/>
                <w:szCs w:val="18"/>
              </w:rPr>
            </w:pPr>
            <w:r>
              <w:rPr>
                <w:noProof/>
              </w:rPr>
              <w:t xml:space="preserve">Zpráva </w:t>
            </w:r>
            <w:r>
              <w:rPr>
                <w:noProof/>
              </w:rPr>
              <w:t>ministerstva pro digitální správu potvrzující dokončení dílčích projektů „Digitální služby pro katastru nemovitostí, které byly zlepšeny 7B“ a „Bezpečné uchovávání archivů veřejného sektoru a širších archivů veřejného sektoru“.</w:t>
            </w:r>
          </w:p>
        </w:tc>
        <w:tc>
          <w:tcPr>
            <w:tcW w:w="1200" w:type="dxa"/>
            <w:tcBorders>
              <w:top w:val="single" w:sz="4" w:space="0" w:color="auto"/>
              <w:left w:val="nil"/>
              <w:bottom w:val="single" w:sz="4" w:space="0" w:color="auto"/>
              <w:right w:val="single" w:sz="4" w:space="0" w:color="auto"/>
            </w:tcBorders>
            <w:shd w:val="clear" w:color="auto" w:fill="C6EFCE"/>
            <w:noWrap/>
          </w:tcPr>
          <w:p w14:paraId="323AE519"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873ADC0"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28DD6509"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5079CC4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6B9EC0F8" w14:textId="77777777" w:rsidR="00515398" w:rsidRDefault="006711E6">
            <w:pPr>
              <w:pStyle w:val="P68B1DB1-Normal9"/>
              <w:spacing w:after="0" w:line="240" w:lineRule="auto"/>
              <w:rPr>
                <w:rFonts w:eastAsia="Times New Roman" w:cs="Calibri"/>
                <w:noProof/>
                <w:szCs w:val="18"/>
              </w:rPr>
            </w:pPr>
            <w:r>
              <w:rPr>
                <w:noProof/>
              </w:rPr>
              <w:t>2025</w:t>
            </w:r>
          </w:p>
        </w:tc>
        <w:tc>
          <w:tcPr>
            <w:tcW w:w="3593" w:type="dxa"/>
            <w:tcBorders>
              <w:top w:val="single" w:sz="4" w:space="0" w:color="auto"/>
              <w:left w:val="nil"/>
              <w:bottom w:val="single" w:sz="4" w:space="0" w:color="auto"/>
              <w:right w:val="single" w:sz="4" w:space="0" w:color="auto"/>
            </w:tcBorders>
            <w:shd w:val="clear" w:color="auto" w:fill="C6EFCE"/>
            <w:noWrap/>
          </w:tcPr>
          <w:p w14:paraId="445DC9A1" w14:textId="08D88E6D" w:rsidR="00515398" w:rsidRDefault="006711E6">
            <w:pPr>
              <w:pStyle w:val="P68B1DB1-Normal9"/>
              <w:spacing w:after="0" w:line="240" w:lineRule="auto"/>
              <w:rPr>
                <w:rFonts w:eastAsia="Times New Roman" w:cs="Calibri"/>
                <w:noProof/>
                <w:szCs w:val="18"/>
              </w:rPr>
            </w:pPr>
            <w:r>
              <w:rPr>
                <w:noProof/>
              </w:rPr>
              <w:t>Dokončení realizace podprojektu „Digitální služby pro katastr lepší 7B“ pro digitalizaci služeb nabízených řeckým katastrem a dílčího projektu „9 – Bezpečné uchovávání archivů veřejného sektoru a širších archivů veřejného sektoru“.</w:t>
            </w:r>
          </w:p>
        </w:tc>
      </w:tr>
    </w:tbl>
    <w:p w14:paraId="54562616" w14:textId="77777777" w:rsidR="00515398" w:rsidRDefault="00515398">
      <w:pPr>
        <w:spacing w:before="120" w:after="120" w:line="240" w:lineRule="auto"/>
        <w:ind w:left="709"/>
        <w:jc w:val="both"/>
        <w:rPr>
          <w:rFonts w:ascii="Times New Roman" w:hAnsi="Times New Roman" w:cs="Times New Roman"/>
          <w:noProof/>
          <w:sz w:val="24"/>
          <w:szCs w:val="24"/>
        </w:rPr>
      </w:pPr>
    </w:p>
    <w:p w14:paraId="1E8BEE4A" w14:textId="77777777" w:rsidR="00515398" w:rsidRDefault="006711E6">
      <w:pPr>
        <w:pStyle w:val="P68B1DB1-Normal6"/>
        <w:keepNext/>
        <w:keepLines/>
        <w:spacing w:before="40" w:after="0" w:line="240" w:lineRule="auto"/>
        <w:jc w:val="both"/>
        <w:outlineLvl w:val="4"/>
        <w:rPr>
          <w:noProof/>
        </w:rPr>
      </w:pPr>
      <w:r>
        <w:rPr>
          <w:noProof/>
        </w:rPr>
        <w:t xml:space="preserve">Klíčová reforma 5: </w:t>
      </w:r>
      <w:r>
        <w:rPr>
          <w:noProof/>
        </w:rPr>
        <w:t>Směrem ke „zákaznickým“ službám veřejné správy zjednodušením a zlepšením procesů – propojení a interoperabilita registrů, systémů a služeb</w:t>
      </w:r>
    </w:p>
    <w:p w14:paraId="79414334"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pPr w:leftFromText="180" w:rightFromText="180" w:vertAnchor="text" w:tblpXSpec="center" w:tblpY="1"/>
        <w:tblOverlap w:val="never"/>
        <w:tblW w:w="15588" w:type="dxa"/>
        <w:jc w:val="center"/>
        <w:tblLayout w:type="fixed"/>
        <w:tblLook w:val="04A0" w:firstRow="1" w:lastRow="0" w:firstColumn="1" w:lastColumn="0" w:noHBand="0" w:noVBand="1"/>
      </w:tblPr>
      <w:tblGrid>
        <w:gridCol w:w="1027"/>
        <w:gridCol w:w="2229"/>
        <w:gridCol w:w="1134"/>
        <w:gridCol w:w="1275"/>
        <w:gridCol w:w="1530"/>
        <w:gridCol w:w="880"/>
        <w:gridCol w:w="992"/>
        <w:gridCol w:w="888"/>
        <w:gridCol w:w="1080"/>
        <w:gridCol w:w="960"/>
        <w:gridCol w:w="3593"/>
      </w:tblGrid>
      <w:tr w:rsidR="00515398" w14:paraId="78C5BBBC" w14:textId="77777777">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BC162E"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548588" w14:textId="77777777" w:rsidR="00515398" w:rsidRDefault="006711E6">
            <w:pPr>
              <w:pStyle w:val="P68B1DB1-Normal7"/>
              <w:spacing w:after="0" w:line="240" w:lineRule="auto"/>
              <w:jc w:val="center"/>
              <w:rPr>
                <w:noProof/>
              </w:rPr>
            </w:pPr>
            <w:r>
              <w:rPr>
                <w:noProof/>
              </w:rPr>
              <w:t xml:space="preserve">Související opatření </w:t>
            </w:r>
          </w:p>
          <w:p w14:paraId="65ABB8F4" w14:textId="3960DEEA" w:rsidR="00515398" w:rsidRDefault="006711E6">
            <w:pPr>
              <w:pStyle w:val="P68B1DB1-Normal7"/>
              <w:spacing w:after="0" w:line="240" w:lineRule="auto"/>
              <w:jc w:val="center"/>
              <w:rPr>
                <w:rFonts w:eastAsia="Times New Roman" w:cs="Times New Roman"/>
                <w:bCs/>
                <w:noProof/>
                <w:szCs w:val="18"/>
              </w:rPr>
            </w:pPr>
            <w:r>
              <w:rPr>
                <w:noProof/>
              </w:rPr>
              <w:t>(Reforma nebo investice)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E3451B"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DED5D4"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BE089F"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76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C5D971A"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204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D7A8407"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5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27FA99"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624A51D7" w14:textId="77777777">
        <w:trPr>
          <w:trHeight w:val="612"/>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4C01AAD" w14:textId="77777777" w:rsidR="00515398" w:rsidRDefault="00515398">
            <w:pPr>
              <w:spacing w:after="0" w:line="240" w:lineRule="auto"/>
              <w:rPr>
                <w:rFonts w:ascii="Times New Roman" w:eastAsia="Times New Roman" w:hAnsi="Times New Roman" w:cs="Times New Roman"/>
                <w:b/>
                <w:bCs/>
                <w:noProof/>
                <w:sz w:val="18"/>
                <w:szCs w:val="18"/>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68CC3098"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11793" w14:textId="77777777" w:rsidR="00515398" w:rsidRDefault="00515398">
            <w:pPr>
              <w:spacing w:after="0" w:line="240" w:lineRule="auto"/>
              <w:rPr>
                <w:rFonts w:ascii="Times New Roman" w:eastAsia="Times New Roman" w:hAnsi="Times New Roman" w:cs="Times New Roman"/>
                <w:b/>
                <w:bCs/>
                <w:noProof/>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A252DF" w14:textId="77777777" w:rsidR="00515398" w:rsidRDefault="00515398">
            <w:pPr>
              <w:spacing w:after="0" w:line="240" w:lineRule="auto"/>
              <w:rPr>
                <w:rFonts w:ascii="Times New Roman" w:eastAsia="Times New Roman" w:hAnsi="Times New Roman" w:cs="Times New Roman"/>
                <w:b/>
                <w:bCs/>
                <w:noProof/>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3520138" w14:textId="77777777" w:rsidR="00515398" w:rsidRDefault="00515398">
            <w:pPr>
              <w:spacing w:after="0" w:line="240" w:lineRule="auto"/>
              <w:rPr>
                <w:rFonts w:ascii="Times New Roman" w:eastAsia="Times New Roman" w:hAnsi="Times New Roman" w:cs="Times New Roman"/>
                <w:b/>
                <w:bCs/>
                <w:noProof/>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C056A67"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92" w:type="dxa"/>
            <w:tcBorders>
              <w:top w:val="single" w:sz="4" w:space="0" w:color="auto"/>
              <w:left w:val="nil"/>
              <w:bottom w:val="single" w:sz="4" w:space="0" w:color="auto"/>
              <w:right w:val="single" w:sz="4" w:space="0" w:color="auto"/>
            </w:tcBorders>
            <w:shd w:val="clear" w:color="auto" w:fill="BDD7EE"/>
            <w:vAlign w:val="center"/>
          </w:tcPr>
          <w:p w14:paraId="76CFDFF0" w14:textId="77777777" w:rsidR="00515398" w:rsidRDefault="006711E6">
            <w:pPr>
              <w:pStyle w:val="P68B1DB1-Normal7"/>
              <w:spacing w:after="0" w:line="240" w:lineRule="auto"/>
              <w:jc w:val="center"/>
              <w:rPr>
                <w:rFonts w:eastAsia="Times New Roman" w:cs="Times New Roman"/>
                <w:bCs/>
                <w:noProof/>
                <w:szCs w:val="18"/>
              </w:rPr>
            </w:pPr>
            <w:r>
              <w:rPr>
                <w:noProof/>
              </w:rPr>
              <w:t>Výchozí stav</w:t>
            </w:r>
          </w:p>
        </w:tc>
        <w:tc>
          <w:tcPr>
            <w:tcW w:w="888" w:type="dxa"/>
            <w:tcBorders>
              <w:top w:val="single" w:sz="4" w:space="0" w:color="auto"/>
              <w:left w:val="nil"/>
              <w:bottom w:val="single" w:sz="4" w:space="0" w:color="auto"/>
              <w:right w:val="single" w:sz="4" w:space="0" w:color="auto"/>
            </w:tcBorders>
            <w:shd w:val="clear" w:color="auto" w:fill="BDD7EE"/>
            <w:vAlign w:val="center"/>
            <w:hideMark/>
          </w:tcPr>
          <w:p w14:paraId="1FCEE7F6" w14:textId="77777777" w:rsidR="00515398" w:rsidRDefault="006711E6">
            <w:pPr>
              <w:pStyle w:val="P68B1DB1-Normal7"/>
              <w:spacing w:after="0" w:line="240" w:lineRule="auto"/>
              <w:jc w:val="center"/>
              <w:rPr>
                <w:rFonts w:eastAsia="Times New Roman" w:cs="Times New Roman"/>
                <w:bCs/>
                <w:noProof/>
                <w:szCs w:val="18"/>
              </w:rPr>
            </w:pPr>
            <w:r>
              <w:rPr>
                <w:noProof/>
              </w:rPr>
              <w:t>Cíl</w:t>
            </w:r>
          </w:p>
        </w:tc>
        <w:tc>
          <w:tcPr>
            <w:tcW w:w="1080" w:type="dxa"/>
            <w:tcBorders>
              <w:top w:val="single" w:sz="4" w:space="0" w:color="auto"/>
              <w:left w:val="nil"/>
              <w:bottom w:val="single" w:sz="4" w:space="0" w:color="auto"/>
              <w:right w:val="single" w:sz="4" w:space="0" w:color="auto"/>
            </w:tcBorders>
            <w:shd w:val="clear" w:color="auto" w:fill="BDD7EE"/>
            <w:vAlign w:val="center"/>
            <w:hideMark/>
          </w:tcPr>
          <w:p w14:paraId="5FA57FE3"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14:paraId="6B281828"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593" w:type="dxa"/>
            <w:vMerge/>
            <w:tcBorders>
              <w:top w:val="single" w:sz="4" w:space="0" w:color="auto"/>
              <w:bottom w:val="single" w:sz="4" w:space="0" w:color="auto"/>
              <w:right w:val="single" w:sz="4" w:space="0" w:color="auto"/>
            </w:tcBorders>
            <w:vAlign w:val="center"/>
            <w:hideMark/>
          </w:tcPr>
          <w:p w14:paraId="7C33978F"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359C5E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8329FE9" w14:textId="77777777" w:rsidR="00515398" w:rsidRDefault="006711E6">
            <w:pPr>
              <w:pStyle w:val="P68B1DB1-Normal9"/>
              <w:spacing w:after="0" w:line="240" w:lineRule="auto"/>
              <w:rPr>
                <w:rFonts w:eastAsia="Times New Roman" w:cs="Calibri"/>
                <w:noProof/>
                <w:szCs w:val="18"/>
              </w:rPr>
            </w:pPr>
            <w:r>
              <w:rPr>
                <w:noProof/>
              </w:rPr>
              <w:t>96</w:t>
            </w:r>
          </w:p>
        </w:tc>
        <w:tc>
          <w:tcPr>
            <w:tcW w:w="2229" w:type="dxa"/>
            <w:tcBorders>
              <w:top w:val="single" w:sz="4" w:space="0" w:color="auto"/>
              <w:left w:val="nil"/>
              <w:bottom w:val="single" w:sz="4" w:space="0" w:color="auto"/>
              <w:right w:val="single" w:sz="4" w:space="0" w:color="auto"/>
            </w:tcBorders>
            <w:shd w:val="clear" w:color="auto" w:fill="C6EFCE"/>
            <w:noWrap/>
          </w:tcPr>
          <w:p w14:paraId="292DA2AF" w14:textId="77777777" w:rsidR="00515398" w:rsidRDefault="006711E6">
            <w:pPr>
              <w:pStyle w:val="P68B1DB1-Normal9"/>
              <w:spacing w:after="0" w:line="240" w:lineRule="auto"/>
              <w:rPr>
                <w:rFonts w:eastAsia="Times New Roman" w:cs="Calibri"/>
                <w:noProof/>
                <w:szCs w:val="18"/>
              </w:rPr>
            </w:pPr>
            <w:r>
              <w:rPr>
                <w:noProof/>
              </w:rPr>
              <w:t xml:space="preserve">6–2.2. Modernizace – 16929_Směrem ke službám veřejné správy zaměřeným na zákazníky </w:t>
            </w:r>
            <w:r>
              <w:rPr>
                <w:noProof/>
              </w:rPr>
              <w:t>prostřednictvím zjednodušení a zlepšení procesů, zlepšení systémů a souladu s evropskými strategiemi a politikami</w:t>
            </w:r>
          </w:p>
        </w:tc>
        <w:tc>
          <w:tcPr>
            <w:tcW w:w="1134" w:type="dxa"/>
            <w:tcBorders>
              <w:top w:val="single" w:sz="4" w:space="0" w:color="auto"/>
              <w:left w:val="nil"/>
              <w:bottom w:val="single" w:sz="4" w:space="0" w:color="auto"/>
              <w:right w:val="single" w:sz="4" w:space="0" w:color="auto"/>
            </w:tcBorders>
            <w:shd w:val="clear" w:color="auto" w:fill="C6EFCE"/>
            <w:noWrap/>
          </w:tcPr>
          <w:p w14:paraId="56C6E2C6" w14:textId="77777777" w:rsidR="00515398" w:rsidRDefault="006711E6">
            <w:pPr>
              <w:pStyle w:val="P68B1DB1-Normal9"/>
              <w:spacing w:after="0" w:line="240" w:lineRule="auto"/>
              <w:rPr>
                <w:rFonts w:eastAsia="Times New Roman" w:cs="Calibri"/>
                <w:noProof/>
                <w:szCs w:val="18"/>
              </w:rPr>
            </w:pPr>
            <w:r>
              <w:rPr>
                <w:noProof/>
              </w:rPr>
              <w:t>Milník</w:t>
            </w:r>
          </w:p>
        </w:tc>
        <w:tc>
          <w:tcPr>
            <w:tcW w:w="1275" w:type="dxa"/>
            <w:tcBorders>
              <w:top w:val="single" w:sz="4" w:space="0" w:color="auto"/>
              <w:left w:val="nil"/>
              <w:bottom w:val="single" w:sz="4" w:space="0" w:color="auto"/>
              <w:right w:val="single" w:sz="4" w:space="0" w:color="auto"/>
            </w:tcBorders>
            <w:shd w:val="clear" w:color="auto" w:fill="C6EFCE"/>
            <w:noWrap/>
          </w:tcPr>
          <w:p w14:paraId="26F69F8C" w14:textId="77777777" w:rsidR="00515398" w:rsidRDefault="006711E6">
            <w:pPr>
              <w:pStyle w:val="P68B1DB1-Normal9"/>
              <w:spacing w:after="0" w:line="240" w:lineRule="auto"/>
              <w:rPr>
                <w:rFonts w:eastAsia="Times New Roman" w:cs="Calibri"/>
                <w:noProof/>
                <w:szCs w:val="18"/>
              </w:rPr>
            </w:pPr>
            <w:r>
              <w:rPr>
                <w:noProof/>
              </w:rPr>
              <w:t>Zřízení vnitrostátního registru postupů a provádění národního plánu pro zjednodušení postupů (první fáze)</w:t>
            </w:r>
          </w:p>
        </w:tc>
        <w:tc>
          <w:tcPr>
            <w:tcW w:w="1530" w:type="dxa"/>
            <w:tcBorders>
              <w:top w:val="single" w:sz="4" w:space="0" w:color="auto"/>
              <w:left w:val="nil"/>
              <w:bottom w:val="single" w:sz="4" w:space="0" w:color="auto"/>
              <w:right w:val="single" w:sz="4" w:space="0" w:color="auto"/>
            </w:tcBorders>
            <w:shd w:val="clear" w:color="auto" w:fill="C6EFCE"/>
            <w:noWrap/>
          </w:tcPr>
          <w:p w14:paraId="5E537AA0" w14:textId="5E025FB0" w:rsidR="00515398" w:rsidRDefault="006711E6">
            <w:pPr>
              <w:pStyle w:val="P68B1DB1-Normal9"/>
              <w:spacing w:after="0" w:line="240" w:lineRule="auto"/>
              <w:rPr>
                <w:rFonts w:eastAsia="Times New Roman" w:cs="Calibri"/>
                <w:noProof/>
                <w:szCs w:val="18"/>
              </w:rPr>
            </w:pPr>
            <w:r>
              <w:rPr>
                <w:noProof/>
              </w:rPr>
              <w:t>Zpráva ministerstva pro digit</w:t>
            </w:r>
            <w:r>
              <w:rPr>
                <w:noProof/>
              </w:rPr>
              <w:t xml:space="preserve">ální správu potvrzující fungování vnitrostátního registru postupů a dokončení činností v rámci první fáze Národního programu zjednodušení procesů </w:t>
            </w:r>
          </w:p>
        </w:tc>
        <w:tc>
          <w:tcPr>
            <w:tcW w:w="880" w:type="dxa"/>
            <w:tcBorders>
              <w:top w:val="single" w:sz="4" w:space="0" w:color="auto"/>
              <w:left w:val="nil"/>
              <w:bottom w:val="single" w:sz="4" w:space="0" w:color="auto"/>
              <w:right w:val="single" w:sz="4" w:space="0" w:color="auto"/>
            </w:tcBorders>
            <w:shd w:val="clear" w:color="auto" w:fill="C6EFCE"/>
            <w:noWrap/>
          </w:tcPr>
          <w:p w14:paraId="439431E1"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274A51D7" w14:textId="77777777" w:rsidR="00515398" w:rsidRDefault="00515398">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tcPr>
          <w:p w14:paraId="69327B6C" w14:textId="77777777" w:rsidR="00515398" w:rsidRDefault="00515398">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50B5C1AA" w14:textId="77777777" w:rsidR="00515398" w:rsidRDefault="006711E6">
            <w:pPr>
              <w:pStyle w:val="P68B1DB1-Normal9"/>
              <w:spacing w:after="0" w:line="240" w:lineRule="auto"/>
              <w:rPr>
                <w:rFonts w:eastAsia="Times New Roman" w:cs="Calibri"/>
                <w:noProof/>
                <w:szCs w:val="18"/>
              </w:rPr>
            </w:pPr>
            <w:r>
              <w:rPr>
                <w:noProof/>
              </w:rPr>
              <w:t>ČTVRTLETÍ 3</w:t>
            </w:r>
          </w:p>
        </w:tc>
        <w:tc>
          <w:tcPr>
            <w:tcW w:w="960" w:type="dxa"/>
            <w:tcBorders>
              <w:top w:val="nil"/>
              <w:left w:val="nil"/>
              <w:bottom w:val="single" w:sz="4" w:space="0" w:color="auto"/>
              <w:right w:val="single" w:sz="4" w:space="0" w:color="auto"/>
            </w:tcBorders>
            <w:shd w:val="clear" w:color="auto" w:fill="C6EFCE"/>
            <w:noWrap/>
          </w:tcPr>
          <w:p w14:paraId="67D37205" w14:textId="77777777" w:rsidR="00515398" w:rsidRDefault="006711E6">
            <w:pPr>
              <w:pStyle w:val="P68B1DB1-Normal9"/>
              <w:spacing w:after="0" w:line="240" w:lineRule="auto"/>
              <w:rPr>
                <w:rFonts w:eastAsia="Times New Roman" w:cs="Calibri"/>
                <w:noProof/>
                <w:szCs w:val="18"/>
              </w:rPr>
            </w:pPr>
            <w:r>
              <w:rPr>
                <w:noProof/>
              </w:rPr>
              <w:t>2022</w:t>
            </w:r>
          </w:p>
        </w:tc>
        <w:tc>
          <w:tcPr>
            <w:tcW w:w="3593" w:type="dxa"/>
            <w:tcBorders>
              <w:top w:val="single" w:sz="4" w:space="0" w:color="auto"/>
              <w:left w:val="nil"/>
              <w:bottom w:val="single" w:sz="4" w:space="0" w:color="auto"/>
              <w:right w:val="single" w:sz="4" w:space="0" w:color="auto"/>
            </w:tcBorders>
            <w:shd w:val="clear" w:color="auto" w:fill="C6EFCE"/>
            <w:noWrap/>
          </w:tcPr>
          <w:p w14:paraId="35CA0CCC" w14:textId="77777777" w:rsidR="00515398" w:rsidRDefault="006711E6">
            <w:pPr>
              <w:pStyle w:val="P68B1DB1-Normal9"/>
              <w:spacing w:before="120" w:after="120" w:line="240" w:lineRule="auto"/>
              <w:jc w:val="both"/>
              <w:rPr>
                <w:rFonts w:eastAsia="Times New Roman" w:cs="Calibri"/>
                <w:noProof/>
                <w:szCs w:val="18"/>
              </w:rPr>
            </w:pPr>
            <w:r>
              <w:rPr>
                <w:noProof/>
              </w:rPr>
              <w:t>Zprovoznění vnitrostátního rejstříku postupů („Diavlos“ podle článku 90 zákona 4727/2020)</w:t>
            </w:r>
            <w:r>
              <w:rPr>
                <w:noProof/>
              </w:rPr>
              <w:t xml:space="preserve"> a začlenění do portálu gov.gr; a dokončení první fáze činností v oblasti zjednodušování podle harmonogramu stanoveného čtyřletým národním programem zjednodušení procesů, včetně digitalizace postupů zadávání veřejných zakázek.</w:t>
            </w:r>
          </w:p>
        </w:tc>
      </w:tr>
      <w:tr w:rsidR="00515398" w14:paraId="563902F6"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460AEA71" w14:textId="77777777" w:rsidR="00515398" w:rsidRDefault="006711E6">
            <w:pPr>
              <w:pStyle w:val="P68B1DB1-Normal9"/>
              <w:spacing w:after="0" w:line="240" w:lineRule="auto"/>
              <w:rPr>
                <w:rFonts w:eastAsia="Times New Roman" w:cs="Calibri"/>
                <w:noProof/>
                <w:szCs w:val="18"/>
              </w:rPr>
            </w:pPr>
            <w:r>
              <w:rPr>
                <w:noProof/>
              </w:rPr>
              <w:t>97</w:t>
            </w:r>
          </w:p>
        </w:tc>
        <w:tc>
          <w:tcPr>
            <w:tcW w:w="2229" w:type="dxa"/>
            <w:tcBorders>
              <w:top w:val="nil"/>
              <w:left w:val="nil"/>
              <w:bottom w:val="single" w:sz="4" w:space="0" w:color="auto"/>
              <w:right w:val="single" w:sz="4" w:space="0" w:color="auto"/>
            </w:tcBorders>
            <w:shd w:val="clear" w:color="auto" w:fill="C6EFCE"/>
            <w:noWrap/>
          </w:tcPr>
          <w:p w14:paraId="2BD0C69F" w14:textId="77777777" w:rsidR="00515398" w:rsidRDefault="006711E6">
            <w:pPr>
              <w:pStyle w:val="P68B1DB1-Normal9"/>
              <w:spacing w:after="0" w:line="240" w:lineRule="auto"/>
              <w:rPr>
                <w:rFonts w:eastAsia="Times New Roman" w:cs="Calibri"/>
                <w:noProof/>
                <w:szCs w:val="18"/>
              </w:rPr>
            </w:pPr>
            <w:r>
              <w:rPr>
                <w:noProof/>
              </w:rPr>
              <w:t xml:space="preserve">6–2.2. Modernizace – </w:t>
            </w:r>
            <w:r>
              <w:rPr>
                <w:noProof/>
              </w:rPr>
              <w:t>16929_Směrem ke službám veřejné správy zaměřeným na zákazníky prostřednictvím zjednodušení a zlepšení procesů, zlepšení systémů a souladu s evropskými strategiemi a politikami</w:t>
            </w:r>
          </w:p>
        </w:tc>
        <w:tc>
          <w:tcPr>
            <w:tcW w:w="1134" w:type="dxa"/>
            <w:tcBorders>
              <w:top w:val="nil"/>
              <w:left w:val="nil"/>
              <w:bottom w:val="single" w:sz="4" w:space="0" w:color="auto"/>
              <w:right w:val="single" w:sz="4" w:space="0" w:color="auto"/>
            </w:tcBorders>
            <w:shd w:val="clear" w:color="auto" w:fill="C6EFCE"/>
            <w:noWrap/>
          </w:tcPr>
          <w:p w14:paraId="036085E0" w14:textId="77777777" w:rsidR="00515398" w:rsidRDefault="006711E6">
            <w:pPr>
              <w:pStyle w:val="P68B1DB1-Normal9"/>
              <w:spacing w:after="0" w:line="240" w:lineRule="auto"/>
              <w:rPr>
                <w:rFonts w:eastAsia="Times New Roman" w:cs="Calibri"/>
                <w:noProof/>
                <w:szCs w:val="18"/>
              </w:rPr>
            </w:pPr>
            <w:r>
              <w:rPr>
                <w:noProof/>
              </w:rPr>
              <w:t>Milník</w:t>
            </w:r>
          </w:p>
        </w:tc>
        <w:tc>
          <w:tcPr>
            <w:tcW w:w="1275" w:type="dxa"/>
            <w:tcBorders>
              <w:top w:val="nil"/>
              <w:left w:val="nil"/>
              <w:bottom w:val="single" w:sz="4" w:space="0" w:color="auto"/>
              <w:right w:val="single" w:sz="4" w:space="0" w:color="auto"/>
            </w:tcBorders>
            <w:shd w:val="clear" w:color="auto" w:fill="C6EFCE"/>
            <w:noWrap/>
          </w:tcPr>
          <w:p w14:paraId="28FC9A20" w14:textId="77777777" w:rsidR="00515398" w:rsidRDefault="006711E6">
            <w:pPr>
              <w:pStyle w:val="P68B1DB1-Normal9"/>
              <w:spacing w:after="0" w:line="240" w:lineRule="auto"/>
              <w:rPr>
                <w:rFonts w:eastAsia="Times New Roman" w:cs="Calibri"/>
                <w:noProof/>
                <w:szCs w:val="18"/>
              </w:rPr>
            </w:pPr>
            <w:r>
              <w:rPr>
                <w:noProof/>
              </w:rPr>
              <w:t>Provádění národního plánu pro zjednodušení postupů (druhá fáze)</w:t>
            </w:r>
          </w:p>
        </w:tc>
        <w:tc>
          <w:tcPr>
            <w:tcW w:w="1530" w:type="dxa"/>
            <w:tcBorders>
              <w:top w:val="nil"/>
              <w:left w:val="nil"/>
              <w:bottom w:val="single" w:sz="4" w:space="0" w:color="auto"/>
              <w:right w:val="single" w:sz="4" w:space="0" w:color="auto"/>
            </w:tcBorders>
            <w:shd w:val="clear" w:color="auto" w:fill="C6EFCE"/>
            <w:noWrap/>
          </w:tcPr>
          <w:p w14:paraId="7DB1767E" w14:textId="1C1DC58C" w:rsidR="00515398" w:rsidRDefault="006711E6">
            <w:pPr>
              <w:pStyle w:val="P68B1DB1-Normal9"/>
              <w:spacing w:after="0" w:line="240" w:lineRule="auto"/>
              <w:rPr>
                <w:rFonts w:eastAsia="Times New Roman" w:cs="Calibri"/>
                <w:noProof/>
                <w:szCs w:val="18"/>
              </w:rPr>
            </w:pPr>
            <w:r>
              <w:rPr>
                <w:noProof/>
              </w:rPr>
              <w:t>Zpráva mi</w:t>
            </w:r>
            <w:r>
              <w:rPr>
                <w:noProof/>
              </w:rPr>
              <w:t xml:space="preserve">nisterstva vnitra potvrzující dokončení druhé fáze činností v oblasti zjednodušení v rámci Národního programu zjednodušení procesů </w:t>
            </w:r>
          </w:p>
        </w:tc>
        <w:tc>
          <w:tcPr>
            <w:tcW w:w="880" w:type="dxa"/>
            <w:tcBorders>
              <w:top w:val="nil"/>
              <w:left w:val="nil"/>
              <w:bottom w:val="single" w:sz="4" w:space="0" w:color="auto"/>
              <w:right w:val="single" w:sz="4" w:space="0" w:color="auto"/>
            </w:tcBorders>
            <w:shd w:val="clear" w:color="auto" w:fill="C6EFCE"/>
            <w:noWrap/>
          </w:tcPr>
          <w:p w14:paraId="1C1BBACF"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6EDA5490" w14:textId="77777777" w:rsidR="00515398" w:rsidRDefault="00515398">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tcPr>
          <w:p w14:paraId="48EB0F73" w14:textId="77777777" w:rsidR="00515398" w:rsidRDefault="00515398">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7CBC816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60" w:type="dxa"/>
            <w:tcBorders>
              <w:top w:val="nil"/>
              <w:left w:val="nil"/>
              <w:bottom w:val="single" w:sz="4" w:space="0" w:color="auto"/>
              <w:right w:val="single" w:sz="4" w:space="0" w:color="auto"/>
            </w:tcBorders>
            <w:shd w:val="clear" w:color="auto" w:fill="C6EFCE"/>
            <w:noWrap/>
          </w:tcPr>
          <w:p w14:paraId="66BDF37C" w14:textId="77777777" w:rsidR="00515398" w:rsidRDefault="006711E6">
            <w:pPr>
              <w:pStyle w:val="P68B1DB1-Normal9"/>
              <w:spacing w:after="0" w:line="240" w:lineRule="auto"/>
              <w:rPr>
                <w:rFonts w:eastAsia="Times New Roman" w:cs="Calibri"/>
                <w:noProof/>
                <w:szCs w:val="18"/>
              </w:rPr>
            </w:pPr>
            <w:r>
              <w:rPr>
                <w:noProof/>
              </w:rPr>
              <w:t>2023</w:t>
            </w:r>
          </w:p>
        </w:tc>
        <w:tc>
          <w:tcPr>
            <w:tcW w:w="3593" w:type="dxa"/>
            <w:tcBorders>
              <w:top w:val="nil"/>
              <w:left w:val="nil"/>
              <w:bottom w:val="single" w:sz="4" w:space="0" w:color="auto"/>
              <w:right w:val="single" w:sz="4" w:space="0" w:color="auto"/>
            </w:tcBorders>
            <w:shd w:val="clear" w:color="auto" w:fill="C6EFCE"/>
            <w:noWrap/>
          </w:tcPr>
          <w:p w14:paraId="2032C194" w14:textId="1FE5B7D8" w:rsidR="00515398" w:rsidRDefault="006711E6">
            <w:pPr>
              <w:pStyle w:val="P68B1DB1-Normal9"/>
              <w:spacing w:after="0" w:line="240" w:lineRule="auto"/>
              <w:rPr>
                <w:rFonts w:eastAsia="Times New Roman" w:cs="Calibri"/>
                <w:noProof/>
                <w:szCs w:val="18"/>
              </w:rPr>
            </w:pPr>
            <w:r>
              <w:rPr>
                <w:noProof/>
              </w:rPr>
              <w:t>Dokončit druhou fázi</w:t>
            </w:r>
            <w:r>
              <w:rPr>
                <w:noProof/>
              </w:rPr>
              <w:t xml:space="preserve"> činností v oblasti zjednodušování podle harmonogramu stanoveného čtyřletým národním programem pro zjednodušení procesů, včetně digitalizace procesů posuzování dopadů, zahájení podnikání s jediným vlastníkem, zjednodušení postupů týkajících se „životních u</w:t>
            </w:r>
            <w:r>
              <w:rPr>
                <w:noProof/>
              </w:rPr>
              <w:t>dálostí“ občanů, včetně narození, úmrtí a rozvodu, zjednodušení soudních postupů týkajících se právníků, soudních rozhodnutí, digitálních podpisů, osvědčení vydaných soudy, obnovení řidičského průkazu a provozování myfoto.gov.gr a elektronického oběhu doku</w:t>
            </w:r>
            <w:r>
              <w:rPr>
                <w:noProof/>
              </w:rPr>
              <w:t>mentů v rámci veřejné správy (osvědčených vydanými oběžníky).</w:t>
            </w:r>
          </w:p>
        </w:tc>
      </w:tr>
      <w:tr w:rsidR="00515398" w14:paraId="3838CA73"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64337A0C" w14:textId="77777777" w:rsidR="00515398" w:rsidRDefault="006711E6">
            <w:pPr>
              <w:pStyle w:val="P68B1DB1-Normal9"/>
              <w:spacing w:after="0" w:line="240" w:lineRule="auto"/>
              <w:rPr>
                <w:rFonts w:eastAsia="Times New Roman" w:cs="Calibri"/>
                <w:noProof/>
                <w:szCs w:val="18"/>
              </w:rPr>
            </w:pPr>
            <w:r>
              <w:rPr>
                <w:noProof/>
              </w:rPr>
              <w:t>98</w:t>
            </w:r>
          </w:p>
        </w:tc>
        <w:tc>
          <w:tcPr>
            <w:tcW w:w="2229" w:type="dxa"/>
            <w:tcBorders>
              <w:top w:val="nil"/>
              <w:left w:val="nil"/>
              <w:bottom w:val="single" w:sz="4" w:space="0" w:color="auto"/>
              <w:right w:val="single" w:sz="4" w:space="0" w:color="auto"/>
            </w:tcBorders>
            <w:shd w:val="clear" w:color="auto" w:fill="C6EFCE"/>
            <w:noWrap/>
          </w:tcPr>
          <w:p w14:paraId="25DE00AB" w14:textId="77777777" w:rsidR="00515398" w:rsidRDefault="006711E6">
            <w:pPr>
              <w:pStyle w:val="P68B1DB1-Normal9"/>
              <w:spacing w:after="0" w:line="240" w:lineRule="auto"/>
              <w:rPr>
                <w:rFonts w:eastAsia="Times New Roman" w:cs="Calibri"/>
                <w:noProof/>
                <w:szCs w:val="18"/>
              </w:rPr>
            </w:pPr>
            <w:r>
              <w:rPr>
                <w:noProof/>
              </w:rPr>
              <w:t>6–2.2. Modernizace – 16782_Propojení a interoperabilita registrů, systémů a služeb pro výměnu údajů mezi vnitrostátními veřejnými organizacemi</w:t>
            </w:r>
          </w:p>
        </w:tc>
        <w:tc>
          <w:tcPr>
            <w:tcW w:w="1134" w:type="dxa"/>
            <w:tcBorders>
              <w:top w:val="nil"/>
              <w:left w:val="nil"/>
              <w:bottom w:val="single" w:sz="4" w:space="0" w:color="auto"/>
              <w:right w:val="single" w:sz="4" w:space="0" w:color="auto"/>
            </w:tcBorders>
            <w:shd w:val="clear" w:color="auto" w:fill="C6EFCE"/>
            <w:noWrap/>
          </w:tcPr>
          <w:p w14:paraId="50CC5F96" w14:textId="77777777" w:rsidR="00515398" w:rsidRDefault="006711E6">
            <w:pPr>
              <w:pStyle w:val="P68B1DB1-Normal9"/>
              <w:spacing w:after="0" w:line="240" w:lineRule="auto"/>
              <w:rPr>
                <w:rFonts w:eastAsia="Times New Roman" w:cs="Calibri"/>
                <w:noProof/>
                <w:szCs w:val="18"/>
              </w:rPr>
            </w:pPr>
            <w:r>
              <w:rPr>
                <w:noProof/>
              </w:rPr>
              <w:t>Milník</w:t>
            </w:r>
          </w:p>
        </w:tc>
        <w:tc>
          <w:tcPr>
            <w:tcW w:w="1275" w:type="dxa"/>
            <w:tcBorders>
              <w:top w:val="nil"/>
              <w:left w:val="nil"/>
              <w:bottom w:val="single" w:sz="4" w:space="0" w:color="auto"/>
              <w:right w:val="single" w:sz="4" w:space="0" w:color="auto"/>
            </w:tcBorders>
            <w:shd w:val="clear" w:color="auto" w:fill="C6EFCE"/>
            <w:noWrap/>
          </w:tcPr>
          <w:p w14:paraId="4B7BD190" w14:textId="3D3040D6" w:rsidR="00515398" w:rsidRDefault="006711E6">
            <w:pPr>
              <w:pStyle w:val="P68B1DB1-Normal9"/>
              <w:spacing w:after="0" w:line="240" w:lineRule="auto"/>
              <w:rPr>
                <w:rFonts w:eastAsia="Times New Roman" w:cs="Calibri"/>
                <w:noProof/>
                <w:szCs w:val="18"/>
              </w:rPr>
            </w:pPr>
            <w:r>
              <w:rPr>
                <w:noProof/>
              </w:rPr>
              <w:t xml:space="preserve">Regulační základ pro propojení a </w:t>
            </w:r>
            <w:r>
              <w:rPr>
                <w:noProof/>
              </w:rPr>
              <w:t>interoperabilitu registrů</w:t>
            </w:r>
          </w:p>
        </w:tc>
        <w:tc>
          <w:tcPr>
            <w:tcW w:w="1530" w:type="dxa"/>
            <w:tcBorders>
              <w:top w:val="nil"/>
              <w:left w:val="nil"/>
              <w:bottom w:val="single" w:sz="4" w:space="0" w:color="auto"/>
              <w:right w:val="single" w:sz="4" w:space="0" w:color="auto"/>
            </w:tcBorders>
            <w:shd w:val="clear" w:color="auto" w:fill="C6EFCE"/>
            <w:noWrap/>
          </w:tcPr>
          <w:p w14:paraId="68235382" w14:textId="77777777" w:rsidR="00515398" w:rsidRDefault="006711E6">
            <w:pPr>
              <w:pStyle w:val="P68B1DB1-Normal9"/>
              <w:spacing w:after="0" w:line="240" w:lineRule="auto"/>
              <w:rPr>
                <w:rFonts w:eastAsia="Times New Roman" w:cs="Calibri"/>
                <w:noProof/>
                <w:szCs w:val="18"/>
              </w:rPr>
            </w:pPr>
            <w:r>
              <w:rPr>
                <w:noProof/>
              </w:rPr>
              <w:t>Zpráva ministerstva digitální správy potvrzující přijetí regulačních změn, včetně všech souvisejících primárních a sekundárních právních předpisů pro propojení a interoperabilitu registrů a služeb</w:t>
            </w:r>
          </w:p>
        </w:tc>
        <w:tc>
          <w:tcPr>
            <w:tcW w:w="880" w:type="dxa"/>
            <w:tcBorders>
              <w:top w:val="nil"/>
              <w:left w:val="nil"/>
              <w:bottom w:val="single" w:sz="4" w:space="0" w:color="auto"/>
              <w:right w:val="single" w:sz="4" w:space="0" w:color="auto"/>
            </w:tcBorders>
            <w:shd w:val="clear" w:color="auto" w:fill="C6EFCE"/>
            <w:noWrap/>
          </w:tcPr>
          <w:p w14:paraId="2E478608"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08EDB8A7" w14:textId="77777777" w:rsidR="00515398" w:rsidRDefault="00515398">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tcPr>
          <w:p w14:paraId="22D186AF" w14:textId="77777777" w:rsidR="00515398" w:rsidRDefault="00515398">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5B289AE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60" w:type="dxa"/>
            <w:tcBorders>
              <w:top w:val="nil"/>
              <w:left w:val="nil"/>
              <w:bottom w:val="single" w:sz="4" w:space="0" w:color="auto"/>
              <w:right w:val="single" w:sz="4" w:space="0" w:color="auto"/>
            </w:tcBorders>
            <w:shd w:val="clear" w:color="auto" w:fill="C6EFCE"/>
            <w:noWrap/>
          </w:tcPr>
          <w:p w14:paraId="3FCB53A7" w14:textId="77777777" w:rsidR="00515398" w:rsidRDefault="006711E6">
            <w:pPr>
              <w:pStyle w:val="P68B1DB1-Normal9"/>
              <w:spacing w:after="0" w:line="240" w:lineRule="auto"/>
              <w:rPr>
                <w:rFonts w:eastAsia="Times New Roman" w:cs="Calibri"/>
                <w:noProof/>
                <w:szCs w:val="18"/>
              </w:rPr>
            </w:pPr>
            <w:r>
              <w:rPr>
                <w:noProof/>
              </w:rPr>
              <w:t>2024</w:t>
            </w:r>
          </w:p>
        </w:tc>
        <w:tc>
          <w:tcPr>
            <w:tcW w:w="3593" w:type="dxa"/>
            <w:tcBorders>
              <w:top w:val="nil"/>
              <w:left w:val="nil"/>
              <w:bottom w:val="single" w:sz="4" w:space="0" w:color="auto"/>
              <w:right w:val="single" w:sz="4" w:space="0" w:color="auto"/>
            </w:tcBorders>
            <w:shd w:val="clear" w:color="auto" w:fill="C6EFCE"/>
            <w:noWrap/>
          </w:tcPr>
          <w:p w14:paraId="76550F4C" w14:textId="528E996C" w:rsidR="00515398" w:rsidRDefault="006711E6">
            <w:pPr>
              <w:pStyle w:val="P68B1DB1-Normal10"/>
              <w:spacing w:before="120" w:after="120" w:line="240" w:lineRule="auto"/>
              <w:jc w:val="both"/>
              <w:rPr>
                <w:rFonts w:eastAsia="Times New Roman" w:cs="Calibri"/>
                <w:noProof/>
              </w:rPr>
            </w:pPr>
            <w:r>
              <w:rPr>
                <w:noProof/>
              </w:rPr>
              <w:t>Přijetí r</w:t>
            </w:r>
            <w:r>
              <w:rPr>
                <w:noProof/>
              </w:rPr>
              <w:t>egulačních změn s cílem vytvořit široký regulační základ pro propojení a interoperabilitu registrů a služeb pro výměnu údajů mezi vnitrostátními veřejnými organizacemi v souladu s aktem o Interoperabilní Evropě</w:t>
            </w:r>
          </w:p>
        </w:tc>
      </w:tr>
      <w:tr w:rsidR="00515398" w14:paraId="448E2E51"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75BB70B8" w14:textId="77777777" w:rsidR="00515398" w:rsidRDefault="006711E6">
            <w:pPr>
              <w:pStyle w:val="P68B1DB1-Normal9"/>
              <w:spacing w:after="0" w:line="240" w:lineRule="auto"/>
              <w:rPr>
                <w:rFonts w:eastAsia="Times New Roman" w:cs="Calibri"/>
                <w:noProof/>
                <w:szCs w:val="18"/>
              </w:rPr>
            </w:pPr>
            <w:r>
              <w:rPr>
                <w:noProof/>
              </w:rPr>
              <w:t>99</w:t>
            </w:r>
          </w:p>
        </w:tc>
        <w:tc>
          <w:tcPr>
            <w:tcW w:w="2229" w:type="dxa"/>
            <w:tcBorders>
              <w:top w:val="nil"/>
              <w:left w:val="nil"/>
              <w:bottom w:val="single" w:sz="4" w:space="0" w:color="auto"/>
              <w:right w:val="single" w:sz="4" w:space="0" w:color="auto"/>
            </w:tcBorders>
            <w:shd w:val="clear" w:color="auto" w:fill="C6EFCE"/>
            <w:noWrap/>
            <w:hideMark/>
          </w:tcPr>
          <w:p w14:paraId="32E045F8" w14:textId="689BBAF9" w:rsidR="00515398" w:rsidRDefault="006711E6">
            <w:pPr>
              <w:pStyle w:val="P68B1DB1-Normal9"/>
              <w:spacing w:after="0" w:line="240" w:lineRule="auto"/>
              <w:rPr>
                <w:rFonts w:eastAsia="Times New Roman" w:cs="Calibri"/>
                <w:noProof/>
                <w:szCs w:val="18"/>
              </w:rPr>
            </w:pPr>
            <w:r>
              <w:rPr>
                <w:noProof/>
              </w:rPr>
              <w:t xml:space="preserve">6–2.2. Modernizace – 16929_Směrem ke </w:t>
            </w:r>
            <w:r>
              <w:rPr>
                <w:noProof/>
              </w:rPr>
              <w:t>službám veřejné správy zaměřeným na zákazníky prostřednictvím zjednodušení a zlepšení procesů, zlepšení systémů a souladu s evropskými strategiemi a politikami</w:t>
            </w:r>
          </w:p>
        </w:tc>
        <w:tc>
          <w:tcPr>
            <w:tcW w:w="1134" w:type="dxa"/>
            <w:tcBorders>
              <w:top w:val="nil"/>
              <w:left w:val="nil"/>
              <w:bottom w:val="single" w:sz="4" w:space="0" w:color="auto"/>
              <w:right w:val="single" w:sz="4" w:space="0" w:color="auto"/>
            </w:tcBorders>
            <w:shd w:val="clear" w:color="auto" w:fill="C6EFCE"/>
            <w:noWrap/>
            <w:hideMark/>
          </w:tcPr>
          <w:p w14:paraId="60E91023" w14:textId="77777777" w:rsidR="00515398" w:rsidRDefault="006711E6">
            <w:pPr>
              <w:pStyle w:val="P68B1DB1-Normal9"/>
              <w:spacing w:after="0" w:line="240" w:lineRule="auto"/>
              <w:rPr>
                <w:rFonts w:eastAsia="Times New Roman" w:cs="Calibri"/>
                <w:noProof/>
                <w:szCs w:val="18"/>
              </w:rPr>
            </w:pPr>
            <w:r>
              <w:rPr>
                <w:noProof/>
              </w:rPr>
              <w:t>Milník</w:t>
            </w:r>
          </w:p>
        </w:tc>
        <w:tc>
          <w:tcPr>
            <w:tcW w:w="1275" w:type="dxa"/>
            <w:tcBorders>
              <w:top w:val="nil"/>
              <w:left w:val="nil"/>
              <w:bottom w:val="single" w:sz="4" w:space="0" w:color="auto"/>
              <w:right w:val="single" w:sz="4" w:space="0" w:color="auto"/>
            </w:tcBorders>
            <w:shd w:val="clear" w:color="auto" w:fill="C6EFCE"/>
            <w:noWrap/>
            <w:hideMark/>
          </w:tcPr>
          <w:p w14:paraId="681CEEC5" w14:textId="77777777" w:rsidR="00515398" w:rsidRDefault="006711E6">
            <w:pPr>
              <w:pStyle w:val="P68B1DB1-Normal9"/>
              <w:spacing w:after="0" w:line="240" w:lineRule="auto"/>
              <w:rPr>
                <w:rFonts w:eastAsia="Times New Roman" w:cs="Calibri"/>
                <w:noProof/>
                <w:szCs w:val="18"/>
              </w:rPr>
            </w:pPr>
            <w:r>
              <w:rPr>
                <w:noProof/>
              </w:rPr>
              <w:t xml:space="preserve">Dokončení strategie snižování administrativní zátěže a vnitrostátního plánu na </w:t>
            </w:r>
            <w:r>
              <w:rPr>
                <w:noProof/>
              </w:rPr>
              <w:t>zjednodušení postupů (konečná fáze)</w:t>
            </w:r>
          </w:p>
        </w:tc>
        <w:tc>
          <w:tcPr>
            <w:tcW w:w="1530" w:type="dxa"/>
            <w:tcBorders>
              <w:top w:val="nil"/>
              <w:left w:val="nil"/>
              <w:bottom w:val="single" w:sz="4" w:space="0" w:color="auto"/>
              <w:right w:val="single" w:sz="4" w:space="0" w:color="auto"/>
            </w:tcBorders>
            <w:shd w:val="clear" w:color="auto" w:fill="C6EFCE"/>
            <w:noWrap/>
            <w:hideMark/>
          </w:tcPr>
          <w:p w14:paraId="3900F686" w14:textId="77777777" w:rsidR="00515398" w:rsidRDefault="006711E6">
            <w:pPr>
              <w:pStyle w:val="P68B1DB1-Normal9"/>
              <w:spacing w:after="0" w:line="240" w:lineRule="auto"/>
              <w:rPr>
                <w:rFonts w:eastAsia="Times New Roman" w:cs="Calibri"/>
                <w:noProof/>
                <w:szCs w:val="18"/>
              </w:rPr>
            </w:pPr>
            <w:r>
              <w:rPr>
                <w:noProof/>
              </w:rPr>
              <w:t xml:space="preserve">Zpráva ministerstva vnitra potvrzující dokončení všech činností v oblasti zjednodušení a digitalizace v rámci čtyřletého akčního plánu Národního programu pro zjednodušení procesů, </w:t>
            </w:r>
          </w:p>
        </w:tc>
        <w:tc>
          <w:tcPr>
            <w:tcW w:w="880" w:type="dxa"/>
            <w:tcBorders>
              <w:top w:val="nil"/>
              <w:left w:val="nil"/>
              <w:bottom w:val="single" w:sz="4" w:space="0" w:color="auto"/>
              <w:right w:val="single" w:sz="4" w:space="0" w:color="auto"/>
            </w:tcBorders>
            <w:shd w:val="clear" w:color="auto" w:fill="C6EFCE"/>
            <w:noWrap/>
            <w:hideMark/>
          </w:tcPr>
          <w:p w14:paraId="74FE4F4A"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tcPr>
          <w:p w14:paraId="5B34B734" w14:textId="77777777" w:rsidR="00515398" w:rsidRDefault="00515398">
            <w:pPr>
              <w:spacing w:after="0" w:line="240" w:lineRule="auto"/>
              <w:rPr>
                <w:rFonts w:eastAsia="Times New Roman" w:cs="Calibri"/>
                <w:noProof/>
                <w:color w:val="006100"/>
                <w:sz w:val="18"/>
                <w:szCs w:val="18"/>
              </w:rPr>
            </w:pPr>
          </w:p>
        </w:tc>
        <w:tc>
          <w:tcPr>
            <w:tcW w:w="888" w:type="dxa"/>
            <w:tcBorders>
              <w:top w:val="nil"/>
              <w:left w:val="nil"/>
              <w:bottom w:val="single" w:sz="4" w:space="0" w:color="auto"/>
              <w:right w:val="single" w:sz="4" w:space="0" w:color="auto"/>
            </w:tcBorders>
            <w:shd w:val="clear" w:color="auto" w:fill="C6EFCE"/>
            <w:noWrap/>
            <w:hideMark/>
          </w:tcPr>
          <w:p w14:paraId="10652055" w14:textId="77777777" w:rsidR="00515398" w:rsidRDefault="00515398">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tcPr>
          <w:p w14:paraId="12961993"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60" w:type="dxa"/>
            <w:tcBorders>
              <w:top w:val="nil"/>
              <w:left w:val="nil"/>
              <w:bottom w:val="single" w:sz="4" w:space="0" w:color="auto"/>
              <w:right w:val="single" w:sz="4" w:space="0" w:color="auto"/>
            </w:tcBorders>
            <w:shd w:val="clear" w:color="auto" w:fill="C6EFCE"/>
            <w:noWrap/>
            <w:hideMark/>
          </w:tcPr>
          <w:p w14:paraId="235FD4D3" w14:textId="77777777" w:rsidR="00515398" w:rsidRDefault="006711E6">
            <w:pPr>
              <w:pStyle w:val="P68B1DB1-Normal9"/>
              <w:spacing w:after="0" w:line="240" w:lineRule="auto"/>
              <w:rPr>
                <w:rFonts w:eastAsia="Times New Roman" w:cs="Calibri"/>
                <w:noProof/>
                <w:szCs w:val="18"/>
              </w:rPr>
            </w:pPr>
            <w:r>
              <w:rPr>
                <w:noProof/>
              </w:rPr>
              <w:t>2025</w:t>
            </w:r>
          </w:p>
        </w:tc>
        <w:tc>
          <w:tcPr>
            <w:tcW w:w="3593" w:type="dxa"/>
            <w:tcBorders>
              <w:top w:val="nil"/>
              <w:left w:val="nil"/>
              <w:bottom w:val="single" w:sz="4" w:space="0" w:color="auto"/>
              <w:right w:val="single" w:sz="4" w:space="0" w:color="auto"/>
            </w:tcBorders>
            <w:shd w:val="clear" w:color="auto" w:fill="C6EFCE"/>
            <w:noWrap/>
            <w:hideMark/>
          </w:tcPr>
          <w:p w14:paraId="2E7473E0" w14:textId="5ACB7BFE" w:rsidR="00515398" w:rsidRDefault="006711E6">
            <w:pPr>
              <w:spacing w:after="0" w:line="240" w:lineRule="auto"/>
              <w:rPr>
                <w:rFonts w:eastAsia="Times New Roman" w:cs="Calibri"/>
                <w:noProof/>
                <w:color w:val="006100"/>
                <w:sz w:val="18"/>
                <w:szCs w:val="18"/>
              </w:rPr>
            </w:pPr>
            <w:r>
              <w:rPr>
                <w:noProof/>
                <w:color w:val="006100"/>
                <w:sz w:val="18"/>
              </w:rPr>
              <w:t xml:space="preserve">Plné provedení </w:t>
            </w:r>
            <w:r>
              <w:rPr>
                <w:noProof/>
                <w:color w:val="006100"/>
                <w:sz w:val="18"/>
              </w:rPr>
              <w:t>střednědobé strategie pro snížení administrativní zátěže a vytvoření služeb zaměřených na zákazníky v rámci veřejné správy dokončením závěrečné fáze práce v rámci čtyřletého národního programu pro zjednodušení procesů. To konkrétně zahrnuje vypracování stu</w:t>
            </w:r>
            <w:r>
              <w:rPr>
                <w:noProof/>
                <w:color w:val="006100"/>
                <w:sz w:val="18"/>
              </w:rPr>
              <w:t xml:space="preserve">dií pro zjednodušení administrativních postupů, zřízení střediska pro sledování dopadu regulace, včetně provádění měření administrativní zátěže, a </w:t>
            </w:r>
            <w:r>
              <w:rPr>
                <w:noProof/>
              </w:rPr>
              <w:t xml:space="preserve"> </w:t>
            </w:r>
            <w:r>
              <w:rPr>
                <w:noProof/>
                <w:color w:val="006100"/>
                <w:sz w:val="18"/>
              </w:rPr>
              <w:t>zlepšení funkcí Národního registru postupů (dále jen „Mitos“) (potvrzeno zprávou ministerstva vnitra).</w:t>
            </w:r>
          </w:p>
        </w:tc>
      </w:tr>
    </w:tbl>
    <w:p w14:paraId="1BFFF79D" w14:textId="77777777" w:rsidR="00515398" w:rsidRDefault="00515398">
      <w:pPr>
        <w:keepNext/>
        <w:keepLines/>
        <w:spacing w:before="40" w:after="0" w:line="240" w:lineRule="auto"/>
        <w:jc w:val="both"/>
        <w:outlineLvl w:val="4"/>
        <w:rPr>
          <w:rFonts w:ascii="Cambria" w:hAnsi="Cambria"/>
          <w:noProof/>
          <w:color w:val="365F91"/>
          <w:sz w:val="24"/>
        </w:rPr>
      </w:pPr>
    </w:p>
    <w:p w14:paraId="484812BE" w14:textId="2AA5216C" w:rsidR="00515398" w:rsidRDefault="006711E6">
      <w:pPr>
        <w:pStyle w:val="P68B1DB1-Normal6"/>
        <w:keepNext/>
        <w:keepLines/>
        <w:spacing w:before="40" w:after="0" w:line="240" w:lineRule="auto"/>
        <w:jc w:val="both"/>
        <w:outlineLvl w:val="4"/>
        <w:rPr>
          <w:rFonts w:eastAsia="Times New Roman"/>
          <w:noProof/>
        </w:rPr>
      </w:pPr>
      <w:r>
        <w:rPr>
          <w:noProof/>
        </w:rPr>
        <w:t>Skupina 9: Iniciativy související s lepšími bezpečnými digitálními službami zaměřenými na zákazníky s využitím interoperabilních informačních systémů a politik veřejně přístupných dat</w:t>
      </w:r>
    </w:p>
    <w:p w14:paraId="1003E422" w14:textId="77777777" w:rsidR="00515398" w:rsidRDefault="006711E6">
      <w:pPr>
        <w:pStyle w:val="P68B1DB1-Normal4"/>
        <w:spacing w:before="120" w:after="120" w:line="240" w:lineRule="auto"/>
        <w:ind w:left="709"/>
        <w:rPr>
          <w:rFonts w:cs="Times New Roman"/>
          <w:noProof/>
        </w:rPr>
      </w:pPr>
      <w:r>
        <w:rPr>
          <w:noProof/>
        </w:rPr>
        <w:t>Opatření zahrnutá do této skupiny jsou:</w:t>
      </w:r>
    </w:p>
    <w:p w14:paraId="0053AF6B"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Řízení vztahů se zákazníky pro</w:t>
      </w:r>
      <w:r>
        <w:rPr>
          <w:rFonts w:ascii="Times New Roman" w:hAnsi="Times New Roman"/>
          <w:noProof/>
          <w:sz w:val="24"/>
        </w:rPr>
        <w:t xml:space="preserve"> vládní instituce (ID: 16810)</w:t>
      </w:r>
    </w:p>
    <w:p w14:paraId="257D3ECA"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Další modernizace jednotných kontaktních míst veřejné správy (ID: 16780)</w:t>
      </w:r>
    </w:p>
    <w:p w14:paraId="50DE9796"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Nový systém pro zadávání veřejných zakázek (ID: 16736)</w:t>
      </w:r>
    </w:p>
    <w:p w14:paraId="066A334E"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Digitální transformace ministerstva zahraničních věcí (ID: 16742)</w:t>
      </w:r>
    </w:p>
    <w:p w14:paraId="333EFAB3"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Programy zlepšování digi</w:t>
      </w:r>
      <w:r>
        <w:rPr>
          <w:rFonts w:ascii="Times New Roman" w:hAnsi="Times New Roman"/>
          <w:noProof/>
          <w:sz w:val="24"/>
        </w:rPr>
        <w:t>tálních dovedností pro brance (ID: 16826)</w:t>
      </w:r>
    </w:p>
    <w:p w14:paraId="122463D2" w14:textId="4B12AAFE" w:rsidR="00515398" w:rsidRDefault="006711E6">
      <w:pPr>
        <w:spacing w:before="120" w:after="120" w:line="240" w:lineRule="auto"/>
        <w:ind w:left="709"/>
        <w:rPr>
          <w:rFonts w:ascii="Times New Roman" w:hAnsi="Times New Roman" w:cs="Times New Roman"/>
          <w:noProof/>
          <w:sz w:val="24"/>
          <w:szCs w:val="24"/>
        </w:rPr>
      </w:pPr>
      <w:r>
        <w:rPr>
          <w:rFonts w:ascii="Times New Roman" w:hAnsi="Times New Roman"/>
          <w:noProof/>
          <w:sz w:val="24"/>
          <w:szCs w:val="24"/>
        </w:rPr>
        <w:t>●</w:t>
      </w:r>
      <w:r>
        <w:rPr>
          <w:noProof/>
        </w:rPr>
        <w:t xml:space="preserve"> </w:t>
      </w:r>
      <w:r>
        <w:rPr>
          <w:rFonts w:ascii="Times New Roman" w:hAnsi="Times New Roman"/>
          <w:noProof/>
          <w:sz w:val="24"/>
          <w:szCs w:val="24"/>
        </w:rPr>
        <w:t>Digitální transformace řecké národní organizace cestovního ruchu (ID: 16791)</w:t>
      </w:r>
    </w:p>
    <w:p w14:paraId="19162B02"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Strategie a politiky kybernetické bezpečnosti pro veřejný sektor a zřízení národního operačního střediska pro kybernetickou bezpečnos</w:t>
      </w:r>
      <w:r>
        <w:rPr>
          <w:rFonts w:ascii="Times New Roman" w:hAnsi="Times New Roman"/>
          <w:noProof/>
          <w:sz w:val="24"/>
        </w:rPr>
        <w:t>t (ID: 16823)</w:t>
      </w:r>
    </w:p>
    <w:p w14:paraId="065E0CBE" w14:textId="7DC9DB81" w:rsidR="00515398" w:rsidRDefault="006711E6">
      <w:pPr>
        <w:spacing w:before="120" w:after="120" w:line="240" w:lineRule="auto"/>
        <w:ind w:left="709"/>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Interoperabilita a rozvoj internetových služeb (ID: 16779)</w:t>
      </w:r>
      <w:r>
        <w:rPr>
          <w:noProof/>
        </w:rPr>
        <w:tab/>
      </w:r>
    </w:p>
    <w:p w14:paraId="611B7FBC"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Centrum interoperability příští generace (KED) (ID: 16964)</w:t>
      </w:r>
    </w:p>
    <w:p w14:paraId="77002E4B"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ERegistries (ID: 16824)</w:t>
      </w:r>
    </w:p>
    <w:p w14:paraId="5CFCF073" w14:textId="77777777" w:rsidR="00515398" w:rsidRDefault="006711E6">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noProof/>
        </w:rPr>
        <w:t xml:space="preserve"> </w:t>
      </w:r>
      <w:r>
        <w:rPr>
          <w:rFonts w:ascii="Times New Roman" w:hAnsi="Times New Roman"/>
          <w:noProof/>
          <w:sz w:val="24"/>
        </w:rPr>
        <w:t>Poskytování pokročilých bezpečnostních služeb v kritické infrastruktuře G-Cloud (ID: 16823)</w:t>
      </w:r>
    </w:p>
    <w:p w14:paraId="69597AA5" w14:textId="77777777" w:rsidR="00515398" w:rsidRDefault="006711E6">
      <w:pPr>
        <w:spacing w:before="120" w:after="120" w:line="240" w:lineRule="auto"/>
        <w:ind w:left="709"/>
        <w:rPr>
          <w:rFonts w:ascii="Times New Roman" w:hAnsi="Times New Roman"/>
          <w:noProof/>
          <w:sz w:val="24"/>
        </w:rPr>
      </w:pPr>
      <w:r>
        <w:rPr>
          <w:rFonts w:ascii="Times New Roman" w:hAnsi="Times New Roman"/>
          <w:noProof/>
          <w:sz w:val="24"/>
        </w:rPr>
        <w:t>●</w:t>
      </w:r>
      <w:r>
        <w:rPr>
          <w:noProof/>
        </w:rPr>
        <w:t xml:space="preserve"> </w:t>
      </w:r>
      <w:r>
        <w:rPr>
          <w:rFonts w:ascii="Times New Roman" w:hAnsi="Times New Roman"/>
          <w:noProof/>
          <w:sz w:val="24"/>
        </w:rPr>
        <w:t>Registr cestovního ruchu e-MHTE (ID: 16785)</w:t>
      </w:r>
    </w:p>
    <w:p w14:paraId="39FEE67B" w14:textId="77777777" w:rsidR="00515398" w:rsidRDefault="006711E6">
      <w:pPr>
        <w:spacing w:before="120" w:after="120" w:line="240" w:lineRule="auto"/>
        <w:ind w:left="709"/>
        <w:rPr>
          <w:rFonts w:ascii="Times New Roman" w:hAnsi="Times New Roman"/>
          <w:noProof/>
          <w:sz w:val="24"/>
        </w:rPr>
      </w:pPr>
      <w:r>
        <w:rPr>
          <w:rFonts w:ascii="Times New Roman" w:hAnsi="Times New Roman"/>
          <w:noProof/>
          <w:sz w:val="24"/>
        </w:rPr>
        <w:t>●</w:t>
      </w:r>
      <w:r>
        <w:rPr>
          <w:noProof/>
        </w:rPr>
        <w:t xml:space="preserve"> </w:t>
      </w:r>
      <w:r>
        <w:rPr>
          <w:rFonts w:ascii="Times New Roman" w:hAnsi="Times New Roman"/>
          <w:noProof/>
          <w:sz w:val="24"/>
        </w:rPr>
        <w:t>Centrální systém správy dokumentů (ID: 16738)</w:t>
      </w:r>
    </w:p>
    <w:p w14:paraId="6BA6154A" w14:textId="13D67EEE" w:rsidR="00515398" w:rsidRDefault="006711E6">
      <w:pPr>
        <w:pStyle w:val="P68B1DB1-Normal4"/>
        <w:rPr>
          <w:noProof/>
        </w:rPr>
      </w:pPr>
      <w:r>
        <w:rPr>
          <w:noProof/>
        </w:rPr>
        <w:br w:type="page"/>
      </w:r>
    </w:p>
    <w:p w14:paraId="37CC31FD" w14:textId="77777777" w:rsidR="00515398" w:rsidRDefault="00515398">
      <w:pPr>
        <w:spacing w:before="120" w:after="120" w:line="240" w:lineRule="auto"/>
        <w:ind w:left="709"/>
        <w:rPr>
          <w:rFonts w:ascii="Times New Roman" w:hAnsi="Times New Roman" w:cs="Times New Roman"/>
          <w:noProof/>
          <w:sz w:val="24"/>
        </w:rPr>
      </w:pPr>
    </w:p>
    <w:tbl>
      <w:tblPr>
        <w:tblW w:w="0" w:type="auto"/>
        <w:jc w:val="center"/>
        <w:tblLook w:val="04A0" w:firstRow="1" w:lastRow="0" w:firstColumn="1" w:lastColumn="0" w:noHBand="0" w:noVBand="1"/>
      </w:tblPr>
      <w:tblGrid>
        <w:gridCol w:w="1074"/>
        <w:gridCol w:w="1896"/>
        <w:gridCol w:w="1095"/>
        <w:gridCol w:w="1379"/>
        <w:gridCol w:w="1505"/>
        <w:gridCol w:w="932"/>
        <w:gridCol w:w="1005"/>
        <w:gridCol w:w="784"/>
        <w:gridCol w:w="979"/>
        <w:gridCol w:w="677"/>
        <w:gridCol w:w="4063"/>
      </w:tblGrid>
      <w:tr w:rsidR="00515398" w14:paraId="75390B61" w14:textId="77777777">
        <w:trPr>
          <w:trHeight w:val="939"/>
          <w:tblHeader/>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A6982B"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287A9F"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4E6CD"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47136C"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C104FB"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73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EE8D6A4"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627"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57F3A06"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0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E2007A"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0A0C8AA9" w14:textId="77777777">
        <w:trPr>
          <w:trHeight w:val="531"/>
          <w:tblHeader/>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87677E2" w14:textId="77777777" w:rsidR="00515398" w:rsidRDefault="00515398">
            <w:pPr>
              <w:spacing w:after="0" w:line="240" w:lineRule="auto"/>
              <w:rPr>
                <w:rFonts w:ascii="Times New Roman" w:eastAsia="Times New Roman" w:hAnsi="Times New Roman" w:cs="Times New Roman"/>
                <w:b/>
                <w:noProof/>
                <w:sz w:val="18"/>
                <w:szCs w:val="18"/>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63E1E574" w14:textId="77777777" w:rsidR="00515398" w:rsidRDefault="00515398">
            <w:pPr>
              <w:spacing w:after="0" w:line="240" w:lineRule="auto"/>
              <w:rPr>
                <w:rFonts w:ascii="Times New Roman" w:eastAsia="Times New Roman" w:hAnsi="Times New Roman" w:cs="Times New Roman"/>
                <w:b/>
                <w:noProof/>
                <w:sz w:val="18"/>
                <w:szCs w:val="18"/>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6C2C7080" w14:textId="77777777" w:rsidR="00515398" w:rsidRDefault="00515398">
            <w:pPr>
              <w:spacing w:after="0" w:line="240" w:lineRule="auto"/>
              <w:rPr>
                <w:rFonts w:ascii="Times New Roman" w:eastAsia="Times New Roman" w:hAnsi="Times New Roman" w:cs="Times New Roman"/>
                <w:b/>
                <w:noProof/>
                <w:sz w:val="18"/>
                <w:szCs w:val="18"/>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FE4C4C6" w14:textId="77777777" w:rsidR="00515398" w:rsidRDefault="00515398">
            <w:pPr>
              <w:spacing w:after="0" w:line="240" w:lineRule="auto"/>
              <w:rPr>
                <w:rFonts w:ascii="Times New Roman" w:eastAsia="Times New Roman" w:hAnsi="Times New Roman" w:cs="Times New Roman"/>
                <w:b/>
                <w:noProof/>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065DDDE3" w14:textId="77777777" w:rsidR="00515398" w:rsidRDefault="00515398">
            <w:pPr>
              <w:spacing w:after="0" w:line="240" w:lineRule="auto"/>
              <w:rPr>
                <w:rFonts w:ascii="Times New Roman" w:eastAsia="Times New Roman" w:hAnsi="Times New Roman" w:cs="Times New Roman"/>
                <w:b/>
                <w:noProof/>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160DFA"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1010" w:type="dxa"/>
            <w:tcBorders>
              <w:top w:val="single" w:sz="4" w:space="0" w:color="auto"/>
              <w:left w:val="nil"/>
              <w:bottom w:val="single" w:sz="4" w:space="0" w:color="auto"/>
              <w:right w:val="single" w:sz="4" w:space="0" w:color="auto"/>
            </w:tcBorders>
            <w:shd w:val="clear" w:color="auto" w:fill="BDD7EE"/>
            <w:vAlign w:val="center"/>
            <w:hideMark/>
          </w:tcPr>
          <w:p w14:paraId="1B2318B9"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88" w:type="dxa"/>
            <w:tcBorders>
              <w:top w:val="single" w:sz="4" w:space="0" w:color="auto"/>
              <w:left w:val="nil"/>
              <w:bottom w:val="single" w:sz="4" w:space="0" w:color="auto"/>
              <w:right w:val="single" w:sz="4" w:space="0" w:color="auto"/>
            </w:tcBorders>
            <w:shd w:val="clear" w:color="auto" w:fill="BDD7EE"/>
            <w:vAlign w:val="center"/>
            <w:hideMark/>
          </w:tcPr>
          <w:p w14:paraId="2C783013"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47" w:type="dxa"/>
            <w:tcBorders>
              <w:top w:val="single" w:sz="4" w:space="0" w:color="auto"/>
              <w:left w:val="nil"/>
              <w:bottom w:val="single" w:sz="4" w:space="0" w:color="auto"/>
              <w:right w:val="single" w:sz="4" w:space="0" w:color="auto"/>
            </w:tcBorders>
            <w:shd w:val="clear" w:color="auto" w:fill="BDD7EE"/>
            <w:vAlign w:val="center"/>
            <w:hideMark/>
          </w:tcPr>
          <w:p w14:paraId="19D90B97"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680" w:type="dxa"/>
            <w:tcBorders>
              <w:top w:val="single" w:sz="4" w:space="0" w:color="auto"/>
              <w:left w:val="nil"/>
              <w:bottom w:val="single" w:sz="4" w:space="0" w:color="auto"/>
              <w:right w:val="single" w:sz="4" w:space="0" w:color="auto"/>
            </w:tcBorders>
            <w:shd w:val="clear" w:color="auto" w:fill="BDD7EE"/>
            <w:vAlign w:val="center"/>
            <w:hideMark/>
          </w:tcPr>
          <w:p w14:paraId="369E6CA8"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090" w:type="dxa"/>
            <w:vMerge/>
            <w:tcBorders>
              <w:top w:val="single" w:sz="4" w:space="0" w:color="auto"/>
              <w:bottom w:val="single" w:sz="4" w:space="0" w:color="auto"/>
              <w:right w:val="single" w:sz="4" w:space="0" w:color="auto"/>
            </w:tcBorders>
            <w:vAlign w:val="center"/>
            <w:hideMark/>
          </w:tcPr>
          <w:p w14:paraId="76BB49D6" w14:textId="77777777" w:rsidR="00515398" w:rsidRDefault="00515398">
            <w:pPr>
              <w:spacing w:after="0" w:line="240" w:lineRule="auto"/>
              <w:rPr>
                <w:rFonts w:ascii="Times New Roman" w:eastAsia="Times New Roman" w:hAnsi="Times New Roman" w:cs="Times New Roman"/>
                <w:b/>
                <w:noProof/>
                <w:sz w:val="18"/>
                <w:szCs w:val="18"/>
              </w:rPr>
            </w:pPr>
          </w:p>
        </w:tc>
      </w:tr>
      <w:tr w:rsidR="00515398" w14:paraId="45C81D47" w14:textId="77777777">
        <w:trPr>
          <w:trHeight w:val="313"/>
          <w:jc w:val="center"/>
        </w:trPr>
        <w:tc>
          <w:tcPr>
            <w:tcW w:w="1080" w:type="dxa"/>
            <w:tcBorders>
              <w:top w:val="single" w:sz="4" w:space="0" w:color="auto"/>
              <w:left w:val="single" w:sz="4" w:space="0" w:color="auto"/>
              <w:bottom w:val="single" w:sz="4" w:space="0" w:color="auto"/>
              <w:right w:val="single" w:sz="4" w:space="0" w:color="auto"/>
            </w:tcBorders>
            <w:shd w:val="clear" w:color="auto" w:fill="C6EFCE"/>
            <w:noWrap/>
          </w:tcPr>
          <w:p w14:paraId="1E3028DF" w14:textId="77777777" w:rsidR="00515398" w:rsidRDefault="006711E6">
            <w:pPr>
              <w:pStyle w:val="P68B1DB1-Normal9"/>
              <w:spacing w:after="0" w:line="240" w:lineRule="auto"/>
              <w:rPr>
                <w:rFonts w:eastAsia="Times New Roman" w:cs="Calibri"/>
                <w:noProof/>
                <w:szCs w:val="18"/>
              </w:rPr>
            </w:pPr>
            <w:r>
              <w:rPr>
                <w:noProof/>
              </w:rPr>
              <w:t>100</w:t>
            </w:r>
          </w:p>
        </w:tc>
        <w:tc>
          <w:tcPr>
            <w:tcW w:w="1855" w:type="dxa"/>
            <w:tcBorders>
              <w:top w:val="single" w:sz="4" w:space="0" w:color="auto"/>
              <w:left w:val="nil"/>
              <w:bottom w:val="single" w:sz="4" w:space="0" w:color="auto"/>
              <w:right w:val="single" w:sz="4" w:space="0" w:color="auto"/>
            </w:tcBorders>
            <w:shd w:val="clear" w:color="auto" w:fill="C6EFCE"/>
            <w:noWrap/>
          </w:tcPr>
          <w:p w14:paraId="389CC4AF" w14:textId="77777777" w:rsidR="00515398" w:rsidRDefault="006711E6">
            <w:pPr>
              <w:pStyle w:val="P68B1DB1-Normal9"/>
              <w:spacing w:after="0" w:line="240" w:lineRule="auto"/>
              <w:rPr>
                <w:rFonts w:eastAsia="Times New Roman" w:cs="Calibri"/>
                <w:noProof/>
                <w:szCs w:val="18"/>
              </w:rPr>
            </w:pPr>
            <w:r>
              <w:rPr>
                <w:noProof/>
              </w:rPr>
              <w:t>6–2.2. Modernizace – 16779_Interoperabilita a rozvoj internetových služeb</w:t>
            </w:r>
          </w:p>
        </w:tc>
        <w:tc>
          <w:tcPr>
            <w:tcW w:w="1101" w:type="dxa"/>
            <w:tcBorders>
              <w:top w:val="single" w:sz="4" w:space="0" w:color="auto"/>
              <w:left w:val="nil"/>
              <w:bottom w:val="single" w:sz="4" w:space="0" w:color="auto"/>
              <w:right w:val="single" w:sz="4" w:space="0" w:color="auto"/>
            </w:tcBorders>
            <w:shd w:val="clear" w:color="auto" w:fill="C6EFCE"/>
            <w:noWrap/>
          </w:tcPr>
          <w:p w14:paraId="713246F6"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single" w:sz="4" w:space="0" w:color="auto"/>
              <w:left w:val="nil"/>
              <w:bottom w:val="single" w:sz="4" w:space="0" w:color="auto"/>
              <w:right w:val="single" w:sz="4" w:space="0" w:color="auto"/>
            </w:tcBorders>
            <w:shd w:val="clear" w:color="auto" w:fill="C6EFCE"/>
            <w:noWrap/>
          </w:tcPr>
          <w:p w14:paraId="30D93FF5" w14:textId="77777777" w:rsidR="00515398" w:rsidRDefault="006711E6">
            <w:pPr>
              <w:pStyle w:val="P68B1DB1-Normal9"/>
              <w:spacing w:after="0" w:line="240" w:lineRule="auto"/>
              <w:rPr>
                <w:rFonts w:eastAsia="Times New Roman" w:cs="Calibri"/>
                <w:noProof/>
                <w:szCs w:val="18"/>
              </w:rPr>
            </w:pPr>
            <w:r>
              <w:rPr>
                <w:noProof/>
              </w:rPr>
              <w:t xml:space="preserve">Zadání zakázky na projekt rozvoje </w:t>
            </w:r>
            <w:r>
              <w:rPr>
                <w:noProof/>
              </w:rPr>
              <w:t>interoperability a internetových služeb</w:t>
            </w:r>
          </w:p>
        </w:tc>
        <w:tc>
          <w:tcPr>
            <w:tcW w:w="1514" w:type="dxa"/>
            <w:tcBorders>
              <w:top w:val="single" w:sz="4" w:space="0" w:color="auto"/>
              <w:left w:val="nil"/>
              <w:bottom w:val="single" w:sz="4" w:space="0" w:color="auto"/>
              <w:right w:val="single" w:sz="4" w:space="0" w:color="auto"/>
            </w:tcBorders>
            <w:shd w:val="clear" w:color="auto" w:fill="C6EFCE"/>
            <w:noWrap/>
          </w:tcPr>
          <w:p w14:paraId="197765C2"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single" w:sz="4" w:space="0" w:color="auto"/>
              <w:left w:val="nil"/>
              <w:bottom w:val="single" w:sz="4" w:space="0" w:color="auto"/>
              <w:right w:val="single" w:sz="4" w:space="0" w:color="auto"/>
            </w:tcBorders>
            <w:shd w:val="clear" w:color="auto" w:fill="C6EFCE"/>
            <w:noWrap/>
          </w:tcPr>
          <w:p w14:paraId="14878F75" w14:textId="77777777" w:rsidR="00515398" w:rsidRDefault="00515398">
            <w:pPr>
              <w:spacing w:after="0" w:line="240" w:lineRule="auto"/>
              <w:rPr>
                <w:rFonts w:eastAsia="Times New Roman" w:cs="Calibri"/>
                <w:noProof/>
                <w:color w:val="006100"/>
                <w:sz w:val="18"/>
                <w:szCs w:val="18"/>
              </w:rPr>
            </w:pPr>
          </w:p>
        </w:tc>
        <w:tc>
          <w:tcPr>
            <w:tcW w:w="1010" w:type="dxa"/>
            <w:tcBorders>
              <w:top w:val="single" w:sz="4" w:space="0" w:color="auto"/>
              <w:left w:val="nil"/>
              <w:bottom w:val="single" w:sz="4" w:space="0" w:color="auto"/>
              <w:right w:val="single" w:sz="4" w:space="0" w:color="auto"/>
            </w:tcBorders>
            <w:shd w:val="clear" w:color="auto" w:fill="C6EFCE"/>
            <w:noWrap/>
          </w:tcPr>
          <w:p w14:paraId="2F973606" w14:textId="77777777" w:rsidR="00515398" w:rsidRDefault="00515398">
            <w:pPr>
              <w:spacing w:after="0" w:line="240" w:lineRule="auto"/>
              <w:rPr>
                <w:rFonts w:eastAsia="Times New Roman" w:cs="Calibri"/>
                <w:noProof/>
                <w:color w:val="006100"/>
                <w:sz w:val="18"/>
                <w:szCs w:val="18"/>
              </w:rPr>
            </w:pPr>
          </w:p>
        </w:tc>
        <w:tc>
          <w:tcPr>
            <w:tcW w:w="788" w:type="dxa"/>
            <w:tcBorders>
              <w:top w:val="single" w:sz="4" w:space="0" w:color="auto"/>
              <w:left w:val="nil"/>
              <w:bottom w:val="single" w:sz="4" w:space="0" w:color="auto"/>
              <w:right w:val="single" w:sz="4" w:space="0" w:color="auto"/>
            </w:tcBorders>
            <w:shd w:val="clear" w:color="auto" w:fill="C6EFCE"/>
            <w:noWrap/>
          </w:tcPr>
          <w:p w14:paraId="570058B3" w14:textId="77777777" w:rsidR="00515398" w:rsidRDefault="00515398">
            <w:pPr>
              <w:spacing w:after="0" w:line="240" w:lineRule="auto"/>
              <w:rPr>
                <w:rFonts w:eastAsia="Times New Roman" w:cs="Calibri"/>
                <w:noProof/>
                <w:color w:val="006100"/>
                <w:sz w:val="18"/>
                <w:szCs w:val="18"/>
              </w:rPr>
            </w:pPr>
          </w:p>
        </w:tc>
        <w:tc>
          <w:tcPr>
            <w:tcW w:w="947" w:type="dxa"/>
            <w:tcBorders>
              <w:top w:val="single" w:sz="4" w:space="0" w:color="auto"/>
              <w:left w:val="nil"/>
              <w:bottom w:val="single" w:sz="4" w:space="0" w:color="auto"/>
              <w:right w:val="single" w:sz="4" w:space="0" w:color="auto"/>
            </w:tcBorders>
            <w:shd w:val="clear" w:color="auto" w:fill="C6EFCE"/>
            <w:noWrap/>
          </w:tcPr>
          <w:p w14:paraId="4357A0A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single" w:sz="4" w:space="0" w:color="auto"/>
              <w:left w:val="nil"/>
              <w:bottom w:val="single" w:sz="4" w:space="0" w:color="auto"/>
              <w:right w:val="single" w:sz="4" w:space="0" w:color="auto"/>
            </w:tcBorders>
            <w:shd w:val="clear" w:color="auto" w:fill="C6EFCE"/>
            <w:noWrap/>
          </w:tcPr>
          <w:p w14:paraId="13BBB191"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single" w:sz="4" w:space="0" w:color="auto"/>
              <w:left w:val="nil"/>
              <w:bottom w:val="single" w:sz="4" w:space="0" w:color="auto"/>
              <w:right w:val="single" w:sz="4" w:space="0" w:color="auto"/>
            </w:tcBorders>
            <w:shd w:val="clear" w:color="auto" w:fill="C6EFCE"/>
            <w:noWrap/>
          </w:tcPr>
          <w:p w14:paraId="2297BB4E" w14:textId="77777777" w:rsidR="00515398" w:rsidRDefault="006711E6">
            <w:pPr>
              <w:pStyle w:val="P68B1DB1-Normal9"/>
              <w:spacing w:after="0" w:line="240" w:lineRule="auto"/>
              <w:rPr>
                <w:rFonts w:eastAsia="Times New Roman" w:cs="Calibri"/>
                <w:noProof/>
                <w:szCs w:val="18"/>
              </w:rPr>
            </w:pPr>
            <w:r>
              <w:rPr>
                <w:noProof/>
              </w:rPr>
              <w:t xml:space="preserve">Zadání zakázky na projekt rozvoje interoperability a internetových služeb. </w:t>
            </w:r>
          </w:p>
          <w:p w14:paraId="31F95895" w14:textId="77777777" w:rsidR="00515398" w:rsidRDefault="006711E6">
            <w:pPr>
              <w:pStyle w:val="P68B1DB1-Normal9"/>
              <w:spacing w:after="0" w:line="240" w:lineRule="auto"/>
              <w:rPr>
                <w:rFonts w:eastAsia="Times New Roman" w:cs="Calibri"/>
                <w:noProof/>
                <w:szCs w:val="18"/>
              </w:rPr>
            </w:pPr>
            <w:r>
              <w:rPr>
                <w:noProof/>
              </w:rPr>
              <w:t>Ministerstvo/generální sekretariát informačních systémů pro veřejný sektor/informační spol</w:t>
            </w:r>
            <w:r>
              <w:rPr>
                <w:noProof/>
              </w:rPr>
              <w:t>ečnost SA posoudí všechny předložené návrhy a potvrdí, zda žádosti řádně odpovídají požadavkům RFP.     Po výběru příslušného dodavatele ministerstvo přistoupí k zadání zakázky, která vymezí povinnosti, úlohy a odpovědnost obou zúčastněných stran.</w:t>
            </w:r>
          </w:p>
        </w:tc>
      </w:tr>
      <w:tr w:rsidR="00515398" w14:paraId="282AA1C2"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917FBC5" w14:textId="77777777" w:rsidR="00515398" w:rsidRDefault="006711E6">
            <w:pPr>
              <w:pStyle w:val="P68B1DB1-Normal9"/>
              <w:spacing w:after="0" w:line="240" w:lineRule="auto"/>
              <w:rPr>
                <w:rFonts w:eastAsia="Times New Roman" w:cs="Calibri"/>
                <w:noProof/>
                <w:szCs w:val="18"/>
              </w:rPr>
            </w:pPr>
            <w:r>
              <w:rPr>
                <w:noProof/>
              </w:rPr>
              <w:t>101</w:t>
            </w:r>
          </w:p>
        </w:tc>
        <w:tc>
          <w:tcPr>
            <w:tcW w:w="1855" w:type="dxa"/>
            <w:tcBorders>
              <w:top w:val="nil"/>
              <w:left w:val="nil"/>
              <w:bottom w:val="single" w:sz="4" w:space="0" w:color="auto"/>
              <w:right w:val="single" w:sz="4" w:space="0" w:color="auto"/>
            </w:tcBorders>
            <w:shd w:val="clear" w:color="auto" w:fill="C6EFCE"/>
            <w:noWrap/>
          </w:tcPr>
          <w:p w14:paraId="18227947" w14:textId="77777777" w:rsidR="00515398" w:rsidRDefault="006711E6">
            <w:pPr>
              <w:pStyle w:val="P68B1DB1-Normal9"/>
              <w:spacing w:after="0" w:line="240" w:lineRule="auto"/>
              <w:rPr>
                <w:rFonts w:eastAsia="Times New Roman" w:cs="Calibri"/>
                <w:noProof/>
                <w:szCs w:val="18"/>
              </w:rPr>
            </w:pPr>
            <w:r>
              <w:rPr>
                <w:noProof/>
              </w:rPr>
              <w:t>6–2.2. Modernizace – 16810_CRM pro vládní instituce</w:t>
            </w:r>
          </w:p>
        </w:tc>
        <w:tc>
          <w:tcPr>
            <w:tcW w:w="1101" w:type="dxa"/>
            <w:tcBorders>
              <w:top w:val="nil"/>
              <w:left w:val="nil"/>
              <w:bottom w:val="single" w:sz="4" w:space="0" w:color="auto"/>
              <w:right w:val="single" w:sz="4" w:space="0" w:color="auto"/>
            </w:tcBorders>
            <w:shd w:val="clear" w:color="auto" w:fill="C6EFCE"/>
            <w:noWrap/>
          </w:tcPr>
          <w:p w14:paraId="7D9361EB"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1A207F5E" w14:textId="77777777" w:rsidR="00515398" w:rsidRDefault="006711E6">
            <w:pPr>
              <w:pStyle w:val="P68B1DB1-Normal9"/>
              <w:spacing w:after="0" w:line="240" w:lineRule="auto"/>
              <w:rPr>
                <w:rFonts w:eastAsia="Times New Roman" w:cs="Calibri"/>
                <w:noProof/>
                <w:szCs w:val="18"/>
              </w:rPr>
            </w:pPr>
            <w:r>
              <w:rPr>
                <w:noProof/>
              </w:rPr>
              <w:t xml:space="preserve">Zadání zakázky na CRM pro vládní instituce </w:t>
            </w:r>
          </w:p>
        </w:tc>
        <w:tc>
          <w:tcPr>
            <w:tcW w:w="1514" w:type="dxa"/>
            <w:tcBorders>
              <w:top w:val="nil"/>
              <w:left w:val="nil"/>
              <w:bottom w:val="single" w:sz="4" w:space="0" w:color="auto"/>
              <w:right w:val="single" w:sz="4" w:space="0" w:color="auto"/>
            </w:tcBorders>
            <w:shd w:val="clear" w:color="auto" w:fill="C6EFCE"/>
            <w:noWrap/>
          </w:tcPr>
          <w:p w14:paraId="6BC2EA86"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nil"/>
              <w:left w:val="nil"/>
              <w:bottom w:val="single" w:sz="4" w:space="0" w:color="auto"/>
              <w:right w:val="single" w:sz="4" w:space="0" w:color="auto"/>
            </w:tcBorders>
            <w:shd w:val="clear" w:color="auto" w:fill="C6EFCE"/>
            <w:noWrap/>
          </w:tcPr>
          <w:p w14:paraId="2FAC0B6B"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763EE1B5"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6565D4C9"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0EA122ED"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56C593E5"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74C7A210" w14:textId="77777777" w:rsidR="00515398" w:rsidRDefault="006711E6">
            <w:pPr>
              <w:pStyle w:val="P68B1DB1-Normal9"/>
              <w:spacing w:after="0" w:line="240" w:lineRule="auto"/>
              <w:rPr>
                <w:rFonts w:eastAsia="Times New Roman" w:cs="Calibri"/>
                <w:noProof/>
                <w:szCs w:val="18"/>
              </w:rPr>
            </w:pPr>
            <w:r>
              <w:rPr>
                <w:noProof/>
              </w:rPr>
              <w:t xml:space="preserve">Zadání zakázky na CRM vládní vládě. Ministerstvo/generální sekretariát informačních systémů pro veřejný sektor/informační společnost SA posoudí všechny předložené návrhy a potvrdí, zda žádosti řádně odpovídají požadavkům RFP. </w:t>
            </w:r>
          </w:p>
          <w:p w14:paraId="29A132E7" w14:textId="77777777" w:rsidR="00515398" w:rsidRDefault="006711E6">
            <w:pPr>
              <w:pStyle w:val="P68B1DB1-Normal9"/>
              <w:spacing w:after="0" w:line="240" w:lineRule="auto"/>
              <w:rPr>
                <w:rFonts w:eastAsia="Times New Roman" w:cs="Calibri"/>
                <w:noProof/>
                <w:szCs w:val="18"/>
              </w:rPr>
            </w:pPr>
            <w:r>
              <w:rPr>
                <w:noProof/>
              </w:rPr>
              <w:t xml:space="preserve">  Po výběru vhodného externíh</w:t>
            </w:r>
            <w:r>
              <w:rPr>
                <w:noProof/>
              </w:rPr>
              <w:t>o partnera ministerstvo přistoupí k zadání zakázky, která vymezí povinnosti, úlohy a povinnosti obou zúčastněných stran.</w:t>
            </w:r>
          </w:p>
        </w:tc>
      </w:tr>
      <w:tr w:rsidR="00515398" w14:paraId="65AD5A4B"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068C6127" w14:textId="77777777" w:rsidR="00515398" w:rsidRDefault="006711E6">
            <w:pPr>
              <w:pStyle w:val="P68B1DB1-Normal9"/>
              <w:spacing w:after="0" w:line="240" w:lineRule="auto"/>
              <w:rPr>
                <w:rFonts w:eastAsia="Times New Roman" w:cs="Calibri"/>
                <w:noProof/>
                <w:szCs w:val="18"/>
              </w:rPr>
            </w:pPr>
            <w:r>
              <w:rPr>
                <w:noProof/>
              </w:rPr>
              <w:t>102</w:t>
            </w:r>
          </w:p>
        </w:tc>
        <w:tc>
          <w:tcPr>
            <w:tcW w:w="1855" w:type="dxa"/>
            <w:tcBorders>
              <w:top w:val="nil"/>
              <w:left w:val="nil"/>
              <w:bottom w:val="single" w:sz="4" w:space="0" w:color="auto"/>
              <w:right w:val="single" w:sz="4" w:space="0" w:color="auto"/>
            </w:tcBorders>
            <w:shd w:val="clear" w:color="auto" w:fill="C6EFCE"/>
            <w:noWrap/>
          </w:tcPr>
          <w:p w14:paraId="5277C831" w14:textId="77777777" w:rsidR="00515398" w:rsidRDefault="006711E6">
            <w:pPr>
              <w:pStyle w:val="P68B1DB1-Normal9"/>
              <w:spacing w:after="0" w:line="240" w:lineRule="auto"/>
              <w:rPr>
                <w:rFonts w:eastAsia="Times New Roman" w:cs="Calibri"/>
                <w:noProof/>
                <w:szCs w:val="18"/>
              </w:rPr>
            </w:pPr>
            <w:r>
              <w:rPr>
                <w:noProof/>
              </w:rPr>
              <w:t>6–2.2. Modernizace – 16780_Další modernizace jednotných kontaktních míst veřejné správy</w:t>
            </w:r>
          </w:p>
        </w:tc>
        <w:tc>
          <w:tcPr>
            <w:tcW w:w="1101" w:type="dxa"/>
            <w:tcBorders>
              <w:top w:val="nil"/>
              <w:left w:val="nil"/>
              <w:bottom w:val="single" w:sz="4" w:space="0" w:color="auto"/>
              <w:right w:val="single" w:sz="4" w:space="0" w:color="auto"/>
            </w:tcBorders>
            <w:shd w:val="clear" w:color="auto" w:fill="C6EFCE"/>
            <w:noWrap/>
          </w:tcPr>
          <w:p w14:paraId="5847F463"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5B776C14" w14:textId="77777777" w:rsidR="00515398" w:rsidRDefault="006711E6">
            <w:pPr>
              <w:pStyle w:val="P68B1DB1-Normal9"/>
              <w:spacing w:after="0" w:line="240" w:lineRule="auto"/>
              <w:rPr>
                <w:rFonts w:eastAsia="Times New Roman" w:cs="Calibri"/>
                <w:noProof/>
                <w:szCs w:val="18"/>
              </w:rPr>
            </w:pPr>
            <w:r>
              <w:rPr>
                <w:noProof/>
              </w:rPr>
              <w:t>Zadání zakázky na další modernizaci</w:t>
            </w:r>
            <w:r>
              <w:rPr>
                <w:noProof/>
              </w:rPr>
              <w:t xml:space="preserve"> jednotných kontaktních míst veřejné správy</w:t>
            </w:r>
          </w:p>
        </w:tc>
        <w:tc>
          <w:tcPr>
            <w:tcW w:w="1514" w:type="dxa"/>
            <w:tcBorders>
              <w:top w:val="nil"/>
              <w:left w:val="nil"/>
              <w:bottom w:val="single" w:sz="4" w:space="0" w:color="auto"/>
              <w:right w:val="single" w:sz="4" w:space="0" w:color="auto"/>
            </w:tcBorders>
            <w:shd w:val="clear" w:color="auto" w:fill="C6EFCE"/>
            <w:noWrap/>
          </w:tcPr>
          <w:p w14:paraId="0F7A2D9C"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nil"/>
              <w:left w:val="nil"/>
              <w:bottom w:val="single" w:sz="4" w:space="0" w:color="auto"/>
              <w:right w:val="single" w:sz="4" w:space="0" w:color="auto"/>
            </w:tcBorders>
            <w:shd w:val="clear" w:color="auto" w:fill="C6EFCE"/>
            <w:noWrap/>
          </w:tcPr>
          <w:p w14:paraId="5D347430"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405A5052"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63C82F6E"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1D0806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06DAC969"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126D7A65" w14:textId="77777777" w:rsidR="00515398" w:rsidRDefault="006711E6">
            <w:pPr>
              <w:pStyle w:val="P68B1DB1-Normal9"/>
              <w:spacing w:after="0" w:line="240" w:lineRule="auto"/>
              <w:rPr>
                <w:rFonts w:eastAsia="Times New Roman" w:cs="Calibri"/>
                <w:noProof/>
                <w:szCs w:val="18"/>
              </w:rPr>
            </w:pPr>
            <w:r>
              <w:rPr>
                <w:noProof/>
              </w:rPr>
              <w:t xml:space="preserve">Zadání zakázky na modernizaci jednotných kontaktních míst veřejné správy. </w:t>
            </w:r>
          </w:p>
          <w:p w14:paraId="0CFD1F7B" w14:textId="77777777" w:rsidR="00515398" w:rsidRDefault="006711E6">
            <w:pPr>
              <w:pStyle w:val="P68B1DB1-Normal9"/>
              <w:spacing w:after="0" w:line="240" w:lineRule="auto"/>
              <w:rPr>
                <w:rFonts w:eastAsia="Times New Roman" w:cs="Calibri"/>
                <w:noProof/>
                <w:szCs w:val="18"/>
              </w:rPr>
            </w:pPr>
            <w:r>
              <w:rPr>
                <w:noProof/>
              </w:rPr>
              <w:t xml:space="preserve">Ministerstvo/generální sekretariát informačních systémů pro veřejný sektor/informační </w:t>
            </w:r>
            <w:r>
              <w:rPr>
                <w:noProof/>
              </w:rPr>
              <w:t>společnost SA zajistí, aby byly přezkoumány všechny předložené návrhy, a potvrdí, zda žádosti řádně odpovídají požadavkům RFP.    Po výběru vhodného externího partnera ministerstvo přistoupí k zadání zakázky, která vymezí povinnosti, úlohy a povinnosti obo</w:t>
            </w:r>
            <w:r>
              <w:rPr>
                <w:noProof/>
              </w:rPr>
              <w:t>u zúčastněných stran.</w:t>
            </w:r>
          </w:p>
        </w:tc>
      </w:tr>
      <w:tr w:rsidR="00515398" w14:paraId="6274B493"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466DDA52" w14:textId="77777777" w:rsidR="00515398" w:rsidRDefault="006711E6">
            <w:pPr>
              <w:pStyle w:val="P68B1DB1-Normal9"/>
              <w:spacing w:after="0" w:line="240" w:lineRule="auto"/>
              <w:rPr>
                <w:rFonts w:eastAsia="Times New Roman" w:cs="Calibri"/>
                <w:noProof/>
                <w:szCs w:val="18"/>
              </w:rPr>
            </w:pPr>
            <w:r>
              <w:rPr>
                <w:noProof/>
              </w:rPr>
              <w:t>103</w:t>
            </w:r>
          </w:p>
        </w:tc>
        <w:tc>
          <w:tcPr>
            <w:tcW w:w="1855" w:type="dxa"/>
            <w:tcBorders>
              <w:top w:val="nil"/>
              <w:left w:val="nil"/>
              <w:bottom w:val="single" w:sz="4" w:space="0" w:color="auto"/>
              <w:right w:val="single" w:sz="4" w:space="0" w:color="auto"/>
            </w:tcBorders>
            <w:shd w:val="clear" w:color="auto" w:fill="C6EFCE"/>
            <w:noWrap/>
          </w:tcPr>
          <w:p w14:paraId="7F5D44EA" w14:textId="77777777" w:rsidR="00515398" w:rsidRDefault="006711E6">
            <w:pPr>
              <w:pStyle w:val="P68B1DB1-Normal9"/>
              <w:spacing w:after="0" w:line="240" w:lineRule="auto"/>
              <w:rPr>
                <w:rFonts w:eastAsia="Times New Roman" w:cs="Calibri"/>
                <w:noProof/>
                <w:szCs w:val="18"/>
              </w:rPr>
            </w:pPr>
            <w:r>
              <w:rPr>
                <w:noProof/>
              </w:rPr>
              <w:t>6–2.2. Modernizace – 16736_Nový systém pro zadávání veřejných zakázek</w:t>
            </w:r>
          </w:p>
        </w:tc>
        <w:tc>
          <w:tcPr>
            <w:tcW w:w="1101" w:type="dxa"/>
            <w:tcBorders>
              <w:top w:val="nil"/>
              <w:left w:val="nil"/>
              <w:bottom w:val="single" w:sz="4" w:space="0" w:color="auto"/>
              <w:right w:val="single" w:sz="4" w:space="0" w:color="auto"/>
            </w:tcBorders>
            <w:shd w:val="clear" w:color="auto" w:fill="C6EFCE"/>
            <w:noWrap/>
          </w:tcPr>
          <w:p w14:paraId="3829D000"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371D67BE" w14:textId="77777777" w:rsidR="00515398" w:rsidRDefault="006711E6">
            <w:pPr>
              <w:pStyle w:val="P68B1DB1-Normal9"/>
              <w:spacing w:after="0" w:line="240" w:lineRule="auto"/>
              <w:rPr>
                <w:rFonts w:eastAsia="Times New Roman" w:cs="Calibri"/>
                <w:noProof/>
                <w:szCs w:val="18"/>
              </w:rPr>
            </w:pPr>
            <w:r>
              <w:rPr>
                <w:noProof/>
              </w:rPr>
              <w:t>Zadání zakázky na nový systém pro zadávání veřejných zakázek</w:t>
            </w:r>
          </w:p>
        </w:tc>
        <w:tc>
          <w:tcPr>
            <w:tcW w:w="1514" w:type="dxa"/>
            <w:tcBorders>
              <w:top w:val="nil"/>
              <w:left w:val="nil"/>
              <w:bottom w:val="single" w:sz="4" w:space="0" w:color="auto"/>
              <w:right w:val="single" w:sz="4" w:space="0" w:color="auto"/>
            </w:tcBorders>
            <w:shd w:val="clear" w:color="auto" w:fill="C6EFCE"/>
            <w:noWrap/>
          </w:tcPr>
          <w:p w14:paraId="7E21B265"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nil"/>
              <w:left w:val="nil"/>
              <w:bottom w:val="single" w:sz="4" w:space="0" w:color="auto"/>
              <w:right w:val="single" w:sz="4" w:space="0" w:color="auto"/>
            </w:tcBorders>
            <w:shd w:val="clear" w:color="auto" w:fill="C6EFCE"/>
            <w:noWrap/>
          </w:tcPr>
          <w:p w14:paraId="6DC5CCBE"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84C7F32"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09B889D8"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078CCD6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3FB1C403"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21B972C5" w14:textId="77777777" w:rsidR="00515398" w:rsidRDefault="006711E6">
            <w:pPr>
              <w:pStyle w:val="P68B1DB1-Normal9"/>
              <w:spacing w:after="0" w:line="240" w:lineRule="auto"/>
              <w:rPr>
                <w:rFonts w:eastAsia="Times New Roman" w:cs="Calibri"/>
                <w:noProof/>
                <w:szCs w:val="18"/>
              </w:rPr>
            </w:pPr>
            <w:r>
              <w:rPr>
                <w:noProof/>
              </w:rPr>
              <w:t xml:space="preserve">Zadání zakázky na projekt – nový systém </w:t>
            </w:r>
            <w:r>
              <w:rPr>
                <w:noProof/>
              </w:rPr>
              <w:t xml:space="preserve">zadávání veřejných zakázek. Ministerstvo/generální sekretariát informačních systémů pro veřejný sektor/informační společnost S.A. přezkoumá všechny předložené návrhy a potvrdí, zda žádosti řádně odpovídají požadavkům RfP.     Po výběru vhodného dodavatele </w:t>
            </w:r>
            <w:r>
              <w:rPr>
                <w:noProof/>
              </w:rPr>
              <w:t>přistoupí odpovědný subjekt k zadání zakázky, která vymezí povinnosti, úlohy a povinnosti obou zúčastněných stran.</w:t>
            </w:r>
          </w:p>
        </w:tc>
      </w:tr>
      <w:tr w:rsidR="00515398" w14:paraId="320C6691"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32405068" w14:textId="77777777" w:rsidR="00515398" w:rsidRDefault="006711E6">
            <w:pPr>
              <w:pStyle w:val="P68B1DB1-Normal9"/>
              <w:spacing w:after="0" w:line="240" w:lineRule="auto"/>
              <w:rPr>
                <w:rFonts w:eastAsia="Times New Roman" w:cs="Calibri"/>
                <w:noProof/>
                <w:szCs w:val="18"/>
              </w:rPr>
            </w:pPr>
            <w:r>
              <w:rPr>
                <w:noProof/>
              </w:rPr>
              <w:t>104</w:t>
            </w:r>
          </w:p>
        </w:tc>
        <w:tc>
          <w:tcPr>
            <w:tcW w:w="1855" w:type="dxa"/>
            <w:tcBorders>
              <w:top w:val="nil"/>
              <w:left w:val="nil"/>
              <w:bottom w:val="single" w:sz="4" w:space="0" w:color="auto"/>
              <w:right w:val="single" w:sz="4" w:space="0" w:color="auto"/>
            </w:tcBorders>
            <w:shd w:val="clear" w:color="auto" w:fill="C6EFCE"/>
            <w:noWrap/>
          </w:tcPr>
          <w:p w14:paraId="685979EC" w14:textId="77777777" w:rsidR="00515398" w:rsidRDefault="006711E6">
            <w:pPr>
              <w:pStyle w:val="P68B1DB1-Normal9"/>
              <w:spacing w:after="0" w:line="240" w:lineRule="auto"/>
              <w:rPr>
                <w:rFonts w:eastAsia="Times New Roman" w:cs="Calibri"/>
                <w:noProof/>
                <w:szCs w:val="18"/>
              </w:rPr>
            </w:pPr>
            <w:r>
              <w:rPr>
                <w:noProof/>
              </w:rPr>
              <w:t xml:space="preserve">6–2.2. Modernizace – 16823_Strategie a politiky v oblasti kybernetické bezpečnosti pro veřejný sektor a pokročilé bezpečnostní služby </w:t>
            </w:r>
            <w:r>
              <w:rPr>
                <w:noProof/>
              </w:rPr>
              <w:t>pro vnitrostátní kritické infrastruktury</w:t>
            </w:r>
          </w:p>
        </w:tc>
        <w:tc>
          <w:tcPr>
            <w:tcW w:w="1101" w:type="dxa"/>
            <w:tcBorders>
              <w:top w:val="nil"/>
              <w:left w:val="nil"/>
              <w:bottom w:val="single" w:sz="4" w:space="0" w:color="auto"/>
              <w:right w:val="single" w:sz="4" w:space="0" w:color="auto"/>
            </w:tcBorders>
            <w:shd w:val="clear" w:color="auto" w:fill="C6EFCE"/>
            <w:noWrap/>
          </w:tcPr>
          <w:p w14:paraId="4BA75243"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6D0BB405" w14:textId="77777777" w:rsidR="00515398" w:rsidRDefault="006711E6">
            <w:pPr>
              <w:pStyle w:val="P68B1DB1-Normal9"/>
              <w:spacing w:after="0" w:line="240" w:lineRule="auto"/>
              <w:rPr>
                <w:rFonts w:eastAsia="Times New Roman" w:cs="Calibri"/>
                <w:noProof/>
                <w:szCs w:val="18"/>
              </w:rPr>
            </w:pPr>
            <w:r>
              <w:rPr>
                <w:noProof/>
              </w:rPr>
              <w:t>Zadání zakázky na strategii kybernetické bezpečnosti</w:t>
            </w:r>
          </w:p>
        </w:tc>
        <w:tc>
          <w:tcPr>
            <w:tcW w:w="1514" w:type="dxa"/>
            <w:tcBorders>
              <w:top w:val="nil"/>
              <w:left w:val="nil"/>
              <w:bottom w:val="single" w:sz="4" w:space="0" w:color="auto"/>
              <w:right w:val="single" w:sz="4" w:space="0" w:color="auto"/>
            </w:tcBorders>
            <w:shd w:val="clear" w:color="auto" w:fill="C6EFCE"/>
            <w:noWrap/>
          </w:tcPr>
          <w:p w14:paraId="7506224B"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nil"/>
              <w:left w:val="nil"/>
              <w:bottom w:val="single" w:sz="4" w:space="0" w:color="auto"/>
              <w:right w:val="single" w:sz="4" w:space="0" w:color="auto"/>
            </w:tcBorders>
            <w:shd w:val="clear" w:color="auto" w:fill="C6EFCE"/>
            <w:noWrap/>
          </w:tcPr>
          <w:p w14:paraId="075E8877"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0A60263"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0BB682E9"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73C8CA2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790146FC"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410D308D" w14:textId="77777777" w:rsidR="00515398" w:rsidRDefault="006711E6">
            <w:pPr>
              <w:pStyle w:val="P68B1DB1-Normal9"/>
              <w:spacing w:after="0" w:line="240" w:lineRule="auto"/>
              <w:rPr>
                <w:rFonts w:eastAsia="Times New Roman" w:cs="Calibri"/>
                <w:noProof/>
                <w:szCs w:val="18"/>
              </w:rPr>
            </w:pPr>
            <w:r>
              <w:rPr>
                <w:noProof/>
              </w:rPr>
              <w:t xml:space="preserve">Zadání zakázky na strategii a politiky kybernetické bezpečnosti projektu pro veřejný sektor a pokročilé </w:t>
            </w:r>
            <w:r>
              <w:rPr>
                <w:noProof/>
              </w:rPr>
              <w:t>bezpečnostní služby pro vnitrostátní kritické infrastruktury. Po výběru příslušného externího konzultanta ministerstvo přistoupí k zadání zakázky, která vymezí povinnosti, úlohy a odpovědnost obou zúčastněných stran.</w:t>
            </w:r>
          </w:p>
        </w:tc>
      </w:tr>
      <w:tr w:rsidR="00515398" w14:paraId="7DAF815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0C79E3F" w14:textId="77777777" w:rsidR="00515398" w:rsidRDefault="006711E6">
            <w:pPr>
              <w:pStyle w:val="P68B1DB1-Normal9"/>
              <w:spacing w:after="0" w:line="240" w:lineRule="auto"/>
              <w:rPr>
                <w:rFonts w:eastAsia="Times New Roman" w:cs="Calibri"/>
                <w:noProof/>
                <w:szCs w:val="18"/>
              </w:rPr>
            </w:pPr>
            <w:r>
              <w:rPr>
                <w:noProof/>
              </w:rPr>
              <w:t>105</w:t>
            </w:r>
          </w:p>
        </w:tc>
        <w:tc>
          <w:tcPr>
            <w:tcW w:w="1855" w:type="dxa"/>
            <w:tcBorders>
              <w:top w:val="nil"/>
              <w:left w:val="nil"/>
              <w:bottom w:val="single" w:sz="4" w:space="0" w:color="auto"/>
              <w:right w:val="single" w:sz="4" w:space="0" w:color="auto"/>
            </w:tcBorders>
            <w:shd w:val="clear" w:color="auto" w:fill="C6EFCE"/>
            <w:noWrap/>
          </w:tcPr>
          <w:p w14:paraId="250E9B00" w14:textId="77777777" w:rsidR="00515398" w:rsidRDefault="006711E6">
            <w:pPr>
              <w:pStyle w:val="P68B1DB1-Normal9"/>
              <w:spacing w:after="0" w:line="240" w:lineRule="auto"/>
              <w:rPr>
                <w:rFonts w:eastAsia="Times New Roman" w:cs="Calibri"/>
                <w:noProof/>
                <w:szCs w:val="18"/>
              </w:rPr>
            </w:pPr>
            <w:r>
              <w:rPr>
                <w:noProof/>
              </w:rPr>
              <w:t xml:space="preserve">6–2.2. Modernizace – </w:t>
            </w:r>
            <w:r>
              <w:rPr>
                <w:noProof/>
              </w:rPr>
              <w:t>16826_Programy modernizace digitálních dovedností pro brance</w:t>
            </w:r>
          </w:p>
        </w:tc>
        <w:tc>
          <w:tcPr>
            <w:tcW w:w="1101" w:type="dxa"/>
            <w:tcBorders>
              <w:top w:val="nil"/>
              <w:left w:val="nil"/>
              <w:bottom w:val="single" w:sz="4" w:space="0" w:color="auto"/>
              <w:right w:val="single" w:sz="4" w:space="0" w:color="auto"/>
            </w:tcBorders>
            <w:shd w:val="clear" w:color="auto" w:fill="C6EFCE"/>
            <w:noWrap/>
          </w:tcPr>
          <w:p w14:paraId="3C5D06BF"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57D8AC9F" w14:textId="77777777" w:rsidR="00515398" w:rsidRDefault="006711E6">
            <w:pPr>
              <w:pStyle w:val="P68B1DB1-Normal9"/>
              <w:spacing w:after="0" w:line="240" w:lineRule="auto"/>
              <w:rPr>
                <w:rFonts w:eastAsia="Times New Roman" w:cs="Calibri"/>
                <w:noProof/>
                <w:szCs w:val="18"/>
              </w:rPr>
            </w:pPr>
            <w:r>
              <w:rPr>
                <w:noProof/>
              </w:rPr>
              <w:t>Zadání zakázky na programy zlepšování digitálních dovedností pro brance</w:t>
            </w:r>
          </w:p>
        </w:tc>
        <w:tc>
          <w:tcPr>
            <w:tcW w:w="1514" w:type="dxa"/>
            <w:tcBorders>
              <w:top w:val="nil"/>
              <w:left w:val="nil"/>
              <w:bottom w:val="single" w:sz="4" w:space="0" w:color="auto"/>
              <w:right w:val="single" w:sz="4" w:space="0" w:color="auto"/>
            </w:tcBorders>
            <w:shd w:val="clear" w:color="auto" w:fill="C6EFCE"/>
            <w:noWrap/>
          </w:tcPr>
          <w:p w14:paraId="2E63246F"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nil"/>
              <w:left w:val="nil"/>
              <w:bottom w:val="single" w:sz="4" w:space="0" w:color="auto"/>
              <w:right w:val="single" w:sz="4" w:space="0" w:color="auto"/>
            </w:tcBorders>
            <w:shd w:val="clear" w:color="auto" w:fill="C6EFCE"/>
            <w:noWrap/>
          </w:tcPr>
          <w:p w14:paraId="2C79738B"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4A525E55"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54F9BD9E"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0BEC2EF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7ED28807"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6DB96DA0" w14:textId="7D4FACE0" w:rsidR="00515398" w:rsidRDefault="006711E6">
            <w:pPr>
              <w:pStyle w:val="P68B1DB1-Normal9"/>
              <w:spacing w:after="0" w:line="240" w:lineRule="auto"/>
              <w:rPr>
                <w:rFonts w:eastAsia="Times New Roman" w:cs="Calibri"/>
                <w:noProof/>
                <w:szCs w:val="18"/>
              </w:rPr>
            </w:pPr>
            <w:r>
              <w:rPr>
                <w:noProof/>
              </w:rPr>
              <w:t xml:space="preserve">Zadání zakázky na programy zvyšování </w:t>
            </w:r>
            <w:r>
              <w:rPr>
                <w:noProof/>
              </w:rPr>
              <w:t xml:space="preserve">digitálních dovedností pro brance. Ministerstvo přezkoumá všechny předložené návrhy a potvrdí, zda žádosti řádně odpovídají požadavkům RFP.     Po výběru vhodného externího partnera ministerstvo přistoupí k zadání zakázky, která vymezí povinnosti, úlohy a </w:t>
            </w:r>
            <w:r>
              <w:rPr>
                <w:noProof/>
              </w:rPr>
              <w:t>povinnosti obou zúčastněných stran.</w:t>
            </w:r>
          </w:p>
        </w:tc>
      </w:tr>
      <w:tr w:rsidR="00515398" w14:paraId="07F23BAD"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101EE4D" w14:textId="77777777" w:rsidR="00515398" w:rsidRDefault="006711E6">
            <w:pPr>
              <w:pStyle w:val="P68B1DB1-Normal9"/>
              <w:spacing w:after="0" w:line="240" w:lineRule="auto"/>
              <w:rPr>
                <w:rFonts w:eastAsia="Times New Roman" w:cs="Calibri"/>
                <w:noProof/>
                <w:szCs w:val="18"/>
              </w:rPr>
            </w:pPr>
            <w:r>
              <w:rPr>
                <w:noProof/>
              </w:rPr>
              <w:t>106</w:t>
            </w:r>
          </w:p>
        </w:tc>
        <w:tc>
          <w:tcPr>
            <w:tcW w:w="1855" w:type="dxa"/>
            <w:tcBorders>
              <w:top w:val="nil"/>
              <w:left w:val="nil"/>
              <w:bottom w:val="single" w:sz="4" w:space="0" w:color="auto"/>
              <w:right w:val="single" w:sz="4" w:space="0" w:color="auto"/>
            </w:tcBorders>
            <w:shd w:val="clear" w:color="auto" w:fill="C6EFCE"/>
            <w:noWrap/>
          </w:tcPr>
          <w:p w14:paraId="521FD803" w14:textId="77777777" w:rsidR="00515398" w:rsidRDefault="006711E6">
            <w:pPr>
              <w:pStyle w:val="P68B1DB1-Normal9"/>
              <w:spacing w:after="0" w:line="240" w:lineRule="auto"/>
              <w:rPr>
                <w:rFonts w:eastAsia="Times New Roman" w:cs="Calibri"/>
                <w:noProof/>
                <w:szCs w:val="18"/>
              </w:rPr>
            </w:pPr>
            <w:r>
              <w:rPr>
                <w:noProof/>
              </w:rPr>
              <w:t>6–2.2. Modernizace – 16742_Digitální transformace ministerstva zahraničních věcí</w:t>
            </w:r>
          </w:p>
        </w:tc>
        <w:tc>
          <w:tcPr>
            <w:tcW w:w="1101" w:type="dxa"/>
            <w:tcBorders>
              <w:top w:val="nil"/>
              <w:left w:val="nil"/>
              <w:bottom w:val="single" w:sz="4" w:space="0" w:color="auto"/>
              <w:right w:val="single" w:sz="4" w:space="0" w:color="auto"/>
            </w:tcBorders>
            <w:shd w:val="clear" w:color="auto" w:fill="C6EFCE"/>
            <w:noWrap/>
          </w:tcPr>
          <w:p w14:paraId="2AAED557"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103B33D0" w14:textId="77777777" w:rsidR="00515398" w:rsidRDefault="006711E6">
            <w:pPr>
              <w:pStyle w:val="P68B1DB1-Normal9"/>
              <w:spacing w:after="0" w:line="240" w:lineRule="auto"/>
              <w:rPr>
                <w:rFonts w:eastAsia="Times New Roman" w:cs="Calibri"/>
                <w:noProof/>
                <w:szCs w:val="18"/>
              </w:rPr>
            </w:pPr>
            <w:r>
              <w:rPr>
                <w:noProof/>
              </w:rPr>
              <w:t>Zadání zakázky na digitální transformaci Ministerstva zahraničních věcí</w:t>
            </w:r>
          </w:p>
        </w:tc>
        <w:tc>
          <w:tcPr>
            <w:tcW w:w="1514" w:type="dxa"/>
            <w:tcBorders>
              <w:top w:val="nil"/>
              <w:left w:val="nil"/>
              <w:bottom w:val="single" w:sz="4" w:space="0" w:color="auto"/>
              <w:right w:val="single" w:sz="4" w:space="0" w:color="auto"/>
            </w:tcBorders>
            <w:shd w:val="clear" w:color="auto" w:fill="C6EFCE"/>
            <w:noWrap/>
          </w:tcPr>
          <w:p w14:paraId="4A3F77CC"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nil"/>
              <w:left w:val="nil"/>
              <w:bottom w:val="single" w:sz="4" w:space="0" w:color="auto"/>
              <w:right w:val="single" w:sz="4" w:space="0" w:color="auto"/>
            </w:tcBorders>
            <w:shd w:val="clear" w:color="auto" w:fill="C6EFCE"/>
            <w:noWrap/>
          </w:tcPr>
          <w:p w14:paraId="7FE3A0A7"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A9714D0"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71064A00"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951C50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71018904"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62F263F9" w14:textId="77777777" w:rsidR="00515398" w:rsidRDefault="006711E6">
            <w:pPr>
              <w:pStyle w:val="P68B1DB1-Normal9"/>
              <w:spacing w:after="0" w:line="240" w:lineRule="auto"/>
              <w:rPr>
                <w:rFonts w:eastAsia="Times New Roman" w:cs="Calibri"/>
                <w:noProof/>
                <w:szCs w:val="18"/>
              </w:rPr>
            </w:pPr>
            <w:r>
              <w:rPr>
                <w:noProof/>
              </w:rPr>
              <w:t>Zadání zakázky na digitální transformaci Ministerstva zahraničních věcí. Ministerstvo přezkoumá všechny předložené návrhy a potvrdí, zda žádosti řádně odpovídají požadavkům RFP.     Po výběru vhodného externího partnera ministerstvo přistoupí k zadání zaká</w:t>
            </w:r>
            <w:r>
              <w:rPr>
                <w:noProof/>
              </w:rPr>
              <w:t>zky, která vymezí povinnosti, úlohy a povinnosti obou zúčastněných stran.</w:t>
            </w:r>
          </w:p>
        </w:tc>
      </w:tr>
      <w:tr w:rsidR="00515398" w14:paraId="1B884BE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72E804C1" w14:textId="77777777" w:rsidR="00515398" w:rsidRDefault="006711E6">
            <w:pPr>
              <w:pStyle w:val="P68B1DB1-Normal9"/>
              <w:spacing w:after="0" w:line="240" w:lineRule="auto"/>
              <w:rPr>
                <w:rFonts w:eastAsia="Times New Roman" w:cs="Calibri"/>
                <w:noProof/>
                <w:szCs w:val="18"/>
              </w:rPr>
            </w:pPr>
            <w:r>
              <w:rPr>
                <w:noProof/>
              </w:rPr>
              <w:t>107</w:t>
            </w:r>
          </w:p>
        </w:tc>
        <w:tc>
          <w:tcPr>
            <w:tcW w:w="1855" w:type="dxa"/>
            <w:tcBorders>
              <w:top w:val="nil"/>
              <w:left w:val="nil"/>
              <w:bottom w:val="single" w:sz="4" w:space="0" w:color="auto"/>
              <w:right w:val="single" w:sz="4" w:space="0" w:color="auto"/>
            </w:tcBorders>
            <w:shd w:val="clear" w:color="auto" w:fill="C6EFCE"/>
            <w:noWrap/>
          </w:tcPr>
          <w:p w14:paraId="4A0B670F" w14:textId="77777777" w:rsidR="00515398" w:rsidRDefault="006711E6">
            <w:pPr>
              <w:pStyle w:val="P68B1DB1-Normal9"/>
              <w:spacing w:after="0" w:line="240" w:lineRule="auto"/>
              <w:rPr>
                <w:rFonts w:eastAsia="Times New Roman" w:cs="Calibri"/>
                <w:noProof/>
                <w:szCs w:val="18"/>
              </w:rPr>
            </w:pPr>
            <w:r>
              <w:rPr>
                <w:noProof/>
              </w:rPr>
              <w:t>6–2.2. Modernizace – 16824_ERegistry</w:t>
            </w:r>
          </w:p>
        </w:tc>
        <w:tc>
          <w:tcPr>
            <w:tcW w:w="1101" w:type="dxa"/>
            <w:tcBorders>
              <w:top w:val="nil"/>
              <w:left w:val="nil"/>
              <w:bottom w:val="single" w:sz="4" w:space="0" w:color="auto"/>
              <w:right w:val="single" w:sz="4" w:space="0" w:color="auto"/>
            </w:tcBorders>
            <w:shd w:val="clear" w:color="auto" w:fill="C6EFCE"/>
            <w:noWrap/>
          </w:tcPr>
          <w:p w14:paraId="327D8989"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15121381" w14:textId="77777777" w:rsidR="00515398" w:rsidRDefault="006711E6">
            <w:pPr>
              <w:pStyle w:val="P68B1DB1-Normal9"/>
              <w:spacing w:after="0" w:line="240" w:lineRule="auto"/>
              <w:rPr>
                <w:rFonts w:eastAsia="Times New Roman" w:cs="Calibri"/>
                <w:noProof/>
                <w:szCs w:val="18"/>
              </w:rPr>
            </w:pPr>
            <w:r>
              <w:rPr>
                <w:noProof/>
              </w:rPr>
              <w:t>Zadání zakázky pro elektronické rejstříky</w:t>
            </w:r>
          </w:p>
        </w:tc>
        <w:tc>
          <w:tcPr>
            <w:tcW w:w="1514" w:type="dxa"/>
            <w:tcBorders>
              <w:top w:val="nil"/>
              <w:left w:val="nil"/>
              <w:bottom w:val="single" w:sz="4" w:space="0" w:color="auto"/>
              <w:right w:val="single" w:sz="4" w:space="0" w:color="auto"/>
            </w:tcBorders>
            <w:shd w:val="clear" w:color="auto" w:fill="C6EFCE"/>
            <w:noWrap/>
          </w:tcPr>
          <w:p w14:paraId="71830152"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937" w:type="dxa"/>
            <w:tcBorders>
              <w:top w:val="nil"/>
              <w:left w:val="nil"/>
              <w:bottom w:val="single" w:sz="4" w:space="0" w:color="auto"/>
              <w:right w:val="single" w:sz="4" w:space="0" w:color="auto"/>
            </w:tcBorders>
            <w:shd w:val="clear" w:color="auto" w:fill="C6EFCE"/>
            <w:noWrap/>
          </w:tcPr>
          <w:p w14:paraId="49D68F3D"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4741F917"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8FDD0B4"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C3C721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45F0C680" w14:textId="77777777" w:rsidR="00515398" w:rsidRDefault="006711E6">
            <w:pPr>
              <w:pStyle w:val="P68B1DB1-Normal9"/>
              <w:spacing w:after="0" w:line="240" w:lineRule="auto"/>
              <w:rPr>
                <w:rFonts w:eastAsia="Times New Roman" w:cs="Calibri"/>
                <w:noProof/>
                <w:szCs w:val="18"/>
              </w:rPr>
            </w:pPr>
            <w:r>
              <w:rPr>
                <w:noProof/>
              </w:rPr>
              <w:t>2022</w:t>
            </w:r>
          </w:p>
        </w:tc>
        <w:tc>
          <w:tcPr>
            <w:tcW w:w="4090" w:type="dxa"/>
            <w:tcBorders>
              <w:top w:val="nil"/>
              <w:left w:val="nil"/>
              <w:bottom w:val="single" w:sz="4" w:space="0" w:color="auto"/>
              <w:right w:val="single" w:sz="4" w:space="0" w:color="auto"/>
            </w:tcBorders>
            <w:shd w:val="clear" w:color="auto" w:fill="C6EFCE"/>
            <w:noWrap/>
          </w:tcPr>
          <w:p w14:paraId="40FBEB8D" w14:textId="77777777" w:rsidR="00515398" w:rsidRDefault="006711E6">
            <w:pPr>
              <w:pStyle w:val="P68B1DB1-Normal9"/>
              <w:spacing w:after="0" w:line="240" w:lineRule="auto"/>
              <w:rPr>
                <w:rFonts w:eastAsia="Times New Roman" w:cs="Calibri"/>
                <w:noProof/>
                <w:szCs w:val="18"/>
              </w:rPr>
            </w:pPr>
            <w:r>
              <w:rPr>
                <w:noProof/>
              </w:rPr>
              <w:t xml:space="preserve">Zadání zakázky na projekt E-Registries. </w:t>
            </w:r>
            <w:r>
              <w:rPr>
                <w:noProof/>
              </w:rPr>
              <w:t>Ministerstvo/generální sekretariát informačních systémů pro veřejný sektor/informační společnost SA posoudí všechny předložené návrhy a potvrdí, zda žádosti řádně odpovídají požadavkům RFP.   Po výběru vhodného externího partnera ministerstvo přistoupí k z</w:t>
            </w:r>
            <w:r>
              <w:rPr>
                <w:noProof/>
              </w:rPr>
              <w:t>adání zakázky, která vymezí povinnosti, úlohy a povinnosti obou zúčastněných stran.</w:t>
            </w:r>
          </w:p>
        </w:tc>
      </w:tr>
      <w:tr w:rsidR="00515398" w14:paraId="70DEA7E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6D4A1ED" w14:textId="77777777" w:rsidR="00515398" w:rsidRDefault="006711E6">
            <w:pPr>
              <w:pStyle w:val="P68B1DB1-Normal9"/>
              <w:spacing w:after="0" w:line="240" w:lineRule="auto"/>
              <w:rPr>
                <w:rFonts w:eastAsia="Times New Roman" w:cs="Calibri"/>
                <w:noProof/>
                <w:szCs w:val="18"/>
              </w:rPr>
            </w:pPr>
            <w:r>
              <w:rPr>
                <w:noProof/>
              </w:rPr>
              <w:t>108</w:t>
            </w:r>
          </w:p>
        </w:tc>
        <w:tc>
          <w:tcPr>
            <w:tcW w:w="1855" w:type="dxa"/>
            <w:tcBorders>
              <w:top w:val="nil"/>
              <w:left w:val="nil"/>
              <w:bottom w:val="single" w:sz="4" w:space="0" w:color="auto"/>
              <w:right w:val="single" w:sz="4" w:space="0" w:color="auto"/>
            </w:tcBorders>
            <w:shd w:val="clear" w:color="auto" w:fill="C6EFCE"/>
            <w:noWrap/>
          </w:tcPr>
          <w:p w14:paraId="3654E61A" w14:textId="77777777" w:rsidR="00515398" w:rsidRDefault="006711E6">
            <w:pPr>
              <w:pStyle w:val="P68B1DB1-Normal9"/>
              <w:spacing w:after="0" w:line="240" w:lineRule="auto"/>
              <w:rPr>
                <w:rFonts w:eastAsia="Times New Roman" w:cs="Calibri"/>
                <w:noProof/>
                <w:szCs w:val="18"/>
              </w:rPr>
            </w:pPr>
            <w:r>
              <w:rPr>
                <w:noProof/>
              </w:rPr>
              <w:t>6–2.2. Modernizace – 16779_Interoperabilita a rozvoj internetových služeb</w:t>
            </w:r>
          </w:p>
        </w:tc>
        <w:tc>
          <w:tcPr>
            <w:tcW w:w="1101" w:type="dxa"/>
            <w:tcBorders>
              <w:top w:val="nil"/>
              <w:left w:val="nil"/>
              <w:bottom w:val="single" w:sz="4" w:space="0" w:color="auto"/>
              <w:right w:val="single" w:sz="4" w:space="0" w:color="auto"/>
            </w:tcBorders>
            <w:shd w:val="clear" w:color="auto" w:fill="C6EFCE"/>
            <w:noWrap/>
          </w:tcPr>
          <w:p w14:paraId="720C4796"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5C234505" w14:textId="77777777" w:rsidR="00515398" w:rsidRDefault="006711E6">
            <w:pPr>
              <w:pStyle w:val="P68B1DB1-Normal9"/>
              <w:spacing w:after="0" w:line="240" w:lineRule="auto"/>
              <w:rPr>
                <w:rFonts w:eastAsia="Times New Roman" w:cs="Calibri"/>
                <w:noProof/>
                <w:szCs w:val="18"/>
              </w:rPr>
            </w:pPr>
            <w:r>
              <w:rPr>
                <w:noProof/>
              </w:rPr>
              <w:t xml:space="preserve">Dokončení projektu Interoperabilita a vývoj internetových služeb </w:t>
            </w:r>
          </w:p>
        </w:tc>
        <w:tc>
          <w:tcPr>
            <w:tcW w:w="1514" w:type="dxa"/>
            <w:tcBorders>
              <w:top w:val="nil"/>
              <w:left w:val="nil"/>
              <w:bottom w:val="single" w:sz="4" w:space="0" w:color="auto"/>
              <w:right w:val="single" w:sz="4" w:space="0" w:color="auto"/>
            </w:tcBorders>
            <w:shd w:val="clear" w:color="auto" w:fill="C6EFCE"/>
            <w:noWrap/>
          </w:tcPr>
          <w:p w14:paraId="501BB0A6" w14:textId="77777777" w:rsidR="00515398" w:rsidRDefault="006711E6">
            <w:pPr>
              <w:pStyle w:val="P68B1DB1-Normal9"/>
              <w:spacing w:after="0" w:line="240" w:lineRule="auto"/>
              <w:rPr>
                <w:rFonts w:eastAsia="Times New Roman" w:cs="Calibri"/>
                <w:noProof/>
                <w:szCs w:val="18"/>
              </w:rPr>
            </w:pPr>
            <w:r>
              <w:rPr>
                <w:noProof/>
              </w:rPr>
              <w:t xml:space="preserve">Zpráva ministerstva </w:t>
            </w:r>
            <w:r>
              <w:rPr>
                <w:noProof/>
              </w:rPr>
              <w:t>digitální správy dokumentující dokončení projektu interoperability systémů a dokončení otevřených dat</w:t>
            </w:r>
          </w:p>
        </w:tc>
        <w:tc>
          <w:tcPr>
            <w:tcW w:w="937" w:type="dxa"/>
            <w:tcBorders>
              <w:top w:val="nil"/>
              <w:left w:val="nil"/>
              <w:bottom w:val="single" w:sz="4" w:space="0" w:color="auto"/>
              <w:right w:val="single" w:sz="4" w:space="0" w:color="auto"/>
            </w:tcBorders>
            <w:shd w:val="clear" w:color="auto" w:fill="C6EFCE"/>
            <w:noWrap/>
          </w:tcPr>
          <w:p w14:paraId="5154B65B"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39E4AA09"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145BE11B"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23D7876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1E713B0E" w14:textId="43F6E231" w:rsidR="00515398" w:rsidRDefault="006711E6">
            <w:pPr>
              <w:pStyle w:val="P68B1DB1-Normal10"/>
              <w:spacing w:after="0" w:line="240" w:lineRule="auto"/>
              <w:rPr>
                <w:rFonts w:eastAsia="Times New Roman" w:cs="Calibri"/>
                <w:noProof/>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78F33F01" w14:textId="7150553A" w:rsidR="00515398" w:rsidRDefault="006711E6">
            <w:pPr>
              <w:pStyle w:val="P68B1DB1-Normal10"/>
              <w:spacing w:after="0" w:line="240" w:lineRule="auto"/>
              <w:rPr>
                <w:rFonts w:eastAsia="Times New Roman" w:cs="Calibri"/>
                <w:noProof/>
              </w:rPr>
            </w:pPr>
            <w:r>
              <w:rPr>
                <w:noProof/>
              </w:rPr>
              <w:t>Dokončení projektu: Rozvoj interoperability a internetových služeb v souladu s popisem opatření.</w:t>
            </w:r>
          </w:p>
          <w:p w14:paraId="26C50F0A" w14:textId="38EF11D3" w:rsidR="00515398" w:rsidRDefault="00515398">
            <w:pPr>
              <w:spacing w:after="0" w:line="240" w:lineRule="auto"/>
              <w:rPr>
                <w:noProof/>
                <w:color w:val="006100"/>
                <w:sz w:val="18"/>
                <w:szCs w:val="18"/>
              </w:rPr>
            </w:pPr>
          </w:p>
        </w:tc>
      </w:tr>
      <w:tr w:rsidR="00515398" w14:paraId="345756D8"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8DC4EBE" w14:textId="77777777" w:rsidR="00515398" w:rsidRDefault="006711E6">
            <w:pPr>
              <w:pStyle w:val="P68B1DB1-Normal9"/>
              <w:spacing w:after="0" w:line="240" w:lineRule="auto"/>
              <w:rPr>
                <w:rFonts w:eastAsia="Times New Roman" w:cs="Calibri"/>
                <w:noProof/>
                <w:szCs w:val="18"/>
              </w:rPr>
            </w:pPr>
            <w:r>
              <w:rPr>
                <w:noProof/>
              </w:rPr>
              <w:t>109</w:t>
            </w:r>
          </w:p>
        </w:tc>
        <w:tc>
          <w:tcPr>
            <w:tcW w:w="1855" w:type="dxa"/>
            <w:tcBorders>
              <w:top w:val="nil"/>
              <w:left w:val="nil"/>
              <w:bottom w:val="single" w:sz="4" w:space="0" w:color="auto"/>
              <w:right w:val="single" w:sz="4" w:space="0" w:color="auto"/>
            </w:tcBorders>
            <w:shd w:val="clear" w:color="auto" w:fill="C6EFCE"/>
            <w:noWrap/>
          </w:tcPr>
          <w:p w14:paraId="26C59263" w14:textId="77777777" w:rsidR="00515398" w:rsidRDefault="006711E6">
            <w:pPr>
              <w:pStyle w:val="P68B1DB1-Normal9"/>
              <w:spacing w:after="0" w:line="240" w:lineRule="auto"/>
              <w:rPr>
                <w:rFonts w:eastAsia="Times New Roman" w:cs="Calibri"/>
                <w:noProof/>
                <w:szCs w:val="18"/>
              </w:rPr>
            </w:pPr>
            <w:r>
              <w:rPr>
                <w:noProof/>
              </w:rPr>
              <w:t xml:space="preserve">6–2.2. Modernizace – </w:t>
            </w:r>
            <w:r>
              <w:rPr>
                <w:noProof/>
              </w:rPr>
              <w:t>16810_CRM pro vládní instituce</w:t>
            </w:r>
          </w:p>
        </w:tc>
        <w:tc>
          <w:tcPr>
            <w:tcW w:w="1101" w:type="dxa"/>
            <w:tcBorders>
              <w:top w:val="nil"/>
              <w:left w:val="nil"/>
              <w:bottom w:val="single" w:sz="4" w:space="0" w:color="auto"/>
              <w:right w:val="single" w:sz="4" w:space="0" w:color="auto"/>
            </w:tcBorders>
            <w:shd w:val="clear" w:color="auto" w:fill="C6EFCE"/>
            <w:noWrap/>
          </w:tcPr>
          <w:p w14:paraId="048D9EC2"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48103432" w14:textId="468B8C64" w:rsidR="00515398" w:rsidRDefault="006711E6">
            <w:pPr>
              <w:spacing w:after="0" w:line="240" w:lineRule="auto"/>
              <w:rPr>
                <w:rFonts w:eastAsia="Times New Roman" w:cs="Calibri"/>
                <w:noProof/>
                <w:color w:val="006100"/>
                <w:sz w:val="18"/>
                <w:szCs w:val="18"/>
              </w:rPr>
            </w:pPr>
            <w:r>
              <w:rPr>
                <w:noProof/>
                <w:color w:val="006100"/>
                <w:sz w:val="18"/>
              </w:rPr>
              <w:t>Dokončení projektů CRM pro vládu a Gov.gr.</w:t>
            </w:r>
          </w:p>
        </w:tc>
        <w:tc>
          <w:tcPr>
            <w:tcW w:w="1514" w:type="dxa"/>
            <w:tcBorders>
              <w:top w:val="nil"/>
              <w:left w:val="nil"/>
              <w:bottom w:val="single" w:sz="4" w:space="0" w:color="auto"/>
              <w:right w:val="single" w:sz="4" w:space="0" w:color="auto"/>
            </w:tcBorders>
            <w:shd w:val="clear" w:color="auto" w:fill="C6EFCE"/>
            <w:noWrap/>
          </w:tcPr>
          <w:p w14:paraId="30AF3316" w14:textId="7384F16E" w:rsidR="00515398" w:rsidRDefault="006711E6">
            <w:pPr>
              <w:spacing w:after="0" w:line="240" w:lineRule="auto"/>
              <w:rPr>
                <w:rFonts w:eastAsia="Times New Roman" w:cs="Calibri"/>
                <w:noProof/>
                <w:color w:val="006100"/>
                <w:sz w:val="18"/>
                <w:szCs w:val="18"/>
              </w:rPr>
            </w:pPr>
            <w:r>
              <w:rPr>
                <w:noProof/>
                <w:color w:val="006100"/>
                <w:sz w:val="18"/>
              </w:rPr>
              <w:t>Zpráva ministerstva pro digitální správu dokumentující zahájení provozu: a)integrovaný systém pro řízení celého životního cyklu vztahů veřejné správy s občany a podniky</w:t>
            </w:r>
            <w:r>
              <w:rPr>
                <w:noProof/>
              </w:rPr>
              <w:t xml:space="preserve"> </w:t>
            </w:r>
            <w:r>
              <w:rPr>
                <w:noProof/>
                <w:color w:val="006100"/>
                <w:sz w:val="18"/>
              </w:rPr>
              <w:t xml:space="preserve">a b) </w:t>
            </w:r>
            <w:r>
              <w:rPr>
                <w:noProof/>
                <w:color w:val="006100"/>
                <w:sz w:val="18"/>
              </w:rPr>
              <w:t>integrovaný systém elektronické komunikace mezi systémy a službami veřejného sektoru a řeckými občany (Gov. gr – possenger</w:t>
            </w:r>
          </w:p>
        </w:tc>
        <w:tc>
          <w:tcPr>
            <w:tcW w:w="937" w:type="dxa"/>
            <w:tcBorders>
              <w:top w:val="nil"/>
              <w:left w:val="nil"/>
              <w:bottom w:val="single" w:sz="4" w:space="0" w:color="auto"/>
              <w:right w:val="single" w:sz="4" w:space="0" w:color="auto"/>
            </w:tcBorders>
            <w:shd w:val="clear" w:color="auto" w:fill="C6EFCE"/>
            <w:noWrap/>
          </w:tcPr>
          <w:p w14:paraId="4C47B36D"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75BB2DAB"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28D3E77E"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646495AD" w14:textId="4E2EF349" w:rsidR="00515398" w:rsidRDefault="006711E6">
            <w:pPr>
              <w:pStyle w:val="P68B1DB1-Normal9"/>
              <w:spacing w:after="0" w:line="240" w:lineRule="auto"/>
              <w:rPr>
                <w:rFonts w:eastAsia="Times New Roman" w:cs="Calibri"/>
                <w:noProof/>
                <w:szCs w:val="18"/>
              </w:rPr>
            </w:pPr>
            <w:r>
              <w:rPr>
                <w:noProof/>
              </w:rPr>
              <w:t>ČTVRTLETÍ</w:t>
            </w:r>
          </w:p>
        </w:tc>
        <w:tc>
          <w:tcPr>
            <w:tcW w:w="680" w:type="dxa"/>
            <w:tcBorders>
              <w:top w:val="nil"/>
              <w:left w:val="nil"/>
              <w:bottom w:val="single" w:sz="4" w:space="0" w:color="auto"/>
              <w:right w:val="single" w:sz="4" w:space="0" w:color="auto"/>
            </w:tcBorders>
            <w:shd w:val="clear" w:color="auto" w:fill="C6EFCE"/>
            <w:noWrap/>
          </w:tcPr>
          <w:p w14:paraId="01CF03F0" w14:textId="7A3807C4" w:rsidR="00515398" w:rsidRDefault="006711E6">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7DD6CBDA" w14:textId="4D1A2841" w:rsidR="00515398" w:rsidRDefault="006711E6">
            <w:pPr>
              <w:pStyle w:val="P68B1DB1-Normal9"/>
              <w:spacing w:after="0" w:line="240" w:lineRule="auto"/>
              <w:rPr>
                <w:rFonts w:eastAsia="Times New Roman" w:cs="Calibri"/>
                <w:noProof/>
                <w:szCs w:val="18"/>
              </w:rPr>
            </w:pPr>
            <w:r>
              <w:rPr>
                <w:noProof/>
              </w:rPr>
              <w:t>Dokončení projektů: a) Systém řízení vztahů se zákazníky pro vládní instituce, který umožňuje řízení interakcí veře</w:t>
            </w:r>
            <w:r>
              <w:rPr>
                <w:noProof/>
              </w:rPr>
              <w:t>jné správy s občany a podniky, a b) integrovaný systém elektronické komunikace mezi systémy a službami veřejného sektoru a řeckými občany (Gov. gr – possenger)</w:t>
            </w:r>
          </w:p>
        </w:tc>
      </w:tr>
      <w:tr w:rsidR="00515398" w14:paraId="29F996B0"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15AB7590" w14:textId="77777777" w:rsidR="00515398" w:rsidRDefault="006711E6">
            <w:pPr>
              <w:pStyle w:val="P68B1DB1-Normal9"/>
              <w:spacing w:after="0" w:line="240" w:lineRule="auto"/>
              <w:rPr>
                <w:rFonts w:eastAsia="Times New Roman" w:cs="Calibri"/>
                <w:noProof/>
                <w:szCs w:val="18"/>
              </w:rPr>
            </w:pPr>
            <w:r>
              <w:rPr>
                <w:noProof/>
              </w:rPr>
              <w:t>110</w:t>
            </w:r>
          </w:p>
        </w:tc>
        <w:tc>
          <w:tcPr>
            <w:tcW w:w="1855" w:type="dxa"/>
            <w:tcBorders>
              <w:top w:val="nil"/>
              <w:left w:val="nil"/>
              <w:bottom w:val="single" w:sz="4" w:space="0" w:color="auto"/>
              <w:right w:val="single" w:sz="4" w:space="0" w:color="auto"/>
            </w:tcBorders>
            <w:shd w:val="clear" w:color="auto" w:fill="C6EFCE"/>
            <w:noWrap/>
          </w:tcPr>
          <w:p w14:paraId="6DC9C7A9" w14:textId="77777777" w:rsidR="00515398" w:rsidRDefault="006711E6">
            <w:pPr>
              <w:pStyle w:val="P68B1DB1-Normal9"/>
              <w:spacing w:after="0" w:line="240" w:lineRule="auto"/>
              <w:rPr>
                <w:rFonts w:eastAsia="Times New Roman" w:cs="Calibri"/>
                <w:noProof/>
                <w:szCs w:val="18"/>
              </w:rPr>
            </w:pPr>
            <w:r>
              <w:rPr>
                <w:noProof/>
              </w:rPr>
              <w:t>6–2.2. Modernizace – 16780_Další modernizace jednotných kontaktních míst veřejné správy</w:t>
            </w:r>
          </w:p>
        </w:tc>
        <w:tc>
          <w:tcPr>
            <w:tcW w:w="1101" w:type="dxa"/>
            <w:tcBorders>
              <w:top w:val="nil"/>
              <w:left w:val="nil"/>
              <w:bottom w:val="single" w:sz="4" w:space="0" w:color="auto"/>
              <w:right w:val="single" w:sz="4" w:space="0" w:color="auto"/>
            </w:tcBorders>
            <w:shd w:val="clear" w:color="auto" w:fill="C6EFCE"/>
            <w:noWrap/>
          </w:tcPr>
          <w:p w14:paraId="70FDA0FE"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4D162131" w14:textId="77777777" w:rsidR="00515398" w:rsidRDefault="006711E6">
            <w:pPr>
              <w:pStyle w:val="P68B1DB1-Normal9"/>
              <w:spacing w:after="0" w:line="240" w:lineRule="auto"/>
              <w:rPr>
                <w:rFonts w:eastAsia="Times New Roman" w:cs="Calibri"/>
                <w:noProof/>
                <w:szCs w:val="18"/>
              </w:rPr>
            </w:pPr>
            <w:r>
              <w:rPr>
                <w:noProof/>
              </w:rPr>
              <w:t>Dokončení projektu One-Stop Shops</w:t>
            </w:r>
          </w:p>
        </w:tc>
        <w:tc>
          <w:tcPr>
            <w:tcW w:w="1514" w:type="dxa"/>
            <w:tcBorders>
              <w:top w:val="nil"/>
              <w:left w:val="nil"/>
              <w:bottom w:val="single" w:sz="4" w:space="0" w:color="auto"/>
              <w:right w:val="single" w:sz="4" w:space="0" w:color="auto"/>
            </w:tcBorders>
            <w:shd w:val="clear" w:color="auto" w:fill="C6EFCE"/>
            <w:noWrap/>
          </w:tcPr>
          <w:p w14:paraId="65042473" w14:textId="7F87182E" w:rsidR="00515398" w:rsidRDefault="006711E6">
            <w:pPr>
              <w:pStyle w:val="P68B1DB1-Normal10"/>
              <w:spacing w:after="0" w:line="240" w:lineRule="auto"/>
              <w:rPr>
                <w:rFonts w:eastAsia="Times New Roman" w:cs="Calibri"/>
                <w:noProof/>
              </w:rPr>
            </w:pPr>
            <w:r>
              <w:rPr>
                <w:noProof/>
              </w:rPr>
              <w:t xml:space="preserve">Závěrečná zpráva o projektu Ministerstva vnitra dokumentující dokončení další modernizace jednotných kontaktních míst veřejné správy. </w:t>
            </w:r>
          </w:p>
        </w:tc>
        <w:tc>
          <w:tcPr>
            <w:tcW w:w="937" w:type="dxa"/>
            <w:tcBorders>
              <w:top w:val="nil"/>
              <w:left w:val="nil"/>
              <w:bottom w:val="single" w:sz="4" w:space="0" w:color="auto"/>
              <w:right w:val="single" w:sz="4" w:space="0" w:color="auto"/>
            </w:tcBorders>
            <w:shd w:val="clear" w:color="auto" w:fill="C6EFCE"/>
            <w:noWrap/>
          </w:tcPr>
          <w:p w14:paraId="6AF72CD6"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77FFE83"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7453A94D"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892D44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43E67173" w14:textId="77777777" w:rsidR="00515398" w:rsidRDefault="006711E6">
            <w:pPr>
              <w:pStyle w:val="P68B1DB1-Normal9"/>
              <w:spacing w:after="0" w:line="240" w:lineRule="auto"/>
              <w:rPr>
                <w:rFonts w:eastAsia="Times New Roman" w:cs="Calibri"/>
                <w:noProof/>
                <w:szCs w:val="18"/>
              </w:rPr>
            </w:pPr>
            <w:r>
              <w:rPr>
                <w:noProof/>
              </w:rPr>
              <w:t>2024</w:t>
            </w:r>
          </w:p>
        </w:tc>
        <w:tc>
          <w:tcPr>
            <w:tcW w:w="4090" w:type="dxa"/>
            <w:tcBorders>
              <w:top w:val="nil"/>
              <w:left w:val="nil"/>
              <w:bottom w:val="single" w:sz="4" w:space="0" w:color="auto"/>
              <w:right w:val="single" w:sz="4" w:space="0" w:color="auto"/>
            </w:tcBorders>
            <w:shd w:val="clear" w:color="auto" w:fill="C6EFCE"/>
            <w:noWrap/>
          </w:tcPr>
          <w:p w14:paraId="7A9B1174" w14:textId="7CB7A35B" w:rsidR="00515398" w:rsidRDefault="006711E6">
            <w:pPr>
              <w:pStyle w:val="P68B1DB1-Normal10"/>
              <w:spacing w:after="0" w:line="240" w:lineRule="auto"/>
              <w:rPr>
                <w:rFonts w:eastAsia="Times New Roman" w:cs="Calibri"/>
                <w:noProof/>
              </w:rPr>
            </w:pPr>
            <w:r>
              <w:rPr>
                <w:noProof/>
              </w:rPr>
              <w:t xml:space="preserve">Dokončení projektu: Další modernizace jednotných </w:t>
            </w:r>
            <w:r>
              <w:rPr>
                <w:noProof/>
              </w:rPr>
              <w:t>kontaktních míst veřejné správy prostřednictvím získání 6325 počítačů/tiskáren/tabletů používaných pro proces elektronického podpisu, 145 systémů pro správu front a inteligentní oznamování, 730 terminálů zpětné vazby, hodnotící platformy a mobilní aplikace</w:t>
            </w:r>
            <w:r>
              <w:rPr>
                <w:noProof/>
              </w:rPr>
              <w:t xml:space="preserve"> a jejich používání.</w:t>
            </w:r>
          </w:p>
        </w:tc>
      </w:tr>
      <w:tr w:rsidR="00515398" w14:paraId="16D3F468"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3EB061E1" w14:textId="77777777" w:rsidR="00515398" w:rsidRDefault="006711E6">
            <w:pPr>
              <w:pStyle w:val="P68B1DB1-Normal9"/>
              <w:spacing w:after="0" w:line="240" w:lineRule="auto"/>
              <w:rPr>
                <w:rFonts w:eastAsia="Times New Roman" w:cs="Calibri"/>
                <w:noProof/>
                <w:szCs w:val="18"/>
              </w:rPr>
            </w:pPr>
            <w:r>
              <w:rPr>
                <w:noProof/>
              </w:rPr>
              <w:t>112</w:t>
            </w:r>
          </w:p>
        </w:tc>
        <w:tc>
          <w:tcPr>
            <w:tcW w:w="1855" w:type="dxa"/>
            <w:tcBorders>
              <w:top w:val="nil"/>
              <w:left w:val="nil"/>
              <w:bottom w:val="single" w:sz="4" w:space="0" w:color="auto"/>
              <w:right w:val="single" w:sz="4" w:space="0" w:color="auto"/>
            </w:tcBorders>
            <w:shd w:val="clear" w:color="auto" w:fill="C6EFCE"/>
            <w:noWrap/>
          </w:tcPr>
          <w:p w14:paraId="0FA7D387" w14:textId="77777777" w:rsidR="00515398" w:rsidRDefault="006711E6">
            <w:pPr>
              <w:pStyle w:val="P68B1DB1-Normal9"/>
              <w:spacing w:after="0" w:line="240" w:lineRule="auto"/>
              <w:rPr>
                <w:rFonts w:eastAsia="Times New Roman" w:cs="Calibri"/>
                <w:noProof/>
                <w:szCs w:val="18"/>
              </w:rPr>
            </w:pPr>
            <w:r>
              <w:rPr>
                <w:noProof/>
              </w:rPr>
              <w:t>6–2.2. Modernizace – 16823_Strategie a politiky v oblasti kybernetické bezpečnosti pro veřejný sektor a pokročilé bezpečnostní služby pro vnitrostátní kritické infrastruktury</w:t>
            </w:r>
          </w:p>
        </w:tc>
        <w:tc>
          <w:tcPr>
            <w:tcW w:w="1101" w:type="dxa"/>
            <w:tcBorders>
              <w:top w:val="nil"/>
              <w:left w:val="nil"/>
              <w:bottom w:val="single" w:sz="4" w:space="0" w:color="auto"/>
              <w:right w:val="single" w:sz="4" w:space="0" w:color="auto"/>
            </w:tcBorders>
            <w:shd w:val="clear" w:color="auto" w:fill="C6EFCE"/>
            <w:noWrap/>
          </w:tcPr>
          <w:p w14:paraId="346A8CE7"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76AC4FDC" w14:textId="77777777" w:rsidR="00515398" w:rsidRDefault="006711E6">
            <w:pPr>
              <w:pStyle w:val="P68B1DB1-Normal9"/>
              <w:spacing w:after="0" w:line="240" w:lineRule="auto"/>
              <w:rPr>
                <w:rFonts w:eastAsia="Times New Roman" w:cs="Calibri"/>
                <w:noProof/>
                <w:szCs w:val="18"/>
              </w:rPr>
            </w:pPr>
            <w:r>
              <w:rPr>
                <w:noProof/>
              </w:rPr>
              <w:t xml:space="preserve">Dokončení projektu Strategie kybernetické </w:t>
            </w:r>
            <w:r>
              <w:rPr>
                <w:noProof/>
              </w:rPr>
              <w:t>bezpečnosti</w:t>
            </w:r>
          </w:p>
        </w:tc>
        <w:tc>
          <w:tcPr>
            <w:tcW w:w="1514" w:type="dxa"/>
            <w:tcBorders>
              <w:top w:val="nil"/>
              <w:left w:val="nil"/>
              <w:bottom w:val="single" w:sz="4" w:space="0" w:color="auto"/>
              <w:right w:val="single" w:sz="4" w:space="0" w:color="auto"/>
            </w:tcBorders>
            <w:shd w:val="clear" w:color="auto" w:fill="C6EFCE"/>
            <w:noWrap/>
          </w:tcPr>
          <w:p w14:paraId="4B8091DF" w14:textId="77777777" w:rsidR="00515398" w:rsidRDefault="006711E6">
            <w:pPr>
              <w:pStyle w:val="P68B1DB1-Normal9"/>
              <w:spacing w:after="0" w:line="240" w:lineRule="auto"/>
              <w:rPr>
                <w:rFonts w:eastAsia="Times New Roman" w:cs="Calibri"/>
                <w:noProof/>
                <w:szCs w:val="18"/>
              </w:rPr>
            </w:pPr>
            <w:r>
              <w:rPr>
                <w:noProof/>
              </w:rPr>
              <w:t>Zpráva ministerstva pro digitální správu a řízení o dokumentaci provádění nové strategie a politik kybernetické bezpečnosti ve veřejné správě a projektů v ní obsažených</w:t>
            </w:r>
          </w:p>
        </w:tc>
        <w:tc>
          <w:tcPr>
            <w:tcW w:w="937" w:type="dxa"/>
            <w:tcBorders>
              <w:top w:val="nil"/>
              <w:left w:val="nil"/>
              <w:bottom w:val="single" w:sz="4" w:space="0" w:color="auto"/>
              <w:right w:val="single" w:sz="4" w:space="0" w:color="auto"/>
            </w:tcBorders>
            <w:shd w:val="clear" w:color="auto" w:fill="C6EFCE"/>
            <w:noWrap/>
          </w:tcPr>
          <w:p w14:paraId="1E690808"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3E65E396"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65D8D2AC"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A1700E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nil"/>
              <w:left w:val="nil"/>
              <w:bottom w:val="single" w:sz="4" w:space="0" w:color="auto"/>
              <w:right w:val="single" w:sz="4" w:space="0" w:color="auto"/>
            </w:tcBorders>
            <w:shd w:val="clear" w:color="auto" w:fill="C6EFCE"/>
            <w:noWrap/>
          </w:tcPr>
          <w:p w14:paraId="6F897CE5" w14:textId="77777777" w:rsidR="00515398" w:rsidRDefault="006711E6">
            <w:pPr>
              <w:pStyle w:val="P68B1DB1-Normal9"/>
              <w:spacing w:after="0" w:line="240" w:lineRule="auto"/>
              <w:rPr>
                <w:rFonts w:eastAsia="Times New Roman" w:cs="Calibri"/>
                <w:noProof/>
                <w:szCs w:val="18"/>
              </w:rPr>
            </w:pPr>
            <w:r>
              <w:rPr>
                <w:noProof/>
              </w:rPr>
              <w:t>2024</w:t>
            </w:r>
          </w:p>
        </w:tc>
        <w:tc>
          <w:tcPr>
            <w:tcW w:w="4090" w:type="dxa"/>
            <w:tcBorders>
              <w:top w:val="nil"/>
              <w:left w:val="nil"/>
              <w:bottom w:val="single" w:sz="4" w:space="0" w:color="auto"/>
              <w:right w:val="single" w:sz="4" w:space="0" w:color="auto"/>
            </w:tcBorders>
            <w:shd w:val="clear" w:color="auto" w:fill="C6EFCE"/>
            <w:noWrap/>
          </w:tcPr>
          <w:p w14:paraId="08895023" w14:textId="77777777" w:rsidR="00515398" w:rsidRDefault="006711E6">
            <w:pPr>
              <w:pStyle w:val="P68B1DB1-Normal9"/>
              <w:spacing w:after="0" w:line="240" w:lineRule="auto"/>
              <w:rPr>
                <w:rFonts w:eastAsia="Times New Roman" w:cs="Calibri"/>
                <w:noProof/>
                <w:szCs w:val="18"/>
              </w:rPr>
            </w:pPr>
            <w:r>
              <w:rPr>
                <w:noProof/>
              </w:rPr>
              <w:t xml:space="preserve">Dokončení projektu „Nová strategie a politiky </w:t>
            </w:r>
            <w:r>
              <w:rPr>
                <w:noProof/>
              </w:rPr>
              <w:t>kybernetické bezpečnosti ve veřejné správě“ provádějící změny, pokud jde o procesy a postupy týkající se kybernetické bezpečnosti, a zřízení a zprovoznění národního bezpečnostního operačního střediska (SOC) v souladu s novou strategií.</w:t>
            </w:r>
          </w:p>
        </w:tc>
      </w:tr>
      <w:tr w:rsidR="00515398" w14:paraId="2791E1E8"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C53FB44" w14:textId="77777777" w:rsidR="00515398" w:rsidRDefault="006711E6">
            <w:pPr>
              <w:pStyle w:val="P68B1DB1-Normal9"/>
              <w:spacing w:after="0" w:line="240" w:lineRule="auto"/>
              <w:rPr>
                <w:rFonts w:eastAsia="Times New Roman" w:cs="Calibri"/>
                <w:noProof/>
                <w:szCs w:val="18"/>
              </w:rPr>
            </w:pPr>
            <w:r>
              <w:rPr>
                <w:noProof/>
              </w:rPr>
              <w:t>113</w:t>
            </w:r>
          </w:p>
        </w:tc>
        <w:tc>
          <w:tcPr>
            <w:tcW w:w="1855" w:type="dxa"/>
            <w:tcBorders>
              <w:top w:val="nil"/>
              <w:left w:val="nil"/>
              <w:bottom w:val="single" w:sz="4" w:space="0" w:color="auto"/>
              <w:right w:val="single" w:sz="4" w:space="0" w:color="auto"/>
            </w:tcBorders>
            <w:shd w:val="clear" w:color="auto" w:fill="C6EFCE"/>
            <w:noWrap/>
          </w:tcPr>
          <w:p w14:paraId="1CDB5678" w14:textId="77777777" w:rsidR="00515398" w:rsidRDefault="006711E6">
            <w:pPr>
              <w:pStyle w:val="P68B1DB1-Normal9"/>
              <w:spacing w:after="0" w:line="240" w:lineRule="auto"/>
              <w:rPr>
                <w:rFonts w:eastAsia="Times New Roman" w:cs="Calibri"/>
                <w:noProof/>
                <w:szCs w:val="18"/>
              </w:rPr>
            </w:pPr>
            <w:r>
              <w:rPr>
                <w:noProof/>
              </w:rPr>
              <w:t xml:space="preserve">6–2.2. </w:t>
            </w:r>
            <w:r>
              <w:rPr>
                <w:noProof/>
              </w:rPr>
              <w:t>Modernizace – 16738_Centrální systém správy dokumentů</w:t>
            </w:r>
          </w:p>
        </w:tc>
        <w:tc>
          <w:tcPr>
            <w:tcW w:w="1101" w:type="dxa"/>
            <w:tcBorders>
              <w:top w:val="nil"/>
              <w:left w:val="nil"/>
              <w:bottom w:val="single" w:sz="4" w:space="0" w:color="auto"/>
              <w:right w:val="single" w:sz="4" w:space="0" w:color="auto"/>
            </w:tcBorders>
            <w:shd w:val="clear" w:color="auto" w:fill="C6EFCE"/>
            <w:noWrap/>
          </w:tcPr>
          <w:p w14:paraId="2590E940"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435103CF" w14:textId="77777777" w:rsidR="00515398" w:rsidRDefault="006711E6">
            <w:pPr>
              <w:pStyle w:val="P68B1DB1-Normal9"/>
              <w:spacing w:after="0" w:line="240" w:lineRule="auto"/>
              <w:rPr>
                <w:rFonts w:eastAsia="Times New Roman" w:cs="Calibri"/>
                <w:noProof/>
                <w:szCs w:val="18"/>
              </w:rPr>
            </w:pPr>
            <w:r>
              <w:rPr>
                <w:noProof/>
              </w:rPr>
              <w:t xml:space="preserve">Dokončení projektu Centrálního systému správy dokumentů </w:t>
            </w:r>
          </w:p>
        </w:tc>
        <w:tc>
          <w:tcPr>
            <w:tcW w:w="1514" w:type="dxa"/>
            <w:tcBorders>
              <w:top w:val="nil"/>
              <w:left w:val="nil"/>
              <w:bottom w:val="single" w:sz="4" w:space="0" w:color="auto"/>
              <w:right w:val="single" w:sz="4" w:space="0" w:color="auto"/>
            </w:tcBorders>
            <w:shd w:val="clear" w:color="auto" w:fill="C6EFCE"/>
            <w:noWrap/>
          </w:tcPr>
          <w:p w14:paraId="160BE196" w14:textId="77777777" w:rsidR="00515398" w:rsidRDefault="006711E6">
            <w:pPr>
              <w:pStyle w:val="P68B1DB1-Normal9"/>
              <w:spacing w:after="0" w:line="240" w:lineRule="auto"/>
              <w:rPr>
                <w:rFonts w:eastAsia="Times New Roman" w:cs="Calibri"/>
                <w:noProof/>
                <w:szCs w:val="18"/>
              </w:rPr>
            </w:pPr>
            <w:r>
              <w:rPr>
                <w:noProof/>
              </w:rPr>
              <w:t>Závěrečná zpráva ministerstva pro digitální správu dokumentující dokončení centrálního systému pro správu dokumentů</w:t>
            </w:r>
          </w:p>
        </w:tc>
        <w:tc>
          <w:tcPr>
            <w:tcW w:w="937" w:type="dxa"/>
            <w:tcBorders>
              <w:top w:val="nil"/>
              <w:left w:val="nil"/>
              <w:bottom w:val="single" w:sz="4" w:space="0" w:color="auto"/>
              <w:right w:val="single" w:sz="4" w:space="0" w:color="auto"/>
            </w:tcBorders>
            <w:shd w:val="clear" w:color="auto" w:fill="C6EFCE"/>
            <w:noWrap/>
          </w:tcPr>
          <w:p w14:paraId="60D9F29C"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43D3094"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5A7D5270"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4D08721" w14:textId="77777777" w:rsidR="00515398" w:rsidRDefault="006711E6">
            <w:pPr>
              <w:pStyle w:val="P68B1DB1-Normal9"/>
              <w:spacing w:after="0" w:line="240" w:lineRule="auto"/>
              <w:rPr>
                <w:rFonts w:eastAsia="Times New Roman" w:cs="Calibri"/>
                <w:noProof/>
                <w:szCs w:val="18"/>
              </w:rPr>
            </w:pPr>
            <w:r>
              <w:rPr>
                <w:noProof/>
              </w:rPr>
              <w:t>ČTVRTLETÍ</w:t>
            </w:r>
          </w:p>
        </w:tc>
        <w:tc>
          <w:tcPr>
            <w:tcW w:w="680" w:type="dxa"/>
            <w:tcBorders>
              <w:top w:val="nil"/>
              <w:left w:val="nil"/>
              <w:bottom w:val="single" w:sz="4" w:space="0" w:color="auto"/>
              <w:right w:val="single" w:sz="4" w:space="0" w:color="auto"/>
            </w:tcBorders>
            <w:shd w:val="clear" w:color="auto" w:fill="C6EFCE"/>
            <w:noWrap/>
          </w:tcPr>
          <w:p w14:paraId="1EDCBACE" w14:textId="2C02C3A2" w:rsidR="00515398" w:rsidRDefault="006711E6">
            <w:pPr>
              <w:pStyle w:val="P68B1DB1-Normal10"/>
              <w:spacing w:after="0" w:line="240" w:lineRule="auto"/>
              <w:rPr>
                <w:rFonts w:eastAsia="Times New Roman" w:cs="Calibri"/>
                <w:noProof/>
              </w:rPr>
            </w:pPr>
            <w:r>
              <w:rPr>
                <w:noProof/>
              </w:rPr>
              <w:t>2024</w:t>
            </w:r>
          </w:p>
        </w:tc>
        <w:tc>
          <w:tcPr>
            <w:tcW w:w="4090" w:type="dxa"/>
            <w:tcBorders>
              <w:top w:val="nil"/>
              <w:left w:val="nil"/>
              <w:bottom w:val="single" w:sz="4" w:space="0" w:color="auto"/>
              <w:right w:val="single" w:sz="4" w:space="0" w:color="auto"/>
            </w:tcBorders>
            <w:shd w:val="clear" w:color="auto" w:fill="C6EFCE"/>
            <w:noWrap/>
          </w:tcPr>
          <w:p w14:paraId="14F7450F" w14:textId="0038A392" w:rsidR="00515398" w:rsidRDefault="006711E6">
            <w:pPr>
              <w:pStyle w:val="P68B1DB1-Normal10"/>
              <w:spacing w:after="0" w:line="240" w:lineRule="auto"/>
              <w:rPr>
                <w:noProof/>
              </w:rPr>
            </w:pPr>
            <w:r>
              <w:rPr>
                <w:noProof/>
              </w:rPr>
              <w:t xml:space="preserve">Ústřední systém pro správu dokladů je v provozu, včetně dodávek </w:t>
            </w:r>
          </w:p>
          <w:p w14:paraId="6D210A37" w14:textId="69327FF1" w:rsidR="00515398" w:rsidRDefault="006711E6">
            <w:pPr>
              <w:pStyle w:val="P68B1DB1-Normal9"/>
              <w:spacing w:after="0" w:line="240" w:lineRule="auto"/>
              <w:rPr>
                <w:rFonts w:eastAsia="Times New Roman" w:cs="Calibri"/>
                <w:noProof/>
                <w:szCs w:val="18"/>
              </w:rPr>
            </w:pPr>
            <w:r>
              <w:rPr>
                <w:noProof/>
              </w:rPr>
              <w:t>20000 schválených digitálních podpisů na dálku podpořených aplikacemi a asistenční službou.</w:t>
            </w:r>
          </w:p>
        </w:tc>
      </w:tr>
      <w:tr w:rsidR="00515398" w14:paraId="3B176CF9"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229459EC" w14:textId="77777777" w:rsidR="00515398" w:rsidRDefault="006711E6">
            <w:pPr>
              <w:pStyle w:val="P68B1DB1-Normal9"/>
              <w:spacing w:after="0" w:line="240" w:lineRule="auto"/>
              <w:rPr>
                <w:rFonts w:eastAsia="Times New Roman" w:cs="Calibri"/>
                <w:noProof/>
                <w:szCs w:val="18"/>
              </w:rPr>
            </w:pPr>
            <w:r>
              <w:rPr>
                <w:noProof/>
              </w:rPr>
              <w:t>114</w:t>
            </w:r>
          </w:p>
        </w:tc>
        <w:tc>
          <w:tcPr>
            <w:tcW w:w="1855" w:type="dxa"/>
            <w:tcBorders>
              <w:top w:val="nil"/>
              <w:left w:val="nil"/>
              <w:bottom w:val="single" w:sz="4" w:space="0" w:color="auto"/>
              <w:right w:val="single" w:sz="4" w:space="0" w:color="auto"/>
            </w:tcBorders>
            <w:shd w:val="clear" w:color="auto" w:fill="C6EFCE"/>
            <w:noWrap/>
          </w:tcPr>
          <w:p w14:paraId="304A8801" w14:textId="77777777" w:rsidR="00515398" w:rsidRDefault="006711E6">
            <w:pPr>
              <w:pStyle w:val="P68B1DB1-Normal9"/>
              <w:spacing w:after="0" w:line="240" w:lineRule="auto"/>
              <w:rPr>
                <w:rFonts w:eastAsia="Times New Roman" w:cs="Calibri"/>
                <w:noProof/>
                <w:szCs w:val="18"/>
              </w:rPr>
            </w:pPr>
            <w:r>
              <w:rPr>
                <w:noProof/>
              </w:rPr>
              <w:t>6–2.2. Modernizace – 16742_Digitální transformace ministerstva zahraničních věcí</w:t>
            </w:r>
          </w:p>
        </w:tc>
        <w:tc>
          <w:tcPr>
            <w:tcW w:w="1101" w:type="dxa"/>
            <w:tcBorders>
              <w:top w:val="nil"/>
              <w:left w:val="nil"/>
              <w:bottom w:val="single" w:sz="4" w:space="0" w:color="auto"/>
              <w:right w:val="single" w:sz="4" w:space="0" w:color="auto"/>
            </w:tcBorders>
            <w:shd w:val="clear" w:color="auto" w:fill="C6EFCE"/>
            <w:noWrap/>
          </w:tcPr>
          <w:p w14:paraId="36505CF7"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440B37F6" w14:textId="77777777" w:rsidR="00515398" w:rsidRDefault="006711E6">
            <w:pPr>
              <w:pStyle w:val="P68B1DB1-Normal9"/>
              <w:spacing w:after="0" w:line="240" w:lineRule="auto"/>
              <w:rPr>
                <w:rFonts w:eastAsia="Times New Roman" w:cs="Calibri"/>
                <w:noProof/>
                <w:szCs w:val="18"/>
              </w:rPr>
            </w:pPr>
            <w:r>
              <w:rPr>
                <w:noProof/>
              </w:rPr>
              <w:t>Dokončení digitální transformace ministerstva zahraničních věcí</w:t>
            </w:r>
          </w:p>
        </w:tc>
        <w:tc>
          <w:tcPr>
            <w:tcW w:w="1514" w:type="dxa"/>
            <w:tcBorders>
              <w:top w:val="nil"/>
              <w:left w:val="nil"/>
              <w:bottom w:val="single" w:sz="4" w:space="0" w:color="auto"/>
              <w:right w:val="single" w:sz="4" w:space="0" w:color="auto"/>
            </w:tcBorders>
            <w:shd w:val="clear" w:color="auto" w:fill="C6EFCE"/>
            <w:noWrap/>
          </w:tcPr>
          <w:p w14:paraId="7D6EB619" w14:textId="77777777" w:rsidR="00515398" w:rsidRDefault="006711E6">
            <w:pPr>
              <w:pStyle w:val="P68B1DB1-Normal9"/>
              <w:spacing w:after="0" w:line="240" w:lineRule="auto"/>
              <w:rPr>
                <w:rFonts w:eastAsia="Times New Roman" w:cs="Calibri"/>
                <w:noProof/>
                <w:szCs w:val="18"/>
              </w:rPr>
            </w:pPr>
            <w:r>
              <w:rPr>
                <w:noProof/>
              </w:rPr>
              <w:t>Zpráva Ministerstva zahraničních věcí dokumentující dokončení všech dílčích projektů projektu „Digitalizace ministerstva zahraničních věcí“</w:t>
            </w:r>
          </w:p>
        </w:tc>
        <w:tc>
          <w:tcPr>
            <w:tcW w:w="937" w:type="dxa"/>
            <w:tcBorders>
              <w:top w:val="nil"/>
              <w:left w:val="nil"/>
              <w:bottom w:val="single" w:sz="4" w:space="0" w:color="auto"/>
              <w:right w:val="single" w:sz="4" w:space="0" w:color="auto"/>
            </w:tcBorders>
            <w:shd w:val="clear" w:color="auto" w:fill="C6EFCE"/>
            <w:noWrap/>
          </w:tcPr>
          <w:p w14:paraId="1B4CE634"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70281BF3"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DC528EC"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1FBFB217" w14:textId="77777777" w:rsidR="00515398" w:rsidRDefault="006711E6">
            <w:pPr>
              <w:pStyle w:val="P68B1DB1-Normal9"/>
              <w:spacing w:after="0" w:line="240" w:lineRule="auto"/>
              <w:rPr>
                <w:rFonts w:eastAsia="Times New Roman" w:cs="Calibri"/>
                <w:noProof/>
                <w:szCs w:val="18"/>
              </w:rPr>
            </w:pPr>
            <w:r>
              <w:rPr>
                <w:noProof/>
              </w:rPr>
              <w:t>ČTVRTLETÍ</w:t>
            </w:r>
          </w:p>
        </w:tc>
        <w:tc>
          <w:tcPr>
            <w:tcW w:w="680" w:type="dxa"/>
            <w:tcBorders>
              <w:top w:val="nil"/>
              <w:left w:val="nil"/>
              <w:bottom w:val="single" w:sz="4" w:space="0" w:color="auto"/>
              <w:right w:val="single" w:sz="4" w:space="0" w:color="auto"/>
            </w:tcBorders>
            <w:shd w:val="clear" w:color="auto" w:fill="C6EFCE"/>
            <w:noWrap/>
          </w:tcPr>
          <w:p w14:paraId="181FD35B" w14:textId="77777777" w:rsidR="00515398" w:rsidRDefault="006711E6">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17FC09FA" w14:textId="77777777" w:rsidR="00515398" w:rsidRDefault="006711E6">
            <w:pPr>
              <w:pStyle w:val="P68B1DB1-Normal9"/>
              <w:spacing w:after="0" w:line="240" w:lineRule="auto"/>
              <w:rPr>
                <w:rFonts w:eastAsia="Times New Roman" w:cs="Calibri"/>
                <w:noProof/>
                <w:szCs w:val="18"/>
              </w:rPr>
            </w:pPr>
            <w:r>
              <w:rPr>
                <w:noProof/>
              </w:rPr>
              <w:t xml:space="preserve">Dokončení digitální transformace </w:t>
            </w:r>
            <w:r>
              <w:rPr>
                <w:noProof/>
              </w:rPr>
              <w:t>ministerstva zahraničních věcí, včetně 1) podpůrného systému strategického a operačního plánování, 2) digitalizace diplomatického a historického archivu, 3) platformy globálního digitálního informačního centra a 4) modernizace infrastruktury pro zabezpečen</w:t>
            </w:r>
            <w:r>
              <w:rPr>
                <w:noProof/>
              </w:rPr>
              <w:t>í kryptografických informačních technologií a telekomunikací.</w:t>
            </w:r>
          </w:p>
        </w:tc>
      </w:tr>
      <w:tr w:rsidR="00515398" w14:paraId="116B46E7"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0CBC6C4B" w14:textId="77777777" w:rsidR="00515398" w:rsidRDefault="006711E6">
            <w:pPr>
              <w:pStyle w:val="P68B1DB1-Normal9"/>
              <w:spacing w:after="0" w:line="240" w:lineRule="auto"/>
              <w:rPr>
                <w:rFonts w:eastAsia="Times New Roman" w:cs="Calibri"/>
                <w:noProof/>
                <w:szCs w:val="18"/>
              </w:rPr>
            </w:pPr>
            <w:r>
              <w:rPr>
                <w:noProof/>
              </w:rPr>
              <w:t>115</w:t>
            </w:r>
          </w:p>
        </w:tc>
        <w:tc>
          <w:tcPr>
            <w:tcW w:w="1855" w:type="dxa"/>
            <w:tcBorders>
              <w:top w:val="nil"/>
              <w:left w:val="nil"/>
              <w:bottom w:val="single" w:sz="4" w:space="0" w:color="auto"/>
              <w:right w:val="single" w:sz="4" w:space="0" w:color="auto"/>
            </w:tcBorders>
            <w:shd w:val="clear" w:color="auto" w:fill="C6EFCE"/>
            <w:noWrap/>
          </w:tcPr>
          <w:p w14:paraId="339338F0" w14:textId="77777777" w:rsidR="00515398" w:rsidRDefault="006711E6">
            <w:pPr>
              <w:pStyle w:val="P68B1DB1-Normal9"/>
              <w:spacing w:after="0" w:line="240" w:lineRule="auto"/>
              <w:rPr>
                <w:rFonts w:eastAsia="Times New Roman" w:cs="Calibri"/>
                <w:noProof/>
                <w:szCs w:val="18"/>
              </w:rPr>
            </w:pPr>
            <w:r>
              <w:rPr>
                <w:noProof/>
              </w:rPr>
              <w:t>6–2.2. Modernizace – 16791_Digitální transformace řecké národní organizace cestovního ruchu</w:t>
            </w:r>
          </w:p>
        </w:tc>
        <w:tc>
          <w:tcPr>
            <w:tcW w:w="1101" w:type="dxa"/>
            <w:tcBorders>
              <w:top w:val="nil"/>
              <w:left w:val="nil"/>
              <w:bottom w:val="single" w:sz="4" w:space="0" w:color="auto"/>
              <w:right w:val="single" w:sz="4" w:space="0" w:color="auto"/>
            </w:tcBorders>
            <w:shd w:val="clear" w:color="auto" w:fill="C6EFCE"/>
            <w:noWrap/>
          </w:tcPr>
          <w:p w14:paraId="31FC11CD"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2E43AB4F" w14:textId="77777777" w:rsidR="00515398" w:rsidRDefault="006711E6">
            <w:pPr>
              <w:pStyle w:val="P68B1DB1-Normal9"/>
              <w:spacing w:after="0" w:line="240" w:lineRule="auto"/>
              <w:rPr>
                <w:rFonts w:eastAsia="Times New Roman" w:cs="Calibri"/>
                <w:noProof/>
                <w:szCs w:val="18"/>
              </w:rPr>
            </w:pPr>
            <w:r>
              <w:rPr>
                <w:noProof/>
              </w:rPr>
              <w:t xml:space="preserve">Dokončení digitalizace řecké národní organizace cestovního ruchu </w:t>
            </w:r>
          </w:p>
        </w:tc>
        <w:tc>
          <w:tcPr>
            <w:tcW w:w="1514" w:type="dxa"/>
            <w:tcBorders>
              <w:top w:val="nil"/>
              <w:left w:val="nil"/>
              <w:bottom w:val="single" w:sz="4" w:space="0" w:color="auto"/>
              <w:right w:val="single" w:sz="4" w:space="0" w:color="auto"/>
            </w:tcBorders>
            <w:shd w:val="clear" w:color="auto" w:fill="C6EFCE"/>
            <w:noWrap/>
          </w:tcPr>
          <w:p w14:paraId="750FB443" w14:textId="77777777" w:rsidR="00515398" w:rsidRDefault="006711E6">
            <w:pPr>
              <w:pStyle w:val="P68B1DB1-Normal9"/>
              <w:spacing w:after="0" w:line="240" w:lineRule="auto"/>
              <w:rPr>
                <w:rFonts w:eastAsia="Times New Roman" w:cs="Calibri"/>
                <w:noProof/>
                <w:szCs w:val="18"/>
              </w:rPr>
            </w:pPr>
            <w:r>
              <w:rPr>
                <w:noProof/>
              </w:rPr>
              <w:t>Zpráva řecké národní organizace cestovního ruchu dokumentující dokončení projektu „Digitální transformace řecké národní organizace cestovního ruchu“</w:t>
            </w:r>
          </w:p>
        </w:tc>
        <w:tc>
          <w:tcPr>
            <w:tcW w:w="937" w:type="dxa"/>
            <w:tcBorders>
              <w:top w:val="nil"/>
              <w:left w:val="nil"/>
              <w:bottom w:val="single" w:sz="4" w:space="0" w:color="auto"/>
              <w:right w:val="single" w:sz="4" w:space="0" w:color="auto"/>
            </w:tcBorders>
            <w:shd w:val="clear" w:color="auto" w:fill="C6EFCE"/>
            <w:noWrap/>
          </w:tcPr>
          <w:p w14:paraId="768361E0"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94ED22D"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FE1CF4E"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24DABDB4" w14:textId="77777777" w:rsidR="00515398" w:rsidRDefault="006711E6">
            <w:pPr>
              <w:pStyle w:val="P68B1DB1-Normal9"/>
              <w:spacing w:after="0" w:line="240" w:lineRule="auto"/>
              <w:rPr>
                <w:rFonts w:eastAsia="Times New Roman" w:cs="Calibri"/>
                <w:noProof/>
                <w:szCs w:val="18"/>
              </w:rPr>
            </w:pPr>
            <w:r>
              <w:rPr>
                <w:noProof/>
              </w:rPr>
              <w:t>ČTVRTLETÍ</w:t>
            </w:r>
          </w:p>
        </w:tc>
        <w:tc>
          <w:tcPr>
            <w:tcW w:w="680" w:type="dxa"/>
            <w:tcBorders>
              <w:top w:val="nil"/>
              <w:left w:val="nil"/>
              <w:bottom w:val="single" w:sz="4" w:space="0" w:color="auto"/>
              <w:right w:val="single" w:sz="4" w:space="0" w:color="auto"/>
            </w:tcBorders>
            <w:shd w:val="clear" w:color="auto" w:fill="C6EFCE"/>
            <w:noWrap/>
          </w:tcPr>
          <w:p w14:paraId="76AC581C" w14:textId="77777777" w:rsidR="00515398" w:rsidRDefault="006711E6">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4CBD3371" w14:textId="77777777" w:rsidR="00515398" w:rsidRDefault="006711E6">
            <w:pPr>
              <w:pStyle w:val="P68B1DB1-Normal9"/>
              <w:spacing w:after="0" w:line="240" w:lineRule="auto"/>
              <w:rPr>
                <w:rFonts w:eastAsia="Times New Roman" w:cs="Calibri"/>
                <w:noProof/>
                <w:szCs w:val="18"/>
              </w:rPr>
            </w:pPr>
            <w:r>
              <w:rPr>
                <w:noProof/>
              </w:rPr>
              <w:t>Dokončení digitální transformace řecké národní organizace cestovního ruchu, včetně vytvoř</w:t>
            </w:r>
            <w:r>
              <w:rPr>
                <w:noProof/>
              </w:rPr>
              <w:t>ení 1) digitální turistické mapy, 2) digitálního úložiště řeckých kulturních statků a 3) nového systému informací o cestovním ruchu.</w:t>
            </w:r>
          </w:p>
        </w:tc>
      </w:tr>
      <w:tr w:rsidR="00515398" w14:paraId="6F38ACFE"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5B8BBF05" w14:textId="77777777" w:rsidR="00515398" w:rsidRDefault="006711E6">
            <w:pPr>
              <w:pStyle w:val="P68B1DB1-Normal9"/>
              <w:spacing w:after="0" w:line="240" w:lineRule="auto"/>
              <w:rPr>
                <w:rFonts w:eastAsia="Times New Roman" w:cs="Calibri"/>
                <w:noProof/>
                <w:szCs w:val="18"/>
              </w:rPr>
            </w:pPr>
            <w:r>
              <w:rPr>
                <w:noProof/>
              </w:rPr>
              <w:t>116</w:t>
            </w:r>
          </w:p>
        </w:tc>
        <w:tc>
          <w:tcPr>
            <w:tcW w:w="1855" w:type="dxa"/>
            <w:tcBorders>
              <w:top w:val="nil"/>
              <w:left w:val="nil"/>
              <w:bottom w:val="single" w:sz="4" w:space="0" w:color="auto"/>
              <w:right w:val="single" w:sz="4" w:space="0" w:color="auto"/>
            </w:tcBorders>
            <w:shd w:val="clear" w:color="auto" w:fill="C6EFCE"/>
            <w:noWrap/>
          </w:tcPr>
          <w:p w14:paraId="1B2BF803" w14:textId="77777777" w:rsidR="00515398" w:rsidRDefault="006711E6">
            <w:pPr>
              <w:pStyle w:val="P68B1DB1-Normal9"/>
              <w:spacing w:after="0" w:line="240" w:lineRule="auto"/>
              <w:rPr>
                <w:rFonts w:eastAsia="Times New Roman" w:cs="Calibri"/>
                <w:noProof/>
                <w:szCs w:val="18"/>
              </w:rPr>
            </w:pPr>
            <w:r>
              <w:rPr>
                <w:noProof/>
              </w:rPr>
              <w:t>6–2.2. Modernizace – 16964_Next-generační centrum interoperability (KED)</w:t>
            </w:r>
          </w:p>
        </w:tc>
        <w:tc>
          <w:tcPr>
            <w:tcW w:w="1101" w:type="dxa"/>
            <w:tcBorders>
              <w:top w:val="nil"/>
              <w:left w:val="nil"/>
              <w:bottom w:val="single" w:sz="4" w:space="0" w:color="auto"/>
              <w:right w:val="single" w:sz="4" w:space="0" w:color="auto"/>
            </w:tcBorders>
            <w:shd w:val="clear" w:color="auto" w:fill="C6EFCE"/>
            <w:noWrap/>
          </w:tcPr>
          <w:p w14:paraId="00D652BA"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39304F8F" w14:textId="77777777" w:rsidR="00515398" w:rsidRDefault="006711E6">
            <w:pPr>
              <w:pStyle w:val="P68B1DB1-Normal9"/>
              <w:spacing w:after="0" w:line="240" w:lineRule="auto"/>
              <w:rPr>
                <w:rFonts w:eastAsia="Times New Roman" w:cs="Calibri"/>
                <w:noProof/>
                <w:szCs w:val="18"/>
              </w:rPr>
            </w:pPr>
            <w:r>
              <w:rPr>
                <w:noProof/>
              </w:rPr>
              <w:t xml:space="preserve">Dokončení centra interoperability </w:t>
            </w:r>
            <w:r>
              <w:rPr>
                <w:noProof/>
              </w:rPr>
              <w:t>příští generace</w:t>
            </w:r>
          </w:p>
        </w:tc>
        <w:tc>
          <w:tcPr>
            <w:tcW w:w="1514" w:type="dxa"/>
            <w:tcBorders>
              <w:top w:val="nil"/>
              <w:left w:val="nil"/>
              <w:bottom w:val="single" w:sz="4" w:space="0" w:color="auto"/>
              <w:right w:val="single" w:sz="4" w:space="0" w:color="auto"/>
            </w:tcBorders>
            <w:shd w:val="clear" w:color="auto" w:fill="C6EFCE"/>
            <w:noWrap/>
          </w:tcPr>
          <w:p w14:paraId="0D68FE50" w14:textId="77777777" w:rsidR="00515398" w:rsidRDefault="006711E6">
            <w:pPr>
              <w:pStyle w:val="P68B1DB1-Normal9"/>
              <w:spacing w:after="0" w:line="240" w:lineRule="auto"/>
              <w:rPr>
                <w:rFonts w:eastAsia="Times New Roman" w:cs="Calibri"/>
                <w:noProof/>
                <w:szCs w:val="18"/>
              </w:rPr>
            </w:pPr>
            <w:r>
              <w:rPr>
                <w:noProof/>
              </w:rPr>
              <w:t>Zpráva ministerstva pro digitální správu dokumentující dokončení projektu „Centrum interoperability nové generace“.</w:t>
            </w:r>
          </w:p>
        </w:tc>
        <w:tc>
          <w:tcPr>
            <w:tcW w:w="937" w:type="dxa"/>
            <w:tcBorders>
              <w:top w:val="nil"/>
              <w:left w:val="nil"/>
              <w:bottom w:val="single" w:sz="4" w:space="0" w:color="auto"/>
              <w:right w:val="single" w:sz="4" w:space="0" w:color="auto"/>
            </w:tcBorders>
            <w:shd w:val="clear" w:color="auto" w:fill="C6EFCE"/>
            <w:noWrap/>
          </w:tcPr>
          <w:p w14:paraId="0FF10E72"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2DC3D48D"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4CBDF459"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2E53CCFB" w14:textId="77777777" w:rsidR="00515398" w:rsidRDefault="006711E6">
            <w:pPr>
              <w:pStyle w:val="P68B1DB1-Normal9"/>
              <w:spacing w:after="0" w:line="240" w:lineRule="auto"/>
              <w:rPr>
                <w:rFonts w:eastAsia="Times New Roman" w:cs="Calibri"/>
                <w:noProof/>
                <w:szCs w:val="18"/>
              </w:rPr>
            </w:pPr>
            <w:r>
              <w:rPr>
                <w:noProof/>
              </w:rPr>
              <w:t>ČTVRTLETÍ</w:t>
            </w:r>
          </w:p>
        </w:tc>
        <w:tc>
          <w:tcPr>
            <w:tcW w:w="680" w:type="dxa"/>
            <w:tcBorders>
              <w:top w:val="nil"/>
              <w:left w:val="nil"/>
              <w:bottom w:val="single" w:sz="4" w:space="0" w:color="auto"/>
              <w:right w:val="single" w:sz="4" w:space="0" w:color="auto"/>
            </w:tcBorders>
            <w:shd w:val="clear" w:color="auto" w:fill="C6EFCE"/>
            <w:noWrap/>
          </w:tcPr>
          <w:p w14:paraId="5FEB7A12" w14:textId="77777777" w:rsidR="00515398" w:rsidRDefault="006711E6">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67B6E9EA" w14:textId="77777777" w:rsidR="00515398" w:rsidRDefault="006711E6">
            <w:pPr>
              <w:pStyle w:val="P68B1DB1-Normal9"/>
              <w:spacing w:after="0" w:line="240" w:lineRule="auto"/>
              <w:rPr>
                <w:rFonts w:eastAsia="Times New Roman" w:cs="Calibri"/>
                <w:noProof/>
                <w:szCs w:val="18"/>
              </w:rPr>
            </w:pPr>
            <w:r>
              <w:rPr>
                <w:noProof/>
              </w:rPr>
              <w:t xml:space="preserve">Dokončení Střediska interoperability příští generace (KED), včetně dokončení studie proveditelnosti a </w:t>
            </w:r>
            <w:r>
              <w:rPr>
                <w:noProof/>
              </w:rPr>
              <w:t>bezpečnosti, dodávky a instalace požadovaných licencí pro platformu pro databázové a hybridní cloudové aplikace a zřízení střediska a zavedení příslušných internetových služeb.</w:t>
            </w:r>
          </w:p>
        </w:tc>
      </w:tr>
      <w:tr w:rsidR="00515398" w14:paraId="3B33985D" w14:textId="77777777">
        <w:trPr>
          <w:trHeight w:val="313"/>
          <w:jc w:val="center"/>
        </w:trPr>
        <w:tc>
          <w:tcPr>
            <w:tcW w:w="1080" w:type="dxa"/>
            <w:tcBorders>
              <w:top w:val="nil"/>
              <w:left w:val="single" w:sz="4" w:space="0" w:color="auto"/>
              <w:bottom w:val="single" w:sz="4" w:space="0" w:color="auto"/>
              <w:right w:val="single" w:sz="4" w:space="0" w:color="auto"/>
            </w:tcBorders>
            <w:shd w:val="clear" w:color="auto" w:fill="C6EFCE"/>
            <w:noWrap/>
          </w:tcPr>
          <w:p w14:paraId="6C517732" w14:textId="77777777" w:rsidR="00515398" w:rsidRDefault="006711E6">
            <w:pPr>
              <w:pStyle w:val="P68B1DB1-Normal9"/>
              <w:spacing w:after="0" w:line="240" w:lineRule="auto"/>
              <w:rPr>
                <w:rFonts w:eastAsia="Times New Roman" w:cs="Calibri"/>
                <w:noProof/>
                <w:szCs w:val="18"/>
              </w:rPr>
            </w:pPr>
            <w:r>
              <w:rPr>
                <w:noProof/>
              </w:rPr>
              <w:t>117</w:t>
            </w:r>
          </w:p>
        </w:tc>
        <w:tc>
          <w:tcPr>
            <w:tcW w:w="1855" w:type="dxa"/>
            <w:tcBorders>
              <w:top w:val="nil"/>
              <w:left w:val="nil"/>
              <w:bottom w:val="single" w:sz="4" w:space="0" w:color="auto"/>
              <w:right w:val="single" w:sz="4" w:space="0" w:color="auto"/>
            </w:tcBorders>
            <w:shd w:val="clear" w:color="auto" w:fill="C6EFCE"/>
            <w:noWrap/>
          </w:tcPr>
          <w:p w14:paraId="0C569ACD" w14:textId="77777777" w:rsidR="00515398" w:rsidRDefault="006711E6">
            <w:pPr>
              <w:pStyle w:val="P68B1DB1-Normal9"/>
              <w:spacing w:after="0" w:line="240" w:lineRule="auto"/>
              <w:rPr>
                <w:rFonts w:eastAsia="Times New Roman" w:cs="Calibri"/>
                <w:noProof/>
                <w:szCs w:val="18"/>
              </w:rPr>
            </w:pPr>
            <w:r>
              <w:rPr>
                <w:noProof/>
              </w:rPr>
              <w:t>6–2.2. Modernizace – 16785_Registr cestovního ruchu e-MHTE</w:t>
            </w:r>
          </w:p>
        </w:tc>
        <w:tc>
          <w:tcPr>
            <w:tcW w:w="1101" w:type="dxa"/>
            <w:tcBorders>
              <w:top w:val="nil"/>
              <w:left w:val="nil"/>
              <w:bottom w:val="single" w:sz="4" w:space="0" w:color="auto"/>
              <w:right w:val="single" w:sz="4" w:space="0" w:color="auto"/>
            </w:tcBorders>
            <w:shd w:val="clear" w:color="auto" w:fill="C6EFCE"/>
            <w:noWrap/>
          </w:tcPr>
          <w:p w14:paraId="717D51A8"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nil"/>
              <w:left w:val="nil"/>
              <w:bottom w:val="single" w:sz="4" w:space="0" w:color="auto"/>
              <w:right w:val="single" w:sz="4" w:space="0" w:color="auto"/>
            </w:tcBorders>
            <w:shd w:val="clear" w:color="auto" w:fill="C6EFCE"/>
            <w:noWrap/>
          </w:tcPr>
          <w:p w14:paraId="6FB29A28" w14:textId="77777777" w:rsidR="00515398" w:rsidRDefault="006711E6">
            <w:pPr>
              <w:pStyle w:val="P68B1DB1-Normal9"/>
              <w:spacing w:after="0" w:line="240" w:lineRule="auto"/>
              <w:rPr>
                <w:rFonts w:eastAsia="Times New Roman" w:cs="Calibri"/>
                <w:noProof/>
                <w:szCs w:val="18"/>
              </w:rPr>
            </w:pPr>
            <w:r>
              <w:rPr>
                <w:noProof/>
              </w:rPr>
              <w:t xml:space="preserve">Dokončení digitálního registru cestovního ruchu </w:t>
            </w:r>
          </w:p>
        </w:tc>
        <w:tc>
          <w:tcPr>
            <w:tcW w:w="1514" w:type="dxa"/>
            <w:tcBorders>
              <w:top w:val="nil"/>
              <w:left w:val="nil"/>
              <w:bottom w:val="single" w:sz="4" w:space="0" w:color="auto"/>
              <w:right w:val="single" w:sz="4" w:space="0" w:color="auto"/>
            </w:tcBorders>
            <w:shd w:val="clear" w:color="auto" w:fill="C6EFCE"/>
            <w:noWrap/>
          </w:tcPr>
          <w:p w14:paraId="31D0E1C0" w14:textId="77777777" w:rsidR="00515398" w:rsidRDefault="006711E6">
            <w:pPr>
              <w:pStyle w:val="P68B1DB1-Normal9"/>
              <w:spacing w:after="0" w:line="240" w:lineRule="auto"/>
              <w:rPr>
                <w:rFonts w:eastAsia="Times New Roman" w:cs="Calibri"/>
                <w:noProof/>
                <w:szCs w:val="18"/>
              </w:rPr>
            </w:pPr>
            <w:r>
              <w:rPr>
                <w:noProof/>
              </w:rPr>
              <w:t>Závěrečná zpráva ministerstva cestovního ruchu dokumentující zprovoznění platformy „New e-MHTE“</w:t>
            </w:r>
          </w:p>
        </w:tc>
        <w:tc>
          <w:tcPr>
            <w:tcW w:w="937" w:type="dxa"/>
            <w:tcBorders>
              <w:top w:val="nil"/>
              <w:left w:val="nil"/>
              <w:bottom w:val="single" w:sz="4" w:space="0" w:color="auto"/>
              <w:right w:val="single" w:sz="4" w:space="0" w:color="auto"/>
            </w:tcBorders>
            <w:shd w:val="clear" w:color="auto" w:fill="C6EFCE"/>
            <w:noWrap/>
          </w:tcPr>
          <w:p w14:paraId="357147E9" w14:textId="77777777" w:rsidR="00515398" w:rsidRDefault="00515398">
            <w:pPr>
              <w:spacing w:after="0" w:line="240" w:lineRule="auto"/>
              <w:rPr>
                <w:rFonts w:eastAsia="Times New Roman" w:cs="Calibri"/>
                <w:noProof/>
                <w:color w:val="006100"/>
                <w:sz w:val="18"/>
                <w:szCs w:val="18"/>
              </w:rPr>
            </w:pPr>
          </w:p>
        </w:tc>
        <w:tc>
          <w:tcPr>
            <w:tcW w:w="1010" w:type="dxa"/>
            <w:tcBorders>
              <w:top w:val="nil"/>
              <w:left w:val="nil"/>
              <w:bottom w:val="single" w:sz="4" w:space="0" w:color="auto"/>
              <w:right w:val="single" w:sz="4" w:space="0" w:color="auto"/>
            </w:tcBorders>
            <w:shd w:val="clear" w:color="auto" w:fill="C6EFCE"/>
            <w:noWrap/>
          </w:tcPr>
          <w:p w14:paraId="55E08238" w14:textId="77777777" w:rsidR="00515398" w:rsidRDefault="00515398">
            <w:pPr>
              <w:spacing w:after="0" w:line="240" w:lineRule="auto"/>
              <w:rPr>
                <w:rFonts w:eastAsia="Times New Roman" w:cs="Calibri"/>
                <w:noProof/>
                <w:color w:val="006100"/>
                <w:sz w:val="18"/>
                <w:szCs w:val="18"/>
              </w:rPr>
            </w:pPr>
          </w:p>
        </w:tc>
        <w:tc>
          <w:tcPr>
            <w:tcW w:w="788" w:type="dxa"/>
            <w:tcBorders>
              <w:top w:val="nil"/>
              <w:left w:val="nil"/>
              <w:bottom w:val="single" w:sz="4" w:space="0" w:color="auto"/>
              <w:right w:val="single" w:sz="4" w:space="0" w:color="auto"/>
            </w:tcBorders>
            <w:shd w:val="clear" w:color="auto" w:fill="C6EFCE"/>
            <w:noWrap/>
          </w:tcPr>
          <w:p w14:paraId="20F0909D" w14:textId="77777777" w:rsidR="00515398" w:rsidRDefault="00515398">
            <w:pPr>
              <w:spacing w:after="0" w:line="240" w:lineRule="auto"/>
              <w:rPr>
                <w:rFonts w:eastAsia="Times New Roman" w:cs="Calibri"/>
                <w:noProof/>
                <w:color w:val="006100"/>
                <w:sz w:val="18"/>
                <w:szCs w:val="18"/>
              </w:rPr>
            </w:pPr>
          </w:p>
        </w:tc>
        <w:tc>
          <w:tcPr>
            <w:tcW w:w="947" w:type="dxa"/>
            <w:tcBorders>
              <w:top w:val="nil"/>
              <w:left w:val="nil"/>
              <w:bottom w:val="single" w:sz="4" w:space="0" w:color="auto"/>
              <w:right w:val="single" w:sz="4" w:space="0" w:color="auto"/>
            </w:tcBorders>
            <w:shd w:val="clear" w:color="auto" w:fill="C6EFCE"/>
            <w:noWrap/>
          </w:tcPr>
          <w:p w14:paraId="47E88A96" w14:textId="77777777" w:rsidR="00515398" w:rsidRDefault="006711E6">
            <w:pPr>
              <w:pStyle w:val="P68B1DB1-Normal9"/>
              <w:spacing w:after="0" w:line="240" w:lineRule="auto"/>
              <w:rPr>
                <w:rFonts w:eastAsia="Times New Roman" w:cs="Calibri"/>
                <w:noProof/>
                <w:szCs w:val="18"/>
              </w:rPr>
            </w:pPr>
            <w:r>
              <w:rPr>
                <w:noProof/>
              </w:rPr>
              <w:t>ČTVRTLETÍ</w:t>
            </w:r>
          </w:p>
        </w:tc>
        <w:tc>
          <w:tcPr>
            <w:tcW w:w="680" w:type="dxa"/>
            <w:tcBorders>
              <w:top w:val="nil"/>
              <w:left w:val="nil"/>
              <w:bottom w:val="single" w:sz="4" w:space="0" w:color="auto"/>
              <w:right w:val="single" w:sz="4" w:space="0" w:color="auto"/>
            </w:tcBorders>
            <w:shd w:val="clear" w:color="auto" w:fill="C6EFCE"/>
            <w:noWrap/>
          </w:tcPr>
          <w:p w14:paraId="3F197522" w14:textId="77777777" w:rsidR="00515398" w:rsidRDefault="006711E6">
            <w:pPr>
              <w:pStyle w:val="P68B1DB1-Normal9"/>
              <w:spacing w:after="0" w:line="240" w:lineRule="auto"/>
              <w:rPr>
                <w:rFonts w:eastAsia="Times New Roman" w:cs="Calibri"/>
                <w:noProof/>
                <w:szCs w:val="18"/>
              </w:rPr>
            </w:pPr>
            <w:r>
              <w:rPr>
                <w:noProof/>
              </w:rPr>
              <w:t>2025</w:t>
            </w:r>
          </w:p>
        </w:tc>
        <w:tc>
          <w:tcPr>
            <w:tcW w:w="4090" w:type="dxa"/>
            <w:tcBorders>
              <w:top w:val="nil"/>
              <w:left w:val="nil"/>
              <w:bottom w:val="single" w:sz="4" w:space="0" w:color="auto"/>
              <w:right w:val="single" w:sz="4" w:space="0" w:color="auto"/>
            </w:tcBorders>
            <w:shd w:val="clear" w:color="auto" w:fill="C6EFCE"/>
            <w:noWrap/>
          </w:tcPr>
          <w:p w14:paraId="4EAF6E9F" w14:textId="77FCD110" w:rsidR="00515398" w:rsidRDefault="006711E6">
            <w:pPr>
              <w:pStyle w:val="P68B1DB1-Normal23"/>
              <w:spacing w:after="0" w:line="240" w:lineRule="auto"/>
              <w:rPr>
                <w:rFonts w:eastAsia="Times New Roman" w:cs="Calibri"/>
                <w:noProof/>
                <w:sz w:val="18"/>
                <w:szCs w:val="18"/>
              </w:rPr>
            </w:pPr>
            <w:r>
              <w:rPr>
                <w:noProof/>
                <w:sz w:val="18"/>
              </w:rPr>
              <w:t>Dokončení platformy registru cestovního ruchu „e-MHTE“,</w:t>
            </w:r>
            <w:r>
              <w:rPr>
                <w:noProof/>
              </w:rPr>
              <w:t xml:space="preserve"> včetně dokončení digitalizace archivu (1875000 souborů odboru územního plánování a infrastruktury), včetně metataggování a ukládání. </w:t>
            </w:r>
          </w:p>
        </w:tc>
      </w:tr>
      <w:tr w:rsidR="00515398" w14:paraId="2D3DF8C5" w14:textId="77777777">
        <w:trPr>
          <w:trHeight w:val="313"/>
          <w:jc w:val="center"/>
        </w:trPr>
        <w:tc>
          <w:tcPr>
            <w:tcW w:w="1080" w:type="dxa"/>
            <w:tcBorders>
              <w:top w:val="single" w:sz="4" w:space="0" w:color="auto"/>
              <w:left w:val="single" w:sz="4" w:space="0" w:color="auto"/>
              <w:bottom w:val="single" w:sz="4" w:space="0" w:color="auto"/>
              <w:right w:val="single" w:sz="4" w:space="0" w:color="auto"/>
            </w:tcBorders>
            <w:shd w:val="clear" w:color="auto" w:fill="C6EFCE"/>
            <w:noWrap/>
          </w:tcPr>
          <w:p w14:paraId="3BE05402" w14:textId="77777777" w:rsidR="00515398" w:rsidRDefault="006711E6">
            <w:pPr>
              <w:pStyle w:val="P68B1DB1-Normal9"/>
              <w:spacing w:after="0" w:line="240" w:lineRule="auto"/>
              <w:rPr>
                <w:rFonts w:eastAsia="Times New Roman" w:cs="Calibri"/>
                <w:noProof/>
                <w:szCs w:val="18"/>
              </w:rPr>
            </w:pPr>
            <w:r>
              <w:rPr>
                <w:noProof/>
              </w:rPr>
              <w:t>119</w:t>
            </w:r>
          </w:p>
        </w:tc>
        <w:tc>
          <w:tcPr>
            <w:tcW w:w="1855" w:type="dxa"/>
            <w:tcBorders>
              <w:top w:val="single" w:sz="4" w:space="0" w:color="auto"/>
              <w:left w:val="nil"/>
              <w:bottom w:val="single" w:sz="4" w:space="0" w:color="auto"/>
              <w:right w:val="single" w:sz="4" w:space="0" w:color="auto"/>
            </w:tcBorders>
            <w:shd w:val="clear" w:color="auto" w:fill="C6EFCE"/>
            <w:noWrap/>
          </w:tcPr>
          <w:p w14:paraId="28039AE8" w14:textId="77777777" w:rsidR="00515398" w:rsidRDefault="006711E6">
            <w:pPr>
              <w:pStyle w:val="P68B1DB1-Normal9"/>
              <w:spacing w:after="0" w:line="240" w:lineRule="auto"/>
              <w:rPr>
                <w:rFonts w:eastAsia="Times New Roman" w:cs="Calibri"/>
                <w:noProof/>
                <w:szCs w:val="18"/>
              </w:rPr>
            </w:pPr>
            <w:r>
              <w:rPr>
                <w:noProof/>
              </w:rPr>
              <w:t>6–2.2. Modernizace – 16736_Nový systém pro zadávání veřejných zakázek</w:t>
            </w:r>
          </w:p>
        </w:tc>
        <w:tc>
          <w:tcPr>
            <w:tcW w:w="1101" w:type="dxa"/>
            <w:tcBorders>
              <w:top w:val="single" w:sz="4" w:space="0" w:color="auto"/>
              <w:left w:val="nil"/>
              <w:bottom w:val="single" w:sz="4" w:space="0" w:color="auto"/>
              <w:right w:val="single" w:sz="4" w:space="0" w:color="auto"/>
            </w:tcBorders>
            <w:shd w:val="clear" w:color="auto" w:fill="C6EFCE"/>
            <w:noWrap/>
          </w:tcPr>
          <w:p w14:paraId="2D5A8961"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single" w:sz="4" w:space="0" w:color="auto"/>
              <w:left w:val="nil"/>
              <w:bottom w:val="single" w:sz="4" w:space="0" w:color="auto"/>
              <w:right w:val="single" w:sz="4" w:space="0" w:color="auto"/>
            </w:tcBorders>
            <w:shd w:val="clear" w:color="auto" w:fill="C6EFCE"/>
            <w:noWrap/>
          </w:tcPr>
          <w:p w14:paraId="05551294" w14:textId="77777777" w:rsidR="00515398" w:rsidRDefault="006711E6">
            <w:pPr>
              <w:pStyle w:val="P68B1DB1-Normal9"/>
              <w:spacing w:after="0" w:line="240" w:lineRule="auto"/>
              <w:rPr>
                <w:rFonts w:eastAsia="Times New Roman" w:cs="Calibri"/>
                <w:noProof/>
                <w:szCs w:val="18"/>
              </w:rPr>
            </w:pPr>
            <w:r>
              <w:rPr>
                <w:noProof/>
              </w:rPr>
              <w:t xml:space="preserve">Dokončení nového systému zadávání veřejných zakázek </w:t>
            </w:r>
          </w:p>
        </w:tc>
        <w:tc>
          <w:tcPr>
            <w:tcW w:w="1514" w:type="dxa"/>
            <w:tcBorders>
              <w:top w:val="single" w:sz="4" w:space="0" w:color="auto"/>
              <w:left w:val="nil"/>
              <w:bottom w:val="single" w:sz="4" w:space="0" w:color="auto"/>
              <w:right w:val="single" w:sz="4" w:space="0" w:color="auto"/>
            </w:tcBorders>
            <w:shd w:val="clear" w:color="auto" w:fill="C6EFCE"/>
            <w:noWrap/>
          </w:tcPr>
          <w:p w14:paraId="2BB65E0E" w14:textId="77777777" w:rsidR="00515398" w:rsidRDefault="006711E6">
            <w:pPr>
              <w:pStyle w:val="P68B1DB1-Normal9"/>
              <w:spacing w:after="0" w:line="240" w:lineRule="auto"/>
              <w:rPr>
                <w:rFonts w:eastAsia="Times New Roman" w:cs="Calibri"/>
                <w:noProof/>
                <w:szCs w:val="18"/>
              </w:rPr>
            </w:pPr>
            <w:r>
              <w:rPr>
                <w:noProof/>
              </w:rPr>
              <w:t>Zpráva ministerstva pro digitální správu dokumentující provádění projektu „Nový systém pro zadávání veřejných zakázek“</w:t>
            </w:r>
          </w:p>
        </w:tc>
        <w:tc>
          <w:tcPr>
            <w:tcW w:w="937" w:type="dxa"/>
            <w:tcBorders>
              <w:top w:val="single" w:sz="4" w:space="0" w:color="auto"/>
              <w:left w:val="nil"/>
              <w:bottom w:val="single" w:sz="4" w:space="0" w:color="auto"/>
              <w:right w:val="single" w:sz="4" w:space="0" w:color="auto"/>
            </w:tcBorders>
            <w:shd w:val="clear" w:color="auto" w:fill="C6EFCE"/>
            <w:noWrap/>
          </w:tcPr>
          <w:p w14:paraId="0E4311F6" w14:textId="77777777" w:rsidR="00515398" w:rsidRDefault="00515398">
            <w:pPr>
              <w:spacing w:after="0" w:line="240" w:lineRule="auto"/>
              <w:rPr>
                <w:rFonts w:eastAsia="Times New Roman" w:cs="Calibri"/>
                <w:noProof/>
                <w:color w:val="006100"/>
                <w:sz w:val="18"/>
                <w:szCs w:val="18"/>
              </w:rPr>
            </w:pPr>
          </w:p>
        </w:tc>
        <w:tc>
          <w:tcPr>
            <w:tcW w:w="1010" w:type="dxa"/>
            <w:tcBorders>
              <w:top w:val="single" w:sz="4" w:space="0" w:color="auto"/>
              <w:left w:val="nil"/>
              <w:bottom w:val="single" w:sz="4" w:space="0" w:color="auto"/>
              <w:right w:val="single" w:sz="4" w:space="0" w:color="auto"/>
            </w:tcBorders>
            <w:shd w:val="clear" w:color="auto" w:fill="C6EFCE"/>
            <w:noWrap/>
          </w:tcPr>
          <w:p w14:paraId="3E14B9CC" w14:textId="77777777" w:rsidR="00515398" w:rsidRDefault="00515398">
            <w:pPr>
              <w:spacing w:after="0" w:line="240" w:lineRule="auto"/>
              <w:rPr>
                <w:rFonts w:eastAsia="Times New Roman" w:cs="Calibri"/>
                <w:noProof/>
                <w:color w:val="006100"/>
                <w:sz w:val="18"/>
                <w:szCs w:val="18"/>
              </w:rPr>
            </w:pPr>
          </w:p>
        </w:tc>
        <w:tc>
          <w:tcPr>
            <w:tcW w:w="788" w:type="dxa"/>
            <w:tcBorders>
              <w:top w:val="single" w:sz="4" w:space="0" w:color="auto"/>
              <w:left w:val="nil"/>
              <w:bottom w:val="single" w:sz="4" w:space="0" w:color="auto"/>
              <w:right w:val="single" w:sz="4" w:space="0" w:color="auto"/>
            </w:tcBorders>
            <w:shd w:val="clear" w:color="auto" w:fill="C6EFCE"/>
            <w:noWrap/>
          </w:tcPr>
          <w:p w14:paraId="3C28A020" w14:textId="77777777" w:rsidR="00515398" w:rsidRDefault="00515398">
            <w:pPr>
              <w:spacing w:after="0" w:line="240" w:lineRule="auto"/>
              <w:rPr>
                <w:rFonts w:eastAsia="Times New Roman" w:cs="Calibri"/>
                <w:noProof/>
                <w:color w:val="006100"/>
                <w:sz w:val="18"/>
                <w:szCs w:val="18"/>
              </w:rPr>
            </w:pPr>
          </w:p>
        </w:tc>
        <w:tc>
          <w:tcPr>
            <w:tcW w:w="947" w:type="dxa"/>
            <w:tcBorders>
              <w:top w:val="single" w:sz="4" w:space="0" w:color="auto"/>
              <w:left w:val="nil"/>
              <w:bottom w:val="single" w:sz="4" w:space="0" w:color="auto"/>
              <w:right w:val="single" w:sz="4" w:space="0" w:color="auto"/>
            </w:tcBorders>
            <w:shd w:val="clear" w:color="auto" w:fill="C6EFCE"/>
            <w:noWrap/>
          </w:tcPr>
          <w:p w14:paraId="7D93BD5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single" w:sz="4" w:space="0" w:color="auto"/>
              <w:left w:val="nil"/>
              <w:bottom w:val="single" w:sz="4" w:space="0" w:color="auto"/>
              <w:right w:val="single" w:sz="4" w:space="0" w:color="auto"/>
            </w:tcBorders>
            <w:shd w:val="clear" w:color="auto" w:fill="C6EFCE"/>
            <w:noWrap/>
          </w:tcPr>
          <w:p w14:paraId="27D4C5DF" w14:textId="77777777" w:rsidR="00515398" w:rsidRDefault="006711E6">
            <w:pPr>
              <w:pStyle w:val="P68B1DB1-Normal9"/>
              <w:spacing w:after="0" w:line="240" w:lineRule="auto"/>
              <w:rPr>
                <w:rFonts w:eastAsia="Times New Roman" w:cs="Calibri"/>
                <w:noProof/>
                <w:szCs w:val="18"/>
              </w:rPr>
            </w:pPr>
            <w:r>
              <w:rPr>
                <w:noProof/>
              </w:rPr>
              <w:t>2025</w:t>
            </w:r>
          </w:p>
        </w:tc>
        <w:tc>
          <w:tcPr>
            <w:tcW w:w="4090" w:type="dxa"/>
            <w:tcBorders>
              <w:top w:val="single" w:sz="4" w:space="0" w:color="auto"/>
              <w:left w:val="nil"/>
              <w:bottom w:val="single" w:sz="4" w:space="0" w:color="auto"/>
              <w:right w:val="single" w:sz="4" w:space="0" w:color="auto"/>
            </w:tcBorders>
            <w:shd w:val="clear" w:color="auto" w:fill="C6EFCE"/>
            <w:noWrap/>
          </w:tcPr>
          <w:p w14:paraId="28B7C644" w14:textId="308A5ECF" w:rsidR="00515398" w:rsidRDefault="006711E6">
            <w:pPr>
              <w:pStyle w:val="P68B1DB1-Normal9"/>
              <w:spacing w:after="0" w:line="240" w:lineRule="auto"/>
              <w:rPr>
                <w:rFonts w:eastAsia="Times New Roman" w:cs="Calibri"/>
                <w:noProof/>
                <w:szCs w:val="18"/>
              </w:rPr>
            </w:pPr>
            <w:r>
              <w:rPr>
                <w:noProof/>
              </w:rPr>
              <w:t xml:space="preserve">Dokončení nového systému pro zadávání veřejných zakázek v </w:t>
            </w:r>
            <w:r>
              <w:rPr>
                <w:noProof/>
              </w:rPr>
              <w:t>souladu s popisem opatření.</w:t>
            </w:r>
          </w:p>
        </w:tc>
      </w:tr>
      <w:tr w:rsidR="00515398" w14:paraId="3C67EB08" w14:textId="77777777">
        <w:trPr>
          <w:trHeight w:val="313"/>
          <w:jc w:val="center"/>
        </w:trPr>
        <w:tc>
          <w:tcPr>
            <w:tcW w:w="1080" w:type="dxa"/>
            <w:tcBorders>
              <w:top w:val="single" w:sz="4" w:space="0" w:color="auto"/>
              <w:left w:val="single" w:sz="4" w:space="0" w:color="auto"/>
              <w:bottom w:val="single" w:sz="4" w:space="0" w:color="auto"/>
              <w:right w:val="single" w:sz="4" w:space="0" w:color="auto"/>
            </w:tcBorders>
            <w:shd w:val="clear" w:color="auto" w:fill="C6EFCE"/>
            <w:noWrap/>
          </w:tcPr>
          <w:p w14:paraId="3D7D5DC8" w14:textId="77777777" w:rsidR="00515398" w:rsidRDefault="006711E6">
            <w:pPr>
              <w:pStyle w:val="P68B1DB1-Normal9"/>
              <w:spacing w:after="0" w:line="240" w:lineRule="auto"/>
              <w:rPr>
                <w:rFonts w:eastAsia="Times New Roman" w:cs="Calibri"/>
                <w:noProof/>
                <w:szCs w:val="18"/>
              </w:rPr>
            </w:pPr>
            <w:r>
              <w:rPr>
                <w:noProof/>
              </w:rPr>
              <w:t>120</w:t>
            </w:r>
          </w:p>
        </w:tc>
        <w:tc>
          <w:tcPr>
            <w:tcW w:w="1855" w:type="dxa"/>
            <w:tcBorders>
              <w:top w:val="single" w:sz="4" w:space="0" w:color="auto"/>
              <w:left w:val="nil"/>
              <w:bottom w:val="single" w:sz="4" w:space="0" w:color="auto"/>
              <w:right w:val="single" w:sz="4" w:space="0" w:color="auto"/>
            </w:tcBorders>
            <w:shd w:val="clear" w:color="auto" w:fill="C6EFCE"/>
            <w:noWrap/>
          </w:tcPr>
          <w:p w14:paraId="0D838EB0" w14:textId="77777777" w:rsidR="00515398" w:rsidRDefault="006711E6">
            <w:pPr>
              <w:pStyle w:val="P68B1DB1-Normal9"/>
              <w:spacing w:after="0" w:line="240" w:lineRule="auto"/>
              <w:rPr>
                <w:rFonts w:eastAsia="Times New Roman" w:cs="Calibri"/>
                <w:noProof/>
                <w:szCs w:val="18"/>
              </w:rPr>
            </w:pPr>
            <w:r>
              <w:rPr>
                <w:noProof/>
              </w:rPr>
              <w:t>6–2.2. Modernizace – 16824_ERegistry</w:t>
            </w:r>
          </w:p>
        </w:tc>
        <w:tc>
          <w:tcPr>
            <w:tcW w:w="1101" w:type="dxa"/>
            <w:tcBorders>
              <w:top w:val="single" w:sz="4" w:space="0" w:color="auto"/>
              <w:left w:val="nil"/>
              <w:bottom w:val="single" w:sz="4" w:space="0" w:color="auto"/>
              <w:right w:val="single" w:sz="4" w:space="0" w:color="auto"/>
            </w:tcBorders>
            <w:shd w:val="clear" w:color="auto" w:fill="C6EFCE"/>
            <w:noWrap/>
          </w:tcPr>
          <w:p w14:paraId="0B059EED" w14:textId="77777777" w:rsidR="00515398" w:rsidRDefault="006711E6">
            <w:pPr>
              <w:pStyle w:val="P68B1DB1-Normal9"/>
              <w:spacing w:after="0" w:line="240" w:lineRule="auto"/>
              <w:rPr>
                <w:rFonts w:eastAsia="Times New Roman" w:cs="Calibri"/>
                <w:noProof/>
                <w:szCs w:val="18"/>
              </w:rPr>
            </w:pPr>
            <w:r>
              <w:rPr>
                <w:noProof/>
              </w:rPr>
              <w:t>Milník</w:t>
            </w:r>
          </w:p>
        </w:tc>
        <w:tc>
          <w:tcPr>
            <w:tcW w:w="1387" w:type="dxa"/>
            <w:tcBorders>
              <w:top w:val="single" w:sz="4" w:space="0" w:color="auto"/>
              <w:left w:val="nil"/>
              <w:bottom w:val="single" w:sz="4" w:space="0" w:color="auto"/>
              <w:right w:val="single" w:sz="4" w:space="0" w:color="auto"/>
            </w:tcBorders>
            <w:shd w:val="clear" w:color="auto" w:fill="C6EFCE"/>
            <w:noWrap/>
          </w:tcPr>
          <w:p w14:paraId="71AEAB48" w14:textId="77777777" w:rsidR="00515398" w:rsidRDefault="006711E6">
            <w:pPr>
              <w:pStyle w:val="P68B1DB1-Normal9"/>
              <w:spacing w:after="0" w:line="240" w:lineRule="auto"/>
              <w:rPr>
                <w:rFonts w:eastAsia="Times New Roman" w:cs="Calibri"/>
                <w:noProof/>
                <w:szCs w:val="18"/>
              </w:rPr>
            </w:pPr>
            <w:r>
              <w:rPr>
                <w:noProof/>
              </w:rPr>
              <w:t xml:space="preserve">Dokončení projektu ERegistries </w:t>
            </w:r>
          </w:p>
        </w:tc>
        <w:tc>
          <w:tcPr>
            <w:tcW w:w="1514" w:type="dxa"/>
            <w:tcBorders>
              <w:top w:val="single" w:sz="4" w:space="0" w:color="auto"/>
              <w:left w:val="nil"/>
              <w:bottom w:val="single" w:sz="4" w:space="0" w:color="auto"/>
              <w:right w:val="single" w:sz="4" w:space="0" w:color="auto"/>
            </w:tcBorders>
            <w:shd w:val="clear" w:color="auto" w:fill="C6EFCE"/>
            <w:noWrap/>
          </w:tcPr>
          <w:p w14:paraId="54EDEA68" w14:textId="77777777" w:rsidR="00515398" w:rsidRDefault="006711E6">
            <w:pPr>
              <w:pStyle w:val="P68B1DB1-Normal9"/>
              <w:spacing w:after="0" w:line="240" w:lineRule="auto"/>
              <w:rPr>
                <w:rFonts w:eastAsia="Times New Roman" w:cs="Calibri"/>
                <w:noProof/>
                <w:szCs w:val="18"/>
              </w:rPr>
            </w:pPr>
            <w:r>
              <w:rPr>
                <w:noProof/>
              </w:rPr>
              <w:t>Zpráva ministerstva pro digitální správu dokumentující zavedení „elektronických registrů“</w:t>
            </w:r>
          </w:p>
        </w:tc>
        <w:tc>
          <w:tcPr>
            <w:tcW w:w="937" w:type="dxa"/>
            <w:tcBorders>
              <w:top w:val="single" w:sz="4" w:space="0" w:color="auto"/>
              <w:left w:val="nil"/>
              <w:bottom w:val="single" w:sz="4" w:space="0" w:color="auto"/>
              <w:right w:val="single" w:sz="4" w:space="0" w:color="auto"/>
            </w:tcBorders>
            <w:shd w:val="clear" w:color="auto" w:fill="C6EFCE"/>
            <w:noWrap/>
          </w:tcPr>
          <w:p w14:paraId="46467E5C" w14:textId="77777777" w:rsidR="00515398" w:rsidRDefault="00515398">
            <w:pPr>
              <w:spacing w:after="0" w:line="240" w:lineRule="auto"/>
              <w:rPr>
                <w:rFonts w:eastAsia="Times New Roman" w:cs="Calibri"/>
                <w:noProof/>
                <w:color w:val="006100"/>
                <w:sz w:val="18"/>
                <w:szCs w:val="18"/>
              </w:rPr>
            </w:pPr>
          </w:p>
        </w:tc>
        <w:tc>
          <w:tcPr>
            <w:tcW w:w="1010" w:type="dxa"/>
            <w:tcBorders>
              <w:top w:val="single" w:sz="4" w:space="0" w:color="auto"/>
              <w:left w:val="nil"/>
              <w:bottom w:val="single" w:sz="4" w:space="0" w:color="auto"/>
              <w:right w:val="single" w:sz="4" w:space="0" w:color="auto"/>
            </w:tcBorders>
            <w:shd w:val="clear" w:color="auto" w:fill="C6EFCE"/>
            <w:noWrap/>
          </w:tcPr>
          <w:p w14:paraId="196A5C73" w14:textId="77777777" w:rsidR="00515398" w:rsidRDefault="00515398">
            <w:pPr>
              <w:spacing w:after="0" w:line="240" w:lineRule="auto"/>
              <w:rPr>
                <w:rFonts w:eastAsia="Times New Roman" w:cs="Calibri"/>
                <w:noProof/>
                <w:color w:val="006100"/>
                <w:sz w:val="18"/>
                <w:szCs w:val="18"/>
              </w:rPr>
            </w:pPr>
          </w:p>
        </w:tc>
        <w:tc>
          <w:tcPr>
            <w:tcW w:w="788" w:type="dxa"/>
            <w:tcBorders>
              <w:top w:val="single" w:sz="4" w:space="0" w:color="auto"/>
              <w:left w:val="nil"/>
              <w:bottom w:val="single" w:sz="4" w:space="0" w:color="auto"/>
              <w:right w:val="single" w:sz="4" w:space="0" w:color="auto"/>
            </w:tcBorders>
            <w:shd w:val="clear" w:color="auto" w:fill="C6EFCE"/>
            <w:noWrap/>
          </w:tcPr>
          <w:p w14:paraId="20697721" w14:textId="77777777" w:rsidR="00515398" w:rsidRDefault="00515398">
            <w:pPr>
              <w:spacing w:after="0" w:line="240" w:lineRule="auto"/>
              <w:rPr>
                <w:rFonts w:eastAsia="Times New Roman" w:cs="Calibri"/>
                <w:noProof/>
                <w:color w:val="006100"/>
                <w:sz w:val="18"/>
                <w:szCs w:val="18"/>
              </w:rPr>
            </w:pPr>
          </w:p>
        </w:tc>
        <w:tc>
          <w:tcPr>
            <w:tcW w:w="947" w:type="dxa"/>
            <w:tcBorders>
              <w:top w:val="single" w:sz="4" w:space="0" w:color="auto"/>
              <w:left w:val="nil"/>
              <w:bottom w:val="single" w:sz="4" w:space="0" w:color="auto"/>
              <w:right w:val="single" w:sz="4" w:space="0" w:color="auto"/>
            </w:tcBorders>
            <w:shd w:val="clear" w:color="auto" w:fill="C6EFCE"/>
            <w:noWrap/>
          </w:tcPr>
          <w:p w14:paraId="090BEE2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80" w:type="dxa"/>
            <w:tcBorders>
              <w:top w:val="single" w:sz="4" w:space="0" w:color="auto"/>
              <w:left w:val="nil"/>
              <w:bottom w:val="single" w:sz="4" w:space="0" w:color="auto"/>
              <w:right w:val="single" w:sz="4" w:space="0" w:color="auto"/>
            </w:tcBorders>
            <w:shd w:val="clear" w:color="auto" w:fill="C6EFCE"/>
            <w:noWrap/>
          </w:tcPr>
          <w:p w14:paraId="29BD0F3D" w14:textId="77777777" w:rsidR="00515398" w:rsidRDefault="006711E6">
            <w:pPr>
              <w:pStyle w:val="P68B1DB1-Normal9"/>
              <w:spacing w:after="0" w:line="240" w:lineRule="auto"/>
              <w:rPr>
                <w:rFonts w:eastAsia="Times New Roman" w:cs="Calibri"/>
                <w:noProof/>
                <w:szCs w:val="18"/>
              </w:rPr>
            </w:pPr>
            <w:r>
              <w:rPr>
                <w:noProof/>
              </w:rPr>
              <w:t>2025</w:t>
            </w:r>
          </w:p>
        </w:tc>
        <w:tc>
          <w:tcPr>
            <w:tcW w:w="4090" w:type="dxa"/>
            <w:tcBorders>
              <w:top w:val="single" w:sz="4" w:space="0" w:color="auto"/>
              <w:left w:val="nil"/>
              <w:bottom w:val="single" w:sz="4" w:space="0" w:color="auto"/>
              <w:right w:val="single" w:sz="4" w:space="0" w:color="auto"/>
            </w:tcBorders>
            <w:shd w:val="clear" w:color="auto" w:fill="C6EFCE"/>
            <w:noWrap/>
          </w:tcPr>
          <w:p w14:paraId="54FE574C" w14:textId="77777777" w:rsidR="00515398" w:rsidRDefault="006711E6">
            <w:pPr>
              <w:pStyle w:val="P68B1DB1-Normal9"/>
              <w:spacing w:after="0" w:line="240" w:lineRule="auto"/>
              <w:rPr>
                <w:rFonts w:eastAsia="Times New Roman" w:cs="Calibri"/>
                <w:noProof/>
                <w:szCs w:val="18"/>
              </w:rPr>
            </w:pPr>
            <w:r>
              <w:rPr>
                <w:noProof/>
              </w:rPr>
              <w:t xml:space="preserve">Dokončení „elektronických </w:t>
            </w:r>
            <w:r>
              <w:rPr>
                <w:noProof/>
              </w:rPr>
              <w:t>registrů“, včetně jejich interoperability a rozhraní se stávajícími registry ve veřejné správě.</w:t>
            </w:r>
          </w:p>
        </w:tc>
      </w:tr>
    </w:tbl>
    <w:p w14:paraId="79B06560" w14:textId="77777777" w:rsidR="00515398" w:rsidRDefault="00515398">
      <w:pPr>
        <w:spacing w:before="120" w:after="120" w:line="240" w:lineRule="auto"/>
        <w:ind w:left="709"/>
        <w:rPr>
          <w:rFonts w:ascii="Times New Roman" w:hAnsi="Times New Roman" w:cs="Times New Roman"/>
          <w:noProof/>
          <w:sz w:val="24"/>
        </w:rPr>
      </w:pPr>
    </w:p>
    <w:p w14:paraId="7F2DFB0C"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10: Iniciativy související se začleněním nových technologií do digitální transformace a modernizace veřejné správy</w:t>
      </w:r>
    </w:p>
    <w:p w14:paraId="22050036" w14:textId="77777777" w:rsidR="00515398" w:rsidRDefault="006711E6">
      <w:pPr>
        <w:pStyle w:val="P68B1DB1-Normal4"/>
        <w:numPr>
          <w:ilvl w:val="0"/>
          <w:numId w:val="44"/>
        </w:numPr>
        <w:spacing w:before="120" w:after="0" w:line="240" w:lineRule="auto"/>
        <w:jc w:val="both"/>
        <w:rPr>
          <w:rFonts w:cs="Times New Roman"/>
          <w:noProof/>
        </w:rPr>
      </w:pPr>
      <w:r>
        <w:rPr>
          <w:noProof/>
        </w:rPr>
        <w:t>Začlenění</w:t>
      </w:r>
      <w:r>
        <w:rPr>
          <w:noProof/>
        </w:rPr>
        <w:t xml:space="preserve"> nových technologií a trendů směrem k vyspělým službám veřejné správy, zvýšení účinnosti a účelnosti a snížení nákladů na provoz, modernizaci a údržbu systémů (ID: 16928)</w:t>
      </w:r>
    </w:p>
    <w:p w14:paraId="34E5CD0B" w14:textId="77777777" w:rsidR="00515398" w:rsidRDefault="006711E6">
      <w:pPr>
        <w:pStyle w:val="P68B1DB1-Normal4"/>
        <w:numPr>
          <w:ilvl w:val="0"/>
          <w:numId w:val="44"/>
        </w:numPr>
        <w:spacing w:before="120" w:after="0" w:line="240" w:lineRule="auto"/>
        <w:jc w:val="both"/>
        <w:rPr>
          <w:rFonts w:cs="Times New Roman"/>
          <w:noProof/>
        </w:rPr>
      </w:pPr>
      <w:r>
        <w:rPr>
          <w:noProof/>
        </w:rPr>
        <w:t>Inteligentní města (ID: 16854)</w:t>
      </w:r>
    </w:p>
    <w:p w14:paraId="6EF7E607" w14:textId="77777777" w:rsidR="00515398" w:rsidRDefault="006711E6">
      <w:pPr>
        <w:pStyle w:val="P68B1DB1-Normal4"/>
        <w:numPr>
          <w:ilvl w:val="0"/>
          <w:numId w:val="44"/>
        </w:numPr>
        <w:spacing w:before="120" w:after="0" w:line="240" w:lineRule="auto"/>
        <w:jc w:val="both"/>
        <w:rPr>
          <w:rFonts w:cs="Times New Roman"/>
          <w:noProof/>
        </w:rPr>
      </w:pPr>
      <w:r>
        <w:rPr>
          <w:noProof/>
        </w:rPr>
        <w:t>Poskytování infrastruktury a služeb centrální cloud co</w:t>
      </w:r>
      <w:r>
        <w:rPr>
          <w:noProof/>
        </w:rPr>
        <w:t>mputingu (ID: 16853)</w:t>
      </w:r>
    </w:p>
    <w:p w14:paraId="37407BE0" w14:textId="77777777" w:rsidR="00515398" w:rsidRDefault="006711E6">
      <w:pPr>
        <w:pStyle w:val="P68B1DB1-Normal4"/>
        <w:numPr>
          <w:ilvl w:val="0"/>
          <w:numId w:val="44"/>
        </w:numPr>
        <w:spacing w:before="120" w:after="0" w:line="240" w:lineRule="auto"/>
        <w:jc w:val="both"/>
        <w:rPr>
          <w:rFonts w:cs="Times New Roman"/>
          <w:noProof/>
        </w:rPr>
      </w:pPr>
      <w:r>
        <w:rPr>
          <w:noProof/>
        </w:rPr>
        <w:t>Modernizace cloudové výpočetní infrastruktury a služeb vnitrostátních infrastruktur pro výzkum a technologie (GRNET) (ID: 16955)</w:t>
      </w:r>
    </w:p>
    <w:p w14:paraId="3FDD186B" w14:textId="77777777" w:rsidR="00515398" w:rsidRDefault="006711E6">
      <w:pPr>
        <w:pStyle w:val="P68B1DB1-Normal4"/>
        <w:numPr>
          <w:ilvl w:val="0"/>
          <w:numId w:val="44"/>
        </w:numPr>
        <w:spacing w:before="120" w:after="0" w:line="240" w:lineRule="auto"/>
        <w:jc w:val="both"/>
        <w:rPr>
          <w:rFonts w:cs="Times New Roman"/>
          <w:noProof/>
        </w:rPr>
      </w:pPr>
      <w:r>
        <w:rPr>
          <w:noProof/>
        </w:rPr>
        <w:t>Rozšíření Syzefksis II (ID: 16956)</w:t>
      </w:r>
    </w:p>
    <w:p w14:paraId="1FFE84C2" w14:textId="77777777" w:rsidR="00515398" w:rsidRDefault="006711E6">
      <w:pPr>
        <w:pStyle w:val="P68B1DB1-Normal4"/>
        <w:numPr>
          <w:ilvl w:val="0"/>
          <w:numId w:val="44"/>
        </w:numPr>
        <w:spacing w:before="120" w:after="0" w:line="240" w:lineRule="auto"/>
        <w:jc w:val="both"/>
        <w:rPr>
          <w:rFonts w:cs="Times New Roman"/>
          <w:noProof/>
        </w:rPr>
      </w:pPr>
      <w:r>
        <w:rPr>
          <w:noProof/>
        </w:rPr>
        <w:t>Strategie a politiky správy dat pro veřejný sektor (ID: 16827)</w:t>
      </w:r>
    </w:p>
    <w:p w14:paraId="0237CFB0" w14:textId="77777777" w:rsidR="00515398" w:rsidRDefault="006711E6">
      <w:pPr>
        <w:pStyle w:val="P68B1DB1-Normal4"/>
        <w:numPr>
          <w:ilvl w:val="0"/>
          <w:numId w:val="44"/>
        </w:numPr>
        <w:spacing w:before="120" w:after="120" w:line="240" w:lineRule="auto"/>
        <w:jc w:val="both"/>
        <w:rPr>
          <w:rFonts w:cs="Times New Roman"/>
          <w:noProof/>
        </w:rPr>
      </w:pPr>
      <w:r>
        <w:rPr>
          <w:noProof/>
        </w:rPr>
        <w:t xml:space="preserve">Central </w:t>
      </w:r>
      <w:r>
        <w:rPr>
          <w:noProof/>
        </w:rPr>
        <w:t>BI – Data Analytics (ID: 16842)</w:t>
      </w:r>
    </w:p>
    <w:tbl>
      <w:tblPr>
        <w:tblW w:w="15588" w:type="dxa"/>
        <w:jc w:val="center"/>
        <w:tblLayout w:type="fixed"/>
        <w:tblLook w:val="04A0" w:firstRow="1" w:lastRow="0" w:firstColumn="1" w:lastColumn="0" w:noHBand="0" w:noVBand="1"/>
      </w:tblPr>
      <w:tblGrid>
        <w:gridCol w:w="1129"/>
        <w:gridCol w:w="1710"/>
        <w:gridCol w:w="1130"/>
        <w:gridCol w:w="1701"/>
        <w:gridCol w:w="1417"/>
        <w:gridCol w:w="1134"/>
        <w:gridCol w:w="1134"/>
        <w:gridCol w:w="993"/>
        <w:gridCol w:w="850"/>
        <w:gridCol w:w="992"/>
        <w:gridCol w:w="3398"/>
      </w:tblGrid>
      <w:tr w:rsidR="00515398" w14:paraId="4CABCC32" w14:textId="77777777">
        <w:trPr>
          <w:trHeight w:val="939"/>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2731CF"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8906C3" w14:textId="77777777" w:rsidR="00515398" w:rsidRDefault="006711E6">
            <w:pPr>
              <w:pStyle w:val="P68B1DB1-Normal7"/>
              <w:spacing w:after="0" w:line="240" w:lineRule="auto"/>
              <w:jc w:val="center"/>
              <w:rPr>
                <w:noProof/>
              </w:rPr>
            </w:pPr>
            <w:r>
              <w:rPr>
                <w:noProof/>
              </w:rPr>
              <w:t xml:space="preserve">Související opatření </w:t>
            </w:r>
          </w:p>
          <w:p w14:paraId="24AEA5C0" w14:textId="49939A08" w:rsidR="00515398" w:rsidRDefault="006711E6">
            <w:pPr>
              <w:pStyle w:val="P68B1DB1-Normal7"/>
              <w:spacing w:after="0" w:line="240" w:lineRule="auto"/>
              <w:jc w:val="center"/>
              <w:rPr>
                <w:rFonts w:eastAsia="Times New Roman" w:cs="Times New Roman"/>
                <w:bCs/>
                <w:noProof/>
                <w:szCs w:val="18"/>
              </w:rPr>
            </w:pPr>
            <w:r>
              <w:rPr>
                <w:noProof/>
              </w:rPr>
              <w:t>(Reforma nebo investice)</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96F2B"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CABC34"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A31332"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326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8244C31"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842" w:type="dxa"/>
            <w:gridSpan w:val="2"/>
            <w:tcBorders>
              <w:top w:val="single" w:sz="4" w:space="0" w:color="auto"/>
              <w:left w:val="nil"/>
              <w:bottom w:val="single" w:sz="4" w:space="0" w:color="auto"/>
              <w:right w:val="single" w:sz="4" w:space="0" w:color="auto"/>
            </w:tcBorders>
            <w:shd w:val="clear" w:color="auto" w:fill="BDD7EE"/>
            <w:vAlign w:val="center"/>
            <w:hideMark/>
          </w:tcPr>
          <w:p w14:paraId="438BC459"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F86E49"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62119656" w14:textId="77777777">
        <w:trPr>
          <w:trHeight w:val="356"/>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5C586A8" w14:textId="77777777" w:rsidR="00515398" w:rsidRDefault="00515398">
            <w:pPr>
              <w:spacing w:after="0" w:line="240" w:lineRule="auto"/>
              <w:rPr>
                <w:rFonts w:ascii="Times New Roman" w:eastAsia="Times New Roman" w:hAnsi="Times New Roman" w:cs="Times New Roman"/>
                <w:b/>
                <w:noProof/>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5CBDBD5" w14:textId="77777777" w:rsidR="00515398" w:rsidRDefault="00515398">
            <w:pPr>
              <w:spacing w:after="0" w:line="240" w:lineRule="auto"/>
              <w:rPr>
                <w:rFonts w:ascii="Times New Roman" w:eastAsia="Times New Roman" w:hAnsi="Times New Roman" w:cs="Times New Roman"/>
                <w:b/>
                <w:noProof/>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8BD5D82" w14:textId="77777777" w:rsidR="00515398" w:rsidRDefault="00515398">
            <w:pPr>
              <w:spacing w:after="0" w:line="240" w:lineRule="auto"/>
              <w:rPr>
                <w:rFonts w:ascii="Times New Roman" w:eastAsia="Times New Roman" w:hAnsi="Times New Roman" w:cs="Times New Roman"/>
                <w:b/>
                <w:noProo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B929FB" w14:textId="77777777" w:rsidR="00515398" w:rsidRDefault="00515398">
            <w:pPr>
              <w:spacing w:after="0" w:line="240" w:lineRule="auto"/>
              <w:rPr>
                <w:rFonts w:ascii="Times New Roman" w:eastAsia="Times New Roman" w:hAnsi="Times New Roman" w:cs="Times New Roman"/>
                <w:b/>
                <w:noProof/>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8C4F49" w14:textId="77777777" w:rsidR="00515398" w:rsidRDefault="00515398">
            <w:pPr>
              <w:spacing w:after="0" w:line="240" w:lineRule="auto"/>
              <w:rPr>
                <w:rFonts w:ascii="Times New Roman" w:eastAsia="Times New Roman" w:hAnsi="Times New Roman" w:cs="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CA79D6"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14:paraId="68B0EA2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14:paraId="66147552"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39E5B4BD"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992" w:type="dxa"/>
            <w:tcBorders>
              <w:top w:val="single" w:sz="4" w:space="0" w:color="auto"/>
              <w:left w:val="nil"/>
              <w:bottom w:val="single" w:sz="4" w:space="0" w:color="auto"/>
              <w:right w:val="single" w:sz="4" w:space="0" w:color="auto"/>
            </w:tcBorders>
            <w:shd w:val="clear" w:color="auto" w:fill="BDD7EE"/>
            <w:vAlign w:val="center"/>
          </w:tcPr>
          <w:p w14:paraId="3C538A5B"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BEF9AC6" w14:textId="77777777" w:rsidR="00515398" w:rsidRDefault="00515398">
            <w:pPr>
              <w:spacing w:after="0" w:line="240" w:lineRule="auto"/>
              <w:ind w:right="690"/>
              <w:rPr>
                <w:rFonts w:ascii="Times New Roman" w:eastAsia="Times New Roman" w:hAnsi="Times New Roman" w:cs="Times New Roman"/>
                <w:b/>
                <w:noProof/>
                <w:sz w:val="18"/>
                <w:szCs w:val="18"/>
              </w:rPr>
            </w:pPr>
          </w:p>
        </w:tc>
      </w:tr>
      <w:tr w:rsidR="00515398" w14:paraId="6179488E"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7C15D8C" w14:textId="77777777" w:rsidR="00515398" w:rsidRDefault="006711E6">
            <w:pPr>
              <w:pStyle w:val="P68B1DB1-Normal9"/>
              <w:spacing w:after="0" w:line="240" w:lineRule="auto"/>
              <w:rPr>
                <w:rFonts w:eastAsia="Times New Roman" w:cs="Calibri"/>
                <w:noProof/>
                <w:szCs w:val="18"/>
              </w:rPr>
            </w:pPr>
            <w:r>
              <w:rPr>
                <w:noProof/>
              </w:rPr>
              <w:t>121</w:t>
            </w:r>
          </w:p>
        </w:tc>
        <w:tc>
          <w:tcPr>
            <w:tcW w:w="1710" w:type="dxa"/>
            <w:tcBorders>
              <w:top w:val="single" w:sz="4" w:space="0" w:color="auto"/>
              <w:left w:val="nil"/>
              <w:bottom w:val="single" w:sz="4" w:space="0" w:color="auto"/>
              <w:right w:val="single" w:sz="4" w:space="0" w:color="auto"/>
            </w:tcBorders>
            <w:shd w:val="clear" w:color="auto" w:fill="C6EFCE"/>
            <w:noWrap/>
          </w:tcPr>
          <w:p w14:paraId="302EAAD0" w14:textId="77777777" w:rsidR="00515398" w:rsidRDefault="006711E6">
            <w:pPr>
              <w:pStyle w:val="P68B1DB1-Normal9"/>
              <w:spacing w:after="0" w:line="240" w:lineRule="auto"/>
              <w:rPr>
                <w:rFonts w:eastAsia="Times New Roman" w:cs="Calibri"/>
                <w:noProof/>
                <w:szCs w:val="18"/>
              </w:rPr>
            </w:pPr>
            <w:r>
              <w:rPr>
                <w:noProof/>
              </w:rPr>
              <w:t>6–2.2. Modernizace – 16842_Central BI – Analytika dat</w:t>
            </w:r>
          </w:p>
        </w:tc>
        <w:tc>
          <w:tcPr>
            <w:tcW w:w="1130" w:type="dxa"/>
            <w:tcBorders>
              <w:top w:val="single" w:sz="4" w:space="0" w:color="auto"/>
              <w:left w:val="nil"/>
              <w:bottom w:val="single" w:sz="4" w:space="0" w:color="auto"/>
              <w:right w:val="single" w:sz="4" w:space="0" w:color="auto"/>
            </w:tcBorders>
            <w:shd w:val="clear" w:color="auto" w:fill="C6EFCE"/>
            <w:noWrap/>
          </w:tcPr>
          <w:p w14:paraId="095BB712"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single" w:sz="4" w:space="0" w:color="auto"/>
              <w:left w:val="nil"/>
              <w:bottom w:val="single" w:sz="4" w:space="0" w:color="auto"/>
              <w:right w:val="single" w:sz="4" w:space="0" w:color="auto"/>
            </w:tcBorders>
            <w:shd w:val="clear" w:color="auto" w:fill="C6EFCE"/>
            <w:noWrap/>
          </w:tcPr>
          <w:p w14:paraId="1E8AE849" w14:textId="77777777" w:rsidR="00515398" w:rsidRDefault="006711E6">
            <w:pPr>
              <w:pStyle w:val="P68B1DB1-Normal9"/>
              <w:spacing w:after="0" w:line="240" w:lineRule="auto"/>
              <w:rPr>
                <w:rFonts w:eastAsia="Times New Roman" w:cs="Calibri"/>
                <w:noProof/>
                <w:szCs w:val="18"/>
              </w:rPr>
            </w:pPr>
            <w:r>
              <w:rPr>
                <w:noProof/>
              </w:rPr>
              <w:t xml:space="preserve">Zadání zakázky Centrální obchodní zpravodajství (BI) </w:t>
            </w:r>
          </w:p>
        </w:tc>
        <w:tc>
          <w:tcPr>
            <w:tcW w:w="1417" w:type="dxa"/>
            <w:tcBorders>
              <w:top w:val="single" w:sz="4" w:space="0" w:color="auto"/>
              <w:left w:val="nil"/>
              <w:bottom w:val="single" w:sz="4" w:space="0" w:color="auto"/>
              <w:right w:val="single" w:sz="4" w:space="0" w:color="auto"/>
            </w:tcBorders>
            <w:shd w:val="clear" w:color="auto" w:fill="C6EFCE"/>
            <w:noWrap/>
          </w:tcPr>
          <w:p w14:paraId="51FDFB94"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1134" w:type="dxa"/>
            <w:tcBorders>
              <w:top w:val="single" w:sz="4" w:space="0" w:color="auto"/>
              <w:left w:val="nil"/>
              <w:bottom w:val="single" w:sz="4" w:space="0" w:color="auto"/>
              <w:right w:val="single" w:sz="4" w:space="0" w:color="auto"/>
            </w:tcBorders>
            <w:shd w:val="clear" w:color="auto" w:fill="C6EFCE"/>
            <w:noWrap/>
          </w:tcPr>
          <w:p w14:paraId="17A94C69" w14:textId="77777777" w:rsidR="00515398" w:rsidRDefault="00515398">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54E52458" w14:textId="77777777" w:rsidR="00515398" w:rsidRDefault="00515398">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75B039C1"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04A48FA3"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92" w:type="dxa"/>
            <w:tcBorders>
              <w:top w:val="nil"/>
              <w:left w:val="nil"/>
              <w:bottom w:val="single" w:sz="4" w:space="0" w:color="auto"/>
              <w:right w:val="single" w:sz="4" w:space="0" w:color="auto"/>
            </w:tcBorders>
            <w:shd w:val="clear" w:color="auto" w:fill="C6EFCE"/>
            <w:noWrap/>
          </w:tcPr>
          <w:p w14:paraId="382710B2" w14:textId="77777777" w:rsidR="00515398" w:rsidRDefault="006711E6">
            <w:pPr>
              <w:pStyle w:val="P68B1DB1-Normal9"/>
              <w:spacing w:after="0" w:line="240" w:lineRule="auto"/>
              <w:rPr>
                <w:rFonts w:eastAsia="Times New Roman" w:cs="Calibri"/>
                <w:noProof/>
                <w:szCs w:val="18"/>
              </w:rPr>
            </w:pPr>
            <w:r>
              <w:rPr>
                <w:noProof/>
              </w:rPr>
              <w:t>2022</w:t>
            </w:r>
          </w:p>
        </w:tc>
        <w:tc>
          <w:tcPr>
            <w:tcW w:w="3398" w:type="dxa"/>
            <w:tcBorders>
              <w:top w:val="single" w:sz="4" w:space="0" w:color="auto"/>
              <w:left w:val="nil"/>
              <w:bottom w:val="single" w:sz="4" w:space="0" w:color="auto"/>
              <w:right w:val="single" w:sz="4" w:space="0" w:color="auto"/>
            </w:tcBorders>
            <w:shd w:val="clear" w:color="auto" w:fill="C6EFCE"/>
            <w:noWrap/>
          </w:tcPr>
          <w:p w14:paraId="4DB84425" w14:textId="77777777" w:rsidR="00515398" w:rsidRDefault="006711E6">
            <w:pPr>
              <w:pStyle w:val="P68B1DB1-Normal9"/>
              <w:spacing w:after="0" w:line="240" w:lineRule="auto"/>
              <w:rPr>
                <w:rFonts w:eastAsia="Times New Roman" w:cs="Calibri"/>
                <w:noProof/>
                <w:szCs w:val="18"/>
              </w:rPr>
            </w:pPr>
            <w:r>
              <w:rPr>
                <w:noProof/>
              </w:rPr>
              <w:t xml:space="preserve">Ministerstvo pro digitální správu </w:t>
            </w:r>
            <w:r>
              <w:rPr>
                <w:noProof/>
              </w:rPr>
              <w:t>zadává zakázku na centrální BI – Data. Analýza, která zahrnuje:</w:t>
            </w:r>
          </w:p>
          <w:p w14:paraId="311B2439"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a)</w:t>
            </w:r>
            <w:r>
              <w:rPr>
                <w:noProof/>
              </w:rPr>
              <w:t xml:space="preserve"> </w:t>
            </w:r>
            <w:r>
              <w:rPr>
                <w:noProof/>
                <w:color w:val="006100"/>
                <w:sz w:val="18"/>
              </w:rPr>
              <w:t>Vypracování a validace rámce pro správu dat, datového slovníku a identifikace klíčových ukazatelů výkonnosti</w:t>
            </w:r>
          </w:p>
          <w:p w14:paraId="79495DF1"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b)</w:t>
            </w:r>
            <w:r>
              <w:rPr>
                <w:noProof/>
              </w:rPr>
              <w:t xml:space="preserve"> </w:t>
            </w:r>
            <w:r>
              <w:rPr>
                <w:noProof/>
                <w:color w:val="006100"/>
                <w:sz w:val="18"/>
              </w:rPr>
              <w:t>Určení klíčových ukazatelů výkonnosti</w:t>
            </w:r>
          </w:p>
          <w:p w14:paraId="0EA5F272"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C)</w:t>
            </w:r>
            <w:r>
              <w:rPr>
                <w:noProof/>
              </w:rPr>
              <w:t xml:space="preserve"> </w:t>
            </w:r>
            <w:r>
              <w:rPr>
                <w:noProof/>
                <w:color w:val="006100"/>
                <w:sz w:val="18"/>
              </w:rPr>
              <w:t>Datový slovník</w:t>
            </w:r>
          </w:p>
          <w:p w14:paraId="0F52B7B0"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d)</w:t>
            </w:r>
            <w:r>
              <w:rPr>
                <w:noProof/>
              </w:rPr>
              <w:t xml:space="preserve"> </w:t>
            </w:r>
            <w:r>
              <w:rPr>
                <w:noProof/>
                <w:color w:val="006100"/>
                <w:sz w:val="18"/>
              </w:rPr>
              <w:t>Rámec pro správu d</w:t>
            </w:r>
            <w:r>
              <w:rPr>
                <w:noProof/>
                <w:color w:val="006100"/>
                <w:sz w:val="18"/>
              </w:rPr>
              <w:t>at</w:t>
            </w:r>
          </w:p>
          <w:p w14:paraId="735D9E38"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e)</w:t>
            </w:r>
            <w:r>
              <w:rPr>
                <w:noProof/>
              </w:rPr>
              <w:t xml:space="preserve"> </w:t>
            </w:r>
            <w:r>
              <w:rPr>
                <w:noProof/>
                <w:color w:val="006100"/>
                <w:sz w:val="18"/>
              </w:rPr>
              <w:t>Navrhnout architektonický přístup a integrační místa</w:t>
            </w:r>
          </w:p>
          <w:p w14:paraId="698BCEE4"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F)</w:t>
            </w:r>
            <w:r>
              <w:rPr>
                <w:noProof/>
              </w:rPr>
              <w:t xml:space="preserve"> </w:t>
            </w:r>
            <w:r>
              <w:rPr>
                <w:noProof/>
                <w:color w:val="006100"/>
                <w:sz w:val="18"/>
              </w:rPr>
              <w:t>Konfigurace datového skladu</w:t>
            </w:r>
          </w:p>
          <w:p w14:paraId="338CE71B"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g)</w:t>
            </w:r>
            <w:r>
              <w:rPr>
                <w:noProof/>
              </w:rPr>
              <w:t xml:space="preserve"> </w:t>
            </w:r>
            <w:r>
              <w:rPr>
                <w:noProof/>
                <w:color w:val="006100"/>
                <w:sz w:val="18"/>
              </w:rPr>
              <w:t>Integrace s informačními systémy „back-office“</w:t>
            </w:r>
          </w:p>
          <w:p w14:paraId="3F8ACE53"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H)</w:t>
            </w:r>
            <w:r>
              <w:rPr>
                <w:noProof/>
              </w:rPr>
              <w:t xml:space="preserve"> </w:t>
            </w:r>
            <w:r>
              <w:rPr>
                <w:noProof/>
                <w:color w:val="006100"/>
                <w:sz w:val="18"/>
              </w:rPr>
              <w:t>Vytváření zpráv a analýz BI</w:t>
            </w:r>
          </w:p>
          <w:p w14:paraId="4B1A25FC"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i)</w:t>
            </w:r>
            <w:r>
              <w:rPr>
                <w:noProof/>
              </w:rPr>
              <w:t xml:space="preserve"> </w:t>
            </w:r>
            <w:r>
              <w:rPr>
                <w:noProof/>
                <w:color w:val="006100"/>
                <w:sz w:val="18"/>
              </w:rPr>
              <w:t>Podpora provozu ekosystému BI po dobu tří let</w:t>
            </w:r>
          </w:p>
          <w:p w14:paraId="45301A99" w14:textId="77777777" w:rsidR="00515398" w:rsidRDefault="006711E6">
            <w:pPr>
              <w:spacing w:after="0" w:line="240" w:lineRule="auto"/>
              <w:ind w:left="383" w:hanging="284"/>
              <w:rPr>
                <w:rFonts w:eastAsia="Times New Roman" w:cs="Calibri"/>
                <w:noProof/>
                <w:color w:val="006100"/>
                <w:sz w:val="18"/>
                <w:szCs w:val="18"/>
              </w:rPr>
            </w:pPr>
            <w:r>
              <w:rPr>
                <w:noProof/>
                <w:color w:val="006100"/>
                <w:sz w:val="18"/>
              </w:rPr>
              <w:t>J)</w:t>
            </w:r>
            <w:r>
              <w:rPr>
                <w:noProof/>
              </w:rPr>
              <w:t xml:space="preserve"> </w:t>
            </w:r>
            <w:r>
              <w:rPr>
                <w:noProof/>
                <w:color w:val="006100"/>
                <w:sz w:val="18"/>
              </w:rPr>
              <w:t>Licenční poplatky pro 200 uživat</w:t>
            </w:r>
            <w:r>
              <w:rPr>
                <w:noProof/>
                <w:color w:val="006100"/>
                <w:sz w:val="18"/>
              </w:rPr>
              <w:t>elů s právy superadmin a 200 TB skladování.</w:t>
            </w:r>
          </w:p>
        </w:tc>
      </w:tr>
      <w:tr w:rsidR="00515398" w14:paraId="12395F12" w14:textId="77777777">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tcPr>
          <w:p w14:paraId="04E15BC9" w14:textId="77777777" w:rsidR="00515398" w:rsidRDefault="006711E6">
            <w:pPr>
              <w:pStyle w:val="P68B1DB1-Normal9"/>
              <w:spacing w:after="0" w:line="240" w:lineRule="auto"/>
              <w:rPr>
                <w:rFonts w:eastAsia="Times New Roman" w:cs="Calibri"/>
                <w:noProof/>
                <w:szCs w:val="18"/>
              </w:rPr>
            </w:pPr>
            <w:r>
              <w:rPr>
                <w:noProof/>
              </w:rPr>
              <w:t>122</w:t>
            </w:r>
          </w:p>
        </w:tc>
        <w:tc>
          <w:tcPr>
            <w:tcW w:w="1710" w:type="dxa"/>
            <w:tcBorders>
              <w:top w:val="nil"/>
              <w:left w:val="nil"/>
              <w:bottom w:val="single" w:sz="4" w:space="0" w:color="auto"/>
              <w:right w:val="single" w:sz="4" w:space="0" w:color="auto"/>
            </w:tcBorders>
            <w:shd w:val="clear" w:color="auto" w:fill="C6EFCE"/>
            <w:noWrap/>
          </w:tcPr>
          <w:p w14:paraId="548AEC95" w14:textId="77777777" w:rsidR="00515398" w:rsidRDefault="006711E6">
            <w:pPr>
              <w:pStyle w:val="P68B1DB1-Normal9"/>
              <w:spacing w:after="0" w:line="240" w:lineRule="auto"/>
              <w:rPr>
                <w:rFonts w:eastAsia="Times New Roman" w:cs="Calibri"/>
                <w:noProof/>
                <w:szCs w:val="18"/>
              </w:rPr>
            </w:pPr>
            <w:r>
              <w:rPr>
                <w:noProof/>
              </w:rPr>
              <w:t>6–2.2. Modernizace – 16853 Poskytování infrastruktury a služeb centrální cloud computingu</w:t>
            </w:r>
          </w:p>
        </w:tc>
        <w:tc>
          <w:tcPr>
            <w:tcW w:w="1130" w:type="dxa"/>
            <w:tcBorders>
              <w:top w:val="nil"/>
              <w:left w:val="nil"/>
              <w:bottom w:val="single" w:sz="4" w:space="0" w:color="auto"/>
              <w:right w:val="single" w:sz="4" w:space="0" w:color="auto"/>
            </w:tcBorders>
            <w:shd w:val="clear" w:color="auto" w:fill="C6EFCE"/>
            <w:noWrap/>
          </w:tcPr>
          <w:p w14:paraId="70A303AA"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nil"/>
              <w:left w:val="nil"/>
              <w:bottom w:val="single" w:sz="4" w:space="0" w:color="auto"/>
              <w:right w:val="single" w:sz="4" w:space="0" w:color="auto"/>
            </w:tcBorders>
            <w:shd w:val="clear" w:color="auto" w:fill="C6EFCE"/>
            <w:noWrap/>
          </w:tcPr>
          <w:p w14:paraId="38D09468" w14:textId="77777777" w:rsidR="00515398" w:rsidRDefault="006711E6">
            <w:pPr>
              <w:pStyle w:val="P68B1DB1-Normal9"/>
              <w:spacing w:after="0" w:line="240" w:lineRule="auto"/>
              <w:rPr>
                <w:rFonts w:eastAsia="Times New Roman" w:cs="Calibri"/>
                <w:noProof/>
                <w:szCs w:val="18"/>
              </w:rPr>
            </w:pPr>
            <w:r>
              <w:rPr>
                <w:noProof/>
              </w:rPr>
              <w:t>Dokončení infrastruktury a služeb centrální cloud computingu</w:t>
            </w:r>
          </w:p>
        </w:tc>
        <w:tc>
          <w:tcPr>
            <w:tcW w:w="1417" w:type="dxa"/>
            <w:tcBorders>
              <w:top w:val="nil"/>
              <w:left w:val="nil"/>
              <w:bottom w:val="single" w:sz="4" w:space="0" w:color="auto"/>
              <w:right w:val="single" w:sz="4" w:space="0" w:color="auto"/>
            </w:tcBorders>
            <w:shd w:val="clear" w:color="auto" w:fill="C6EFCE"/>
            <w:noWrap/>
          </w:tcPr>
          <w:p w14:paraId="34DA392A" w14:textId="77777777" w:rsidR="00515398" w:rsidRDefault="006711E6">
            <w:pPr>
              <w:pStyle w:val="P68B1DB1-Normal9"/>
              <w:spacing w:after="0" w:line="240" w:lineRule="auto"/>
              <w:rPr>
                <w:rFonts w:eastAsia="Times New Roman" w:cs="Calibri"/>
                <w:noProof/>
                <w:szCs w:val="18"/>
              </w:rPr>
            </w:pPr>
            <w:r>
              <w:rPr>
                <w:noProof/>
              </w:rPr>
              <w:t xml:space="preserve">Zpráva ministerstva pro digitální správu </w:t>
            </w:r>
            <w:r>
              <w:rPr>
                <w:noProof/>
              </w:rPr>
              <w:t>dokumentující dokončení nastavení všech složek projektu a parametrování infrastruktury pro projekt centrální infrastruktury a služeb cloud computingu.</w:t>
            </w:r>
          </w:p>
        </w:tc>
        <w:tc>
          <w:tcPr>
            <w:tcW w:w="1134" w:type="dxa"/>
            <w:tcBorders>
              <w:top w:val="nil"/>
              <w:left w:val="nil"/>
              <w:bottom w:val="single" w:sz="4" w:space="0" w:color="auto"/>
              <w:right w:val="single" w:sz="4" w:space="0" w:color="auto"/>
            </w:tcBorders>
            <w:shd w:val="clear" w:color="auto" w:fill="C6EFCE"/>
            <w:noWrap/>
          </w:tcPr>
          <w:p w14:paraId="32CFE2DD" w14:textId="77777777" w:rsidR="00515398" w:rsidRDefault="00515398">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6C3F139F" w14:textId="77777777" w:rsidR="00515398" w:rsidRDefault="00515398">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4AE0A4B6"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271BADF7" w14:textId="77777777" w:rsidR="00515398" w:rsidRDefault="006711E6">
            <w:pPr>
              <w:pStyle w:val="P68B1DB1-Normal9"/>
              <w:spacing w:after="0" w:line="240" w:lineRule="auto"/>
              <w:rPr>
                <w:rFonts w:eastAsia="Times New Roman" w:cs="Calibri"/>
                <w:noProof/>
                <w:szCs w:val="18"/>
              </w:rPr>
            </w:pPr>
            <w:r>
              <w:rPr>
                <w:noProof/>
              </w:rPr>
              <w:t>ČTVRTLETÍ</w:t>
            </w:r>
          </w:p>
        </w:tc>
        <w:tc>
          <w:tcPr>
            <w:tcW w:w="992" w:type="dxa"/>
            <w:tcBorders>
              <w:top w:val="nil"/>
              <w:left w:val="nil"/>
              <w:bottom w:val="single" w:sz="4" w:space="0" w:color="auto"/>
              <w:right w:val="single" w:sz="4" w:space="0" w:color="auto"/>
            </w:tcBorders>
            <w:shd w:val="clear" w:color="auto" w:fill="C6EFCE"/>
            <w:noWrap/>
          </w:tcPr>
          <w:p w14:paraId="6BED9A05" w14:textId="77777777" w:rsidR="00515398" w:rsidRDefault="006711E6">
            <w:pPr>
              <w:pStyle w:val="P68B1DB1-Normal9"/>
              <w:spacing w:after="0" w:line="240" w:lineRule="auto"/>
              <w:rPr>
                <w:rFonts w:eastAsia="Times New Roman" w:cs="Calibri"/>
                <w:noProof/>
                <w:szCs w:val="18"/>
              </w:rPr>
            </w:pPr>
            <w:r>
              <w:rPr>
                <w:noProof/>
              </w:rPr>
              <w:t>2024</w:t>
            </w:r>
          </w:p>
        </w:tc>
        <w:tc>
          <w:tcPr>
            <w:tcW w:w="3398" w:type="dxa"/>
            <w:tcBorders>
              <w:top w:val="nil"/>
              <w:left w:val="nil"/>
              <w:bottom w:val="single" w:sz="4" w:space="0" w:color="auto"/>
              <w:right w:val="single" w:sz="4" w:space="0" w:color="auto"/>
            </w:tcBorders>
            <w:shd w:val="clear" w:color="auto" w:fill="C6EFCE"/>
            <w:noWrap/>
          </w:tcPr>
          <w:p w14:paraId="153AA1FD" w14:textId="22706240" w:rsidR="00515398" w:rsidRDefault="006711E6">
            <w:pPr>
              <w:pStyle w:val="P68B1DB1-Normal10"/>
              <w:spacing w:after="0" w:line="240" w:lineRule="auto"/>
              <w:rPr>
                <w:rFonts w:eastAsia="Times New Roman" w:cs="Calibri"/>
                <w:noProof/>
              </w:rPr>
            </w:pPr>
            <w:r>
              <w:rPr>
                <w:noProof/>
              </w:rPr>
              <w:t>Zahájení provozu nastavení všech složek projektu a parametrování infrastruktury pro pro</w:t>
            </w:r>
            <w:r>
              <w:rPr>
                <w:noProof/>
              </w:rPr>
              <w:t>jekt centrální infrastruktury a služeb cloud computingu. Zavést a uvést do praxe projekt infrastruktury a služeb centrálního cloud computingu. Nová instalovaná infrastruktura zahrnuje virtuální stroje a odpovídající virtuální sítě (infrastruktura jako služ</w:t>
            </w:r>
            <w:r>
              <w:rPr>
                <w:noProof/>
              </w:rPr>
              <w:t>ba), platformu jako službu, dvě pole edge computingu, dvě zvláštní rozhraní vysokorychlostních optických vláken a výcvikové a podpůrné služby pro celý projekt.</w:t>
            </w:r>
          </w:p>
          <w:p w14:paraId="0565173E" w14:textId="77777777" w:rsidR="00515398" w:rsidRDefault="006711E6">
            <w:pPr>
              <w:pStyle w:val="P68B1DB1-Normal9"/>
              <w:spacing w:after="0" w:line="240" w:lineRule="auto"/>
              <w:rPr>
                <w:rFonts w:eastAsia="Times New Roman" w:cs="Calibri"/>
                <w:noProof/>
                <w:szCs w:val="18"/>
              </w:rPr>
            </w:pPr>
            <w:r>
              <w:rPr>
                <w:noProof/>
              </w:rPr>
              <w:t>Datová centra poskytovatele cloudových služeb jsou povinna dodržovat „Evropský kodex chování pro</w:t>
            </w:r>
            <w:r>
              <w:rPr>
                <w:noProof/>
              </w:rPr>
              <w:t xml:space="preserve"> energetickou účinnost datových center“.</w:t>
            </w:r>
          </w:p>
        </w:tc>
      </w:tr>
      <w:tr w:rsidR="00515398" w14:paraId="09938C57"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E00FC32" w14:textId="77777777" w:rsidR="00515398" w:rsidRDefault="006711E6">
            <w:pPr>
              <w:pStyle w:val="P68B1DB1-Normal9"/>
              <w:spacing w:after="0" w:line="240" w:lineRule="auto"/>
              <w:rPr>
                <w:rFonts w:eastAsia="Times New Roman" w:cs="Calibri"/>
                <w:noProof/>
                <w:szCs w:val="18"/>
              </w:rPr>
            </w:pPr>
            <w:r>
              <w:rPr>
                <w:noProof/>
              </w:rPr>
              <w:t>123</w:t>
            </w:r>
          </w:p>
        </w:tc>
        <w:tc>
          <w:tcPr>
            <w:tcW w:w="1710" w:type="dxa"/>
            <w:tcBorders>
              <w:top w:val="single" w:sz="4" w:space="0" w:color="auto"/>
              <w:left w:val="nil"/>
              <w:bottom w:val="single" w:sz="4" w:space="0" w:color="auto"/>
              <w:right w:val="single" w:sz="4" w:space="0" w:color="auto"/>
            </w:tcBorders>
            <w:shd w:val="clear" w:color="auto" w:fill="C6EFCE"/>
            <w:noWrap/>
          </w:tcPr>
          <w:p w14:paraId="46D7EF04" w14:textId="77777777" w:rsidR="00515398" w:rsidRDefault="006711E6">
            <w:pPr>
              <w:pStyle w:val="P68B1DB1-Normal9"/>
              <w:spacing w:after="0" w:line="240" w:lineRule="auto"/>
              <w:rPr>
                <w:rFonts w:eastAsia="Times New Roman" w:cs="Calibri"/>
                <w:noProof/>
                <w:szCs w:val="18"/>
              </w:rPr>
            </w:pPr>
            <w:r>
              <w:rPr>
                <w:noProof/>
              </w:rPr>
              <w:t>6–2.2. Modernizace – 16854_Inteligentní města</w:t>
            </w:r>
          </w:p>
        </w:tc>
        <w:tc>
          <w:tcPr>
            <w:tcW w:w="1130" w:type="dxa"/>
            <w:tcBorders>
              <w:top w:val="single" w:sz="4" w:space="0" w:color="auto"/>
              <w:left w:val="nil"/>
              <w:bottom w:val="single" w:sz="4" w:space="0" w:color="auto"/>
              <w:right w:val="single" w:sz="4" w:space="0" w:color="auto"/>
            </w:tcBorders>
            <w:shd w:val="clear" w:color="auto" w:fill="C6EFCE"/>
            <w:noWrap/>
          </w:tcPr>
          <w:p w14:paraId="64F95906" w14:textId="77777777" w:rsidR="00515398" w:rsidRDefault="006711E6">
            <w:pPr>
              <w:pStyle w:val="P68B1DB1-Normal9"/>
              <w:spacing w:after="0" w:line="240" w:lineRule="auto"/>
              <w:rPr>
                <w:rFonts w:eastAsia="Times New Roman" w:cs="Calibri"/>
                <w:noProof/>
                <w:szCs w:val="18"/>
              </w:rPr>
            </w:pPr>
            <w:r>
              <w:rPr>
                <w:noProof/>
              </w:rPr>
              <w:t>Cílová</w:t>
            </w:r>
          </w:p>
        </w:tc>
        <w:tc>
          <w:tcPr>
            <w:tcW w:w="1701" w:type="dxa"/>
            <w:tcBorders>
              <w:top w:val="single" w:sz="4" w:space="0" w:color="auto"/>
              <w:left w:val="nil"/>
              <w:bottom w:val="single" w:sz="4" w:space="0" w:color="auto"/>
              <w:right w:val="single" w:sz="4" w:space="0" w:color="auto"/>
            </w:tcBorders>
            <w:shd w:val="clear" w:color="auto" w:fill="C6EFCE"/>
            <w:noWrap/>
          </w:tcPr>
          <w:p w14:paraId="4CD91C96" w14:textId="77777777" w:rsidR="00515398" w:rsidRDefault="006711E6">
            <w:pPr>
              <w:pStyle w:val="P68B1DB1-Normal9"/>
              <w:spacing w:after="0" w:line="240" w:lineRule="auto"/>
              <w:rPr>
                <w:rFonts w:eastAsia="Times New Roman" w:cs="Calibri"/>
                <w:noProof/>
                <w:szCs w:val="18"/>
              </w:rPr>
            </w:pPr>
            <w:r>
              <w:rPr>
                <w:noProof/>
              </w:rPr>
              <w:t>Úplné provedení projektů inteligentních měst</w:t>
            </w:r>
          </w:p>
        </w:tc>
        <w:tc>
          <w:tcPr>
            <w:tcW w:w="1417" w:type="dxa"/>
            <w:tcBorders>
              <w:top w:val="single" w:sz="4" w:space="0" w:color="auto"/>
              <w:left w:val="nil"/>
              <w:bottom w:val="single" w:sz="4" w:space="0" w:color="auto"/>
              <w:right w:val="single" w:sz="4" w:space="0" w:color="auto"/>
            </w:tcBorders>
            <w:shd w:val="clear" w:color="auto" w:fill="C6EFCE"/>
            <w:noWrap/>
          </w:tcPr>
          <w:p w14:paraId="402A856D"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A4D85C2" w14:textId="4C75F429" w:rsidR="00515398" w:rsidRDefault="006711E6">
            <w:pPr>
              <w:pStyle w:val="P68B1DB1-Normal9"/>
              <w:spacing w:after="0" w:line="240" w:lineRule="auto"/>
              <w:rPr>
                <w:rFonts w:eastAsia="Times New Roman" w:cs="Calibri"/>
                <w:noProof/>
                <w:szCs w:val="18"/>
              </w:rPr>
            </w:pPr>
            <w:r>
              <w:rPr>
                <w:noProof/>
              </w:rPr>
              <w:t xml:space="preserve">Počet </w:t>
            </w:r>
            <w:r>
              <w:rPr>
                <w:noProof/>
                <w:szCs w:val="18"/>
              </w:rPr>
              <w:t xml:space="preserve">munice, které </w:t>
            </w:r>
            <w:r>
              <w:rPr>
                <w:noProof/>
              </w:rPr>
              <w:t xml:space="preserve">zavedly infrastrukturu, platformy a systémy na podporu jejich transformace na </w:t>
            </w:r>
            <w:r>
              <w:rPr>
                <w:noProof/>
              </w:rPr>
              <w:t xml:space="preserve">inteligentní města </w:t>
            </w:r>
          </w:p>
        </w:tc>
        <w:tc>
          <w:tcPr>
            <w:tcW w:w="1134" w:type="dxa"/>
            <w:tcBorders>
              <w:top w:val="single" w:sz="4" w:space="0" w:color="auto"/>
              <w:left w:val="nil"/>
              <w:bottom w:val="single" w:sz="4" w:space="0" w:color="auto"/>
              <w:right w:val="single" w:sz="4" w:space="0" w:color="auto"/>
            </w:tcBorders>
            <w:shd w:val="clear" w:color="auto" w:fill="C6EFCE"/>
            <w:noWrap/>
          </w:tcPr>
          <w:p w14:paraId="4B11312D"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D98730C" w14:textId="77777777" w:rsidR="00515398" w:rsidRDefault="006711E6">
            <w:pPr>
              <w:pStyle w:val="P68B1DB1-Normal9"/>
              <w:spacing w:after="0" w:line="240" w:lineRule="auto"/>
              <w:rPr>
                <w:rFonts w:eastAsia="Times New Roman" w:cs="Calibri"/>
                <w:noProof/>
                <w:szCs w:val="18"/>
              </w:rPr>
            </w:pPr>
            <w:r>
              <w:rPr>
                <w:noProof/>
              </w:rPr>
              <w:t>11</w:t>
            </w:r>
          </w:p>
          <w:p w14:paraId="0C827C30"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04E2F56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92" w:type="dxa"/>
            <w:tcBorders>
              <w:top w:val="single" w:sz="4" w:space="0" w:color="auto"/>
              <w:left w:val="nil"/>
              <w:bottom w:val="single" w:sz="4" w:space="0" w:color="auto"/>
              <w:right w:val="single" w:sz="4" w:space="0" w:color="auto"/>
            </w:tcBorders>
            <w:shd w:val="clear" w:color="auto" w:fill="C6EFCE"/>
            <w:noWrap/>
          </w:tcPr>
          <w:p w14:paraId="11ED8AEC" w14:textId="77777777" w:rsidR="00515398" w:rsidRDefault="006711E6">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60F7480A" w14:textId="6DB1AA63" w:rsidR="00515398" w:rsidRDefault="006711E6">
            <w:pPr>
              <w:pStyle w:val="P68B1DB1-Normal10"/>
              <w:spacing w:after="0" w:line="240" w:lineRule="auto"/>
              <w:rPr>
                <w:rFonts w:eastAsia="Times New Roman" w:cs="Calibri"/>
                <w:noProof/>
              </w:rPr>
            </w:pPr>
            <w:r>
              <w:rPr>
                <w:noProof/>
              </w:rPr>
              <w:t>Provádět projekty, které usnadní přeměnu 11 řeckých obcí na inteligentní města prostřednictvím investic do inteligentních udržitelných měst a infrastruktur a systémů pro udržitelnou a zelenou budoucnost měst, n</w:t>
            </w:r>
            <w:r>
              <w:rPr>
                <w:noProof/>
              </w:rPr>
              <w:t xml:space="preserve">apříklad: a) Dostupnost a využívání otevřených dat, které posílí tržní rozvoj inovativních řešení a produktů pro inteligentní města (jako jsou aplikace internetu věcí, data velkého objemu a cloud.); b) využívání stávajících pevných a bezdrátových sítí; c) </w:t>
            </w:r>
            <w:r>
              <w:rPr>
                <w:noProof/>
              </w:rPr>
              <w:t xml:space="preserve">aktivace výzkumné a akademické obce pro organizaci doplňkových inovativních opatření; d) platformy, které přispějí k vytváření časových řad otevřených měst, a e) vytvoření digitálního dvojčete“, jakož i další řešení a služby zaměřené na občany, které jsou </w:t>
            </w:r>
            <w:r>
              <w:rPr>
                <w:noProof/>
              </w:rPr>
              <w:t xml:space="preserve">od počátku zahrnuty do participativních přístupů občanů (prostřednictvím společného návrhu). </w:t>
            </w:r>
          </w:p>
        </w:tc>
      </w:tr>
      <w:tr w:rsidR="00515398" w14:paraId="50EC0C75"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C7B9DE0" w14:textId="77777777" w:rsidR="00515398" w:rsidRDefault="006711E6">
            <w:pPr>
              <w:pStyle w:val="P68B1DB1-Normal9"/>
              <w:spacing w:after="0" w:line="240" w:lineRule="auto"/>
              <w:rPr>
                <w:rFonts w:eastAsia="Times New Roman" w:cs="Calibri"/>
                <w:noProof/>
                <w:szCs w:val="18"/>
              </w:rPr>
            </w:pPr>
            <w:r>
              <w:rPr>
                <w:noProof/>
              </w:rPr>
              <w:t>124</w:t>
            </w:r>
          </w:p>
        </w:tc>
        <w:tc>
          <w:tcPr>
            <w:tcW w:w="1710" w:type="dxa"/>
            <w:tcBorders>
              <w:top w:val="single" w:sz="4" w:space="0" w:color="auto"/>
              <w:left w:val="nil"/>
              <w:bottom w:val="single" w:sz="4" w:space="0" w:color="auto"/>
              <w:right w:val="single" w:sz="4" w:space="0" w:color="auto"/>
            </w:tcBorders>
            <w:shd w:val="clear" w:color="auto" w:fill="C6EFCE"/>
            <w:noWrap/>
          </w:tcPr>
          <w:p w14:paraId="2D648406" w14:textId="77777777" w:rsidR="00515398" w:rsidRDefault="006711E6">
            <w:pPr>
              <w:pStyle w:val="P68B1DB1-Normal9"/>
              <w:spacing w:after="0" w:line="240" w:lineRule="auto"/>
              <w:rPr>
                <w:rFonts w:eastAsia="Times New Roman"/>
                <w:noProof/>
                <w:szCs w:val="18"/>
                <w:highlight w:val="yellow"/>
              </w:rPr>
            </w:pPr>
            <w:r>
              <w:rPr>
                <w:noProof/>
              </w:rPr>
              <w:t>6–2.2. Modernizace – 16928_Začlenění nových technologií a trendů směrem k vyspělým službám veřejné správy, zvýšení účinnosti a účelnosti a snížení nákladů na</w:t>
            </w:r>
            <w:r>
              <w:rPr>
                <w:noProof/>
              </w:rPr>
              <w:t xml:space="preserve"> provoz, modernizaci a údržbu systémů</w:t>
            </w:r>
          </w:p>
        </w:tc>
        <w:tc>
          <w:tcPr>
            <w:tcW w:w="1130" w:type="dxa"/>
            <w:tcBorders>
              <w:top w:val="single" w:sz="4" w:space="0" w:color="auto"/>
              <w:left w:val="nil"/>
              <w:bottom w:val="single" w:sz="4" w:space="0" w:color="auto"/>
              <w:right w:val="single" w:sz="4" w:space="0" w:color="auto"/>
            </w:tcBorders>
            <w:shd w:val="clear" w:color="auto" w:fill="C6EFCE"/>
            <w:noWrap/>
          </w:tcPr>
          <w:p w14:paraId="0429B885" w14:textId="77777777" w:rsidR="00515398" w:rsidRDefault="006711E6">
            <w:pPr>
              <w:pStyle w:val="P68B1DB1-Normal9"/>
              <w:spacing w:after="0" w:line="240" w:lineRule="auto"/>
              <w:rPr>
                <w:rFonts w:eastAsia="Times New Roman" w:cs="Calibri"/>
                <w:noProof/>
                <w:szCs w:val="18"/>
              </w:rPr>
            </w:pPr>
            <w:r>
              <w:rPr>
                <w:noProof/>
              </w:rPr>
              <w:t>Milník</w:t>
            </w:r>
          </w:p>
          <w:p w14:paraId="4F986DBA" w14:textId="77777777" w:rsidR="00515398" w:rsidRDefault="00515398">
            <w:pPr>
              <w:spacing w:after="0" w:line="240" w:lineRule="auto"/>
              <w:rPr>
                <w:rFonts w:eastAsia="Times New Roman" w:cs="Calibri"/>
                <w:noProof/>
                <w:color w:val="006100"/>
                <w:sz w:val="18"/>
                <w:szCs w:val="18"/>
              </w:rPr>
            </w:pPr>
          </w:p>
        </w:tc>
        <w:tc>
          <w:tcPr>
            <w:tcW w:w="1701" w:type="dxa"/>
            <w:tcBorders>
              <w:top w:val="single" w:sz="4" w:space="0" w:color="auto"/>
              <w:left w:val="nil"/>
              <w:bottom w:val="single" w:sz="4" w:space="0" w:color="auto"/>
              <w:right w:val="single" w:sz="4" w:space="0" w:color="auto"/>
            </w:tcBorders>
            <w:shd w:val="clear" w:color="auto" w:fill="C6EFCE"/>
            <w:noWrap/>
          </w:tcPr>
          <w:p w14:paraId="238A1501" w14:textId="53E28D01" w:rsidR="00515398" w:rsidRDefault="006711E6">
            <w:pPr>
              <w:pStyle w:val="P68B1DB1-Normal9"/>
              <w:spacing w:after="0" w:line="240" w:lineRule="auto"/>
              <w:rPr>
                <w:noProof/>
              </w:rPr>
            </w:pPr>
            <w:r>
              <w:rPr>
                <w:noProof/>
              </w:rPr>
              <w:t>Rámec pro začlenění nových technologií do veřejnosti</w:t>
            </w:r>
          </w:p>
          <w:p w14:paraId="25B6673E" w14:textId="777D78A4" w:rsidR="00515398" w:rsidRDefault="006711E6">
            <w:pPr>
              <w:pStyle w:val="P68B1DB1-Normal9"/>
              <w:spacing w:after="0" w:line="240" w:lineRule="auto"/>
              <w:rPr>
                <w:rFonts w:eastAsia="Times New Roman" w:cs="Calibri"/>
                <w:noProof/>
                <w:szCs w:val="18"/>
              </w:rPr>
            </w:pPr>
            <w:r>
              <w:rPr>
                <w:noProof/>
              </w:rPr>
              <w:t>administrativa</w:t>
            </w:r>
          </w:p>
        </w:tc>
        <w:tc>
          <w:tcPr>
            <w:tcW w:w="1417" w:type="dxa"/>
            <w:tcBorders>
              <w:top w:val="single" w:sz="4" w:space="0" w:color="auto"/>
              <w:left w:val="nil"/>
              <w:bottom w:val="single" w:sz="4" w:space="0" w:color="auto"/>
              <w:right w:val="single" w:sz="4" w:space="0" w:color="auto"/>
            </w:tcBorders>
            <w:shd w:val="clear" w:color="auto" w:fill="C6EFCE"/>
            <w:noWrap/>
          </w:tcPr>
          <w:p w14:paraId="61A373DD" w14:textId="2D34E3AB" w:rsidR="00515398" w:rsidRDefault="006711E6">
            <w:pPr>
              <w:pStyle w:val="P68B1DB1-Normal9"/>
              <w:spacing w:after="0" w:line="240" w:lineRule="auto"/>
              <w:rPr>
                <w:rFonts w:eastAsia="Times New Roman" w:cs="Calibri"/>
                <w:noProof/>
                <w:szCs w:val="18"/>
              </w:rPr>
            </w:pPr>
            <w:r>
              <w:rPr>
                <w:noProof/>
              </w:rPr>
              <w:t>Přijetí rámce pro začlenění nových technologií do veřejné správy.</w:t>
            </w:r>
          </w:p>
        </w:tc>
        <w:tc>
          <w:tcPr>
            <w:tcW w:w="1134" w:type="dxa"/>
            <w:tcBorders>
              <w:top w:val="single" w:sz="4" w:space="0" w:color="auto"/>
              <w:left w:val="nil"/>
              <w:bottom w:val="single" w:sz="4" w:space="0" w:color="auto"/>
              <w:right w:val="single" w:sz="4" w:space="0" w:color="auto"/>
            </w:tcBorders>
            <w:shd w:val="clear" w:color="auto" w:fill="C6EFCE"/>
            <w:noWrap/>
          </w:tcPr>
          <w:p w14:paraId="56A0C3EB"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7088F804"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519FB600"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7716044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92" w:type="dxa"/>
            <w:tcBorders>
              <w:top w:val="single" w:sz="4" w:space="0" w:color="auto"/>
              <w:left w:val="nil"/>
              <w:bottom w:val="single" w:sz="4" w:space="0" w:color="auto"/>
              <w:right w:val="single" w:sz="4" w:space="0" w:color="auto"/>
            </w:tcBorders>
            <w:shd w:val="clear" w:color="auto" w:fill="C6EFCE"/>
            <w:noWrap/>
          </w:tcPr>
          <w:p w14:paraId="22AEEF50" w14:textId="77777777" w:rsidR="00515398" w:rsidRDefault="006711E6">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2C1F8989" w14:textId="15671D3B" w:rsidR="00515398" w:rsidRDefault="006711E6">
            <w:pPr>
              <w:pStyle w:val="P68B1DB1-Normal10"/>
              <w:spacing w:after="0" w:line="240" w:lineRule="auto"/>
              <w:rPr>
                <w:rFonts w:eastAsia="Times New Roman" w:cs="Calibri"/>
                <w:noProof/>
              </w:rPr>
            </w:pPr>
            <w:r>
              <w:rPr>
                <w:noProof/>
              </w:rPr>
              <w:t xml:space="preserve">Vytvořit rámec zaměřený na zavádění nových technologií a nástrojů k usnadnění digitální transformace a modernizace veřejné správy. </w:t>
            </w:r>
          </w:p>
        </w:tc>
      </w:tr>
      <w:tr w:rsidR="00515398" w14:paraId="19A9935E"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AA6CD7B" w14:textId="77777777" w:rsidR="00515398" w:rsidRDefault="006711E6">
            <w:pPr>
              <w:pStyle w:val="P68B1DB1-Normal9"/>
              <w:spacing w:after="0" w:line="240" w:lineRule="auto"/>
              <w:rPr>
                <w:rFonts w:eastAsia="Times New Roman" w:cs="Calibri"/>
                <w:noProof/>
                <w:szCs w:val="18"/>
              </w:rPr>
            </w:pPr>
            <w:r>
              <w:rPr>
                <w:noProof/>
              </w:rPr>
              <w:t>125</w:t>
            </w:r>
          </w:p>
        </w:tc>
        <w:tc>
          <w:tcPr>
            <w:tcW w:w="1710" w:type="dxa"/>
            <w:tcBorders>
              <w:top w:val="single" w:sz="4" w:space="0" w:color="auto"/>
              <w:left w:val="nil"/>
              <w:bottom w:val="single" w:sz="4" w:space="0" w:color="auto"/>
              <w:right w:val="single" w:sz="4" w:space="0" w:color="auto"/>
            </w:tcBorders>
            <w:shd w:val="clear" w:color="auto" w:fill="C6EFCE"/>
            <w:noWrap/>
          </w:tcPr>
          <w:p w14:paraId="3C25AD84" w14:textId="77777777" w:rsidR="00515398" w:rsidRDefault="006711E6">
            <w:pPr>
              <w:pStyle w:val="P68B1DB1-Normal9"/>
              <w:spacing w:after="0" w:line="240" w:lineRule="auto"/>
              <w:rPr>
                <w:rFonts w:eastAsia="Times New Roman" w:cs="Calibri"/>
                <w:noProof/>
                <w:szCs w:val="18"/>
              </w:rPr>
            </w:pPr>
            <w:r>
              <w:rPr>
                <w:noProof/>
              </w:rPr>
              <w:t xml:space="preserve">6–2.2. Modernizace – 16955_Modernizace cloudové infrastruktury a služeb vnitrostátních infrastruktur pro výzkum a </w:t>
            </w:r>
            <w:r>
              <w:rPr>
                <w:noProof/>
              </w:rPr>
              <w:t>technologie (GRNET)</w:t>
            </w:r>
          </w:p>
        </w:tc>
        <w:tc>
          <w:tcPr>
            <w:tcW w:w="1130" w:type="dxa"/>
            <w:tcBorders>
              <w:top w:val="single" w:sz="4" w:space="0" w:color="auto"/>
              <w:left w:val="nil"/>
              <w:bottom w:val="single" w:sz="4" w:space="0" w:color="auto"/>
              <w:right w:val="single" w:sz="4" w:space="0" w:color="auto"/>
            </w:tcBorders>
            <w:shd w:val="clear" w:color="auto" w:fill="C6EFCE"/>
            <w:noWrap/>
          </w:tcPr>
          <w:p w14:paraId="0C7E85E3"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single" w:sz="4" w:space="0" w:color="auto"/>
              <w:left w:val="nil"/>
              <w:bottom w:val="single" w:sz="4" w:space="0" w:color="auto"/>
              <w:right w:val="single" w:sz="4" w:space="0" w:color="auto"/>
            </w:tcBorders>
            <w:shd w:val="clear" w:color="auto" w:fill="C6EFCE"/>
            <w:noWrap/>
          </w:tcPr>
          <w:p w14:paraId="6CE2FC46" w14:textId="77777777" w:rsidR="00515398" w:rsidRDefault="006711E6">
            <w:pPr>
              <w:pStyle w:val="P68B1DB1-Normal9"/>
              <w:spacing w:after="0" w:line="240" w:lineRule="auto"/>
              <w:rPr>
                <w:rFonts w:eastAsia="Times New Roman" w:cs="Calibri"/>
                <w:noProof/>
                <w:szCs w:val="18"/>
              </w:rPr>
            </w:pPr>
            <w:r>
              <w:rPr>
                <w:noProof/>
              </w:rPr>
              <w:t xml:space="preserve">Dokončení sítě GRNET </w:t>
            </w:r>
          </w:p>
        </w:tc>
        <w:tc>
          <w:tcPr>
            <w:tcW w:w="1417" w:type="dxa"/>
            <w:tcBorders>
              <w:top w:val="single" w:sz="4" w:space="0" w:color="auto"/>
              <w:left w:val="nil"/>
              <w:bottom w:val="single" w:sz="4" w:space="0" w:color="auto"/>
              <w:right w:val="single" w:sz="4" w:space="0" w:color="auto"/>
            </w:tcBorders>
            <w:shd w:val="clear" w:color="auto" w:fill="C6EFCE"/>
            <w:noWrap/>
          </w:tcPr>
          <w:p w14:paraId="5AF50D14" w14:textId="2FD9267E" w:rsidR="00515398" w:rsidRDefault="006711E6">
            <w:pPr>
              <w:pStyle w:val="P68B1DB1-Normal9"/>
              <w:spacing w:after="0" w:line="240" w:lineRule="auto"/>
              <w:rPr>
                <w:rFonts w:eastAsia="Times New Roman" w:cs="Calibri"/>
                <w:noProof/>
                <w:szCs w:val="18"/>
              </w:rPr>
            </w:pPr>
            <w:r>
              <w:rPr>
                <w:noProof/>
              </w:rPr>
              <w:t>Závěrečná zpráva o provádění všech dílčích projektů modernizace cloudové infrastruktury a služeb národních infrastruktur pro výzkum a technologie (GRNET) ministerstvem pro digitální správu</w:t>
            </w:r>
          </w:p>
        </w:tc>
        <w:tc>
          <w:tcPr>
            <w:tcW w:w="1134" w:type="dxa"/>
            <w:tcBorders>
              <w:top w:val="single" w:sz="4" w:space="0" w:color="auto"/>
              <w:left w:val="nil"/>
              <w:bottom w:val="single" w:sz="4" w:space="0" w:color="auto"/>
              <w:right w:val="single" w:sz="4" w:space="0" w:color="auto"/>
            </w:tcBorders>
            <w:shd w:val="clear" w:color="auto" w:fill="C6EFCE"/>
            <w:noWrap/>
          </w:tcPr>
          <w:p w14:paraId="060397A7"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2DD9DE9"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1AFFCEFC"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62B45D2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92" w:type="dxa"/>
            <w:tcBorders>
              <w:top w:val="single" w:sz="4" w:space="0" w:color="auto"/>
              <w:left w:val="nil"/>
              <w:bottom w:val="single" w:sz="4" w:space="0" w:color="auto"/>
              <w:right w:val="single" w:sz="4" w:space="0" w:color="auto"/>
            </w:tcBorders>
            <w:shd w:val="clear" w:color="auto" w:fill="C6EFCE"/>
            <w:noWrap/>
          </w:tcPr>
          <w:p w14:paraId="3C65B50C" w14:textId="77777777" w:rsidR="00515398" w:rsidRDefault="006711E6">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24DF6314" w14:textId="77777777" w:rsidR="00515398" w:rsidRDefault="006711E6">
            <w:pPr>
              <w:pStyle w:val="P68B1DB1-Normal9"/>
              <w:spacing w:after="0" w:line="240" w:lineRule="auto"/>
              <w:rPr>
                <w:rFonts w:eastAsia="Times New Roman" w:cs="Calibri"/>
                <w:noProof/>
                <w:szCs w:val="18"/>
              </w:rPr>
            </w:pPr>
            <w:r>
              <w:rPr>
                <w:noProof/>
              </w:rPr>
              <w:t>Dokončení modernizace cloudové infrastruktury a služeb vnitrostátních infrastruktur pro výzkum a technologie (GRNET).</w:t>
            </w:r>
          </w:p>
          <w:p w14:paraId="28E8C850" w14:textId="77777777" w:rsidR="00515398" w:rsidRDefault="00515398">
            <w:pPr>
              <w:spacing w:after="0" w:line="240" w:lineRule="auto"/>
              <w:rPr>
                <w:rFonts w:eastAsia="Times New Roman" w:cs="Calibri"/>
                <w:noProof/>
                <w:color w:val="006100"/>
                <w:sz w:val="18"/>
                <w:szCs w:val="18"/>
              </w:rPr>
            </w:pPr>
          </w:p>
          <w:p w14:paraId="05597AEF" w14:textId="6705C8B3" w:rsidR="00515398" w:rsidRDefault="006711E6">
            <w:pPr>
              <w:pStyle w:val="P68B1DB1-Normal10"/>
              <w:spacing w:after="0" w:line="240" w:lineRule="auto"/>
              <w:rPr>
                <w:rFonts w:eastAsia="Times New Roman" w:cs="Calibri"/>
                <w:noProof/>
              </w:rPr>
            </w:pPr>
            <w:r>
              <w:rPr>
                <w:noProof/>
              </w:rPr>
              <w:t>Dodávky a zavádění nového superpočítače. Tento požadavek bude splněn po dokončení „fáze A – implementace Superpočítačů Daedalus“.</w:t>
            </w:r>
          </w:p>
          <w:p w14:paraId="788ECF09" w14:textId="56A07B59" w:rsidR="00515398" w:rsidRDefault="006711E6">
            <w:pPr>
              <w:pStyle w:val="P68B1DB1-Normal9"/>
              <w:spacing w:after="0" w:line="240" w:lineRule="auto"/>
              <w:rPr>
                <w:rFonts w:eastAsia="Times New Roman" w:cs="Calibri"/>
                <w:noProof/>
                <w:szCs w:val="18"/>
              </w:rPr>
            </w:pPr>
            <w:r>
              <w:rPr>
                <w:noProof/>
                <w:szCs w:val="18"/>
              </w:rPr>
              <w:t>Z</w:t>
            </w:r>
            <w:r>
              <w:rPr>
                <w:noProof/>
                <w:szCs w:val="18"/>
              </w:rPr>
              <w:t>řízení datového centra na podporu nového superpočítače, instalace,</w:t>
            </w:r>
            <w:r>
              <w:rPr>
                <w:noProof/>
              </w:rPr>
              <w:t>konfigurace a pilotního provozu superpočítače.</w:t>
            </w:r>
          </w:p>
        </w:tc>
      </w:tr>
      <w:tr w:rsidR="00515398" w14:paraId="14B08CDF"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98743CF" w14:textId="77777777" w:rsidR="00515398" w:rsidRDefault="006711E6">
            <w:pPr>
              <w:pStyle w:val="P68B1DB1-Normal9"/>
              <w:spacing w:after="0" w:line="240" w:lineRule="auto"/>
              <w:rPr>
                <w:rFonts w:eastAsia="Times New Roman" w:cs="Calibri"/>
                <w:noProof/>
                <w:szCs w:val="18"/>
              </w:rPr>
            </w:pPr>
            <w:r>
              <w:rPr>
                <w:noProof/>
              </w:rPr>
              <w:t>127</w:t>
            </w:r>
          </w:p>
        </w:tc>
        <w:tc>
          <w:tcPr>
            <w:tcW w:w="1710" w:type="dxa"/>
            <w:tcBorders>
              <w:top w:val="single" w:sz="4" w:space="0" w:color="auto"/>
              <w:left w:val="nil"/>
              <w:bottom w:val="single" w:sz="4" w:space="0" w:color="auto"/>
              <w:right w:val="single" w:sz="4" w:space="0" w:color="auto"/>
            </w:tcBorders>
            <w:shd w:val="clear" w:color="auto" w:fill="C6EFCE"/>
            <w:noWrap/>
          </w:tcPr>
          <w:p w14:paraId="75411AB0" w14:textId="77777777" w:rsidR="00515398" w:rsidRDefault="006711E6">
            <w:pPr>
              <w:pStyle w:val="P68B1DB1-Normal9"/>
              <w:spacing w:after="0" w:line="240" w:lineRule="auto"/>
              <w:rPr>
                <w:rFonts w:eastAsia="Times New Roman" w:cs="Calibri"/>
                <w:noProof/>
                <w:szCs w:val="18"/>
              </w:rPr>
            </w:pPr>
            <w:r>
              <w:rPr>
                <w:noProof/>
              </w:rPr>
              <w:t>6–2.2. Modernizace – 16956_rozšíření Syzefksis II</w:t>
            </w:r>
          </w:p>
        </w:tc>
        <w:tc>
          <w:tcPr>
            <w:tcW w:w="1130" w:type="dxa"/>
            <w:tcBorders>
              <w:top w:val="single" w:sz="4" w:space="0" w:color="auto"/>
              <w:left w:val="nil"/>
              <w:bottom w:val="single" w:sz="4" w:space="0" w:color="auto"/>
              <w:right w:val="single" w:sz="4" w:space="0" w:color="auto"/>
            </w:tcBorders>
            <w:shd w:val="clear" w:color="auto" w:fill="C6EFCE"/>
            <w:noWrap/>
          </w:tcPr>
          <w:p w14:paraId="5DA9BE82"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single" w:sz="4" w:space="0" w:color="auto"/>
              <w:left w:val="nil"/>
              <w:bottom w:val="single" w:sz="4" w:space="0" w:color="auto"/>
              <w:right w:val="single" w:sz="4" w:space="0" w:color="auto"/>
            </w:tcBorders>
            <w:shd w:val="clear" w:color="auto" w:fill="C6EFCE"/>
            <w:noWrap/>
          </w:tcPr>
          <w:p w14:paraId="53FE62B5" w14:textId="77777777" w:rsidR="00515398" w:rsidRDefault="006711E6">
            <w:pPr>
              <w:pStyle w:val="P68B1DB1-Normal9"/>
              <w:spacing w:after="0" w:line="240" w:lineRule="auto"/>
              <w:rPr>
                <w:rFonts w:eastAsia="Times New Roman" w:cs="Calibri"/>
                <w:noProof/>
                <w:szCs w:val="18"/>
              </w:rPr>
            </w:pPr>
            <w:r>
              <w:rPr>
                <w:noProof/>
              </w:rPr>
              <w:t>Dokončení projektu Syzefksis II</w:t>
            </w:r>
          </w:p>
        </w:tc>
        <w:tc>
          <w:tcPr>
            <w:tcW w:w="1417" w:type="dxa"/>
            <w:tcBorders>
              <w:top w:val="single" w:sz="4" w:space="0" w:color="auto"/>
              <w:left w:val="nil"/>
              <w:bottom w:val="single" w:sz="4" w:space="0" w:color="auto"/>
              <w:right w:val="single" w:sz="4" w:space="0" w:color="auto"/>
            </w:tcBorders>
            <w:shd w:val="clear" w:color="auto" w:fill="C6EFCE"/>
            <w:noWrap/>
          </w:tcPr>
          <w:p w14:paraId="611D9FA8" w14:textId="77777777" w:rsidR="00515398" w:rsidRDefault="006711E6">
            <w:pPr>
              <w:pStyle w:val="P68B1DB1-Normal9"/>
              <w:spacing w:after="0" w:line="240" w:lineRule="auto"/>
              <w:rPr>
                <w:rFonts w:eastAsia="Times New Roman" w:cs="Calibri"/>
                <w:noProof/>
                <w:szCs w:val="18"/>
              </w:rPr>
            </w:pPr>
            <w:r>
              <w:rPr>
                <w:noProof/>
              </w:rPr>
              <w:t xml:space="preserve">Souhrnný dokument ověřující zavádění nové </w:t>
            </w:r>
            <w:r>
              <w:rPr>
                <w:noProof/>
              </w:rPr>
              <w:t>infrastruktury, registr subjektů sítě veřejného sektoru, systém řízení bezpečnosti, průzkum, monitorovací mechanismus, dodávky zařízení v rámci rozšíření Syzefksis II ministerstvem pro digitální správu</w:t>
            </w:r>
          </w:p>
        </w:tc>
        <w:tc>
          <w:tcPr>
            <w:tcW w:w="1134" w:type="dxa"/>
            <w:tcBorders>
              <w:top w:val="single" w:sz="4" w:space="0" w:color="auto"/>
              <w:left w:val="nil"/>
              <w:bottom w:val="single" w:sz="4" w:space="0" w:color="auto"/>
              <w:right w:val="single" w:sz="4" w:space="0" w:color="auto"/>
            </w:tcBorders>
            <w:shd w:val="clear" w:color="auto" w:fill="C6EFCE"/>
            <w:noWrap/>
          </w:tcPr>
          <w:p w14:paraId="4882CB12"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CB53F9D"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30564E37"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7A03683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92" w:type="dxa"/>
            <w:tcBorders>
              <w:top w:val="single" w:sz="4" w:space="0" w:color="auto"/>
              <w:left w:val="nil"/>
              <w:bottom w:val="single" w:sz="4" w:space="0" w:color="auto"/>
              <w:right w:val="single" w:sz="4" w:space="0" w:color="auto"/>
            </w:tcBorders>
            <w:shd w:val="clear" w:color="auto" w:fill="C6EFCE"/>
            <w:noWrap/>
          </w:tcPr>
          <w:p w14:paraId="6FC14CA8" w14:textId="77777777" w:rsidR="00515398" w:rsidRDefault="006711E6">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65A6CB08" w14:textId="77777777" w:rsidR="00515398" w:rsidRDefault="006711E6">
            <w:pPr>
              <w:pStyle w:val="P68B1DB1-Normal9"/>
              <w:spacing w:after="0" w:line="240" w:lineRule="auto"/>
              <w:rPr>
                <w:rFonts w:eastAsia="Times New Roman" w:cs="Calibri"/>
                <w:noProof/>
                <w:szCs w:val="18"/>
              </w:rPr>
            </w:pPr>
            <w:r>
              <w:rPr>
                <w:noProof/>
              </w:rPr>
              <w:t xml:space="preserve">Dokončení rozšíření Syzefksis II. </w:t>
            </w:r>
          </w:p>
          <w:p w14:paraId="4AC7D171" w14:textId="77777777" w:rsidR="00515398" w:rsidRDefault="00515398">
            <w:pPr>
              <w:spacing w:after="0" w:line="240" w:lineRule="auto"/>
              <w:rPr>
                <w:rFonts w:eastAsia="Times New Roman" w:cs="Calibri"/>
                <w:noProof/>
                <w:color w:val="006100"/>
                <w:sz w:val="18"/>
                <w:szCs w:val="18"/>
              </w:rPr>
            </w:pPr>
          </w:p>
          <w:p w14:paraId="6EBAA63A" w14:textId="77777777" w:rsidR="00515398" w:rsidRDefault="006711E6">
            <w:pPr>
              <w:pStyle w:val="P68B1DB1-Normal9"/>
              <w:spacing w:after="0" w:line="240" w:lineRule="auto"/>
              <w:rPr>
                <w:rFonts w:eastAsia="Times New Roman" w:cs="Calibri"/>
                <w:noProof/>
                <w:szCs w:val="18"/>
              </w:rPr>
            </w:pPr>
            <w:r>
              <w:rPr>
                <w:noProof/>
              </w:rPr>
              <w:t>Do prováděcího režimu jsou zahrnuty tyto dílčí projekty:</w:t>
            </w:r>
          </w:p>
          <w:p w14:paraId="0987F888" w14:textId="77777777" w:rsidR="00515398" w:rsidRDefault="006711E6">
            <w:pPr>
              <w:pStyle w:val="P68B1DB1-Normal9"/>
              <w:spacing w:after="0" w:line="240" w:lineRule="auto"/>
              <w:rPr>
                <w:rFonts w:eastAsia="Times New Roman" w:cs="Calibri"/>
                <w:noProof/>
                <w:szCs w:val="18"/>
              </w:rPr>
            </w:pPr>
            <w:r>
              <w:rPr>
                <w:noProof/>
              </w:rPr>
              <w:t xml:space="preserve">Modernizace propojení sítí veřejného sektoru </w:t>
            </w:r>
          </w:p>
          <w:p w14:paraId="40563DD1" w14:textId="77777777" w:rsidR="00515398" w:rsidRDefault="006711E6">
            <w:pPr>
              <w:pStyle w:val="P68B1DB1-Normal9"/>
              <w:spacing w:after="0" w:line="240" w:lineRule="auto"/>
              <w:rPr>
                <w:rFonts w:eastAsia="Times New Roman" w:cs="Calibri"/>
                <w:noProof/>
                <w:szCs w:val="18"/>
              </w:rPr>
            </w:pPr>
            <w:r>
              <w:rPr>
                <w:noProof/>
              </w:rPr>
              <w:t xml:space="preserve">— Připojení/odpojení/relokace/sloučení a modernizace služeb subjektů </w:t>
            </w:r>
          </w:p>
          <w:p w14:paraId="478E4E8C" w14:textId="77777777" w:rsidR="00515398" w:rsidRDefault="006711E6">
            <w:pPr>
              <w:pStyle w:val="P68B1DB1-Normal9"/>
              <w:spacing w:after="0" w:line="240" w:lineRule="auto"/>
              <w:rPr>
                <w:rFonts w:eastAsia="Times New Roman" w:cs="Calibri"/>
                <w:noProof/>
                <w:szCs w:val="18"/>
              </w:rPr>
            </w:pPr>
            <w:r>
              <w:rPr>
                <w:noProof/>
              </w:rPr>
              <w:t>Podpora/údržba registru subjektů sítě veřejného</w:t>
            </w:r>
            <w:r>
              <w:rPr>
                <w:noProof/>
              </w:rPr>
              <w:t xml:space="preserve"> sektoru (průzkum na místě) </w:t>
            </w:r>
          </w:p>
          <w:p w14:paraId="39681F9C" w14:textId="26792AE3" w:rsidR="00515398" w:rsidRDefault="006711E6">
            <w:pPr>
              <w:pStyle w:val="P68B1DB1-Normal10"/>
              <w:spacing w:after="0" w:line="240" w:lineRule="auto"/>
              <w:rPr>
                <w:noProof/>
              </w:rPr>
            </w:pPr>
            <w:r>
              <w:rPr>
                <w:noProof/>
              </w:rPr>
              <w:t>— Propagační a propagační opatření sítě veřejného sektoru (dokončení do 3. čtvrtletí 2024)</w:t>
            </w:r>
          </w:p>
          <w:p w14:paraId="6A9179D6" w14:textId="77777777" w:rsidR="00515398" w:rsidRDefault="006711E6">
            <w:pPr>
              <w:pStyle w:val="P68B1DB1-Normal9"/>
              <w:spacing w:after="0" w:line="240" w:lineRule="auto"/>
              <w:rPr>
                <w:rFonts w:eastAsia="Times New Roman" w:cs="Calibri"/>
                <w:noProof/>
                <w:szCs w:val="18"/>
              </w:rPr>
            </w:pPr>
            <w:r>
              <w:rPr>
                <w:noProof/>
              </w:rPr>
              <w:t>Bezpečnostní inspektor a systém řízení bezpečnosti informací (SIS) sítě veřejného sektoru</w:t>
            </w:r>
          </w:p>
          <w:p w14:paraId="69FC0299" w14:textId="77777777" w:rsidR="00515398" w:rsidRDefault="006711E6">
            <w:pPr>
              <w:pStyle w:val="P68B1DB1-Normal9"/>
              <w:spacing w:after="0" w:line="240" w:lineRule="auto"/>
              <w:rPr>
                <w:rFonts w:eastAsia="Times New Roman" w:cs="Calibri"/>
                <w:noProof/>
                <w:szCs w:val="18"/>
              </w:rPr>
            </w:pPr>
            <w:r>
              <w:rPr>
                <w:noProof/>
              </w:rPr>
              <w:t>Monitorování, kontrola kvality, podpora provád</w:t>
            </w:r>
            <w:r>
              <w:rPr>
                <w:noProof/>
              </w:rPr>
              <w:t xml:space="preserve">ění a pomoc po konečném přijetí strukturovaných kabelových systémů sítě veřejného sektoru </w:t>
            </w:r>
          </w:p>
          <w:p w14:paraId="03FC8B17" w14:textId="77777777" w:rsidR="00515398" w:rsidRDefault="006711E6">
            <w:pPr>
              <w:pStyle w:val="P68B1DB1-Normal9"/>
              <w:spacing w:after="0" w:line="240" w:lineRule="auto"/>
              <w:rPr>
                <w:rFonts w:eastAsia="Times New Roman" w:cs="Calibri"/>
                <w:noProof/>
                <w:szCs w:val="18"/>
              </w:rPr>
            </w:pPr>
            <w:r>
              <w:rPr>
                <w:noProof/>
              </w:rPr>
              <w:t xml:space="preserve">— Podpora a monitorování fází průzkumu και zavádění systému SYZEFXIS II. </w:t>
            </w:r>
          </w:p>
          <w:p w14:paraId="0A70AD3A" w14:textId="77777777" w:rsidR="00515398" w:rsidRDefault="006711E6">
            <w:pPr>
              <w:pStyle w:val="P68B1DB1-Normal9"/>
              <w:spacing w:after="0" w:line="240" w:lineRule="auto"/>
              <w:rPr>
                <w:rFonts w:eastAsia="Times New Roman" w:cs="Calibri"/>
                <w:noProof/>
                <w:szCs w:val="18"/>
              </w:rPr>
            </w:pPr>
            <w:r>
              <w:rPr>
                <w:noProof/>
              </w:rPr>
              <w:t>— Dodávky zařízení pro přerušenou dodávku elektřiny ve vybraných subjektech veřejného sekto</w:t>
            </w:r>
            <w:r>
              <w:rPr>
                <w:noProof/>
              </w:rPr>
              <w:t xml:space="preserve">ru – síti veřejného sektoru. </w:t>
            </w:r>
          </w:p>
          <w:p w14:paraId="1FB24292" w14:textId="77777777" w:rsidR="00515398" w:rsidRDefault="006711E6">
            <w:pPr>
              <w:pStyle w:val="P68B1DB1-Normal9"/>
              <w:spacing w:after="0" w:line="240" w:lineRule="auto"/>
              <w:rPr>
                <w:rFonts w:eastAsia="Times New Roman" w:cs="Calibri"/>
                <w:noProof/>
                <w:szCs w:val="18"/>
              </w:rPr>
            </w:pPr>
            <w:r>
              <w:rPr>
                <w:noProof/>
              </w:rPr>
              <w:t xml:space="preserve">— Služby navrhování sítí veřejného sektoru nové generace (PSN Next Gen) – modernizace infrastruktury Panhellenic School Network (SchoolNet). </w:t>
            </w:r>
          </w:p>
        </w:tc>
      </w:tr>
      <w:tr w:rsidR="00515398" w14:paraId="1046766E"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418F278" w14:textId="77777777" w:rsidR="00515398" w:rsidRDefault="006711E6">
            <w:pPr>
              <w:pStyle w:val="P68B1DB1-Normal9"/>
              <w:spacing w:after="0" w:line="240" w:lineRule="auto"/>
              <w:rPr>
                <w:rFonts w:eastAsia="Times New Roman" w:cs="Calibri"/>
                <w:noProof/>
                <w:szCs w:val="18"/>
              </w:rPr>
            </w:pPr>
            <w:r>
              <w:rPr>
                <w:noProof/>
              </w:rPr>
              <w:t>128</w:t>
            </w:r>
          </w:p>
        </w:tc>
        <w:tc>
          <w:tcPr>
            <w:tcW w:w="1710" w:type="dxa"/>
            <w:tcBorders>
              <w:top w:val="single" w:sz="4" w:space="0" w:color="auto"/>
              <w:left w:val="nil"/>
              <w:bottom w:val="single" w:sz="4" w:space="0" w:color="auto"/>
              <w:right w:val="single" w:sz="4" w:space="0" w:color="auto"/>
            </w:tcBorders>
            <w:shd w:val="clear" w:color="auto" w:fill="C6EFCE"/>
            <w:noWrap/>
          </w:tcPr>
          <w:p w14:paraId="5C1ACCEB" w14:textId="77777777" w:rsidR="00515398" w:rsidRDefault="006711E6">
            <w:pPr>
              <w:pStyle w:val="P68B1DB1-Normal9"/>
              <w:spacing w:after="0" w:line="240" w:lineRule="auto"/>
              <w:rPr>
                <w:rFonts w:eastAsia="Times New Roman" w:cs="Calibri"/>
                <w:noProof/>
                <w:szCs w:val="18"/>
              </w:rPr>
            </w:pPr>
            <w:r>
              <w:rPr>
                <w:noProof/>
              </w:rPr>
              <w:t>6–2.2. Modernizace – 16827_Strategie a politiky správy dat pro veřejný sektor</w:t>
            </w:r>
          </w:p>
        </w:tc>
        <w:tc>
          <w:tcPr>
            <w:tcW w:w="1130" w:type="dxa"/>
            <w:tcBorders>
              <w:top w:val="single" w:sz="4" w:space="0" w:color="auto"/>
              <w:left w:val="nil"/>
              <w:bottom w:val="single" w:sz="4" w:space="0" w:color="auto"/>
              <w:right w:val="single" w:sz="4" w:space="0" w:color="auto"/>
            </w:tcBorders>
            <w:shd w:val="clear" w:color="auto" w:fill="C6EFCE"/>
            <w:noWrap/>
          </w:tcPr>
          <w:p w14:paraId="0B343FB9"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single" w:sz="4" w:space="0" w:color="auto"/>
              <w:left w:val="nil"/>
              <w:bottom w:val="single" w:sz="4" w:space="0" w:color="auto"/>
              <w:right w:val="single" w:sz="4" w:space="0" w:color="auto"/>
            </w:tcBorders>
            <w:shd w:val="clear" w:color="auto" w:fill="C6EFCE"/>
            <w:noWrap/>
          </w:tcPr>
          <w:p w14:paraId="6E7D4258" w14:textId="77777777" w:rsidR="00515398" w:rsidRDefault="006711E6">
            <w:pPr>
              <w:pStyle w:val="P68B1DB1-Normal9"/>
              <w:spacing w:after="0" w:line="240" w:lineRule="auto"/>
              <w:rPr>
                <w:rFonts w:eastAsia="Times New Roman" w:cs="Calibri"/>
                <w:noProof/>
                <w:szCs w:val="18"/>
              </w:rPr>
            </w:pPr>
            <w:r>
              <w:rPr>
                <w:noProof/>
              </w:rPr>
              <w:t>Dokončení strategie správy dat</w:t>
            </w:r>
          </w:p>
        </w:tc>
        <w:tc>
          <w:tcPr>
            <w:tcW w:w="1417" w:type="dxa"/>
            <w:tcBorders>
              <w:top w:val="single" w:sz="4" w:space="0" w:color="auto"/>
              <w:left w:val="nil"/>
              <w:bottom w:val="single" w:sz="4" w:space="0" w:color="auto"/>
              <w:right w:val="single" w:sz="4" w:space="0" w:color="auto"/>
            </w:tcBorders>
            <w:shd w:val="clear" w:color="auto" w:fill="C6EFCE"/>
            <w:noWrap/>
          </w:tcPr>
          <w:p w14:paraId="56671544" w14:textId="77777777" w:rsidR="00515398" w:rsidRDefault="006711E6">
            <w:pPr>
              <w:pStyle w:val="P68B1DB1-Normal9"/>
              <w:spacing w:after="0" w:line="240" w:lineRule="auto"/>
              <w:rPr>
                <w:rFonts w:eastAsia="Times New Roman" w:cs="Calibri"/>
                <w:noProof/>
                <w:szCs w:val="18"/>
              </w:rPr>
            </w:pPr>
            <w:r>
              <w:rPr>
                <w:noProof/>
              </w:rPr>
              <w:t xml:space="preserve">Zpráva ministerstva pro digitální správu o závěru projektu shrnující, jak strategie a politiky správy dat pro veřejný sektor dosáhly rozvoje vládní strategie správy cloudových dat a ekosystému pro otevřená a opakovaně </w:t>
            </w:r>
            <w:r>
              <w:rPr>
                <w:noProof/>
              </w:rPr>
              <w:t xml:space="preserve">použitelná data ve veřejném a soukromém sektoru. </w:t>
            </w:r>
          </w:p>
        </w:tc>
        <w:tc>
          <w:tcPr>
            <w:tcW w:w="1134" w:type="dxa"/>
            <w:tcBorders>
              <w:top w:val="single" w:sz="4" w:space="0" w:color="auto"/>
              <w:left w:val="nil"/>
              <w:bottom w:val="single" w:sz="4" w:space="0" w:color="auto"/>
              <w:right w:val="single" w:sz="4" w:space="0" w:color="auto"/>
            </w:tcBorders>
            <w:shd w:val="clear" w:color="auto" w:fill="C6EFCE"/>
            <w:noWrap/>
          </w:tcPr>
          <w:p w14:paraId="4BA7AFBD" w14:textId="77777777" w:rsidR="00515398" w:rsidRDefault="00515398">
            <w:pPr>
              <w:spacing w:after="0" w:line="240" w:lineRule="auto"/>
              <w:rPr>
                <w:rFonts w:eastAsia="Times New Roman" w:cs="Calibri"/>
                <w:noProof/>
                <w:color w:val="006100"/>
                <w:sz w:val="18"/>
                <w:szCs w:val="18"/>
              </w:rPr>
            </w:pPr>
          </w:p>
          <w:p w14:paraId="7B0DBDEC"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93C05E3"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EBAB8BE"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0C4E44B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92" w:type="dxa"/>
            <w:tcBorders>
              <w:top w:val="single" w:sz="4" w:space="0" w:color="auto"/>
              <w:left w:val="nil"/>
              <w:bottom w:val="single" w:sz="4" w:space="0" w:color="auto"/>
              <w:right w:val="single" w:sz="4" w:space="0" w:color="auto"/>
            </w:tcBorders>
            <w:shd w:val="clear" w:color="auto" w:fill="C6EFCE"/>
            <w:noWrap/>
          </w:tcPr>
          <w:p w14:paraId="31AEE557" w14:textId="77777777" w:rsidR="00515398" w:rsidRDefault="006711E6">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1DA111AD" w14:textId="77777777" w:rsidR="00515398" w:rsidRDefault="006711E6">
            <w:pPr>
              <w:pStyle w:val="P68B1DB1-Normal9"/>
              <w:spacing w:after="0" w:line="240" w:lineRule="auto"/>
              <w:rPr>
                <w:rFonts w:eastAsia="Times New Roman" w:cs="Calibri"/>
                <w:noProof/>
                <w:szCs w:val="18"/>
              </w:rPr>
            </w:pPr>
            <w:r>
              <w:rPr>
                <w:noProof/>
              </w:rPr>
              <w:t xml:space="preserve">Dokončení strategie a politik správy projektových dat pro veřejný sektor </w:t>
            </w:r>
          </w:p>
          <w:p w14:paraId="472FCFDF" w14:textId="674F21DB" w:rsidR="00515398" w:rsidRDefault="006711E6">
            <w:pPr>
              <w:pStyle w:val="P68B1DB1-Normal10"/>
              <w:spacing w:after="0" w:line="240" w:lineRule="auto"/>
              <w:rPr>
                <w:rFonts w:eastAsia="Times New Roman" w:cs="Calibri"/>
                <w:noProof/>
              </w:rPr>
            </w:pPr>
            <w:r>
              <w:rPr>
                <w:noProof/>
              </w:rPr>
              <w:t xml:space="preserve">Projekt musí dosáhnout těchto cílů: a) vytvoření vládní strategie a politik správy cloudových dat a b) </w:t>
            </w:r>
            <w:r>
              <w:rPr>
                <w:noProof/>
              </w:rPr>
              <w:t>vytvoření rámce pro správu veřejných dat, politiku pro otevřená a opakovaně použitelná data a poskytování příslušných služeb veřejnému a soukromému sektoru a</w:t>
            </w:r>
            <w:r>
              <w:rPr>
                <w:rFonts w:asciiTheme="minorHAnsi" w:eastAsiaTheme="minorEastAsia" w:hAnsiTheme="minorHAnsi" w:cstheme="minorBidi"/>
                <w:noProof/>
              </w:rPr>
              <w:t xml:space="preserve"> c) dokončení projektu „Studie klasifikace dat“ pro informační systémy veřejného sektoru, které pos</w:t>
            </w:r>
            <w:r>
              <w:rPr>
                <w:rFonts w:asciiTheme="minorHAnsi" w:eastAsiaTheme="minorEastAsia" w:hAnsiTheme="minorHAnsi" w:cstheme="minorBidi"/>
                <w:noProof/>
              </w:rPr>
              <w:t>kytují 220 studií klasifikace dat.</w:t>
            </w:r>
          </w:p>
        </w:tc>
      </w:tr>
      <w:tr w:rsidR="00515398" w14:paraId="0F7F64AA"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A3A1A52" w14:textId="77777777" w:rsidR="00515398" w:rsidRDefault="006711E6">
            <w:pPr>
              <w:pStyle w:val="P68B1DB1-Normal9"/>
              <w:spacing w:after="0" w:line="240" w:lineRule="auto"/>
              <w:rPr>
                <w:rFonts w:eastAsia="Times New Roman" w:cs="Calibri"/>
                <w:noProof/>
                <w:szCs w:val="18"/>
              </w:rPr>
            </w:pPr>
            <w:r>
              <w:rPr>
                <w:noProof/>
              </w:rPr>
              <w:t>129</w:t>
            </w:r>
          </w:p>
        </w:tc>
        <w:tc>
          <w:tcPr>
            <w:tcW w:w="1710" w:type="dxa"/>
            <w:tcBorders>
              <w:top w:val="single" w:sz="4" w:space="0" w:color="auto"/>
              <w:left w:val="nil"/>
              <w:bottom w:val="single" w:sz="4" w:space="0" w:color="auto"/>
              <w:right w:val="single" w:sz="4" w:space="0" w:color="auto"/>
            </w:tcBorders>
            <w:shd w:val="clear" w:color="auto" w:fill="C6EFCE"/>
            <w:noWrap/>
          </w:tcPr>
          <w:p w14:paraId="2210BD1E" w14:textId="77777777" w:rsidR="00515398" w:rsidRDefault="006711E6">
            <w:pPr>
              <w:pStyle w:val="P68B1DB1-Normal9"/>
              <w:spacing w:after="0" w:line="240" w:lineRule="auto"/>
              <w:rPr>
                <w:rFonts w:eastAsia="Times New Roman" w:cs="Calibri"/>
                <w:noProof/>
                <w:szCs w:val="18"/>
              </w:rPr>
            </w:pPr>
            <w:r>
              <w:rPr>
                <w:noProof/>
              </w:rPr>
              <w:t>6–2.2. Modernizace – 16842_Central BI – Analytika dat</w:t>
            </w:r>
          </w:p>
        </w:tc>
        <w:tc>
          <w:tcPr>
            <w:tcW w:w="1130" w:type="dxa"/>
            <w:tcBorders>
              <w:top w:val="single" w:sz="4" w:space="0" w:color="auto"/>
              <w:left w:val="nil"/>
              <w:bottom w:val="single" w:sz="4" w:space="0" w:color="auto"/>
              <w:right w:val="single" w:sz="4" w:space="0" w:color="auto"/>
            </w:tcBorders>
            <w:shd w:val="clear" w:color="auto" w:fill="C6EFCE"/>
            <w:noWrap/>
          </w:tcPr>
          <w:p w14:paraId="7733EF27" w14:textId="77777777" w:rsidR="00515398" w:rsidRDefault="006711E6">
            <w:pPr>
              <w:pStyle w:val="P68B1DB1-Normal9"/>
              <w:spacing w:after="0" w:line="240" w:lineRule="auto"/>
              <w:rPr>
                <w:rFonts w:eastAsia="Times New Roman" w:cs="Calibri"/>
                <w:noProof/>
                <w:szCs w:val="18"/>
              </w:rPr>
            </w:pPr>
            <w:r>
              <w:rPr>
                <w:noProof/>
              </w:rPr>
              <w:t>Milník</w:t>
            </w:r>
          </w:p>
        </w:tc>
        <w:tc>
          <w:tcPr>
            <w:tcW w:w="1701" w:type="dxa"/>
            <w:tcBorders>
              <w:top w:val="single" w:sz="4" w:space="0" w:color="auto"/>
              <w:left w:val="nil"/>
              <w:bottom w:val="single" w:sz="4" w:space="0" w:color="auto"/>
              <w:right w:val="single" w:sz="4" w:space="0" w:color="auto"/>
            </w:tcBorders>
            <w:shd w:val="clear" w:color="auto" w:fill="C6EFCE"/>
            <w:noWrap/>
          </w:tcPr>
          <w:p w14:paraId="1E6AA168" w14:textId="77777777" w:rsidR="00515398" w:rsidRDefault="006711E6">
            <w:pPr>
              <w:pStyle w:val="P68B1DB1-Normal9"/>
              <w:spacing w:after="0" w:line="240" w:lineRule="auto"/>
              <w:rPr>
                <w:rFonts w:eastAsia="Times New Roman" w:cs="Calibri"/>
                <w:noProof/>
                <w:szCs w:val="18"/>
              </w:rPr>
            </w:pPr>
            <w:r>
              <w:rPr>
                <w:noProof/>
              </w:rPr>
              <w:t>Dokončení centrálního BI</w:t>
            </w:r>
          </w:p>
        </w:tc>
        <w:tc>
          <w:tcPr>
            <w:tcW w:w="1417" w:type="dxa"/>
            <w:tcBorders>
              <w:top w:val="single" w:sz="4" w:space="0" w:color="auto"/>
              <w:left w:val="nil"/>
              <w:bottom w:val="single" w:sz="4" w:space="0" w:color="auto"/>
              <w:right w:val="single" w:sz="4" w:space="0" w:color="auto"/>
            </w:tcBorders>
            <w:shd w:val="clear" w:color="auto" w:fill="C6EFCE"/>
            <w:noWrap/>
          </w:tcPr>
          <w:p w14:paraId="7BBEDE88" w14:textId="77777777" w:rsidR="00515398" w:rsidRDefault="006711E6">
            <w:pPr>
              <w:pStyle w:val="P68B1DB1-Normal9"/>
              <w:spacing w:after="0" w:line="240" w:lineRule="auto"/>
              <w:rPr>
                <w:rFonts w:eastAsia="Times New Roman" w:cs="Calibri"/>
                <w:noProof/>
                <w:szCs w:val="18"/>
              </w:rPr>
            </w:pPr>
            <w:r>
              <w:rPr>
                <w:noProof/>
              </w:rPr>
              <w:t xml:space="preserve"> Zpráva o projektu Ministerstva pro digitální správu, která nastiňuje, jak projekt centrálního BI vytvořil centrální platformu pro obchodní zpravodajství a analýzu dat a jak ji využívá veřejná správa. </w:t>
            </w:r>
          </w:p>
        </w:tc>
        <w:tc>
          <w:tcPr>
            <w:tcW w:w="1134" w:type="dxa"/>
            <w:tcBorders>
              <w:top w:val="single" w:sz="4" w:space="0" w:color="auto"/>
              <w:left w:val="nil"/>
              <w:bottom w:val="single" w:sz="4" w:space="0" w:color="auto"/>
              <w:right w:val="single" w:sz="4" w:space="0" w:color="auto"/>
            </w:tcBorders>
            <w:shd w:val="clear" w:color="auto" w:fill="C6EFCE"/>
            <w:noWrap/>
          </w:tcPr>
          <w:p w14:paraId="646BF9BF"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1D58F56C"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78CBEC53"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42361FE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92" w:type="dxa"/>
            <w:tcBorders>
              <w:top w:val="single" w:sz="4" w:space="0" w:color="auto"/>
              <w:left w:val="nil"/>
              <w:bottom w:val="single" w:sz="4" w:space="0" w:color="auto"/>
              <w:right w:val="single" w:sz="4" w:space="0" w:color="auto"/>
            </w:tcBorders>
            <w:shd w:val="clear" w:color="auto" w:fill="C6EFCE"/>
            <w:noWrap/>
          </w:tcPr>
          <w:p w14:paraId="31734646" w14:textId="77777777" w:rsidR="00515398" w:rsidRDefault="006711E6">
            <w:pPr>
              <w:pStyle w:val="P68B1DB1-Normal9"/>
              <w:spacing w:after="0" w:line="240" w:lineRule="auto"/>
              <w:rPr>
                <w:rFonts w:eastAsia="Times New Roman" w:cs="Calibri"/>
                <w:noProof/>
                <w:szCs w:val="18"/>
              </w:rPr>
            </w:pPr>
            <w:r>
              <w:rPr>
                <w:noProof/>
              </w:rPr>
              <w:t>2025</w:t>
            </w:r>
          </w:p>
        </w:tc>
        <w:tc>
          <w:tcPr>
            <w:tcW w:w="3398" w:type="dxa"/>
            <w:tcBorders>
              <w:top w:val="single" w:sz="4" w:space="0" w:color="auto"/>
              <w:left w:val="nil"/>
              <w:bottom w:val="single" w:sz="4" w:space="0" w:color="auto"/>
              <w:right w:val="single" w:sz="4" w:space="0" w:color="auto"/>
            </w:tcBorders>
            <w:shd w:val="clear" w:color="auto" w:fill="C6EFCE"/>
            <w:noWrap/>
          </w:tcPr>
          <w:p w14:paraId="2E5BC558" w14:textId="77777777" w:rsidR="00515398" w:rsidRDefault="006711E6">
            <w:pPr>
              <w:pStyle w:val="P68B1DB1-Normal9"/>
              <w:spacing w:after="0" w:line="240" w:lineRule="auto"/>
              <w:rPr>
                <w:rFonts w:eastAsia="Times New Roman" w:cs="Calibri"/>
                <w:noProof/>
                <w:szCs w:val="18"/>
              </w:rPr>
            </w:pPr>
            <w:r>
              <w:rPr>
                <w:noProof/>
              </w:rPr>
              <w:t xml:space="preserve">Dokončení tohoto projektu: </w:t>
            </w:r>
            <w:r>
              <w:rPr>
                <w:noProof/>
              </w:rPr>
              <w:t>Central BI – Data Analytics (Ústřední BI – analýza dat).</w:t>
            </w:r>
          </w:p>
          <w:p w14:paraId="11AE999D" w14:textId="77777777" w:rsidR="00515398" w:rsidRDefault="00515398">
            <w:pPr>
              <w:spacing w:after="0" w:line="240" w:lineRule="auto"/>
              <w:rPr>
                <w:rFonts w:eastAsia="Times New Roman" w:cs="Calibri"/>
                <w:noProof/>
                <w:color w:val="006100"/>
                <w:sz w:val="18"/>
                <w:szCs w:val="18"/>
              </w:rPr>
            </w:pPr>
          </w:p>
          <w:p w14:paraId="7247CAF0" w14:textId="77777777" w:rsidR="00515398" w:rsidRDefault="006711E6">
            <w:pPr>
              <w:pStyle w:val="P68B1DB1-Normal9"/>
              <w:spacing w:after="0" w:line="240" w:lineRule="auto"/>
              <w:rPr>
                <w:rFonts w:eastAsia="Times New Roman" w:cs="Calibri"/>
                <w:noProof/>
                <w:szCs w:val="18"/>
              </w:rPr>
            </w:pPr>
            <w:r>
              <w:rPr>
                <w:noProof/>
              </w:rPr>
              <w:t>Zavedení jednotného řešení v oblasti obchodního zpravodajství „National Dashboard“ a hodnocení jeho výkonnosti.</w:t>
            </w:r>
          </w:p>
          <w:p w14:paraId="47414E27" w14:textId="77777777" w:rsidR="00515398" w:rsidRDefault="006711E6">
            <w:pPr>
              <w:pStyle w:val="P68B1DB1-Normal9"/>
              <w:spacing w:after="0" w:line="240" w:lineRule="auto"/>
              <w:rPr>
                <w:rFonts w:eastAsia="Times New Roman" w:cs="Calibri"/>
                <w:noProof/>
                <w:szCs w:val="18"/>
              </w:rPr>
            </w:pPr>
            <w:r>
              <w:rPr>
                <w:noProof/>
              </w:rPr>
              <w:t>Projekt musí dosáhnout těchto cílů:</w:t>
            </w:r>
          </w:p>
          <w:p w14:paraId="2F5FF67A" w14:textId="77777777" w:rsidR="00515398" w:rsidRDefault="006711E6">
            <w:pPr>
              <w:pStyle w:val="P68B1DB1-Normal9"/>
              <w:spacing w:after="0" w:line="240" w:lineRule="auto"/>
              <w:rPr>
                <w:rFonts w:eastAsia="Times New Roman" w:cs="Calibri"/>
                <w:noProof/>
                <w:szCs w:val="18"/>
              </w:rPr>
            </w:pPr>
            <w:r>
              <w:rPr>
                <w:noProof/>
              </w:rPr>
              <w:t>zavedení centrální platformy pro analýzu údajů, kt</w:t>
            </w:r>
            <w:r>
              <w:rPr>
                <w:noProof/>
              </w:rPr>
              <w:t>erá umožňuje agenturám veřejné správy získávat, integrovat a interpretovat údaje z jakéhokoli zdroje a využívat je k analýze informací, které ovlivňují jejich operace a pracovní toky, a usnadňovat strategii a rozhodování.</w:t>
            </w:r>
          </w:p>
        </w:tc>
      </w:tr>
    </w:tbl>
    <w:p w14:paraId="25458608" w14:textId="77777777" w:rsidR="00515398" w:rsidRDefault="00515398">
      <w:pPr>
        <w:spacing w:before="120" w:after="120" w:line="240" w:lineRule="auto"/>
        <w:ind w:left="709"/>
        <w:rPr>
          <w:rFonts w:ascii="Times New Roman" w:hAnsi="Times New Roman" w:cs="Times New Roman"/>
          <w:noProof/>
          <w:sz w:val="24"/>
        </w:rPr>
        <w:sectPr w:rsidR="00515398" w:rsidSect="00271D33">
          <w:headerReference w:type="even" r:id="rId115"/>
          <w:headerReference w:type="default" r:id="rId116"/>
          <w:footerReference w:type="even" r:id="rId117"/>
          <w:footerReference w:type="default" r:id="rId118"/>
          <w:headerReference w:type="first" r:id="rId119"/>
          <w:footerReference w:type="first" r:id="rId120"/>
          <w:pgSz w:w="16839" w:h="11907" w:orient="landscape"/>
          <w:pgMar w:top="720" w:right="720" w:bottom="720" w:left="720" w:header="709" w:footer="709" w:gutter="0"/>
          <w:cols w:space="720"/>
          <w:docGrid w:linePitch="360"/>
        </w:sectPr>
      </w:pPr>
    </w:p>
    <w:p w14:paraId="7733A430" w14:textId="77777777" w:rsidR="00515398" w:rsidRDefault="006711E6">
      <w:pPr>
        <w:pStyle w:val="P68B1DB1-Normal2"/>
        <w:spacing w:before="120" w:after="120" w:line="240" w:lineRule="auto"/>
        <w:ind w:firstLine="6"/>
        <w:jc w:val="both"/>
        <w:outlineLvl w:val="3"/>
        <w:rPr>
          <w:rFonts w:cs="Times New Roman"/>
          <w:bCs/>
          <w:noProof/>
        </w:rPr>
      </w:pPr>
      <w:r>
        <w:rPr>
          <w:noProof/>
        </w:rPr>
        <w:t>G. SLOŽKA 2.3: DIGITALIZACE PODNIKÁNÍ</w:t>
      </w:r>
    </w:p>
    <w:p w14:paraId="132EC9FD" w14:textId="69C40087" w:rsidR="00515398" w:rsidRDefault="006711E6">
      <w:pPr>
        <w:pStyle w:val="P68B1DB1-Normal4"/>
        <w:spacing w:before="120" w:after="120" w:line="240" w:lineRule="auto"/>
        <w:jc w:val="both"/>
        <w:rPr>
          <w:rFonts w:cs="Times New Roman"/>
          <w:noProof/>
        </w:rPr>
      </w:pPr>
      <w:r>
        <w:rPr>
          <w:noProof/>
        </w:rPr>
        <w:t xml:space="preserve">Tato složka </w:t>
      </w:r>
      <w:r>
        <w:rPr>
          <w:noProof/>
          <w:color w:val="000000" w:themeColor="text1"/>
          <w:szCs w:val="24"/>
        </w:rPr>
        <w:t xml:space="preserve">řeckého oživení a odolnosti </w:t>
      </w:r>
      <w:r>
        <w:rPr>
          <w:noProof/>
        </w:rPr>
        <w:t xml:space="preserve">se týká poskytování kapitálu řeckým malým a středním podnikům na financování investic do digitálních technologií a nákupu souvisejících služeb. Jeho </w:t>
      </w:r>
      <w:r>
        <w:rPr>
          <w:noProof/>
        </w:rPr>
        <w:t xml:space="preserve">cílem je řešit v současnosti nízkou úroveň digitální vyspělosti mezi nimi, a to i v důsledku nízkých digitálních dovedností, a zároveň podporovat produktivitu a rozvoj inovativních podniků. Zároveň se očekává, že těmto podnikům pomůže přizpůsobit se novým </w:t>
      </w:r>
      <w:r>
        <w:rPr>
          <w:noProof/>
        </w:rPr>
        <w:t xml:space="preserve">výzvám a využít nově se objevujících obchodních trendů. Složka zejména stanoví zřízení jednotného digitálního trhu, k němuž mají přístup jak dodavatelé těchto produktů, tak poskytovatelé těchto služeb. </w:t>
      </w:r>
      <w:r>
        <w:rPr>
          <w:noProof/>
          <w:szCs w:val="24"/>
        </w:rPr>
        <w:t>Klíčovými cíli této složky jsou podpora používání elek</w:t>
      </w:r>
      <w:r>
        <w:rPr>
          <w:noProof/>
          <w:szCs w:val="24"/>
        </w:rPr>
        <w:t>tronických plateb a prodeje, modernizace registračních pokladen a ekosystému POS a vývoj průmyslových datových produktů.</w:t>
      </w:r>
      <w:r>
        <w:rPr>
          <w:noProof/>
        </w:rPr>
        <w:t xml:space="preserve"> Cílem složky je rovněž pomoci vytvořit digitální podnikatelský ekosystém, který bude přispívat k digitální transformaci malých a středn</w:t>
      </w:r>
      <w:r>
        <w:rPr>
          <w:noProof/>
        </w:rPr>
        <w:t xml:space="preserve">ích podniků. Předpokládá se rovněž centrální podpůrný mechanismus pro malé a střední podniky, který usnadní poskytování vzdělávacích a osvětových programů, aby mohly co nejlépe využívat nástroje a služby nabízené prostřednictvím digitálního trhu. </w:t>
      </w:r>
    </w:p>
    <w:p w14:paraId="0507AED4" w14:textId="77777777" w:rsidR="00515398" w:rsidRDefault="006711E6">
      <w:pPr>
        <w:pStyle w:val="P68B1DB1-Normal4"/>
        <w:spacing w:before="120" w:after="120" w:line="240" w:lineRule="auto"/>
        <w:jc w:val="both"/>
        <w:rPr>
          <w:rFonts w:cs="Times New Roman"/>
          <w:noProof/>
          <w:szCs w:val="24"/>
        </w:rPr>
      </w:pPr>
      <w:r>
        <w:rPr>
          <w:noProof/>
        </w:rPr>
        <w:t xml:space="preserve">Očekává </w:t>
      </w:r>
      <w:r>
        <w:rPr>
          <w:noProof/>
        </w:rPr>
        <w:t xml:space="preserve">se, že opatření budou reagovat na digitální transformaci a výzvy, které z ní vyplývají, neboť se očekává, že přispějí k zavádění digitálních technologií a prohlubování digitálních dovedností malých a středních podniků v Řecku. Dále se očekává, že opatření </w:t>
      </w:r>
      <w:r>
        <w:rPr>
          <w:noProof/>
        </w:rPr>
        <w:t>usnadní inteligentní a udržitelný růst další podporou soukromých investic, a pomohou tak řešit doporučení pro jednotlivé země týkající se veřejných a soukromých investic (doporučení pro zemi č. 3 na rok 2020). Očekává se, že žádné opatření v této složce vý</w:t>
      </w:r>
      <w:r>
        <w:rPr>
          <w:noProof/>
        </w:rPr>
        <w:t>znamně nepoškozuje environmentální cíle ve smyslu článku 17 nařízení (EU) 2020/852, s přihlédnutím k popisu opatření a zmírňujícím krokům stanoveným v plánu pro oživení a odolnost v souladu s technickými pokyny „významně nepoškozovat“ (2021/C58/01).</w:t>
      </w:r>
    </w:p>
    <w:p w14:paraId="12CAAC2C" w14:textId="77777777" w:rsidR="00515398" w:rsidRDefault="006711E6">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G.1. </w:t>
      </w:r>
      <w:r>
        <w:rPr>
          <w:noProof/>
        </w:rPr>
        <w:t xml:space="preserve"> </w:t>
      </w:r>
      <w:r>
        <w:rPr>
          <w:rFonts w:ascii="Times New Roman" w:hAnsi="Times New Roman"/>
          <w:b/>
          <w:noProof/>
          <w:sz w:val="24"/>
          <w:u w:val="single"/>
        </w:rPr>
        <w:t>Popis reforem a investic pro nevratnou finanční podporu</w:t>
      </w:r>
    </w:p>
    <w:p w14:paraId="043BCD75" w14:textId="1F551B1A" w:rsidR="00515398" w:rsidRDefault="006711E6">
      <w:pPr>
        <w:pStyle w:val="P68B1DB1-Normal4"/>
        <w:spacing w:before="120" w:after="120" w:line="240" w:lineRule="auto"/>
        <w:jc w:val="both"/>
        <w:rPr>
          <w:rFonts w:cs="Times New Roman"/>
          <w:noProof/>
        </w:rPr>
      </w:pPr>
      <w:r>
        <w:rPr>
          <w:b/>
          <w:noProof/>
        </w:rPr>
        <w:t>Reforma:</w:t>
      </w:r>
      <w:r>
        <w:rPr>
          <w:noProof/>
        </w:rPr>
        <w:t xml:space="preserve"> Vytvoření digitálního podnikatelského ekosystému pro usnadnění digitální transformace malých a středních podniků (opatření ID 16973)</w:t>
      </w:r>
    </w:p>
    <w:p w14:paraId="46836F46" w14:textId="2F1D5E12" w:rsidR="00515398" w:rsidRDefault="006711E6">
      <w:pPr>
        <w:pStyle w:val="P68B1DB1-Normal4"/>
        <w:spacing w:before="120" w:after="120" w:line="240" w:lineRule="auto"/>
        <w:jc w:val="both"/>
        <w:rPr>
          <w:rFonts w:cs="Times New Roman"/>
          <w:noProof/>
        </w:rPr>
      </w:pPr>
      <w:r>
        <w:rPr>
          <w:noProof/>
          <w:szCs w:val="24"/>
        </w:rPr>
        <w:t>Cílem reformy je vytvořit digitální podnikatelský ekosysté</w:t>
      </w:r>
      <w:r>
        <w:rPr>
          <w:noProof/>
          <w:szCs w:val="24"/>
        </w:rPr>
        <w:t>m, který podporuje digitální transformaci malých a středních podniků. Konkrétně spočívá v zavedení rámce pro: a) vytvoření digitálního trhu (eMarketplace) pro poskytování a nákup digitálních služeb a nástrojů pro digitální transformaci malých a středních p</w:t>
      </w:r>
      <w:r>
        <w:rPr>
          <w:noProof/>
          <w:szCs w:val="24"/>
        </w:rPr>
        <w:t xml:space="preserve">odniků a b) zřízení továrny na umělou inteligenci „Pharos“ s cílem poskytovat služby, například přístup k datům, výpočetním zdrojům a odborné přípravě pro začínající podniky a malé a střední podniky. </w:t>
      </w:r>
      <w:r>
        <w:rPr>
          <w:noProof/>
        </w:rPr>
        <w:t>Provádění reformy se dokončí do 30. června 2025.</w:t>
      </w:r>
    </w:p>
    <w:p w14:paraId="3B50BDAD" w14:textId="77777777" w:rsidR="00515398" w:rsidRDefault="006711E6">
      <w:pPr>
        <w:pStyle w:val="P68B1DB1-Normal4"/>
        <w:spacing w:before="120" w:after="120" w:line="240" w:lineRule="auto"/>
        <w:jc w:val="both"/>
        <w:rPr>
          <w:rFonts w:cs="Times New Roman"/>
          <w:noProof/>
        </w:rPr>
      </w:pPr>
      <w:r>
        <w:rPr>
          <w:b/>
          <w:noProof/>
        </w:rPr>
        <w:t>Investi</w:t>
      </w:r>
      <w:r>
        <w:rPr>
          <w:b/>
          <w:noProof/>
        </w:rPr>
        <w:t>ce:</w:t>
      </w:r>
      <w:r>
        <w:rPr>
          <w:noProof/>
        </w:rPr>
        <w:t xml:space="preserve"> Digitální transformace malých a středních podniků (opatření ID 16706)</w:t>
      </w:r>
    </w:p>
    <w:p w14:paraId="2389693F" w14:textId="08C255AB" w:rsidR="00515398" w:rsidRDefault="006711E6">
      <w:pPr>
        <w:pStyle w:val="P68B1DB1-Normal5"/>
        <w:spacing w:before="120" w:after="120" w:line="240" w:lineRule="auto"/>
        <w:jc w:val="both"/>
        <w:rPr>
          <w:rFonts w:cs="Times New Roman"/>
          <w:noProof/>
        </w:rPr>
      </w:pPr>
      <w:r>
        <w:rPr>
          <w:noProof/>
        </w:rPr>
        <w:t>Investice se týká vývoje a poskytování vhodných digitálních nástrojů (produktů a služeb) řeckým malým a středním podnikům v oblasti a) elektronických plateb a prodeje, b) průmyslovýc</w:t>
      </w:r>
      <w:r>
        <w:rPr>
          <w:noProof/>
        </w:rPr>
        <w:t>h datových platforem a c) registračních pokladen a modernizace ekosystému POS. Toho bude dosaženo zřízením centrálního podpůrného mechanismu pro malé a střední podniky, který usnadní poskytování vzdělávacích a osvětových programů, aby mohly co nejlépe využ</w:t>
      </w:r>
      <w:r>
        <w:rPr>
          <w:noProof/>
        </w:rPr>
        <w:t>ívat nástroje a služby nabízené prostřednictvím digitálního trhu, jehož konečným cílem je podpořit digitální transformaci řeckých malých a středních podniků, jakož i posílit transparentnost a zdravou hospodářskou soutěž prostřednictvím systému POS Next-Gen</w:t>
      </w:r>
      <w:r>
        <w:rPr>
          <w:noProof/>
        </w:rPr>
        <w:t xml:space="preserve"> a registračních pokladen. Investice musí být provedena do 31. prosince 2025.</w:t>
      </w:r>
    </w:p>
    <w:p w14:paraId="69974FBB" w14:textId="35D08269" w:rsidR="00515398" w:rsidRDefault="006711E6">
      <w:pPr>
        <w:pStyle w:val="P68B1DB1-Normal5"/>
        <w:spacing w:before="120" w:after="120" w:line="240" w:lineRule="auto"/>
        <w:jc w:val="both"/>
        <w:rPr>
          <w:rFonts w:cs="Times New Roman"/>
          <w:iCs/>
          <w:noProof/>
          <w:highlight w:val="green"/>
        </w:rPr>
      </w:pPr>
      <w:r>
        <w:rPr>
          <w:noProof/>
        </w:rPr>
        <w:t>Aby se zajistilo, že opatření je v souladu s technickými pokyny „významně nepoškozovat“ (2021/C58/01), kritéria způsobilosti obsažená v mandátu pro výzvy k předkládání projektů v</w:t>
      </w:r>
      <w:r>
        <w:rPr>
          <w:noProof/>
        </w:rPr>
        <w:t>ylučují tento seznam činností:</w:t>
      </w:r>
      <w:r>
        <w:rPr>
          <w:noProof/>
          <w:color w:val="FF0000"/>
        </w:rPr>
        <w:t xml:space="preserve"> </w:t>
      </w:r>
      <w:r>
        <w:rPr>
          <w:noProof/>
        </w:rPr>
        <w:t>i) činnosti související s fosilními palivy, včetně následného využití</w:t>
      </w:r>
      <w:r>
        <w:rPr>
          <w:noProof/>
        </w:rPr>
        <w:footnoteReference w:id="11"/>
      </w:r>
      <w:r>
        <w:rPr>
          <w:noProof/>
        </w:rPr>
        <w:t>; II) činnosti v rámci systému EU pro obchodování s emisemi (ETS) dosahující předpokládaných emisí skleníkových plynů, které nejsou nižší než příslušné ref</w:t>
      </w:r>
      <w:r>
        <w:rPr>
          <w:noProof/>
        </w:rPr>
        <w:t>erenční hodnoty</w:t>
      </w:r>
      <w:r>
        <w:rPr>
          <w:noProof/>
        </w:rPr>
        <w:footnoteReference w:id="12"/>
      </w:r>
      <w:r>
        <w:rPr>
          <w:noProof/>
        </w:rPr>
        <w:t>; III) činnosti související se skládkami odpadů, spalovnami</w:t>
      </w:r>
      <w:r>
        <w:rPr>
          <w:noProof/>
        </w:rPr>
        <w:footnoteReference w:id="13"/>
      </w:r>
      <w:r>
        <w:rPr>
          <w:noProof/>
        </w:rPr>
        <w:t xml:space="preserve"> a mechanicko-biologickými čistírnami odpadů</w:t>
      </w:r>
      <w:r>
        <w:rPr>
          <w:noProof/>
        </w:rPr>
        <w:footnoteReference w:id="14"/>
      </w:r>
      <w:r>
        <w:rPr>
          <w:noProof/>
        </w:rPr>
        <w:t>; a iv) činnosti, při nichž dlouhodobé odstraňování odpadů může poškodit životní prostředí. Mandát navíc vyžaduje, aby mohly být vybrán</w:t>
      </w:r>
      <w:r>
        <w:rPr>
          <w:noProof/>
        </w:rPr>
        <w:t>y pouze činnosti, které jsou v souladu s příslušnými právními předpisy EU a vnitrostátními právními předpisy v oblasti životního prostředí.</w:t>
      </w:r>
    </w:p>
    <w:p w14:paraId="190236EF" w14:textId="77777777" w:rsidR="00515398" w:rsidRDefault="006711E6">
      <w:pPr>
        <w:pStyle w:val="P68B1DB1-Normal4"/>
        <w:spacing w:before="120" w:after="120" w:line="240" w:lineRule="auto"/>
        <w:jc w:val="both"/>
        <w:rPr>
          <w:rFonts w:cs="Times New Roman"/>
          <w:noProof/>
        </w:rPr>
      </w:pPr>
      <w:r>
        <w:rPr>
          <w:noProof/>
        </w:rPr>
        <w:t>Kritéria výběru/způsobilosti se rovněž zaměří na následující technologie a služby, konkrétně na aplikace pro elektro</w:t>
      </w:r>
      <w:r>
        <w:rPr>
          <w:noProof/>
        </w:rPr>
        <w:t>nické platby, elektronický prodej a elektronickou fakturaci, nástroje pro digitální reklamu, systémy pro práci na dálku, obchodní analýzu, prohlubování digitálních dovedností, služby zálohování a obnovy po havárii, umělou inteligenci, internet věcí, poskyt</w:t>
      </w:r>
      <w:r>
        <w:rPr>
          <w:noProof/>
        </w:rPr>
        <w:t xml:space="preserve">ování integrovaných řešení pro bezkontaktní služby, systémy kybernetické bezpečnosti, cloudové infrastruktury a služby, šablony a software průmyslových datových platforem, registrační pokladny a modernizaci ekosystému POS. </w:t>
      </w:r>
    </w:p>
    <w:p w14:paraId="05022FF1" w14:textId="77777777" w:rsidR="00515398" w:rsidRDefault="00515398">
      <w:pPr>
        <w:spacing w:before="120" w:after="120" w:line="240" w:lineRule="auto"/>
        <w:ind w:left="709"/>
        <w:jc w:val="both"/>
        <w:rPr>
          <w:rFonts w:ascii="Times New Roman" w:hAnsi="Times New Roman" w:cs="Times New Roman"/>
          <w:noProof/>
          <w:sz w:val="24"/>
        </w:rPr>
      </w:pPr>
    </w:p>
    <w:p w14:paraId="72FD1456"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121"/>
          <w:headerReference w:type="default" r:id="rId122"/>
          <w:footerReference w:type="even" r:id="rId123"/>
          <w:footerReference w:type="default" r:id="rId124"/>
          <w:headerReference w:type="first" r:id="rId125"/>
          <w:footerReference w:type="first" r:id="rId126"/>
          <w:pgSz w:w="11907" w:h="16839"/>
          <w:pgMar w:top="1134" w:right="1418" w:bottom="1134" w:left="1418" w:header="709" w:footer="326" w:gutter="0"/>
          <w:cols w:space="720"/>
          <w:docGrid w:linePitch="360"/>
        </w:sectPr>
      </w:pPr>
    </w:p>
    <w:p w14:paraId="720210F7"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G.2. </w:t>
      </w:r>
      <w:r>
        <w:rPr>
          <w:noProof/>
        </w:rPr>
        <w:t xml:space="preserve"> </w:t>
      </w:r>
      <w:r>
        <w:rPr>
          <w:rFonts w:ascii="Times New Roman" w:hAnsi="Times New Roman"/>
          <w:b/>
          <w:noProof/>
          <w:sz w:val="24"/>
          <w:u w:val="single"/>
        </w:rPr>
        <w:t>Milníky, cíle, ukazatele a harmonogram monitorování a provádění nevratné finanční podpory</w:t>
      </w:r>
    </w:p>
    <w:p w14:paraId="5451B8F5"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p w14:paraId="5E317820" w14:textId="77777777" w:rsidR="00515398" w:rsidRDefault="006711E6">
      <w:pPr>
        <w:pStyle w:val="P68B1DB1-Normal6"/>
        <w:keepNext/>
        <w:keepLines/>
        <w:spacing w:before="40" w:after="0" w:line="240" w:lineRule="auto"/>
        <w:jc w:val="both"/>
        <w:outlineLvl w:val="4"/>
        <w:rPr>
          <w:noProof/>
        </w:rPr>
      </w:pPr>
      <w:r>
        <w:rPr>
          <w:noProof/>
        </w:rPr>
        <w:t>Nejvyšší investice 4: Digitální transformace malých a středních podniků</w:t>
      </w:r>
    </w:p>
    <w:p w14:paraId="2ADA5DC2"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797"/>
        <w:gridCol w:w="982"/>
        <w:gridCol w:w="1324"/>
        <w:gridCol w:w="1518"/>
        <w:gridCol w:w="950"/>
        <w:gridCol w:w="958"/>
        <w:gridCol w:w="691"/>
        <w:gridCol w:w="1026"/>
        <w:gridCol w:w="750"/>
        <w:gridCol w:w="3622"/>
      </w:tblGrid>
      <w:tr w:rsidR="00515398" w14:paraId="199E5AF6" w14:textId="77777777">
        <w:trPr>
          <w:trHeight w:val="695"/>
          <w:tblHeader/>
          <w:jc w:val="center"/>
        </w:trPr>
        <w:tc>
          <w:tcPr>
            <w:tcW w:w="1237" w:type="dxa"/>
            <w:vMerge w:val="restart"/>
            <w:shd w:val="clear" w:color="auto" w:fill="BDD7EE"/>
            <w:vAlign w:val="center"/>
            <w:hideMark/>
          </w:tcPr>
          <w:p w14:paraId="164BB82A"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74" w:type="dxa"/>
            <w:vMerge w:val="restart"/>
            <w:shd w:val="clear" w:color="auto" w:fill="BDD7EE"/>
            <w:vAlign w:val="center"/>
            <w:hideMark/>
          </w:tcPr>
          <w:p w14:paraId="71E4F12E" w14:textId="77777777" w:rsidR="00515398" w:rsidRDefault="006711E6">
            <w:pPr>
              <w:pStyle w:val="P68B1DB1-Normal7"/>
              <w:spacing w:after="0" w:line="240" w:lineRule="auto"/>
              <w:jc w:val="center"/>
              <w:rPr>
                <w:rFonts w:eastAsia="Times New Roman" w:cs="Times New Roman"/>
                <w:bCs/>
                <w:noProof/>
                <w:szCs w:val="18"/>
              </w:rPr>
            </w:pPr>
            <w:r>
              <w:rPr>
                <w:noProof/>
              </w:rPr>
              <w:t xml:space="preserve">Související opatření (reforma nebo </w:t>
            </w:r>
            <w:r>
              <w:rPr>
                <w:noProof/>
              </w:rPr>
              <w:t>investice)</w:t>
            </w:r>
          </w:p>
        </w:tc>
        <w:tc>
          <w:tcPr>
            <w:tcW w:w="982" w:type="dxa"/>
            <w:vMerge w:val="restart"/>
            <w:shd w:val="clear" w:color="auto" w:fill="BDD7EE"/>
            <w:vAlign w:val="center"/>
            <w:hideMark/>
          </w:tcPr>
          <w:p w14:paraId="77056E50"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08" w:type="dxa"/>
            <w:vMerge w:val="restart"/>
            <w:shd w:val="clear" w:color="auto" w:fill="BDD7EE"/>
            <w:vAlign w:val="center"/>
            <w:hideMark/>
          </w:tcPr>
          <w:p w14:paraId="2665F5F7"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376" w:type="dxa"/>
            <w:vMerge w:val="restart"/>
            <w:shd w:val="clear" w:color="auto" w:fill="BDD7EE"/>
            <w:vAlign w:val="center"/>
            <w:hideMark/>
          </w:tcPr>
          <w:p w14:paraId="3099C4CC"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599" w:type="dxa"/>
            <w:gridSpan w:val="3"/>
            <w:shd w:val="clear" w:color="auto" w:fill="BDD7EE"/>
            <w:vAlign w:val="center"/>
            <w:hideMark/>
          </w:tcPr>
          <w:p w14:paraId="161F8534"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776" w:type="dxa"/>
            <w:gridSpan w:val="2"/>
            <w:shd w:val="clear" w:color="auto" w:fill="BDD7EE"/>
            <w:vAlign w:val="center"/>
            <w:hideMark/>
          </w:tcPr>
          <w:p w14:paraId="5245CD1E"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622" w:type="dxa"/>
            <w:vMerge w:val="restart"/>
            <w:shd w:val="clear" w:color="auto" w:fill="BDD7EE"/>
            <w:vAlign w:val="center"/>
            <w:hideMark/>
          </w:tcPr>
          <w:p w14:paraId="5ADADEB3"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7B6B1175" w14:textId="77777777">
        <w:trPr>
          <w:trHeight w:val="465"/>
          <w:tblHeader/>
          <w:jc w:val="center"/>
        </w:trPr>
        <w:tc>
          <w:tcPr>
            <w:tcW w:w="1237" w:type="dxa"/>
            <w:vMerge/>
            <w:vAlign w:val="center"/>
            <w:hideMark/>
          </w:tcPr>
          <w:p w14:paraId="6B14525A" w14:textId="77777777" w:rsidR="00515398" w:rsidRDefault="00515398">
            <w:pPr>
              <w:spacing w:after="0" w:line="240" w:lineRule="auto"/>
              <w:rPr>
                <w:rFonts w:ascii="Times New Roman" w:eastAsia="Times New Roman" w:hAnsi="Times New Roman" w:cs="Times New Roman"/>
                <w:b/>
                <w:bCs/>
                <w:noProof/>
                <w:sz w:val="18"/>
                <w:szCs w:val="18"/>
              </w:rPr>
            </w:pPr>
          </w:p>
        </w:tc>
        <w:tc>
          <w:tcPr>
            <w:tcW w:w="1774" w:type="dxa"/>
            <w:vMerge/>
            <w:vAlign w:val="center"/>
            <w:hideMark/>
          </w:tcPr>
          <w:p w14:paraId="05A82F60" w14:textId="77777777" w:rsidR="00515398" w:rsidRDefault="00515398">
            <w:pPr>
              <w:spacing w:after="0" w:line="240" w:lineRule="auto"/>
              <w:rPr>
                <w:rFonts w:ascii="Times New Roman" w:eastAsia="Times New Roman" w:hAnsi="Times New Roman" w:cs="Times New Roman"/>
                <w:b/>
                <w:bCs/>
                <w:noProof/>
                <w:sz w:val="18"/>
                <w:szCs w:val="18"/>
              </w:rPr>
            </w:pPr>
          </w:p>
        </w:tc>
        <w:tc>
          <w:tcPr>
            <w:tcW w:w="982" w:type="dxa"/>
            <w:vMerge/>
            <w:vAlign w:val="center"/>
            <w:hideMark/>
          </w:tcPr>
          <w:p w14:paraId="202E1FE9" w14:textId="77777777" w:rsidR="00515398" w:rsidRDefault="00515398">
            <w:pPr>
              <w:spacing w:after="0" w:line="240" w:lineRule="auto"/>
              <w:rPr>
                <w:rFonts w:ascii="Times New Roman" w:eastAsia="Times New Roman" w:hAnsi="Times New Roman" w:cs="Times New Roman"/>
                <w:b/>
                <w:bCs/>
                <w:noProof/>
                <w:sz w:val="18"/>
                <w:szCs w:val="18"/>
              </w:rPr>
            </w:pPr>
          </w:p>
        </w:tc>
        <w:tc>
          <w:tcPr>
            <w:tcW w:w="1308" w:type="dxa"/>
            <w:vMerge/>
            <w:vAlign w:val="center"/>
            <w:hideMark/>
          </w:tcPr>
          <w:p w14:paraId="248B03AA" w14:textId="77777777" w:rsidR="00515398" w:rsidRDefault="00515398">
            <w:pPr>
              <w:spacing w:after="0" w:line="240" w:lineRule="auto"/>
              <w:rPr>
                <w:rFonts w:ascii="Times New Roman" w:eastAsia="Times New Roman" w:hAnsi="Times New Roman" w:cs="Times New Roman"/>
                <w:b/>
                <w:bCs/>
                <w:noProof/>
                <w:sz w:val="18"/>
                <w:szCs w:val="18"/>
              </w:rPr>
            </w:pPr>
          </w:p>
        </w:tc>
        <w:tc>
          <w:tcPr>
            <w:tcW w:w="1376" w:type="dxa"/>
            <w:vMerge/>
            <w:vAlign w:val="center"/>
            <w:hideMark/>
          </w:tcPr>
          <w:p w14:paraId="04185851" w14:textId="77777777" w:rsidR="00515398" w:rsidRDefault="00515398">
            <w:pPr>
              <w:spacing w:after="0" w:line="240" w:lineRule="auto"/>
              <w:rPr>
                <w:rFonts w:ascii="Times New Roman" w:eastAsia="Times New Roman" w:hAnsi="Times New Roman" w:cs="Times New Roman"/>
                <w:b/>
                <w:bCs/>
                <w:noProof/>
                <w:sz w:val="18"/>
                <w:szCs w:val="18"/>
              </w:rPr>
            </w:pPr>
          </w:p>
        </w:tc>
        <w:tc>
          <w:tcPr>
            <w:tcW w:w="950" w:type="dxa"/>
            <w:shd w:val="clear" w:color="auto" w:fill="BDD7EE"/>
            <w:vAlign w:val="center"/>
            <w:hideMark/>
          </w:tcPr>
          <w:p w14:paraId="3500E0CF"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58" w:type="dxa"/>
            <w:shd w:val="clear" w:color="auto" w:fill="BDD7EE"/>
            <w:vAlign w:val="center"/>
            <w:hideMark/>
          </w:tcPr>
          <w:p w14:paraId="7DBD46A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691" w:type="dxa"/>
            <w:shd w:val="clear" w:color="auto" w:fill="BDD7EE"/>
            <w:vAlign w:val="center"/>
            <w:hideMark/>
          </w:tcPr>
          <w:p w14:paraId="614D671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1026" w:type="dxa"/>
            <w:shd w:val="clear" w:color="auto" w:fill="BDD7EE"/>
            <w:vAlign w:val="center"/>
            <w:hideMark/>
          </w:tcPr>
          <w:p w14:paraId="71799E92"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50" w:type="dxa"/>
            <w:shd w:val="clear" w:color="auto" w:fill="BDD7EE"/>
            <w:vAlign w:val="center"/>
            <w:hideMark/>
          </w:tcPr>
          <w:p w14:paraId="61C53B7A"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622" w:type="dxa"/>
            <w:vMerge/>
            <w:vAlign w:val="center"/>
            <w:hideMark/>
          </w:tcPr>
          <w:p w14:paraId="66879BA6"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6437378B" w14:textId="77777777">
        <w:trPr>
          <w:trHeight w:val="309"/>
          <w:jc w:val="center"/>
        </w:trPr>
        <w:tc>
          <w:tcPr>
            <w:tcW w:w="1237" w:type="dxa"/>
            <w:shd w:val="clear" w:color="auto" w:fill="C6EFCE"/>
            <w:noWrap/>
          </w:tcPr>
          <w:p w14:paraId="5589B3C2" w14:textId="77777777" w:rsidR="00515398" w:rsidRDefault="006711E6">
            <w:pPr>
              <w:pStyle w:val="P68B1DB1-Normal9"/>
              <w:spacing w:after="0" w:line="240" w:lineRule="auto"/>
              <w:rPr>
                <w:rFonts w:eastAsia="Times New Roman" w:cs="Calibri"/>
                <w:noProof/>
                <w:szCs w:val="18"/>
              </w:rPr>
            </w:pPr>
            <w:r>
              <w:rPr>
                <w:noProof/>
              </w:rPr>
              <w:t>130</w:t>
            </w:r>
          </w:p>
        </w:tc>
        <w:tc>
          <w:tcPr>
            <w:tcW w:w="1774" w:type="dxa"/>
            <w:shd w:val="clear" w:color="auto" w:fill="C6EFCE"/>
            <w:noWrap/>
          </w:tcPr>
          <w:p w14:paraId="1EC1F5DE" w14:textId="77777777" w:rsidR="00515398" w:rsidRDefault="006711E6">
            <w:pPr>
              <w:pStyle w:val="P68B1DB1-Normal9"/>
              <w:spacing w:after="0" w:line="240" w:lineRule="auto"/>
              <w:rPr>
                <w:rFonts w:eastAsia="Times New Roman" w:cs="Calibri"/>
                <w:noProof/>
                <w:szCs w:val="18"/>
              </w:rPr>
            </w:pPr>
            <w:r>
              <w:rPr>
                <w:noProof/>
              </w:rPr>
              <w:t>7–2.3. Digitalizace podniků –</w:t>
            </w:r>
            <w:r>
              <w:rPr>
                <w:noProof/>
              </w:rPr>
              <w:t xml:space="preserve"> 16706_Digitální transformace malých a středních podniků</w:t>
            </w:r>
          </w:p>
        </w:tc>
        <w:tc>
          <w:tcPr>
            <w:tcW w:w="982" w:type="dxa"/>
            <w:shd w:val="clear" w:color="auto" w:fill="C6EFCE"/>
            <w:noWrap/>
          </w:tcPr>
          <w:p w14:paraId="1201F7B4" w14:textId="77777777" w:rsidR="00515398" w:rsidRDefault="006711E6">
            <w:pPr>
              <w:pStyle w:val="P68B1DB1-Normal9"/>
              <w:spacing w:after="0" w:line="240" w:lineRule="auto"/>
              <w:rPr>
                <w:rFonts w:eastAsia="Times New Roman" w:cs="Calibri"/>
                <w:noProof/>
                <w:szCs w:val="18"/>
              </w:rPr>
            </w:pPr>
            <w:r>
              <w:rPr>
                <w:noProof/>
              </w:rPr>
              <w:t>Milník</w:t>
            </w:r>
          </w:p>
        </w:tc>
        <w:tc>
          <w:tcPr>
            <w:tcW w:w="1308" w:type="dxa"/>
            <w:shd w:val="clear" w:color="auto" w:fill="C6EFCE"/>
            <w:noWrap/>
          </w:tcPr>
          <w:p w14:paraId="708874C0" w14:textId="29D54939" w:rsidR="00515398" w:rsidRDefault="006711E6">
            <w:pPr>
              <w:pStyle w:val="P68B1DB1-Normal9"/>
              <w:spacing w:after="0" w:line="240" w:lineRule="auto"/>
              <w:rPr>
                <w:rFonts w:eastAsia="Times New Roman" w:cs="Calibri"/>
                <w:noProof/>
                <w:szCs w:val="18"/>
              </w:rPr>
            </w:pPr>
            <w:r>
              <w:rPr>
                <w:noProof/>
              </w:rPr>
              <w:t>Digitální transformace malých a středních podniků – výzvy k předkládání návrhů</w:t>
            </w:r>
          </w:p>
        </w:tc>
        <w:tc>
          <w:tcPr>
            <w:tcW w:w="1376" w:type="dxa"/>
            <w:shd w:val="clear" w:color="auto" w:fill="C6EFCE"/>
            <w:noWrap/>
          </w:tcPr>
          <w:p w14:paraId="3DF3EB14" w14:textId="77777777" w:rsidR="00515398" w:rsidRDefault="006711E6">
            <w:pPr>
              <w:pStyle w:val="P68B1DB1-Normal9"/>
              <w:spacing w:after="0" w:line="240" w:lineRule="auto"/>
              <w:rPr>
                <w:rFonts w:eastAsia="Times New Roman" w:cs="Calibri"/>
                <w:noProof/>
                <w:szCs w:val="18"/>
              </w:rPr>
            </w:pPr>
            <w:r>
              <w:rPr>
                <w:noProof/>
              </w:rPr>
              <w:t>Zveřejněná výzva k předkládání návrhů</w:t>
            </w:r>
          </w:p>
        </w:tc>
        <w:tc>
          <w:tcPr>
            <w:tcW w:w="950" w:type="dxa"/>
            <w:shd w:val="clear" w:color="auto" w:fill="C6EFCE"/>
            <w:noWrap/>
          </w:tcPr>
          <w:p w14:paraId="518E2586" w14:textId="77777777" w:rsidR="00515398" w:rsidRDefault="00515398">
            <w:pPr>
              <w:spacing w:after="0" w:line="240" w:lineRule="auto"/>
              <w:rPr>
                <w:rFonts w:eastAsia="Times New Roman" w:cs="Calibri"/>
                <w:noProof/>
                <w:color w:val="006100"/>
                <w:sz w:val="18"/>
                <w:szCs w:val="18"/>
              </w:rPr>
            </w:pPr>
          </w:p>
        </w:tc>
        <w:tc>
          <w:tcPr>
            <w:tcW w:w="958" w:type="dxa"/>
            <w:shd w:val="clear" w:color="auto" w:fill="C6EFCE"/>
            <w:noWrap/>
          </w:tcPr>
          <w:p w14:paraId="5542558D" w14:textId="77777777" w:rsidR="00515398" w:rsidRDefault="00515398">
            <w:pPr>
              <w:spacing w:after="0" w:line="240" w:lineRule="auto"/>
              <w:rPr>
                <w:rFonts w:eastAsia="Times New Roman" w:cs="Calibri"/>
                <w:noProof/>
                <w:color w:val="006100"/>
                <w:sz w:val="18"/>
                <w:szCs w:val="18"/>
              </w:rPr>
            </w:pPr>
          </w:p>
        </w:tc>
        <w:tc>
          <w:tcPr>
            <w:tcW w:w="691" w:type="dxa"/>
            <w:shd w:val="clear" w:color="auto" w:fill="C6EFCE"/>
            <w:noWrap/>
          </w:tcPr>
          <w:p w14:paraId="6CD8F430" w14:textId="77777777" w:rsidR="00515398" w:rsidRDefault="00515398">
            <w:pPr>
              <w:spacing w:after="0" w:line="240" w:lineRule="auto"/>
              <w:rPr>
                <w:rFonts w:eastAsia="Times New Roman" w:cs="Calibri"/>
                <w:noProof/>
                <w:color w:val="006100"/>
                <w:sz w:val="18"/>
                <w:szCs w:val="18"/>
              </w:rPr>
            </w:pPr>
          </w:p>
        </w:tc>
        <w:tc>
          <w:tcPr>
            <w:tcW w:w="1026" w:type="dxa"/>
            <w:shd w:val="clear" w:color="auto" w:fill="C6EFCE"/>
            <w:noWrap/>
          </w:tcPr>
          <w:p w14:paraId="5A1CB9D7" w14:textId="77777777" w:rsidR="00515398" w:rsidRDefault="006711E6">
            <w:pPr>
              <w:pStyle w:val="P68B1DB1-Normal9"/>
              <w:spacing w:after="0" w:line="240" w:lineRule="auto"/>
              <w:rPr>
                <w:rFonts w:eastAsia="Times New Roman" w:cs="Calibri"/>
                <w:noProof/>
                <w:szCs w:val="18"/>
              </w:rPr>
            </w:pPr>
            <w:r>
              <w:rPr>
                <w:noProof/>
              </w:rPr>
              <w:t>ČTVRTLETÍ 1</w:t>
            </w:r>
          </w:p>
        </w:tc>
        <w:tc>
          <w:tcPr>
            <w:tcW w:w="750" w:type="dxa"/>
            <w:shd w:val="clear" w:color="auto" w:fill="C6EFCE"/>
            <w:noWrap/>
          </w:tcPr>
          <w:p w14:paraId="1B12563C" w14:textId="77777777" w:rsidR="00515398" w:rsidRDefault="006711E6">
            <w:pPr>
              <w:pStyle w:val="P68B1DB1-Normal9"/>
              <w:spacing w:after="0" w:line="240" w:lineRule="auto"/>
              <w:rPr>
                <w:rFonts w:eastAsia="Times New Roman" w:cs="Calibri"/>
                <w:noProof/>
                <w:szCs w:val="18"/>
              </w:rPr>
            </w:pPr>
            <w:r>
              <w:rPr>
                <w:noProof/>
              </w:rPr>
              <w:t>2022</w:t>
            </w:r>
          </w:p>
        </w:tc>
        <w:tc>
          <w:tcPr>
            <w:tcW w:w="3622" w:type="dxa"/>
            <w:shd w:val="clear" w:color="auto" w:fill="C6EFCE"/>
            <w:noWrap/>
          </w:tcPr>
          <w:p w14:paraId="2982E935" w14:textId="77777777" w:rsidR="00515398" w:rsidRDefault="006711E6">
            <w:pPr>
              <w:pStyle w:val="P68B1DB1-Normal9"/>
              <w:spacing w:after="0" w:line="240" w:lineRule="auto"/>
              <w:rPr>
                <w:rFonts w:eastAsia="Times New Roman" w:cs="Calibri"/>
                <w:noProof/>
                <w:szCs w:val="18"/>
              </w:rPr>
            </w:pPr>
            <w:r>
              <w:rPr>
                <w:noProof/>
              </w:rPr>
              <w:t xml:space="preserve">Vyhlášení všech konkurenčních výzev k předkládání </w:t>
            </w:r>
            <w:r>
              <w:rPr>
                <w:noProof/>
              </w:rPr>
              <w:t>návrhů na financování systému poukázek na digitální transformaci podniků (dílčí projekty 1), průmyslové datové platformy a datové prostory (dílčí projekty 2) a registry hotovosti a modernizace ekosystému POS (dílčí projekty 4), s podmínkami zadání včetně k</w:t>
            </w:r>
            <w:r>
              <w:rPr>
                <w:noProof/>
              </w:rPr>
              <w:t>ritérií způsobilosti, která zajistí, aby vybrané projekty splňovaly technické pokyny „významně nepoškozovat“ (2021/C58/01) prostřednictvím seznamu výjimek a požadavku souladu s příslušnými právními předpisy EU a vnitrostátními právními předpisy v oblasti ž</w:t>
            </w:r>
            <w:r>
              <w:rPr>
                <w:noProof/>
              </w:rPr>
              <w:t xml:space="preserve">ivotního prostředí. </w:t>
            </w:r>
          </w:p>
          <w:p w14:paraId="1E394C94" w14:textId="77777777" w:rsidR="00515398" w:rsidRDefault="00515398">
            <w:pPr>
              <w:spacing w:after="0" w:line="240" w:lineRule="auto"/>
              <w:rPr>
                <w:rFonts w:eastAsia="Times New Roman" w:cs="Calibri"/>
                <w:noProof/>
                <w:color w:val="006100"/>
                <w:sz w:val="18"/>
                <w:szCs w:val="18"/>
              </w:rPr>
            </w:pPr>
          </w:p>
          <w:p w14:paraId="173B97B2" w14:textId="77777777" w:rsidR="00515398" w:rsidRDefault="006711E6">
            <w:pPr>
              <w:pStyle w:val="P68B1DB1-Normal9"/>
              <w:spacing w:after="0" w:line="240" w:lineRule="auto"/>
              <w:rPr>
                <w:rFonts w:eastAsia="Times New Roman" w:cs="Calibri"/>
                <w:noProof/>
                <w:szCs w:val="18"/>
              </w:rPr>
            </w:pPr>
            <w:r>
              <w:rPr>
                <w:noProof/>
              </w:rPr>
              <w:t xml:space="preserve">Investice se zaměří na technologie a služby na podporu digitalizace malých a středních podniků, konkrétně na aplikace pro elektronické platby, elektronický prodej a elektronickou fakturaci, nástroje pro digitální reklamu, systémy pro </w:t>
            </w:r>
            <w:r>
              <w:rPr>
                <w:noProof/>
              </w:rPr>
              <w:t>práci na dálku, analýzu podniků, prohlubování digitálních dovedností, služby zálohování a obnovy po havárii, umělou inteligenci, internet věcí, poskytování integrovaných řešení pro bezkontaktní služby, systémy kybernetické bezpečnosti, cloudové infrastrukt</w:t>
            </w:r>
            <w:r>
              <w:rPr>
                <w:noProof/>
              </w:rPr>
              <w:t xml:space="preserve">ury a služby, šablony a software průmyslových datových platforem, registrační pokladny a modernizaci ekosystému POS. </w:t>
            </w:r>
          </w:p>
        </w:tc>
      </w:tr>
      <w:tr w:rsidR="00515398" w14:paraId="2E4DB77D" w14:textId="77777777">
        <w:trPr>
          <w:trHeight w:val="309"/>
          <w:jc w:val="center"/>
        </w:trPr>
        <w:tc>
          <w:tcPr>
            <w:tcW w:w="1237" w:type="dxa"/>
            <w:shd w:val="clear" w:color="auto" w:fill="C6EFCE"/>
            <w:noWrap/>
          </w:tcPr>
          <w:p w14:paraId="355AABF5" w14:textId="77777777" w:rsidR="00515398" w:rsidRDefault="006711E6">
            <w:pPr>
              <w:pStyle w:val="P68B1DB1-Normal9"/>
              <w:spacing w:after="0" w:line="240" w:lineRule="auto"/>
              <w:rPr>
                <w:rFonts w:eastAsia="Times New Roman" w:cs="Calibri"/>
                <w:noProof/>
                <w:szCs w:val="18"/>
              </w:rPr>
            </w:pPr>
            <w:r>
              <w:rPr>
                <w:noProof/>
              </w:rPr>
              <w:t>131</w:t>
            </w:r>
          </w:p>
        </w:tc>
        <w:tc>
          <w:tcPr>
            <w:tcW w:w="1774" w:type="dxa"/>
            <w:shd w:val="clear" w:color="auto" w:fill="C6EFCE"/>
            <w:noWrap/>
          </w:tcPr>
          <w:p w14:paraId="7283B563" w14:textId="77777777" w:rsidR="00515398" w:rsidRDefault="006711E6">
            <w:pPr>
              <w:pStyle w:val="P68B1DB1-Normal9"/>
              <w:spacing w:after="0" w:line="240" w:lineRule="auto"/>
              <w:rPr>
                <w:rFonts w:eastAsia="Times New Roman" w:cs="Calibri"/>
                <w:noProof/>
                <w:szCs w:val="18"/>
              </w:rPr>
            </w:pPr>
            <w:r>
              <w:rPr>
                <w:noProof/>
              </w:rPr>
              <w:t>7–2.3. Digitalizace podniků – 16706_Digitální transformace malých a středních podniků</w:t>
            </w:r>
          </w:p>
        </w:tc>
        <w:tc>
          <w:tcPr>
            <w:tcW w:w="982" w:type="dxa"/>
            <w:shd w:val="clear" w:color="auto" w:fill="C6EFCE"/>
            <w:noWrap/>
          </w:tcPr>
          <w:p w14:paraId="41D27992" w14:textId="77777777" w:rsidR="00515398" w:rsidRDefault="006711E6">
            <w:pPr>
              <w:pStyle w:val="P68B1DB1-Normal9"/>
              <w:spacing w:after="0" w:line="240" w:lineRule="auto"/>
              <w:rPr>
                <w:rFonts w:eastAsia="Times New Roman" w:cs="Calibri"/>
                <w:noProof/>
                <w:szCs w:val="18"/>
              </w:rPr>
            </w:pPr>
            <w:r>
              <w:rPr>
                <w:noProof/>
              </w:rPr>
              <w:t>Milník</w:t>
            </w:r>
          </w:p>
        </w:tc>
        <w:tc>
          <w:tcPr>
            <w:tcW w:w="1308" w:type="dxa"/>
            <w:shd w:val="clear" w:color="auto" w:fill="C6EFCE"/>
            <w:noWrap/>
          </w:tcPr>
          <w:p w14:paraId="428EB160" w14:textId="77777777" w:rsidR="00515398" w:rsidRDefault="006711E6">
            <w:pPr>
              <w:pStyle w:val="P68B1DB1-Normal9"/>
              <w:spacing w:after="0" w:line="240" w:lineRule="auto"/>
              <w:rPr>
                <w:rFonts w:eastAsia="Times New Roman" w:cs="Calibri"/>
                <w:noProof/>
                <w:szCs w:val="18"/>
              </w:rPr>
            </w:pPr>
            <w:r>
              <w:rPr>
                <w:noProof/>
              </w:rPr>
              <w:t xml:space="preserve">Digitální transformace malých a </w:t>
            </w:r>
            <w:r>
              <w:rPr>
                <w:noProof/>
              </w:rPr>
              <w:t>středních podniků – dodávání produktů a služeb</w:t>
            </w:r>
          </w:p>
        </w:tc>
        <w:tc>
          <w:tcPr>
            <w:tcW w:w="1376" w:type="dxa"/>
            <w:shd w:val="clear" w:color="auto" w:fill="C6EFCE"/>
            <w:noWrap/>
          </w:tcPr>
          <w:p w14:paraId="773799D2" w14:textId="5508B1C6" w:rsidR="00515398" w:rsidRDefault="006711E6">
            <w:pPr>
              <w:pStyle w:val="P68B1DB1-Normal24"/>
              <w:spacing w:after="0" w:line="240" w:lineRule="auto"/>
              <w:rPr>
                <w:rFonts w:eastAsia="Times New Roman" w:cs="Calibri"/>
                <w:noProof/>
                <w:color w:val="006100"/>
              </w:rPr>
            </w:pPr>
            <w:r>
              <w:rPr>
                <w:noProof/>
                <w:color w:val="006100"/>
              </w:rPr>
              <w:t xml:space="preserve">Zpráva ministerstva pro digitální správu potvrzující úplné provedení těchto cílů: 100000 malých a středních podniků podpořených poukázkou na digitalizaci (podprojekt 1), 210000 nových, </w:t>
            </w:r>
            <w:r>
              <w:rPr>
                <w:rFonts w:asciiTheme="minorHAnsi" w:eastAsiaTheme="minorEastAsia" w:hAnsiTheme="minorHAnsi" w:cstheme="minorBidi"/>
                <w:noProof/>
                <w:color w:val="006100"/>
              </w:rPr>
              <w:t xml:space="preserve">modernizovaných nebo </w:t>
            </w:r>
            <w:r>
              <w:rPr>
                <w:rFonts w:asciiTheme="minorHAnsi" w:eastAsiaTheme="minorEastAsia" w:hAnsiTheme="minorHAnsi" w:cstheme="minorBidi"/>
                <w:noProof/>
                <w:color w:val="006100"/>
              </w:rPr>
              <w:t>nahrazených registračních pokladen a</w:t>
            </w:r>
            <w:r>
              <w:rPr>
                <w:noProof/>
                <w:color w:val="006100"/>
              </w:rPr>
              <w:t xml:space="preserve"> 100000 systémů POS nových, modernizovaných</w:t>
            </w:r>
            <w:r>
              <w:rPr>
                <w:rFonts w:asciiTheme="minorHAnsi" w:eastAsiaTheme="minorEastAsia" w:hAnsiTheme="minorHAnsi" w:cstheme="minorBidi"/>
                <w:noProof/>
                <w:color w:val="006100"/>
              </w:rPr>
              <w:t xml:space="preserve"> nebo nahrazených (podprojekt 4 </w:t>
            </w:r>
            <w:r>
              <w:rPr>
                <w:noProof/>
                <w:color w:val="006100"/>
              </w:rPr>
              <w:t>)</w:t>
            </w:r>
          </w:p>
        </w:tc>
        <w:tc>
          <w:tcPr>
            <w:tcW w:w="950" w:type="dxa"/>
            <w:shd w:val="clear" w:color="auto" w:fill="C6EFCE"/>
            <w:noWrap/>
          </w:tcPr>
          <w:p w14:paraId="2B150759" w14:textId="77777777" w:rsidR="00515398" w:rsidRDefault="00515398">
            <w:pPr>
              <w:spacing w:after="0" w:line="240" w:lineRule="auto"/>
              <w:rPr>
                <w:rFonts w:eastAsia="Times New Roman" w:cs="Calibri"/>
                <w:noProof/>
                <w:color w:val="006100"/>
                <w:sz w:val="18"/>
                <w:szCs w:val="18"/>
              </w:rPr>
            </w:pPr>
          </w:p>
        </w:tc>
        <w:tc>
          <w:tcPr>
            <w:tcW w:w="958" w:type="dxa"/>
            <w:shd w:val="clear" w:color="auto" w:fill="C6EFCE"/>
            <w:noWrap/>
          </w:tcPr>
          <w:p w14:paraId="60C7B720" w14:textId="77777777" w:rsidR="00515398" w:rsidRDefault="00515398">
            <w:pPr>
              <w:spacing w:after="0" w:line="240" w:lineRule="auto"/>
              <w:rPr>
                <w:rFonts w:eastAsia="Times New Roman" w:cs="Calibri"/>
                <w:noProof/>
                <w:color w:val="006100"/>
                <w:sz w:val="18"/>
                <w:szCs w:val="18"/>
              </w:rPr>
            </w:pPr>
          </w:p>
        </w:tc>
        <w:tc>
          <w:tcPr>
            <w:tcW w:w="691" w:type="dxa"/>
            <w:shd w:val="clear" w:color="auto" w:fill="C6EFCE"/>
            <w:noWrap/>
          </w:tcPr>
          <w:p w14:paraId="68C91FA3" w14:textId="77777777" w:rsidR="00515398" w:rsidRDefault="00515398">
            <w:pPr>
              <w:spacing w:after="0" w:line="240" w:lineRule="auto"/>
              <w:rPr>
                <w:rFonts w:eastAsia="Times New Roman" w:cs="Calibri"/>
                <w:noProof/>
                <w:color w:val="006100"/>
                <w:sz w:val="18"/>
                <w:szCs w:val="18"/>
              </w:rPr>
            </w:pPr>
          </w:p>
        </w:tc>
        <w:tc>
          <w:tcPr>
            <w:tcW w:w="1026" w:type="dxa"/>
            <w:shd w:val="clear" w:color="auto" w:fill="C6EFCE"/>
            <w:noWrap/>
          </w:tcPr>
          <w:p w14:paraId="06CFA854" w14:textId="77777777" w:rsidR="00515398" w:rsidRDefault="006711E6">
            <w:pPr>
              <w:pStyle w:val="P68B1DB1-Normal9"/>
              <w:spacing w:after="0" w:line="240" w:lineRule="auto"/>
              <w:rPr>
                <w:rFonts w:eastAsia="Times New Roman" w:cs="Calibri"/>
                <w:noProof/>
                <w:szCs w:val="18"/>
              </w:rPr>
            </w:pPr>
            <w:r>
              <w:rPr>
                <w:noProof/>
              </w:rPr>
              <w:t>ČTVRTLETÍ</w:t>
            </w:r>
          </w:p>
        </w:tc>
        <w:tc>
          <w:tcPr>
            <w:tcW w:w="750" w:type="dxa"/>
            <w:shd w:val="clear" w:color="auto" w:fill="C6EFCE"/>
            <w:noWrap/>
          </w:tcPr>
          <w:p w14:paraId="67795882" w14:textId="77777777" w:rsidR="00515398" w:rsidRDefault="006711E6">
            <w:pPr>
              <w:pStyle w:val="P68B1DB1-Normal9"/>
              <w:spacing w:after="0" w:line="240" w:lineRule="auto"/>
              <w:rPr>
                <w:rFonts w:eastAsia="Times New Roman" w:cs="Calibri"/>
                <w:noProof/>
                <w:szCs w:val="18"/>
              </w:rPr>
            </w:pPr>
            <w:r>
              <w:rPr>
                <w:noProof/>
              </w:rPr>
              <w:t>2025</w:t>
            </w:r>
          </w:p>
        </w:tc>
        <w:tc>
          <w:tcPr>
            <w:tcW w:w="3622" w:type="dxa"/>
            <w:shd w:val="clear" w:color="auto" w:fill="C6EFCE"/>
            <w:noWrap/>
          </w:tcPr>
          <w:p w14:paraId="354563B2" w14:textId="3AA9FA39" w:rsidR="00515398" w:rsidRDefault="006711E6">
            <w:pPr>
              <w:pStyle w:val="P68B1DB1-Normal24"/>
              <w:spacing w:after="0" w:line="240" w:lineRule="auto"/>
              <w:rPr>
                <w:rFonts w:eastAsia="Times New Roman" w:cs="Calibri"/>
                <w:noProof/>
                <w:color w:val="006100"/>
              </w:rPr>
            </w:pPr>
            <w:r>
              <w:rPr>
                <w:noProof/>
                <w:color w:val="006100"/>
              </w:rPr>
              <w:t>Výběr příjemců a poskytování vybavení a služeb malým a středním podnikům</w:t>
            </w:r>
            <w:r>
              <w:rPr>
                <w:noProof/>
              </w:rPr>
              <w:t xml:space="preserve"> v </w:t>
            </w:r>
            <w:r>
              <w:rPr>
                <w:noProof/>
                <w:color w:val="006100"/>
              </w:rPr>
              <w:t xml:space="preserve">rámci konkurenčních výzev k předkládání návrhů, zejména: </w:t>
            </w:r>
          </w:p>
          <w:p w14:paraId="420E6FCB" w14:textId="77777777" w:rsidR="00515398" w:rsidRDefault="006711E6">
            <w:pPr>
              <w:pStyle w:val="P68B1DB1-Normal9"/>
              <w:spacing w:after="0" w:line="240" w:lineRule="auto"/>
              <w:rPr>
                <w:rFonts w:eastAsia="Times New Roman" w:cs="Calibri"/>
                <w:noProof/>
                <w:szCs w:val="18"/>
              </w:rPr>
            </w:pPr>
            <w:r>
              <w:rPr>
                <w:noProof/>
              </w:rPr>
              <w:t>— V rámci dílčího projektu 1: 100000 malých a středních podniků obdrželo podporu digitalizace financovanou z systému poukázek;</w:t>
            </w:r>
          </w:p>
          <w:p w14:paraId="39C6A22B" w14:textId="7015E1B5" w:rsidR="00515398" w:rsidRDefault="006711E6">
            <w:pPr>
              <w:pStyle w:val="P68B1DB1-Normal10"/>
              <w:spacing w:after="0" w:line="240" w:lineRule="auto"/>
              <w:rPr>
                <w:rFonts w:eastAsia="Times New Roman" w:cs="Calibri"/>
                <w:noProof/>
              </w:rPr>
            </w:pPr>
            <w:r>
              <w:rPr>
                <w:noProof/>
              </w:rPr>
              <w:t>— V rámci dílčího projektu 4: 210000 registračních pokladen nových, mod</w:t>
            </w:r>
            <w:r>
              <w:rPr>
                <w:noProof/>
              </w:rPr>
              <w:t>ernizovaných nebo nahrazených počítačovými řešeními (například: nahrazené daňové mechanismy, fakturace dokladů o osobním automobilu/zpracování při stěhování, registrační pokladny, rovněž pro stravovací služby, poskytovatel elektronické fakturace), 100000 n</w:t>
            </w:r>
            <w:r>
              <w:rPr>
                <w:noProof/>
              </w:rPr>
              <w:t>ových, nahrazených nebo modernizovaných systémů POS</w:t>
            </w:r>
          </w:p>
          <w:p w14:paraId="14482204" w14:textId="77777777" w:rsidR="00515398" w:rsidRDefault="006711E6">
            <w:pPr>
              <w:pStyle w:val="P68B1DB1-Normal9"/>
              <w:spacing w:after="0" w:line="240" w:lineRule="auto"/>
              <w:rPr>
                <w:rFonts w:eastAsia="Times New Roman" w:cs="Calibri"/>
                <w:noProof/>
                <w:szCs w:val="18"/>
              </w:rPr>
            </w:pPr>
            <w:r>
              <w:rPr>
                <w:noProof/>
              </w:rPr>
              <w:t>(poskytněte osvědčení od příjemců o integraci nové technologie/výrobku/dokladu o zaplacení za účelem potvrzení nákupu výrobků a služeb).</w:t>
            </w:r>
          </w:p>
        </w:tc>
      </w:tr>
      <w:tr w:rsidR="00515398" w14:paraId="0397251A" w14:textId="77777777">
        <w:trPr>
          <w:trHeight w:val="300"/>
          <w:jc w:val="center"/>
        </w:trPr>
        <w:tc>
          <w:tcPr>
            <w:tcW w:w="1237" w:type="dxa"/>
            <w:shd w:val="clear" w:color="auto" w:fill="C6EFCE"/>
            <w:noWrap/>
          </w:tcPr>
          <w:p w14:paraId="49E3DC49" w14:textId="76496C5A" w:rsidR="00515398" w:rsidRDefault="006711E6">
            <w:pPr>
              <w:pStyle w:val="P68B1DB1-Normal10"/>
              <w:spacing w:line="240" w:lineRule="auto"/>
              <w:rPr>
                <w:noProof/>
              </w:rPr>
            </w:pPr>
            <w:r>
              <w:rPr>
                <w:noProof/>
              </w:rPr>
              <w:t>131a</w:t>
            </w:r>
          </w:p>
        </w:tc>
        <w:tc>
          <w:tcPr>
            <w:tcW w:w="1797" w:type="dxa"/>
            <w:shd w:val="clear" w:color="auto" w:fill="C6EFCE"/>
            <w:noWrap/>
          </w:tcPr>
          <w:p w14:paraId="145CB0CD" w14:textId="77777777" w:rsidR="00515398" w:rsidRDefault="006711E6">
            <w:pPr>
              <w:pStyle w:val="P68B1DB1-Normal10"/>
              <w:spacing w:after="0" w:line="240" w:lineRule="auto"/>
              <w:rPr>
                <w:rFonts w:eastAsia="Times New Roman" w:cs="Calibri"/>
                <w:noProof/>
              </w:rPr>
            </w:pPr>
            <w:r>
              <w:rPr>
                <w:noProof/>
              </w:rPr>
              <w:t xml:space="preserve">7–2.3. Digitalizace podniků – 16706_Digitální transformace </w:t>
            </w:r>
            <w:r>
              <w:rPr>
                <w:noProof/>
              </w:rPr>
              <w:t>malých a středních podniků</w:t>
            </w:r>
          </w:p>
        </w:tc>
        <w:tc>
          <w:tcPr>
            <w:tcW w:w="982" w:type="dxa"/>
            <w:shd w:val="clear" w:color="auto" w:fill="C6EFCE"/>
            <w:noWrap/>
          </w:tcPr>
          <w:p w14:paraId="3608F234" w14:textId="77777777" w:rsidR="00515398" w:rsidRDefault="006711E6">
            <w:pPr>
              <w:pStyle w:val="P68B1DB1-Normal10"/>
              <w:spacing w:after="0" w:line="240" w:lineRule="auto"/>
              <w:rPr>
                <w:rFonts w:eastAsia="Times New Roman" w:cs="Calibri"/>
                <w:noProof/>
              </w:rPr>
            </w:pPr>
            <w:r>
              <w:rPr>
                <w:noProof/>
              </w:rPr>
              <w:t>Milník</w:t>
            </w:r>
          </w:p>
        </w:tc>
        <w:tc>
          <w:tcPr>
            <w:tcW w:w="1324" w:type="dxa"/>
            <w:shd w:val="clear" w:color="auto" w:fill="C6EFCE"/>
            <w:noWrap/>
          </w:tcPr>
          <w:p w14:paraId="4DCA11FC" w14:textId="0A604967" w:rsidR="00515398" w:rsidRDefault="006711E6">
            <w:pPr>
              <w:pStyle w:val="P68B1DB1-Normal10"/>
              <w:spacing w:after="0"/>
              <w:jc w:val="both"/>
              <w:rPr>
                <w:rFonts w:cs="Calibri"/>
                <w:noProof/>
              </w:rPr>
            </w:pPr>
            <w:r>
              <w:rPr>
                <w:noProof/>
              </w:rPr>
              <w:t xml:space="preserve">Digitální transformace malých a středních podniků – </w:t>
            </w:r>
            <w:r>
              <w:rPr>
                <w:rFonts w:asciiTheme="minorHAnsi" w:eastAsiaTheme="minorEastAsia" w:hAnsiTheme="minorHAnsi" w:cstheme="minorBidi"/>
                <w:noProof/>
              </w:rPr>
              <w:t xml:space="preserve"> zavádění digitálních produktů a zřízení centra pro malé a střední podniky Gaia-X</w:t>
            </w:r>
          </w:p>
          <w:p w14:paraId="21ADED94" w14:textId="1E1132E6" w:rsidR="00515398" w:rsidRDefault="00515398">
            <w:pPr>
              <w:spacing w:after="0" w:line="240" w:lineRule="auto"/>
              <w:rPr>
                <w:noProof/>
                <w:color w:val="006100"/>
                <w:sz w:val="18"/>
                <w:szCs w:val="18"/>
              </w:rPr>
            </w:pPr>
          </w:p>
        </w:tc>
        <w:tc>
          <w:tcPr>
            <w:tcW w:w="1393" w:type="dxa"/>
            <w:shd w:val="clear" w:color="auto" w:fill="C6EFCE"/>
            <w:noWrap/>
          </w:tcPr>
          <w:p w14:paraId="24BC6C28" w14:textId="4A42D408" w:rsidR="00515398" w:rsidRDefault="006711E6">
            <w:pPr>
              <w:pStyle w:val="P68B1DB1-Normal10"/>
              <w:spacing w:after="0" w:line="240" w:lineRule="auto"/>
              <w:rPr>
                <w:noProof/>
              </w:rPr>
            </w:pPr>
            <w:r>
              <w:rPr>
                <w:noProof/>
              </w:rPr>
              <w:t xml:space="preserve">Dokončení nejméně 283 investičních plánů pro zavádění digitálních produktů zaměřených </w:t>
            </w:r>
            <w:r>
              <w:rPr>
                <w:noProof/>
              </w:rPr>
              <w:t>mimo jiné na cloudový software a služby se schopností zavádět cloudové infrastruktury v rámci projektu „Průmyslové datové platformy“ a zřízení řeckého centra Gaia-X pro malé a střední podniky (dílčí projekt 2)</w:t>
            </w:r>
          </w:p>
        </w:tc>
        <w:tc>
          <w:tcPr>
            <w:tcW w:w="950" w:type="dxa"/>
            <w:shd w:val="clear" w:color="auto" w:fill="C6EFCE"/>
            <w:noWrap/>
          </w:tcPr>
          <w:p w14:paraId="619C149D" w14:textId="17DB627A" w:rsidR="00515398" w:rsidRDefault="00515398">
            <w:pPr>
              <w:spacing w:line="240" w:lineRule="auto"/>
              <w:rPr>
                <w:rFonts w:eastAsia="Times New Roman" w:cs="Calibri"/>
                <w:noProof/>
                <w:color w:val="006100"/>
                <w:sz w:val="18"/>
                <w:szCs w:val="18"/>
              </w:rPr>
            </w:pPr>
          </w:p>
        </w:tc>
        <w:tc>
          <w:tcPr>
            <w:tcW w:w="958" w:type="dxa"/>
            <w:shd w:val="clear" w:color="auto" w:fill="C6EFCE"/>
            <w:noWrap/>
          </w:tcPr>
          <w:p w14:paraId="6B093097" w14:textId="7AD0F04D" w:rsidR="00515398" w:rsidRDefault="00515398">
            <w:pPr>
              <w:spacing w:line="240" w:lineRule="auto"/>
              <w:rPr>
                <w:rFonts w:eastAsia="Times New Roman" w:cs="Calibri"/>
                <w:noProof/>
                <w:color w:val="006100"/>
                <w:sz w:val="18"/>
                <w:szCs w:val="18"/>
              </w:rPr>
            </w:pPr>
          </w:p>
        </w:tc>
        <w:tc>
          <w:tcPr>
            <w:tcW w:w="691" w:type="dxa"/>
            <w:shd w:val="clear" w:color="auto" w:fill="C6EFCE"/>
            <w:noWrap/>
          </w:tcPr>
          <w:p w14:paraId="2FD2D0F4" w14:textId="5339F9A0" w:rsidR="00515398" w:rsidRDefault="00515398">
            <w:pPr>
              <w:spacing w:line="240" w:lineRule="auto"/>
              <w:rPr>
                <w:rFonts w:eastAsia="Times New Roman" w:cs="Calibri"/>
                <w:noProof/>
                <w:color w:val="006100"/>
                <w:sz w:val="18"/>
                <w:szCs w:val="18"/>
              </w:rPr>
            </w:pPr>
          </w:p>
        </w:tc>
        <w:tc>
          <w:tcPr>
            <w:tcW w:w="1026" w:type="dxa"/>
            <w:shd w:val="clear" w:color="auto" w:fill="C6EFCE"/>
            <w:noWrap/>
          </w:tcPr>
          <w:p w14:paraId="3D4850EB" w14:textId="412D4581" w:rsidR="00515398" w:rsidRDefault="006711E6">
            <w:pPr>
              <w:pStyle w:val="P68B1DB1-Normal10"/>
              <w:spacing w:line="240" w:lineRule="auto"/>
              <w:rPr>
                <w:noProof/>
              </w:rPr>
            </w:pPr>
            <w:r>
              <w:rPr>
                <w:noProof/>
              </w:rPr>
              <w:t>ČTVRTLETÍ ČTVRT</w:t>
            </w:r>
          </w:p>
        </w:tc>
        <w:tc>
          <w:tcPr>
            <w:tcW w:w="750" w:type="dxa"/>
            <w:shd w:val="clear" w:color="auto" w:fill="C6EFCE"/>
            <w:noWrap/>
          </w:tcPr>
          <w:p w14:paraId="66B2C572" w14:textId="7EDE00EA" w:rsidR="00515398" w:rsidRDefault="006711E6">
            <w:pPr>
              <w:pStyle w:val="P68B1DB1-Normal10"/>
              <w:spacing w:line="240" w:lineRule="auto"/>
              <w:rPr>
                <w:noProof/>
              </w:rPr>
            </w:pPr>
            <w:r>
              <w:rPr>
                <w:noProof/>
              </w:rPr>
              <w:t>2025</w:t>
            </w:r>
          </w:p>
        </w:tc>
        <w:tc>
          <w:tcPr>
            <w:tcW w:w="3622" w:type="dxa"/>
            <w:shd w:val="clear" w:color="auto" w:fill="C6EFCE"/>
            <w:noWrap/>
          </w:tcPr>
          <w:p w14:paraId="34690676" w14:textId="23D9CA3B" w:rsidR="00515398" w:rsidRDefault="006711E6">
            <w:pPr>
              <w:pStyle w:val="P68B1DB1-Normal10"/>
              <w:spacing w:after="0" w:line="240" w:lineRule="auto"/>
              <w:rPr>
                <w:noProof/>
              </w:rPr>
            </w:pPr>
            <w:r>
              <w:rPr>
                <w:noProof/>
              </w:rPr>
              <w:t>Dokončení nejméně 90 %</w:t>
            </w:r>
            <w:r>
              <w:rPr>
                <w:noProof/>
              </w:rPr>
              <w:t>, tj. 283 investičních plánů na zavádění digitálních produktů zaměřených mimo jiné na cloudový software a služby se schopností zavádět cloudové infrastruktury v rámci projektu „Průmyslové datové platformy“ a zřízení řeckého centra Gaia-X pro malé a střední</w:t>
            </w:r>
            <w:r>
              <w:rPr>
                <w:noProof/>
              </w:rPr>
              <w:t xml:space="preserve"> podniky (dílčí projekt 2)</w:t>
            </w:r>
          </w:p>
        </w:tc>
      </w:tr>
      <w:tr w:rsidR="00515398" w14:paraId="37C2BC0C" w14:textId="77777777">
        <w:trPr>
          <w:trHeight w:val="309"/>
          <w:jc w:val="center"/>
        </w:trPr>
        <w:tc>
          <w:tcPr>
            <w:tcW w:w="1237" w:type="dxa"/>
            <w:shd w:val="clear" w:color="auto" w:fill="C6EFCE"/>
            <w:noWrap/>
            <w:hideMark/>
          </w:tcPr>
          <w:p w14:paraId="76850D8C" w14:textId="77777777" w:rsidR="00515398" w:rsidRDefault="006711E6">
            <w:pPr>
              <w:pStyle w:val="P68B1DB1-Normal9"/>
              <w:spacing w:after="0" w:line="240" w:lineRule="auto"/>
              <w:rPr>
                <w:rFonts w:eastAsia="Times New Roman" w:cs="Calibri"/>
                <w:noProof/>
                <w:szCs w:val="18"/>
              </w:rPr>
            </w:pPr>
            <w:r>
              <w:rPr>
                <w:noProof/>
              </w:rPr>
              <w:t>132</w:t>
            </w:r>
          </w:p>
        </w:tc>
        <w:tc>
          <w:tcPr>
            <w:tcW w:w="1774" w:type="dxa"/>
            <w:shd w:val="clear" w:color="auto" w:fill="C6EFCE"/>
            <w:noWrap/>
            <w:hideMark/>
          </w:tcPr>
          <w:p w14:paraId="6965BD93" w14:textId="2AECB5AF" w:rsidR="00515398" w:rsidRDefault="006711E6">
            <w:pPr>
              <w:pStyle w:val="P68B1DB1-Normal9"/>
              <w:spacing w:after="0" w:line="240" w:lineRule="auto"/>
              <w:rPr>
                <w:rFonts w:eastAsia="Times New Roman" w:cs="Calibri"/>
                <w:noProof/>
                <w:szCs w:val="18"/>
              </w:rPr>
            </w:pPr>
            <w:r>
              <w:rPr>
                <w:noProof/>
              </w:rPr>
              <w:t>7–2.3. Digitalizace podniků – 16973_Vytvoření digitálního podnikatelského ekosystému pro usnadnění digitální transformace malých a středních podniků</w:t>
            </w:r>
          </w:p>
        </w:tc>
        <w:tc>
          <w:tcPr>
            <w:tcW w:w="982" w:type="dxa"/>
            <w:shd w:val="clear" w:color="auto" w:fill="C6EFCE"/>
            <w:noWrap/>
            <w:hideMark/>
          </w:tcPr>
          <w:p w14:paraId="7F26AB35" w14:textId="77777777" w:rsidR="00515398" w:rsidRDefault="006711E6">
            <w:pPr>
              <w:pStyle w:val="P68B1DB1-Normal9"/>
              <w:spacing w:after="0" w:line="240" w:lineRule="auto"/>
              <w:rPr>
                <w:rFonts w:eastAsia="Times New Roman" w:cs="Calibri"/>
                <w:noProof/>
                <w:szCs w:val="18"/>
              </w:rPr>
            </w:pPr>
            <w:r>
              <w:rPr>
                <w:noProof/>
              </w:rPr>
              <w:t>Milník</w:t>
            </w:r>
          </w:p>
        </w:tc>
        <w:tc>
          <w:tcPr>
            <w:tcW w:w="1308" w:type="dxa"/>
            <w:shd w:val="clear" w:color="auto" w:fill="C6EFCE"/>
            <w:noWrap/>
            <w:hideMark/>
          </w:tcPr>
          <w:p w14:paraId="0983054C" w14:textId="1A543998" w:rsidR="00515398" w:rsidRDefault="006711E6">
            <w:pPr>
              <w:pStyle w:val="P68B1DB1-Normal9"/>
              <w:spacing w:after="0" w:line="240" w:lineRule="auto"/>
              <w:rPr>
                <w:rFonts w:eastAsia="Times New Roman" w:cs="Calibri"/>
                <w:noProof/>
                <w:szCs w:val="18"/>
              </w:rPr>
            </w:pPr>
            <w:r>
              <w:rPr>
                <w:noProof/>
              </w:rPr>
              <w:t xml:space="preserve">Digitální transformace malých a středních podniků – legislativní </w:t>
            </w:r>
            <w:r>
              <w:rPr>
                <w:noProof/>
              </w:rPr>
              <w:t>reforma na podporu zavádění technologií</w:t>
            </w:r>
          </w:p>
        </w:tc>
        <w:tc>
          <w:tcPr>
            <w:tcW w:w="1376" w:type="dxa"/>
            <w:shd w:val="clear" w:color="auto" w:fill="C6EFCE"/>
            <w:noWrap/>
            <w:hideMark/>
          </w:tcPr>
          <w:p w14:paraId="026EDD99" w14:textId="410F8C8F" w:rsidR="00515398" w:rsidRDefault="006711E6">
            <w:pPr>
              <w:pStyle w:val="P68B1DB1-Normal9"/>
              <w:spacing w:after="0" w:line="240" w:lineRule="auto"/>
              <w:rPr>
                <w:rFonts w:eastAsia="Times New Roman" w:cs="Calibri"/>
                <w:noProof/>
                <w:szCs w:val="18"/>
              </w:rPr>
            </w:pPr>
            <w:r>
              <w:rPr>
                <w:noProof/>
              </w:rPr>
              <w:t xml:space="preserve">Vstup v platnost právních předpisů pro zřízení eMarketplace a továrny na UI „Pharos“. </w:t>
            </w:r>
          </w:p>
        </w:tc>
        <w:tc>
          <w:tcPr>
            <w:tcW w:w="950" w:type="dxa"/>
            <w:shd w:val="clear" w:color="auto" w:fill="C6EFCE"/>
            <w:noWrap/>
          </w:tcPr>
          <w:p w14:paraId="7237F7C4" w14:textId="77777777" w:rsidR="00515398" w:rsidRDefault="00515398">
            <w:pPr>
              <w:spacing w:after="0" w:line="240" w:lineRule="auto"/>
              <w:rPr>
                <w:rFonts w:eastAsia="Times New Roman" w:cs="Calibri"/>
                <w:noProof/>
                <w:color w:val="006100"/>
                <w:sz w:val="18"/>
                <w:szCs w:val="18"/>
              </w:rPr>
            </w:pPr>
          </w:p>
        </w:tc>
        <w:tc>
          <w:tcPr>
            <w:tcW w:w="958" w:type="dxa"/>
            <w:shd w:val="clear" w:color="auto" w:fill="C6EFCE"/>
            <w:noWrap/>
          </w:tcPr>
          <w:p w14:paraId="68291B74" w14:textId="77777777" w:rsidR="00515398" w:rsidRDefault="00515398">
            <w:pPr>
              <w:spacing w:after="0" w:line="240" w:lineRule="auto"/>
              <w:rPr>
                <w:rFonts w:eastAsia="Times New Roman" w:cs="Calibri"/>
                <w:noProof/>
                <w:color w:val="006100"/>
                <w:sz w:val="18"/>
                <w:szCs w:val="18"/>
              </w:rPr>
            </w:pPr>
          </w:p>
        </w:tc>
        <w:tc>
          <w:tcPr>
            <w:tcW w:w="691" w:type="dxa"/>
            <w:shd w:val="clear" w:color="auto" w:fill="C6EFCE"/>
            <w:noWrap/>
          </w:tcPr>
          <w:p w14:paraId="0C0F2EA6" w14:textId="77777777" w:rsidR="00515398" w:rsidRDefault="00515398">
            <w:pPr>
              <w:spacing w:after="0" w:line="240" w:lineRule="auto"/>
              <w:rPr>
                <w:rFonts w:eastAsia="Times New Roman" w:cs="Calibri"/>
                <w:noProof/>
                <w:color w:val="006100"/>
                <w:sz w:val="18"/>
                <w:szCs w:val="18"/>
              </w:rPr>
            </w:pPr>
          </w:p>
        </w:tc>
        <w:tc>
          <w:tcPr>
            <w:tcW w:w="1026" w:type="dxa"/>
            <w:shd w:val="clear" w:color="auto" w:fill="C6EFCE"/>
            <w:noWrap/>
            <w:hideMark/>
          </w:tcPr>
          <w:p w14:paraId="3D7D534C" w14:textId="77777777" w:rsidR="00515398" w:rsidRDefault="006711E6">
            <w:pPr>
              <w:pStyle w:val="P68B1DB1-Normal9"/>
              <w:spacing w:after="0" w:line="240" w:lineRule="auto"/>
              <w:rPr>
                <w:rFonts w:eastAsia="Times New Roman" w:cs="Calibri"/>
                <w:noProof/>
                <w:szCs w:val="18"/>
              </w:rPr>
            </w:pPr>
            <w:r>
              <w:rPr>
                <w:noProof/>
              </w:rPr>
              <w:t>ČTVRTLETÍ</w:t>
            </w:r>
          </w:p>
        </w:tc>
        <w:tc>
          <w:tcPr>
            <w:tcW w:w="750" w:type="dxa"/>
            <w:shd w:val="clear" w:color="auto" w:fill="C6EFCE"/>
            <w:noWrap/>
            <w:hideMark/>
          </w:tcPr>
          <w:p w14:paraId="0BF15EE8" w14:textId="77777777" w:rsidR="00515398" w:rsidRDefault="006711E6">
            <w:pPr>
              <w:pStyle w:val="P68B1DB1-Normal9"/>
              <w:spacing w:after="0" w:line="240" w:lineRule="auto"/>
              <w:rPr>
                <w:rFonts w:eastAsia="Times New Roman" w:cs="Calibri"/>
                <w:noProof/>
                <w:szCs w:val="18"/>
              </w:rPr>
            </w:pPr>
            <w:r>
              <w:rPr>
                <w:noProof/>
              </w:rPr>
              <w:t>2025</w:t>
            </w:r>
          </w:p>
        </w:tc>
        <w:tc>
          <w:tcPr>
            <w:tcW w:w="3622" w:type="dxa"/>
            <w:shd w:val="clear" w:color="auto" w:fill="C6EFCE"/>
            <w:noWrap/>
            <w:hideMark/>
          </w:tcPr>
          <w:p w14:paraId="45D2AB05" w14:textId="79EDE80A" w:rsidR="00515398" w:rsidRDefault="006711E6">
            <w:pPr>
              <w:pStyle w:val="P68B1DB1-Normal10"/>
              <w:spacing w:after="0" w:line="240" w:lineRule="auto"/>
              <w:rPr>
                <w:rFonts w:eastAsia="Times New Roman" w:cs="Calibri"/>
                <w:noProof/>
              </w:rPr>
            </w:pPr>
            <w:r>
              <w:rPr>
                <w:noProof/>
              </w:rPr>
              <w:t xml:space="preserve">Určit a provést opatření pro vytvoření digitálního podnikatelského ekosystému, který podporuje digitální </w:t>
            </w:r>
            <w:r>
              <w:rPr>
                <w:noProof/>
              </w:rPr>
              <w:t>transformaci malých a středních podniků, prostřednictvím vstupu v platnost regulačního rámce pro a) zřízení elektronického trhu pro financování dodávek a zavádění digitálních nástrojů a procesů a b) zřízení právního subjektu pro správu umělé inteligence Ph</w:t>
            </w:r>
            <w:r>
              <w:rPr>
                <w:noProof/>
              </w:rPr>
              <w:t xml:space="preserve">aros a pro správu údajů poskytovaných subjekty veřejného sektoru s cílem usnadnit jejich využívání malými a středními podniky.  </w:t>
            </w:r>
          </w:p>
          <w:p w14:paraId="3DF7B642" w14:textId="77777777" w:rsidR="00515398" w:rsidRDefault="00515398">
            <w:pPr>
              <w:spacing w:after="0" w:line="240" w:lineRule="auto"/>
              <w:rPr>
                <w:rFonts w:eastAsia="Times New Roman" w:cs="Calibri"/>
                <w:noProof/>
                <w:color w:val="006100"/>
                <w:sz w:val="18"/>
                <w:szCs w:val="18"/>
              </w:rPr>
            </w:pPr>
          </w:p>
          <w:p w14:paraId="3D351065" w14:textId="2267A2B8" w:rsidR="00515398" w:rsidRDefault="00515398">
            <w:pPr>
              <w:spacing w:after="0" w:line="240" w:lineRule="auto"/>
              <w:rPr>
                <w:rFonts w:eastAsia="Times New Roman" w:cs="Calibri"/>
                <w:noProof/>
                <w:color w:val="006100"/>
                <w:sz w:val="18"/>
                <w:szCs w:val="18"/>
              </w:rPr>
            </w:pPr>
          </w:p>
        </w:tc>
      </w:tr>
    </w:tbl>
    <w:p w14:paraId="697C8421" w14:textId="77777777" w:rsidR="00515398" w:rsidRDefault="00515398">
      <w:pPr>
        <w:spacing w:before="120" w:after="120" w:line="240" w:lineRule="auto"/>
        <w:jc w:val="both"/>
        <w:outlineLvl w:val="3"/>
        <w:rPr>
          <w:rFonts w:ascii="Times New Roman" w:hAnsi="Times New Roman" w:cs="Times New Roman"/>
          <w:b/>
          <w:bCs/>
          <w:noProof/>
          <w:sz w:val="24"/>
        </w:rPr>
        <w:sectPr w:rsidR="00515398" w:rsidSect="00271D33">
          <w:headerReference w:type="even" r:id="rId127"/>
          <w:headerReference w:type="default" r:id="rId128"/>
          <w:footerReference w:type="even" r:id="rId129"/>
          <w:footerReference w:type="default" r:id="rId130"/>
          <w:headerReference w:type="first" r:id="rId131"/>
          <w:footerReference w:type="first" r:id="rId132"/>
          <w:pgSz w:w="16839" w:h="11907" w:orient="landscape"/>
          <w:pgMar w:top="1417" w:right="1134" w:bottom="1417" w:left="1134" w:header="709" w:footer="359" w:gutter="0"/>
          <w:cols w:space="720"/>
          <w:docGrid w:linePitch="360"/>
        </w:sectPr>
      </w:pPr>
    </w:p>
    <w:p w14:paraId="54AEAF23" w14:textId="7CDA2F60" w:rsidR="00515398" w:rsidRDefault="006711E6">
      <w:pPr>
        <w:pStyle w:val="P68B1DB1-Normal2"/>
        <w:spacing w:before="120" w:after="120" w:line="240" w:lineRule="auto"/>
        <w:ind w:firstLine="6"/>
        <w:jc w:val="both"/>
        <w:outlineLvl w:val="3"/>
        <w:rPr>
          <w:noProof/>
        </w:rPr>
      </w:pPr>
      <w:r>
        <w:rPr>
          <w:noProof/>
        </w:rPr>
        <w:t xml:space="preserve">H. SLOŽKA 3.1: PODPOROVAT VYTVÁŘENÍ PRACOVNÍCH MÍST A ÚČAST NA </w:t>
      </w:r>
      <w:r>
        <w:rPr>
          <w:noProof/>
        </w:rPr>
        <w:t>TRHU PRÁCE</w:t>
      </w:r>
    </w:p>
    <w:p w14:paraId="4C81C45B" w14:textId="77777777" w:rsidR="00515398" w:rsidRDefault="006711E6">
      <w:pPr>
        <w:pStyle w:val="P68B1DB1-Normal11"/>
        <w:spacing w:before="120" w:after="120" w:line="240" w:lineRule="auto"/>
        <w:jc w:val="both"/>
        <w:rPr>
          <w:rFonts w:ascii="Times New Roman" w:hAnsi="Times New Roman" w:cs="Times New Roman"/>
          <w:noProof/>
          <w:color w:val="000000"/>
          <w:szCs w:val="24"/>
          <w:shd w:val="clear" w:color="auto" w:fill="FFFFFF"/>
        </w:rPr>
      </w:pPr>
      <w:r>
        <w:rPr>
          <w:rFonts w:ascii="Times New Roman" w:hAnsi="Times New Roman"/>
          <w:noProof/>
          <w:color w:val="000000"/>
          <w:shd w:val="clear" w:color="auto" w:fill="FFFFFF"/>
        </w:rPr>
        <w:t xml:space="preserve">Tato složka </w:t>
      </w:r>
      <w:r>
        <w:rPr>
          <w:rFonts w:ascii="Times New Roman" w:hAnsi="Times New Roman"/>
          <w:noProof/>
          <w:color w:val="000000"/>
        </w:rPr>
        <w:t>řeckého plánu pro oživení a odolnost</w:t>
      </w:r>
      <w:r>
        <w:rPr>
          <w:rFonts w:ascii="Times New Roman" w:hAnsi="Times New Roman"/>
          <w:noProof/>
        </w:rPr>
        <w:t xml:space="preserve"> </w:t>
      </w:r>
      <w:r>
        <w:rPr>
          <w:rFonts w:ascii="Times New Roman" w:hAnsi="Times New Roman"/>
          <w:noProof/>
          <w:color w:val="000000"/>
          <w:shd w:val="clear" w:color="auto" w:fill="FFFFFF"/>
        </w:rPr>
        <w:t xml:space="preserve">zahrnuje opatření, jejichž cílem je přepracovat a posílit aktivní politiky na trhu práce, zlepšit účinnost veřejných služeb zaměstnanosti a poskytnout účinnou záchrannou síť proti nezaměstnanosti </w:t>
      </w:r>
      <w:r>
        <w:rPr>
          <w:rFonts w:ascii="Times New Roman" w:hAnsi="Times New Roman"/>
          <w:noProof/>
          <w:color w:val="000000"/>
          <w:shd w:val="clear" w:color="auto" w:fill="FFFFFF"/>
        </w:rPr>
        <w:t>a zároveň posílit pobídky pro opětovný vstup na trh práce.</w:t>
      </w:r>
      <w:r>
        <w:rPr>
          <w:rFonts w:ascii="Times New Roman" w:hAnsi="Times New Roman"/>
          <w:b/>
          <w:noProof/>
          <w:color w:val="000000"/>
          <w:shd w:val="clear" w:color="auto" w:fill="FFFFFF"/>
        </w:rPr>
        <w:t xml:space="preserve"> </w:t>
      </w:r>
      <w:r>
        <w:rPr>
          <w:rFonts w:ascii="Times New Roman" w:hAnsi="Times New Roman"/>
          <w:noProof/>
          <w:color w:val="000000"/>
          <w:shd w:val="clear" w:color="auto" w:fill="FFFFFF"/>
        </w:rPr>
        <w:t xml:space="preserve">Většina dílčích opatření se zaměřuje na aktivní politiky na trhu práce, </w:t>
      </w:r>
      <w:r>
        <w:rPr>
          <w:rFonts w:ascii="Times New Roman" w:hAnsi="Times New Roman"/>
          <w:noProof/>
        </w:rPr>
        <w:t xml:space="preserve">včetně aktivačních programů, které dotují zaměstnanost v soukromém sektoru a podporují prohlubování dovedností a změnu </w:t>
      </w:r>
      <w:r>
        <w:rPr>
          <w:rFonts w:ascii="Times New Roman" w:hAnsi="Times New Roman"/>
          <w:noProof/>
        </w:rPr>
        <w:t>kvalifikace pracovní síly, jakož i na investice do posílení kapacity veřejných služeb zaměstnanosti (OAED do 18. dubna 2022, DYPA poté) prostřednictvím posílených služeb digitalizace a poradenství.</w:t>
      </w:r>
      <w:r>
        <w:rPr>
          <w:rFonts w:ascii="Times New Roman" w:hAnsi="Times New Roman"/>
          <w:noProof/>
          <w:color w:val="000000"/>
          <w:shd w:val="clear" w:color="auto" w:fill="FFFFFF"/>
        </w:rPr>
        <w:t xml:space="preserve"> V rámci reformy pasivních politik na trhu práce </w:t>
      </w:r>
      <w:r>
        <w:rPr>
          <w:rFonts w:ascii="Times New Roman" w:hAnsi="Times New Roman"/>
          <w:noProof/>
        </w:rPr>
        <w:t>je cílem p</w:t>
      </w:r>
      <w:r>
        <w:rPr>
          <w:rFonts w:ascii="Times New Roman" w:hAnsi="Times New Roman"/>
          <w:noProof/>
        </w:rPr>
        <w:t>lánu zlepšit pokrytí a rozdělení dávek v nezaměstnanosti, posílit záchrannou sociální síť, podpořit účast na trhu práce, a to i mezi zranitelnými skupinami, a zlepšit účinnost a účelnost systému sociální ochrany.</w:t>
      </w:r>
      <w:r>
        <w:rPr>
          <w:rFonts w:ascii="Times New Roman" w:hAnsi="Times New Roman"/>
          <w:noProof/>
          <w:color w:val="000000"/>
          <w:shd w:val="clear" w:color="auto" w:fill="FFFFFF"/>
        </w:rPr>
        <w:t xml:space="preserve"> Složka je v souladu s doporučeními pro jedn</w:t>
      </w:r>
      <w:r>
        <w:rPr>
          <w:rFonts w:ascii="Times New Roman" w:hAnsi="Times New Roman"/>
          <w:noProof/>
          <w:color w:val="000000"/>
          <w:shd w:val="clear" w:color="auto" w:fill="FFFFFF"/>
        </w:rPr>
        <w:t>otlivé země s cílem zajistit účinnou podporu pro aktivaci trhu práce, investovat do dovedností a zaměstnatelnosti a zlepšit digitalizaci veřejné správy (doporučení pro jednotlivé země č. 2 a 3</w:t>
      </w:r>
      <w:r>
        <w:rPr>
          <w:rFonts w:ascii="16747" w:hAnsi="16747"/>
          <w:noProof/>
          <w:color w:val="000000"/>
          <w:shd w:val="clear" w:color="auto" w:fill="FFFFFF"/>
        </w:rPr>
        <w:t>2020</w:t>
      </w:r>
      <w:r>
        <w:rPr>
          <w:rFonts w:ascii="Times New Roman" w:hAnsi="Times New Roman"/>
          <w:noProof/>
        </w:rPr>
        <w:t>a</w:t>
      </w:r>
      <w:r>
        <w:rPr>
          <w:rFonts w:ascii="Times New Roman" w:hAnsi="Times New Roman"/>
          <w:noProof/>
          <w:color w:val="000000"/>
          <w:shd w:val="clear" w:color="auto" w:fill="FFFFFF"/>
        </w:rPr>
        <w:t xml:space="preserve"> doporučení pro jednotlivé země č. 2 z roku 2019). Kromě to</w:t>
      </w:r>
      <w:r>
        <w:rPr>
          <w:rFonts w:ascii="Times New Roman" w:hAnsi="Times New Roman"/>
          <w:noProof/>
          <w:color w:val="000000"/>
          <w:shd w:val="clear" w:color="auto" w:fill="FFFFFF"/>
        </w:rPr>
        <w:t xml:space="preserve">ho tato složka, která se zaměřuje mimo jiné na podporu dovedností a zaměstnanosti v digitálním a zeleném odvětví, podporuje digitální a ekologickou transformaci. </w:t>
      </w:r>
      <w:r>
        <w:rPr>
          <w:rFonts w:ascii="Times New Roman" w:hAnsi="Times New Roman"/>
          <w:noProof/>
        </w:rPr>
        <w:t>Očekává se, že žádné opatření v této složce významně nepoškozuje environmentální cíle ve smysl</w:t>
      </w:r>
      <w:r>
        <w:rPr>
          <w:rFonts w:ascii="Times New Roman" w:hAnsi="Times New Roman"/>
          <w:noProof/>
        </w:rPr>
        <w:t xml:space="preserve">u článku 17 nařízení (EU) 2020/852, s přihlédnutím k popisu opatření a zmírňujícím krokům stanoveným v plánu pro oživení a odolnost v souladu s technickými pokyny „významně nepoškozovat“ (2021/C58/01). </w:t>
      </w:r>
    </w:p>
    <w:p w14:paraId="2956AD74" w14:textId="77777777" w:rsidR="00515398" w:rsidRDefault="006711E6">
      <w:pPr>
        <w:pStyle w:val="P68B1DB1-Normal25"/>
        <w:spacing w:before="120" w:after="120" w:line="240" w:lineRule="auto"/>
        <w:jc w:val="both"/>
        <w:rPr>
          <w:rFonts w:cs="Times New Roman"/>
          <w:bCs/>
          <w:i/>
          <w:iCs/>
          <w:noProof/>
          <w:color w:val="4F81BD"/>
        </w:rPr>
      </w:pPr>
      <w:r>
        <w:rPr>
          <w:noProof/>
        </w:rPr>
        <w:t xml:space="preserve">H.1. Popis reforem a investic pro nevratnou finanční </w:t>
      </w:r>
      <w:r>
        <w:rPr>
          <w:noProof/>
        </w:rPr>
        <w:t>podporu</w:t>
      </w:r>
    </w:p>
    <w:p w14:paraId="7D48FF2C" w14:textId="77777777" w:rsidR="00515398" w:rsidRDefault="006711E6">
      <w:pPr>
        <w:pStyle w:val="P68B1DB1-Normal4"/>
        <w:spacing w:before="120" w:after="120" w:line="240" w:lineRule="auto"/>
        <w:jc w:val="both"/>
        <w:rPr>
          <w:rFonts w:cs="Times New Roman"/>
          <w:noProof/>
        </w:rPr>
      </w:pPr>
      <w:r>
        <w:rPr>
          <w:b/>
          <w:noProof/>
        </w:rPr>
        <w:t xml:space="preserve">Reforma: </w:t>
      </w:r>
      <w:r>
        <w:rPr>
          <w:noProof/>
        </w:rPr>
        <w:t>Modernizace a zjednodušení pracovního práva (ID opatření: 16744)</w:t>
      </w:r>
    </w:p>
    <w:p w14:paraId="7472387D" w14:textId="77777777" w:rsidR="00515398" w:rsidRDefault="006711E6">
      <w:pPr>
        <w:pStyle w:val="P68B1DB1-Normal4"/>
        <w:spacing w:before="120" w:after="120" w:line="240" w:lineRule="auto"/>
        <w:jc w:val="both"/>
        <w:rPr>
          <w:rFonts w:cs="Times New Roman"/>
          <w:noProof/>
        </w:rPr>
      </w:pPr>
      <w:r>
        <w:rPr>
          <w:noProof/>
        </w:rPr>
        <w:t>Reforma zahrnuje vstup v platnost komplexního pracovního práva, které zefektivňuje klíčové aspekty trhu práce s cílem zlepšit jeho fungování. Reforma se zaměří zejména na mod</w:t>
      </w:r>
      <w:r>
        <w:rPr>
          <w:noProof/>
        </w:rPr>
        <w:t>ernizaci a) zákona o individuální práci, b) zákona o kolektivní práci a odborového práva, c) informačního systému ERGANI ministerstva práce, který se používá ke sledování trhu práce a odhalování nehlášené a nedostatečně hlášené práce, a d) rámce pro rovnov</w:t>
      </w:r>
      <w:r>
        <w:rPr>
          <w:noProof/>
        </w:rPr>
        <w:t>áhu mezi pracovním a soukromým životem. Zastřešujícími cíli reformy jsou zvýšení tvorby pracovních míst a konkurenceschopnosti, boj proti nehlášené a nedostatečně hlášené práci, zlepšení rovnováhy mezi pracovním a soukromým životem a překlenutí rozdílů v z</w:t>
      </w:r>
      <w:r>
        <w:rPr>
          <w:noProof/>
        </w:rPr>
        <w:t>aměstnanosti žen a mužů. Provádění reformy bude dokončeno do 30. září 2021</w:t>
      </w:r>
      <w:r>
        <w:rPr>
          <w:i/>
          <w:noProof/>
        </w:rPr>
        <w:t>.</w:t>
      </w:r>
    </w:p>
    <w:p w14:paraId="5CEDF6D7"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systémů práce (ID opatření: 16750)</w:t>
      </w:r>
    </w:p>
    <w:p w14:paraId="30237172" w14:textId="336B9B5B" w:rsidR="00515398" w:rsidRDefault="006711E6">
      <w:pPr>
        <w:pStyle w:val="P68B1DB1-Normal4"/>
        <w:spacing w:before="120" w:after="120" w:line="240" w:lineRule="auto"/>
        <w:jc w:val="both"/>
        <w:rPr>
          <w:rFonts w:cs="Times New Roman"/>
          <w:noProof/>
          <w:szCs w:val="24"/>
        </w:rPr>
      </w:pPr>
      <w:r>
        <w:rPr>
          <w:noProof/>
        </w:rPr>
        <w:t>Investice se zaměřuje na modernizaci schopnosti veřejné správy nabízet zaměstnancům a zaměstnavatelům lepší a r</w:t>
      </w:r>
      <w:r>
        <w:rPr>
          <w:noProof/>
        </w:rPr>
        <w:t>ychlejší služby s cílem omezit byrokracii, zlepšit účinnost mechanismů monitorování trhu práce, omezit nehlášenou a nehlášenou práci a získat včasné a přesné údaje. Investice spočívá zejména v modernizaci digitální infrastruktury jednotného fondu sociálníh</w:t>
      </w:r>
      <w:r>
        <w:rPr>
          <w:noProof/>
        </w:rPr>
        <w:t>o zabezpečení (e-EFKA), včetně systému Digital Pension Award (ATLAS), a propojení rozdílných informačních systémů (ERGANI, EFKA a SEPE) v rámci jednotného systému (ARIADNE). V neposlední řadě investice zahrnuje zřízení integrovaného informačního systému pr</w:t>
      </w:r>
      <w:r>
        <w:rPr>
          <w:noProof/>
        </w:rPr>
        <w:t>o otázky bezpečnosti a ochrany zdraví při práci (HERIDANOS). Investice musí být provedena do 31. prosince 2025.</w:t>
      </w:r>
    </w:p>
    <w:p w14:paraId="1A0F0599" w14:textId="77777777" w:rsidR="00515398" w:rsidRDefault="006711E6">
      <w:pPr>
        <w:pStyle w:val="P68B1DB1-Normal4"/>
        <w:rPr>
          <w:b/>
          <w:noProof/>
        </w:rPr>
      </w:pPr>
      <w:r>
        <w:rPr>
          <w:noProof/>
        </w:rPr>
        <w:br w:type="page"/>
      </w:r>
    </w:p>
    <w:p w14:paraId="5AC3E600" w14:textId="68FF027B" w:rsidR="00515398" w:rsidRDefault="006711E6">
      <w:pPr>
        <w:pStyle w:val="P68B1DB1-Normal4"/>
        <w:spacing w:before="120" w:after="120" w:line="240" w:lineRule="auto"/>
        <w:jc w:val="both"/>
        <w:rPr>
          <w:rFonts w:cs="Times New Roman"/>
          <w:noProof/>
        </w:rPr>
      </w:pPr>
      <w:r>
        <w:rPr>
          <w:b/>
          <w:noProof/>
        </w:rPr>
        <w:t>Reforma:</w:t>
      </w:r>
      <w:r>
        <w:rPr>
          <w:noProof/>
        </w:rPr>
        <w:t xml:space="preserve"> Reforma aktivních politik na trhu práce (ID opatření: 16747)</w:t>
      </w:r>
    </w:p>
    <w:p w14:paraId="285B61B2" w14:textId="45057583" w:rsidR="00515398" w:rsidRDefault="006711E6">
      <w:pPr>
        <w:pStyle w:val="P68B1DB1-Normal5"/>
        <w:spacing w:before="120" w:after="120" w:line="240" w:lineRule="auto"/>
        <w:jc w:val="both"/>
        <w:rPr>
          <w:rFonts w:cs="Times New Roman"/>
          <w:noProof/>
        </w:rPr>
      </w:pPr>
      <w:r>
        <w:rPr>
          <w:noProof/>
        </w:rPr>
        <w:t>Cílem reformy aktivních politik na trhu práce je maximalizovat jejich úč</w:t>
      </w:r>
      <w:r>
        <w:rPr>
          <w:noProof/>
        </w:rPr>
        <w:t>innost prostřednictvím přepracování a posílení programů subvencování mzdových nákladů a postupného přechodu na nový model provádění aktivních politik na trhu práce. Reforma je spojena s významnými investicemi. Patří mezi ně zejména a</w:t>
      </w:r>
      <w:r>
        <w:rPr>
          <w:noProof/>
          <w:color w:val="000000"/>
          <w:shd w:val="clear" w:color="auto" w:fill="FFFFFF"/>
        </w:rPr>
        <w:t>) pět cílených krátkodo</w:t>
      </w:r>
      <w:r>
        <w:rPr>
          <w:noProof/>
          <w:color w:val="000000"/>
          <w:shd w:val="clear" w:color="auto" w:fill="FFFFFF"/>
        </w:rPr>
        <w:t xml:space="preserve">bých programů, které dotují zaměstnanost v soukromém sektoru pro 41500 nezaměstnaných osob (včetně programu kombinujícího odbornou přípravu a podporu zaměstnanosti), b) zavedení </w:t>
      </w:r>
      <w:r>
        <w:rPr>
          <w:noProof/>
          <w:color w:val="000000" w:themeColor="text1"/>
        </w:rPr>
        <w:t xml:space="preserve"> </w:t>
      </w:r>
      <w:r>
        <w:rPr>
          <w:noProof/>
          <w:color w:val="000000"/>
          <w:shd w:val="clear" w:color="auto" w:fill="FFFFFF"/>
        </w:rPr>
        <w:t>nového pilotního modelu otevřeného rámce pro aktivní politiky na trhu práce (</w:t>
      </w:r>
      <w:r>
        <w:rPr>
          <w:noProof/>
          <w:color w:val="000000"/>
          <w:shd w:val="clear" w:color="auto" w:fill="FFFFFF"/>
        </w:rPr>
        <w:t xml:space="preserve">přičemž 8000 účastníkům </w:t>
      </w:r>
      <w:r>
        <w:rPr>
          <w:noProof/>
          <w:color w:val="000000" w:themeColor="text1"/>
        </w:rPr>
        <w:t xml:space="preserve"> </w:t>
      </w:r>
      <w:r>
        <w:rPr>
          <w:noProof/>
          <w:color w:val="000000"/>
          <w:shd w:val="clear" w:color="auto" w:fill="FFFFFF"/>
        </w:rPr>
        <w:t>budou nabídnuty programy odborné přípravy, 7000 účastníkům</w:t>
      </w:r>
      <w:r>
        <w:rPr>
          <w:noProof/>
          <w:color w:val="000000" w:themeColor="text1"/>
        </w:rPr>
        <w:t xml:space="preserve"> </w:t>
      </w:r>
      <w:r>
        <w:rPr>
          <w:noProof/>
          <w:color w:val="000000"/>
          <w:shd w:val="clear" w:color="auto" w:fill="FFFFFF"/>
        </w:rPr>
        <w:t xml:space="preserve">budou </w:t>
      </w:r>
      <w:r>
        <w:rPr>
          <w:noProof/>
          <w:color w:val="000000" w:themeColor="text1"/>
        </w:rPr>
        <w:t xml:space="preserve">nabídnuty dotace na zaměstnanost </w:t>
      </w:r>
      <w:r>
        <w:rPr>
          <w:noProof/>
          <w:color w:val="000000"/>
          <w:shd w:val="clear" w:color="auto" w:fill="FFFFFF"/>
        </w:rPr>
        <w:t xml:space="preserve">a 850 účastníkům </w:t>
      </w:r>
      <w:r>
        <w:rPr>
          <w:noProof/>
          <w:color w:val="000000" w:themeColor="text1"/>
        </w:rPr>
        <w:t>budou nabídnuty dotace na podnikání</w:t>
      </w:r>
      <w:r>
        <w:rPr>
          <w:noProof/>
          <w:color w:val="000000"/>
          <w:shd w:val="clear" w:color="auto" w:fill="FFFFFF"/>
        </w:rPr>
        <w:t xml:space="preserve">), c) dočasné posílení poradenských pracovníků veřejné služby zaměstnanosti (600 </w:t>
      </w:r>
      <w:r>
        <w:rPr>
          <w:noProof/>
          <w:color w:val="000000"/>
          <w:shd w:val="clear" w:color="auto" w:fill="FFFFFF"/>
        </w:rPr>
        <w:t xml:space="preserve">dalších poradců na 4 roky) a d) odborná příprava poradenských pracovníků. </w:t>
      </w:r>
      <w:r>
        <w:rPr>
          <w:noProof/>
        </w:rPr>
        <w:t>Vyhrazená část přidělených grantů přispívá k zeleným dovednostem a pracovním místům v zelené ekonomice. Provádění reformy a investic se dokončí do 31. prosince 2025.</w:t>
      </w:r>
    </w:p>
    <w:p w14:paraId="54BFBF62"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Reforma</w:t>
      </w:r>
      <w:r>
        <w:rPr>
          <w:noProof/>
        </w:rPr>
        <w:t xml:space="preserve"> pasivních politik na trhu práce na podporu přechodu k zaměstnání (opatření ID: 16746)</w:t>
      </w:r>
    </w:p>
    <w:p w14:paraId="5B1DE4A6" w14:textId="1200C07D" w:rsidR="00515398" w:rsidRDefault="006711E6">
      <w:pPr>
        <w:pStyle w:val="P68B1DB1-Normal4"/>
        <w:spacing w:before="120" w:after="120" w:line="240" w:lineRule="auto"/>
        <w:jc w:val="both"/>
        <w:rPr>
          <w:rFonts w:cs="Times New Roman"/>
          <w:noProof/>
          <w:szCs w:val="24"/>
        </w:rPr>
      </w:pPr>
      <w:r>
        <w:rPr>
          <w:noProof/>
          <w:szCs w:val="24"/>
        </w:rPr>
        <w:t xml:space="preserve">Reforma </w:t>
      </w:r>
      <w:r>
        <w:rPr>
          <w:noProof/>
          <w:color w:val="000000"/>
          <w:szCs w:val="24"/>
          <w:shd w:val="clear" w:color="auto" w:fill="FFFFFF"/>
        </w:rPr>
        <w:t xml:space="preserve">zahrnuje </w:t>
      </w:r>
      <w:r>
        <w:rPr>
          <w:noProof/>
          <w:color w:val="000000" w:themeColor="text1"/>
          <w:szCs w:val="24"/>
        </w:rPr>
        <w:t>jeden</w:t>
      </w:r>
      <w:r>
        <w:rPr>
          <w:noProof/>
          <w:color w:val="000000"/>
          <w:szCs w:val="24"/>
          <w:shd w:val="clear" w:color="auto" w:fill="FFFFFF"/>
        </w:rPr>
        <w:t xml:space="preserve"> pilotní projekt reformy systému pojištění pro případ nezaměstnanosti. Projekt testuje dopady indexace </w:t>
      </w:r>
      <w:r>
        <w:rPr>
          <w:noProof/>
          <w:color w:val="000000" w:themeColor="text1"/>
          <w:szCs w:val="24"/>
        </w:rPr>
        <w:t xml:space="preserve">kombinovaných </w:t>
      </w:r>
      <w:r>
        <w:rPr>
          <w:noProof/>
          <w:color w:val="000000"/>
          <w:szCs w:val="24"/>
          <w:shd w:val="clear" w:color="auto" w:fill="FFFFFF"/>
        </w:rPr>
        <w:t>dávek v</w:t>
      </w:r>
      <w:r>
        <w:rPr>
          <w:noProof/>
          <w:color w:val="000000" w:themeColor="text1"/>
        </w:rPr>
        <w:t xml:space="preserve"> nezaměstnanosti</w:t>
      </w:r>
      <w:r>
        <w:rPr>
          <w:noProof/>
          <w:color w:val="000000" w:themeColor="text1"/>
          <w:szCs w:val="24"/>
        </w:rPr>
        <w:t xml:space="preserve">na trh </w:t>
      </w:r>
      <w:r>
        <w:rPr>
          <w:noProof/>
          <w:color w:val="000000" w:themeColor="text1"/>
          <w:szCs w:val="24"/>
        </w:rPr>
        <w:t>práce</w:t>
      </w:r>
      <w:r>
        <w:rPr>
          <w:noProof/>
          <w:color w:val="000000"/>
          <w:szCs w:val="24"/>
          <w:shd w:val="clear" w:color="auto" w:fill="FFFFFF"/>
        </w:rPr>
        <w:t xml:space="preserve"> na poslední </w:t>
      </w:r>
      <w:r>
        <w:rPr>
          <w:noProof/>
          <w:color w:val="000000" w:themeColor="text1"/>
          <w:szCs w:val="24"/>
        </w:rPr>
        <w:t xml:space="preserve">úroveň </w:t>
      </w:r>
      <w:r>
        <w:rPr>
          <w:noProof/>
          <w:color w:val="000000"/>
          <w:szCs w:val="24"/>
          <w:shd w:val="clear" w:color="auto" w:fill="FFFFFF"/>
        </w:rPr>
        <w:t>čisté denní mzdy. Plán navíc zahrnuje reformy s nulovými náklady, jejichž cílem je a) dále zlepšit rámec vzájemných povinností, které v současné době platí mezi veřejnými službami zaměstnanosti a uchazeči o zaměstnání, b) konsolido</w:t>
      </w:r>
      <w:r>
        <w:rPr>
          <w:noProof/>
          <w:color w:val="000000"/>
          <w:szCs w:val="24"/>
          <w:shd w:val="clear" w:color="auto" w:fill="FFFFFF"/>
        </w:rPr>
        <w:t>vat a zefektivnit dávky v nezaměstnanosti a příspěvky s cílem zlepšit efektivitu veřejných výdajů a c) odstranit překážky pro prohlubování dovedností a změnu kvalifikace nezaměstnaných tím, že si během účasti na odborné přípravě zachová jejich nárok na dáv</w:t>
      </w:r>
      <w:r>
        <w:rPr>
          <w:noProof/>
          <w:color w:val="000000"/>
          <w:szCs w:val="24"/>
          <w:shd w:val="clear" w:color="auto" w:fill="FFFFFF"/>
        </w:rPr>
        <w:t>ky v nezaměstnanosti.</w:t>
      </w:r>
      <w:r>
        <w:rPr>
          <w:noProof/>
          <w:szCs w:val="24"/>
        </w:rPr>
        <w:t xml:space="preserve"> Provádění reformy se dokončí do 31. prosince 2025.</w:t>
      </w:r>
    </w:p>
    <w:p w14:paraId="24D98A2D" w14:textId="7D7A0531" w:rsidR="00515398" w:rsidRDefault="006711E6">
      <w:pPr>
        <w:pStyle w:val="P68B1DB1-Normal4"/>
        <w:spacing w:before="120" w:after="120" w:line="240" w:lineRule="auto"/>
        <w:jc w:val="both"/>
        <w:rPr>
          <w:rFonts w:cs="Times New Roman"/>
          <w:noProof/>
          <w:szCs w:val="24"/>
        </w:rPr>
      </w:pPr>
      <w:r>
        <w:rPr>
          <w:b/>
          <w:noProof/>
        </w:rPr>
        <w:t>Investice:</w:t>
      </w:r>
      <w:r>
        <w:rPr>
          <w:noProof/>
        </w:rPr>
        <w:t xml:space="preserve"> Restrukturalizace a nové označení místních poboček DYPA za účelem podpory zaměstnanosti (KPA2) (ID opatření: 16941)</w:t>
      </w:r>
    </w:p>
    <w:p w14:paraId="489699F8" w14:textId="4D262A80" w:rsidR="00515398" w:rsidRDefault="006711E6">
      <w:pPr>
        <w:spacing w:before="120" w:after="120" w:line="240" w:lineRule="auto"/>
        <w:jc w:val="both"/>
        <w:rPr>
          <w:rFonts w:cs="Calibri"/>
          <w:noProof/>
          <w:color w:val="000000"/>
          <w:shd w:val="clear" w:color="auto" w:fill="FFFFFF"/>
        </w:rPr>
      </w:pPr>
      <w:r>
        <w:rPr>
          <w:rFonts w:ascii="Times New Roman" w:hAnsi="Times New Roman"/>
          <w:noProof/>
          <w:sz w:val="24"/>
        </w:rPr>
        <w:t>Cílem investice je reforma řecké veřejné služby zaměstna</w:t>
      </w:r>
      <w:r>
        <w:rPr>
          <w:rFonts w:ascii="Times New Roman" w:hAnsi="Times New Roman"/>
          <w:noProof/>
          <w:sz w:val="24"/>
        </w:rPr>
        <w:t>nosti (DYPA) s cílem zlepšit kvalitu jeho služeb a jeho celkovou kapacitu a účinnost. Investice zahrnuje a) organizační reformu veřejné služby zaměstnanosti (DYPA), která aktualizuje její model řízení a zavádí nové organizační schéma a systém finančního ří</w:t>
      </w:r>
      <w:r>
        <w:rPr>
          <w:rFonts w:ascii="Times New Roman" w:hAnsi="Times New Roman"/>
          <w:noProof/>
          <w:sz w:val="24"/>
        </w:rPr>
        <w:t>zení; b) přepracování a renovace budov 40 místních poboček DYPA za účelem podpory zaměstnanosti (KPA2) s obnoveným zaměřením na individualizované služby zprostředkování, lepší poradenství a dosah; C) novou komunikační strategii DYPA; d) zlepšení mechanismů</w:t>
      </w:r>
      <w:r>
        <w:rPr>
          <w:rFonts w:ascii="Times New Roman" w:hAnsi="Times New Roman"/>
          <w:noProof/>
          <w:sz w:val="24"/>
        </w:rPr>
        <w:t xml:space="preserve"> kontroly kvality zákaznických služeb měřením a sledováním aspektů účinnosti, efektivity, produktivity a spokojenosti zákazníků; zavedení nových forem profilování a poradenských služeb.</w:t>
      </w:r>
      <w:r>
        <w:rPr>
          <w:noProof/>
          <w:color w:val="000000"/>
          <w:shd w:val="clear" w:color="auto" w:fill="FFFFFF"/>
        </w:rPr>
        <w:t xml:space="preserve"> </w:t>
      </w:r>
      <w:r>
        <w:rPr>
          <w:rFonts w:ascii="Times New Roman" w:hAnsi="Times New Roman"/>
          <w:noProof/>
          <w:sz w:val="24"/>
        </w:rPr>
        <w:t>Investice musí být provedena do 31. prosince 2025.</w:t>
      </w:r>
    </w:p>
    <w:p w14:paraId="549D8CB8" w14:textId="77777777" w:rsidR="00515398" w:rsidRDefault="006711E6">
      <w:pPr>
        <w:pStyle w:val="P68B1DB1-Normal5"/>
        <w:spacing w:before="120" w:after="120" w:line="240" w:lineRule="auto"/>
        <w:jc w:val="both"/>
        <w:rPr>
          <w:rFonts w:cs="Times New Roman"/>
          <w:noProof/>
        </w:rPr>
      </w:pPr>
      <w:r>
        <w:rPr>
          <w:b/>
          <w:noProof/>
        </w:rPr>
        <w:t>Investice:</w:t>
      </w:r>
      <w:r>
        <w:rPr>
          <w:noProof/>
        </w:rPr>
        <w:t xml:space="preserve"> Digitální transformace veřejných služeb zaměstnanosti (DYPA) (ID opatření: 16942)</w:t>
      </w:r>
    </w:p>
    <w:p w14:paraId="3B2C4F94" w14:textId="6AADDFF6" w:rsidR="00515398" w:rsidRDefault="006711E6">
      <w:pPr>
        <w:pStyle w:val="P68B1DB1-Normal5"/>
        <w:spacing w:before="120" w:after="120" w:line="240" w:lineRule="auto"/>
        <w:jc w:val="both"/>
        <w:rPr>
          <w:noProof/>
        </w:rPr>
      </w:pPr>
      <w:r>
        <w:rPr>
          <w:noProof/>
        </w:rPr>
        <w:t>Investice se zaměřuje na digitální transformaci veřejných služeb zaměstnanosti (DYPA) s cílem zvýšit účinnost nabízených služeb. Investice se zaměří zejména na digitalizaci,</w:t>
      </w:r>
      <w:r>
        <w:rPr>
          <w:noProof/>
        </w:rPr>
        <w:t xml:space="preserve"> ukládání a archivaci archivů DYPA, nákup řady nových informačních systémů, a to jak internetových, tak původních aplikací, ze strany DYPA a přepracování některých jeho stávajících operačních systémů. Investice rovněž zahrnuje a) </w:t>
      </w:r>
      <w:r>
        <w:rPr>
          <w:noProof/>
          <w:color w:val="000000" w:themeColor="text1"/>
        </w:rPr>
        <w:t>rozšíření digitálních služ</w:t>
      </w:r>
      <w:r>
        <w:rPr>
          <w:noProof/>
          <w:color w:val="000000" w:themeColor="text1"/>
        </w:rPr>
        <w:t>eb (prostřednictvím aplikace DYPAAP)</w:t>
      </w:r>
      <w:r>
        <w:rPr>
          <w:noProof/>
        </w:rPr>
        <w:t>, které umožní DYPA poskytovat elektronické služby nezaměstnaným a podnikům prostřednictvím mobilních telefonů a tabletů, a b) vytvoření nástroje, který pomůže DYPA optimalizovat proces párování mezi nabídkou a poptávkou</w:t>
      </w:r>
      <w:r>
        <w:rPr>
          <w:noProof/>
        </w:rPr>
        <w:t xml:space="preserve"> práce. Výše uvedená investice má vést k lepšímu systému správy údajů a rozhodování, maximalizaci zdrojů a vyšší spokojenosti zákazníků. Investice musí být provedena do 31. prosince 2025.</w:t>
      </w:r>
    </w:p>
    <w:p w14:paraId="03C53DEE" w14:textId="77777777" w:rsidR="00515398" w:rsidRDefault="00515398">
      <w:pPr>
        <w:pStyle w:val="paragraph"/>
        <w:spacing w:before="0" w:beforeAutospacing="0" w:after="0" w:afterAutospacing="0"/>
        <w:rPr>
          <w:rFonts w:ascii="Calibri" w:hAnsi="Calibri"/>
          <w:noProof/>
          <w:color w:val="006100"/>
          <w:sz w:val="18"/>
          <w:szCs w:val="18"/>
        </w:rPr>
        <w:sectPr w:rsidR="00515398" w:rsidSect="00271D33">
          <w:headerReference w:type="even" r:id="rId133"/>
          <w:headerReference w:type="default" r:id="rId134"/>
          <w:footerReference w:type="even" r:id="rId135"/>
          <w:footerReference w:type="default" r:id="rId136"/>
          <w:headerReference w:type="first" r:id="rId137"/>
          <w:footerReference w:type="first" r:id="rId138"/>
          <w:pgSz w:w="11907" w:h="16839"/>
          <w:pgMar w:top="1134" w:right="1417" w:bottom="1134" w:left="1417" w:header="709" w:footer="327" w:gutter="0"/>
          <w:cols w:space="720"/>
          <w:docGrid w:linePitch="360"/>
        </w:sectPr>
      </w:pPr>
    </w:p>
    <w:p w14:paraId="40E58D88" w14:textId="77777777" w:rsidR="00515398" w:rsidRDefault="006711E6">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H.2. </w:t>
      </w:r>
      <w:r>
        <w:rPr>
          <w:noProof/>
        </w:rPr>
        <w:t xml:space="preserve"> </w:t>
      </w:r>
      <w:r>
        <w:rPr>
          <w:rFonts w:ascii="Times New Roman" w:hAnsi="Times New Roman"/>
          <w:b/>
          <w:noProof/>
          <w:sz w:val="24"/>
          <w:u w:val="single"/>
        </w:rPr>
        <w:t>Milníky, cíle, ukazatele a harmonogram monitorování a provádění nevratné finanční podpory</w:t>
      </w:r>
    </w:p>
    <w:p w14:paraId="6C936257" w14:textId="4C395A86" w:rsidR="00515398" w:rsidRDefault="006711E6">
      <w:pPr>
        <w:pStyle w:val="P68B1DB1-Normal6"/>
        <w:keepNext/>
        <w:keepLines/>
        <w:spacing w:before="40" w:after="0" w:line="240" w:lineRule="auto"/>
        <w:jc w:val="both"/>
        <w:outlineLvl w:val="4"/>
        <w:rPr>
          <w:noProof/>
        </w:rPr>
      </w:pPr>
      <w:r>
        <w:rPr>
          <w:noProof/>
        </w:rPr>
        <w:t>Klíčová reforma 6: Modernizace a zjednodušení pracovního práva a digitální transformace systémů práce</w:t>
      </w:r>
    </w:p>
    <w:p w14:paraId="03EF15B2"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pPr w:leftFromText="180" w:rightFromText="180" w:vertAnchor="text" w:tblpX="-5" w:tblpY="1"/>
        <w:tblOverlap w:val="never"/>
        <w:tblW w:w="15446" w:type="dxa"/>
        <w:tblLayout w:type="fixed"/>
        <w:tblLook w:val="04A0" w:firstRow="1" w:lastRow="0" w:firstColumn="1" w:lastColumn="0" w:noHBand="0" w:noVBand="1"/>
      </w:tblPr>
      <w:tblGrid>
        <w:gridCol w:w="1129"/>
        <w:gridCol w:w="1853"/>
        <w:gridCol w:w="1037"/>
        <w:gridCol w:w="1323"/>
        <w:gridCol w:w="1469"/>
        <w:gridCol w:w="981"/>
        <w:gridCol w:w="992"/>
        <w:gridCol w:w="709"/>
        <w:gridCol w:w="996"/>
        <w:gridCol w:w="709"/>
        <w:gridCol w:w="4248"/>
      </w:tblGrid>
      <w:tr w:rsidR="00515398" w14:paraId="704617F5" w14:textId="77777777">
        <w:trPr>
          <w:trHeight w:val="614"/>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1FF023"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4C111C"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3920F6" w14:textId="77777777" w:rsidR="00515398" w:rsidRDefault="006711E6">
            <w:pPr>
              <w:pStyle w:val="P68B1DB1-Normal7"/>
              <w:spacing w:after="0" w:line="240" w:lineRule="auto"/>
              <w:jc w:val="center"/>
              <w:rPr>
                <w:rFonts w:eastAsia="Times New Roman" w:cs="Times New Roman"/>
                <w:bCs/>
                <w:noProof/>
                <w:szCs w:val="18"/>
              </w:rPr>
            </w:pPr>
            <w:r>
              <w:rPr>
                <w:noProof/>
              </w:rPr>
              <w:t>Mi</w:t>
            </w:r>
            <w:r>
              <w:rPr>
                <w:noProof/>
              </w:rPr>
              <w:t>lník/cíl</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B24347"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CBC054"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6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19E1F92"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705" w:type="dxa"/>
            <w:gridSpan w:val="2"/>
            <w:tcBorders>
              <w:top w:val="single" w:sz="4" w:space="0" w:color="auto"/>
              <w:left w:val="nil"/>
              <w:bottom w:val="single" w:sz="4" w:space="0" w:color="auto"/>
              <w:right w:val="single" w:sz="4" w:space="0" w:color="auto"/>
            </w:tcBorders>
            <w:shd w:val="clear" w:color="auto" w:fill="BDD7EE"/>
            <w:vAlign w:val="center"/>
            <w:hideMark/>
          </w:tcPr>
          <w:p w14:paraId="6A2E01B2"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2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040BD2"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0925F22F" w14:textId="77777777">
        <w:trPr>
          <w:trHeight w:val="542"/>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C11F356" w14:textId="77777777" w:rsidR="00515398" w:rsidRDefault="00515398">
            <w:pPr>
              <w:spacing w:after="0" w:line="240" w:lineRule="auto"/>
              <w:jc w:val="center"/>
              <w:rPr>
                <w:rFonts w:ascii="Times New Roman" w:eastAsia="Times New Roman" w:hAnsi="Times New Roman" w:cs="Times New Roman"/>
                <w:b/>
                <w:bCs/>
                <w:noProof/>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67B11935" w14:textId="77777777" w:rsidR="00515398" w:rsidRDefault="00515398">
            <w:pPr>
              <w:spacing w:after="0" w:line="240" w:lineRule="auto"/>
              <w:jc w:val="center"/>
              <w:rPr>
                <w:rFonts w:ascii="Times New Roman" w:eastAsia="Times New Roman" w:hAnsi="Times New Roman" w:cs="Times New Roman"/>
                <w:b/>
                <w:bCs/>
                <w:noProof/>
                <w:sz w:val="18"/>
                <w:szCs w:val="18"/>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102106D6" w14:textId="77777777" w:rsidR="00515398" w:rsidRDefault="00515398">
            <w:pPr>
              <w:spacing w:after="0" w:line="240" w:lineRule="auto"/>
              <w:jc w:val="center"/>
              <w:rPr>
                <w:rFonts w:ascii="Times New Roman" w:eastAsia="Times New Roman" w:hAnsi="Times New Roman" w:cs="Times New Roman"/>
                <w:b/>
                <w:bCs/>
                <w:noProof/>
                <w:sz w:val="18"/>
                <w:szCs w:val="18"/>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5E0FE787" w14:textId="77777777" w:rsidR="00515398" w:rsidRDefault="00515398">
            <w:pPr>
              <w:spacing w:after="0" w:line="240" w:lineRule="auto"/>
              <w:jc w:val="center"/>
              <w:rPr>
                <w:rFonts w:ascii="Times New Roman" w:eastAsia="Times New Roman" w:hAnsi="Times New Roman" w:cs="Times New Roman"/>
                <w:b/>
                <w:bCs/>
                <w:noProof/>
                <w:sz w:val="18"/>
                <w:szCs w:val="18"/>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3321131" w14:textId="77777777" w:rsidR="00515398" w:rsidRDefault="00515398">
            <w:pPr>
              <w:spacing w:after="0" w:line="240" w:lineRule="auto"/>
              <w:jc w:val="center"/>
              <w:rPr>
                <w:rFonts w:ascii="Times New Roman" w:eastAsia="Times New Roman" w:hAnsi="Times New Roman" w:cs="Times New Roman"/>
                <w:b/>
                <w:bCs/>
                <w:noProof/>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2CA54E6"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92" w:type="dxa"/>
            <w:tcBorders>
              <w:top w:val="nil"/>
              <w:left w:val="nil"/>
              <w:bottom w:val="single" w:sz="4" w:space="0" w:color="auto"/>
              <w:right w:val="single" w:sz="4" w:space="0" w:color="auto"/>
            </w:tcBorders>
            <w:shd w:val="clear" w:color="auto" w:fill="BDD7EE"/>
            <w:vAlign w:val="center"/>
            <w:hideMark/>
          </w:tcPr>
          <w:p w14:paraId="3727DC10"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09" w:type="dxa"/>
            <w:tcBorders>
              <w:top w:val="nil"/>
              <w:left w:val="nil"/>
              <w:bottom w:val="single" w:sz="4" w:space="0" w:color="auto"/>
              <w:right w:val="single" w:sz="4" w:space="0" w:color="auto"/>
            </w:tcBorders>
            <w:shd w:val="clear" w:color="auto" w:fill="BDD7EE"/>
            <w:vAlign w:val="center"/>
            <w:hideMark/>
          </w:tcPr>
          <w:p w14:paraId="0F3229D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96" w:type="dxa"/>
            <w:tcBorders>
              <w:top w:val="nil"/>
              <w:left w:val="nil"/>
              <w:bottom w:val="single" w:sz="4" w:space="0" w:color="auto"/>
              <w:right w:val="single" w:sz="4" w:space="0" w:color="auto"/>
            </w:tcBorders>
            <w:shd w:val="clear" w:color="auto" w:fill="BDD7EE"/>
            <w:vAlign w:val="center"/>
            <w:hideMark/>
          </w:tcPr>
          <w:p w14:paraId="127C7A72"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tcBorders>
              <w:top w:val="nil"/>
              <w:left w:val="nil"/>
              <w:bottom w:val="single" w:sz="4" w:space="0" w:color="auto"/>
              <w:right w:val="single" w:sz="4" w:space="0" w:color="auto"/>
            </w:tcBorders>
            <w:shd w:val="clear" w:color="auto" w:fill="BDD7EE"/>
            <w:vAlign w:val="center"/>
            <w:hideMark/>
          </w:tcPr>
          <w:p w14:paraId="4C72309E"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248" w:type="dxa"/>
            <w:vMerge/>
            <w:tcBorders>
              <w:top w:val="single" w:sz="4" w:space="0" w:color="auto"/>
              <w:bottom w:val="single" w:sz="4" w:space="0" w:color="auto"/>
              <w:right w:val="single" w:sz="4" w:space="0" w:color="auto"/>
            </w:tcBorders>
            <w:vAlign w:val="center"/>
            <w:hideMark/>
          </w:tcPr>
          <w:p w14:paraId="53C008FF"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49817C39"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FC8BCDC" w14:textId="77777777" w:rsidR="00515398" w:rsidRDefault="006711E6">
            <w:pPr>
              <w:pStyle w:val="P68B1DB1-Normal9"/>
              <w:spacing w:after="0" w:line="240" w:lineRule="auto"/>
              <w:rPr>
                <w:rFonts w:eastAsia="Times New Roman" w:cs="Calibri"/>
                <w:noProof/>
                <w:szCs w:val="18"/>
              </w:rPr>
            </w:pPr>
            <w:r>
              <w:rPr>
                <w:noProof/>
              </w:rPr>
              <w:t>133</w:t>
            </w:r>
          </w:p>
        </w:tc>
        <w:tc>
          <w:tcPr>
            <w:tcW w:w="1853" w:type="dxa"/>
            <w:tcBorders>
              <w:top w:val="single" w:sz="4" w:space="0" w:color="auto"/>
              <w:left w:val="nil"/>
              <w:bottom w:val="single" w:sz="4" w:space="0" w:color="auto"/>
              <w:right w:val="single" w:sz="4" w:space="0" w:color="auto"/>
            </w:tcBorders>
            <w:shd w:val="clear" w:color="auto" w:fill="C6EFCE"/>
            <w:noWrap/>
          </w:tcPr>
          <w:p w14:paraId="2301F7D9" w14:textId="77777777" w:rsidR="00515398" w:rsidRDefault="006711E6">
            <w:pPr>
              <w:pStyle w:val="P68B1DB1-Normal9"/>
              <w:spacing w:after="0" w:line="240" w:lineRule="auto"/>
              <w:rPr>
                <w:rFonts w:eastAsia="Times New Roman" w:cs="Calibri"/>
                <w:noProof/>
                <w:szCs w:val="18"/>
              </w:rPr>
            </w:pPr>
            <w:r>
              <w:rPr>
                <w:noProof/>
              </w:rPr>
              <w:t xml:space="preserve">8–3.1. Podpora tvorby pracovních míst a </w:t>
            </w:r>
            <w:r>
              <w:rPr>
                <w:noProof/>
              </w:rPr>
              <w:t>účasti na trhu práce – 16744_Modernizace a zjednodušení pracovního práva</w:t>
            </w:r>
          </w:p>
        </w:tc>
        <w:tc>
          <w:tcPr>
            <w:tcW w:w="1037" w:type="dxa"/>
            <w:tcBorders>
              <w:top w:val="single" w:sz="4" w:space="0" w:color="auto"/>
              <w:left w:val="nil"/>
              <w:bottom w:val="single" w:sz="4" w:space="0" w:color="auto"/>
              <w:right w:val="single" w:sz="4" w:space="0" w:color="auto"/>
            </w:tcBorders>
            <w:shd w:val="clear" w:color="auto" w:fill="C6EFCE"/>
            <w:noWrap/>
          </w:tcPr>
          <w:p w14:paraId="1D8E14F4" w14:textId="77777777" w:rsidR="00515398" w:rsidRDefault="006711E6">
            <w:pPr>
              <w:pStyle w:val="P68B1DB1-Normal9"/>
              <w:spacing w:after="0" w:line="240" w:lineRule="auto"/>
              <w:rPr>
                <w:rFonts w:eastAsia="Times New Roman" w:cs="Calibri"/>
                <w:noProof/>
                <w:szCs w:val="18"/>
              </w:rPr>
            </w:pPr>
            <w:r>
              <w:rPr>
                <w:noProof/>
              </w:rPr>
              <w:t>Milník</w:t>
            </w:r>
          </w:p>
        </w:tc>
        <w:tc>
          <w:tcPr>
            <w:tcW w:w="1323" w:type="dxa"/>
            <w:tcBorders>
              <w:top w:val="single" w:sz="4" w:space="0" w:color="auto"/>
              <w:left w:val="nil"/>
              <w:bottom w:val="single" w:sz="4" w:space="0" w:color="auto"/>
              <w:right w:val="single" w:sz="4" w:space="0" w:color="auto"/>
            </w:tcBorders>
            <w:shd w:val="clear" w:color="auto" w:fill="C6EFCE"/>
            <w:noWrap/>
          </w:tcPr>
          <w:p w14:paraId="6EC6954D" w14:textId="77777777" w:rsidR="00515398" w:rsidRDefault="006711E6">
            <w:pPr>
              <w:pStyle w:val="P68B1DB1-Normal9"/>
              <w:spacing w:after="0" w:line="240" w:lineRule="auto"/>
              <w:rPr>
                <w:rFonts w:eastAsia="Times New Roman" w:cs="Calibri"/>
                <w:noProof/>
                <w:szCs w:val="18"/>
              </w:rPr>
            </w:pPr>
            <w:r>
              <w:rPr>
                <w:noProof/>
              </w:rPr>
              <w:t>Vstup v platnost pracovního práva</w:t>
            </w:r>
          </w:p>
        </w:tc>
        <w:tc>
          <w:tcPr>
            <w:tcW w:w="1469" w:type="dxa"/>
            <w:tcBorders>
              <w:top w:val="single" w:sz="4" w:space="0" w:color="auto"/>
              <w:left w:val="nil"/>
              <w:bottom w:val="single" w:sz="4" w:space="0" w:color="auto"/>
              <w:right w:val="single" w:sz="4" w:space="0" w:color="auto"/>
            </w:tcBorders>
            <w:shd w:val="clear" w:color="auto" w:fill="C6EFCE"/>
            <w:noWrap/>
          </w:tcPr>
          <w:p w14:paraId="535AA1CF" w14:textId="77777777" w:rsidR="00515398" w:rsidRDefault="006711E6">
            <w:pPr>
              <w:pStyle w:val="P68B1DB1-Normal9"/>
              <w:spacing w:after="0" w:line="240" w:lineRule="auto"/>
              <w:rPr>
                <w:rFonts w:eastAsia="Times New Roman" w:cs="Calibri"/>
                <w:noProof/>
                <w:szCs w:val="18"/>
              </w:rPr>
            </w:pPr>
            <w:r>
              <w:rPr>
                <w:noProof/>
              </w:rPr>
              <w:t xml:space="preserve">Ustanovení zákona o vstupu v platnost — </w:t>
            </w:r>
          </w:p>
        </w:tc>
        <w:tc>
          <w:tcPr>
            <w:tcW w:w="981" w:type="dxa"/>
            <w:tcBorders>
              <w:top w:val="single" w:sz="4" w:space="0" w:color="auto"/>
              <w:left w:val="nil"/>
              <w:bottom w:val="single" w:sz="4" w:space="0" w:color="auto"/>
              <w:right w:val="single" w:sz="4" w:space="0" w:color="auto"/>
            </w:tcBorders>
            <w:shd w:val="clear" w:color="auto" w:fill="C6EFCE"/>
            <w:noWrap/>
          </w:tcPr>
          <w:p w14:paraId="56FE5F56"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779C379C" w14:textId="77777777" w:rsidR="00515398" w:rsidRDefault="00515398">
            <w:pPr>
              <w:spacing w:after="0" w:line="240" w:lineRule="auto"/>
              <w:rPr>
                <w:rFonts w:eastAsia="Times New Roman" w:cs="Calibri"/>
                <w:noProof/>
                <w:color w:val="006100"/>
                <w:sz w:val="18"/>
                <w:szCs w:val="18"/>
              </w:rPr>
            </w:pPr>
          </w:p>
        </w:tc>
        <w:tc>
          <w:tcPr>
            <w:tcW w:w="709" w:type="dxa"/>
            <w:tcBorders>
              <w:top w:val="nil"/>
              <w:left w:val="nil"/>
              <w:bottom w:val="single" w:sz="4" w:space="0" w:color="auto"/>
              <w:right w:val="single" w:sz="4" w:space="0" w:color="auto"/>
            </w:tcBorders>
            <w:shd w:val="clear" w:color="auto" w:fill="C6EFCE"/>
            <w:noWrap/>
          </w:tcPr>
          <w:p w14:paraId="3F0E65EA" w14:textId="77777777" w:rsidR="00515398" w:rsidRDefault="00515398">
            <w:pPr>
              <w:spacing w:after="0" w:line="240" w:lineRule="auto"/>
              <w:rPr>
                <w:rFonts w:eastAsia="Times New Roman" w:cs="Calibri"/>
                <w:noProof/>
                <w:color w:val="006100"/>
                <w:sz w:val="18"/>
                <w:szCs w:val="18"/>
              </w:rPr>
            </w:pPr>
          </w:p>
        </w:tc>
        <w:tc>
          <w:tcPr>
            <w:tcW w:w="996" w:type="dxa"/>
            <w:tcBorders>
              <w:top w:val="nil"/>
              <w:left w:val="nil"/>
              <w:bottom w:val="single" w:sz="4" w:space="0" w:color="auto"/>
              <w:right w:val="single" w:sz="4" w:space="0" w:color="auto"/>
            </w:tcBorders>
            <w:shd w:val="clear" w:color="auto" w:fill="C6EFCE"/>
            <w:noWrap/>
          </w:tcPr>
          <w:p w14:paraId="2668A0CB" w14:textId="77777777" w:rsidR="00515398" w:rsidRDefault="006711E6">
            <w:pPr>
              <w:pStyle w:val="P68B1DB1-Normal9"/>
              <w:spacing w:after="0" w:line="240" w:lineRule="auto"/>
              <w:rPr>
                <w:rFonts w:eastAsia="Times New Roman" w:cs="Calibri"/>
                <w:noProof/>
                <w:szCs w:val="18"/>
              </w:rPr>
            </w:pPr>
            <w:r>
              <w:rPr>
                <w:noProof/>
              </w:rPr>
              <w:t>ČTVRTLETÍ 3</w:t>
            </w:r>
          </w:p>
        </w:tc>
        <w:tc>
          <w:tcPr>
            <w:tcW w:w="709" w:type="dxa"/>
            <w:tcBorders>
              <w:top w:val="nil"/>
              <w:left w:val="nil"/>
              <w:bottom w:val="single" w:sz="4" w:space="0" w:color="auto"/>
              <w:right w:val="single" w:sz="4" w:space="0" w:color="auto"/>
            </w:tcBorders>
            <w:shd w:val="clear" w:color="auto" w:fill="C6EFCE"/>
            <w:noWrap/>
          </w:tcPr>
          <w:p w14:paraId="16ED5CF9" w14:textId="77777777" w:rsidR="00515398" w:rsidRDefault="006711E6">
            <w:pPr>
              <w:pStyle w:val="P68B1DB1-Normal9"/>
              <w:spacing w:after="0" w:line="240" w:lineRule="auto"/>
              <w:rPr>
                <w:rFonts w:eastAsia="Times New Roman" w:cs="Calibri"/>
                <w:noProof/>
                <w:szCs w:val="18"/>
              </w:rPr>
            </w:pPr>
            <w:r>
              <w:rPr>
                <w:noProof/>
              </w:rPr>
              <w:t>2021</w:t>
            </w:r>
          </w:p>
        </w:tc>
        <w:tc>
          <w:tcPr>
            <w:tcW w:w="4248" w:type="dxa"/>
            <w:tcBorders>
              <w:top w:val="single" w:sz="4" w:space="0" w:color="auto"/>
              <w:left w:val="nil"/>
              <w:bottom w:val="single" w:sz="4" w:space="0" w:color="auto"/>
              <w:right w:val="single" w:sz="4" w:space="0" w:color="auto"/>
            </w:tcBorders>
            <w:shd w:val="clear" w:color="auto" w:fill="C6EFCE"/>
            <w:noWrap/>
          </w:tcPr>
          <w:p w14:paraId="2B146C0A" w14:textId="77777777" w:rsidR="00515398" w:rsidRDefault="006711E6">
            <w:pPr>
              <w:pStyle w:val="P68B1DB1-Normal10"/>
              <w:spacing w:after="0" w:line="240" w:lineRule="auto"/>
              <w:rPr>
                <w:rFonts w:eastAsia="Times New Roman" w:cs="Calibri"/>
                <w:noProof/>
              </w:rPr>
            </w:pPr>
            <w:r>
              <w:rPr>
                <w:noProof/>
              </w:rPr>
              <w:t>Vstup v platnost pracovního zákona, který modernizuje a) individuální pracovní pr</w:t>
            </w:r>
            <w:r>
              <w:rPr>
                <w:noProof/>
              </w:rPr>
              <w:t>ávo, b) kolektivní pracovní právo a odborové právo, c) informační systém ERGANI ministerstva práce, který se používá ke sledování trhu práce a odhalování nehlášené a nedostatečně hlášené práce, a d) rámec pro rovnováhu mezi pracovním a soukromým životem.</w:t>
            </w:r>
          </w:p>
        </w:tc>
      </w:tr>
      <w:tr w:rsidR="00515398" w14:paraId="7DBC4E19" w14:textId="77777777">
        <w:trPr>
          <w:trHeight w:val="309"/>
        </w:trPr>
        <w:tc>
          <w:tcPr>
            <w:tcW w:w="1129" w:type="dxa"/>
            <w:tcBorders>
              <w:top w:val="nil"/>
              <w:left w:val="single" w:sz="4" w:space="0" w:color="auto"/>
              <w:bottom w:val="single" w:sz="4" w:space="0" w:color="auto"/>
              <w:right w:val="single" w:sz="4" w:space="0" w:color="auto"/>
            </w:tcBorders>
            <w:shd w:val="clear" w:color="auto" w:fill="C6EFCE"/>
            <w:noWrap/>
          </w:tcPr>
          <w:p w14:paraId="07876037" w14:textId="77777777" w:rsidR="00515398" w:rsidRDefault="006711E6">
            <w:pPr>
              <w:pStyle w:val="P68B1DB1-Normal9"/>
              <w:spacing w:after="0" w:line="240" w:lineRule="auto"/>
              <w:rPr>
                <w:rFonts w:eastAsia="Times New Roman" w:cs="Calibri"/>
                <w:noProof/>
                <w:szCs w:val="18"/>
              </w:rPr>
            </w:pPr>
            <w:r>
              <w:rPr>
                <w:noProof/>
              </w:rPr>
              <w:t>134</w:t>
            </w:r>
          </w:p>
        </w:tc>
        <w:tc>
          <w:tcPr>
            <w:tcW w:w="1853" w:type="dxa"/>
            <w:tcBorders>
              <w:top w:val="nil"/>
              <w:left w:val="nil"/>
              <w:bottom w:val="single" w:sz="4" w:space="0" w:color="auto"/>
              <w:right w:val="single" w:sz="4" w:space="0" w:color="auto"/>
            </w:tcBorders>
            <w:shd w:val="clear" w:color="auto" w:fill="C6EFCE"/>
            <w:noWrap/>
          </w:tcPr>
          <w:p w14:paraId="6F82D8B9" w14:textId="77777777" w:rsidR="00515398" w:rsidRDefault="006711E6">
            <w:pPr>
              <w:pStyle w:val="P68B1DB1-Normal9"/>
              <w:spacing w:after="0" w:line="240" w:lineRule="auto"/>
              <w:rPr>
                <w:rFonts w:eastAsia="Times New Roman" w:cs="Calibri"/>
                <w:noProof/>
                <w:szCs w:val="18"/>
              </w:rPr>
            </w:pPr>
            <w:r>
              <w:rPr>
                <w:noProof/>
              </w:rPr>
              <w:t>8–3.1. Podpora tvorby pracovních míst a účasti na trhu práce – 16750_Digitální transformace systémů práce</w:t>
            </w:r>
          </w:p>
        </w:tc>
        <w:tc>
          <w:tcPr>
            <w:tcW w:w="1037" w:type="dxa"/>
            <w:tcBorders>
              <w:top w:val="nil"/>
              <w:left w:val="nil"/>
              <w:bottom w:val="single" w:sz="4" w:space="0" w:color="auto"/>
              <w:right w:val="single" w:sz="4" w:space="0" w:color="auto"/>
            </w:tcBorders>
            <w:shd w:val="clear" w:color="auto" w:fill="C6EFCE"/>
            <w:noWrap/>
          </w:tcPr>
          <w:p w14:paraId="09C11AA3" w14:textId="77777777" w:rsidR="00515398" w:rsidRDefault="006711E6">
            <w:pPr>
              <w:pStyle w:val="P68B1DB1-Normal9"/>
              <w:spacing w:after="0" w:line="240" w:lineRule="auto"/>
              <w:rPr>
                <w:rFonts w:eastAsia="Times New Roman" w:cs="Calibri"/>
                <w:noProof/>
                <w:szCs w:val="18"/>
              </w:rPr>
            </w:pPr>
            <w:r>
              <w:rPr>
                <w:noProof/>
              </w:rPr>
              <w:t>Milník</w:t>
            </w:r>
          </w:p>
        </w:tc>
        <w:tc>
          <w:tcPr>
            <w:tcW w:w="1323" w:type="dxa"/>
            <w:tcBorders>
              <w:top w:val="nil"/>
              <w:left w:val="nil"/>
              <w:bottom w:val="single" w:sz="4" w:space="0" w:color="auto"/>
              <w:right w:val="single" w:sz="4" w:space="0" w:color="auto"/>
            </w:tcBorders>
            <w:shd w:val="clear" w:color="auto" w:fill="C6EFCE"/>
            <w:noWrap/>
          </w:tcPr>
          <w:p w14:paraId="50278235" w14:textId="77777777" w:rsidR="00515398" w:rsidRDefault="006711E6">
            <w:pPr>
              <w:pStyle w:val="P68B1DB1-Normal9"/>
              <w:spacing w:after="0" w:line="240" w:lineRule="auto"/>
              <w:rPr>
                <w:rFonts w:eastAsia="Times New Roman" w:cs="Calibri"/>
                <w:noProof/>
                <w:szCs w:val="18"/>
              </w:rPr>
            </w:pPr>
            <w:r>
              <w:rPr>
                <w:noProof/>
              </w:rPr>
              <w:t>Zadání zakázek v oblasti informačních systémů práce</w:t>
            </w:r>
          </w:p>
        </w:tc>
        <w:tc>
          <w:tcPr>
            <w:tcW w:w="1469" w:type="dxa"/>
            <w:tcBorders>
              <w:top w:val="nil"/>
              <w:left w:val="nil"/>
              <w:bottom w:val="single" w:sz="4" w:space="0" w:color="auto"/>
              <w:right w:val="single" w:sz="4" w:space="0" w:color="auto"/>
            </w:tcBorders>
            <w:shd w:val="clear" w:color="auto" w:fill="C6EFCE"/>
            <w:noWrap/>
          </w:tcPr>
          <w:p w14:paraId="16BAFE6D" w14:textId="77777777" w:rsidR="00515398" w:rsidRDefault="006711E6">
            <w:pPr>
              <w:pStyle w:val="P68B1DB1-Normal9"/>
              <w:spacing w:after="0" w:line="240" w:lineRule="auto"/>
              <w:rPr>
                <w:rFonts w:eastAsia="Times New Roman" w:cs="Calibri"/>
                <w:noProof/>
                <w:szCs w:val="18"/>
              </w:rPr>
            </w:pPr>
            <w:r>
              <w:rPr>
                <w:noProof/>
              </w:rPr>
              <w:t>Oznámení o zadání zakázek</w:t>
            </w:r>
          </w:p>
        </w:tc>
        <w:tc>
          <w:tcPr>
            <w:tcW w:w="981" w:type="dxa"/>
            <w:tcBorders>
              <w:top w:val="nil"/>
              <w:left w:val="nil"/>
              <w:bottom w:val="single" w:sz="4" w:space="0" w:color="auto"/>
              <w:right w:val="single" w:sz="4" w:space="0" w:color="auto"/>
            </w:tcBorders>
            <w:shd w:val="clear" w:color="auto" w:fill="C6EFCE"/>
            <w:noWrap/>
          </w:tcPr>
          <w:p w14:paraId="1EBF66E7"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FDB7473" w14:textId="77777777" w:rsidR="00515398" w:rsidRDefault="00515398">
            <w:pPr>
              <w:spacing w:after="0" w:line="240" w:lineRule="auto"/>
              <w:rPr>
                <w:rFonts w:eastAsia="Times New Roman" w:cs="Calibri"/>
                <w:noProof/>
                <w:color w:val="006100"/>
                <w:sz w:val="18"/>
                <w:szCs w:val="18"/>
              </w:rPr>
            </w:pPr>
          </w:p>
        </w:tc>
        <w:tc>
          <w:tcPr>
            <w:tcW w:w="709" w:type="dxa"/>
            <w:tcBorders>
              <w:top w:val="nil"/>
              <w:left w:val="nil"/>
              <w:bottom w:val="single" w:sz="4" w:space="0" w:color="auto"/>
              <w:right w:val="single" w:sz="4" w:space="0" w:color="auto"/>
            </w:tcBorders>
            <w:shd w:val="clear" w:color="auto" w:fill="C6EFCE"/>
            <w:noWrap/>
          </w:tcPr>
          <w:p w14:paraId="110F3307" w14:textId="77777777" w:rsidR="00515398" w:rsidRDefault="00515398">
            <w:pPr>
              <w:spacing w:after="0" w:line="240" w:lineRule="auto"/>
              <w:rPr>
                <w:rFonts w:eastAsia="Times New Roman" w:cs="Calibri"/>
                <w:noProof/>
                <w:color w:val="006100"/>
                <w:sz w:val="18"/>
                <w:szCs w:val="18"/>
              </w:rPr>
            </w:pPr>
          </w:p>
        </w:tc>
        <w:tc>
          <w:tcPr>
            <w:tcW w:w="996" w:type="dxa"/>
            <w:tcBorders>
              <w:top w:val="nil"/>
              <w:left w:val="nil"/>
              <w:bottom w:val="single" w:sz="4" w:space="0" w:color="auto"/>
              <w:right w:val="single" w:sz="4" w:space="0" w:color="auto"/>
            </w:tcBorders>
            <w:shd w:val="clear" w:color="auto" w:fill="C6EFCE"/>
            <w:noWrap/>
          </w:tcPr>
          <w:p w14:paraId="0F253F74"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2300098D" w14:textId="77777777" w:rsidR="00515398" w:rsidRDefault="006711E6">
            <w:pPr>
              <w:pStyle w:val="P68B1DB1-Normal9"/>
              <w:spacing w:after="0" w:line="240" w:lineRule="auto"/>
              <w:rPr>
                <w:rFonts w:eastAsia="Times New Roman" w:cs="Calibri"/>
                <w:noProof/>
                <w:szCs w:val="18"/>
              </w:rPr>
            </w:pPr>
            <w:r>
              <w:rPr>
                <w:noProof/>
              </w:rPr>
              <w:t>2022</w:t>
            </w:r>
          </w:p>
        </w:tc>
        <w:tc>
          <w:tcPr>
            <w:tcW w:w="4248" w:type="dxa"/>
            <w:tcBorders>
              <w:top w:val="nil"/>
              <w:left w:val="nil"/>
              <w:bottom w:val="single" w:sz="4" w:space="0" w:color="auto"/>
              <w:right w:val="single" w:sz="4" w:space="0" w:color="auto"/>
            </w:tcBorders>
            <w:shd w:val="clear" w:color="auto" w:fill="C6EFCE"/>
            <w:noWrap/>
          </w:tcPr>
          <w:p w14:paraId="537B39D7" w14:textId="77777777" w:rsidR="00515398" w:rsidRDefault="006711E6">
            <w:pPr>
              <w:pStyle w:val="P68B1DB1-Normal9"/>
              <w:spacing w:after="0" w:line="240" w:lineRule="auto"/>
              <w:rPr>
                <w:rFonts w:eastAsia="Times New Roman" w:cs="Calibri"/>
                <w:noProof/>
                <w:szCs w:val="18"/>
              </w:rPr>
            </w:pPr>
            <w:r>
              <w:rPr>
                <w:noProof/>
              </w:rPr>
              <w:t>Dokončení zadání zakázky na tyto proj</w:t>
            </w:r>
            <w:r>
              <w:rPr>
                <w:noProof/>
              </w:rPr>
              <w:t>ekty:</w:t>
            </w:r>
          </w:p>
          <w:p w14:paraId="3966E238" w14:textId="77777777" w:rsidR="00515398" w:rsidRDefault="006711E6">
            <w:pPr>
              <w:pStyle w:val="P68B1DB1-Normal9"/>
              <w:spacing w:after="0" w:line="240" w:lineRule="auto"/>
              <w:rPr>
                <w:rFonts w:eastAsia="Times New Roman" w:cs="Calibri"/>
                <w:noProof/>
                <w:szCs w:val="18"/>
              </w:rPr>
            </w:pPr>
            <w:r>
              <w:rPr>
                <w:noProof/>
              </w:rPr>
              <w:t>Jednotný informační systém pro sledování trhu práce (ARIADNE)</w:t>
            </w:r>
          </w:p>
          <w:p w14:paraId="3B015483" w14:textId="77777777" w:rsidR="00515398" w:rsidRDefault="006711E6">
            <w:pPr>
              <w:pStyle w:val="P68B1DB1-Normal9"/>
              <w:spacing w:after="0" w:line="240" w:lineRule="auto"/>
              <w:rPr>
                <w:rFonts w:eastAsia="Times New Roman" w:cs="Calibri"/>
                <w:noProof/>
                <w:szCs w:val="18"/>
              </w:rPr>
            </w:pPr>
            <w:r>
              <w:rPr>
                <w:noProof/>
              </w:rPr>
              <w:t>Bezpečnost a ochrana zdraví při práci (HERIDANOS)</w:t>
            </w:r>
          </w:p>
          <w:p w14:paraId="3D13FB15" w14:textId="77777777" w:rsidR="00515398" w:rsidRDefault="006711E6">
            <w:pPr>
              <w:pStyle w:val="P68B1DB1-Normal9"/>
              <w:spacing w:after="0" w:line="240" w:lineRule="auto"/>
              <w:rPr>
                <w:rFonts w:eastAsia="Times New Roman" w:cs="Calibri"/>
                <w:noProof/>
                <w:szCs w:val="18"/>
              </w:rPr>
            </w:pPr>
            <w:r>
              <w:rPr>
                <w:noProof/>
              </w:rPr>
              <w:t>— Proces stanovování zákonné minimální mzdy</w:t>
            </w:r>
          </w:p>
          <w:p w14:paraId="42943822" w14:textId="77777777" w:rsidR="00515398" w:rsidRDefault="006711E6">
            <w:pPr>
              <w:pStyle w:val="P68B1DB1-Normal9"/>
              <w:spacing w:after="0" w:line="240" w:lineRule="auto"/>
              <w:rPr>
                <w:rFonts w:eastAsia="Times New Roman" w:cs="Calibri"/>
                <w:noProof/>
                <w:szCs w:val="18"/>
              </w:rPr>
            </w:pPr>
            <w:r>
              <w:rPr>
                <w:noProof/>
              </w:rPr>
              <w:t xml:space="preserve">Digitalizace historie pojištění Jednotného penzijního fondu (e-EFKA) </w:t>
            </w:r>
          </w:p>
          <w:p w14:paraId="4B3A5295" w14:textId="77777777" w:rsidR="00515398" w:rsidRDefault="006711E6">
            <w:pPr>
              <w:pStyle w:val="P68B1DB1-Normal9"/>
              <w:spacing w:after="0" w:line="240" w:lineRule="auto"/>
              <w:rPr>
                <w:rFonts w:eastAsia="Times New Roman" w:cs="Calibri"/>
                <w:noProof/>
                <w:szCs w:val="18"/>
              </w:rPr>
            </w:pPr>
            <w:r>
              <w:rPr>
                <w:noProof/>
              </w:rPr>
              <w:t>Nový integrovaný informa</w:t>
            </w:r>
            <w:r>
              <w:rPr>
                <w:noProof/>
              </w:rPr>
              <w:t>ční systém pro e-EFKA (EFKA IITS)</w:t>
            </w:r>
          </w:p>
          <w:p w14:paraId="177EFCFE" w14:textId="77777777" w:rsidR="00515398" w:rsidRDefault="006711E6">
            <w:pPr>
              <w:pStyle w:val="P68B1DB1-Normal9"/>
              <w:spacing w:after="0" w:line="240" w:lineRule="auto"/>
              <w:rPr>
                <w:rFonts w:eastAsia="Times New Roman" w:cs="Calibri"/>
                <w:noProof/>
                <w:szCs w:val="18"/>
              </w:rPr>
            </w:pPr>
            <w:r>
              <w:rPr>
                <w:noProof/>
              </w:rPr>
              <w:t>Modernizace digitálního systému pro přiznávání důchodů (ATLAS)</w:t>
            </w:r>
          </w:p>
        </w:tc>
      </w:tr>
      <w:tr w:rsidR="00515398" w14:paraId="6A115527" w14:textId="77777777">
        <w:trPr>
          <w:trHeight w:val="309"/>
        </w:trPr>
        <w:tc>
          <w:tcPr>
            <w:tcW w:w="1129" w:type="dxa"/>
            <w:tcBorders>
              <w:top w:val="nil"/>
              <w:left w:val="single" w:sz="4" w:space="0" w:color="auto"/>
              <w:bottom w:val="single" w:sz="4" w:space="0" w:color="auto"/>
              <w:right w:val="single" w:sz="4" w:space="0" w:color="auto"/>
            </w:tcBorders>
            <w:shd w:val="clear" w:color="auto" w:fill="C6EFCE"/>
            <w:noWrap/>
          </w:tcPr>
          <w:p w14:paraId="3C0D0D44" w14:textId="77777777" w:rsidR="00515398" w:rsidRDefault="006711E6">
            <w:pPr>
              <w:pStyle w:val="P68B1DB1-Normal10"/>
              <w:spacing w:after="0" w:line="240" w:lineRule="auto"/>
              <w:rPr>
                <w:rFonts w:eastAsia="Times New Roman" w:cs="Calibri"/>
                <w:noProof/>
              </w:rPr>
            </w:pPr>
            <w:r>
              <w:rPr>
                <w:noProof/>
              </w:rPr>
              <w:t>135</w:t>
            </w:r>
          </w:p>
        </w:tc>
        <w:tc>
          <w:tcPr>
            <w:tcW w:w="1853" w:type="dxa"/>
            <w:tcBorders>
              <w:top w:val="single" w:sz="4" w:space="0" w:color="auto"/>
              <w:left w:val="nil"/>
              <w:bottom w:val="single" w:sz="4" w:space="0" w:color="auto"/>
              <w:right w:val="single" w:sz="4" w:space="0" w:color="auto"/>
            </w:tcBorders>
            <w:shd w:val="clear" w:color="auto" w:fill="C6EFCE"/>
            <w:noWrap/>
          </w:tcPr>
          <w:p w14:paraId="5BC2D107" w14:textId="77777777" w:rsidR="00515398" w:rsidRDefault="006711E6">
            <w:pPr>
              <w:pStyle w:val="P68B1DB1-Normal9"/>
              <w:spacing w:after="0" w:line="240" w:lineRule="auto"/>
              <w:rPr>
                <w:rFonts w:eastAsia="Times New Roman" w:cs="Calibri"/>
                <w:noProof/>
                <w:szCs w:val="18"/>
              </w:rPr>
            </w:pPr>
            <w:r>
              <w:rPr>
                <w:noProof/>
              </w:rPr>
              <w:t>8–3.1. Podpora tvorby pracovních míst a účasti na trhu práce – 16942_Digitální transformace veřejné služby zaměstnanosti (DYPA)</w:t>
            </w:r>
          </w:p>
        </w:tc>
        <w:tc>
          <w:tcPr>
            <w:tcW w:w="1037" w:type="dxa"/>
            <w:tcBorders>
              <w:top w:val="single" w:sz="4" w:space="0" w:color="auto"/>
              <w:left w:val="nil"/>
              <w:bottom w:val="single" w:sz="4" w:space="0" w:color="auto"/>
              <w:right w:val="single" w:sz="4" w:space="0" w:color="auto"/>
            </w:tcBorders>
            <w:shd w:val="clear" w:color="auto" w:fill="C6EFCE"/>
            <w:noWrap/>
          </w:tcPr>
          <w:p w14:paraId="5BD9E5E3" w14:textId="77777777" w:rsidR="00515398" w:rsidRDefault="006711E6">
            <w:pPr>
              <w:pStyle w:val="P68B1DB1-Normal9"/>
              <w:spacing w:after="0" w:line="240" w:lineRule="auto"/>
              <w:rPr>
                <w:rFonts w:eastAsia="Times New Roman" w:cs="Calibri"/>
                <w:noProof/>
                <w:szCs w:val="18"/>
              </w:rPr>
            </w:pPr>
            <w:r>
              <w:rPr>
                <w:noProof/>
              </w:rPr>
              <w:t>Milník</w:t>
            </w:r>
          </w:p>
        </w:tc>
        <w:tc>
          <w:tcPr>
            <w:tcW w:w="1323" w:type="dxa"/>
            <w:tcBorders>
              <w:top w:val="single" w:sz="4" w:space="0" w:color="auto"/>
              <w:left w:val="nil"/>
              <w:bottom w:val="single" w:sz="4" w:space="0" w:color="auto"/>
              <w:right w:val="single" w:sz="4" w:space="0" w:color="auto"/>
            </w:tcBorders>
            <w:shd w:val="clear" w:color="auto" w:fill="C6EFCE"/>
            <w:noWrap/>
          </w:tcPr>
          <w:p w14:paraId="51552854" w14:textId="77777777" w:rsidR="00515398" w:rsidRDefault="006711E6">
            <w:pPr>
              <w:pStyle w:val="P68B1DB1-Normal10"/>
              <w:spacing w:after="0" w:line="240" w:lineRule="auto"/>
              <w:rPr>
                <w:rFonts w:eastAsia="Times New Roman" w:cs="Calibri"/>
                <w:noProof/>
              </w:rPr>
            </w:pPr>
            <w:r>
              <w:rPr>
                <w:noProof/>
              </w:rPr>
              <w:t xml:space="preserve">DYPA Digitalizace, </w:t>
            </w:r>
            <w:r>
              <w:rPr>
                <w:noProof/>
              </w:rPr>
              <w:t>uchovávání a archivace archivů</w:t>
            </w:r>
          </w:p>
        </w:tc>
        <w:tc>
          <w:tcPr>
            <w:tcW w:w="1469" w:type="dxa"/>
            <w:tcBorders>
              <w:top w:val="single" w:sz="4" w:space="0" w:color="auto"/>
              <w:left w:val="nil"/>
              <w:bottom w:val="single" w:sz="4" w:space="0" w:color="auto"/>
              <w:right w:val="single" w:sz="4" w:space="0" w:color="auto"/>
            </w:tcBorders>
            <w:shd w:val="clear" w:color="auto" w:fill="C6EFCE"/>
            <w:noWrap/>
          </w:tcPr>
          <w:p w14:paraId="4AF909D0" w14:textId="77777777" w:rsidR="00515398" w:rsidRDefault="006711E6">
            <w:pPr>
              <w:pStyle w:val="P68B1DB1-Normal9"/>
              <w:spacing w:after="0" w:line="240" w:lineRule="auto"/>
              <w:rPr>
                <w:rFonts w:eastAsia="Times New Roman" w:cs="Calibri"/>
                <w:noProof/>
                <w:szCs w:val="18"/>
              </w:rPr>
            </w:pPr>
            <w:r>
              <w:rPr>
                <w:noProof/>
              </w:rPr>
              <w:t>Osvědčení o přijetí výstupů projektu</w:t>
            </w:r>
          </w:p>
        </w:tc>
        <w:tc>
          <w:tcPr>
            <w:tcW w:w="981" w:type="dxa"/>
            <w:tcBorders>
              <w:top w:val="nil"/>
              <w:left w:val="nil"/>
              <w:bottom w:val="single" w:sz="4" w:space="0" w:color="auto"/>
              <w:right w:val="single" w:sz="4" w:space="0" w:color="auto"/>
            </w:tcBorders>
            <w:shd w:val="clear" w:color="auto" w:fill="C6EFCE"/>
            <w:noWrap/>
          </w:tcPr>
          <w:p w14:paraId="4EFA4E99"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73A61BD8" w14:textId="77777777" w:rsidR="00515398" w:rsidRDefault="00515398">
            <w:pPr>
              <w:spacing w:after="0" w:line="240" w:lineRule="auto"/>
              <w:rPr>
                <w:rFonts w:eastAsia="Times New Roman" w:cs="Calibri"/>
                <w:noProof/>
                <w:color w:val="006100"/>
                <w:sz w:val="18"/>
                <w:szCs w:val="18"/>
              </w:rPr>
            </w:pPr>
          </w:p>
        </w:tc>
        <w:tc>
          <w:tcPr>
            <w:tcW w:w="709" w:type="dxa"/>
            <w:tcBorders>
              <w:top w:val="nil"/>
              <w:left w:val="nil"/>
              <w:bottom w:val="single" w:sz="4" w:space="0" w:color="auto"/>
              <w:right w:val="single" w:sz="4" w:space="0" w:color="auto"/>
            </w:tcBorders>
            <w:shd w:val="clear" w:color="auto" w:fill="C6EFCE"/>
            <w:noWrap/>
          </w:tcPr>
          <w:p w14:paraId="46872C9F" w14:textId="77777777" w:rsidR="00515398" w:rsidRDefault="00515398">
            <w:pPr>
              <w:spacing w:after="0" w:line="240" w:lineRule="auto"/>
              <w:rPr>
                <w:rFonts w:eastAsia="Times New Roman" w:cs="Calibri"/>
                <w:noProof/>
                <w:color w:val="006100"/>
                <w:sz w:val="18"/>
                <w:szCs w:val="18"/>
              </w:rPr>
            </w:pPr>
          </w:p>
        </w:tc>
        <w:tc>
          <w:tcPr>
            <w:tcW w:w="996" w:type="dxa"/>
            <w:tcBorders>
              <w:top w:val="nil"/>
              <w:left w:val="nil"/>
              <w:bottom w:val="single" w:sz="4" w:space="0" w:color="auto"/>
              <w:right w:val="single" w:sz="4" w:space="0" w:color="auto"/>
            </w:tcBorders>
            <w:shd w:val="clear" w:color="auto" w:fill="C6EFCE"/>
            <w:noWrap/>
          </w:tcPr>
          <w:p w14:paraId="4AC7B30B" w14:textId="77777777" w:rsidR="00515398" w:rsidRDefault="006711E6">
            <w:pPr>
              <w:pStyle w:val="P68B1DB1-Normal10"/>
              <w:spacing w:after="0" w:line="240" w:lineRule="auto"/>
              <w:rPr>
                <w:rFonts w:eastAsia="Times New Roman" w:cs="Calibri"/>
                <w:noProof/>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6A2C7A52" w14:textId="77777777" w:rsidR="00515398" w:rsidRDefault="006711E6">
            <w:pPr>
              <w:pStyle w:val="P68B1DB1-Normal10"/>
              <w:spacing w:after="0" w:line="240" w:lineRule="auto"/>
              <w:rPr>
                <w:rFonts w:eastAsia="Times New Roman" w:cs="Calibri"/>
                <w:noProof/>
              </w:rPr>
            </w:pPr>
            <w:r>
              <w:rPr>
                <w:noProof/>
              </w:rPr>
              <w:t>2023</w:t>
            </w:r>
          </w:p>
        </w:tc>
        <w:tc>
          <w:tcPr>
            <w:tcW w:w="4248" w:type="dxa"/>
            <w:tcBorders>
              <w:top w:val="nil"/>
              <w:left w:val="nil"/>
              <w:bottom w:val="single" w:sz="4" w:space="0" w:color="auto"/>
              <w:right w:val="single" w:sz="4" w:space="0" w:color="auto"/>
            </w:tcBorders>
            <w:shd w:val="clear" w:color="auto" w:fill="C6EFCE"/>
            <w:noWrap/>
          </w:tcPr>
          <w:p w14:paraId="475D8703" w14:textId="77777777" w:rsidR="00515398" w:rsidRDefault="006711E6">
            <w:pPr>
              <w:pStyle w:val="P68B1DB1-Normal9"/>
              <w:spacing w:after="0" w:line="240" w:lineRule="auto"/>
              <w:rPr>
                <w:rFonts w:eastAsia="Times New Roman" w:cs="Calibri"/>
                <w:noProof/>
                <w:szCs w:val="18"/>
              </w:rPr>
            </w:pPr>
            <w:r>
              <w:rPr>
                <w:noProof/>
              </w:rPr>
              <w:t>Dokončení digitalizace, uchovávání a archivace archivů DYPA.</w:t>
            </w:r>
          </w:p>
        </w:tc>
      </w:tr>
      <w:tr w:rsidR="00515398" w14:paraId="7FEC7A69"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5FCBBEB" w14:textId="77777777" w:rsidR="00515398" w:rsidRDefault="006711E6">
            <w:pPr>
              <w:pStyle w:val="P68B1DB1-Normal9"/>
              <w:spacing w:after="0" w:line="240" w:lineRule="auto"/>
              <w:rPr>
                <w:rFonts w:eastAsia="Times New Roman" w:cs="Calibri"/>
                <w:noProof/>
                <w:szCs w:val="18"/>
              </w:rPr>
            </w:pPr>
            <w:r>
              <w:rPr>
                <w:noProof/>
              </w:rPr>
              <w:t>135a</w:t>
            </w:r>
          </w:p>
        </w:tc>
        <w:tc>
          <w:tcPr>
            <w:tcW w:w="1853" w:type="dxa"/>
            <w:tcBorders>
              <w:top w:val="single" w:sz="4" w:space="0" w:color="auto"/>
              <w:left w:val="nil"/>
              <w:bottom w:val="single" w:sz="4" w:space="0" w:color="auto"/>
              <w:right w:val="single" w:sz="4" w:space="0" w:color="auto"/>
            </w:tcBorders>
            <w:shd w:val="clear" w:color="auto" w:fill="C6EFCE"/>
            <w:noWrap/>
          </w:tcPr>
          <w:p w14:paraId="3BC1FEC9" w14:textId="77777777" w:rsidR="00515398" w:rsidRDefault="006711E6">
            <w:pPr>
              <w:pStyle w:val="P68B1DB1-Normal9"/>
              <w:spacing w:after="0" w:line="240" w:lineRule="auto"/>
              <w:rPr>
                <w:rFonts w:eastAsia="Times New Roman" w:cs="Calibri"/>
                <w:noProof/>
                <w:szCs w:val="18"/>
              </w:rPr>
            </w:pPr>
            <w:r>
              <w:rPr>
                <w:noProof/>
              </w:rPr>
              <w:t xml:space="preserve">8–3.1. Podpora tvorby pracovních míst a účasti na trhu práce – 16942_Digitální transformace </w:t>
            </w:r>
            <w:r>
              <w:rPr>
                <w:noProof/>
              </w:rPr>
              <w:t>veřejné služby zaměstnanosti</w:t>
            </w:r>
          </w:p>
        </w:tc>
        <w:tc>
          <w:tcPr>
            <w:tcW w:w="1037" w:type="dxa"/>
            <w:tcBorders>
              <w:top w:val="single" w:sz="4" w:space="0" w:color="auto"/>
              <w:left w:val="nil"/>
              <w:bottom w:val="single" w:sz="4" w:space="0" w:color="auto"/>
              <w:right w:val="single" w:sz="4" w:space="0" w:color="auto"/>
            </w:tcBorders>
            <w:shd w:val="clear" w:color="auto" w:fill="C6EFCE"/>
            <w:noWrap/>
          </w:tcPr>
          <w:p w14:paraId="1C584BC0" w14:textId="77777777" w:rsidR="00515398" w:rsidRDefault="006711E6">
            <w:pPr>
              <w:pStyle w:val="P68B1DB1-Normal9"/>
              <w:spacing w:after="0" w:line="240" w:lineRule="auto"/>
              <w:rPr>
                <w:rFonts w:eastAsia="Times New Roman" w:cs="Calibri"/>
                <w:noProof/>
                <w:szCs w:val="18"/>
              </w:rPr>
            </w:pPr>
            <w:r>
              <w:rPr>
                <w:noProof/>
              </w:rPr>
              <w:t>Cílová</w:t>
            </w:r>
          </w:p>
        </w:tc>
        <w:tc>
          <w:tcPr>
            <w:tcW w:w="1323" w:type="dxa"/>
            <w:tcBorders>
              <w:top w:val="single" w:sz="4" w:space="0" w:color="auto"/>
              <w:left w:val="nil"/>
              <w:bottom w:val="single" w:sz="4" w:space="0" w:color="auto"/>
              <w:right w:val="single" w:sz="4" w:space="0" w:color="auto"/>
            </w:tcBorders>
            <w:shd w:val="clear" w:color="auto" w:fill="C6EFCE"/>
            <w:noWrap/>
          </w:tcPr>
          <w:p w14:paraId="025EB95B" w14:textId="77777777" w:rsidR="00515398" w:rsidRDefault="006711E6">
            <w:pPr>
              <w:pStyle w:val="P68B1DB1-Normal9"/>
              <w:spacing w:after="0" w:line="240" w:lineRule="auto"/>
              <w:rPr>
                <w:rFonts w:cs="Calibri"/>
                <w:noProof/>
                <w:szCs w:val="18"/>
              </w:rPr>
            </w:pPr>
            <w:r>
              <w:rPr>
                <w:noProof/>
              </w:rPr>
              <w:t>Digitální transformace DYPA</w:t>
            </w:r>
          </w:p>
        </w:tc>
        <w:tc>
          <w:tcPr>
            <w:tcW w:w="1469" w:type="dxa"/>
            <w:tcBorders>
              <w:top w:val="single" w:sz="4" w:space="0" w:color="auto"/>
              <w:left w:val="nil"/>
              <w:bottom w:val="single" w:sz="4" w:space="0" w:color="auto"/>
              <w:right w:val="single" w:sz="4" w:space="0" w:color="auto"/>
            </w:tcBorders>
            <w:shd w:val="clear" w:color="auto" w:fill="C6EFCE"/>
            <w:noWrap/>
          </w:tcPr>
          <w:p w14:paraId="06F978CE" w14:textId="77777777" w:rsidR="00515398" w:rsidRDefault="006711E6">
            <w:pPr>
              <w:pStyle w:val="P68B1DB1-Normal9"/>
              <w:spacing w:after="0" w:line="240" w:lineRule="auto"/>
              <w:rPr>
                <w:rFonts w:eastAsia="Times New Roman" w:cs="Calibri"/>
                <w:noProof/>
                <w:szCs w:val="18"/>
              </w:rPr>
            </w:pPr>
            <w:r>
              <w:rPr>
                <w:noProof/>
              </w:rPr>
              <w:t>Zpráva DYPA potvrzující dokončení projektů a, b, c a d</w:t>
            </w:r>
          </w:p>
        </w:tc>
        <w:tc>
          <w:tcPr>
            <w:tcW w:w="981" w:type="dxa"/>
            <w:tcBorders>
              <w:top w:val="single" w:sz="4" w:space="0" w:color="auto"/>
              <w:left w:val="nil"/>
              <w:bottom w:val="single" w:sz="4" w:space="0" w:color="auto"/>
              <w:right w:val="single" w:sz="4" w:space="0" w:color="auto"/>
            </w:tcBorders>
            <w:shd w:val="clear" w:color="auto" w:fill="C6EFCE"/>
            <w:noWrap/>
          </w:tcPr>
          <w:p w14:paraId="2B9C38C7"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233AEEC5" w14:textId="77777777" w:rsidR="00515398" w:rsidRDefault="00515398">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26E6C6E9" w14:textId="77777777" w:rsidR="00515398" w:rsidRDefault="00515398">
            <w:pPr>
              <w:spacing w:after="0" w:line="240" w:lineRule="auto"/>
              <w:rPr>
                <w:rFonts w:eastAsia="Times New Roman" w:cs="Calibri"/>
                <w:noProof/>
                <w:color w:val="006100"/>
                <w:sz w:val="18"/>
                <w:szCs w:val="18"/>
              </w:rPr>
            </w:pPr>
          </w:p>
        </w:tc>
        <w:tc>
          <w:tcPr>
            <w:tcW w:w="996" w:type="dxa"/>
            <w:tcBorders>
              <w:top w:val="single" w:sz="4" w:space="0" w:color="auto"/>
              <w:left w:val="nil"/>
              <w:bottom w:val="single" w:sz="4" w:space="0" w:color="auto"/>
              <w:right w:val="single" w:sz="4" w:space="0" w:color="auto"/>
            </w:tcBorders>
            <w:shd w:val="clear" w:color="auto" w:fill="C6EFCE"/>
            <w:noWrap/>
          </w:tcPr>
          <w:p w14:paraId="7E699179"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32FED9B0" w14:textId="77777777" w:rsidR="00515398" w:rsidRDefault="006711E6">
            <w:pPr>
              <w:pStyle w:val="P68B1DB1-Normal9"/>
              <w:spacing w:after="0" w:line="240" w:lineRule="auto"/>
              <w:rPr>
                <w:rFonts w:eastAsia="Times New Roman" w:cs="Calibri"/>
                <w:noProof/>
                <w:szCs w:val="18"/>
              </w:rPr>
            </w:pPr>
            <w:r>
              <w:rPr>
                <w:noProof/>
              </w:rPr>
              <w:t>2025</w:t>
            </w:r>
          </w:p>
        </w:tc>
        <w:tc>
          <w:tcPr>
            <w:tcW w:w="4248" w:type="dxa"/>
            <w:tcBorders>
              <w:top w:val="single" w:sz="4" w:space="0" w:color="auto"/>
              <w:left w:val="single" w:sz="4" w:space="0" w:color="auto"/>
              <w:bottom w:val="single" w:sz="4" w:space="0" w:color="auto"/>
              <w:right w:val="single" w:sz="4" w:space="0" w:color="auto"/>
            </w:tcBorders>
            <w:shd w:val="clear" w:color="auto" w:fill="C6EFCE"/>
            <w:noWrap/>
          </w:tcPr>
          <w:p w14:paraId="75F2076E" w14:textId="77777777" w:rsidR="00515398" w:rsidRDefault="006711E6">
            <w:pPr>
              <w:pStyle w:val="P68B1DB1-paragraph26"/>
              <w:spacing w:before="0" w:beforeAutospacing="0" w:after="0" w:afterAutospacing="0"/>
              <w:textAlignment w:val="baseline"/>
              <w:rPr>
                <w:rFonts w:cs="Calibri"/>
                <w:noProof/>
                <w:szCs w:val="18"/>
              </w:rPr>
            </w:pPr>
            <w:r>
              <w:rPr>
                <w:noProof/>
              </w:rPr>
              <w:t xml:space="preserve">Dokončení digitální transformace veřejných služeb zaměstnanosti prostřednictvím: </w:t>
            </w:r>
          </w:p>
          <w:p w14:paraId="611406A3" w14:textId="77777777" w:rsidR="00515398" w:rsidRDefault="006711E6">
            <w:pPr>
              <w:pStyle w:val="P68B1DB1-paragraph26"/>
              <w:spacing w:before="0" w:beforeAutospacing="0" w:after="0" w:afterAutospacing="0"/>
              <w:textAlignment w:val="baseline"/>
              <w:rPr>
                <w:noProof/>
              </w:rPr>
            </w:pPr>
            <w:r>
              <w:rPr>
                <w:noProof/>
              </w:rPr>
              <w:t>a) nákup sedmi nových systémů I</w:t>
            </w:r>
            <w:r>
              <w:rPr>
                <w:noProof/>
              </w:rPr>
              <w:t xml:space="preserve">T, a to jak internetových, tak původních aplikací (VET OPS, systém správy aktiv, FMIS, HRM, kybernetická bezpečnost, Chatbot, Virtual Desktop Infrastructure (VDI)); </w:t>
            </w:r>
          </w:p>
          <w:p w14:paraId="584F88D5" w14:textId="77777777" w:rsidR="00515398" w:rsidRDefault="006711E6">
            <w:pPr>
              <w:pStyle w:val="P68B1DB1-paragraph26"/>
              <w:spacing w:before="0" w:beforeAutospacing="0" w:after="0" w:afterAutospacing="0"/>
              <w:textAlignment w:val="baseline"/>
              <w:rPr>
                <w:noProof/>
              </w:rPr>
            </w:pPr>
            <w:r>
              <w:rPr>
                <w:noProof/>
              </w:rPr>
              <w:t>b) přepracování tří stávajících informačních systémů veřejné služby zaměstnanosti, konkrét</w:t>
            </w:r>
            <w:r>
              <w:rPr>
                <w:noProof/>
              </w:rPr>
              <w:t>ně (ex OEAD) aplikace DYPA, OPS (ex OAED) DYPA, nového rozhodovacího systému založeného na důkazech a založeném na datech;</w:t>
            </w:r>
          </w:p>
          <w:p w14:paraId="7E41499D" w14:textId="77777777" w:rsidR="00515398" w:rsidRDefault="006711E6">
            <w:pPr>
              <w:pStyle w:val="P68B1DB1-paragraph26"/>
              <w:spacing w:before="0" w:beforeAutospacing="0" w:after="0" w:afterAutospacing="0"/>
              <w:textAlignment w:val="baseline"/>
              <w:rPr>
                <w:noProof/>
              </w:rPr>
            </w:pPr>
            <w:r>
              <w:rPr>
                <w:noProof/>
              </w:rPr>
              <w:t>C) Rozšíření digitálních služeb (prostřednictvím aplikace DYPA), které umožní DYPA poskytovat elektronické služby nezaměstnaným a fir</w:t>
            </w:r>
            <w:r>
              <w:rPr>
                <w:noProof/>
              </w:rPr>
              <w:t xml:space="preserve">mám prostřednictvím mobilních telefonů a tabletů; </w:t>
            </w:r>
          </w:p>
          <w:p w14:paraId="29B1FE01" w14:textId="74DEE71C" w:rsidR="00515398" w:rsidRDefault="006711E6">
            <w:pPr>
              <w:pStyle w:val="P68B1DB1-paragraph26"/>
              <w:spacing w:before="0" w:beforeAutospacing="0" w:after="0" w:afterAutospacing="0"/>
              <w:rPr>
                <w:noProof/>
              </w:rPr>
            </w:pPr>
            <w:r>
              <w:rPr>
                <w:noProof/>
              </w:rPr>
              <w:t>d) Vytvoření nástroje, který pomůže veřejné službě zaměstnanosti optimalizovat proces sladění nabídky a poptávky.</w:t>
            </w:r>
          </w:p>
          <w:p w14:paraId="2C6A2A7B" w14:textId="77777777" w:rsidR="00515398" w:rsidRDefault="00515398">
            <w:pPr>
              <w:spacing w:after="0" w:line="240" w:lineRule="auto"/>
              <w:rPr>
                <w:rFonts w:eastAsia="Times New Roman" w:cs="Calibri"/>
                <w:noProof/>
                <w:color w:val="006100"/>
                <w:sz w:val="18"/>
                <w:szCs w:val="18"/>
              </w:rPr>
            </w:pPr>
          </w:p>
        </w:tc>
      </w:tr>
      <w:tr w:rsidR="00515398" w14:paraId="4DA037FA"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D28F0D8" w14:textId="781A60F4" w:rsidR="00515398" w:rsidRDefault="006711E6">
            <w:pPr>
              <w:pStyle w:val="P68B1DB1-Normal17"/>
              <w:spacing w:after="0" w:line="240" w:lineRule="auto"/>
              <w:rPr>
                <w:noProof/>
              </w:rPr>
            </w:pPr>
            <w:r>
              <w:rPr>
                <w:noProof/>
              </w:rPr>
              <w:t>134a</w:t>
            </w:r>
          </w:p>
        </w:tc>
        <w:tc>
          <w:tcPr>
            <w:tcW w:w="1853" w:type="dxa"/>
            <w:tcBorders>
              <w:top w:val="single" w:sz="4" w:space="0" w:color="auto"/>
              <w:left w:val="nil"/>
              <w:bottom w:val="single" w:sz="4" w:space="0" w:color="auto"/>
              <w:right w:val="single" w:sz="4" w:space="0" w:color="auto"/>
            </w:tcBorders>
            <w:shd w:val="clear" w:color="auto" w:fill="C6EFCE"/>
            <w:noWrap/>
          </w:tcPr>
          <w:p w14:paraId="46AC5AE5" w14:textId="6D6B43F7" w:rsidR="00515398" w:rsidRDefault="006711E6">
            <w:pPr>
              <w:pStyle w:val="P68B1DB1-Normal9"/>
              <w:spacing w:after="0" w:line="240" w:lineRule="auto"/>
              <w:rPr>
                <w:rFonts w:eastAsia="Times New Roman" w:cs="Calibri"/>
                <w:noProof/>
                <w:szCs w:val="18"/>
              </w:rPr>
            </w:pPr>
            <w:r>
              <w:rPr>
                <w:noProof/>
              </w:rPr>
              <w:t xml:space="preserve">8–3.1. Podpora tvorby pracovních míst a účasti na trhu práce – 16750_Digitální </w:t>
            </w:r>
            <w:r>
              <w:rPr>
                <w:noProof/>
              </w:rPr>
              <w:t>transformace systémů práce</w:t>
            </w:r>
          </w:p>
        </w:tc>
        <w:tc>
          <w:tcPr>
            <w:tcW w:w="1037" w:type="dxa"/>
            <w:tcBorders>
              <w:top w:val="single" w:sz="4" w:space="0" w:color="auto"/>
              <w:left w:val="nil"/>
              <w:bottom w:val="single" w:sz="4" w:space="0" w:color="auto"/>
              <w:right w:val="single" w:sz="4" w:space="0" w:color="auto"/>
            </w:tcBorders>
            <w:shd w:val="clear" w:color="auto" w:fill="C6EFCE"/>
            <w:noWrap/>
          </w:tcPr>
          <w:p w14:paraId="5D27E785" w14:textId="681BD056" w:rsidR="00515398" w:rsidRDefault="006711E6">
            <w:pPr>
              <w:pStyle w:val="P68B1DB1-Normal17"/>
              <w:spacing w:after="0" w:line="240" w:lineRule="auto"/>
              <w:rPr>
                <w:noProof/>
              </w:rPr>
            </w:pPr>
            <w:r>
              <w:rPr>
                <w:noProof/>
              </w:rPr>
              <w:t>Milník</w:t>
            </w:r>
          </w:p>
        </w:tc>
        <w:tc>
          <w:tcPr>
            <w:tcW w:w="1323" w:type="dxa"/>
            <w:tcBorders>
              <w:top w:val="single" w:sz="4" w:space="0" w:color="auto"/>
              <w:left w:val="nil"/>
              <w:bottom w:val="single" w:sz="4" w:space="0" w:color="auto"/>
              <w:right w:val="single" w:sz="4" w:space="0" w:color="auto"/>
            </w:tcBorders>
            <w:shd w:val="clear" w:color="auto" w:fill="C6EFCE"/>
            <w:noWrap/>
          </w:tcPr>
          <w:p w14:paraId="5EE9BB79" w14:textId="381C54C6" w:rsidR="00515398" w:rsidRDefault="006711E6">
            <w:pPr>
              <w:pStyle w:val="P68B1DB1-Normal9"/>
              <w:spacing w:after="0" w:line="240" w:lineRule="auto"/>
              <w:rPr>
                <w:rFonts w:eastAsia="Times New Roman" w:cs="Calibri"/>
                <w:noProof/>
                <w:szCs w:val="18"/>
              </w:rPr>
            </w:pPr>
            <w:r>
              <w:rPr>
                <w:noProof/>
              </w:rPr>
              <w:t>Dokončení informačních systémů práce</w:t>
            </w:r>
          </w:p>
        </w:tc>
        <w:tc>
          <w:tcPr>
            <w:tcW w:w="1469" w:type="dxa"/>
            <w:tcBorders>
              <w:top w:val="single" w:sz="4" w:space="0" w:color="auto"/>
              <w:left w:val="nil"/>
              <w:bottom w:val="single" w:sz="4" w:space="0" w:color="auto"/>
              <w:right w:val="single" w:sz="4" w:space="0" w:color="auto"/>
            </w:tcBorders>
            <w:shd w:val="clear" w:color="auto" w:fill="C6EFCE"/>
            <w:noWrap/>
          </w:tcPr>
          <w:p w14:paraId="47C9E8D9" w14:textId="770297BB" w:rsidR="00515398" w:rsidRDefault="006711E6">
            <w:pPr>
              <w:pStyle w:val="P68B1DB1-Normal17"/>
              <w:spacing w:after="0" w:line="240" w:lineRule="auto"/>
              <w:rPr>
                <w:noProof/>
              </w:rPr>
            </w:pPr>
            <w:r>
              <w:rPr>
                <w:noProof/>
              </w:rPr>
              <w:t>Osvědčení o přijetí výstupů projektů</w:t>
            </w:r>
          </w:p>
        </w:tc>
        <w:tc>
          <w:tcPr>
            <w:tcW w:w="981" w:type="dxa"/>
            <w:tcBorders>
              <w:top w:val="single" w:sz="4" w:space="0" w:color="auto"/>
              <w:left w:val="nil"/>
              <w:bottom w:val="single" w:sz="4" w:space="0" w:color="auto"/>
              <w:right w:val="single" w:sz="4" w:space="0" w:color="auto"/>
            </w:tcBorders>
            <w:shd w:val="clear" w:color="auto" w:fill="C6EFCE"/>
            <w:noWrap/>
          </w:tcPr>
          <w:p w14:paraId="27F6A925"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CC3C1E4" w14:textId="77777777" w:rsidR="00515398" w:rsidRDefault="00515398">
            <w:pPr>
              <w:spacing w:after="0" w:line="240" w:lineRule="auto"/>
              <w:rPr>
                <w:rFonts w:eastAsia="Times New Roman" w:cs="Calibri"/>
                <w:noProof/>
                <w:color w:val="006100"/>
                <w:sz w:val="18"/>
                <w:szCs w:val="18"/>
              </w:rPr>
            </w:pPr>
          </w:p>
        </w:tc>
        <w:tc>
          <w:tcPr>
            <w:tcW w:w="709" w:type="dxa"/>
            <w:tcBorders>
              <w:top w:val="single" w:sz="4" w:space="0" w:color="auto"/>
              <w:left w:val="nil"/>
              <w:bottom w:val="single" w:sz="4" w:space="0" w:color="auto"/>
              <w:right w:val="single" w:sz="4" w:space="0" w:color="auto"/>
            </w:tcBorders>
            <w:shd w:val="clear" w:color="auto" w:fill="C6EFCE"/>
            <w:noWrap/>
          </w:tcPr>
          <w:p w14:paraId="3CF20C50" w14:textId="77777777" w:rsidR="00515398" w:rsidRDefault="00515398">
            <w:pPr>
              <w:spacing w:after="0" w:line="240" w:lineRule="auto"/>
              <w:rPr>
                <w:rFonts w:eastAsia="Times New Roman" w:cs="Calibri"/>
                <w:noProof/>
                <w:color w:val="006100"/>
                <w:sz w:val="18"/>
                <w:szCs w:val="18"/>
              </w:rPr>
            </w:pPr>
          </w:p>
        </w:tc>
        <w:tc>
          <w:tcPr>
            <w:tcW w:w="996" w:type="dxa"/>
            <w:tcBorders>
              <w:top w:val="single" w:sz="4" w:space="0" w:color="auto"/>
              <w:left w:val="nil"/>
              <w:bottom w:val="single" w:sz="4" w:space="0" w:color="auto"/>
              <w:right w:val="single" w:sz="4" w:space="0" w:color="auto"/>
            </w:tcBorders>
            <w:shd w:val="clear" w:color="auto" w:fill="C6EFCE"/>
            <w:noWrap/>
          </w:tcPr>
          <w:p w14:paraId="2CCF33A7" w14:textId="71ED5DA6" w:rsidR="00515398" w:rsidRDefault="006711E6">
            <w:pPr>
              <w:pStyle w:val="P68B1DB1-Normal17"/>
              <w:spacing w:after="0" w:line="240" w:lineRule="auto"/>
              <w:rPr>
                <w:noProof/>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23FD584C" w14:textId="781D4DCA" w:rsidR="00515398" w:rsidRDefault="006711E6">
            <w:pPr>
              <w:pStyle w:val="P68B1DB1-Normal17"/>
              <w:spacing w:after="0" w:line="240" w:lineRule="auto"/>
              <w:rPr>
                <w:noProof/>
              </w:rPr>
            </w:pPr>
            <w:r>
              <w:rPr>
                <w:noProof/>
              </w:rPr>
              <w:t>2025</w:t>
            </w:r>
          </w:p>
        </w:tc>
        <w:tc>
          <w:tcPr>
            <w:tcW w:w="4248" w:type="dxa"/>
            <w:tcBorders>
              <w:top w:val="single" w:sz="4" w:space="0" w:color="auto"/>
              <w:left w:val="single" w:sz="4" w:space="0" w:color="auto"/>
              <w:bottom w:val="single" w:sz="4" w:space="0" w:color="auto"/>
              <w:right w:val="single" w:sz="4" w:space="0" w:color="auto"/>
            </w:tcBorders>
            <w:shd w:val="clear" w:color="auto" w:fill="C6EFCE"/>
            <w:noWrap/>
          </w:tcPr>
          <w:p w14:paraId="16FAD136" w14:textId="088C1163" w:rsidR="00515398" w:rsidRDefault="006711E6">
            <w:pPr>
              <w:pStyle w:val="P68B1DB1-Normal9"/>
              <w:spacing w:after="0" w:line="240" w:lineRule="auto"/>
              <w:rPr>
                <w:rFonts w:eastAsia="Times New Roman" w:cs="Calibri"/>
                <w:noProof/>
                <w:szCs w:val="18"/>
              </w:rPr>
            </w:pPr>
            <w:r>
              <w:rPr>
                <w:noProof/>
              </w:rPr>
              <w:t>Dokončení těchto projektů:</w:t>
            </w:r>
          </w:p>
          <w:p w14:paraId="2F38BB51" w14:textId="77777777" w:rsidR="00515398" w:rsidRDefault="006711E6">
            <w:pPr>
              <w:pStyle w:val="P68B1DB1-Normal9"/>
              <w:spacing w:after="0" w:line="240" w:lineRule="auto"/>
              <w:rPr>
                <w:rFonts w:eastAsia="Times New Roman" w:cs="Calibri"/>
                <w:noProof/>
                <w:szCs w:val="18"/>
              </w:rPr>
            </w:pPr>
            <w:r>
              <w:rPr>
                <w:noProof/>
              </w:rPr>
              <w:t>Jednotný informační systém pro sledování trhu práce (ARIADNE)</w:t>
            </w:r>
          </w:p>
          <w:p w14:paraId="2E76DCD5" w14:textId="77777777" w:rsidR="00515398" w:rsidRDefault="006711E6">
            <w:pPr>
              <w:pStyle w:val="P68B1DB1-Normal9"/>
              <w:spacing w:after="0" w:line="240" w:lineRule="auto"/>
              <w:rPr>
                <w:rFonts w:eastAsia="Times New Roman" w:cs="Calibri"/>
                <w:noProof/>
                <w:szCs w:val="18"/>
              </w:rPr>
            </w:pPr>
            <w:r>
              <w:rPr>
                <w:noProof/>
              </w:rPr>
              <w:t>Bezpečnost a ochrana zdraví při prá</w:t>
            </w:r>
            <w:r>
              <w:rPr>
                <w:noProof/>
              </w:rPr>
              <w:t>ci (HERIDANOS)</w:t>
            </w:r>
          </w:p>
          <w:p w14:paraId="21029905" w14:textId="77777777" w:rsidR="00515398" w:rsidRDefault="006711E6">
            <w:pPr>
              <w:pStyle w:val="P68B1DB1-Normal9"/>
              <w:spacing w:after="0" w:line="240" w:lineRule="auto"/>
              <w:rPr>
                <w:rFonts w:eastAsia="Times New Roman" w:cs="Calibri"/>
                <w:noProof/>
                <w:szCs w:val="18"/>
              </w:rPr>
            </w:pPr>
            <w:r>
              <w:rPr>
                <w:noProof/>
              </w:rPr>
              <w:t>— Proces stanovování zákonné minimální mzdy</w:t>
            </w:r>
          </w:p>
          <w:p w14:paraId="7BB50CC9" w14:textId="77777777" w:rsidR="00515398" w:rsidRDefault="006711E6">
            <w:pPr>
              <w:pStyle w:val="P68B1DB1-Normal9"/>
              <w:spacing w:after="0" w:line="240" w:lineRule="auto"/>
              <w:rPr>
                <w:rFonts w:eastAsia="Times New Roman" w:cs="Calibri"/>
                <w:noProof/>
                <w:szCs w:val="18"/>
              </w:rPr>
            </w:pPr>
            <w:r>
              <w:rPr>
                <w:noProof/>
              </w:rPr>
              <w:t xml:space="preserve">Digitalizace historie pojištění Jednotného penzijního fondu (e-EFKA) </w:t>
            </w:r>
          </w:p>
          <w:p w14:paraId="7F5DD423" w14:textId="647B77F5" w:rsidR="00515398" w:rsidRDefault="006711E6">
            <w:pPr>
              <w:pStyle w:val="P68B1DB1-Normal10"/>
              <w:spacing w:after="0" w:line="240" w:lineRule="auto"/>
              <w:rPr>
                <w:rFonts w:eastAsia="Times New Roman" w:cs="Calibri"/>
                <w:noProof/>
              </w:rPr>
            </w:pPr>
            <w:r>
              <w:rPr>
                <w:noProof/>
              </w:rPr>
              <w:t>Nový integrovaný informační systém pro e-EFKA (EFKA IITS), včetně modernizace digitálního systému pro udělování důchodových prá</w:t>
            </w:r>
            <w:r>
              <w:rPr>
                <w:noProof/>
              </w:rPr>
              <w:t>v (ATLAS)</w:t>
            </w:r>
          </w:p>
        </w:tc>
      </w:tr>
    </w:tbl>
    <w:p w14:paraId="6A99AD9F" w14:textId="7E46DB1A" w:rsidR="00515398" w:rsidRDefault="006711E6">
      <w:pPr>
        <w:pStyle w:val="NormalLeft"/>
        <w:jc w:val="both"/>
        <w:rPr>
          <w:noProof/>
        </w:rPr>
        <w:sectPr w:rsidR="00515398" w:rsidSect="00271D33">
          <w:headerReference w:type="even" r:id="rId139"/>
          <w:headerReference w:type="default" r:id="rId140"/>
          <w:footerReference w:type="even" r:id="rId141"/>
          <w:footerReference w:type="default" r:id="rId142"/>
          <w:headerReference w:type="first" r:id="rId143"/>
          <w:footerReference w:type="first" r:id="rId144"/>
          <w:pgSz w:w="16839" w:h="11907" w:orient="landscape"/>
          <w:pgMar w:top="720" w:right="720" w:bottom="720" w:left="720" w:header="709" w:footer="217" w:gutter="0"/>
          <w:cols w:space="720"/>
          <w:docGrid w:linePitch="360"/>
        </w:sectPr>
      </w:pPr>
      <w:r>
        <w:rPr>
          <w:noProof/>
        </w:rPr>
        <w:br/>
      </w:r>
    </w:p>
    <w:p w14:paraId="24A69823" w14:textId="77777777" w:rsidR="00515398" w:rsidRDefault="006711E6">
      <w:pPr>
        <w:pStyle w:val="P68B1DB1-Normal2"/>
        <w:spacing w:before="120" w:after="120" w:line="240" w:lineRule="auto"/>
        <w:ind w:firstLine="6"/>
        <w:jc w:val="both"/>
        <w:outlineLvl w:val="3"/>
        <w:rPr>
          <w:rFonts w:cs="Times New Roman"/>
          <w:bCs/>
          <w:noProof/>
        </w:rPr>
      </w:pPr>
      <w:r>
        <w:rPr>
          <w:noProof/>
        </w:rPr>
        <w:t>I. SLOŽKA 3.2: VZDĚLÁVÁNÍ, ODBORNÉ VZDĚLÁVÁNÍ A PŘÍPRAVA A DOVEDNOSTI</w:t>
      </w:r>
    </w:p>
    <w:p w14:paraId="2627355B" w14:textId="77777777" w:rsidR="00515398" w:rsidRDefault="006711E6">
      <w:pPr>
        <w:pStyle w:val="P68B1DB1-Normal4"/>
        <w:spacing w:before="120" w:after="120" w:line="240" w:lineRule="auto"/>
        <w:jc w:val="both"/>
        <w:rPr>
          <w:rFonts w:cs="Times New Roman"/>
          <w:noProof/>
          <w:color w:val="000000"/>
          <w:shd w:val="clear" w:color="auto" w:fill="FFFFFF"/>
        </w:rPr>
      </w:pPr>
      <w:r>
        <w:rPr>
          <w:noProof/>
        </w:rPr>
        <w:t xml:space="preserve">Cílem této složky řeckého plánu pro oživení a odolnost je zlepšit kvalitu, účinnost a účelnost systémů </w:t>
      </w:r>
      <w:r>
        <w:rPr>
          <w:noProof/>
        </w:rPr>
        <w:t>vzdělávání a celoživotního učení. Složka zahrnuje investice do horizontálních programů prohlubování digitálních, zelených a finančních dovedností pro celkem 628000 příjemců. To je doprovázeno reformou systému celoživotního učení s cílem zlepšit poskytování</w:t>
      </w:r>
      <w:r>
        <w:rPr>
          <w:noProof/>
        </w:rPr>
        <w:t xml:space="preserve"> odborné přípravy a souborem reforem a investic zaměřených na systémy odborného vzdělávání a přípravy a učňovské přípravy s cílem zlepšit jejich relevantnost pro trh práce. Pokud jde o odborné vzdělávání a přípravu, cílem plánu je modernizovat infrastruktu</w:t>
      </w:r>
      <w:r>
        <w:rPr>
          <w:noProof/>
        </w:rPr>
        <w:t xml:space="preserve">ry a vybavení v oblasti odborného vzdělávání a přípravy a modernizovat stávající osnovy. Plán navíc stanoví novou strategii pro excelenci na univerzitách, jejímž cílem je zlepšit jejich výsledky výzkumu a kvalitu vzdělávání prostřednictvím </w:t>
      </w:r>
      <w:r>
        <w:rPr>
          <w:noProof/>
          <w:color w:val="000000"/>
        </w:rPr>
        <w:t>investic do mode</w:t>
      </w:r>
      <w:r>
        <w:rPr>
          <w:noProof/>
          <w:color w:val="000000"/>
        </w:rPr>
        <w:t xml:space="preserve">rnizace výzkumných a vzdělávacích infrastruktur, podpory výzkumných </w:t>
      </w:r>
      <w:r>
        <w:rPr>
          <w:noProof/>
        </w:rPr>
        <w:t xml:space="preserve">projektů </w:t>
      </w:r>
      <w:r>
        <w:rPr>
          <w:noProof/>
          <w:color w:val="000000"/>
        </w:rPr>
        <w:t xml:space="preserve">a doktorských projektů, a </w:t>
      </w:r>
      <w:r>
        <w:rPr>
          <w:noProof/>
        </w:rPr>
        <w:t xml:space="preserve"> to i ve spolupráci se soukromým sektorem, a </w:t>
      </w:r>
      <w:r>
        <w:rPr>
          <w:noProof/>
          <w:color w:val="000000"/>
        </w:rPr>
        <w:t>návštěvnických programů</w:t>
      </w:r>
      <w:r>
        <w:rPr>
          <w:noProof/>
        </w:rPr>
        <w:t>. Tyto reformy jsou spojeny s investicemi do digitalizace vzdělávacího systému, z nic</w:t>
      </w:r>
      <w:r>
        <w:rPr>
          <w:noProof/>
        </w:rPr>
        <w:t>hž velká část je určena na interaktivní vzdělávací systémy na základních a středních školách a poukázky pro žáky a studenty z rodin s nízkými příjmy na nákup vybavení IT.</w:t>
      </w:r>
      <w:r>
        <w:rPr>
          <w:noProof/>
          <w:color w:val="000000"/>
          <w:shd w:val="clear" w:color="auto" w:fill="FFFFFF"/>
        </w:rPr>
        <w:t xml:space="preserve"> </w:t>
      </w:r>
    </w:p>
    <w:p w14:paraId="4936B834" w14:textId="77777777" w:rsidR="00515398" w:rsidRDefault="006711E6">
      <w:pPr>
        <w:pStyle w:val="P68B1DB1-Normal4"/>
        <w:spacing w:before="120" w:after="120" w:line="240" w:lineRule="auto"/>
        <w:jc w:val="both"/>
        <w:rPr>
          <w:rFonts w:cs="Times New Roman"/>
          <w:noProof/>
        </w:rPr>
      </w:pPr>
      <w:r>
        <w:rPr>
          <w:noProof/>
          <w:color w:val="000000"/>
          <w:shd w:val="clear" w:color="auto" w:fill="FFFFFF"/>
        </w:rPr>
        <w:t>Složka je v souladu s doporučeními pro jednotlivé země investovat do vzdělávání, zam</w:t>
      </w:r>
      <w:r>
        <w:rPr>
          <w:noProof/>
          <w:color w:val="000000"/>
          <w:shd w:val="clear" w:color="auto" w:fill="FFFFFF"/>
        </w:rPr>
        <w:t xml:space="preserve">ěstnatelnosti a dovedností a zlepšit digitalizaci veřejné správy (doporučení pro jednotlivé země č. 3 2020 a 2 2019). </w:t>
      </w:r>
      <w:r>
        <w:rPr>
          <w:noProof/>
        </w:rPr>
        <w:t>Očekává se, že žádné opatření v této složce významně nepoškozuje environmentální cíle ve smyslu článku 17 nařízení (EU) 2020/852, s přihlé</w:t>
      </w:r>
      <w:r>
        <w:rPr>
          <w:noProof/>
        </w:rPr>
        <w:t>dnutím k popisu opatření a zmírňujícím krokům stanoveným v plánu pro oživení a odolnost v souladu s technickými pokyny „významně nepoškozovat“ (2021/C58/01).</w:t>
      </w:r>
    </w:p>
    <w:p w14:paraId="53457C0E"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I.1. </w:t>
      </w:r>
      <w:r>
        <w:rPr>
          <w:noProof/>
        </w:rPr>
        <w:t xml:space="preserve"> </w:t>
      </w:r>
      <w:r>
        <w:rPr>
          <w:rFonts w:ascii="Times New Roman" w:hAnsi="Times New Roman"/>
          <w:b/>
          <w:noProof/>
          <w:sz w:val="24"/>
          <w:u w:val="single"/>
        </w:rPr>
        <w:t>Popis reforem a investic pro nevratnou finanční podporu</w:t>
      </w:r>
    </w:p>
    <w:p w14:paraId="2BB504C5"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Nová strategie pro celoživo</w:t>
      </w:r>
      <w:r>
        <w:rPr>
          <w:noProof/>
        </w:rPr>
        <w:t>tní dovednosti: Modernizace a modernizace řeckého systému pro prohlubování dovedností a změnu kvalifikace (ID opatření: 16913)</w:t>
      </w:r>
    </w:p>
    <w:p w14:paraId="5A84D1AE" w14:textId="77777777" w:rsidR="00515398" w:rsidRDefault="006711E6">
      <w:pPr>
        <w:pStyle w:val="P68B1DB1-Normal4"/>
        <w:spacing w:before="120" w:after="120" w:line="240" w:lineRule="auto"/>
        <w:jc w:val="both"/>
        <w:rPr>
          <w:rFonts w:cs="Times New Roman"/>
          <w:noProof/>
          <w:szCs w:val="24"/>
        </w:rPr>
      </w:pPr>
      <w:r>
        <w:rPr>
          <w:noProof/>
        </w:rPr>
        <w:t xml:space="preserve">Cílem reformy je zlepšit rámec celoživotního učení s cílem zvýšit jeho kvalitu a význam pro trh práce. Reforma zejména umožní </w:t>
      </w:r>
      <w:r>
        <w:rPr>
          <w:noProof/>
        </w:rPr>
        <w:t xml:space="preserve">lepší monitorování a uspokojení potřeb trhu práce v oblasti poptávky prostřednictvím modernizace, modernizace a propojení stávajících souborů údajů různých ministerstev a agentur, včetně mechanismu pro diagnostiku trhu práce zřízeného v roce 2016. Reforma </w:t>
      </w:r>
      <w:r>
        <w:rPr>
          <w:noProof/>
        </w:rPr>
        <w:t>rovněž zřídí účty pro celoživotní dovednosti, u nichž se očekává, že budou sloužit jako hlavní nástroj pro poskytování průběžné odborné přípravy v závislosti na individualizovaných potřebách, a nový seznam vnitrostátních způsobilých poskytovatelů odborné p</w:t>
      </w:r>
      <w:r>
        <w:rPr>
          <w:noProof/>
        </w:rPr>
        <w:t>řípravy, který bude pro školitele uplatňovat minimální kritéria kvality založená na vstupech. V neposlední řadě povede reforma k vytvoření nové správní struktury, Národní rady pro dovednosti, která bude mít sídlo v DYPA a bude odpovědná za návrh každoroční</w:t>
      </w:r>
      <w:r>
        <w:rPr>
          <w:noProof/>
        </w:rPr>
        <w:t xml:space="preserve"> aktualizace národní strategie dovedností. Reformu doprovází investice do horizontálních programů prohlubování dovedností zaměřených na různé skupiny obyvatelstva a zaměřených na poskytování a) základních a středních digitálních dovedností, b) zelených dov</w:t>
      </w:r>
      <w:r>
        <w:rPr>
          <w:noProof/>
        </w:rPr>
        <w:t>edností a c) dovedností v oblasti finanční gramotnosti. Provádění reformy a investice se dokončí do 31. prosince 2025.</w:t>
      </w:r>
    </w:p>
    <w:p w14:paraId="610D447E" w14:textId="77777777" w:rsidR="00515398" w:rsidRDefault="006711E6">
      <w:pPr>
        <w:pStyle w:val="P68B1DB1-Normal4"/>
        <w:rPr>
          <w:b/>
          <w:noProof/>
        </w:rPr>
      </w:pPr>
      <w:r>
        <w:rPr>
          <w:noProof/>
        </w:rPr>
        <w:br w:type="page"/>
      </w:r>
    </w:p>
    <w:p w14:paraId="346CF16E" w14:textId="67451A42" w:rsidR="00515398" w:rsidRDefault="006711E6">
      <w:pPr>
        <w:pStyle w:val="P68B1DB1-Normal4"/>
        <w:spacing w:before="120" w:after="120" w:line="240" w:lineRule="auto"/>
        <w:jc w:val="both"/>
        <w:rPr>
          <w:rFonts w:cs="Times New Roman"/>
          <w:noProof/>
        </w:rPr>
      </w:pPr>
      <w:r>
        <w:rPr>
          <w:b/>
          <w:noProof/>
        </w:rPr>
        <w:t>Reforma:</w:t>
      </w:r>
      <w:r>
        <w:rPr>
          <w:noProof/>
        </w:rPr>
        <w:t xml:space="preserve"> Strategie pro excelenci na univerzitách a inovacích (ID opatření: 16289)</w:t>
      </w:r>
    </w:p>
    <w:p w14:paraId="5276CE0B" w14:textId="0E54923A" w:rsidR="00515398" w:rsidRDefault="006711E6">
      <w:pPr>
        <w:pStyle w:val="P68B1DB1-Normal4"/>
        <w:spacing w:before="120" w:after="120" w:line="240" w:lineRule="auto"/>
        <w:jc w:val="both"/>
        <w:rPr>
          <w:rFonts w:cs="Times New Roman"/>
          <w:noProof/>
          <w:szCs w:val="24"/>
        </w:rPr>
      </w:pPr>
      <w:r>
        <w:rPr>
          <w:noProof/>
        </w:rPr>
        <w:t>Cílem reformy je zlepšit výsledky výzkumu a vyloučení</w:t>
      </w:r>
      <w:r>
        <w:rPr>
          <w:noProof/>
        </w:rPr>
        <w:t xml:space="preserve"> řeckých univerzit, mimo jiné přilákáním kvalifikovaných a vynikajících akademických pracovníků a výzkumných pracovníků, a zlepšit kvalitu vzdělávání nabízeného studentům a jeho relevantnost pro trh práce. Reforma zejména předpokládá: a) režim financování </w:t>
      </w:r>
      <w:r>
        <w:rPr>
          <w:noProof/>
        </w:rPr>
        <w:t>70 výzkumných projektů (klastrů excelence výzkumu) zaměřených na akademické pracovníky, aby prováděli výzkumné projekty se soukromými společnostmi v Řecku; modernizace výzkumných a vzdělávacích infrastruktur vybraných řeckých univerzit; C) digitální transf</w:t>
      </w:r>
      <w:r>
        <w:rPr>
          <w:noProof/>
        </w:rPr>
        <w:t>ormace Národní řecké sítě knihoven; a d) zavedení společných a/nebo duálních postgraduálních studijních programů se zahraničními univerzitami. Provádění reformy se dokončí do 31. prosince 2025.</w:t>
      </w:r>
    </w:p>
    <w:p w14:paraId="32CB67F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Posílení systému učňovské přípravy (ID opatření: 1679</w:t>
      </w:r>
      <w:r>
        <w:rPr>
          <w:noProof/>
        </w:rPr>
        <w:t>4)</w:t>
      </w:r>
    </w:p>
    <w:p w14:paraId="4060651E" w14:textId="61AFD2E5" w:rsidR="00515398" w:rsidRDefault="006711E6">
      <w:pPr>
        <w:pStyle w:val="P68B1DB1-Normal5"/>
        <w:spacing w:before="120" w:after="120" w:line="240" w:lineRule="auto"/>
        <w:jc w:val="both"/>
        <w:rPr>
          <w:rFonts w:cs="Times New Roman"/>
          <w:noProof/>
        </w:rPr>
      </w:pPr>
      <w:r>
        <w:rPr>
          <w:noProof/>
        </w:rPr>
        <w:t>Cílem reformy je obnovit učňovské odborné školy veřejné služby zaměstnanosti (DYPA EPAS) jako nedílnou součást vládní strategie pro odborné vzdělávání a přípravu a zaměstnanost mladých lidí. Reforma zahrnuje zejména 1) zavedení nového právního rámce pro</w:t>
      </w:r>
      <w:r>
        <w:rPr>
          <w:noProof/>
        </w:rPr>
        <w:t xml:space="preserve"> vnitrostátní systém odborného vzdělávání a přípravy; 2) zjednodušení vzdělávacích procesů a integrace nových metodik a nástrojů, jako jsou platformy elektronického učení a digitalizovaný obsah odborné přípravy, a to jak pro učně, tak pro školitele; 3) pos</w:t>
      </w:r>
      <w:r>
        <w:rPr>
          <w:noProof/>
        </w:rPr>
        <w:t>ouzení, přepracování a aktualizace stávajících osnov (za přispění sociálních partnerů a zaměstnavatelů) s cílem dále je sladit se skutečnými potřebami trhu práce; 4) obnova a modernizace infrastruktury odborného vzdělávání a přípravy (laboratoří a vybavení</w:t>
      </w:r>
      <w:r>
        <w:rPr>
          <w:noProof/>
        </w:rPr>
        <w:t>); 5) renovace budov EPAS za účelem zlepšení energetické účinnosti a prostorové funkčnosti; 6) začlenění technologie virtuální reality do modulů každodenního učení; 7) nasazení rozsáhlého programu „školení školitelů“ pro pedagogické pracovníky DYPA; 8) zav</w:t>
      </w:r>
      <w:r>
        <w:rPr>
          <w:noProof/>
        </w:rPr>
        <w:t>edení komunikační kampaně na podporu systému učňovské přípravy. Vyhrazená část přidělených grantů přispívá k zeleným dovednostem a pracovním místům a zelené ekonomice. Provádění reformy se dokončí do 31. prosince 2025.</w:t>
      </w:r>
    </w:p>
    <w:p w14:paraId="4D140970" w14:textId="7C22808B" w:rsidR="00515398" w:rsidRDefault="006711E6">
      <w:pPr>
        <w:pStyle w:val="P68B1DB1-Normal4"/>
        <w:spacing w:before="120" w:after="120" w:line="240" w:lineRule="auto"/>
        <w:jc w:val="both"/>
        <w:rPr>
          <w:rFonts w:cs="Times New Roman"/>
          <w:noProof/>
        </w:rPr>
      </w:pPr>
      <w:r>
        <w:rPr>
          <w:noProof/>
        </w:rPr>
        <w:t>Energeticky účinné renovace a opatřen</w:t>
      </w:r>
      <w:r>
        <w:rPr>
          <w:noProof/>
        </w:rPr>
        <w:t>í musí být v souladu s i) alespoň středně rozsáhlou renovací, jak je definována v doporučení Komise o renovaci budov (EU) 2019/786, nebo b) dosáhnout v průměru alespoň 30 % snížení přímých a nepřímých emisí skleníkových plynů ve srovnání s emisemi ex ante.</w:t>
      </w:r>
      <w:r>
        <w:rPr>
          <w:noProof/>
        </w:rPr>
        <w:t xml:space="preserve"> Očekává se, že toto opatření významně nepoškodí environmentální cíle ve smyslu článku 17 nařízení (EU) 2020/852, s přihlédnutím k popisu opatření a zmírňujícím krokům stanoveným v plánu na podporu oživení a odolnosti v souladu s technickými pokyny „nezpůs</w:t>
      </w:r>
      <w:r>
        <w:rPr>
          <w:noProof/>
        </w:rPr>
        <w:t>obit významnou újmu“ (2021/C58/01). Opatření zejména vyžaduje, aby hospodářské subjekty provádějící stavební práce zajistily, že nejméně 70 % (hmotnostních) konstrukčních a demoličních odpadů neklasifikovaných jako nebezpečné (s výjimkou přirozeně se vysky</w:t>
      </w:r>
      <w:r>
        <w:rPr>
          <w:noProof/>
        </w:rPr>
        <w:t xml:space="preserve">tujících materiálů uvedených v kategorii 17 05 04 na evropském seznamu odpadů stanoveném rozhodnutím 2000/532/ES ze dne 3. května 2000, kterým se nahrazuje rozhodnutí 94/3/ES, kterým se stanoví seznam odpadů podle čl. 1 písm. a) směrnice Rady 75/442/EHS o </w:t>
      </w:r>
      <w:r>
        <w:rPr>
          <w:noProof/>
        </w:rPr>
        <w:t>odpadech a rozhodnutí Rady 94/904/ES, kterým se stanoví seznam nebezpečných odpadů ve smyslu čl. 1 odst. 4 směrnice Rady 91/689/EHS o nebezpečných odpadech (oznámeno pod číslem K(2000) 1147)) vzniklých na staveništi, bude připraveno k opětovnému použití, r</w:t>
      </w:r>
      <w:r>
        <w:rPr>
          <w:noProof/>
        </w:rPr>
        <w:t>ecyklace a jiné materiálové využití, včetně zasypávání odpadů za účelem nahrazení jiných materiálů, v souladu s hierarchií způsobů nakládání s odpady a protokolem EU o nakládání se stavebním a demoličním odpadem.</w:t>
      </w:r>
    </w:p>
    <w:p w14:paraId="14BAE9DA"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Získávání dovedností, rekvalifikac</w:t>
      </w:r>
      <w:r>
        <w:rPr>
          <w:noProof/>
        </w:rPr>
        <w:t>e a prohlubování dovedností pracovních sil prostřednictvím reformovaného modelu odborné přípravy (reforma odborného vzdělávání a odborné přípravy) (ID opatření: 16792)</w:t>
      </w:r>
    </w:p>
    <w:p w14:paraId="61AA13B4" w14:textId="313A8943" w:rsidR="00515398" w:rsidRDefault="006711E6">
      <w:pPr>
        <w:pStyle w:val="P68B1DB1-Normal4"/>
        <w:spacing w:before="120" w:after="120" w:line="240" w:lineRule="auto"/>
        <w:jc w:val="both"/>
        <w:rPr>
          <w:rFonts w:cs="Times New Roman"/>
          <w:noProof/>
          <w:szCs w:val="24"/>
        </w:rPr>
      </w:pPr>
      <w:r>
        <w:rPr>
          <w:noProof/>
        </w:rPr>
        <w:t>Cílem reformy je 1) zlepšit kontrolu kvality (jako jsou systémy hodnocení, které sledují</w:t>
      </w:r>
      <w:r>
        <w:rPr>
          <w:noProof/>
        </w:rPr>
        <w:t xml:space="preserve"> pokrok a výkonnost stážistů) v odděleních odborné přípravy veřejných služeb zaměstnanosti (DYPA), 2) aktualizovat jejich moduly v souladu se současnými a budoucími potřebami trhu práce v rámci komplexní reformy aktivních politik DYPA na trhu práce a 3) po</w:t>
      </w:r>
      <w:r>
        <w:rPr>
          <w:noProof/>
        </w:rPr>
        <w:t>dpořit elektronické učení a digitalizaci obsahu odborné přípravy. To je spojeno s investicemi do dodávek vybavení laboratoří. Provádění reformy se dokončí do 31. prosince 2025.</w:t>
      </w:r>
    </w:p>
    <w:p w14:paraId="54C2D37B"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Modernizace odborného vzdělávání a přípravy (ID opatření: 16934)</w:t>
      </w:r>
    </w:p>
    <w:p w14:paraId="5137EF86" w14:textId="0DC822F6" w:rsidR="00515398" w:rsidRDefault="006711E6">
      <w:pPr>
        <w:pStyle w:val="P68B1DB1-Normal5"/>
        <w:spacing w:before="120" w:after="120" w:line="240" w:lineRule="auto"/>
        <w:jc w:val="both"/>
        <w:rPr>
          <w:rFonts w:ascii="Segoe UI" w:hAnsi="Segoe UI" w:cs="Segoe UI"/>
          <w:noProof/>
          <w:sz w:val="18"/>
          <w:szCs w:val="18"/>
        </w:rPr>
      </w:pPr>
      <w:r>
        <w:rPr>
          <w:noProof/>
        </w:rPr>
        <w:t>Cílem</w:t>
      </w:r>
      <w:r>
        <w:rPr>
          <w:noProof/>
        </w:rPr>
        <w:t xml:space="preserve"> navrhované reformy je urychlit provádění zákona č. 4763/2020. Očekává se, že navrhovaná opatření 1) přispějí k tomu, aby se odborné vzdělávání a příprava staly atraktivním způsobem vzdělávání, 2) posílí vazbu mezi vzděláváním a potřebami trhu práce a 3) p</w:t>
      </w:r>
      <w:r>
        <w:rPr>
          <w:noProof/>
        </w:rPr>
        <w:t>oskytnou dovednosti potřebné pro souběžnou ekologickou a digitální transformaci a posílí vyhlídky na zaměstnání, zejména mladých lidí. Reforma sestává z těchto složek: a) navrhování a rozvoj příruček odborné přípravy, programů odborné přípravy a školení šk</w:t>
      </w:r>
      <w:r>
        <w:rPr>
          <w:noProof/>
        </w:rPr>
        <w:t xml:space="preserve">olitelů pro pět tematických a deseti odborných škol vyššího odborného vzdělávání (SAEK) a renovace budov šesti z těchto institutů; </w:t>
      </w:r>
      <w:r>
        <w:rPr>
          <w:noProof/>
          <w:color w:val="000000" w:themeColor="text1"/>
        </w:rPr>
        <w:t xml:space="preserve">návrh a rozvoj </w:t>
      </w:r>
      <w:r>
        <w:rPr>
          <w:noProof/>
        </w:rPr>
        <w:t xml:space="preserve">učebních osnov, programů odborné přípravy a školení školitelů pro </w:t>
      </w:r>
      <w:r>
        <w:rPr>
          <w:noProof/>
          <w:color w:val="000000" w:themeColor="text1"/>
        </w:rPr>
        <w:t>25 modelových odborných lyceum (vzor EPAL) a</w:t>
      </w:r>
      <w:r>
        <w:rPr>
          <w:noProof/>
          <w:color w:val="000000" w:themeColor="text1"/>
        </w:rPr>
        <w:t xml:space="preserve"> renovace budov 21 z těchto lyceum</w:t>
      </w:r>
      <w:r>
        <w:rPr>
          <w:noProof/>
        </w:rPr>
        <w:t xml:space="preserve">; C) rozšíření digitálních služeb Národní organizace pro certifikaci kvalifikací a odborného poradenství (EOPPEP) a rozvoj platformy elektronického učení pro odborné vzdělávání a přípravu, která přeměňuje stávající učební </w:t>
      </w:r>
      <w:r>
        <w:rPr>
          <w:noProof/>
        </w:rPr>
        <w:t xml:space="preserve">materiály na moduly elektronického učení. </w:t>
      </w:r>
      <w:r>
        <w:rPr>
          <w:noProof/>
          <w:color w:val="000000" w:themeColor="text1"/>
        </w:rPr>
        <w:t>Všechny projekty se zaměřují na podporu účasti žen v odborném vzdělávání a přípravě a na podporu jejich vůdčích dovedností.</w:t>
      </w:r>
      <w:r>
        <w:rPr>
          <w:noProof/>
        </w:rPr>
        <w:t xml:space="preserve"> Provádění reformy se dokončí do 31. prosince 2025.</w:t>
      </w:r>
    </w:p>
    <w:p w14:paraId="69ECB959"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vzděl</w:t>
      </w:r>
      <w:r>
        <w:rPr>
          <w:noProof/>
        </w:rPr>
        <w:t>ávání (ID opatření: 16676)</w:t>
      </w:r>
    </w:p>
    <w:p w14:paraId="398F8B16" w14:textId="57037D91" w:rsidR="00515398" w:rsidRDefault="006711E6">
      <w:pPr>
        <w:pStyle w:val="P68B1DB1-Normal4"/>
        <w:spacing w:before="120" w:after="120" w:line="240" w:lineRule="auto"/>
        <w:jc w:val="both"/>
        <w:rPr>
          <w:rFonts w:cs="Times New Roman"/>
          <w:noProof/>
        </w:rPr>
      </w:pPr>
      <w:r>
        <w:rPr>
          <w:noProof/>
        </w:rPr>
        <w:t>Investice předpokládá digitální transformaci vzdělávání, pokud jde o obsah, infrastrukturu a služby, a je doprovázena komplexní reformní strategií pro aktualizaci učebních osnov, racionalizaci služeb a monitorování výsledků vzděl</w:t>
      </w:r>
      <w:r>
        <w:rPr>
          <w:noProof/>
        </w:rPr>
        <w:t>ávání. Investice se skládá z těchto složek: Digitální obsah ve školách; digitální vybavení ve školách; profesní rozvoj učitelů ve školách a digitální služby ve školách a na univerzitách. Investice musí být provedena do 31. prosince 2025.</w:t>
      </w:r>
    </w:p>
    <w:p w14:paraId="52D79937" w14:textId="51F1DCE8" w:rsidR="00515398" w:rsidRDefault="006711E6">
      <w:pPr>
        <w:pStyle w:val="P68B1DB1-Normal4"/>
        <w:spacing w:before="120" w:after="120" w:line="240" w:lineRule="auto"/>
        <w:jc w:val="both"/>
        <w:rPr>
          <w:rFonts w:cs="Times New Roman"/>
          <w:noProof/>
        </w:rPr>
      </w:pPr>
      <w:r>
        <w:rPr>
          <w:b/>
          <w:noProof/>
        </w:rPr>
        <w:t>Investice:</w:t>
      </w:r>
      <w:r>
        <w:rPr>
          <w:noProof/>
        </w:rPr>
        <w:t xml:space="preserve"> Zlepšov</w:t>
      </w:r>
      <w:r>
        <w:rPr>
          <w:noProof/>
        </w:rPr>
        <w:t>ání odborného vzdělávání a přípravy: Dodávky laboratorního vybavení pro laboratorní střediska pro SAEK, EPAL, školu pro učňovskou přípravu a odborné vzdělávání po ukončení středoškolského studia (ID opatření: 16933)</w:t>
      </w:r>
    </w:p>
    <w:p w14:paraId="341DC519" w14:textId="46B48A32" w:rsidR="00515398" w:rsidRDefault="006711E6">
      <w:pPr>
        <w:pStyle w:val="P68B1DB1-Normal4"/>
        <w:spacing w:before="120" w:after="120" w:line="240" w:lineRule="auto"/>
        <w:jc w:val="both"/>
        <w:rPr>
          <w:rFonts w:cs="Times New Roman"/>
          <w:noProof/>
        </w:rPr>
      </w:pPr>
      <w:r>
        <w:rPr>
          <w:noProof/>
        </w:rPr>
        <w:t>Tato investice zmodernizuje a modernizuj</w:t>
      </w:r>
      <w:r>
        <w:rPr>
          <w:noProof/>
        </w:rPr>
        <w:t xml:space="preserve">e laboratorní infrastrukturu institucí odborného vzdělávání a přípravy v Řecku, zejména pokud jde o </w:t>
      </w:r>
      <w:r>
        <w:rPr>
          <w:noProof/>
          <w:szCs w:val="24"/>
        </w:rPr>
        <w:t>školy vyššího odborného vzdělávání</w:t>
      </w:r>
      <w:r>
        <w:rPr>
          <w:noProof/>
        </w:rPr>
        <w:t xml:space="preserve"> (SAEK), vyšší odborné školy (EPAL), postsekundární třídu učňovské přípravy a školy odborného vzdělávání. Tato investice d</w:t>
      </w:r>
      <w:r>
        <w:rPr>
          <w:noProof/>
        </w:rPr>
        <w:t>oplňuje reformu modernizace odborného vzdělávání a přípravy. Investice musí být provedena do 31. prosince 2025.</w:t>
      </w:r>
    </w:p>
    <w:p w14:paraId="751F1C0E" w14:textId="77777777" w:rsidR="00515398" w:rsidRDefault="00515398">
      <w:pPr>
        <w:spacing w:before="120" w:after="120" w:line="240" w:lineRule="auto"/>
        <w:ind w:left="709"/>
        <w:jc w:val="both"/>
        <w:rPr>
          <w:rFonts w:ascii="Times New Roman" w:hAnsi="Times New Roman" w:cs="Times New Roman"/>
          <w:noProof/>
          <w:sz w:val="24"/>
        </w:rPr>
      </w:pPr>
    </w:p>
    <w:p w14:paraId="7D323B28"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145"/>
          <w:headerReference w:type="default" r:id="rId146"/>
          <w:footerReference w:type="even" r:id="rId147"/>
          <w:footerReference w:type="default" r:id="rId148"/>
          <w:headerReference w:type="first" r:id="rId149"/>
          <w:footerReference w:type="first" r:id="rId150"/>
          <w:pgSz w:w="11907" w:h="16839"/>
          <w:pgMar w:top="1134" w:right="1418" w:bottom="1134" w:left="1418" w:header="709" w:footer="326" w:gutter="0"/>
          <w:cols w:space="720"/>
          <w:docGrid w:linePitch="360"/>
        </w:sectPr>
      </w:pPr>
    </w:p>
    <w:p w14:paraId="0B1478D4" w14:textId="77777777" w:rsidR="00515398" w:rsidRDefault="006711E6">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I.2. </w:t>
      </w:r>
      <w:r>
        <w:rPr>
          <w:noProof/>
        </w:rPr>
        <w:t xml:space="preserve"> </w:t>
      </w:r>
      <w:r>
        <w:rPr>
          <w:rFonts w:ascii="Times New Roman" w:hAnsi="Times New Roman"/>
          <w:b/>
          <w:noProof/>
          <w:sz w:val="24"/>
          <w:u w:val="single"/>
        </w:rPr>
        <w:t xml:space="preserve">Milníky, cíle, ukazatele a harmonogram monitorování a provádění nevratné </w:t>
      </w:r>
      <w:r>
        <w:rPr>
          <w:rFonts w:ascii="Times New Roman" w:hAnsi="Times New Roman"/>
          <w:b/>
          <w:noProof/>
          <w:sz w:val="24"/>
          <w:u w:val="single"/>
        </w:rPr>
        <w:t>finanční podpory</w:t>
      </w:r>
    </w:p>
    <w:p w14:paraId="2B6C03E8" w14:textId="77777777" w:rsidR="00515398" w:rsidRDefault="006711E6">
      <w:pPr>
        <w:pStyle w:val="P68B1DB1-Normal6"/>
        <w:keepNext/>
        <w:keepLines/>
        <w:spacing w:before="40" w:after="0" w:line="240" w:lineRule="auto"/>
        <w:jc w:val="both"/>
        <w:outlineLvl w:val="4"/>
        <w:rPr>
          <w:noProof/>
        </w:rPr>
      </w:pPr>
      <w:r>
        <w:rPr>
          <w:noProof/>
        </w:rPr>
        <w:t>Nejvyšší investice 5: Nová strategie pro celoživotní dovednosti: Modernizace a vylepšení řeckého systému prohlubování dovedností a rekvalifikace</w:t>
      </w:r>
    </w:p>
    <w:p w14:paraId="69DE992B"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W w:w="15502" w:type="dxa"/>
        <w:jc w:val="center"/>
        <w:tblLayout w:type="fixed"/>
        <w:tblLook w:val="04A0" w:firstRow="1" w:lastRow="0" w:firstColumn="1" w:lastColumn="0" w:noHBand="0" w:noVBand="1"/>
      </w:tblPr>
      <w:tblGrid>
        <w:gridCol w:w="1188"/>
        <w:gridCol w:w="1319"/>
        <w:gridCol w:w="1043"/>
        <w:gridCol w:w="1142"/>
        <w:gridCol w:w="1459"/>
        <w:gridCol w:w="1332"/>
        <w:gridCol w:w="870"/>
        <w:gridCol w:w="998"/>
        <w:gridCol w:w="850"/>
        <w:gridCol w:w="709"/>
        <w:gridCol w:w="4592"/>
      </w:tblGrid>
      <w:tr w:rsidR="00515398" w14:paraId="2B218278" w14:textId="77777777">
        <w:trPr>
          <w:trHeight w:val="740"/>
          <w:tblHeader/>
          <w:jc w:val="center"/>
        </w:trPr>
        <w:tc>
          <w:tcPr>
            <w:tcW w:w="11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A7082D"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F15BFE"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632193"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142" w:type="dxa"/>
            <w:vMerge w:val="restart"/>
            <w:tcBorders>
              <w:top w:val="single" w:sz="4" w:space="0" w:color="auto"/>
              <w:left w:val="nil"/>
              <w:bottom w:val="single" w:sz="4" w:space="0" w:color="auto"/>
              <w:right w:val="single" w:sz="4" w:space="0" w:color="auto"/>
            </w:tcBorders>
            <w:shd w:val="clear" w:color="auto" w:fill="BDD7EE"/>
            <w:vAlign w:val="center"/>
            <w:hideMark/>
          </w:tcPr>
          <w:p w14:paraId="1D0BD973"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A1CA78" w14:textId="77777777" w:rsidR="00515398" w:rsidRDefault="006711E6">
            <w:pPr>
              <w:pStyle w:val="P68B1DB1-Normal7"/>
              <w:spacing w:after="0" w:line="240" w:lineRule="auto"/>
              <w:jc w:val="center"/>
              <w:rPr>
                <w:rFonts w:eastAsia="Times New Roman" w:cs="Times New Roman"/>
                <w:bCs/>
                <w:noProof/>
                <w:szCs w:val="18"/>
              </w:rPr>
            </w:pPr>
            <w:r>
              <w:rPr>
                <w:noProof/>
              </w:rPr>
              <w:t xml:space="preserve">Kvalitativní </w:t>
            </w:r>
            <w:r>
              <w:rPr>
                <w:noProof/>
              </w:rPr>
              <w:t>ukazatele (pro milníky)</w:t>
            </w:r>
          </w:p>
        </w:tc>
        <w:tc>
          <w:tcPr>
            <w:tcW w:w="3200" w:type="dxa"/>
            <w:gridSpan w:val="3"/>
            <w:tcBorders>
              <w:top w:val="single" w:sz="4" w:space="0" w:color="auto"/>
              <w:left w:val="nil"/>
              <w:bottom w:val="single" w:sz="4" w:space="0" w:color="auto"/>
              <w:right w:val="single" w:sz="4" w:space="0" w:color="auto"/>
            </w:tcBorders>
            <w:shd w:val="clear" w:color="auto" w:fill="BDD7EE"/>
            <w:vAlign w:val="center"/>
            <w:hideMark/>
          </w:tcPr>
          <w:p w14:paraId="5BE1588D"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6F0EF5D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5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F9D9B3"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20A0C741" w14:textId="77777777">
        <w:trPr>
          <w:trHeight w:val="512"/>
          <w:tblHeader/>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96F249" w14:textId="77777777" w:rsidR="00515398" w:rsidRDefault="00515398">
            <w:pPr>
              <w:spacing w:after="0" w:line="240" w:lineRule="auto"/>
              <w:rPr>
                <w:rFonts w:ascii="Times New Roman" w:eastAsia="Times New Roman" w:hAnsi="Times New Roman" w:cs="Times New Roman"/>
                <w:b/>
                <w:bCs/>
                <w:noProof/>
                <w:sz w:val="18"/>
                <w:szCs w:val="18"/>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1CD9B94E" w14:textId="77777777" w:rsidR="00515398" w:rsidRDefault="00515398">
            <w:pPr>
              <w:spacing w:after="0" w:line="240" w:lineRule="auto"/>
              <w:rPr>
                <w:rFonts w:ascii="Times New Roman" w:eastAsia="Times New Roman" w:hAnsi="Times New Roman" w:cs="Times New Roman"/>
                <w:b/>
                <w:bCs/>
                <w:noProof/>
                <w:sz w:val="18"/>
                <w:szCs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7A6B68E" w14:textId="77777777" w:rsidR="00515398" w:rsidRDefault="00515398">
            <w:pPr>
              <w:spacing w:after="0" w:line="240" w:lineRule="auto"/>
              <w:rPr>
                <w:rFonts w:ascii="Times New Roman" w:eastAsia="Times New Roman" w:hAnsi="Times New Roman" w:cs="Times New Roman"/>
                <w:b/>
                <w:bCs/>
                <w:noProof/>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1B661E5" w14:textId="77777777" w:rsidR="00515398" w:rsidRDefault="00515398">
            <w:pPr>
              <w:spacing w:after="0" w:line="240" w:lineRule="auto"/>
              <w:rPr>
                <w:rFonts w:ascii="Times New Roman" w:eastAsia="Times New Roman" w:hAnsi="Times New Roman" w:cs="Times New Roman"/>
                <w:b/>
                <w:bCs/>
                <w:noProof/>
                <w:sz w:val="18"/>
                <w:szCs w:val="18"/>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CD64EC7" w14:textId="77777777" w:rsidR="00515398" w:rsidRDefault="00515398">
            <w:pPr>
              <w:spacing w:after="0" w:line="240" w:lineRule="auto"/>
              <w:rPr>
                <w:rFonts w:ascii="Times New Roman" w:eastAsia="Times New Roman" w:hAnsi="Times New Roman" w:cs="Times New Roman"/>
                <w:b/>
                <w:bCs/>
                <w:noProof/>
                <w:sz w:val="18"/>
                <w:szCs w:val="18"/>
              </w:rPr>
            </w:pPr>
          </w:p>
        </w:tc>
        <w:tc>
          <w:tcPr>
            <w:tcW w:w="133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499182A"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70" w:type="dxa"/>
            <w:tcBorders>
              <w:top w:val="single" w:sz="4" w:space="0" w:color="auto"/>
              <w:left w:val="nil"/>
              <w:bottom w:val="single" w:sz="4" w:space="0" w:color="auto"/>
              <w:right w:val="single" w:sz="4" w:space="0" w:color="auto"/>
            </w:tcBorders>
            <w:shd w:val="clear" w:color="auto" w:fill="BDD7EE"/>
            <w:vAlign w:val="center"/>
            <w:hideMark/>
          </w:tcPr>
          <w:p w14:paraId="1040D502"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998" w:type="dxa"/>
            <w:tcBorders>
              <w:top w:val="single" w:sz="4" w:space="0" w:color="auto"/>
              <w:left w:val="nil"/>
              <w:bottom w:val="single" w:sz="4" w:space="0" w:color="auto"/>
              <w:right w:val="single" w:sz="4" w:space="0" w:color="auto"/>
            </w:tcBorders>
            <w:shd w:val="clear" w:color="auto" w:fill="BDD7EE"/>
            <w:vAlign w:val="center"/>
            <w:hideMark/>
          </w:tcPr>
          <w:p w14:paraId="223867B9"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68EFEE4F"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57963F30"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592" w:type="dxa"/>
            <w:vMerge/>
            <w:tcBorders>
              <w:top w:val="single" w:sz="4" w:space="0" w:color="auto"/>
              <w:bottom w:val="single" w:sz="4" w:space="0" w:color="auto"/>
              <w:right w:val="single" w:sz="4" w:space="0" w:color="auto"/>
            </w:tcBorders>
            <w:vAlign w:val="center"/>
            <w:hideMark/>
          </w:tcPr>
          <w:p w14:paraId="3A030342"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D62275F" w14:textId="77777777">
        <w:trPr>
          <w:trHeight w:val="309"/>
          <w:jc w:val="center"/>
        </w:trPr>
        <w:tc>
          <w:tcPr>
            <w:tcW w:w="1188" w:type="dxa"/>
            <w:tcBorders>
              <w:top w:val="single" w:sz="4" w:space="0" w:color="auto"/>
              <w:left w:val="single" w:sz="4" w:space="0" w:color="auto"/>
              <w:bottom w:val="single" w:sz="4" w:space="0" w:color="auto"/>
              <w:right w:val="single" w:sz="4" w:space="0" w:color="auto"/>
            </w:tcBorders>
            <w:shd w:val="clear" w:color="auto" w:fill="C6EFCE"/>
            <w:noWrap/>
          </w:tcPr>
          <w:p w14:paraId="5308DF01" w14:textId="77777777" w:rsidR="00515398" w:rsidRDefault="006711E6">
            <w:pPr>
              <w:pStyle w:val="P68B1DB1-Normal9"/>
              <w:spacing w:after="0" w:line="240" w:lineRule="auto"/>
              <w:rPr>
                <w:rFonts w:eastAsia="Times New Roman" w:cs="Calibri"/>
                <w:noProof/>
                <w:szCs w:val="18"/>
              </w:rPr>
            </w:pPr>
            <w:r>
              <w:rPr>
                <w:noProof/>
              </w:rPr>
              <w:t>138</w:t>
            </w:r>
          </w:p>
        </w:tc>
        <w:tc>
          <w:tcPr>
            <w:tcW w:w="1319" w:type="dxa"/>
            <w:tcBorders>
              <w:top w:val="single" w:sz="4" w:space="0" w:color="auto"/>
              <w:left w:val="nil"/>
              <w:bottom w:val="single" w:sz="4" w:space="0" w:color="auto"/>
              <w:right w:val="single" w:sz="4" w:space="0" w:color="auto"/>
            </w:tcBorders>
            <w:shd w:val="clear" w:color="auto" w:fill="C6EFCE"/>
            <w:noWrap/>
          </w:tcPr>
          <w:p w14:paraId="166013C4" w14:textId="77777777" w:rsidR="00515398" w:rsidRDefault="006711E6">
            <w:pPr>
              <w:pStyle w:val="P68B1DB1-Normal9"/>
              <w:spacing w:after="0" w:line="240" w:lineRule="auto"/>
              <w:rPr>
                <w:rFonts w:eastAsia="Times New Roman" w:cs="Calibri"/>
                <w:noProof/>
                <w:szCs w:val="18"/>
              </w:rPr>
            </w:pPr>
            <w:r>
              <w:rPr>
                <w:noProof/>
              </w:rPr>
              <w:t xml:space="preserve">9–3.2. Vzdělávání, odborné vzdělávání a příprava a dovednosti – </w:t>
            </w:r>
            <w:r>
              <w:rPr>
                <w:noProof/>
              </w:rPr>
              <w:t>16913_Nová strategie pro celoživotní dovednosti: Modernizace a vylepšení řeckého systému prohlubování dovedností a rekvalifikace</w:t>
            </w:r>
          </w:p>
        </w:tc>
        <w:tc>
          <w:tcPr>
            <w:tcW w:w="1043" w:type="dxa"/>
            <w:tcBorders>
              <w:top w:val="single" w:sz="4" w:space="0" w:color="auto"/>
              <w:left w:val="nil"/>
              <w:bottom w:val="single" w:sz="4" w:space="0" w:color="auto"/>
              <w:right w:val="single" w:sz="4" w:space="0" w:color="auto"/>
            </w:tcBorders>
            <w:shd w:val="clear" w:color="auto" w:fill="C6EFCE"/>
            <w:noWrap/>
          </w:tcPr>
          <w:p w14:paraId="7EE2F6FA" w14:textId="77777777" w:rsidR="00515398" w:rsidRDefault="006711E6">
            <w:pPr>
              <w:pStyle w:val="P68B1DB1-Normal9"/>
              <w:spacing w:after="0" w:line="240" w:lineRule="auto"/>
              <w:rPr>
                <w:rFonts w:eastAsia="Times New Roman" w:cs="Calibri"/>
                <w:noProof/>
                <w:szCs w:val="18"/>
              </w:rPr>
            </w:pPr>
            <w:r>
              <w:rPr>
                <w:noProof/>
              </w:rPr>
              <w:t>Milník</w:t>
            </w:r>
          </w:p>
        </w:tc>
        <w:tc>
          <w:tcPr>
            <w:tcW w:w="1142" w:type="dxa"/>
            <w:tcBorders>
              <w:top w:val="single" w:sz="4" w:space="0" w:color="auto"/>
              <w:left w:val="nil"/>
              <w:bottom w:val="single" w:sz="4" w:space="0" w:color="auto"/>
              <w:right w:val="single" w:sz="4" w:space="0" w:color="auto"/>
            </w:tcBorders>
            <w:shd w:val="clear" w:color="auto" w:fill="C6EFCE"/>
            <w:noWrap/>
          </w:tcPr>
          <w:p w14:paraId="6429DE89" w14:textId="77777777" w:rsidR="00515398" w:rsidRDefault="006711E6">
            <w:pPr>
              <w:pStyle w:val="P68B1DB1-Normal9"/>
              <w:spacing w:after="0" w:line="240" w:lineRule="auto"/>
              <w:rPr>
                <w:rFonts w:eastAsia="Times New Roman" w:cs="Calibri"/>
                <w:noProof/>
                <w:szCs w:val="18"/>
              </w:rPr>
            </w:pPr>
            <w:r>
              <w:rPr>
                <w:noProof/>
              </w:rPr>
              <w:t>Strategie celoživotního učení vstup právních předpisů v platnost</w:t>
            </w:r>
          </w:p>
        </w:tc>
        <w:tc>
          <w:tcPr>
            <w:tcW w:w="1459" w:type="dxa"/>
            <w:tcBorders>
              <w:top w:val="single" w:sz="4" w:space="0" w:color="auto"/>
              <w:left w:val="nil"/>
              <w:bottom w:val="single" w:sz="4" w:space="0" w:color="auto"/>
              <w:right w:val="single" w:sz="4" w:space="0" w:color="auto"/>
            </w:tcBorders>
            <w:shd w:val="clear" w:color="auto" w:fill="C6EFCE"/>
            <w:noWrap/>
          </w:tcPr>
          <w:p w14:paraId="354B2894" w14:textId="77777777" w:rsidR="00515398" w:rsidRDefault="006711E6">
            <w:pPr>
              <w:pStyle w:val="P68B1DB1-Normal9"/>
              <w:spacing w:after="0" w:line="240" w:lineRule="auto"/>
              <w:rPr>
                <w:rFonts w:eastAsia="Times New Roman" w:cs="Calibri"/>
                <w:noProof/>
                <w:szCs w:val="18"/>
              </w:rPr>
            </w:pPr>
            <w:r>
              <w:rPr>
                <w:noProof/>
              </w:rPr>
              <w:t xml:space="preserve">Vstup primárního a sekundárního práva v platnost </w:t>
            </w:r>
          </w:p>
        </w:tc>
        <w:tc>
          <w:tcPr>
            <w:tcW w:w="1332" w:type="dxa"/>
            <w:tcBorders>
              <w:top w:val="single" w:sz="4" w:space="0" w:color="auto"/>
              <w:left w:val="nil"/>
              <w:bottom w:val="single" w:sz="4" w:space="0" w:color="auto"/>
              <w:right w:val="single" w:sz="4" w:space="0" w:color="auto"/>
            </w:tcBorders>
            <w:shd w:val="clear" w:color="auto" w:fill="C6EFCE"/>
            <w:noWrap/>
          </w:tcPr>
          <w:p w14:paraId="1F608471" w14:textId="77777777" w:rsidR="00515398" w:rsidRDefault="00515398">
            <w:pPr>
              <w:spacing w:after="0" w:line="240" w:lineRule="auto"/>
              <w:rPr>
                <w:rFonts w:eastAsia="Times New Roman" w:cs="Calibri"/>
                <w:noProof/>
                <w:color w:val="006100"/>
                <w:sz w:val="18"/>
                <w:szCs w:val="18"/>
              </w:rPr>
            </w:pPr>
          </w:p>
        </w:tc>
        <w:tc>
          <w:tcPr>
            <w:tcW w:w="870" w:type="dxa"/>
            <w:tcBorders>
              <w:top w:val="nil"/>
              <w:left w:val="nil"/>
              <w:bottom w:val="single" w:sz="4" w:space="0" w:color="auto"/>
              <w:right w:val="single" w:sz="4" w:space="0" w:color="auto"/>
            </w:tcBorders>
            <w:shd w:val="clear" w:color="auto" w:fill="C6EFCE"/>
            <w:noWrap/>
          </w:tcPr>
          <w:p w14:paraId="54C5B240" w14:textId="77777777" w:rsidR="00515398" w:rsidRDefault="00515398">
            <w:pPr>
              <w:spacing w:after="0" w:line="240" w:lineRule="auto"/>
              <w:rPr>
                <w:rFonts w:eastAsia="Times New Roman" w:cs="Calibri"/>
                <w:noProof/>
                <w:color w:val="006100"/>
                <w:sz w:val="18"/>
                <w:szCs w:val="18"/>
              </w:rPr>
            </w:pPr>
          </w:p>
        </w:tc>
        <w:tc>
          <w:tcPr>
            <w:tcW w:w="998" w:type="dxa"/>
            <w:tcBorders>
              <w:top w:val="nil"/>
              <w:left w:val="nil"/>
              <w:bottom w:val="single" w:sz="4" w:space="0" w:color="auto"/>
              <w:right w:val="single" w:sz="4" w:space="0" w:color="auto"/>
            </w:tcBorders>
            <w:shd w:val="clear" w:color="auto" w:fill="C6EFCE"/>
            <w:noWrap/>
          </w:tcPr>
          <w:p w14:paraId="3F541ADD"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1897736B" w14:textId="77777777" w:rsidR="00515398" w:rsidRDefault="006711E6">
            <w:pPr>
              <w:pStyle w:val="P68B1DB1-Normal9"/>
              <w:spacing w:after="0" w:line="240" w:lineRule="auto"/>
              <w:rPr>
                <w:rFonts w:eastAsia="Times New Roman" w:cs="Calibri"/>
                <w:noProof/>
                <w:szCs w:val="18"/>
              </w:rPr>
            </w:pPr>
            <w:r>
              <w:rPr>
                <w:noProof/>
              </w:rPr>
              <w:t>ČTVRTLETÍ</w:t>
            </w:r>
          </w:p>
        </w:tc>
        <w:tc>
          <w:tcPr>
            <w:tcW w:w="709" w:type="dxa"/>
            <w:tcBorders>
              <w:top w:val="nil"/>
              <w:left w:val="nil"/>
              <w:bottom w:val="single" w:sz="4" w:space="0" w:color="auto"/>
              <w:right w:val="single" w:sz="4" w:space="0" w:color="auto"/>
            </w:tcBorders>
            <w:shd w:val="clear" w:color="auto" w:fill="C6EFCE"/>
            <w:noWrap/>
          </w:tcPr>
          <w:p w14:paraId="05338F44" w14:textId="77777777" w:rsidR="00515398" w:rsidRDefault="006711E6">
            <w:pPr>
              <w:pStyle w:val="P68B1DB1-Normal9"/>
              <w:spacing w:after="0" w:line="240" w:lineRule="auto"/>
              <w:rPr>
                <w:rFonts w:eastAsia="Times New Roman" w:cs="Calibri"/>
                <w:noProof/>
                <w:szCs w:val="18"/>
              </w:rPr>
            </w:pPr>
            <w:r>
              <w:rPr>
                <w:noProof/>
              </w:rPr>
              <w:t>2022</w:t>
            </w:r>
          </w:p>
        </w:tc>
        <w:tc>
          <w:tcPr>
            <w:tcW w:w="4592" w:type="dxa"/>
            <w:tcBorders>
              <w:top w:val="single" w:sz="4" w:space="0" w:color="auto"/>
              <w:left w:val="nil"/>
              <w:bottom w:val="single" w:sz="4" w:space="0" w:color="auto"/>
              <w:right w:val="single" w:sz="4" w:space="0" w:color="auto"/>
            </w:tcBorders>
            <w:shd w:val="clear" w:color="auto" w:fill="C6EFCE"/>
            <w:noWrap/>
          </w:tcPr>
          <w:p w14:paraId="260BCA71" w14:textId="77777777" w:rsidR="00515398" w:rsidRDefault="006711E6">
            <w:pPr>
              <w:pStyle w:val="P68B1DB1-Normal9"/>
              <w:spacing w:after="0" w:line="240" w:lineRule="auto"/>
              <w:rPr>
                <w:rFonts w:eastAsia="Times New Roman" w:cs="Calibri"/>
                <w:noProof/>
                <w:szCs w:val="18"/>
              </w:rPr>
            </w:pPr>
            <w:r>
              <w:rPr>
                <w:noProof/>
              </w:rPr>
              <w:t>Na základě národní strategie pro celoživotní učení vstoupí v platnost primární a sekundární právní předpisy, které stanoví klíčové prvky nového rámce celoživotního učení (včetně ustanovení o zřízení národní rady pro dovednosti jako ústředníh</w:t>
            </w:r>
            <w:r>
              <w:rPr>
                <w:noProof/>
              </w:rPr>
              <w:t>o kontrolního orgánu, zřízení účtů celoživotního vzdělávání, vnitrostátního seznamu způsobilých poskytovatelů odborné přípravy a srovnávacího přehledu a mechanismu diagnostiky trhu práce).</w:t>
            </w:r>
          </w:p>
        </w:tc>
      </w:tr>
      <w:tr w:rsidR="00515398" w14:paraId="0FCBA511" w14:textId="77777777">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14:paraId="298D2494" w14:textId="77777777" w:rsidR="00515398" w:rsidRDefault="006711E6">
            <w:pPr>
              <w:pStyle w:val="P68B1DB1-Normal9"/>
              <w:spacing w:after="0" w:line="240" w:lineRule="auto"/>
              <w:rPr>
                <w:rFonts w:eastAsia="Times New Roman" w:cs="Calibri"/>
                <w:noProof/>
                <w:szCs w:val="18"/>
              </w:rPr>
            </w:pPr>
            <w:r>
              <w:rPr>
                <w:noProof/>
              </w:rPr>
              <w:t>139</w:t>
            </w:r>
          </w:p>
        </w:tc>
        <w:tc>
          <w:tcPr>
            <w:tcW w:w="1319" w:type="dxa"/>
            <w:tcBorders>
              <w:top w:val="nil"/>
              <w:left w:val="nil"/>
              <w:bottom w:val="single" w:sz="4" w:space="0" w:color="auto"/>
              <w:right w:val="single" w:sz="4" w:space="0" w:color="auto"/>
            </w:tcBorders>
            <w:shd w:val="clear" w:color="auto" w:fill="C6EFCE"/>
            <w:noWrap/>
          </w:tcPr>
          <w:p w14:paraId="26C11D08" w14:textId="77777777" w:rsidR="00515398" w:rsidRDefault="006711E6">
            <w:pPr>
              <w:pStyle w:val="P68B1DB1-Normal9"/>
              <w:spacing w:after="0" w:line="240" w:lineRule="auto"/>
              <w:rPr>
                <w:rFonts w:eastAsia="Times New Roman" w:cs="Calibri"/>
                <w:noProof/>
                <w:szCs w:val="18"/>
              </w:rPr>
            </w:pPr>
            <w:r>
              <w:rPr>
                <w:noProof/>
              </w:rPr>
              <w:t xml:space="preserve">9–3.2. Vzdělávání, odborné vzdělávání a příprava a dovednosti </w:t>
            </w:r>
            <w:r>
              <w:rPr>
                <w:noProof/>
              </w:rPr>
              <w:t>– 16913_Nová strategie pro celoživotní dovednosti: Modernizace a vylepšení řeckého systému prohlubování dovedností a rekvalifikace</w:t>
            </w:r>
          </w:p>
        </w:tc>
        <w:tc>
          <w:tcPr>
            <w:tcW w:w="1043" w:type="dxa"/>
            <w:tcBorders>
              <w:top w:val="nil"/>
              <w:left w:val="nil"/>
              <w:bottom w:val="single" w:sz="4" w:space="0" w:color="auto"/>
              <w:right w:val="single" w:sz="4" w:space="0" w:color="auto"/>
            </w:tcBorders>
            <w:shd w:val="clear" w:color="auto" w:fill="C6EFCE"/>
            <w:noWrap/>
          </w:tcPr>
          <w:p w14:paraId="59837886" w14:textId="77777777" w:rsidR="00515398" w:rsidRDefault="006711E6">
            <w:pPr>
              <w:pStyle w:val="P68B1DB1-Normal9"/>
              <w:spacing w:after="0" w:line="240" w:lineRule="auto"/>
              <w:rPr>
                <w:rFonts w:eastAsia="Times New Roman" w:cs="Calibri"/>
                <w:noProof/>
                <w:szCs w:val="18"/>
              </w:rPr>
            </w:pPr>
            <w:r>
              <w:rPr>
                <w:noProof/>
              </w:rPr>
              <w:t>Cílová</w:t>
            </w:r>
          </w:p>
        </w:tc>
        <w:tc>
          <w:tcPr>
            <w:tcW w:w="1142" w:type="dxa"/>
            <w:tcBorders>
              <w:top w:val="nil"/>
              <w:left w:val="nil"/>
              <w:bottom w:val="single" w:sz="4" w:space="0" w:color="auto"/>
              <w:right w:val="single" w:sz="4" w:space="0" w:color="auto"/>
            </w:tcBorders>
            <w:shd w:val="clear" w:color="auto" w:fill="C6EFCE"/>
            <w:noWrap/>
          </w:tcPr>
          <w:p w14:paraId="23B3847F" w14:textId="77777777" w:rsidR="00515398" w:rsidRDefault="006711E6">
            <w:pPr>
              <w:pStyle w:val="P68B1DB1-Normal9"/>
              <w:spacing w:after="0" w:line="240" w:lineRule="auto"/>
              <w:rPr>
                <w:rFonts w:eastAsia="Times New Roman" w:cs="Calibri"/>
                <w:noProof/>
                <w:szCs w:val="18"/>
                <w:highlight w:val="yellow"/>
              </w:rPr>
            </w:pPr>
            <w:r>
              <w:rPr>
                <w:noProof/>
              </w:rPr>
              <w:t>Validace programů odborné přípravy týkajících se dokončení strategie celoživotního učení</w:t>
            </w:r>
          </w:p>
        </w:tc>
        <w:tc>
          <w:tcPr>
            <w:tcW w:w="1459" w:type="dxa"/>
            <w:tcBorders>
              <w:top w:val="nil"/>
              <w:left w:val="nil"/>
              <w:bottom w:val="single" w:sz="4" w:space="0" w:color="auto"/>
              <w:right w:val="single" w:sz="4" w:space="0" w:color="auto"/>
            </w:tcBorders>
            <w:shd w:val="clear" w:color="auto" w:fill="C6EFCE"/>
            <w:noWrap/>
          </w:tcPr>
          <w:p w14:paraId="38EED17B" w14:textId="77777777" w:rsidR="00515398" w:rsidRDefault="00515398">
            <w:pPr>
              <w:spacing w:after="0" w:line="240" w:lineRule="auto"/>
              <w:rPr>
                <w:rFonts w:eastAsia="Times New Roman" w:cs="Calibri"/>
                <w:noProof/>
                <w:color w:val="006100"/>
                <w:sz w:val="18"/>
                <w:szCs w:val="18"/>
              </w:rPr>
            </w:pPr>
          </w:p>
        </w:tc>
        <w:tc>
          <w:tcPr>
            <w:tcW w:w="1332" w:type="dxa"/>
            <w:tcBorders>
              <w:top w:val="nil"/>
              <w:left w:val="nil"/>
              <w:bottom w:val="single" w:sz="4" w:space="0" w:color="auto"/>
              <w:right w:val="single" w:sz="4" w:space="0" w:color="auto"/>
            </w:tcBorders>
            <w:shd w:val="clear" w:color="auto" w:fill="C6EFCE"/>
            <w:noWrap/>
          </w:tcPr>
          <w:p w14:paraId="3CE73141" w14:textId="77777777" w:rsidR="00515398" w:rsidRDefault="006711E6">
            <w:pPr>
              <w:pStyle w:val="P68B1DB1-Normal9"/>
              <w:spacing w:after="0" w:line="240" w:lineRule="auto"/>
              <w:rPr>
                <w:rFonts w:eastAsia="Times New Roman" w:cs="Calibri"/>
                <w:noProof/>
                <w:szCs w:val="18"/>
              </w:rPr>
            </w:pPr>
            <w:r>
              <w:rPr>
                <w:noProof/>
              </w:rPr>
              <w:t>Počet osob, které obdržely o</w:t>
            </w:r>
            <w:r>
              <w:rPr>
                <w:noProof/>
              </w:rPr>
              <w:t>svědčení o úspěchu</w:t>
            </w:r>
          </w:p>
          <w:p w14:paraId="0C594EBA" w14:textId="77777777" w:rsidR="00515398" w:rsidRDefault="006711E6">
            <w:pPr>
              <w:pStyle w:val="P68B1DB1-Normal9"/>
              <w:spacing w:after="0" w:line="240" w:lineRule="auto"/>
              <w:rPr>
                <w:rFonts w:eastAsia="Times New Roman" w:cs="Calibri"/>
                <w:noProof/>
                <w:szCs w:val="18"/>
              </w:rPr>
            </w:pPr>
            <w:r>
              <w:rPr>
                <w:noProof/>
              </w:rPr>
              <w:t>účast na vzdělávacím programu</w:t>
            </w:r>
          </w:p>
        </w:tc>
        <w:tc>
          <w:tcPr>
            <w:tcW w:w="870" w:type="dxa"/>
            <w:tcBorders>
              <w:top w:val="nil"/>
              <w:left w:val="nil"/>
              <w:bottom w:val="single" w:sz="4" w:space="0" w:color="auto"/>
              <w:right w:val="single" w:sz="4" w:space="0" w:color="auto"/>
            </w:tcBorders>
            <w:shd w:val="clear" w:color="auto" w:fill="C6EFCE"/>
            <w:noWrap/>
          </w:tcPr>
          <w:p w14:paraId="592DED51" w14:textId="77777777" w:rsidR="00515398" w:rsidRDefault="006711E6">
            <w:pPr>
              <w:pStyle w:val="P68B1DB1-Normal9"/>
              <w:spacing w:after="0" w:line="240" w:lineRule="auto"/>
              <w:rPr>
                <w:noProof/>
              </w:rPr>
            </w:pPr>
            <w:r>
              <w:rPr>
                <w:noProof/>
              </w:rPr>
              <w:t>0</w:t>
            </w:r>
          </w:p>
          <w:p w14:paraId="7E1C8001" w14:textId="77777777" w:rsidR="00515398" w:rsidRDefault="00515398">
            <w:pPr>
              <w:rPr>
                <w:rFonts w:eastAsia="Times New Roman" w:cs="Calibri"/>
                <w:noProof/>
                <w:sz w:val="18"/>
                <w:szCs w:val="18"/>
              </w:rPr>
            </w:pPr>
          </w:p>
        </w:tc>
        <w:tc>
          <w:tcPr>
            <w:tcW w:w="998" w:type="dxa"/>
            <w:tcBorders>
              <w:top w:val="nil"/>
              <w:left w:val="nil"/>
              <w:bottom w:val="single" w:sz="4" w:space="0" w:color="auto"/>
              <w:right w:val="single" w:sz="4" w:space="0" w:color="auto"/>
            </w:tcBorders>
            <w:shd w:val="clear" w:color="auto" w:fill="C6EFCE"/>
            <w:noWrap/>
          </w:tcPr>
          <w:p w14:paraId="26679F73" w14:textId="77777777" w:rsidR="00515398" w:rsidRDefault="006711E6">
            <w:pPr>
              <w:pStyle w:val="P68B1DB1-Normal9"/>
              <w:spacing w:after="0" w:line="240" w:lineRule="auto"/>
              <w:rPr>
                <w:rFonts w:eastAsia="Times New Roman" w:cs="Calibri"/>
                <w:noProof/>
                <w:szCs w:val="18"/>
              </w:rPr>
            </w:pPr>
            <w:r>
              <w:rPr>
                <w:noProof/>
              </w:rPr>
              <w:t>150 000</w:t>
            </w:r>
          </w:p>
        </w:tc>
        <w:tc>
          <w:tcPr>
            <w:tcW w:w="850" w:type="dxa"/>
            <w:tcBorders>
              <w:top w:val="nil"/>
              <w:left w:val="nil"/>
              <w:bottom w:val="single" w:sz="4" w:space="0" w:color="auto"/>
              <w:right w:val="single" w:sz="4" w:space="0" w:color="auto"/>
            </w:tcBorders>
            <w:shd w:val="clear" w:color="auto" w:fill="C6EFCE"/>
            <w:noWrap/>
          </w:tcPr>
          <w:p w14:paraId="705CC6A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323D161C" w14:textId="77777777" w:rsidR="00515398" w:rsidRDefault="006711E6">
            <w:pPr>
              <w:pStyle w:val="P68B1DB1-Normal9"/>
              <w:spacing w:after="0" w:line="240" w:lineRule="auto"/>
              <w:rPr>
                <w:rFonts w:eastAsia="Times New Roman" w:cs="Calibri"/>
                <w:noProof/>
                <w:szCs w:val="18"/>
              </w:rPr>
            </w:pPr>
            <w:r>
              <w:rPr>
                <w:noProof/>
              </w:rPr>
              <w:t>2022</w:t>
            </w:r>
          </w:p>
        </w:tc>
        <w:tc>
          <w:tcPr>
            <w:tcW w:w="4592" w:type="dxa"/>
            <w:tcBorders>
              <w:top w:val="nil"/>
              <w:left w:val="nil"/>
              <w:bottom w:val="single" w:sz="4" w:space="0" w:color="auto"/>
              <w:right w:val="single" w:sz="4" w:space="0" w:color="auto"/>
            </w:tcBorders>
            <w:shd w:val="clear" w:color="auto" w:fill="C6EFCE"/>
            <w:noWrap/>
          </w:tcPr>
          <w:p w14:paraId="6C860151" w14:textId="77777777" w:rsidR="00515398" w:rsidRDefault="006711E6">
            <w:pPr>
              <w:pStyle w:val="P68B1DB1-Normal9"/>
              <w:spacing w:after="0" w:line="240" w:lineRule="auto"/>
              <w:rPr>
                <w:rFonts w:eastAsia="Times New Roman" w:cs="Calibri"/>
                <w:noProof/>
                <w:szCs w:val="18"/>
              </w:rPr>
            </w:pPr>
            <w:r>
              <w:rPr>
                <w:noProof/>
              </w:rPr>
              <w:t>Dokončení programů odborné přípravy v oblasti digitálních, zelených a finančních dovedností pro nejméně 150000 účastníků a validace a certifikace dovedností získaných pro všec</w:t>
            </w:r>
            <w:r>
              <w:rPr>
                <w:noProof/>
              </w:rPr>
              <w:t xml:space="preserve">hny úspěšné účastníky. </w:t>
            </w:r>
          </w:p>
          <w:p w14:paraId="6BED75C3" w14:textId="77777777" w:rsidR="00515398" w:rsidRDefault="006711E6">
            <w:pPr>
              <w:pStyle w:val="P68B1DB1-Normal9"/>
              <w:spacing w:after="0" w:line="240" w:lineRule="auto"/>
              <w:rPr>
                <w:rFonts w:eastAsia="Times New Roman" w:cs="Calibri"/>
                <w:noProof/>
                <w:szCs w:val="18"/>
              </w:rPr>
            </w:pPr>
            <w:r>
              <w:rPr>
                <w:noProof/>
              </w:rPr>
              <w:t xml:space="preserve"> Tato investice řeší potřebu digitálních, zelených a finančních dovedností následujících skupin obyvatelstva: a) nezaměstnaní, zejména mladí lidé a dlouhodobě nezaměstnaní, b) zaměstnanci, zejména ti s vysokým rizikem nezaměstnanost</w:t>
            </w:r>
            <w:r>
              <w:rPr>
                <w:noProof/>
              </w:rPr>
              <w:t>i a ti, kteří jsou opomíjeni technologiemi na pracovišti, c) zaměstnanci, zejména v malých a středních podnicích s omezenou kapacitou interní odborné přípravy, d) zaměstnanci veřejného sektoru, včetně učitelů. Nabízenými dovednostmi jsou: základní digitáln</w:t>
            </w:r>
            <w:r>
              <w:rPr>
                <w:noProof/>
              </w:rPr>
              <w:t>í dovednosti, b) digitální dovednosti na střední úrovni, c) zelené dovednosti a d) dovednosti v oblasti finanční gramotnosti.</w:t>
            </w:r>
          </w:p>
        </w:tc>
      </w:tr>
      <w:tr w:rsidR="00515398" w14:paraId="4AAEAD81" w14:textId="77777777">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hideMark/>
          </w:tcPr>
          <w:p w14:paraId="12882DF5" w14:textId="77777777" w:rsidR="00515398" w:rsidRDefault="006711E6">
            <w:pPr>
              <w:pStyle w:val="P68B1DB1-Normal9"/>
              <w:spacing w:after="0" w:line="240" w:lineRule="auto"/>
              <w:rPr>
                <w:rFonts w:eastAsia="Times New Roman" w:cs="Calibri"/>
                <w:noProof/>
                <w:szCs w:val="18"/>
              </w:rPr>
            </w:pPr>
            <w:r>
              <w:rPr>
                <w:noProof/>
              </w:rPr>
              <w:t>140</w:t>
            </w:r>
          </w:p>
        </w:tc>
        <w:tc>
          <w:tcPr>
            <w:tcW w:w="1319" w:type="dxa"/>
            <w:tcBorders>
              <w:top w:val="nil"/>
              <w:left w:val="nil"/>
              <w:bottom w:val="single" w:sz="4" w:space="0" w:color="auto"/>
              <w:right w:val="single" w:sz="4" w:space="0" w:color="auto"/>
            </w:tcBorders>
            <w:shd w:val="clear" w:color="auto" w:fill="C6EFCE"/>
            <w:noWrap/>
            <w:hideMark/>
          </w:tcPr>
          <w:p w14:paraId="0D57CD00" w14:textId="265505C6" w:rsidR="00515398" w:rsidRDefault="006711E6">
            <w:pPr>
              <w:pStyle w:val="P68B1DB1-Normal9"/>
              <w:spacing w:after="0" w:line="240" w:lineRule="auto"/>
              <w:rPr>
                <w:rFonts w:eastAsia="Times New Roman" w:cs="Calibri"/>
                <w:noProof/>
                <w:szCs w:val="18"/>
              </w:rPr>
            </w:pPr>
            <w:r>
              <w:rPr>
                <w:noProof/>
              </w:rPr>
              <w:t xml:space="preserve">9–3.2. Vzdělávání, odborné vzdělávání a příprava a dovednosti – 16913_Nová strategie pro celoživotní dovednosti: Modernizace </w:t>
            </w:r>
            <w:r>
              <w:rPr>
                <w:noProof/>
              </w:rPr>
              <w:t>a vylepšení řeckého systému prohlubování dovedností a rekvalifikace</w:t>
            </w:r>
          </w:p>
        </w:tc>
        <w:tc>
          <w:tcPr>
            <w:tcW w:w="1043" w:type="dxa"/>
            <w:tcBorders>
              <w:top w:val="nil"/>
              <w:left w:val="nil"/>
              <w:bottom w:val="single" w:sz="4" w:space="0" w:color="auto"/>
              <w:right w:val="single" w:sz="4" w:space="0" w:color="auto"/>
            </w:tcBorders>
            <w:shd w:val="clear" w:color="auto" w:fill="C6EFCE"/>
            <w:noWrap/>
            <w:hideMark/>
          </w:tcPr>
          <w:p w14:paraId="7C6026ED" w14:textId="77777777" w:rsidR="00515398" w:rsidRDefault="006711E6">
            <w:pPr>
              <w:pStyle w:val="P68B1DB1-Normal9"/>
              <w:spacing w:after="0" w:line="240" w:lineRule="auto"/>
              <w:rPr>
                <w:rFonts w:eastAsia="Times New Roman" w:cs="Calibri"/>
                <w:noProof/>
                <w:szCs w:val="18"/>
              </w:rPr>
            </w:pPr>
            <w:r>
              <w:rPr>
                <w:noProof/>
              </w:rPr>
              <w:t>Cílová</w:t>
            </w:r>
          </w:p>
        </w:tc>
        <w:tc>
          <w:tcPr>
            <w:tcW w:w="1142" w:type="dxa"/>
            <w:tcBorders>
              <w:top w:val="nil"/>
              <w:left w:val="nil"/>
              <w:bottom w:val="single" w:sz="4" w:space="0" w:color="auto"/>
              <w:right w:val="single" w:sz="4" w:space="0" w:color="auto"/>
            </w:tcBorders>
            <w:shd w:val="clear" w:color="auto" w:fill="C6EFCE"/>
            <w:noWrap/>
            <w:hideMark/>
          </w:tcPr>
          <w:p w14:paraId="0FC25F91" w14:textId="172678CF" w:rsidR="00515398" w:rsidRDefault="006711E6">
            <w:pPr>
              <w:pStyle w:val="P68B1DB1-Normal9"/>
              <w:spacing w:after="0" w:line="240" w:lineRule="auto"/>
              <w:rPr>
                <w:rFonts w:eastAsia="Times New Roman" w:cs="Calibri"/>
                <w:noProof/>
                <w:szCs w:val="18"/>
              </w:rPr>
            </w:pPr>
            <w:r>
              <w:rPr>
                <w:noProof/>
              </w:rPr>
              <w:t>Programy odborné přípravy – validace a pořízení budovy v rámci strategie celoživotního učení</w:t>
            </w:r>
          </w:p>
        </w:tc>
        <w:tc>
          <w:tcPr>
            <w:tcW w:w="1459" w:type="dxa"/>
            <w:tcBorders>
              <w:top w:val="nil"/>
              <w:left w:val="nil"/>
              <w:bottom w:val="single" w:sz="4" w:space="0" w:color="auto"/>
              <w:right w:val="single" w:sz="4" w:space="0" w:color="auto"/>
            </w:tcBorders>
            <w:shd w:val="clear" w:color="auto" w:fill="C6EFCE"/>
            <w:noWrap/>
            <w:hideMark/>
          </w:tcPr>
          <w:p w14:paraId="2ED8EEC1" w14:textId="77777777" w:rsidR="00515398" w:rsidRDefault="00515398">
            <w:pPr>
              <w:spacing w:after="0" w:line="240" w:lineRule="auto"/>
              <w:rPr>
                <w:rFonts w:eastAsia="Times New Roman" w:cs="Calibri"/>
                <w:noProof/>
                <w:color w:val="006100"/>
                <w:sz w:val="18"/>
                <w:szCs w:val="18"/>
              </w:rPr>
            </w:pPr>
          </w:p>
        </w:tc>
        <w:tc>
          <w:tcPr>
            <w:tcW w:w="1332" w:type="dxa"/>
            <w:tcBorders>
              <w:top w:val="nil"/>
              <w:left w:val="nil"/>
              <w:bottom w:val="single" w:sz="4" w:space="0" w:color="auto"/>
              <w:right w:val="single" w:sz="4" w:space="0" w:color="auto"/>
            </w:tcBorders>
            <w:shd w:val="clear" w:color="auto" w:fill="C6EFCE"/>
            <w:noWrap/>
            <w:hideMark/>
          </w:tcPr>
          <w:p w14:paraId="534C3AFA" w14:textId="77777777" w:rsidR="00515398" w:rsidRDefault="006711E6">
            <w:pPr>
              <w:pStyle w:val="P68B1DB1-Normal9"/>
              <w:spacing w:after="0" w:line="240" w:lineRule="auto"/>
              <w:rPr>
                <w:rFonts w:eastAsia="Times New Roman" w:cs="Calibri"/>
                <w:noProof/>
                <w:szCs w:val="18"/>
              </w:rPr>
            </w:pPr>
            <w:r>
              <w:rPr>
                <w:noProof/>
              </w:rPr>
              <w:t>Počet osob, které obdržely osvědčení o úspěchu</w:t>
            </w:r>
          </w:p>
          <w:p w14:paraId="2E7F72FF" w14:textId="77777777" w:rsidR="00515398" w:rsidRDefault="006711E6">
            <w:pPr>
              <w:pStyle w:val="P68B1DB1-Normal9"/>
              <w:spacing w:after="0" w:line="240" w:lineRule="auto"/>
              <w:rPr>
                <w:rFonts w:eastAsia="Times New Roman" w:cs="Calibri"/>
                <w:noProof/>
                <w:szCs w:val="18"/>
              </w:rPr>
            </w:pPr>
            <w:r>
              <w:rPr>
                <w:noProof/>
              </w:rPr>
              <w:t>dokončení programu odborné přípravy</w:t>
            </w:r>
          </w:p>
        </w:tc>
        <w:tc>
          <w:tcPr>
            <w:tcW w:w="870" w:type="dxa"/>
            <w:tcBorders>
              <w:top w:val="nil"/>
              <w:left w:val="nil"/>
              <w:bottom w:val="single" w:sz="4" w:space="0" w:color="auto"/>
              <w:right w:val="single" w:sz="4" w:space="0" w:color="auto"/>
            </w:tcBorders>
            <w:shd w:val="clear" w:color="auto" w:fill="C6EFCE"/>
            <w:noWrap/>
            <w:hideMark/>
          </w:tcPr>
          <w:p w14:paraId="6A6B62DF" w14:textId="77777777" w:rsidR="00515398" w:rsidRDefault="006711E6">
            <w:pPr>
              <w:pStyle w:val="P68B1DB1-Normal9"/>
              <w:spacing w:after="0" w:line="240" w:lineRule="auto"/>
              <w:rPr>
                <w:rFonts w:eastAsia="Times New Roman" w:cs="Calibri"/>
                <w:noProof/>
                <w:szCs w:val="18"/>
              </w:rPr>
            </w:pPr>
            <w:r>
              <w:rPr>
                <w:noProof/>
              </w:rPr>
              <w:t>150 000</w:t>
            </w:r>
          </w:p>
        </w:tc>
        <w:tc>
          <w:tcPr>
            <w:tcW w:w="998" w:type="dxa"/>
            <w:tcBorders>
              <w:top w:val="nil"/>
              <w:left w:val="nil"/>
              <w:bottom w:val="single" w:sz="4" w:space="0" w:color="auto"/>
              <w:right w:val="single" w:sz="4" w:space="0" w:color="auto"/>
            </w:tcBorders>
            <w:shd w:val="clear" w:color="auto" w:fill="C6EFCE"/>
            <w:noWrap/>
            <w:hideMark/>
          </w:tcPr>
          <w:p w14:paraId="34BCF4BB" w14:textId="77777777" w:rsidR="00515398" w:rsidRDefault="006711E6">
            <w:pPr>
              <w:pStyle w:val="P68B1DB1-Normal9"/>
              <w:spacing w:after="0" w:line="240" w:lineRule="auto"/>
              <w:rPr>
                <w:rFonts w:eastAsia="Times New Roman" w:cs="Calibri"/>
                <w:noProof/>
                <w:szCs w:val="18"/>
              </w:rPr>
            </w:pPr>
            <w:r>
              <w:rPr>
                <w:noProof/>
              </w:rPr>
              <w:t>500 000</w:t>
            </w:r>
          </w:p>
        </w:tc>
        <w:tc>
          <w:tcPr>
            <w:tcW w:w="850" w:type="dxa"/>
            <w:tcBorders>
              <w:top w:val="nil"/>
              <w:left w:val="nil"/>
              <w:bottom w:val="single" w:sz="4" w:space="0" w:color="auto"/>
              <w:right w:val="single" w:sz="4" w:space="0" w:color="auto"/>
            </w:tcBorders>
            <w:shd w:val="clear" w:color="auto" w:fill="C6EFCE"/>
            <w:noWrap/>
            <w:hideMark/>
          </w:tcPr>
          <w:p w14:paraId="50057D1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hideMark/>
          </w:tcPr>
          <w:p w14:paraId="7D9D401C" w14:textId="77777777" w:rsidR="00515398" w:rsidRDefault="006711E6">
            <w:pPr>
              <w:pStyle w:val="P68B1DB1-Normal9"/>
              <w:spacing w:after="0" w:line="240" w:lineRule="auto"/>
              <w:rPr>
                <w:rFonts w:eastAsia="Times New Roman" w:cs="Calibri"/>
                <w:noProof/>
                <w:szCs w:val="18"/>
              </w:rPr>
            </w:pPr>
            <w:r>
              <w:rPr>
                <w:noProof/>
              </w:rPr>
              <w:t>2025</w:t>
            </w:r>
          </w:p>
        </w:tc>
        <w:tc>
          <w:tcPr>
            <w:tcW w:w="4592" w:type="dxa"/>
            <w:tcBorders>
              <w:top w:val="nil"/>
              <w:left w:val="nil"/>
              <w:bottom w:val="single" w:sz="4" w:space="0" w:color="auto"/>
              <w:right w:val="single" w:sz="4" w:space="0" w:color="auto"/>
            </w:tcBorders>
            <w:shd w:val="clear" w:color="auto" w:fill="C6EFCE"/>
            <w:noWrap/>
            <w:hideMark/>
          </w:tcPr>
          <w:p w14:paraId="14B16112" w14:textId="2AF624CC" w:rsidR="00515398" w:rsidRDefault="006711E6">
            <w:pPr>
              <w:pStyle w:val="P68B1DB1-Normal9"/>
              <w:spacing w:after="0" w:line="240" w:lineRule="auto"/>
              <w:rPr>
                <w:rFonts w:eastAsia="Times New Roman" w:cs="Calibri"/>
                <w:noProof/>
                <w:szCs w:val="18"/>
              </w:rPr>
            </w:pPr>
            <w:r>
              <w:rPr>
                <w:noProof/>
              </w:rPr>
              <w:t xml:space="preserve">— Dokončení vzdělávacích programů v oblasti digitálních, zelených a finančních dovedností pro 500000 účastníků (kumulativní, 1. a 2. vlna) a validace a certifikace dovedností získaných v obou vlnách programů odborné přípravy pro všechny úspěšné účastníky. </w:t>
            </w:r>
          </w:p>
          <w:p w14:paraId="64167347" w14:textId="77777777" w:rsidR="00515398" w:rsidRDefault="006711E6">
            <w:pPr>
              <w:pStyle w:val="P68B1DB1-Normal9"/>
              <w:spacing w:after="0" w:line="240" w:lineRule="auto"/>
              <w:rPr>
                <w:noProof/>
              </w:rPr>
            </w:pPr>
            <w:r>
              <w:rPr>
                <w:noProof/>
              </w:rPr>
              <w:t xml:space="preserve">Z celkového počtu účastníků musí alespoň 33 % (167000 účastníků) provádět programy odborné přípravy týkající se zelených dovedností a pracovních míst v zelené ekonomice. </w:t>
            </w:r>
          </w:p>
          <w:p w14:paraId="15BFE6F5" w14:textId="77777777" w:rsidR="00515398" w:rsidRDefault="00515398">
            <w:pPr>
              <w:spacing w:after="0" w:line="240" w:lineRule="auto"/>
              <w:rPr>
                <w:noProof/>
                <w:color w:val="006100"/>
                <w:sz w:val="18"/>
              </w:rPr>
            </w:pPr>
          </w:p>
          <w:p w14:paraId="73E59C6B" w14:textId="6959E6E2" w:rsidR="00515398" w:rsidRDefault="006711E6">
            <w:pPr>
              <w:pStyle w:val="P68B1DB1-Normal9"/>
              <w:spacing w:after="0" w:line="240" w:lineRule="auto"/>
              <w:rPr>
                <w:rFonts w:eastAsia="Times New Roman" w:cs="Calibri"/>
                <w:noProof/>
                <w:szCs w:val="18"/>
              </w:rPr>
            </w:pPr>
            <w:r>
              <w:rPr>
                <w:noProof/>
              </w:rPr>
              <w:t>— Pořízení nové budovy, která bude sloužit jako ústředí DYPA a Národní rady pro dov</w:t>
            </w:r>
            <w:r>
              <w:rPr>
                <w:noProof/>
              </w:rPr>
              <w:t xml:space="preserve">ednosti a bude rovněž hostitelem Centra celoživotního učení DYPA. </w:t>
            </w:r>
          </w:p>
        </w:tc>
      </w:tr>
    </w:tbl>
    <w:p w14:paraId="2A4318CA" w14:textId="77777777" w:rsidR="00515398" w:rsidRDefault="00515398">
      <w:pPr>
        <w:spacing w:before="120" w:after="120" w:line="240" w:lineRule="auto"/>
        <w:jc w:val="both"/>
        <w:rPr>
          <w:rFonts w:ascii="Times New Roman" w:hAnsi="Times New Roman" w:cs="Times New Roman"/>
          <w:noProof/>
          <w:sz w:val="24"/>
        </w:rPr>
      </w:pPr>
    </w:p>
    <w:p w14:paraId="6B1AB893" w14:textId="77777777" w:rsidR="00515398" w:rsidRDefault="00515398">
      <w:pPr>
        <w:spacing w:before="120" w:after="120" w:line="240" w:lineRule="auto"/>
        <w:ind w:left="709"/>
        <w:jc w:val="both"/>
        <w:rPr>
          <w:rFonts w:ascii="Times New Roman" w:hAnsi="Times New Roman" w:cs="Times New Roman"/>
          <w:noProof/>
          <w:sz w:val="24"/>
          <w:szCs w:val="24"/>
        </w:rPr>
      </w:pPr>
    </w:p>
    <w:p w14:paraId="099EE4D8" w14:textId="77777777" w:rsidR="00515398" w:rsidRDefault="00515398">
      <w:pPr>
        <w:keepNext/>
        <w:keepLines/>
        <w:spacing w:before="40" w:after="0" w:line="240" w:lineRule="auto"/>
        <w:jc w:val="both"/>
        <w:outlineLvl w:val="4"/>
        <w:rPr>
          <w:rFonts w:ascii="Cambria" w:hAnsi="Cambria"/>
          <w:noProof/>
          <w:color w:val="365F91" w:themeColor="accent1" w:themeShade="BF"/>
          <w:sz w:val="24"/>
        </w:rPr>
        <w:sectPr w:rsidR="00515398" w:rsidSect="00271D33">
          <w:headerReference w:type="even" r:id="rId151"/>
          <w:headerReference w:type="default" r:id="rId152"/>
          <w:footerReference w:type="even" r:id="rId153"/>
          <w:footerReference w:type="default" r:id="rId154"/>
          <w:headerReference w:type="first" r:id="rId155"/>
          <w:footerReference w:type="first" r:id="rId156"/>
          <w:pgSz w:w="16839" w:h="11907" w:orient="landscape"/>
          <w:pgMar w:top="720" w:right="720" w:bottom="720" w:left="720" w:header="709" w:footer="75" w:gutter="0"/>
          <w:cols w:space="720"/>
          <w:docGrid w:linePitch="360"/>
        </w:sectPr>
      </w:pPr>
    </w:p>
    <w:p w14:paraId="2FBDDAEE" w14:textId="77777777" w:rsidR="00515398" w:rsidRDefault="006711E6">
      <w:pPr>
        <w:pStyle w:val="P68B1DB1-Normal6"/>
        <w:keepNext/>
        <w:keepLines/>
        <w:spacing w:before="40" w:after="0" w:line="240" w:lineRule="auto"/>
        <w:jc w:val="both"/>
        <w:outlineLvl w:val="4"/>
        <w:rPr>
          <w:rFonts w:eastAsia="Times New Roman"/>
          <w:noProof/>
          <w:szCs w:val="24"/>
        </w:rPr>
      </w:pPr>
      <w:r>
        <w:rPr>
          <w:noProof/>
        </w:rPr>
        <w:t>Skupina 11: Podporovat vytváření pracovních míst a účast na trhu práce/vzdělávání, odborné vzdělávání a přípravu a dovednosti</w:t>
      </w:r>
      <w:r>
        <w:rPr>
          <w:noProof/>
        </w:rPr>
        <w:t xml:space="preserve"> – DYPA – reformy a investice</w:t>
      </w:r>
    </w:p>
    <w:p w14:paraId="2184B999" w14:textId="39F54C1B" w:rsidR="00515398" w:rsidRDefault="006711E6">
      <w:pPr>
        <w:pStyle w:val="P68B1DB1-Normal4"/>
        <w:numPr>
          <w:ilvl w:val="0"/>
          <w:numId w:val="43"/>
        </w:numPr>
        <w:spacing w:before="120" w:after="0" w:line="240" w:lineRule="auto"/>
        <w:jc w:val="both"/>
        <w:rPr>
          <w:rFonts w:cs="Times New Roman"/>
          <w:noProof/>
        </w:rPr>
      </w:pPr>
      <w:r>
        <w:rPr>
          <w:noProof/>
        </w:rPr>
        <w:t>Restrukturalizace a nové označení místních poboček DYPA za účelem podpory zaměstnanosti (KPA2) (ID: 16941)</w:t>
      </w:r>
    </w:p>
    <w:p w14:paraId="7BD0F3F3" w14:textId="77777777" w:rsidR="00515398" w:rsidRDefault="006711E6">
      <w:pPr>
        <w:pStyle w:val="P68B1DB1-Normal4"/>
        <w:numPr>
          <w:ilvl w:val="0"/>
          <w:numId w:val="43"/>
        </w:numPr>
        <w:spacing w:before="120" w:after="0" w:line="240" w:lineRule="auto"/>
        <w:jc w:val="both"/>
        <w:rPr>
          <w:rFonts w:cs="Times New Roman"/>
          <w:noProof/>
        </w:rPr>
      </w:pPr>
      <w:r>
        <w:rPr>
          <w:noProof/>
        </w:rPr>
        <w:t>Reforma aktivních politik na trhu práce (ID: 16747)</w:t>
      </w:r>
    </w:p>
    <w:p w14:paraId="1A2BBB86" w14:textId="77777777" w:rsidR="00515398" w:rsidRDefault="006711E6">
      <w:pPr>
        <w:pStyle w:val="P68B1DB1-Normal4"/>
        <w:numPr>
          <w:ilvl w:val="0"/>
          <w:numId w:val="43"/>
        </w:numPr>
        <w:spacing w:before="120" w:after="0" w:line="240" w:lineRule="auto"/>
        <w:jc w:val="both"/>
        <w:rPr>
          <w:rFonts w:cs="Times New Roman"/>
          <w:noProof/>
        </w:rPr>
      </w:pPr>
      <w:r>
        <w:rPr>
          <w:noProof/>
        </w:rPr>
        <w:t>Posílení systému učňovské přípravy (ID: 16794)</w:t>
      </w:r>
    </w:p>
    <w:p w14:paraId="1AC5BC1A" w14:textId="77777777" w:rsidR="00515398" w:rsidRDefault="006711E6">
      <w:pPr>
        <w:pStyle w:val="P68B1DB1-Normal4"/>
        <w:numPr>
          <w:ilvl w:val="0"/>
          <w:numId w:val="43"/>
        </w:numPr>
        <w:spacing w:before="120" w:after="0" w:line="240" w:lineRule="auto"/>
        <w:jc w:val="both"/>
        <w:rPr>
          <w:rFonts w:cs="Times New Roman"/>
          <w:noProof/>
        </w:rPr>
      </w:pPr>
      <w:r>
        <w:rPr>
          <w:noProof/>
        </w:rPr>
        <w:t>Reforma pasivních po</w:t>
      </w:r>
      <w:r>
        <w:rPr>
          <w:noProof/>
        </w:rPr>
        <w:t>litik na trhu práce na podporu přechodu k zaměstnání (ID: 16746)</w:t>
      </w:r>
    </w:p>
    <w:p w14:paraId="2ECE02AB" w14:textId="77777777" w:rsidR="00515398" w:rsidRDefault="006711E6">
      <w:pPr>
        <w:pStyle w:val="P68B1DB1-Normal4"/>
        <w:numPr>
          <w:ilvl w:val="0"/>
          <w:numId w:val="43"/>
        </w:numPr>
        <w:spacing w:before="120" w:after="120" w:line="240" w:lineRule="auto"/>
        <w:jc w:val="both"/>
        <w:rPr>
          <w:rFonts w:cs="Times New Roman"/>
          <w:noProof/>
        </w:rPr>
        <w:sectPr w:rsidR="00515398" w:rsidSect="0018328F">
          <w:headerReference w:type="even" r:id="rId157"/>
          <w:headerReference w:type="default" r:id="rId158"/>
          <w:footerReference w:type="even" r:id="rId159"/>
          <w:footerReference w:type="default" r:id="rId160"/>
          <w:headerReference w:type="first" r:id="rId161"/>
          <w:footerReference w:type="first" r:id="rId162"/>
          <w:pgSz w:w="11907" w:h="16839"/>
          <w:pgMar w:top="720" w:right="720" w:bottom="720" w:left="720" w:header="709" w:footer="709" w:gutter="0"/>
          <w:cols w:space="720"/>
          <w:docGrid w:linePitch="360"/>
        </w:sectPr>
      </w:pPr>
      <w:r>
        <w:rPr>
          <w:noProof/>
        </w:rPr>
        <w:t>Získávání dovedností, rekvalifikace a prohlubování dovedností pracovní síly prostřednictvím reformovaného modelu odborné přípravy (re</w:t>
      </w:r>
      <w:r>
        <w:rPr>
          <w:noProof/>
        </w:rPr>
        <w:t>forma odborného vzdělávání a odborné přípravy) (ID: 16792)</w:t>
      </w:r>
    </w:p>
    <w:tbl>
      <w:tblPr>
        <w:tblW w:w="15588" w:type="dxa"/>
        <w:jc w:val="center"/>
        <w:tblLayout w:type="fixed"/>
        <w:tblLook w:val="04A0" w:firstRow="1" w:lastRow="0" w:firstColumn="1" w:lastColumn="0" w:noHBand="0" w:noVBand="1"/>
      </w:tblPr>
      <w:tblGrid>
        <w:gridCol w:w="1116"/>
        <w:gridCol w:w="1797"/>
        <w:gridCol w:w="1099"/>
        <w:gridCol w:w="1365"/>
        <w:gridCol w:w="1471"/>
        <w:gridCol w:w="1135"/>
        <w:gridCol w:w="924"/>
        <w:gridCol w:w="896"/>
        <w:gridCol w:w="846"/>
        <w:gridCol w:w="783"/>
        <w:gridCol w:w="4156"/>
      </w:tblGrid>
      <w:tr w:rsidR="00515398" w14:paraId="7116724C" w14:textId="77777777">
        <w:trPr>
          <w:trHeight w:val="741"/>
          <w:tblHeader/>
          <w:jc w:val="cent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493011"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C5BCC5"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E774B4"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7524DD"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140C6D"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95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92D78C7"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629" w:type="dxa"/>
            <w:gridSpan w:val="2"/>
            <w:tcBorders>
              <w:top w:val="single" w:sz="4" w:space="0" w:color="auto"/>
              <w:left w:val="nil"/>
              <w:bottom w:val="single" w:sz="4" w:space="0" w:color="auto"/>
              <w:right w:val="single" w:sz="4" w:space="0" w:color="auto"/>
            </w:tcBorders>
            <w:shd w:val="clear" w:color="auto" w:fill="BDD7EE"/>
            <w:vAlign w:val="center"/>
            <w:hideMark/>
          </w:tcPr>
          <w:p w14:paraId="107F599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1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9BB90A" w14:textId="77777777" w:rsidR="00515398" w:rsidRDefault="006711E6">
            <w:pPr>
              <w:pStyle w:val="P68B1DB1-Normal7"/>
              <w:spacing w:after="0" w:line="240" w:lineRule="auto"/>
              <w:jc w:val="center"/>
              <w:rPr>
                <w:rFonts w:eastAsia="Times New Roman" w:cs="Times New Roman"/>
                <w:bCs/>
                <w:noProof/>
                <w:szCs w:val="18"/>
              </w:rPr>
            </w:pPr>
            <w:r>
              <w:rPr>
                <w:noProof/>
              </w:rPr>
              <w:t xml:space="preserve">Popis </w:t>
            </w:r>
            <w:r>
              <w:rPr>
                <w:noProof/>
              </w:rPr>
              <w:t>každého milníku a cíle</w:t>
            </w:r>
          </w:p>
        </w:tc>
      </w:tr>
      <w:tr w:rsidR="00515398" w14:paraId="1FA0DE13" w14:textId="77777777">
        <w:trPr>
          <w:trHeight w:val="512"/>
          <w:tblHeader/>
          <w:jc w:val="center"/>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052BBA43" w14:textId="77777777" w:rsidR="00515398" w:rsidRDefault="00515398">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79954386" w14:textId="77777777" w:rsidR="00515398" w:rsidRDefault="00515398">
            <w:pPr>
              <w:spacing w:after="0" w:line="240" w:lineRule="auto"/>
              <w:rPr>
                <w:rFonts w:ascii="Times New Roman" w:eastAsia="Times New Roman" w:hAnsi="Times New Roman" w:cs="Times New Roman"/>
                <w:b/>
                <w:bCs/>
                <w:noProof/>
                <w:sz w:val="18"/>
                <w:szCs w:val="18"/>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6E4C6BCE" w14:textId="77777777" w:rsidR="00515398" w:rsidRDefault="00515398">
            <w:pPr>
              <w:spacing w:after="0" w:line="240" w:lineRule="auto"/>
              <w:rPr>
                <w:rFonts w:ascii="Times New Roman" w:eastAsia="Times New Roman" w:hAnsi="Times New Roman" w:cs="Times New Roman"/>
                <w:b/>
                <w:bCs/>
                <w:noProof/>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4D0AF0E" w14:textId="77777777" w:rsidR="00515398" w:rsidRDefault="00515398">
            <w:pPr>
              <w:spacing w:after="0" w:line="240" w:lineRule="auto"/>
              <w:rPr>
                <w:rFonts w:ascii="Times New Roman" w:eastAsia="Times New Roman" w:hAnsi="Times New Roman" w:cs="Times New Roman"/>
                <w:b/>
                <w:bCs/>
                <w:noProof/>
                <w:sz w:val="18"/>
                <w:szCs w:val="1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4D8713E"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E7D4A77"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2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79E832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9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19894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9B3CE58"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8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1FFDB3E"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156" w:type="dxa"/>
            <w:vMerge/>
            <w:tcBorders>
              <w:top w:val="single" w:sz="4" w:space="0" w:color="auto"/>
              <w:bottom w:val="single" w:sz="4" w:space="0" w:color="auto"/>
              <w:right w:val="single" w:sz="4" w:space="0" w:color="auto"/>
            </w:tcBorders>
            <w:vAlign w:val="center"/>
            <w:hideMark/>
          </w:tcPr>
          <w:p w14:paraId="1F8A81C3"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57B191D2"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743645" w14:textId="77777777" w:rsidR="00515398" w:rsidRDefault="006711E6">
            <w:pPr>
              <w:pStyle w:val="P68B1DB1-Normal9"/>
              <w:spacing w:after="0" w:line="240" w:lineRule="auto"/>
              <w:rPr>
                <w:rFonts w:eastAsia="Times New Roman" w:cs="Calibri"/>
                <w:noProof/>
                <w:szCs w:val="18"/>
              </w:rPr>
            </w:pPr>
            <w:r>
              <w:rPr>
                <w:noProof/>
              </w:rPr>
              <w:t>141</w:t>
            </w:r>
          </w:p>
        </w:tc>
        <w:tc>
          <w:tcPr>
            <w:tcW w:w="1797" w:type="dxa"/>
            <w:tcBorders>
              <w:top w:val="single" w:sz="4" w:space="0" w:color="auto"/>
              <w:left w:val="nil"/>
              <w:bottom w:val="single" w:sz="4" w:space="0" w:color="auto"/>
              <w:right w:val="single" w:sz="4" w:space="0" w:color="auto"/>
            </w:tcBorders>
            <w:shd w:val="clear" w:color="auto" w:fill="C6EFCE"/>
            <w:noWrap/>
          </w:tcPr>
          <w:p w14:paraId="7A52FE2F" w14:textId="77777777" w:rsidR="00515398" w:rsidRDefault="006711E6">
            <w:pPr>
              <w:pStyle w:val="P68B1DB1-Normal9"/>
              <w:spacing w:after="0" w:line="240" w:lineRule="auto"/>
              <w:rPr>
                <w:rFonts w:eastAsia="Times New Roman" w:cs="Calibri"/>
                <w:noProof/>
                <w:szCs w:val="18"/>
              </w:rPr>
            </w:pPr>
            <w:r>
              <w:rPr>
                <w:noProof/>
              </w:rPr>
              <w:t>8–3.1. Podpora tvorby pracovních míst a účasti na trhu práce – 16941_Restrukturalizace a změna značky místních veřejných služeb zaměstnanosti DYPA (KPA2)</w:t>
            </w:r>
          </w:p>
        </w:tc>
        <w:tc>
          <w:tcPr>
            <w:tcW w:w="1099" w:type="dxa"/>
            <w:tcBorders>
              <w:top w:val="single" w:sz="4" w:space="0" w:color="auto"/>
              <w:left w:val="nil"/>
              <w:bottom w:val="single" w:sz="4" w:space="0" w:color="auto"/>
              <w:right w:val="single" w:sz="4" w:space="0" w:color="auto"/>
            </w:tcBorders>
            <w:shd w:val="clear" w:color="auto" w:fill="C6EFCE"/>
            <w:noWrap/>
          </w:tcPr>
          <w:p w14:paraId="5CEE3A7F"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single" w:sz="4" w:space="0" w:color="auto"/>
              <w:left w:val="nil"/>
              <w:bottom w:val="single" w:sz="4" w:space="0" w:color="auto"/>
              <w:right w:val="single" w:sz="4" w:space="0" w:color="auto"/>
            </w:tcBorders>
            <w:shd w:val="clear" w:color="auto" w:fill="C6EFCE"/>
            <w:noWrap/>
          </w:tcPr>
          <w:p w14:paraId="3A4709DB" w14:textId="77777777" w:rsidR="00515398" w:rsidRDefault="006711E6">
            <w:pPr>
              <w:pStyle w:val="P68B1DB1-Normal9"/>
              <w:spacing w:after="0" w:line="240" w:lineRule="auto"/>
              <w:rPr>
                <w:rFonts w:eastAsia="Times New Roman" w:cs="Calibri"/>
                <w:noProof/>
                <w:szCs w:val="18"/>
              </w:rPr>
            </w:pPr>
            <w:r>
              <w:rPr>
                <w:noProof/>
              </w:rPr>
              <w:t xml:space="preserve">DYPA – organizační reforma vstupu právních předpisů v platnost </w:t>
            </w:r>
          </w:p>
        </w:tc>
        <w:tc>
          <w:tcPr>
            <w:tcW w:w="1471" w:type="dxa"/>
            <w:tcBorders>
              <w:top w:val="single" w:sz="4" w:space="0" w:color="auto"/>
              <w:left w:val="nil"/>
              <w:bottom w:val="single" w:sz="4" w:space="0" w:color="auto"/>
              <w:right w:val="single" w:sz="4" w:space="0" w:color="auto"/>
            </w:tcBorders>
            <w:shd w:val="clear" w:color="auto" w:fill="C6EFCE"/>
            <w:noWrap/>
          </w:tcPr>
          <w:p w14:paraId="5251E9BA" w14:textId="77777777" w:rsidR="00515398" w:rsidRDefault="006711E6">
            <w:pPr>
              <w:pStyle w:val="P68B1DB1-Normal9"/>
              <w:spacing w:after="0" w:line="240" w:lineRule="auto"/>
              <w:rPr>
                <w:rFonts w:eastAsia="Times New Roman" w:cs="Calibri"/>
                <w:noProof/>
                <w:szCs w:val="18"/>
              </w:rPr>
            </w:pPr>
            <w:r>
              <w:rPr>
                <w:noProof/>
              </w:rPr>
              <w:t xml:space="preserve">Vstup právních předpisů v platnost </w:t>
            </w:r>
          </w:p>
        </w:tc>
        <w:tc>
          <w:tcPr>
            <w:tcW w:w="1135" w:type="dxa"/>
            <w:tcBorders>
              <w:top w:val="single" w:sz="4" w:space="0" w:color="auto"/>
              <w:left w:val="nil"/>
              <w:bottom w:val="single" w:sz="4" w:space="0" w:color="auto"/>
              <w:right w:val="single" w:sz="4" w:space="0" w:color="auto"/>
            </w:tcBorders>
            <w:shd w:val="clear" w:color="auto" w:fill="C6EFCE"/>
            <w:noWrap/>
          </w:tcPr>
          <w:p w14:paraId="2B80763D" w14:textId="77777777" w:rsidR="00515398" w:rsidRDefault="00515398">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7A44CAB0" w14:textId="77777777" w:rsidR="00515398" w:rsidRDefault="00515398">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3C20BB8C"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EC7BC34" w14:textId="77777777" w:rsidR="00515398" w:rsidRDefault="006711E6">
            <w:pPr>
              <w:pStyle w:val="P68B1DB1-Normal9"/>
              <w:spacing w:after="0" w:line="240" w:lineRule="auto"/>
              <w:rPr>
                <w:rFonts w:eastAsia="Times New Roman" w:cs="Calibri"/>
                <w:noProof/>
                <w:szCs w:val="18"/>
              </w:rPr>
            </w:pPr>
            <w:r>
              <w:rPr>
                <w:noProof/>
              </w:rPr>
              <w:t>ČTVRTLETÍ 3</w:t>
            </w:r>
          </w:p>
        </w:tc>
        <w:tc>
          <w:tcPr>
            <w:tcW w:w="783" w:type="dxa"/>
            <w:tcBorders>
              <w:top w:val="single" w:sz="4" w:space="0" w:color="auto"/>
              <w:left w:val="nil"/>
              <w:bottom w:val="single" w:sz="4" w:space="0" w:color="auto"/>
              <w:right w:val="single" w:sz="4" w:space="0" w:color="auto"/>
            </w:tcBorders>
            <w:shd w:val="clear" w:color="auto" w:fill="C6EFCE"/>
            <w:noWrap/>
          </w:tcPr>
          <w:p w14:paraId="5F8C08A1" w14:textId="77777777" w:rsidR="00515398" w:rsidRDefault="006711E6">
            <w:pPr>
              <w:pStyle w:val="P68B1DB1-Normal9"/>
              <w:spacing w:after="0" w:line="240" w:lineRule="auto"/>
              <w:rPr>
                <w:rFonts w:eastAsia="Times New Roman" w:cs="Calibri"/>
                <w:noProof/>
                <w:szCs w:val="18"/>
              </w:rPr>
            </w:pPr>
            <w:r>
              <w:rPr>
                <w:noProof/>
              </w:rPr>
              <w:t>2021</w:t>
            </w:r>
          </w:p>
        </w:tc>
        <w:tc>
          <w:tcPr>
            <w:tcW w:w="4156" w:type="dxa"/>
            <w:tcBorders>
              <w:top w:val="single" w:sz="4" w:space="0" w:color="auto"/>
              <w:left w:val="nil"/>
              <w:bottom w:val="single" w:sz="4" w:space="0" w:color="auto"/>
              <w:right w:val="single" w:sz="4" w:space="0" w:color="auto"/>
            </w:tcBorders>
            <w:shd w:val="clear" w:color="auto" w:fill="C6EFCE"/>
            <w:noWrap/>
          </w:tcPr>
          <w:p w14:paraId="1A33FE5A" w14:textId="77777777" w:rsidR="00515398" w:rsidRDefault="006711E6">
            <w:pPr>
              <w:pStyle w:val="P68B1DB1-Normal9"/>
              <w:spacing w:after="0" w:line="240" w:lineRule="auto"/>
              <w:rPr>
                <w:rFonts w:eastAsia="Times New Roman" w:cs="Calibri"/>
                <w:noProof/>
                <w:szCs w:val="18"/>
              </w:rPr>
            </w:pPr>
            <w:r>
              <w:rPr>
                <w:noProof/>
              </w:rPr>
              <w:t xml:space="preserve">Vstup v platnost organizační reformy řecké organizace pro zaměstnanost pracovních sil (DYPA), restrukturalizace, renovace a nové </w:t>
            </w:r>
            <w:r>
              <w:rPr>
                <w:noProof/>
              </w:rPr>
              <w:t>označení místních veřejných služeb zaměstnanosti s cílem zlepšit kvalitu, kapacitu a účinnost nabízených služeb.</w:t>
            </w:r>
          </w:p>
        </w:tc>
      </w:tr>
      <w:tr w:rsidR="00515398" w14:paraId="68E841AD" w14:textId="77777777">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5233F7EF" w14:textId="77777777" w:rsidR="00515398" w:rsidRDefault="006711E6">
            <w:pPr>
              <w:pStyle w:val="P68B1DB1-Normal9"/>
              <w:spacing w:after="0" w:line="240" w:lineRule="auto"/>
              <w:rPr>
                <w:rFonts w:eastAsia="Times New Roman" w:cs="Calibri"/>
                <w:noProof/>
                <w:szCs w:val="18"/>
              </w:rPr>
            </w:pPr>
            <w:r>
              <w:rPr>
                <w:noProof/>
              </w:rPr>
              <w:t>141a</w:t>
            </w:r>
          </w:p>
        </w:tc>
        <w:tc>
          <w:tcPr>
            <w:tcW w:w="1797" w:type="dxa"/>
            <w:tcBorders>
              <w:top w:val="nil"/>
              <w:left w:val="nil"/>
              <w:bottom w:val="single" w:sz="4" w:space="0" w:color="auto"/>
              <w:right w:val="single" w:sz="4" w:space="0" w:color="auto"/>
            </w:tcBorders>
            <w:shd w:val="clear" w:color="auto" w:fill="C6EFCE"/>
            <w:noWrap/>
          </w:tcPr>
          <w:p w14:paraId="2EBB7314" w14:textId="12757669" w:rsidR="00515398" w:rsidRDefault="006711E6">
            <w:pPr>
              <w:pStyle w:val="P68B1DB1-Normal9"/>
              <w:spacing w:after="0" w:line="240" w:lineRule="auto"/>
              <w:rPr>
                <w:rFonts w:eastAsia="Times New Roman" w:cs="Calibri"/>
                <w:noProof/>
                <w:szCs w:val="18"/>
              </w:rPr>
            </w:pPr>
            <w:r>
              <w:rPr>
                <w:noProof/>
              </w:rPr>
              <w:t xml:space="preserve">8–3.1. Podpora tvorby pracovních míst a účasti na trhu práce – 16941_Restrukturalizace a změna značky místních poboček DYPA za účelem </w:t>
            </w:r>
            <w:r>
              <w:rPr>
                <w:noProof/>
              </w:rPr>
              <w:t>podpory zaměstnanosti (KPA2)</w:t>
            </w:r>
          </w:p>
        </w:tc>
        <w:tc>
          <w:tcPr>
            <w:tcW w:w="1099" w:type="dxa"/>
            <w:tcBorders>
              <w:top w:val="nil"/>
              <w:left w:val="nil"/>
              <w:bottom w:val="single" w:sz="4" w:space="0" w:color="auto"/>
              <w:right w:val="single" w:sz="4" w:space="0" w:color="auto"/>
            </w:tcBorders>
            <w:shd w:val="clear" w:color="auto" w:fill="C6EFCE"/>
            <w:noWrap/>
          </w:tcPr>
          <w:p w14:paraId="683A8547"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nil"/>
              <w:left w:val="nil"/>
              <w:bottom w:val="single" w:sz="4" w:space="0" w:color="auto"/>
              <w:right w:val="single" w:sz="4" w:space="0" w:color="auto"/>
            </w:tcBorders>
            <w:shd w:val="clear" w:color="auto" w:fill="C6EFCE"/>
            <w:noWrap/>
          </w:tcPr>
          <w:p w14:paraId="2817EBC8" w14:textId="77777777" w:rsidR="00515398" w:rsidRDefault="006711E6">
            <w:pPr>
              <w:pStyle w:val="P68B1DB1-Normal9"/>
              <w:spacing w:after="0" w:line="240" w:lineRule="auto"/>
              <w:rPr>
                <w:rFonts w:eastAsia="Times New Roman" w:cs="Calibri"/>
                <w:noProof/>
                <w:szCs w:val="18"/>
              </w:rPr>
            </w:pPr>
            <w:r>
              <w:rPr>
                <w:noProof/>
              </w:rPr>
              <w:t>Renovace KPA2, komunikační strategie, kontrola kvality zákaznických služeb, nové formy profilování a poradenské služby.</w:t>
            </w:r>
          </w:p>
        </w:tc>
        <w:tc>
          <w:tcPr>
            <w:tcW w:w="1471" w:type="dxa"/>
            <w:tcBorders>
              <w:top w:val="nil"/>
              <w:left w:val="nil"/>
              <w:bottom w:val="single" w:sz="4" w:space="0" w:color="auto"/>
              <w:right w:val="single" w:sz="4" w:space="0" w:color="auto"/>
            </w:tcBorders>
            <w:shd w:val="clear" w:color="auto" w:fill="C6EFCE"/>
            <w:noWrap/>
          </w:tcPr>
          <w:p w14:paraId="38BD1C37" w14:textId="77777777" w:rsidR="00515398" w:rsidRDefault="006711E6">
            <w:pPr>
              <w:pStyle w:val="P68B1DB1-Normal9"/>
              <w:spacing w:after="0" w:line="240" w:lineRule="auto"/>
              <w:rPr>
                <w:rFonts w:eastAsia="Times New Roman" w:cs="Calibri"/>
                <w:noProof/>
                <w:szCs w:val="18"/>
              </w:rPr>
            </w:pPr>
            <w:r>
              <w:rPr>
                <w:noProof/>
              </w:rPr>
              <w:t>Zpráva DYPA potvrzující dokončení projektů a, b, c, d.</w:t>
            </w:r>
          </w:p>
        </w:tc>
        <w:tc>
          <w:tcPr>
            <w:tcW w:w="1135" w:type="dxa"/>
            <w:tcBorders>
              <w:top w:val="nil"/>
              <w:left w:val="nil"/>
              <w:bottom w:val="single" w:sz="4" w:space="0" w:color="auto"/>
              <w:right w:val="single" w:sz="4" w:space="0" w:color="auto"/>
            </w:tcBorders>
            <w:shd w:val="clear" w:color="auto" w:fill="C6EFCE"/>
            <w:noWrap/>
          </w:tcPr>
          <w:p w14:paraId="49F04B89" w14:textId="77777777" w:rsidR="00515398" w:rsidRDefault="00515398">
            <w:pPr>
              <w:spacing w:after="0" w:line="240" w:lineRule="auto"/>
              <w:rPr>
                <w:rFonts w:eastAsia="Times New Roman" w:cs="Calibri"/>
                <w:noProof/>
                <w:color w:val="006100"/>
                <w:sz w:val="18"/>
                <w:szCs w:val="18"/>
              </w:rPr>
            </w:pPr>
          </w:p>
        </w:tc>
        <w:tc>
          <w:tcPr>
            <w:tcW w:w="924" w:type="dxa"/>
            <w:tcBorders>
              <w:top w:val="nil"/>
              <w:left w:val="nil"/>
              <w:bottom w:val="single" w:sz="4" w:space="0" w:color="auto"/>
              <w:right w:val="single" w:sz="4" w:space="0" w:color="auto"/>
            </w:tcBorders>
            <w:shd w:val="clear" w:color="auto" w:fill="C6EFCE"/>
            <w:noWrap/>
          </w:tcPr>
          <w:p w14:paraId="228EB3A4" w14:textId="77777777" w:rsidR="00515398" w:rsidRDefault="00515398">
            <w:pPr>
              <w:spacing w:after="0" w:line="240" w:lineRule="auto"/>
              <w:rPr>
                <w:rFonts w:eastAsia="Times New Roman" w:cs="Calibri"/>
                <w:noProof/>
                <w:color w:val="006100"/>
                <w:sz w:val="18"/>
                <w:szCs w:val="18"/>
              </w:rPr>
            </w:pPr>
          </w:p>
        </w:tc>
        <w:tc>
          <w:tcPr>
            <w:tcW w:w="896" w:type="dxa"/>
            <w:tcBorders>
              <w:top w:val="nil"/>
              <w:left w:val="nil"/>
              <w:bottom w:val="single" w:sz="4" w:space="0" w:color="auto"/>
              <w:right w:val="single" w:sz="4" w:space="0" w:color="auto"/>
            </w:tcBorders>
            <w:shd w:val="clear" w:color="auto" w:fill="C6EFCE"/>
            <w:noWrap/>
          </w:tcPr>
          <w:p w14:paraId="578E717E"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EA4E39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nil"/>
              <w:left w:val="nil"/>
              <w:bottom w:val="single" w:sz="4" w:space="0" w:color="auto"/>
              <w:right w:val="single" w:sz="4" w:space="0" w:color="auto"/>
            </w:tcBorders>
            <w:shd w:val="clear" w:color="auto" w:fill="C6EFCE"/>
            <w:noWrap/>
          </w:tcPr>
          <w:p w14:paraId="66BBD226" w14:textId="77777777" w:rsidR="00515398" w:rsidRDefault="006711E6">
            <w:pPr>
              <w:pStyle w:val="P68B1DB1-Normal9"/>
              <w:spacing w:after="0" w:line="240" w:lineRule="auto"/>
              <w:rPr>
                <w:rFonts w:eastAsia="Times New Roman" w:cs="Calibri"/>
                <w:noProof/>
                <w:szCs w:val="18"/>
              </w:rPr>
            </w:pPr>
            <w:r>
              <w:rPr>
                <w:noProof/>
              </w:rPr>
              <w:t>2025</w:t>
            </w:r>
          </w:p>
        </w:tc>
        <w:tc>
          <w:tcPr>
            <w:tcW w:w="4156" w:type="dxa"/>
            <w:tcBorders>
              <w:top w:val="nil"/>
              <w:left w:val="nil"/>
              <w:bottom w:val="single" w:sz="4" w:space="0" w:color="auto"/>
              <w:right w:val="single" w:sz="4" w:space="0" w:color="auto"/>
            </w:tcBorders>
            <w:shd w:val="clear" w:color="auto" w:fill="C6EFCE"/>
            <w:noWrap/>
          </w:tcPr>
          <w:p w14:paraId="4E79E1C8" w14:textId="77777777" w:rsidR="00515398" w:rsidRDefault="006711E6">
            <w:pPr>
              <w:pStyle w:val="P68B1DB1-Normal9"/>
              <w:spacing w:after="0" w:line="240" w:lineRule="auto"/>
              <w:rPr>
                <w:rFonts w:eastAsia="Times New Roman" w:cs="Calibri"/>
                <w:noProof/>
                <w:szCs w:val="18"/>
              </w:rPr>
            </w:pPr>
            <w:r>
              <w:rPr>
                <w:noProof/>
              </w:rPr>
              <w:t xml:space="preserve">Dokončení těchto projektů: </w:t>
            </w:r>
          </w:p>
          <w:p w14:paraId="34D797AA" w14:textId="3F4C6260" w:rsidR="00515398" w:rsidRDefault="006711E6">
            <w:pPr>
              <w:pStyle w:val="P68B1DB1-Normal9"/>
              <w:spacing w:after="0" w:line="240" w:lineRule="auto"/>
              <w:rPr>
                <w:rFonts w:eastAsia="Times New Roman" w:cs="Calibri"/>
                <w:noProof/>
                <w:szCs w:val="18"/>
              </w:rPr>
            </w:pPr>
            <w:r>
              <w:rPr>
                <w:noProof/>
              </w:rPr>
              <w:t xml:space="preserve">a) Přepracování a renovace budov 40 místních poboček DYPA za účelem podpory zaměstnanosti (KPA2); </w:t>
            </w:r>
          </w:p>
          <w:p w14:paraId="4DE21EB6" w14:textId="77777777" w:rsidR="00515398" w:rsidRDefault="006711E6">
            <w:pPr>
              <w:pStyle w:val="P68B1DB1-Normal9"/>
              <w:spacing w:after="0" w:line="240" w:lineRule="auto"/>
              <w:rPr>
                <w:rFonts w:eastAsia="Times New Roman" w:cs="Calibri"/>
                <w:noProof/>
                <w:szCs w:val="18"/>
              </w:rPr>
            </w:pPr>
            <w:r>
              <w:rPr>
                <w:noProof/>
              </w:rPr>
              <w:t xml:space="preserve">b) provádění nové komunikační strategie DYPA; </w:t>
            </w:r>
          </w:p>
          <w:p w14:paraId="76C110AB" w14:textId="77777777" w:rsidR="00515398" w:rsidRDefault="006711E6">
            <w:pPr>
              <w:pStyle w:val="P68B1DB1-Normal9"/>
              <w:spacing w:after="0" w:line="240" w:lineRule="auto"/>
              <w:rPr>
                <w:rFonts w:eastAsia="Times New Roman" w:cs="Calibri"/>
                <w:noProof/>
                <w:szCs w:val="18"/>
              </w:rPr>
            </w:pPr>
            <w:r>
              <w:rPr>
                <w:noProof/>
              </w:rPr>
              <w:t>C) zlepšení mechanismů kontroly kvality zákaznických služeb měřením a sledováním a</w:t>
            </w:r>
            <w:r>
              <w:rPr>
                <w:noProof/>
              </w:rPr>
              <w:t xml:space="preserve">spektů účinnosti, efektivnosti, produktivity a spokojenosti zákazníků; </w:t>
            </w:r>
          </w:p>
          <w:p w14:paraId="67A9672E" w14:textId="77777777" w:rsidR="00515398" w:rsidRDefault="006711E6">
            <w:pPr>
              <w:pStyle w:val="P68B1DB1-Normal9"/>
              <w:spacing w:after="0" w:line="240" w:lineRule="auto"/>
              <w:rPr>
                <w:rFonts w:eastAsia="Times New Roman" w:cs="Calibri"/>
                <w:noProof/>
                <w:szCs w:val="18"/>
              </w:rPr>
            </w:pPr>
            <w:r>
              <w:rPr>
                <w:noProof/>
              </w:rPr>
              <w:t>d) zavedení nových forem profilování a poradenských služeb.</w:t>
            </w:r>
          </w:p>
        </w:tc>
      </w:tr>
      <w:tr w:rsidR="00515398" w14:paraId="36795586" w14:textId="77777777">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312C6E41" w14:textId="77777777" w:rsidR="00515398" w:rsidRDefault="006711E6">
            <w:pPr>
              <w:pStyle w:val="P68B1DB1-Normal9"/>
              <w:spacing w:after="0" w:line="240" w:lineRule="auto"/>
              <w:rPr>
                <w:rFonts w:eastAsia="Times New Roman" w:cs="Calibri"/>
                <w:noProof/>
                <w:szCs w:val="18"/>
              </w:rPr>
            </w:pPr>
            <w:r>
              <w:rPr>
                <w:noProof/>
              </w:rPr>
              <w:t>142</w:t>
            </w:r>
          </w:p>
        </w:tc>
        <w:tc>
          <w:tcPr>
            <w:tcW w:w="1797" w:type="dxa"/>
            <w:tcBorders>
              <w:top w:val="nil"/>
              <w:left w:val="nil"/>
              <w:bottom w:val="single" w:sz="4" w:space="0" w:color="auto"/>
              <w:right w:val="single" w:sz="4" w:space="0" w:color="auto"/>
            </w:tcBorders>
            <w:shd w:val="clear" w:color="auto" w:fill="C6EFCE"/>
            <w:noWrap/>
          </w:tcPr>
          <w:p w14:paraId="108E7661" w14:textId="77777777" w:rsidR="00515398" w:rsidRDefault="006711E6">
            <w:pPr>
              <w:pStyle w:val="P68B1DB1-Normal9"/>
              <w:spacing w:after="0" w:line="240" w:lineRule="auto"/>
              <w:rPr>
                <w:rFonts w:eastAsia="Times New Roman" w:cs="Calibri"/>
                <w:noProof/>
                <w:szCs w:val="18"/>
              </w:rPr>
            </w:pPr>
            <w:r>
              <w:rPr>
                <w:noProof/>
              </w:rPr>
              <w:t>8–3.1. Podpora tvorby pracovních míst a účasti na trhu práce – 16746_Reforma pasivních politik na trhu práce na podporu</w:t>
            </w:r>
            <w:r>
              <w:rPr>
                <w:noProof/>
              </w:rPr>
              <w:t xml:space="preserve"> přechodu k zaměstnání</w:t>
            </w:r>
          </w:p>
        </w:tc>
        <w:tc>
          <w:tcPr>
            <w:tcW w:w="1099" w:type="dxa"/>
            <w:tcBorders>
              <w:top w:val="nil"/>
              <w:left w:val="nil"/>
              <w:bottom w:val="single" w:sz="4" w:space="0" w:color="auto"/>
              <w:right w:val="single" w:sz="4" w:space="0" w:color="auto"/>
            </w:tcBorders>
            <w:shd w:val="clear" w:color="auto" w:fill="C6EFCE"/>
            <w:noWrap/>
          </w:tcPr>
          <w:p w14:paraId="446014A5"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nil"/>
              <w:left w:val="nil"/>
              <w:bottom w:val="single" w:sz="4" w:space="0" w:color="auto"/>
              <w:right w:val="single" w:sz="4" w:space="0" w:color="auto"/>
            </w:tcBorders>
            <w:shd w:val="clear" w:color="auto" w:fill="C6EFCE"/>
            <w:noWrap/>
          </w:tcPr>
          <w:p w14:paraId="3504DAA1" w14:textId="77777777" w:rsidR="00515398" w:rsidRDefault="006711E6">
            <w:pPr>
              <w:pStyle w:val="P68B1DB1-Normal9"/>
              <w:spacing w:after="0" w:line="240" w:lineRule="auto"/>
              <w:rPr>
                <w:rFonts w:eastAsia="Times New Roman" w:cs="Calibri"/>
                <w:noProof/>
                <w:szCs w:val="18"/>
                <w:highlight w:val="yellow"/>
              </w:rPr>
            </w:pPr>
            <w:r>
              <w:rPr>
                <w:noProof/>
              </w:rPr>
              <w:t xml:space="preserve">Reforma rámce vzájemných závazků, vstup právních předpisů v platnost </w:t>
            </w:r>
          </w:p>
        </w:tc>
        <w:tc>
          <w:tcPr>
            <w:tcW w:w="1471" w:type="dxa"/>
            <w:tcBorders>
              <w:top w:val="nil"/>
              <w:left w:val="nil"/>
              <w:bottom w:val="single" w:sz="4" w:space="0" w:color="auto"/>
              <w:right w:val="single" w:sz="4" w:space="0" w:color="auto"/>
            </w:tcBorders>
            <w:shd w:val="clear" w:color="auto" w:fill="C6EFCE"/>
            <w:noWrap/>
          </w:tcPr>
          <w:p w14:paraId="1644206B" w14:textId="77777777" w:rsidR="00515398" w:rsidRDefault="006711E6">
            <w:pPr>
              <w:pStyle w:val="P68B1DB1-Normal9"/>
              <w:spacing w:after="0" w:line="240" w:lineRule="auto"/>
              <w:rPr>
                <w:rFonts w:eastAsia="Times New Roman" w:cs="Calibri"/>
                <w:noProof/>
                <w:szCs w:val="18"/>
              </w:rPr>
            </w:pPr>
            <w:r>
              <w:rPr>
                <w:noProof/>
              </w:rPr>
              <w:t>Vstup právních předpisů v platnost</w:t>
            </w:r>
          </w:p>
        </w:tc>
        <w:tc>
          <w:tcPr>
            <w:tcW w:w="1135" w:type="dxa"/>
            <w:tcBorders>
              <w:top w:val="nil"/>
              <w:left w:val="nil"/>
              <w:bottom w:val="single" w:sz="4" w:space="0" w:color="auto"/>
              <w:right w:val="single" w:sz="4" w:space="0" w:color="auto"/>
            </w:tcBorders>
            <w:shd w:val="clear" w:color="auto" w:fill="C6EFCE"/>
            <w:noWrap/>
          </w:tcPr>
          <w:p w14:paraId="4E9C58C0" w14:textId="77777777" w:rsidR="00515398" w:rsidRDefault="00515398">
            <w:pPr>
              <w:spacing w:after="0" w:line="240" w:lineRule="auto"/>
              <w:rPr>
                <w:rFonts w:eastAsia="Times New Roman" w:cs="Calibri"/>
                <w:noProof/>
                <w:color w:val="006100"/>
                <w:sz w:val="18"/>
                <w:szCs w:val="18"/>
              </w:rPr>
            </w:pPr>
          </w:p>
        </w:tc>
        <w:tc>
          <w:tcPr>
            <w:tcW w:w="924" w:type="dxa"/>
            <w:tcBorders>
              <w:top w:val="nil"/>
              <w:left w:val="nil"/>
              <w:bottom w:val="single" w:sz="4" w:space="0" w:color="auto"/>
              <w:right w:val="single" w:sz="4" w:space="0" w:color="auto"/>
            </w:tcBorders>
            <w:shd w:val="clear" w:color="auto" w:fill="C6EFCE"/>
            <w:noWrap/>
          </w:tcPr>
          <w:p w14:paraId="5F059A36" w14:textId="77777777" w:rsidR="00515398" w:rsidRDefault="00515398">
            <w:pPr>
              <w:spacing w:after="0" w:line="240" w:lineRule="auto"/>
              <w:rPr>
                <w:rFonts w:eastAsia="Times New Roman" w:cs="Calibri"/>
                <w:noProof/>
                <w:color w:val="006100"/>
                <w:sz w:val="18"/>
                <w:szCs w:val="18"/>
              </w:rPr>
            </w:pPr>
          </w:p>
        </w:tc>
        <w:tc>
          <w:tcPr>
            <w:tcW w:w="896" w:type="dxa"/>
            <w:tcBorders>
              <w:top w:val="nil"/>
              <w:left w:val="nil"/>
              <w:bottom w:val="single" w:sz="4" w:space="0" w:color="auto"/>
              <w:right w:val="single" w:sz="4" w:space="0" w:color="auto"/>
            </w:tcBorders>
            <w:shd w:val="clear" w:color="auto" w:fill="C6EFCE"/>
            <w:noWrap/>
          </w:tcPr>
          <w:p w14:paraId="74F9E8FF"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26C879B" w14:textId="77777777" w:rsidR="00515398" w:rsidRDefault="006711E6">
            <w:pPr>
              <w:pStyle w:val="P68B1DB1-Normal9"/>
              <w:spacing w:after="0" w:line="240" w:lineRule="auto"/>
              <w:rPr>
                <w:rFonts w:eastAsia="Times New Roman" w:cs="Calibri"/>
                <w:noProof/>
                <w:szCs w:val="18"/>
              </w:rPr>
            </w:pPr>
            <w:r>
              <w:rPr>
                <w:noProof/>
              </w:rPr>
              <w:t>ČTVRTLETÍ 3</w:t>
            </w:r>
          </w:p>
        </w:tc>
        <w:tc>
          <w:tcPr>
            <w:tcW w:w="783" w:type="dxa"/>
            <w:tcBorders>
              <w:top w:val="nil"/>
              <w:left w:val="nil"/>
              <w:bottom w:val="single" w:sz="4" w:space="0" w:color="auto"/>
              <w:right w:val="single" w:sz="4" w:space="0" w:color="auto"/>
            </w:tcBorders>
            <w:shd w:val="clear" w:color="auto" w:fill="C6EFCE"/>
            <w:noWrap/>
          </w:tcPr>
          <w:p w14:paraId="089B20A6" w14:textId="77777777" w:rsidR="00515398" w:rsidRDefault="006711E6">
            <w:pPr>
              <w:pStyle w:val="P68B1DB1-Normal9"/>
              <w:spacing w:after="0" w:line="240" w:lineRule="auto"/>
              <w:rPr>
                <w:rFonts w:eastAsia="Times New Roman" w:cs="Calibri"/>
                <w:noProof/>
                <w:szCs w:val="18"/>
              </w:rPr>
            </w:pPr>
            <w:r>
              <w:rPr>
                <w:noProof/>
              </w:rPr>
              <w:t>2022</w:t>
            </w:r>
          </w:p>
        </w:tc>
        <w:tc>
          <w:tcPr>
            <w:tcW w:w="4156" w:type="dxa"/>
            <w:tcBorders>
              <w:top w:val="nil"/>
              <w:left w:val="nil"/>
              <w:bottom w:val="single" w:sz="4" w:space="0" w:color="auto"/>
              <w:right w:val="single" w:sz="4" w:space="0" w:color="auto"/>
            </w:tcBorders>
            <w:shd w:val="clear" w:color="auto" w:fill="C6EFCE"/>
            <w:noWrap/>
          </w:tcPr>
          <w:p w14:paraId="424043E4" w14:textId="77777777" w:rsidR="00515398" w:rsidRDefault="006711E6">
            <w:pPr>
              <w:pStyle w:val="P68B1DB1-Normal9"/>
              <w:spacing w:after="0" w:line="240" w:lineRule="auto"/>
              <w:rPr>
                <w:rFonts w:eastAsia="Times New Roman" w:cs="Calibri"/>
                <w:noProof/>
                <w:szCs w:val="18"/>
              </w:rPr>
            </w:pPr>
            <w:r>
              <w:rPr>
                <w:noProof/>
              </w:rPr>
              <w:t xml:space="preserve">Vstup v platnost právních předpisů pro reformu rámce vzájemných povinností, který stanoví vztah mezi </w:t>
            </w:r>
            <w:r>
              <w:rPr>
                <w:noProof/>
              </w:rPr>
              <w:t>veřejnou službou zaměstnanosti (VSZ) a uchazečem o zaměstnání. Reforma bude mimo jiné zahrnovat novou definici aktivního hledání zaměstnání a sankce pro nezaměstnané, kteří nová pravidla nedodržují.</w:t>
            </w:r>
          </w:p>
        </w:tc>
      </w:tr>
      <w:tr w:rsidR="00515398" w14:paraId="4C78AAD2" w14:textId="77777777">
        <w:trPr>
          <w:trHeight w:val="309"/>
          <w:jc w:val="center"/>
        </w:trPr>
        <w:tc>
          <w:tcPr>
            <w:tcW w:w="1116" w:type="dxa"/>
            <w:tcBorders>
              <w:top w:val="nil"/>
              <w:left w:val="single" w:sz="4" w:space="0" w:color="auto"/>
              <w:bottom w:val="single" w:sz="4" w:space="0" w:color="auto"/>
              <w:right w:val="single" w:sz="4" w:space="0" w:color="auto"/>
            </w:tcBorders>
            <w:shd w:val="clear" w:color="auto" w:fill="C6EFCE"/>
            <w:noWrap/>
          </w:tcPr>
          <w:p w14:paraId="67D2CB65" w14:textId="77777777" w:rsidR="00515398" w:rsidRDefault="006711E6">
            <w:pPr>
              <w:pStyle w:val="P68B1DB1-Normal10"/>
              <w:spacing w:after="0" w:line="240" w:lineRule="auto"/>
              <w:rPr>
                <w:rFonts w:eastAsia="Times New Roman" w:cs="Calibri"/>
                <w:noProof/>
              </w:rPr>
            </w:pPr>
            <w:r>
              <w:rPr>
                <w:noProof/>
              </w:rPr>
              <w:t>142a</w:t>
            </w:r>
          </w:p>
        </w:tc>
        <w:tc>
          <w:tcPr>
            <w:tcW w:w="1797" w:type="dxa"/>
            <w:tcBorders>
              <w:top w:val="nil"/>
              <w:left w:val="nil"/>
              <w:bottom w:val="single" w:sz="4" w:space="0" w:color="auto"/>
              <w:right w:val="single" w:sz="4" w:space="0" w:color="auto"/>
            </w:tcBorders>
            <w:shd w:val="clear" w:color="auto" w:fill="C6EFCE"/>
            <w:noWrap/>
          </w:tcPr>
          <w:p w14:paraId="1CD1DA1B" w14:textId="77777777" w:rsidR="00515398" w:rsidRDefault="006711E6">
            <w:pPr>
              <w:pStyle w:val="P68B1DB1-Normal9"/>
              <w:spacing w:after="0" w:line="240" w:lineRule="auto"/>
              <w:rPr>
                <w:rFonts w:eastAsia="Times New Roman" w:cs="Calibri"/>
                <w:noProof/>
                <w:szCs w:val="18"/>
              </w:rPr>
            </w:pPr>
            <w:r>
              <w:rPr>
                <w:noProof/>
              </w:rPr>
              <w:t xml:space="preserve">8–3.1. Podpora tvorby pracovních míst a účasti na </w:t>
            </w:r>
            <w:r>
              <w:rPr>
                <w:noProof/>
              </w:rPr>
              <w:t>trhu práce – 16746_Reforma pasivních politik na trhu práce na podporu přechodu k zaměstnání</w:t>
            </w:r>
          </w:p>
        </w:tc>
        <w:tc>
          <w:tcPr>
            <w:tcW w:w="1099" w:type="dxa"/>
            <w:tcBorders>
              <w:top w:val="nil"/>
              <w:left w:val="nil"/>
              <w:bottom w:val="single" w:sz="4" w:space="0" w:color="auto"/>
              <w:right w:val="single" w:sz="4" w:space="0" w:color="auto"/>
            </w:tcBorders>
            <w:shd w:val="clear" w:color="auto" w:fill="C6EFCE"/>
            <w:noWrap/>
          </w:tcPr>
          <w:p w14:paraId="39A8ED50"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nil"/>
              <w:left w:val="nil"/>
              <w:bottom w:val="single" w:sz="4" w:space="0" w:color="auto"/>
              <w:right w:val="single" w:sz="4" w:space="0" w:color="auto"/>
            </w:tcBorders>
            <w:shd w:val="clear" w:color="auto" w:fill="C6EFCE"/>
            <w:noWrap/>
          </w:tcPr>
          <w:p w14:paraId="20A4F60C" w14:textId="41E5472A" w:rsidR="00515398" w:rsidRDefault="006711E6">
            <w:pPr>
              <w:pStyle w:val="P68B1DB1-Normal9"/>
              <w:spacing w:after="0" w:line="240" w:lineRule="auto"/>
              <w:rPr>
                <w:rFonts w:eastAsia="Times New Roman" w:cs="Calibri"/>
                <w:noProof/>
                <w:szCs w:val="18"/>
              </w:rPr>
            </w:pPr>
            <w:r>
              <w:rPr>
                <w:noProof/>
              </w:rPr>
              <w:t xml:space="preserve">Právní předpisy o dávkách a dávkách v nezaměstnanosti </w:t>
            </w:r>
          </w:p>
        </w:tc>
        <w:tc>
          <w:tcPr>
            <w:tcW w:w="1471" w:type="dxa"/>
            <w:tcBorders>
              <w:top w:val="single" w:sz="4" w:space="0" w:color="auto"/>
              <w:left w:val="nil"/>
              <w:bottom w:val="single" w:sz="4" w:space="0" w:color="auto"/>
              <w:right w:val="single" w:sz="4" w:space="0" w:color="auto"/>
            </w:tcBorders>
            <w:shd w:val="clear" w:color="auto" w:fill="C6EFCE"/>
            <w:noWrap/>
          </w:tcPr>
          <w:p w14:paraId="737FF7FB" w14:textId="77777777" w:rsidR="00515398" w:rsidRDefault="006711E6">
            <w:pPr>
              <w:pStyle w:val="P68B1DB1-Normal9"/>
              <w:spacing w:after="0" w:line="240" w:lineRule="auto"/>
              <w:rPr>
                <w:rFonts w:eastAsia="Times New Roman" w:cs="Calibri"/>
                <w:noProof/>
                <w:szCs w:val="18"/>
              </w:rPr>
            </w:pPr>
            <w:r>
              <w:rPr>
                <w:noProof/>
              </w:rPr>
              <w:t>Vstup právních předpisů v platnost,</w:t>
            </w:r>
          </w:p>
          <w:p w14:paraId="0F595F48" w14:textId="13E7E23D" w:rsidR="00515398" w:rsidRDefault="00515398">
            <w:pPr>
              <w:spacing w:after="0" w:line="240" w:lineRule="auto"/>
              <w:rPr>
                <w:rFonts w:eastAsia="Times New Roman" w:cs="Calibri"/>
                <w:noProof/>
                <w:color w:val="006100"/>
                <w:sz w:val="18"/>
                <w:szCs w:val="18"/>
              </w:rPr>
            </w:pPr>
          </w:p>
        </w:tc>
        <w:tc>
          <w:tcPr>
            <w:tcW w:w="1135" w:type="dxa"/>
            <w:tcBorders>
              <w:top w:val="nil"/>
              <w:left w:val="nil"/>
              <w:bottom w:val="single" w:sz="4" w:space="0" w:color="auto"/>
              <w:right w:val="single" w:sz="4" w:space="0" w:color="auto"/>
            </w:tcBorders>
            <w:shd w:val="clear" w:color="auto" w:fill="C6EFCE"/>
            <w:noWrap/>
          </w:tcPr>
          <w:p w14:paraId="72A913D0" w14:textId="77777777" w:rsidR="00515398" w:rsidRDefault="00515398">
            <w:pPr>
              <w:spacing w:after="0" w:line="240" w:lineRule="auto"/>
              <w:rPr>
                <w:rFonts w:eastAsia="Times New Roman" w:cs="Calibri"/>
                <w:noProof/>
                <w:color w:val="006100"/>
                <w:sz w:val="18"/>
                <w:szCs w:val="18"/>
              </w:rPr>
            </w:pPr>
          </w:p>
        </w:tc>
        <w:tc>
          <w:tcPr>
            <w:tcW w:w="924" w:type="dxa"/>
            <w:tcBorders>
              <w:top w:val="nil"/>
              <w:left w:val="nil"/>
              <w:bottom w:val="single" w:sz="4" w:space="0" w:color="auto"/>
              <w:right w:val="single" w:sz="4" w:space="0" w:color="auto"/>
            </w:tcBorders>
            <w:shd w:val="clear" w:color="auto" w:fill="C6EFCE"/>
            <w:noWrap/>
          </w:tcPr>
          <w:p w14:paraId="5B69F76A" w14:textId="77777777" w:rsidR="00515398" w:rsidRDefault="00515398">
            <w:pPr>
              <w:spacing w:after="0" w:line="240" w:lineRule="auto"/>
              <w:rPr>
                <w:rFonts w:eastAsia="Times New Roman" w:cs="Calibri"/>
                <w:noProof/>
                <w:color w:val="006100"/>
                <w:sz w:val="18"/>
                <w:szCs w:val="18"/>
              </w:rPr>
            </w:pPr>
          </w:p>
        </w:tc>
        <w:tc>
          <w:tcPr>
            <w:tcW w:w="896" w:type="dxa"/>
            <w:tcBorders>
              <w:top w:val="nil"/>
              <w:left w:val="nil"/>
              <w:bottom w:val="single" w:sz="4" w:space="0" w:color="auto"/>
              <w:right w:val="single" w:sz="4" w:space="0" w:color="auto"/>
            </w:tcBorders>
            <w:shd w:val="clear" w:color="auto" w:fill="C6EFCE"/>
            <w:noWrap/>
          </w:tcPr>
          <w:p w14:paraId="0B458A3B"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5D4C26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nil"/>
              <w:left w:val="nil"/>
              <w:bottom w:val="single" w:sz="4" w:space="0" w:color="auto"/>
              <w:right w:val="single" w:sz="4" w:space="0" w:color="auto"/>
            </w:tcBorders>
            <w:shd w:val="clear" w:color="auto" w:fill="C6EFCE"/>
            <w:noWrap/>
          </w:tcPr>
          <w:p w14:paraId="4E333333" w14:textId="77777777" w:rsidR="00515398" w:rsidRDefault="006711E6">
            <w:pPr>
              <w:pStyle w:val="P68B1DB1-Normal9"/>
              <w:spacing w:after="0" w:line="240" w:lineRule="auto"/>
              <w:rPr>
                <w:rFonts w:eastAsia="Times New Roman" w:cs="Calibri"/>
                <w:noProof/>
                <w:szCs w:val="18"/>
              </w:rPr>
            </w:pPr>
            <w:r>
              <w:rPr>
                <w:noProof/>
              </w:rPr>
              <w:t>2024</w:t>
            </w:r>
          </w:p>
        </w:tc>
        <w:tc>
          <w:tcPr>
            <w:tcW w:w="4156" w:type="dxa"/>
            <w:tcBorders>
              <w:top w:val="nil"/>
              <w:left w:val="nil"/>
              <w:bottom w:val="single" w:sz="4" w:space="0" w:color="auto"/>
              <w:right w:val="single" w:sz="4" w:space="0" w:color="auto"/>
            </w:tcBorders>
            <w:shd w:val="clear" w:color="auto" w:fill="C6EFCE"/>
            <w:noWrap/>
          </w:tcPr>
          <w:p w14:paraId="1D400B70" w14:textId="4C4C17C6" w:rsidR="00515398" w:rsidRDefault="006711E6">
            <w:pPr>
              <w:pStyle w:val="P68B1DB1-paragraph26"/>
              <w:spacing w:before="0" w:beforeAutospacing="0" w:after="0" w:afterAutospacing="0"/>
              <w:textAlignment w:val="baseline"/>
              <w:rPr>
                <w:rFonts w:cs="Calibri"/>
                <w:noProof/>
                <w:szCs w:val="18"/>
              </w:rPr>
            </w:pPr>
            <w:r>
              <w:rPr>
                <w:noProof/>
              </w:rPr>
              <w:t xml:space="preserve">Vstup v platnost právních předpisů s </w:t>
            </w:r>
            <w:r>
              <w:rPr>
                <w:noProof/>
              </w:rPr>
              <w:t>cílem konsolidovat a zefektivnit dávky v nezaměstnanosti a příspěvky s cílem zlepšit efektivitu veřejných výdajů a odstranit překážky, které odrazují nezaměstnané od prohlubování dovedností a změny kvalifikace, a to zachováním jejich nároku na dávky v neza</w:t>
            </w:r>
            <w:r>
              <w:rPr>
                <w:noProof/>
              </w:rPr>
              <w:t>městnanosti během účasti na odborné přípravě.</w:t>
            </w:r>
          </w:p>
          <w:p w14:paraId="3D038E58" w14:textId="21F6FFBB" w:rsidR="00515398" w:rsidRDefault="00515398">
            <w:pPr>
              <w:pStyle w:val="paragraph"/>
              <w:spacing w:before="0" w:beforeAutospacing="0" w:after="0" w:afterAutospacing="0"/>
              <w:textAlignment w:val="baseline"/>
              <w:rPr>
                <w:rFonts w:ascii="Calibri" w:hAnsi="Calibri" w:cs="Calibri"/>
                <w:noProof/>
                <w:color w:val="006100"/>
                <w:sz w:val="18"/>
                <w:szCs w:val="18"/>
              </w:rPr>
            </w:pPr>
          </w:p>
        </w:tc>
      </w:tr>
      <w:tr w:rsidR="00515398" w14:paraId="7C1751B5"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C3E26DC" w14:textId="77777777" w:rsidR="00515398" w:rsidRDefault="006711E6">
            <w:pPr>
              <w:pStyle w:val="P68B1DB1-Normal9"/>
              <w:spacing w:after="0" w:line="240" w:lineRule="auto"/>
              <w:rPr>
                <w:noProof/>
              </w:rPr>
            </w:pPr>
            <w:r>
              <w:rPr>
                <w:noProof/>
              </w:rPr>
              <w:t>142b</w:t>
            </w:r>
          </w:p>
        </w:tc>
        <w:tc>
          <w:tcPr>
            <w:tcW w:w="1797" w:type="dxa"/>
            <w:tcBorders>
              <w:top w:val="nil"/>
              <w:left w:val="nil"/>
              <w:bottom w:val="single" w:sz="4" w:space="0" w:color="auto"/>
              <w:right w:val="single" w:sz="4" w:space="0" w:color="auto"/>
            </w:tcBorders>
            <w:shd w:val="clear" w:color="auto" w:fill="C6EFCE"/>
            <w:noWrap/>
          </w:tcPr>
          <w:p w14:paraId="0765A755" w14:textId="77777777" w:rsidR="00515398" w:rsidRDefault="006711E6">
            <w:pPr>
              <w:pStyle w:val="P68B1DB1-Normal10"/>
              <w:spacing w:after="0" w:line="240" w:lineRule="auto"/>
              <w:rPr>
                <w:noProof/>
              </w:rPr>
            </w:pPr>
            <w:r>
              <w:rPr>
                <w:noProof/>
              </w:rPr>
              <w:t>8–3.1. Podpora tvorby pracovních míst a účasti na trhu práce – 16746_Reforma pasivních politik na trhu práce na podporu přechodu k zaměstnání</w:t>
            </w:r>
          </w:p>
        </w:tc>
        <w:tc>
          <w:tcPr>
            <w:tcW w:w="1099" w:type="dxa"/>
            <w:tcBorders>
              <w:top w:val="single" w:sz="4" w:space="0" w:color="auto"/>
              <w:left w:val="nil"/>
              <w:bottom w:val="single" w:sz="4" w:space="0" w:color="auto"/>
              <w:right w:val="single" w:sz="4" w:space="0" w:color="auto"/>
            </w:tcBorders>
            <w:shd w:val="clear" w:color="auto" w:fill="C6EFCE"/>
            <w:noWrap/>
          </w:tcPr>
          <w:p w14:paraId="61D12073" w14:textId="77777777" w:rsidR="00515398" w:rsidRDefault="006711E6">
            <w:pPr>
              <w:pStyle w:val="P68B1DB1-Normal9"/>
              <w:spacing w:after="0" w:line="240" w:lineRule="auto"/>
              <w:rPr>
                <w:noProof/>
              </w:rPr>
            </w:pPr>
            <w:r>
              <w:rPr>
                <w:noProof/>
              </w:rPr>
              <w:t>Milník</w:t>
            </w:r>
          </w:p>
        </w:tc>
        <w:tc>
          <w:tcPr>
            <w:tcW w:w="1365" w:type="dxa"/>
            <w:tcBorders>
              <w:top w:val="single" w:sz="4" w:space="0" w:color="auto"/>
              <w:left w:val="nil"/>
              <w:bottom w:val="single" w:sz="4" w:space="0" w:color="auto"/>
              <w:right w:val="single" w:sz="4" w:space="0" w:color="auto"/>
            </w:tcBorders>
            <w:shd w:val="clear" w:color="auto" w:fill="C6EFCE"/>
            <w:noWrap/>
          </w:tcPr>
          <w:p w14:paraId="2ED6BAF0" w14:textId="77777777" w:rsidR="00515398" w:rsidRDefault="006711E6">
            <w:pPr>
              <w:pStyle w:val="P68B1DB1-Normal9"/>
              <w:spacing w:after="0" w:line="240" w:lineRule="auto"/>
              <w:rPr>
                <w:noProof/>
              </w:rPr>
            </w:pPr>
            <w:r>
              <w:rPr>
                <w:noProof/>
              </w:rPr>
              <w:t xml:space="preserve">Pilotní projekt konsolidace a zefektivnění dávek v </w:t>
            </w:r>
            <w:r>
              <w:rPr>
                <w:noProof/>
              </w:rPr>
              <w:t>nezaměstnanosti</w:t>
            </w:r>
          </w:p>
        </w:tc>
        <w:tc>
          <w:tcPr>
            <w:tcW w:w="1471" w:type="dxa"/>
            <w:tcBorders>
              <w:top w:val="single" w:sz="4" w:space="0" w:color="auto"/>
              <w:left w:val="nil"/>
              <w:bottom w:val="single" w:sz="4" w:space="0" w:color="auto"/>
              <w:right w:val="single" w:sz="4" w:space="0" w:color="auto"/>
            </w:tcBorders>
            <w:shd w:val="clear" w:color="auto" w:fill="C6EFCE"/>
            <w:noWrap/>
          </w:tcPr>
          <w:p w14:paraId="7ECE56E2" w14:textId="77777777" w:rsidR="00515398" w:rsidRDefault="006711E6">
            <w:pPr>
              <w:pStyle w:val="P68B1DB1-Normal9"/>
              <w:spacing w:after="0" w:line="240" w:lineRule="auto"/>
              <w:rPr>
                <w:noProof/>
              </w:rPr>
            </w:pPr>
            <w:r>
              <w:rPr>
                <w:noProof/>
              </w:rPr>
              <w:t>Zpráva DYPA potvrzující dokončení pilotního projektu</w:t>
            </w:r>
          </w:p>
        </w:tc>
        <w:tc>
          <w:tcPr>
            <w:tcW w:w="1135" w:type="dxa"/>
            <w:tcBorders>
              <w:top w:val="single" w:sz="4" w:space="0" w:color="auto"/>
              <w:left w:val="nil"/>
              <w:bottom w:val="single" w:sz="4" w:space="0" w:color="auto"/>
              <w:right w:val="single" w:sz="4" w:space="0" w:color="auto"/>
            </w:tcBorders>
            <w:shd w:val="clear" w:color="auto" w:fill="C6EFCE"/>
            <w:noWrap/>
          </w:tcPr>
          <w:p w14:paraId="4CE82A2A" w14:textId="77777777" w:rsidR="00515398" w:rsidRDefault="00515398">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01A67616" w14:textId="77777777" w:rsidR="00515398" w:rsidRDefault="00515398">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6A0CE1E3"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B42AEA4" w14:textId="77777777" w:rsidR="00515398" w:rsidRDefault="006711E6">
            <w:pPr>
              <w:pStyle w:val="P68B1DB1-Normal9"/>
              <w:spacing w:after="0" w:line="240" w:lineRule="auto"/>
              <w:rPr>
                <w:noProof/>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18327B1C" w14:textId="77777777" w:rsidR="00515398" w:rsidRDefault="006711E6">
            <w:pPr>
              <w:pStyle w:val="P68B1DB1-Normal9"/>
              <w:spacing w:after="0" w:line="240" w:lineRule="auto"/>
              <w:rPr>
                <w:noProof/>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63A9971E" w14:textId="77777777" w:rsidR="00515398" w:rsidRDefault="006711E6">
            <w:pPr>
              <w:pStyle w:val="P68B1DB1-Normal10"/>
              <w:spacing w:after="0" w:line="240" w:lineRule="auto"/>
              <w:rPr>
                <w:noProof/>
              </w:rPr>
            </w:pPr>
            <w:r>
              <w:rPr>
                <w:noProof/>
              </w:rPr>
              <w:t xml:space="preserve">Dokončení pilotního projektu, který bude uplatňovat indexaci kombinovaných dávek v nezaměstnanosti na poslední úroveň čisté denní mzdy. </w:t>
            </w:r>
          </w:p>
        </w:tc>
      </w:tr>
      <w:tr w:rsidR="00515398" w14:paraId="22BB942A"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25A6779B" w14:textId="77777777" w:rsidR="00515398" w:rsidRDefault="006711E6">
            <w:pPr>
              <w:pStyle w:val="P68B1DB1-Normal9"/>
              <w:spacing w:after="0" w:line="240" w:lineRule="auto"/>
              <w:rPr>
                <w:rFonts w:eastAsia="Times New Roman" w:cs="Calibri"/>
                <w:noProof/>
                <w:szCs w:val="18"/>
              </w:rPr>
            </w:pPr>
            <w:r>
              <w:rPr>
                <w:noProof/>
              </w:rPr>
              <w:t>143</w:t>
            </w:r>
          </w:p>
        </w:tc>
        <w:tc>
          <w:tcPr>
            <w:tcW w:w="1797" w:type="dxa"/>
            <w:tcBorders>
              <w:top w:val="single" w:sz="4" w:space="0" w:color="auto"/>
              <w:left w:val="nil"/>
              <w:bottom w:val="single" w:sz="4" w:space="0" w:color="auto"/>
              <w:right w:val="single" w:sz="4" w:space="0" w:color="auto"/>
            </w:tcBorders>
            <w:shd w:val="clear" w:color="auto" w:fill="C6EFCE"/>
            <w:noWrap/>
          </w:tcPr>
          <w:p w14:paraId="7E4729AE" w14:textId="77777777" w:rsidR="00515398" w:rsidRDefault="006711E6">
            <w:pPr>
              <w:pStyle w:val="P68B1DB1-Normal9"/>
              <w:spacing w:after="0" w:line="240" w:lineRule="auto"/>
              <w:rPr>
                <w:rFonts w:eastAsia="Times New Roman" w:cs="Calibri"/>
                <w:noProof/>
                <w:szCs w:val="18"/>
              </w:rPr>
            </w:pPr>
            <w:r>
              <w:rPr>
                <w:noProof/>
              </w:rPr>
              <w:t>9–3.2. Vzdělávání, odborné vzdělávání a příprava a dovednosti – 16792_Pracovní dovednosti, rekvalifikace a prohlubování dovedností prostřednictvím reformovaného modelu odborné přípravy (reforma odborného vzdělávání a odborné přípravy)</w:t>
            </w:r>
          </w:p>
        </w:tc>
        <w:tc>
          <w:tcPr>
            <w:tcW w:w="1099" w:type="dxa"/>
            <w:tcBorders>
              <w:top w:val="single" w:sz="4" w:space="0" w:color="auto"/>
              <w:left w:val="nil"/>
              <w:bottom w:val="single" w:sz="4" w:space="0" w:color="auto"/>
              <w:right w:val="single" w:sz="4" w:space="0" w:color="auto"/>
            </w:tcBorders>
            <w:shd w:val="clear" w:color="auto" w:fill="C6EFCE"/>
            <w:noWrap/>
          </w:tcPr>
          <w:p w14:paraId="0B16F725"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single" w:sz="4" w:space="0" w:color="auto"/>
              <w:left w:val="nil"/>
              <w:bottom w:val="single" w:sz="4" w:space="0" w:color="auto"/>
              <w:right w:val="single" w:sz="4" w:space="0" w:color="auto"/>
            </w:tcBorders>
            <w:shd w:val="clear" w:color="auto" w:fill="C6EFCE"/>
            <w:noWrap/>
          </w:tcPr>
          <w:p w14:paraId="0B13EE88" w14:textId="77777777" w:rsidR="00515398" w:rsidRDefault="006711E6">
            <w:pPr>
              <w:pStyle w:val="P68B1DB1-Normal9"/>
              <w:spacing w:after="0" w:line="240" w:lineRule="auto"/>
              <w:rPr>
                <w:rFonts w:eastAsia="Times New Roman" w:cs="Calibri"/>
                <w:noProof/>
                <w:szCs w:val="18"/>
              </w:rPr>
            </w:pPr>
            <w:r>
              <w:rPr>
                <w:noProof/>
              </w:rPr>
              <w:t>Zadání zakázky</w:t>
            </w:r>
            <w:r>
              <w:rPr>
                <w:noProof/>
              </w:rPr>
              <w:t xml:space="preserve"> v rámci systému kontroly kvality odborného vzdělávání a přípravy</w:t>
            </w:r>
          </w:p>
        </w:tc>
        <w:tc>
          <w:tcPr>
            <w:tcW w:w="1471" w:type="dxa"/>
            <w:tcBorders>
              <w:top w:val="single" w:sz="4" w:space="0" w:color="auto"/>
              <w:left w:val="nil"/>
              <w:bottom w:val="single" w:sz="4" w:space="0" w:color="auto"/>
              <w:right w:val="single" w:sz="4" w:space="0" w:color="auto"/>
            </w:tcBorders>
            <w:shd w:val="clear" w:color="auto" w:fill="C6EFCE"/>
            <w:noWrap/>
          </w:tcPr>
          <w:p w14:paraId="16B291B4" w14:textId="77777777" w:rsidR="00515398" w:rsidRDefault="006711E6">
            <w:pPr>
              <w:pStyle w:val="P68B1DB1-Normal9"/>
              <w:spacing w:after="0" w:line="240" w:lineRule="auto"/>
              <w:rPr>
                <w:rFonts w:eastAsia="Times New Roman" w:cs="Calibri"/>
                <w:noProof/>
                <w:szCs w:val="18"/>
              </w:rPr>
            </w:pPr>
            <w:r>
              <w:rPr>
                <w:noProof/>
              </w:rPr>
              <w:t>Oznámení o zadání zakázky</w:t>
            </w:r>
          </w:p>
        </w:tc>
        <w:tc>
          <w:tcPr>
            <w:tcW w:w="1135" w:type="dxa"/>
            <w:tcBorders>
              <w:top w:val="single" w:sz="4" w:space="0" w:color="auto"/>
              <w:left w:val="nil"/>
              <w:bottom w:val="single" w:sz="4" w:space="0" w:color="auto"/>
              <w:right w:val="single" w:sz="4" w:space="0" w:color="auto"/>
            </w:tcBorders>
            <w:shd w:val="clear" w:color="auto" w:fill="C6EFCE"/>
            <w:noWrap/>
          </w:tcPr>
          <w:p w14:paraId="5B8C6601" w14:textId="77777777" w:rsidR="00515398" w:rsidRDefault="00515398">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3432165F" w14:textId="77777777" w:rsidR="00515398" w:rsidRDefault="00515398">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00910478"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6652DC8" w14:textId="77777777" w:rsidR="00515398" w:rsidRDefault="006711E6">
            <w:pPr>
              <w:pStyle w:val="P68B1DB1-Normal9"/>
              <w:spacing w:after="0" w:line="240" w:lineRule="auto"/>
              <w:rPr>
                <w:rFonts w:eastAsia="Times New Roman" w:cs="Calibri"/>
                <w:noProof/>
                <w:szCs w:val="18"/>
              </w:rPr>
            </w:pPr>
            <w:r>
              <w:rPr>
                <w:noProof/>
              </w:rPr>
              <w:t>ČTVRTLETÍ</w:t>
            </w:r>
          </w:p>
        </w:tc>
        <w:tc>
          <w:tcPr>
            <w:tcW w:w="783" w:type="dxa"/>
            <w:tcBorders>
              <w:top w:val="single" w:sz="4" w:space="0" w:color="auto"/>
              <w:left w:val="nil"/>
              <w:bottom w:val="single" w:sz="4" w:space="0" w:color="auto"/>
              <w:right w:val="single" w:sz="4" w:space="0" w:color="auto"/>
            </w:tcBorders>
            <w:shd w:val="clear" w:color="auto" w:fill="C6EFCE"/>
            <w:noWrap/>
          </w:tcPr>
          <w:p w14:paraId="029A48B9" w14:textId="77777777" w:rsidR="00515398" w:rsidRDefault="006711E6">
            <w:pPr>
              <w:pStyle w:val="P68B1DB1-Normal9"/>
              <w:spacing w:after="0" w:line="240" w:lineRule="auto"/>
              <w:rPr>
                <w:rFonts w:eastAsia="Times New Roman" w:cs="Calibri"/>
                <w:noProof/>
                <w:szCs w:val="18"/>
              </w:rPr>
            </w:pPr>
            <w:r>
              <w:rPr>
                <w:noProof/>
              </w:rPr>
              <w:t>2023</w:t>
            </w:r>
          </w:p>
        </w:tc>
        <w:tc>
          <w:tcPr>
            <w:tcW w:w="4156" w:type="dxa"/>
            <w:tcBorders>
              <w:top w:val="single" w:sz="4" w:space="0" w:color="auto"/>
              <w:left w:val="nil"/>
              <w:bottom w:val="single" w:sz="4" w:space="0" w:color="auto"/>
              <w:right w:val="single" w:sz="4" w:space="0" w:color="auto"/>
            </w:tcBorders>
            <w:shd w:val="clear" w:color="auto" w:fill="C6EFCE"/>
            <w:noWrap/>
          </w:tcPr>
          <w:p w14:paraId="73E491D5" w14:textId="77777777" w:rsidR="00515398" w:rsidRDefault="006711E6">
            <w:pPr>
              <w:pStyle w:val="P68B1DB1-Normal9"/>
              <w:spacing w:after="0" w:line="240" w:lineRule="auto"/>
              <w:rPr>
                <w:rFonts w:eastAsia="Times New Roman" w:cs="Calibri"/>
                <w:noProof/>
                <w:szCs w:val="18"/>
              </w:rPr>
            </w:pPr>
            <w:r>
              <w:rPr>
                <w:noProof/>
              </w:rPr>
              <w:t>Zadávání zakázek na systém kontroly kvality odborného vzdělávání a přípravy (OVP) mělo za cíl zlepšit kontrolu kvality v odděleních odborné přípra</w:t>
            </w:r>
            <w:r>
              <w:rPr>
                <w:noProof/>
              </w:rPr>
              <w:t>vy Řecké organizace pro zaměstnanost pracovních sil (DYPA), a to především hodnocením jeho výstupů a sledováním pokroku a výkonnosti stážistů na trhu práce.</w:t>
            </w:r>
          </w:p>
        </w:tc>
      </w:tr>
      <w:tr w:rsidR="00515398" w14:paraId="6B5F8C6F"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12FDC83" w14:textId="77777777" w:rsidR="00515398" w:rsidRDefault="006711E6">
            <w:pPr>
              <w:pStyle w:val="P68B1DB1-Normal9"/>
              <w:spacing w:after="0" w:line="240" w:lineRule="auto"/>
              <w:rPr>
                <w:rFonts w:eastAsia="Times New Roman" w:cs="Calibri"/>
                <w:noProof/>
                <w:szCs w:val="18"/>
              </w:rPr>
            </w:pPr>
            <w:r>
              <w:rPr>
                <w:noProof/>
              </w:rPr>
              <w:t>144</w:t>
            </w:r>
          </w:p>
        </w:tc>
        <w:tc>
          <w:tcPr>
            <w:tcW w:w="1797" w:type="dxa"/>
            <w:tcBorders>
              <w:top w:val="single" w:sz="4" w:space="0" w:color="auto"/>
              <w:left w:val="nil"/>
              <w:bottom w:val="single" w:sz="4" w:space="0" w:color="auto"/>
              <w:right w:val="single" w:sz="4" w:space="0" w:color="auto"/>
            </w:tcBorders>
            <w:shd w:val="clear" w:color="auto" w:fill="C6EFCE"/>
            <w:noWrap/>
          </w:tcPr>
          <w:p w14:paraId="742B4B7A" w14:textId="77777777" w:rsidR="00515398" w:rsidRDefault="006711E6">
            <w:pPr>
              <w:pStyle w:val="P68B1DB1-Normal9"/>
              <w:spacing w:after="0" w:line="240" w:lineRule="auto"/>
              <w:rPr>
                <w:rFonts w:eastAsia="Times New Roman" w:cs="Calibri"/>
                <w:noProof/>
                <w:szCs w:val="18"/>
              </w:rPr>
            </w:pPr>
            <w:r>
              <w:rPr>
                <w:noProof/>
              </w:rPr>
              <w:t xml:space="preserve">8–3.1. Podpora tvorby pracovních míst a účasti na trhu práce – 16747_Aktivní reforma politik </w:t>
            </w:r>
            <w:r>
              <w:rPr>
                <w:noProof/>
              </w:rPr>
              <w:t>na trhu práce</w:t>
            </w:r>
          </w:p>
        </w:tc>
        <w:tc>
          <w:tcPr>
            <w:tcW w:w="1099" w:type="dxa"/>
            <w:tcBorders>
              <w:top w:val="single" w:sz="4" w:space="0" w:color="auto"/>
              <w:left w:val="nil"/>
              <w:bottom w:val="single" w:sz="4" w:space="0" w:color="auto"/>
              <w:right w:val="single" w:sz="4" w:space="0" w:color="auto"/>
            </w:tcBorders>
            <w:shd w:val="clear" w:color="auto" w:fill="C6EFCE"/>
            <w:noWrap/>
          </w:tcPr>
          <w:p w14:paraId="3BFB88DF" w14:textId="77777777" w:rsidR="00515398" w:rsidRDefault="006711E6">
            <w:pPr>
              <w:pStyle w:val="P68B1DB1-Normal9"/>
              <w:spacing w:after="0" w:line="240" w:lineRule="auto"/>
              <w:rPr>
                <w:rFonts w:eastAsia="Times New Roman" w:cs="Calibri"/>
                <w:noProof/>
                <w:szCs w:val="18"/>
              </w:rPr>
            </w:pPr>
            <w:r>
              <w:rPr>
                <w:noProof/>
              </w:rPr>
              <w:t>Cílová</w:t>
            </w:r>
          </w:p>
        </w:tc>
        <w:tc>
          <w:tcPr>
            <w:tcW w:w="1365" w:type="dxa"/>
            <w:tcBorders>
              <w:top w:val="single" w:sz="4" w:space="0" w:color="auto"/>
              <w:left w:val="nil"/>
              <w:bottom w:val="single" w:sz="4" w:space="0" w:color="auto"/>
              <w:right w:val="single" w:sz="4" w:space="0" w:color="auto"/>
            </w:tcBorders>
            <w:shd w:val="clear" w:color="auto" w:fill="C6EFCE"/>
            <w:noWrap/>
          </w:tcPr>
          <w:p w14:paraId="3BBEAF19" w14:textId="77777777" w:rsidR="00515398" w:rsidRDefault="006711E6">
            <w:pPr>
              <w:pStyle w:val="P68B1DB1-Normal9"/>
              <w:spacing w:after="0" w:line="240" w:lineRule="auto"/>
              <w:rPr>
                <w:rFonts w:eastAsia="Times New Roman" w:cs="Calibri"/>
                <w:noProof/>
                <w:szCs w:val="18"/>
              </w:rPr>
            </w:pPr>
            <w:r>
              <w:rPr>
                <w:noProof/>
              </w:rPr>
              <w:t xml:space="preserve">Dokončení programu zvyšování kvalifikace v oblasti zaměstnanosti v rámci aktivních politik na trhu práce </w:t>
            </w:r>
          </w:p>
        </w:tc>
        <w:tc>
          <w:tcPr>
            <w:tcW w:w="1471" w:type="dxa"/>
            <w:tcBorders>
              <w:top w:val="single" w:sz="4" w:space="0" w:color="auto"/>
              <w:left w:val="nil"/>
              <w:bottom w:val="single" w:sz="4" w:space="0" w:color="auto"/>
              <w:right w:val="single" w:sz="4" w:space="0" w:color="auto"/>
            </w:tcBorders>
            <w:shd w:val="clear" w:color="auto" w:fill="C6EFCE"/>
            <w:noWrap/>
          </w:tcPr>
          <w:p w14:paraId="1D5034FD" w14:textId="77777777" w:rsidR="00515398" w:rsidRDefault="00515398">
            <w:pPr>
              <w:spacing w:after="0" w:line="240" w:lineRule="auto"/>
              <w:rPr>
                <w:rFonts w:eastAsia="Times New Roman" w:cs="Calibri"/>
                <w:noProof/>
                <w:color w:val="006100"/>
                <w:sz w:val="18"/>
                <w:szCs w:val="18"/>
              </w:rPr>
            </w:pPr>
          </w:p>
        </w:tc>
        <w:tc>
          <w:tcPr>
            <w:tcW w:w="1135" w:type="dxa"/>
            <w:tcBorders>
              <w:top w:val="single" w:sz="4" w:space="0" w:color="auto"/>
              <w:left w:val="nil"/>
              <w:bottom w:val="single" w:sz="4" w:space="0" w:color="auto"/>
              <w:right w:val="single" w:sz="4" w:space="0" w:color="auto"/>
            </w:tcBorders>
            <w:shd w:val="clear" w:color="auto" w:fill="C6EFCE"/>
            <w:noWrap/>
          </w:tcPr>
          <w:p w14:paraId="290D9EC2" w14:textId="77777777" w:rsidR="00515398" w:rsidRDefault="006711E6">
            <w:pPr>
              <w:pStyle w:val="P68B1DB1-Normal9"/>
              <w:spacing w:after="0" w:line="240" w:lineRule="auto"/>
              <w:rPr>
                <w:rFonts w:eastAsia="Times New Roman" w:cs="Calibri"/>
                <w:noProof/>
                <w:szCs w:val="18"/>
              </w:rPr>
            </w:pPr>
            <w:r>
              <w:rPr>
                <w:noProof/>
              </w:rPr>
              <w:t>Počet nezaměstnaných osob (ve věku 25–45 let), které obdržely potvrzení o úspěchu</w:t>
            </w:r>
          </w:p>
          <w:p w14:paraId="0A9051F2" w14:textId="7066DA9C" w:rsidR="00515398" w:rsidRDefault="006711E6">
            <w:pPr>
              <w:pStyle w:val="P68B1DB1-Normal9"/>
              <w:spacing w:after="0" w:line="240" w:lineRule="auto"/>
              <w:rPr>
                <w:rFonts w:eastAsia="Times New Roman" w:cs="Calibri"/>
                <w:noProof/>
                <w:szCs w:val="18"/>
              </w:rPr>
            </w:pPr>
            <w:r>
              <w:rPr>
                <w:noProof/>
              </w:rPr>
              <w:t xml:space="preserve">dokončení programu odborné přípravy </w:t>
            </w:r>
          </w:p>
        </w:tc>
        <w:tc>
          <w:tcPr>
            <w:tcW w:w="924" w:type="dxa"/>
            <w:tcBorders>
              <w:top w:val="single" w:sz="4" w:space="0" w:color="auto"/>
              <w:left w:val="nil"/>
              <w:bottom w:val="single" w:sz="4" w:space="0" w:color="auto"/>
              <w:right w:val="single" w:sz="4" w:space="0" w:color="auto"/>
            </w:tcBorders>
            <w:shd w:val="clear" w:color="auto" w:fill="C6EFCE"/>
            <w:noWrap/>
          </w:tcPr>
          <w:p w14:paraId="5DA45FBE" w14:textId="77777777" w:rsidR="00515398" w:rsidRDefault="006711E6">
            <w:pPr>
              <w:pStyle w:val="P68B1DB1-Normal9"/>
              <w:spacing w:after="0" w:line="240" w:lineRule="auto"/>
              <w:rPr>
                <w:rFonts w:eastAsia="Times New Roman" w:cs="Calibri"/>
                <w:noProof/>
                <w:szCs w:val="18"/>
              </w:rPr>
            </w:pPr>
            <w:r>
              <w:rPr>
                <w:noProof/>
              </w:rPr>
              <w:t>0</w:t>
            </w:r>
          </w:p>
        </w:tc>
        <w:tc>
          <w:tcPr>
            <w:tcW w:w="896" w:type="dxa"/>
            <w:tcBorders>
              <w:top w:val="single" w:sz="4" w:space="0" w:color="auto"/>
              <w:left w:val="nil"/>
              <w:bottom w:val="single" w:sz="4" w:space="0" w:color="auto"/>
              <w:right w:val="single" w:sz="4" w:space="0" w:color="auto"/>
            </w:tcBorders>
            <w:shd w:val="clear" w:color="auto" w:fill="C6EFCE"/>
            <w:noWrap/>
          </w:tcPr>
          <w:p w14:paraId="05F9EA06" w14:textId="77777777" w:rsidR="00515398" w:rsidRDefault="006711E6">
            <w:pPr>
              <w:pStyle w:val="P68B1DB1-Normal9"/>
              <w:spacing w:after="0" w:line="240" w:lineRule="auto"/>
              <w:rPr>
                <w:rFonts w:eastAsia="Times New Roman" w:cs="Calibri"/>
                <w:noProof/>
                <w:szCs w:val="18"/>
              </w:rPr>
            </w:pPr>
            <w:r>
              <w:rPr>
                <w:noProof/>
              </w:rPr>
              <w:t>7 000</w:t>
            </w:r>
          </w:p>
        </w:tc>
        <w:tc>
          <w:tcPr>
            <w:tcW w:w="846" w:type="dxa"/>
            <w:tcBorders>
              <w:top w:val="single" w:sz="4" w:space="0" w:color="auto"/>
              <w:left w:val="nil"/>
              <w:bottom w:val="single" w:sz="4" w:space="0" w:color="auto"/>
              <w:right w:val="single" w:sz="4" w:space="0" w:color="auto"/>
            </w:tcBorders>
            <w:shd w:val="clear" w:color="auto" w:fill="C6EFCE"/>
            <w:noWrap/>
          </w:tcPr>
          <w:p w14:paraId="5F938E2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3AC1E4FB" w14:textId="77777777" w:rsidR="00515398" w:rsidRDefault="006711E6">
            <w:pPr>
              <w:pStyle w:val="P68B1DB1-Normal9"/>
              <w:spacing w:after="0" w:line="240" w:lineRule="auto"/>
              <w:rPr>
                <w:noProof/>
                <w:szCs w:val="18"/>
              </w:rPr>
            </w:pPr>
            <w:r>
              <w:rPr>
                <w:noProof/>
                <w:szCs w:val="18"/>
              </w:rPr>
              <w:t>202</w:t>
            </w:r>
            <w:r>
              <w:rPr>
                <w:noProof/>
              </w:rPr>
              <w:t>4</w:t>
            </w:r>
          </w:p>
        </w:tc>
        <w:tc>
          <w:tcPr>
            <w:tcW w:w="4156" w:type="dxa"/>
            <w:tcBorders>
              <w:top w:val="single" w:sz="4" w:space="0" w:color="auto"/>
              <w:left w:val="nil"/>
              <w:bottom w:val="single" w:sz="4" w:space="0" w:color="auto"/>
              <w:right w:val="single" w:sz="4" w:space="0" w:color="auto"/>
            </w:tcBorders>
            <w:shd w:val="clear" w:color="auto" w:fill="C6EFCE"/>
            <w:noWrap/>
          </w:tcPr>
          <w:p w14:paraId="3B7A5776" w14:textId="2EEEC006" w:rsidR="00515398" w:rsidRDefault="006711E6">
            <w:pPr>
              <w:pStyle w:val="P68B1DB1-Normal9"/>
              <w:spacing w:after="0" w:line="240" w:lineRule="auto"/>
              <w:rPr>
                <w:rFonts w:eastAsia="Times New Roman" w:cs="Calibri"/>
                <w:noProof/>
                <w:szCs w:val="18"/>
              </w:rPr>
            </w:pPr>
            <w:r>
              <w:rPr>
                <w:noProof/>
              </w:rPr>
              <w:t>Dokončení komplexního programu prohlubování dovedností a rekvalifikace a vstup do zaměstnání pro nejméně 7000 nezaměstnaných osob (ve věku 25–45 let) z celkového počtu 7500 příjemců</w:t>
            </w:r>
          </w:p>
          <w:p w14:paraId="5F7A2162" w14:textId="18496F76" w:rsidR="00515398" w:rsidRDefault="00515398">
            <w:pPr>
              <w:spacing w:after="0" w:line="240" w:lineRule="auto"/>
              <w:rPr>
                <w:rFonts w:eastAsia="Times New Roman" w:cs="Calibri"/>
                <w:noProof/>
                <w:color w:val="006100"/>
                <w:sz w:val="18"/>
                <w:szCs w:val="18"/>
              </w:rPr>
            </w:pPr>
          </w:p>
        </w:tc>
      </w:tr>
      <w:tr w:rsidR="00515398" w14:paraId="7079FBE8"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B9B6460" w14:textId="77777777" w:rsidR="00515398" w:rsidRDefault="006711E6">
            <w:pPr>
              <w:pStyle w:val="P68B1DB1-Normal9"/>
              <w:spacing w:after="0" w:line="240" w:lineRule="auto"/>
              <w:rPr>
                <w:rFonts w:eastAsia="Times New Roman" w:cs="Calibri"/>
                <w:noProof/>
                <w:szCs w:val="18"/>
              </w:rPr>
            </w:pPr>
            <w:r>
              <w:rPr>
                <w:noProof/>
              </w:rPr>
              <w:t>144a</w:t>
            </w:r>
          </w:p>
        </w:tc>
        <w:tc>
          <w:tcPr>
            <w:tcW w:w="1797" w:type="dxa"/>
            <w:tcBorders>
              <w:top w:val="single" w:sz="4" w:space="0" w:color="auto"/>
              <w:left w:val="nil"/>
              <w:bottom w:val="single" w:sz="4" w:space="0" w:color="auto"/>
              <w:right w:val="single" w:sz="4" w:space="0" w:color="auto"/>
            </w:tcBorders>
            <w:shd w:val="clear" w:color="auto" w:fill="C6EFCE"/>
            <w:noWrap/>
          </w:tcPr>
          <w:p w14:paraId="2366A000" w14:textId="77777777" w:rsidR="00515398" w:rsidRDefault="006711E6">
            <w:pPr>
              <w:pStyle w:val="P68B1DB1-Normal9"/>
              <w:spacing w:after="0" w:line="240" w:lineRule="auto"/>
              <w:rPr>
                <w:rFonts w:eastAsia="Times New Roman" w:cs="Calibri"/>
                <w:noProof/>
                <w:szCs w:val="18"/>
              </w:rPr>
            </w:pPr>
            <w:r>
              <w:rPr>
                <w:noProof/>
              </w:rPr>
              <w:t>8–3.1. Podpora tvorby pracovních míst a účasti</w:t>
            </w:r>
            <w:r>
              <w:rPr>
                <w:noProof/>
              </w:rPr>
              <w:t xml:space="preserve"> na trhu práce – 16747_Aktivní reforma politik na trhu práce</w:t>
            </w:r>
          </w:p>
        </w:tc>
        <w:tc>
          <w:tcPr>
            <w:tcW w:w="1099" w:type="dxa"/>
            <w:tcBorders>
              <w:top w:val="single" w:sz="4" w:space="0" w:color="auto"/>
              <w:left w:val="nil"/>
              <w:bottom w:val="single" w:sz="4" w:space="0" w:color="auto"/>
              <w:right w:val="single" w:sz="4" w:space="0" w:color="auto"/>
            </w:tcBorders>
            <w:shd w:val="clear" w:color="auto" w:fill="C6EFCE"/>
            <w:noWrap/>
          </w:tcPr>
          <w:p w14:paraId="3314F3C5" w14:textId="77777777" w:rsidR="00515398" w:rsidRDefault="006711E6">
            <w:pPr>
              <w:pStyle w:val="P68B1DB1-Normal9"/>
              <w:spacing w:after="0" w:line="240" w:lineRule="auto"/>
              <w:rPr>
                <w:noProof/>
              </w:rPr>
            </w:pPr>
            <w:r>
              <w:rPr>
                <w:noProof/>
              </w:rPr>
              <w:t>Milník</w:t>
            </w:r>
          </w:p>
        </w:tc>
        <w:tc>
          <w:tcPr>
            <w:tcW w:w="1365" w:type="dxa"/>
            <w:tcBorders>
              <w:top w:val="single" w:sz="4" w:space="0" w:color="auto"/>
              <w:left w:val="nil"/>
              <w:bottom w:val="single" w:sz="4" w:space="0" w:color="auto"/>
              <w:right w:val="single" w:sz="4" w:space="0" w:color="auto"/>
            </w:tcBorders>
            <w:shd w:val="clear" w:color="auto" w:fill="C6EFCE"/>
            <w:noWrap/>
          </w:tcPr>
          <w:p w14:paraId="45D8A941" w14:textId="77777777" w:rsidR="00515398" w:rsidRDefault="006711E6">
            <w:pPr>
              <w:pStyle w:val="P68B1DB1-Normal9"/>
              <w:spacing w:after="0" w:line="240" w:lineRule="auto"/>
              <w:rPr>
                <w:rFonts w:eastAsia="Times New Roman" w:cs="Calibri"/>
                <w:noProof/>
                <w:szCs w:val="18"/>
              </w:rPr>
            </w:pPr>
            <w:r>
              <w:rPr>
                <w:noProof/>
              </w:rPr>
              <w:t xml:space="preserve">Dokončení programu zaměstnanosti aktivních politik na trhu práce </w:t>
            </w:r>
          </w:p>
        </w:tc>
        <w:tc>
          <w:tcPr>
            <w:tcW w:w="1471" w:type="dxa"/>
            <w:tcBorders>
              <w:top w:val="single" w:sz="4" w:space="0" w:color="auto"/>
              <w:left w:val="nil"/>
              <w:bottom w:val="single" w:sz="4" w:space="0" w:color="auto"/>
              <w:right w:val="single" w:sz="4" w:space="0" w:color="auto"/>
            </w:tcBorders>
            <w:shd w:val="clear" w:color="auto" w:fill="C6EFCE"/>
            <w:noWrap/>
          </w:tcPr>
          <w:p w14:paraId="23E1F08A" w14:textId="77777777" w:rsidR="00515398" w:rsidRDefault="006711E6">
            <w:pPr>
              <w:pStyle w:val="P68B1DB1-Normal9"/>
              <w:spacing w:after="0" w:line="240" w:lineRule="auto"/>
              <w:rPr>
                <w:rFonts w:eastAsia="Times New Roman" w:cs="Calibri"/>
                <w:noProof/>
                <w:szCs w:val="18"/>
              </w:rPr>
            </w:pPr>
            <w:r>
              <w:rPr>
                <w:noProof/>
              </w:rPr>
              <w:t>Zpráva DYPA potvrzující dokončení programů</w:t>
            </w:r>
          </w:p>
        </w:tc>
        <w:tc>
          <w:tcPr>
            <w:tcW w:w="1135" w:type="dxa"/>
            <w:tcBorders>
              <w:top w:val="single" w:sz="4" w:space="0" w:color="auto"/>
              <w:left w:val="nil"/>
              <w:bottom w:val="single" w:sz="4" w:space="0" w:color="auto"/>
              <w:right w:val="single" w:sz="4" w:space="0" w:color="auto"/>
            </w:tcBorders>
            <w:shd w:val="clear" w:color="auto" w:fill="C6EFCE"/>
            <w:noWrap/>
          </w:tcPr>
          <w:p w14:paraId="2DD5B460" w14:textId="77777777" w:rsidR="00515398" w:rsidRDefault="00515398">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7A75A355" w14:textId="77777777" w:rsidR="00515398" w:rsidRDefault="00515398">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0E07F9A1"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30051C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1E4F2E25" w14:textId="77777777" w:rsidR="00515398" w:rsidRDefault="006711E6">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5EAA00E7" w14:textId="77777777" w:rsidR="00515398" w:rsidRDefault="006711E6">
            <w:pPr>
              <w:pStyle w:val="P68B1DB1-paragraph26"/>
              <w:spacing w:before="0" w:beforeAutospacing="0" w:after="0" w:afterAutospacing="0"/>
              <w:textAlignment w:val="baseline"/>
              <w:rPr>
                <w:rFonts w:cs="Calibri"/>
                <w:noProof/>
                <w:szCs w:val="18"/>
              </w:rPr>
            </w:pPr>
            <w:r>
              <w:rPr>
                <w:noProof/>
              </w:rPr>
              <w:t xml:space="preserve">Dokončení těchto aktivních programů politiky trhu práce: </w:t>
            </w:r>
          </w:p>
          <w:p w14:paraId="3AF1985A" w14:textId="66F423DA" w:rsidR="00515398" w:rsidRDefault="006711E6">
            <w:pPr>
              <w:pStyle w:val="P68B1DB1-paragraph26"/>
              <w:spacing w:before="0" w:beforeAutospacing="0" w:after="0" w:afterAutospacing="0"/>
              <w:textAlignment w:val="baseline"/>
              <w:rPr>
                <w:rFonts w:cs="Calibri"/>
                <w:noProof/>
                <w:szCs w:val="18"/>
              </w:rPr>
            </w:pPr>
            <w:r>
              <w:rPr>
                <w:noProof/>
              </w:rPr>
              <w:t xml:space="preserve">čtyři cílené krátkodobé programy dotující zaměstnanost v soukromém sektoru pro nejméně 30600 nezaměstnaných osob z celkového počtu 34000 příjemců </w:t>
            </w:r>
          </w:p>
          <w:p w14:paraId="616E86E4" w14:textId="57AAF1B7" w:rsidR="00515398" w:rsidRDefault="006711E6">
            <w:pPr>
              <w:pStyle w:val="P68B1DB1-paragraph27"/>
              <w:spacing w:before="0" w:beforeAutospacing="0" w:after="0" w:afterAutospacing="0"/>
              <w:textAlignment w:val="baseline"/>
              <w:rPr>
                <w:rFonts w:cs="Calibri"/>
                <w:noProof/>
              </w:rPr>
            </w:pPr>
            <w:r>
              <w:rPr>
                <w:noProof/>
              </w:rPr>
              <w:t>b) zavedení nového modelu provádění pilotního testo</w:t>
            </w:r>
            <w:r>
              <w:rPr>
                <w:noProof/>
              </w:rPr>
              <w:t>vání v otevřeném rámci pro aktivní politiky na trhu práce (kde budou 8000 účastníkům nabídnuty programy odborné přípravy, 7000 účastníkům budou nabídnuty dotace na zaměstnanost a 850 účastníkům budou nabídnuty dotace na podnikání) </w:t>
            </w:r>
          </w:p>
          <w:p w14:paraId="6839BCA1" w14:textId="77777777" w:rsidR="00515398" w:rsidRDefault="006711E6">
            <w:pPr>
              <w:pStyle w:val="P68B1DB1-paragraph26"/>
              <w:spacing w:before="0" w:beforeAutospacing="0" w:after="0" w:afterAutospacing="0"/>
              <w:textAlignment w:val="baseline"/>
              <w:rPr>
                <w:rFonts w:cs="Calibri"/>
                <w:noProof/>
                <w:szCs w:val="18"/>
              </w:rPr>
            </w:pPr>
            <w:r>
              <w:rPr>
                <w:noProof/>
              </w:rPr>
              <w:t>C) Dočasné posílení pora</w:t>
            </w:r>
            <w:r>
              <w:rPr>
                <w:noProof/>
              </w:rPr>
              <w:t>denských pracovníků veřejné služby zaměstnanosti přijetím 600 dalších poradců a  </w:t>
            </w:r>
          </w:p>
          <w:p w14:paraId="3E2F2AB3" w14:textId="5407DE1C" w:rsidR="00515398" w:rsidRDefault="006711E6">
            <w:pPr>
              <w:pStyle w:val="P68B1DB1-paragraph26"/>
              <w:spacing w:before="0" w:beforeAutospacing="0" w:after="0" w:afterAutospacing="0"/>
              <w:textAlignment w:val="baseline"/>
              <w:rPr>
                <w:rFonts w:asciiTheme="minorHAnsi" w:hAnsiTheme="minorHAnsi" w:cstheme="minorHAnsi"/>
                <w:noProof/>
                <w:szCs w:val="18"/>
              </w:rPr>
            </w:pPr>
            <w:r>
              <w:rPr>
                <w:noProof/>
              </w:rPr>
              <w:t>d) odborná příprava 1000 poradců pro zaměstnanost ve veřejné službě zaměstnanosti.  </w:t>
            </w:r>
          </w:p>
          <w:p w14:paraId="33341798" w14:textId="77777777" w:rsidR="00515398" w:rsidRDefault="00515398">
            <w:pPr>
              <w:pStyle w:val="paragraph"/>
              <w:spacing w:before="0" w:beforeAutospacing="0" w:after="0" w:afterAutospacing="0"/>
              <w:textAlignment w:val="baseline"/>
              <w:rPr>
                <w:rFonts w:ascii="Calibri" w:hAnsi="Calibri" w:cs="Calibri"/>
                <w:noProof/>
                <w:color w:val="006100"/>
                <w:sz w:val="18"/>
                <w:szCs w:val="18"/>
              </w:rPr>
            </w:pPr>
          </w:p>
        </w:tc>
      </w:tr>
      <w:tr w:rsidR="00515398" w14:paraId="3795FEB6" w14:textId="77777777">
        <w:trPr>
          <w:trHeight w:val="2040"/>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2C1DD62" w14:textId="77777777" w:rsidR="00515398" w:rsidRDefault="006711E6">
            <w:pPr>
              <w:pStyle w:val="P68B1DB1-Normal9"/>
              <w:spacing w:after="0" w:line="240" w:lineRule="auto"/>
              <w:rPr>
                <w:rFonts w:eastAsia="Times New Roman" w:cs="Calibri"/>
                <w:noProof/>
                <w:szCs w:val="18"/>
              </w:rPr>
            </w:pPr>
            <w:r>
              <w:rPr>
                <w:noProof/>
              </w:rPr>
              <w:t>145</w:t>
            </w:r>
          </w:p>
        </w:tc>
        <w:tc>
          <w:tcPr>
            <w:tcW w:w="1797" w:type="dxa"/>
            <w:tcBorders>
              <w:top w:val="single" w:sz="4" w:space="0" w:color="auto"/>
              <w:left w:val="nil"/>
              <w:bottom w:val="single" w:sz="4" w:space="0" w:color="auto"/>
              <w:right w:val="single" w:sz="4" w:space="0" w:color="auto"/>
            </w:tcBorders>
            <w:shd w:val="clear" w:color="auto" w:fill="C6EFCE"/>
            <w:noWrap/>
          </w:tcPr>
          <w:p w14:paraId="3256B3DF" w14:textId="77777777" w:rsidR="00515398" w:rsidRDefault="006711E6">
            <w:pPr>
              <w:pStyle w:val="P68B1DB1-Normal9"/>
              <w:spacing w:after="0" w:line="240" w:lineRule="auto"/>
              <w:rPr>
                <w:rFonts w:eastAsia="Times New Roman" w:cs="Calibri"/>
                <w:noProof/>
                <w:szCs w:val="18"/>
              </w:rPr>
            </w:pPr>
            <w:r>
              <w:rPr>
                <w:noProof/>
              </w:rPr>
              <w:t xml:space="preserve">9–3.2. Vzdělávání, odborné vzdělávání a příprava a dovednosti – 16794_Posílení systému učňovské přípravy </w:t>
            </w:r>
          </w:p>
        </w:tc>
        <w:tc>
          <w:tcPr>
            <w:tcW w:w="1099" w:type="dxa"/>
            <w:tcBorders>
              <w:top w:val="single" w:sz="4" w:space="0" w:color="auto"/>
              <w:left w:val="nil"/>
              <w:bottom w:val="single" w:sz="4" w:space="0" w:color="auto"/>
              <w:right w:val="single" w:sz="4" w:space="0" w:color="auto"/>
            </w:tcBorders>
            <w:shd w:val="clear" w:color="auto" w:fill="C6EFCE"/>
            <w:noWrap/>
          </w:tcPr>
          <w:p w14:paraId="433F3F7D" w14:textId="77777777" w:rsidR="00515398" w:rsidRDefault="006711E6">
            <w:pPr>
              <w:pStyle w:val="P68B1DB1-Normal9"/>
              <w:spacing w:after="0" w:line="240" w:lineRule="auto"/>
              <w:rPr>
                <w:rFonts w:eastAsia="Times New Roman" w:cs="Calibri"/>
                <w:noProof/>
                <w:szCs w:val="18"/>
              </w:rPr>
            </w:pPr>
            <w:r>
              <w:rPr>
                <w:noProof/>
              </w:rPr>
              <w:t>Cílová</w:t>
            </w:r>
          </w:p>
        </w:tc>
        <w:tc>
          <w:tcPr>
            <w:tcW w:w="1365" w:type="dxa"/>
            <w:tcBorders>
              <w:top w:val="single" w:sz="4" w:space="0" w:color="auto"/>
              <w:left w:val="nil"/>
              <w:bottom w:val="single" w:sz="4" w:space="0" w:color="auto"/>
              <w:right w:val="single" w:sz="4" w:space="0" w:color="auto"/>
            </w:tcBorders>
            <w:shd w:val="clear" w:color="auto" w:fill="C6EFCE"/>
            <w:noWrap/>
          </w:tcPr>
          <w:p w14:paraId="6C737134" w14:textId="77777777" w:rsidR="00515398" w:rsidRDefault="006711E6">
            <w:pPr>
              <w:pStyle w:val="P68B1DB1-Normal9"/>
              <w:spacing w:after="0" w:line="240" w:lineRule="auto"/>
              <w:rPr>
                <w:rFonts w:eastAsia="Times New Roman" w:cs="Calibri"/>
                <w:noProof/>
                <w:szCs w:val="18"/>
              </w:rPr>
            </w:pPr>
            <w:r>
              <w:rPr>
                <w:noProof/>
              </w:rPr>
              <w:t>Dokončení kurzů odborné přípravy v oblasti elektronického učení v oblasti digitalizace</w:t>
            </w:r>
          </w:p>
        </w:tc>
        <w:tc>
          <w:tcPr>
            <w:tcW w:w="1471" w:type="dxa"/>
            <w:tcBorders>
              <w:top w:val="single" w:sz="4" w:space="0" w:color="auto"/>
              <w:left w:val="nil"/>
              <w:bottom w:val="single" w:sz="4" w:space="0" w:color="auto"/>
              <w:right w:val="single" w:sz="4" w:space="0" w:color="auto"/>
            </w:tcBorders>
            <w:shd w:val="clear" w:color="auto" w:fill="C6EFCE"/>
            <w:noWrap/>
          </w:tcPr>
          <w:p w14:paraId="23CACD15" w14:textId="77777777" w:rsidR="00515398" w:rsidRDefault="00515398">
            <w:pPr>
              <w:spacing w:after="0" w:line="240" w:lineRule="auto"/>
              <w:rPr>
                <w:rFonts w:eastAsia="Times New Roman" w:cs="Calibri"/>
                <w:noProof/>
                <w:color w:val="006100"/>
                <w:sz w:val="18"/>
                <w:szCs w:val="18"/>
              </w:rPr>
            </w:pPr>
          </w:p>
        </w:tc>
        <w:tc>
          <w:tcPr>
            <w:tcW w:w="1135" w:type="dxa"/>
            <w:tcBorders>
              <w:top w:val="single" w:sz="4" w:space="0" w:color="auto"/>
              <w:left w:val="nil"/>
              <w:bottom w:val="single" w:sz="4" w:space="0" w:color="auto"/>
              <w:right w:val="single" w:sz="4" w:space="0" w:color="auto"/>
            </w:tcBorders>
            <w:shd w:val="clear" w:color="auto" w:fill="C6EFCE"/>
            <w:noWrap/>
          </w:tcPr>
          <w:p w14:paraId="362A5567" w14:textId="77777777" w:rsidR="00515398" w:rsidRDefault="006711E6">
            <w:pPr>
              <w:pStyle w:val="P68B1DB1-Normal9"/>
              <w:spacing w:after="0" w:line="240" w:lineRule="auto"/>
              <w:rPr>
                <w:rFonts w:eastAsia="Times New Roman" w:cs="Calibri"/>
                <w:noProof/>
                <w:szCs w:val="18"/>
              </w:rPr>
            </w:pPr>
            <w:r>
              <w:rPr>
                <w:noProof/>
              </w:rPr>
              <w:t xml:space="preserve">Počet digitalizovaných kurzů odborné přípravy </w:t>
            </w:r>
            <w:r>
              <w:rPr>
                <w:noProof/>
              </w:rPr>
              <w:t>(elektronické vzdělávací kurzy)</w:t>
            </w:r>
          </w:p>
        </w:tc>
        <w:tc>
          <w:tcPr>
            <w:tcW w:w="924" w:type="dxa"/>
            <w:tcBorders>
              <w:top w:val="single" w:sz="4" w:space="0" w:color="auto"/>
              <w:left w:val="nil"/>
              <w:bottom w:val="single" w:sz="4" w:space="0" w:color="auto"/>
              <w:right w:val="single" w:sz="4" w:space="0" w:color="auto"/>
            </w:tcBorders>
            <w:shd w:val="clear" w:color="auto" w:fill="C6EFCE"/>
            <w:noWrap/>
          </w:tcPr>
          <w:p w14:paraId="111B21CB" w14:textId="77777777" w:rsidR="00515398" w:rsidRDefault="006711E6">
            <w:pPr>
              <w:pStyle w:val="P68B1DB1-Normal9"/>
              <w:spacing w:after="0" w:line="240" w:lineRule="auto"/>
              <w:rPr>
                <w:rFonts w:eastAsia="Times New Roman" w:cs="Calibri"/>
                <w:noProof/>
                <w:szCs w:val="18"/>
              </w:rPr>
            </w:pPr>
            <w:r>
              <w:rPr>
                <w:noProof/>
              </w:rPr>
              <w:t>0</w:t>
            </w:r>
          </w:p>
        </w:tc>
        <w:tc>
          <w:tcPr>
            <w:tcW w:w="896" w:type="dxa"/>
            <w:tcBorders>
              <w:top w:val="single" w:sz="4" w:space="0" w:color="auto"/>
              <w:left w:val="nil"/>
              <w:bottom w:val="single" w:sz="4" w:space="0" w:color="auto"/>
              <w:right w:val="single" w:sz="4" w:space="0" w:color="auto"/>
            </w:tcBorders>
            <w:shd w:val="clear" w:color="auto" w:fill="C6EFCE"/>
            <w:noWrap/>
          </w:tcPr>
          <w:p w14:paraId="58EC2643" w14:textId="77777777" w:rsidR="00515398" w:rsidRDefault="006711E6">
            <w:pPr>
              <w:pStyle w:val="P68B1DB1-Normal9"/>
              <w:spacing w:after="0" w:line="240" w:lineRule="auto"/>
              <w:rPr>
                <w:rFonts w:eastAsia="Times New Roman" w:cs="Calibri"/>
                <w:noProof/>
                <w:szCs w:val="18"/>
              </w:rPr>
            </w:pPr>
            <w:r>
              <w:rPr>
                <w:noProof/>
              </w:rPr>
              <w:t>250</w:t>
            </w:r>
          </w:p>
        </w:tc>
        <w:tc>
          <w:tcPr>
            <w:tcW w:w="846" w:type="dxa"/>
            <w:tcBorders>
              <w:top w:val="single" w:sz="4" w:space="0" w:color="auto"/>
              <w:left w:val="nil"/>
              <w:bottom w:val="single" w:sz="4" w:space="0" w:color="auto"/>
              <w:right w:val="single" w:sz="4" w:space="0" w:color="auto"/>
            </w:tcBorders>
            <w:shd w:val="clear" w:color="auto" w:fill="C6EFCE"/>
            <w:noWrap/>
          </w:tcPr>
          <w:p w14:paraId="7684B70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5C6F37FA" w14:textId="77777777" w:rsidR="00515398" w:rsidRDefault="006711E6">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31C34BF6" w14:textId="77777777" w:rsidR="00515398" w:rsidRDefault="006711E6">
            <w:pPr>
              <w:pStyle w:val="P68B1DB1-Normal9"/>
              <w:spacing w:after="0" w:line="240" w:lineRule="auto"/>
              <w:rPr>
                <w:rFonts w:eastAsia="Times New Roman" w:cs="Calibri"/>
                <w:noProof/>
                <w:szCs w:val="18"/>
              </w:rPr>
            </w:pPr>
            <w:r>
              <w:rPr>
                <w:noProof/>
              </w:rPr>
              <w:t xml:space="preserve">Dokončení digitalizace nejméně 250 vzdělávacích kurzů v odborných školách pro učňovskou přípravu (EPAS) DYPA. </w:t>
            </w:r>
          </w:p>
          <w:p w14:paraId="2C45E38D" w14:textId="77777777" w:rsidR="00515398" w:rsidRDefault="00515398">
            <w:pPr>
              <w:spacing w:after="0" w:line="240" w:lineRule="auto"/>
              <w:rPr>
                <w:rFonts w:eastAsia="Times New Roman" w:cs="Calibri"/>
                <w:noProof/>
                <w:color w:val="006100"/>
                <w:sz w:val="18"/>
                <w:szCs w:val="18"/>
              </w:rPr>
            </w:pPr>
          </w:p>
          <w:p w14:paraId="10376122" w14:textId="77777777" w:rsidR="00515398" w:rsidRDefault="006711E6">
            <w:pPr>
              <w:pStyle w:val="P68B1DB1-Normal9"/>
              <w:spacing w:after="0" w:line="240" w:lineRule="auto"/>
              <w:rPr>
                <w:rFonts w:eastAsia="Times New Roman" w:cs="Calibri"/>
                <w:noProof/>
                <w:szCs w:val="18"/>
              </w:rPr>
            </w:pPr>
            <w:r>
              <w:rPr>
                <w:noProof/>
              </w:rPr>
              <w:t>Cílem opatření je zjednodušit vzdělávací procesy a začlenit nové metodiky a nástroje,</w:t>
            </w:r>
            <w:r>
              <w:rPr>
                <w:noProof/>
              </w:rPr>
              <w:t xml:space="preserve"> jako jsou platformy elektronického učení a digitalizovaný obsah odborné přípravy, a to jak pro učně, tak pro školitele. </w:t>
            </w:r>
          </w:p>
        </w:tc>
      </w:tr>
      <w:tr w:rsidR="00515398" w14:paraId="40A7A1E9"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10597026" w14:textId="77777777" w:rsidR="00515398" w:rsidRDefault="006711E6">
            <w:pPr>
              <w:pStyle w:val="P68B1DB1-Normal9"/>
              <w:spacing w:after="0" w:line="240" w:lineRule="auto"/>
              <w:rPr>
                <w:rFonts w:eastAsia="Times New Roman" w:cs="Calibri"/>
                <w:noProof/>
                <w:szCs w:val="18"/>
              </w:rPr>
            </w:pPr>
            <w:r>
              <w:rPr>
                <w:noProof/>
              </w:rPr>
              <w:t>145a</w:t>
            </w:r>
          </w:p>
        </w:tc>
        <w:tc>
          <w:tcPr>
            <w:tcW w:w="1797" w:type="dxa"/>
            <w:tcBorders>
              <w:top w:val="single" w:sz="4" w:space="0" w:color="auto"/>
              <w:left w:val="nil"/>
              <w:bottom w:val="single" w:sz="4" w:space="0" w:color="auto"/>
              <w:right w:val="single" w:sz="4" w:space="0" w:color="auto"/>
            </w:tcBorders>
            <w:shd w:val="clear" w:color="auto" w:fill="C6EFCE"/>
            <w:noWrap/>
          </w:tcPr>
          <w:p w14:paraId="52302816" w14:textId="77777777" w:rsidR="00515398" w:rsidRDefault="006711E6">
            <w:pPr>
              <w:pStyle w:val="P68B1DB1-Normal9"/>
              <w:spacing w:after="0" w:line="240" w:lineRule="auto"/>
              <w:rPr>
                <w:rFonts w:eastAsia="Times New Roman"/>
                <w:noProof/>
                <w:szCs w:val="18"/>
              </w:rPr>
            </w:pPr>
            <w:r>
              <w:rPr>
                <w:noProof/>
              </w:rPr>
              <w:t xml:space="preserve">9–3.2. Vzdělávání, odborné vzdělávání a příprava a dovednosti – 16794_Posílení systému učňovské přípravy </w:t>
            </w:r>
          </w:p>
        </w:tc>
        <w:tc>
          <w:tcPr>
            <w:tcW w:w="1099" w:type="dxa"/>
            <w:tcBorders>
              <w:top w:val="single" w:sz="4" w:space="0" w:color="auto"/>
              <w:left w:val="nil"/>
              <w:bottom w:val="single" w:sz="4" w:space="0" w:color="auto"/>
              <w:right w:val="single" w:sz="4" w:space="0" w:color="auto"/>
            </w:tcBorders>
            <w:shd w:val="clear" w:color="auto" w:fill="C6EFCE"/>
            <w:noWrap/>
          </w:tcPr>
          <w:p w14:paraId="1C7EBC5F"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single" w:sz="4" w:space="0" w:color="auto"/>
              <w:left w:val="nil"/>
              <w:bottom w:val="single" w:sz="4" w:space="0" w:color="auto"/>
              <w:right w:val="single" w:sz="4" w:space="0" w:color="auto"/>
            </w:tcBorders>
            <w:shd w:val="clear" w:color="auto" w:fill="C6EFCE"/>
            <w:noWrap/>
          </w:tcPr>
          <w:p w14:paraId="450D3CF6" w14:textId="77777777" w:rsidR="00515398" w:rsidRDefault="006711E6">
            <w:pPr>
              <w:pStyle w:val="P68B1DB1-Normal9"/>
              <w:spacing w:after="0" w:line="240" w:lineRule="auto"/>
              <w:rPr>
                <w:rFonts w:eastAsia="Times New Roman" w:cs="Calibri"/>
                <w:noProof/>
                <w:szCs w:val="18"/>
              </w:rPr>
            </w:pPr>
            <w:r>
              <w:rPr>
                <w:noProof/>
              </w:rPr>
              <w:t xml:space="preserve">Právní rámec </w:t>
            </w:r>
            <w:r>
              <w:rPr>
                <w:noProof/>
              </w:rPr>
              <w:t>vnitrostátního systému odborného vzdělávání a přípravy</w:t>
            </w:r>
          </w:p>
        </w:tc>
        <w:tc>
          <w:tcPr>
            <w:tcW w:w="1471" w:type="dxa"/>
            <w:tcBorders>
              <w:top w:val="single" w:sz="4" w:space="0" w:color="auto"/>
              <w:left w:val="nil"/>
              <w:bottom w:val="single" w:sz="4" w:space="0" w:color="auto"/>
              <w:right w:val="single" w:sz="4" w:space="0" w:color="auto"/>
            </w:tcBorders>
            <w:shd w:val="clear" w:color="auto" w:fill="C6EFCE"/>
            <w:noWrap/>
          </w:tcPr>
          <w:p w14:paraId="27E888E7" w14:textId="77777777" w:rsidR="00515398" w:rsidRDefault="006711E6">
            <w:pPr>
              <w:pStyle w:val="P68B1DB1-Normal9"/>
              <w:spacing w:after="0" w:line="240" w:lineRule="auto"/>
              <w:rPr>
                <w:rFonts w:eastAsia="Times New Roman" w:cs="Calibri"/>
                <w:noProof/>
                <w:szCs w:val="18"/>
              </w:rPr>
            </w:pPr>
            <w:r>
              <w:rPr>
                <w:noProof/>
              </w:rPr>
              <w:t>Vstup právních předpisů v platnost</w:t>
            </w:r>
          </w:p>
        </w:tc>
        <w:tc>
          <w:tcPr>
            <w:tcW w:w="1135" w:type="dxa"/>
            <w:tcBorders>
              <w:top w:val="single" w:sz="4" w:space="0" w:color="auto"/>
              <w:left w:val="nil"/>
              <w:bottom w:val="single" w:sz="4" w:space="0" w:color="auto"/>
              <w:right w:val="single" w:sz="4" w:space="0" w:color="auto"/>
            </w:tcBorders>
            <w:shd w:val="clear" w:color="auto" w:fill="C6EFCE"/>
            <w:noWrap/>
          </w:tcPr>
          <w:p w14:paraId="1ED8D019" w14:textId="77777777" w:rsidR="00515398" w:rsidRDefault="00515398">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7EB4222D" w14:textId="77777777" w:rsidR="00515398" w:rsidRDefault="00515398">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5F90030B"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2D1B003"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315A35F6" w14:textId="77777777" w:rsidR="00515398" w:rsidRDefault="006711E6">
            <w:pPr>
              <w:pStyle w:val="P68B1DB1-Normal9"/>
              <w:spacing w:after="0" w:line="240" w:lineRule="auto"/>
              <w:rPr>
                <w:rFonts w:eastAsia="Times New Roman" w:cs="Calibri"/>
                <w:noProof/>
                <w:szCs w:val="18"/>
              </w:rPr>
            </w:pPr>
            <w:r>
              <w:rPr>
                <w:noProof/>
              </w:rPr>
              <w:t>2024</w:t>
            </w:r>
          </w:p>
        </w:tc>
        <w:tc>
          <w:tcPr>
            <w:tcW w:w="4156" w:type="dxa"/>
            <w:tcBorders>
              <w:top w:val="single" w:sz="4" w:space="0" w:color="auto"/>
              <w:left w:val="nil"/>
              <w:bottom w:val="single" w:sz="4" w:space="0" w:color="auto"/>
              <w:right w:val="single" w:sz="4" w:space="0" w:color="auto"/>
            </w:tcBorders>
            <w:shd w:val="clear" w:color="auto" w:fill="C6EFCE"/>
            <w:noWrap/>
          </w:tcPr>
          <w:p w14:paraId="6CD4F428" w14:textId="77777777" w:rsidR="00515398" w:rsidRDefault="006711E6">
            <w:pPr>
              <w:pStyle w:val="P68B1DB1-Normal9"/>
              <w:spacing w:after="0" w:line="240" w:lineRule="auto"/>
              <w:rPr>
                <w:rFonts w:eastAsia="Times New Roman" w:cs="Calibri"/>
                <w:noProof/>
                <w:szCs w:val="18"/>
              </w:rPr>
            </w:pPr>
            <w:r>
              <w:rPr>
                <w:noProof/>
              </w:rPr>
              <w:t>Vstup v platnost zákona o vnitrostátním systému odborného vzdělávání a přípravy.</w:t>
            </w:r>
          </w:p>
        </w:tc>
      </w:tr>
      <w:tr w:rsidR="00515398" w14:paraId="17059DC2"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79FB3963" w14:textId="77777777" w:rsidR="00515398" w:rsidRDefault="006711E6">
            <w:pPr>
              <w:pStyle w:val="P68B1DB1-Normal9"/>
              <w:spacing w:after="0" w:line="240" w:lineRule="auto"/>
              <w:rPr>
                <w:rFonts w:eastAsia="Times New Roman" w:cs="Calibri"/>
                <w:noProof/>
                <w:szCs w:val="18"/>
              </w:rPr>
            </w:pPr>
            <w:r>
              <w:rPr>
                <w:noProof/>
              </w:rPr>
              <w:t>145b</w:t>
            </w:r>
          </w:p>
        </w:tc>
        <w:tc>
          <w:tcPr>
            <w:tcW w:w="1797" w:type="dxa"/>
            <w:tcBorders>
              <w:top w:val="single" w:sz="4" w:space="0" w:color="auto"/>
              <w:left w:val="nil"/>
              <w:bottom w:val="single" w:sz="4" w:space="0" w:color="auto"/>
              <w:right w:val="single" w:sz="4" w:space="0" w:color="auto"/>
            </w:tcBorders>
            <w:shd w:val="clear" w:color="auto" w:fill="C6EFCE"/>
            <w:noWrap/>
          </w:tcPr>
          <w:p w14:paraId="35D591B0" w14:textId="77777777" w:rsidR="00515398" w:rsidRDefault="006711E6">
            <w:pPr>
              <w:pStyle w:val="P68B1DB1-Normal9"/>
              <w:spacing w:after="0" w:line="240" w:lineRule="auto"/>
              <w:rPr>
                <w:rFonts w:eastAsia="Times New Roman"/>
                <w:noProof/>
                <w:szCs w:val="18"/>
              </w:rPr>
            </w:pPr>
            <w:r>
              <w:rPr>
                <w:noProof/>
              </w:rPr>
              <w:t xml:space="preserve">9–3.2. Vzdělávání, odborné vzdělávání a příprava a dovednosti – 16794_Posílení systému učňovské přípravy </w:t>
            </w:r>
          </w:p>
        </w:tc>
        <w:tc>
          <w:tcPr>
            <w:tcW w:w="1099" w:type="dxa"/>
            <w:tcBorders>
              <w:top w:val="single" w:sz="4" w:space="0" w:color="auto"/>
              <w:left w:val="nil"/>
              <w:bottom w:val="single" w:sz="4" w:space="0" w:color="auto"/>
              <w:right w:val="single" w:sz="4" w:space="0" w:color="auto"/>
            </w:tcBorders>
            <w:shd w:val="clear" w:color="auto" w:fill="C6EFCE"/>
            <w:noWrap/>
          </w:tcPr>
          <w:p w14:paraId="5D42D731"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single" w:sz="4" w:space="0" w:color="auto"/>
              <w:left w:val="nil"/>
              <w:bottom w:val="single" w:sz="4" w:space="0" w:color="auto"/>
              <w:right w:val="single" w:sz="4" w:space="0" w:color="auto"/>
            </w:tcBorders>
            <w:shd w:val="clear" w:color="auto" w:fill="C6EFCE"/>
            <w:noWrap/>
          </w:tcPr>
          <w:p w14:paraId="68464CDD" w14:textId="77777777" w:rsidR="00515398" w:rsidRDefault="006711E6">
            <w:pPr>
              <w:pStyle w:val="P68B1DB1-Normal9"/>
              <w:spacing w:after="0" w:line="240" w:lineRule="auto"/>
              <w:rPr>
                <w:rFonts w:eastAsia="Times New Roman" w:cs="Calibri"/>
                <w:noProof/>
                <w:szCs w:val="18"/>
              </w:rPr>
            </w:pPr>
            <w:r>
              <w:rPr>
                <w:noProof/>
              </w:rPr>
              <w:t xml:space="preserve">Kontrola kvality škol odborného vzdělávání a přípravy, reforma učebních osnov, infrastruktura odborného vzdělávání a přípravy a další projekty </w:t>
            </w:r>
            <w:r>
              <w:rPr>
                <w:noProof/>
              </w:rPr>
              <w:t xml:space="preserve">ze strany DYPA </w:t>
            </w:r>
          </w:p>
        </w:tc>
        <w:tc>
          <w:tcPr>
            <w:tcW w:w="1471" w:type="dxa"/>
            <w:tcBorders>
              <w:top w:val="single" w:sz="4" w:space="0" w:color="auto"/>
              <w:left w:val="nil"/>
              <w:bottom w:val="single" w:sz="4" w:space="0" w:color="auto"/>
              <w:right w:val="single" w:sz="4" w:space="0" w:color="auto"/>
            </w:tcBorders>
            <w:shd w:val="clear" w:color="auto" w:fill="C6EFCE"/>
            <w:noWrap/>
          </w:tcPr>
          <w:p w14:paraId="6BFFA0DC" w14:textId="77777777" w:rsidR="00515398" w:rsidRDefault="006711E6">
            <w:pPr>
              <w:pStyle w:val="P68B1DB1-Normal9"/>
              <w:spacing w:after="0" w:line="240" w:lineRule="auto"/>
              <w:rPr>
                <w:rFonts w:eastAsia="Times New Roman" w:cs="Calibri"/>
                <w:noProof/>
                <w:szCs w:val="18"/>
              </w:rPr>
            </w:pPr>
            <w:r>
              <w:rPr>
                <w:noProof/>
              </w:rPr>
              <w:t>Zpráva DYPA potvrzující dokončení projektů</w:t>
            </w:r>
          </w:p>
        </w:tc>
        <w:tc>
          <w:tcPr>
            <w:tcW w:w="1135" w:type="dxa"/>
            <w:tcBorders>
              <w:top w:val="single" w:sz="4" w:space="0" w:color="auto"/>
              <w:left w:val="nil"/>
              <w:bottom w:val="single" w:sz="4" w:space="0" w:color="auto"/>
              <w:right w:val="single" w:sz="4" w:space="0" w:color="auto"/>
            </w:tcBorders>
            <w:shd w:val="clear" w:color="auto" w:fill="C6EFCE"/>
            <w:noWrap/>
          </w:tcPr>
          <w:p w14:paraId="48CB0B50" w14:textId="77777777" w:rsidR="00515398" w:rsidRDefault="00515398">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307DCB6A" w14:textId="77777777" w:rsidR="00515398" w:rsidRDefault="00515398">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64F162B2"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B64218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6B6804B9" w14:textId="77777777" w:rsidR="00515398" w:rsidRDefault="006711E6">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108A19A2" w14:textId="77777777" w:rsidR="00515398" w:rsidRDefault="006711E6">
            <w:pPr>
              <w:pStyle w:val="P68B1DB1-paragraph26"/>
              <w:spacing w:before="0" w:beforeAutospacing="0" w:after="0" w:afterAutospacing="0"/>
              <w:textAlignment w:val="baseline"/>
              <w:rPr>
                <w:rFonts w:cs="Calibri"/>
                <w:noProof/>
                <w:szCs w:val="18"/>
              </w:rPr>
            </w:pPr>
            <w:r>
              <w:rPr>
                <w:noProof/>
              </w:rPr>
              <w:t xml:space="preserve">Dokončení těchto projektů:  1) Posouzení, přepracování a aktualizace stávajících osnov alespoň 34 programů odborné přípravy s cílem dále je sladit se skutečnými potřebami </w:t>
            </w:r>
            <w:r>
              <w:rPr>
                <w:noProof/>
              </w:rPr>
              <w:t>trhu práce;   </w:t>
            </w:r>
          </w:p>
          <w:p w14:paraId="1D060909" w14:textId="4CE0AFD6" w:rsidR="00515398" w:rsidRDefault="006711E6">
            <w:pPr>
              <w:pStyle w:val="P68B1DB1-paragraph26"/>
              <w:spacing w:before="0" w:beforeAutospacing="0" w:after="0" w:afterAutospacing="0"/>
              <w:rPr>
                <w:rFonts w:cs="Calibri"/>
                <w:noProof/>
                <w:szCs w:val="18"/>
              </w:rPr>
            </w:pPr>
            <w:r>
              <w:rPr>
                <w:noProof/>
              </w:rPr>
              <w:t>2) Obnova a modernizace infrastruktury odborného vzdělávání a přípravy (alespoň 210 laboratoří a jejich vybavení);   </w:t>
            </w:r>
          </w:p>
          <w:p w14:paraId="0B95660E" w14:textId="62C69283" w:rsidR="00515398" w:rsidRDefault="006711E6">
            <w:pPr>
              <w:pStyle w:val="P68B1DB1-paragraph26"/>
              <w:spacing w:before="0" w:beforeAutospacing="0" w:after="0" w:afterAutospacing="0"/>
              <w:rPr>
                <w:rFonts w:cs="Calibri"/>
                <w:noProof/>
                <w:szCs w:val="18"/>
              </w:rPr>
            </w:pPr>
            <w:r>
              <w:rPr>
                <w:noProof/>
              </w:rPr>
              <w:t>3) renovace nejméně 25 budov EPAS za účelem zlepšení energetické účinnosti a prostorové funkčnosti;   </w:t>
            </w:r>
          </w:p>
          <w:p w14:paraId="7D78DB02" w14:textId="77777777" w:rsidR="00515398" w:rsidRDefault="006711E6">
            <w:pPr>
              <w:pStyle w:val="P68B1DB1-paragraph26"/>
              <w:spacing w:before="0" w:beforeAutospacing="0" w:after="0" w:afterAutospacing="0"/>
              <w:rPr>
                <w:rFonts w:cs="Calibri"/>
                <w:noProof/>
                <w:szCs w:val="18"/>
              </w:rPr>
            </w:pPr>
            <w:r>
              <w:rPr>
                <w:noProof/>
              </w:rPr>
              <w:t>4) Začlenění technol</w:t>
            </w:r>
            <w:r>
              <w:rPr>
                <w:noProof/>
              </w:rPr>
              <w:t xml:space="preserve">ogie virtuální reality do modulů každodenního učení  </w:t>
            </w:r>
          </w:p>
          <w:p w14:paraId="2076D736" w14:textId="5E76F7C7" w:rsidR="00515398" w:rsidRDefault="006711E6">
            <w:pPr>
              <w:pStyle w:val="P68B1DB1-paragraph26"/>
              <w:spacing w:before="0" w:beforeAutospacing="0" w:after="0" w:afterAutospacing="0"/>
              <w:rPr>
                <w:rFonts w:cs="Calibri"/>
                <w:noProof/>
                <w:szCs w:val="18"/>
              </w:rPr>
            </w:pPr>
            <w:r>
              <w:rPr>
                <w:noProof/>
              </w:rPr>
              <w:t>5) zavedení rozsáhlého programu „školení školitelů“ pro pedagogické pracovníky DYPA (zahrnující nejméně 810 školitelů);</w:t>
            </w:r>
          </w:p>
          <w:p w14:paraId="0A2AF349" w14:textId="150C7286" w:rsidR="00515398" w:rsidRDefault="006711E6">
            <w:pPr>
              <w:pStyle w:val="P68B1DB1-paragraph26"/>
              <w:spacing w:before="0" w:beforeAutospacing="0" w:after="0" w:afterAutospacing="0"/>
              <w:rPr>
                <w:rFonts w:cs="Calibri"/>
                <w:noProof/>
                <w:szCs w:val="18"/>
              </w:rPr>
            </w:pPr>
            <w:r>
              <w:rPr>
                <w:noProof/>
              </w:rPr>
              <w:t>6) Zahájení/zavedení/zavedení komunikační kampaně na podporu systému učňovské příp</w:t>
            </w:r>
            <w:r>
              <w:rPr>
                <w:noProof/>
              </w:rPr>
              <w:t xml:space="preserve">ravy. </w:t>
            </w:r>
          </w:p>
          <w:p w14:paraId="2CC3E1A1" w14:textId="77777777" w:rsidR="00515398" w:rsidRDefault="00515398">
            <w:pPr>
              <w:pStyle w:val="paragraph"/>
              <w:spacing w:before="0" w:beforeAutospacing="0" w:after="0" w:afterAutospacing="0"/>
              <w:rPr>
                <w:rFonts w:ascii="Calibri" w:hAnsi="Calibri" w:cs="Calibri"/>
                <w:noProof/>
                <w:color w:val="006100"/>
                <w:sz w:val="18"/>
                <w:szCs w:val="18"/>
              </w:rPr>
            </w:pPr>
          </w:p>
          <w:p w14:paraId="71B3BA79" w14:textId="77777777" w:rsidR="00515398" w:rsidRDefault="006711E6">
            <w:pPr>
              <w:pStyle w:val="P68B1DB1-Normal10"/>
              <w:spacing w:after="0" w:line="240" w:lineRule="auto"/>
              <w:rPr>
                <w:rFonts w:eastAsia="Times New Roman" w:cs="Calibri"/>
                <w:noProof/>
              </w:rPr>
            </w:pPr>
            <w:r>
              <w:rPr>
                <w:noProof/>
              </w:rPr>
              <w:t>Dokončené stavební a renovační práce v rámci projektu 3 musí v průměru dosáhnout alespoň středně rozsáhlé renovace, jak je definována v doporučení Komise o renovaci budov (EU) 2019/786, nebo b) s cílem dosáhnout v průměru alespoň 30 % snížení přímý</w:t>
            </w:r>
            <w:r>
              <w:rPr>
                <w:noProof/>
              </w:rPr>
              <w:t>ch a nepřímých emisí skleníkových plynů ve srovnání s emisemi ex ante.</w:t>
            </w:r>
          </w:p>
        </w:tc>
      </w:tr>
      <w:tr w:rsidR="00515398" w14:paraId="3E76C072" w14:textId="77777777">
        <w:trPr>
          <w:trHeight w:val="309"/>
          <w:jc w:val="center"/>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14:paraId="4D81E13C" w14:textId="77777777" w:rsidR="00515398" w:rsidRDefault="006711E6">
            <w:pPr>
              <w:pStyle w:val="P68B1DB1-Normal10"/>
              <w:spacing w:after="0" w:line="240" w:lineRule="auto"/>
              <w:rPr>
                <w:rFonts w:eastAsia="Times New Roman" w:cs="Calibri"/>
                <w:noProof/>
              </w:rPr>
            </w:pPr>
            <w:r>
              <w:rPr>
                <w:noProof/>
              </w:rPr>
              <w:t>146</w:t>
            </w:r>
          </w:p>
        </w:tc>
        <w:tc>
          <w:tcPr>
            <w:tcW w:w="1797" w:type="dxa"/>
            <w:tcBorders>
              <w:top w:val="single" w:sz="4" w:space="0" w:color="auto"/>
              <w:left w:val="nil"/>
              <w:bottom w:val="single" w:sz="4" w:space="0" w:color="auto"/>
              <w:right w:val="single" w:sz="4" w:space="0" w:color="auto"/>
            </w:tcBorders>
            <w:shd w:val="clear" w:color="auto" w:fill="C6EFCE"/>
            <w:noWrap/>
          </w:tcPr>
          <w:p w14:paraId="0AAA98C3" w14:textId="77777777" w:rsidR="00515398" w:rsidRDefault="006711E6">
            <w:pPr>
              <w:pStyle w:val="P68B1DB1-Normal9"/>
              <w:spacing w:after="0" w:line="240" w:lineRule="auto"/>
              <w:rPr>
                <w:rFonts w:eastAsia="Times New Roman" w:cs="Calibri"/>
                <w:noProof/>
                <w:szCs w:val="18"/>
              </w:rPr>
            </w:pPr>
            <w:r>
              <w:rPr>
                <w:noProof/>
              </w:rPr>
              <w:t>9–3.2. Vzdělávání, odborné vzdělávání a příprava a dovednosti – 16792_Pracovní dovednosti, rekvalifikace a prohlubování dovedností prostřednictvím reformovaného</w:t>
            </w:r>
            <w:r>
              <w:rPr>
                <w:noProof/>
              </w:rPr>
              <w:t xml:space="preserve"> modelu odborné přípravy (reforma odborného vzdělávání a odborné přípravy)</w:t>
            </w:r>
          </w:p>
        </w:tc>
        <w:tc>
          <w:tcPr>
            <w:tcW w:w="1099" w:type="dxa"/>
            <w:tcBorders>
              <w:top w:val="single" w:sz="4" w:space="0" w:color="auto"/>
              <w:left w:val="nil"/>
              <w:bottom w:val="single" w:sz="4" w:space="0" w:color="auto"/>
              <w:right w:val="single" w:sz="4" w:space="0" w:color="auto"/>
            </w:tcBorders>
            <w:shd w:val="clear" w:color="auto" w:fill="C6EFCE"/>
            <w:noWrap/>
          </w:tcPr>
          <w:p w14:paraId="4DB31BC6" w14:textId="77777777" w:rsidR="00515398" w:rsidRDefault="006711E6">
            <w:pPr>
              <w:pStyle w:val="P68B1DB1-Normal9"/>
              <w:spacing w:after="0" w:line="240" w:lineRule="auto"/>
              <w:rPr>
                <w:rFonts w:eastAsia="Times New Roman" w:cs="Calibri"/>
                <w:noProof/>
                <w:szCs w:val="18"/>
              </w:rPr>
            </w:pPr>
            <w:r>
              <w:rPr>
                <w:noProof/>
              </w:rPr>
              <w:t>Milník</w:t>
            </w:r>
          </w:p>
        </w:tc>
        <w:tc>
          <w:tcPr>
            <w:tcW w:w="1365" w:type="dxa"/>
            <w:tcBorders>
              <w:top w:val="single" w:sz="4" w:space="0" w:color="auto"/>
              <w:left w:val="nil"/>
              <w:bottom w:val="single" w:sz="4" w:space="0" w:color="auto"/>
              <w:right w:val="single" w:sz="4" w:space="0" w:color="auto"/>
            </w:tcBorders>
            <w:shd w:val="clear" w:color="auto" w:fill="C6EFCE"/>
            <w:noWrap/>
          </w:tcPr>
          <w:p w14:paraId="6B3D57D7" w14:textId="77777777" w:rsidR="00515398" w:rsidRDefault="006711E6">
            <w:pPr>
              <w:pStyle w:val="P68B1DB1-Normal9"/>
              <w:spacing w:after="0" w:line="240" w:lineRule="auto"/>
              <w:rPr>
                <w:rFonts w:eastAsia="Times New Roman" w:cs="Calibri"/>
                <w:noProof/>
                <w:szCs w:val="18"/>
              </w:rPr>
            </w:pPr>
            <w:r>
              <w:rPr>
                <w:noProof/>
              </w:rPr>
              <w:t>Systém kontroly kvality odborného vzdělávání a přípravy,</w:t>
            </w:r>
          </w:p>
          <w:p w14:paraId="2B5FB5F0" w14:textId="77777777" w:rsidR="00515398" w:rsidRDefault="006711E6">
            <w:pPr>
              <w:pStyle w:val="P68B1DB1-Normal9"/>
              <w:spacing w:after="0" w:line="240" w:lineRule="auto"/>
              <w:rPr>
                <w:rFonts w:cs="Calibri"/>
                <w:noProof/>
                <w:szCs w:val="18"/>
              </w:rPr>
            </w:pPr>
            <w:r>
              <w:rPr>
                <w:noProof/>
              </w:rPr>
              <w:t>aktualizace modulů jednotek odborného vzdělávání veřejných služeb zaměstnanosti (DYPA),</w:t>
            </w:r>
          </w:p>
          <w:p w14:paraId="11D38225" w14:textId="77777777" w:rsidR="00515398" w:rsidRDefault="006711E6">
            <w:pPr>
              <w:pStyle w:val="P68B1DB1-Normal9"/>
              <w:spacing w:after="0" w:line="240" w:lineRule="auto"/>
              <w:rPr>
                <w:rFonts w:eastAsia="Times New Roman" w:cs="Calibri"/>
                <w:noProof/>
                <w:szCs w:val="18"/>
              </w:rPr>
            </w:pPr>
            <w:r>
              <w:rPr>
                <w:noProof/>
              </w:rPr>
              <w:t>digitální kurzy,</w:t>
            </w:r>
          </w:p>
          <w:p w14:paraId="7A3483A1" w14:textId="1AE27FF4" w:rsidR="00515398" w:rsidRDefault="006711E6">
            <w:pPr>
              <w:pStyle w:val="P68B1DB1-Normal9"/>
              <w:spacing w:after="0" w:line="240" w:lineRule="auto"/>
              <w:rPr>
                <w:rFonts w:cs="Calibri"/>
                <w:noProof/>
                <w:szCs w:val="18"/>
              </w:rPr>
            </w:pPr>
            <w:r>
              <w:rPr>
                <w:noProof/>
              </w:rPr>
              <w:t xml:space="preserve">dodávky </w:t>
            </w:r>
            <w:r>
              <w:rPr>
                <w:noProof/>
              </w:rPr>
              <w:t>vybavení 49 laboratoří, odvětvové vzdělávací programy</w:t>
            </w:r>
          </w:p>
          <w:p w14:paraId="4BAAAE8D" w14:textId="77777777" w:rsidR="00515398" w:rsidRDefault="006711E6">
            <w:pPr>
              <w:pStyle w:val="P68B1DB1-Normal9"/>
              <w:spacing w:after="0" w:line="240" w:lineRule="auto"/>
              <w:rPr>
                <w:rFonts w:eastAsia="Times New Roman" w:cs="Calibri"/>
                <w:noProof/>
                <w:szCs w:val="18"/>
              </w:rPr>
            </w:pPr>
            <w:r>
              <w:rPr>
                <w:noProof/>
              </w:rPr>
              <w:t>dokončení</w:t>
            </w:r>
          </w:p>
          <w:p w14:paraId="6DF722D3" w14:textId="77777777" w:rsidR="00515398" w:rsidRDefault="00515398">
            <w:pPr>
              <w:spacing w:after="0" w:line="240" w:lineRule="auto"/>
              <w:rPr>
                <w:rFonts w:eastAsia="Times New Roman" w:cs="Calibri"/>
                <w:noProof/>
                <w:color w:val="006100"/>
                <w:sz w:val="18"/>
                <w:szCs w:val="18"/>
              </w:rPr>
            </w:pPr>
          </w:p>
        </w:tc>
        <w:tc>
          <w:tcPr>
            <w:tcW w:w="1471" w:type="dxa"/>
            <w:tcBorders>
              <w:top w:val="single" w:sz="4" w:space="0" w:color="auto"/>
              <w:left w:val="nil"/>
              <w:bottom w:val="single" w:sz="4" w:space="0" w:color="auto"/>
              <w:right w:val="single" w:sz="4" w:space="0" w:color="auto"/>
            </w:tcBorders>
            <w:shd w:val="clear" w:color="auto" w:fill="C6EFCE"/>
            <w:noWrap/>
          </w:tcPr>
          <w:p w14:paraId="3CFFDD0F" w14:textId="1BBD7E94" w:rsidR="00515398" w:rsidRDefault="006711E6">
            <w:pPr>
              <w:pStyle w:val="P68B1DB1-Normal9"/>
              <w:spacing w:after="0" w:line="240" w:lineRule="auto"/>
              <w:rPr>
                <w:rFonts w:eastAsia="Times New Roman" w:cs="Calibri"/>
                <w:noProof/>
                <w:szCs w:val="18"/>
              </w:rPr>
            </w:pPr>
            <w:r>
              <w:rPr>
                <w:noProof/>
              </w:rPr>
              <w:t>Zpráva národní organizace práce potvrzující dokončení projektů a), b), c), d) a e)</w:t>
            </w:r>
          </w:p>
        </w:tc>
        <w:tc>
          <w:tcPr>
            <w:tcW w:w="1135" w:type="dxa"/>
            <w:tcBorders>
              <w:top w:val="single" w:sz="4" w:space="0" w:color="auto"/>
              <w:left w:val="nil"/>
              <w:bottom w:val="single" w:sz="4" w:space="0" w:color="auto"/>
              <w:right w:val="single" w:sz="4" w:space="0" w:color="auto"/>
            </w:tcBorders>
            <w:shd w:val="clear" w:color="auto" w:fill="C6EFCE"/>
            <w:noWrap/>
          </w:tcPr>
          <w:p w14:paraId="3ED04B36" w14:textId="77777777" w:rsidR="00515398" w:rsidRDefault="00515398">
            <w:pPr>
              <w:spacing w:after="0" w:line="240" w:lineRule="auto"/>
              <w:rPr>
                <w:rFonts w:eastAsia="Times New Roman" w:cs="Calibri"/>
                <w:noProof/>
                <w:color w:val="006100"/>
                <w:sz w:val="18"/>
                <w:szCs w:val="18"/>
              </w:rPr>
            </w:pPr>
          </w:p>
        </w:tc>
        <w:tc>
          <w:tcPr>
            <w:tcW w:w="924" w:type="dxa"/>
            <w:tcBorders>
              <w:top w:val="single" w:sz="4" w:space="0" w:color="auto"/>
              <w:left w:val="nil"/>
              <w:bottom w:val="single" w:sz="4" w:space="0" w:color="auto"/>
              <w:right w:val="single" w:sz="4" w:space="0" w:color="auto"/>
            </w:tcBorders>
            <w:shd w:val="clear" w:color="auto" w:fill="C6EFCE"/>
            <w:noWrap/>
          </w:tcPr>
          <w:p w14:paraId="57E22A63" w14:textId="77777777" w:rsidR="00515398" w:rsidRDefault="00515398">
            <w:pPr>
              <w:spacing w:after="0" w:line="240" w:lineRule="auto"/>
              <w:rPr>
                <w:rFonts w:eastAsia="Times New Roman" w:cs="Calibri"/>
                <w:noProof/>
                <w:color w:val="006100"/>
                <w:sz w:val="18"/>
                <w:szCs w:val="18"/>
              </w:rPr>
            </w:pPr>
          </w:p>
        </w:tc>
        <w:tc>
          <w:tcPr>
            <w:tcW w:w="896" w:type="dxa"/>
            <w:tcBorders>
              <w:top w:val="single" w:sz="4" w:space="0" w:color="auto"/>
              <w:left w:val="nil"/>
              <w:bottom w:val="single" w:sz="4" w:space="0" w:color="auto"/>
              <w:right w:val="single" w:sz="4" w:space="0" w:color="auto"/>
            </w:tcBorders>
            <w:shd w:val="clear" w:color="auto" w:fill="C6EFCE"/>
            <w:noWrap/>
          </w:tcPr>
          <w:p w14:paraId="1A80F4A7"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036789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24BD3577" w14:textId="77777777" w:rsidR="00515398" w:rsidRDefault="006711E6">
            <w:pPr>
              <w:pStyle w:val="P68B1DB1-Normal9"/>
              <w:spacing w:after="0" w:line="240" w:lineRule="auto"/>
              <w:rPr>
                <w:rFonts w:eastAsia="Times New Roman" w:cs="Calibri"/>
                <w:noProof/>
                <w:szCs w:val="18"/>
              </w:rPr>
            </w:pPr>
            <w:r>
              <w:rPr>
                <w:noProof/>
              </w:rPr>
              <w:t>2025</w:t>
            </w:r>
          </w:p>
        </w:tc>
        <w:tc>
          <w:tcPr>
            <w:tcW w:w="4156" w:type="dxa"/>
            <w:tcBorders>
              <w:top w:val="single" w:sz="4" w:space="0" w:color="auto"/>
              <w:left w:val="nil"/>
              <w:bottom w:val="single" w:sz="4" w:space="0" w:color="auto"/>
              <w:right w:val="single" w:sz="4" w:space="0" w:color="auto"/>
            </w:tcBorders>
            <w:shd w:val="clear" w:color="auto" w:fill="C6EFCE"/>
            <w:noWrap/>
          </w:tcPr>
          <w:p w14:paraId="09B8CC55" w14:textId="77777777" w:rsidR="00515398" w:rsidRDefault="006711E6">
            <w:pPr>
              <w:pStyle w:val="P68B1DB1-Normal9"/>
              <w:spacing w:after="0" w:line="240" w:lineRule="auto"/>
              <w:rPr>
                <w:rFonts w:eastAsia="Times New Roman" w:cs="Calibri"/>
                <w:noProof/>
                <w:szCs w:val="18"/>
              </w:rPr>
            </w:pPr>
            <w:r>
              <w:rPr>
                <w:noProof/>
              </w:rPr>
              <w:t xml:space="preserve">Dokončení těchto projektů: </w:t>
            </w:r>
          </w:p>
          <w:p w14:paraId="118391E7" w14:textId="77777777" w:rsidR="00515398" w:rsidRDefault="006711E6">
            <w:pPr>
              <w:pStyle w:val="P68B1DB1-Normal9"/>
              <w:spacing w:after="0" w:line="240" w:lineRule="auto"/>
              <w:rPr>
                <w:rFonts w:eastAsia="Times New Roman" w:cs="Calibri"/>
                <w:noProof/>
                <w:szCs w:val="18"/>
              </w:rPr>
            </w:pPr>
            <w:r>
              <w:rPr>
                <w:noProof/>
              </w:rPr>
              <w:t>a) Systém kontroly kvality odborného vzdělávání a přípra</w:t>
            </w:r>
            <w:r>
              <w:rPr>
                <w:noProof/>
              </w:rPr>
              <w:t>vy, jehož cílem je zlepšit kontrolu kvality jednotek odborného vzdělávání národní organizace práce (DYPA)</w:t>
            </w:r>
          </w:p>
          <w:p w14:paraId="7F810728" w14:textId="77777777" w:rsidR="00515398" w:rsidRDefault="006711E6">
            <w:pPr>
              <w:pStyle w:val="P68B1DB1-paragraph26"/>
              <w:spacing w:before="0" w:beforeAutospacing="0" w:after="0" w:afterAutospacing="0"/>
              <w:rPr>
                <w:rFonts w:eastAsia="Calibri" w:cs="Calibri"/>
                <w:noProof/>
                <w:szCs w:val="18"/>
              </w:rPr>
            </w:pPr>
            <w:r>
              <w:rPr>
                <w:noProof/>
              </w:rPr>
              <w:t>b) Dokončení aktualizace vzdělávacích modulů oddělení odborné přípravy veřejných služeb zaměstnanosti (DYPA) v rámci komplexní reformy aktivních polit</w:t>
            </w:r>
            <w:r>
              <w:rPr>
                <w:noProof/>
              </w:rPr>
              <w:t>ik DYPA na trhu práce.   </w:t>
            </w:r>
          </w:p>
          <w:p w14:paraId="13FC8B3C" w14:textId="77777777" w:rsidR="00515398" w:rsidRDefault="006711E6">
            <w:pPr>
              <w:pStyle w:val="P68B1DB1-paragraph26"/>
              <w:spacing w:before="0" w:beforeAutospacing="0" w:after="0" w:afterAutospacing="0"/>
              <w:rPr>
                <w:rFonts w:eastAsia="Calibri" w:cs="Calibri"/>
                <w:noProof/>
                <w:szCs w:val="18"/>
              </w:rPr>
            </w:pPr>
            <w:r>
              <w:rPr>
                <w:noProof/>
              </w:rPr>
              <w:t>C) Dokončení rozvoje digitálních kurzů </w:t>
            </w:r>
          </w:p>
          <w:p w14:paraId="5A764075" w14:textId="6A5D3765" w:rsidR="00515398" w:rsidRDefault="006711E6">
            <w:pPr>
              <w:pStyle w:val="P68B1DB1-paragraph27"/>
              <w:spacing w:before="0" w:beforeAutospacing="0" w:after="0" w:afterAutospacing="0"/>
              <w:rPr>
                <w:rFonts w:eastAsia="Calibri" w:cs="Calibri"/>
                <w:noProof/>
              </w:rPr>
            </w:pPr>
            <w:r>
              <w:rPr>
                <w:noProof/>
              </w:rPr>
              <w:t xml:space="preserve">d) Nákup souvisejícího vybavení pro laboratoře škol odborného vzdělávání a přípravy. </w:t>
            </w:r>
          </w:p>
          <w:p w14:paraId="0BE77A39" w14:textId="478BEE1D" w:rsidR="00515398" w:rsidRDefault="006711E6">
            <w:pPr>
              <w:pStyle w:val="P68B1DB1-paragraph26"/>
              <w:spacing w:before="0" w:beforeAutospacing="0" w:after="0" w:afterAutospacing="0"/>
              <w:rPr>
                <w:noProof/>
              </w:rPr>
            </w:pPr>
            <w:r>
              <w:rPr>
                <w:noProof/>
              </w:rPr>
              <w:t>e) Dokončení odvětvových programů odborné přípravy. </w:t>
            </w:r>
          </w:p>
          <w:p w14:paraId="1416819B" w14:textId="77777777" w:rsidR="00515398" w:rsidRDefault="00515398">
            <w:pPr>
              <w:spacing w:line="240" w:lineRule="auto"/>
              <w:rPr>
                <w:noProof/>
                <w:sz w:val="18"/>
                <w:szCs w:val="18"/>
              </w:rPr>
            </w:pPr>
          </w:p>
        </w:tc>
      </w:tr>
    </w:tbl>
    <w:p w14:paraId="6CC1A489" w14:textId="77777777" w:rsidR="00515398" w:rsidRDefault="00515398">
      <w:pPr>
        <w:rPr>
          <w:noProof/>
        </w:rPr>
      </w:pPr>
    </w:p>
    <w:p w14:paraId="5BD214C7" w14:textId="77777777" w:rsidR="00515398" w:rsidRDefault="00515398">
      <w:pPr>
        <w:rPr>
          <w:noProof/>
        </w:rPr>
      </w:pPr>
    </w:p>
    <w:p w14:paraId="2573FD9F" w14:textId="77777777" w:rsidR="00515398" w:rsidRDefault="006711E6">
      <w:pPr>
        <w:pStyle w:val="P68B1DB1-Normal6"/>
        <w:keepNext/>
        <w:keepLines/>
        <w:spacing w:before="240" w:line="240" w:lineRule="auto"/>
        <w:jc w:val="both"/>
        <w:outlineLvl w:val="4"/>
        <w:rPr>
          <w:rFonts w:eastAsia="Times New Roman"/>
          <w:noProof/>
        </w:rPr>
      </w:pPr>
      <w:r>
        <w:rPr>
          <w:noProof/>
        </w:rPr>
        <w:t xml:space="preserve">Skupina 12: Ministerstvo školství a </w:t>
      </w:r>
      <w:r>
        <w:rPr>
          <w:noProof/>
        </w:rPr>
        <w:t>náboženských záležitostí – reformy a investice</w:t>
      </w:r>
    </w:p>
    <w:p w14:paraId="6DD582BE" w14:textId="15231248" w:rsidR="00515398" w:rsidRDefault="006711E6">
      <w:pPr>
        <w:pStyle w:val="P68B1DB1-Normal4"/>
        <w:numPr>
          <w:ilvl w:val="0"/>
          <w:numId w:val="42"/>
        </w:numPr>
        <w:spacing w:before="120" w:after="0" w:line="240" w:lineRule="auto"/>
        <w:jc w:val="both"/>
        <w:rPr>
          <w:rFonts w:cs="Times New Roman"/>
          <w:noProof/>
        </w:rPr>
      </w:pPr>
      <w:r>
        <w:rPr>
          <w:noProof/>
        </w:rPr>
        <w:t xml:space="preserve">Zlepšování odborného vzdělávání a přípravy: Dodávky laboratorního vybavení pro laboratorní střediska pro SAEK, EPAL, školu pro učňovskou přípravu a odborné vzdělávání po ukončení středoškolského studia (ID: </w:t>
      </w:r>
      <w:r>
        <w:rPr>
          <w:noProof/>
        </w:rPr>
        <w:t>16933)</w:t>
      </w:r>
    </w:p>
    <w:p w14:paraId="3305A5E4" w14:textId="77777777" w:rsidR="00515398" w:rsidRDefault="006711E6">
      <w:pPr>
        <w:pStyle w:val="P68B1DB1-Normal4"/>
        <w:numPr>
          <w:ilvl w:val="0"/>
          <w:numId w:val="42"/>
        </w:numPr>
        <w:spacing w:before="120" w:after="0" w:line="240" w:lineRule="auto"/>
        <w:jc w:val="both"/>
        <w:rPr>
          <w:rFonts w:cs="Times New Roman"/>
          <w:noProof/>
        </w:rPr>
      </w:pPr>
      <w:r>
        <w:rPr>
          <w:noProof/>
        </w:rPr>
        <w:t>Zlepšování odborného vzdělávání a přípravy (ID: 16934)</w:t>
      </w:r>
    </w:p>
    <w:p w14:paraId="7AB9E0D5" w14:textId="77777777" w:rsidR="00515398" w:rsidRDefault="006711E6">
      <w:pPr>
        <w:pStyle w:val="P68B1DB1-Normal4"/>
        <w:numPr>
          <w:ilvl w:val="0"/>
          <w:numId w:val="42"/>
        </w:numPr>
        <w:spacing w:before="120" w:after="0" w:line="240" w:lineRule="auto"/>
        <w:jc w:val="both"/>
        <w:rPr>
          <w:rFonts w:cs="Times New Roman"/>
          <w:noProof/>
        </w:rPr>
      </w:pPr>
      <w:r>
        <w:rPr>
          <w:noProof/>
        </w:rPr>
        <w:t>Strategie pro excelenci na univerzitách a inovacích (ID: 16289)</w:t>
      </w:r>
    </w:p>
    <w:p w14:paraId="47F356BF" w14:textId="77777777" w:rsidR="00515398" w:rsidRDefault="006711E6">
      <w:pPr>
        <w:pStyle w:val="P68B1DB1-Normal4"/>
        <w:numPr>
          <w:ilvl w:val="0"/>
          <w:numId w:val="42"/>
        </w:numPr>
        <w:spacing w:before="120" w:after="120" w:line="240" w:lineRule="auto"/>
        <w:jc w:val="both"/>
        <w:rPr>
          <w:rFonts w:cs="Times New Roman"/>
          <w:noProof/>
        </w:rPr>
      </w:pPr>
      <w:r>
        <w:rPr>
          <w:noProof/>
        </w:rPr>
        <w:t>Digitální transformace vzdělávání (ID: 16676)</w:t>
      </w:r>
    </w:p>
    <w:tbl>
      <w:tblPr>
        <w:tblW w:w="15475" w:type="dxa"/>
        <w:tblInd w:w="113" w:type="dxa"/>
        <w:tblLook w:val="04A0" w:firstRow="1" w:lastRow="0" w:firstColumn="1" w:lastColumn="0" w:noHBand="0" w:noVBand="1"/>
      </w:tblPr>
      <w:tblGrid>
        <w:gridCol w:w="1129"/>
        <w:gridCol w:w="1560"/>
        <w:gridCol w:w="1424"/>
        <w:gridCol w:w="1586"/>
        <w:gridCol w:w="1713"/>
        <w:gridCol w:w="1348"/>
        <w:gridCol w:w="857"/>
        <w:gridCol w:w="771"/>
        <w:gridCol w:w="984"/>
        <w:gridCol w:w="720"/>
        <w:gridCol w:w="3710"/>
      </w:tblGrid>
      <w:tr w:rsidR="00515398" w14:paraId="712E0243" w14:textId="77777777">
        <w:trPr>
          <w:trHeight w:val="939"/>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53B188"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CE8792"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33CBBA"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1B5066"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E82ADF" w14:textId="77777777" w:rsidR="00515398" w:rsidRDefault="006711E6">
            <w:pPr>
              <w:pStyle w:val="P68B1DB1-Normal7"/>
              <w:spacing w:after="0" w:line="240" w:lineRule="auto"/>
              <w:jc w:val="center"/>
              <w:rPr>
                <w:rFonts w:eastAsia="Times New Roman" w:cs="Times New Roman"/>
                <w:bCs/>
                <w:noProof/>
                <w:szCs w:val="18"/>
              </w:rPr>
            </w:pPr>
            <w:r>
              <w:rPr>
                <w:noProof/>
              </w:rPr>
              <w:t>Kvalit</w:t>
            </w:r>
            <w:r>
              <w:rPr>
                <w:noProof/>
              </w:rPr>
              <w:t>ativní ukazatele (pro milníky)</w:t>
            </w:r>
          </w:p>
        </w:tc>
        <w:tc>
          <w:tcPr>
            <w:tcW w:w="27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1C1BAB3"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71" w:type="dxa"/>
            <w:gridSpan w:val="2"/>
            <w:tcBorders>
              <w:top w:val="single" w:sz="4" w:space="0" w:color="auto"/>
              <w:left w:val="nil"/>
              <w:bottom w:val="single" w:sz="4" w:space="0" w:color="auto"/>
              <w:right w:val="single" w:sz="4" w:space="0" w:color="auto"/>
            </w:tcBorders>
            <w:shd w:val="clear" w:color="auto" w:fill="BDD7EE"/>
            <w:vAlign w:val="center"/>
            <w:hideMark/>
          </w:tcPr>
          <w:p w14:paraId="30245173"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7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557C52"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p w14:paraId="768F43EE" w14:textId="77777777" w:rsidR="00515398" w:rsidRDefault="00515398">
            <w:pPr>
              <w:rPr>
                <w:rFonts w:ascii="Times New Roman" w:hAnsi="Times New Roman"/>
                <w:noProof/>
                <w:sz w:val="18"/>
              </w:rPr>
            </w:pPr>
          </w:p>
        </w:tc>
      </w:tr>
      <w:tr w:rsidR="00515398" w14:paraId="585D414C" w14:textId="77777777">
        <w:trPr>
          <w:trHeight w:val="574"/>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19A779" w14:textId="77777777" w:rsidR="00515398" w:rsidRDefault="00515398">
            <w:pPr>
              <w:spacing w:after="0" w:line="240" w:lineRule="auto"/>
              <w:rPr>
                <w:rFonts w:ascii="Times New Roman" w:eastAsia="Times New Roman" w:hAnsi="Times New Roman" w:cs="Times New Roman"/>
                <w:b/>
                <w:bCs/>
                <w:noProof/>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3A8C6C" w14:textId="77777777" w:rsidR="00515398" w:rsidRDefault="00515398">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D29DF4D" w14:textId="77777777" w:rsidR="00515398" w:rsidRDefault="00515398">
            <w:pPr>
              <w:spacing w:after="0" w:line="240" w:lineRule="auto"/>
              <w:rPr>
                <w:rFonts w:ascii="Times New Roman" w:eastAsia="Times New Roman" w:hAnsi="Times New Roman" w:cs="Times New Roman"/>
                <w:b/>
                <w:bCs/>
                <w:noProof/>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A688589" w14:textId="77777777" w:rsidR="00515398" w:rsidRDefault="00515398">
            <w:pPr>
              <w:spacing w:after="0" w:line="240" w:lineRule="auto"/>
              <w:rPr>
                <w:rFonts w:ascii="Times New Roman" w:eastAsia="Times New Roman" w:hAnsi="Times New Roman" w:cs="Times New Roman"/>
                <w:b/>
                <w:bCs/>
                <w:noProof/>
                <w:sz w:val="18"/>
                <w:szCs w:val="18"/>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06D79637" w14:textId="77777777" w:rsidR="00515398" w:rsidRDefault="00515398">
            <w:pPr>
              <w:spacing w:after="0" w:line="240" w:lineRule="auto"/>
              <w:rPr>
                <w:rFonts w:ascii="Times New Roman" w:eastAsia="Times New Roman" w:hAnsi="Times New Roman" w:cs="Times New Roman"/>
                <w:b/>
                <w:bCs/>
                <w:noProof/>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AA6D5C"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3230C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7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086DBC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0AB0B35"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CD9E045"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710" w:type="dxa"/>
            <w:vMerge/>
            <w:tcBorders>
              <w:top w:val="single" w:sz="4" w:space="0" w:color="auto"/>
              <w:bottom w:val="single" w:sz="4" w:space="0" w:color="auto"/>
              <w:right w:val="single" w:sz="4" w:space="0" w:color="auto"/>
            </w:tcBorders>
            <w:vAlign w:val="center"/>
            <w:hideMark/>
          </w:tcPr>
          <w:p w14:paraId="7D7DA62F"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003471B" w14:textId="77777777">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C9EF3ED" w14:textId="77777777" w:rsidR="00515398" w:rsidRDefault="006711E6">
            <w:pPr>
              <w:pStyle w:val="P68B1DB1-Normal10"/>
              <w:spacing w:after="0" w:line="240" w:lineRule="auto"/>
              <w:rPr>
                <w:rFonts w:eastAsia="Times New Roman" w:cs="Calibri"/>
                <w:noProof/>
              </w:rPr>
            </w:pPr>
            <w:r>
              <w:rPr>
                <w:noProof/>
              </w:rPr>
              <w:t>147</w:t>
            </w:r>
          </w:p>
        </w:tc>
        <w:tc>
          <w:tcPr>
            <w:tcW w:w="1560" w:type="dxa"/>
            <w:tcBorders>
              <w:top w:val="single" w:sz="4" w:space="0" w:color="auto"/>
              <w:left w:val="nil"/>
              <w:bottom w:val="single" w:sz="4" w:space="0" w:color="auto"/>
              <w:right w:val="single" w:sz="4" w:space="0" w:color="auto"/>
            </w:tcBorders>
            <w:shd w:val="clear" w:color="auto" w:fill="C6EFCE"/>
            <w:noWrap/>
          </w:tcPr>
          <w:p w14:paraId="4900937A" w14:textId="77777777" w:rsidR="00515398" w:rsidRDefault="006711E6">
            <w:pPr>
              <w:pStyle w:val="P68B1DB1-Normal9"/>
              <w:spacing w:after="0" w:line="240" w:lineRule="auto"/>
              <w:rPr>
                <w:rFonts w:eastAsia="Times New Roman" w:cs="Calibri"/>
                <w:noProof/>
                <w:szCs w:val="18"/>
              </w:rPr>
            </w:pPr>
            <w:r>
              <w:rPr>
                <w:noProof/>
              </w:rPr>
              <w:t xml:space="preserve">9–3.2. Vzdělávání, odborné vzdělávání a příprava a dovednosti </w:t>
            </w:r>
            <w:r>
              <w:rPr>
                <w:noProof/>
              </w:rPr>
              <w:t>– 16289_Strategie excelence na univerzitách a inovacích</w:t>
            </w:r>
          </w:p>
        </w:tc>
        <w:tc>
          <w:tcPr>
            <w:tcW w:w="1424" w:type="dxa"/>
            <w:tcBorders>
              <w:top w:val="single" w:sz="4" w:space="0" w:color="auto"/>
              <w:left w:val="nil"/>
              <w:bottom w:val="single" w:sz="4" w:space="0" w:color="auto"/>
              <w:right w:val="single" w:sz="4" w:space="0" w:color="auto"/>
            </w:tcBorders>
            <w:shd w:val="clear" w:color="auto" w:fill="C6EFCE"/>
            <w:noWrap/>
          </w:tcPr>
          <w:p w14:paraId="36269AFE" w14:textId="77777777" w:rsidR="00515398" w:rsidRDefault="006711E6">
            <w:pPr>
              <w:pStyle w:val="P68B1DB1-Normal9"/>
              <w:spacing w:after="0" w:line="240" w:lineRule="auto"/>
              <w:rPr>
                <w:rFonts w:eastAsia="Times New Roman" w:cs="Calibri"/>
                <w:noProof/>
                <w:szCs w:val="18"/>
              </w:rPr>
            </w:pPr>
            <w:r>
              <w:rPr>
                <w:noProof/>
              </w:rPr>
              <w:t>Milník</w:t>
            </w:r>
          </w:p>
        </w:tc>
        <w:tc>
          <w:tcPr>
            <w:tcW w:w="1586" w:type="dxa"/>
            <w:tcBorders>
              <w:top w:val="single" w:sz="4" w:space="0" w:color="auto"/>
              <w:left w:val="nil"/>
              <w:bottom w:val="single" w:sz="4" w:space="0" w:color="auto"/>
              <w:right w:val="single" w:sz="4" w:space="0" w:color="auto"/>
            </w:tcBorders>
            <w:shd w:val="clear" w:color="auto" w:fill="C6EFCE"/>
            <w:noWrap/>
          </w:tcPr>
          <w:p w14:paraId="0214DCCA" w14:textId="0A0CCB8D" w:rsidR="00515398" w:rsidRDefault="006711E6">
            <w:pPr>
              <w:pStyle w:val="P68B1DB1-Normal9"/>
              <w:spacing w:after="0" w:line="240" w:lineRule="auto"/>
              <w:rPr>
                <w:rFonts w:eastAsia="Times New Roman" w:cs="Calibri"/>
                <w:noProof/>
                <w:szCs w:val="18"/>
              </w:rPr>
            </w:pPr>
            <w:r>
              <w:rPr>
                <w:noProof/>
              </w:rPr>
              <w:t>Rozhodnutí o schválení univerzit excelence a klastrů excelence výzkumu</w:t>
            </w:r>
          </w:p>
        </w:tc>
        <w:tc>
          <w:tcPr>
            <w:tcW w:w="1713" w:type="dxa"/>
            <w:tcBorders>
              <w:top w:val="single" w:sz="4" w:space="0" w:color="auto"/>
              <w:left w:val="nil"/>
              <w:bottom w:val="single" w:sz="4" w:space="0" w:color="auto"/>
              <w:right w:val="single" w:sz="4" w:space="0" w:color="auto"/>
            </w:tcBorders>
            <w:shd w:val="clear" w:color="auto" w:fill="C6EFCE"/>
            <w:noWrap/>
          </w:tcPr>
          <w:p w14:paraId="7566F50A" w14:textId="27E9A4EF" w:rsidR="00515398" w:rsidRDefault="006711E6">
            <w:pPr>
              <w:spacing w:after="0" w:line="240" w:lineRule="auto"/>
              <w:rPr>
                <w:rFonts w:eastAsia="Times New Roman" w:cs="Calibri"/>
                <w:noProof/>
                <w:color w:val="006100"/>
                <w:sz w:val="18"/>
                <w:szCs w:val="18"/>
              </w:rPr>
            </w:pPr>
            <w:r>
              <w:rPr>
                <w:noProof/>
                <w:color w:val="006100"/>
                <w:sz w:val="18"/>
                <w:szCs w:val="18"/>
              </w:rPr>
              <w:t>Vydání rozhodnutí o schválení ministerstvem</w:t>
            </w:r>
            <w:r>
              <w:rPr>
                <w:noProof/>
              </w:rPr>
              <w:t xml:space="preserve"> </w:t>
            </w:r>
            <w:r>
              <w:rPr>
                <w:noProof/>
                <w:color w:val="006100"/>
                <w:sz w:val="18"/>
                <w:szCs w:val="18"/>
              </w:rPr>
              <w:t>školství, náboženských záležitostí a sportu</w:t>
            </w:r>
          </w:p>
        </w:tc>
        <w:tc>
          <w:tcPr>
            <w:tcW w:w="1154" w:type="dxa"/>
            <w:tcBorders>
              <w:top w:val="single" w:sz="4" w:space="0" w:color="auto"/>
              <w:left w:val="nil"/>
              <w:bottom w:val="single" w:sz="4" w:space="0" w:color="auto"/>
              <w:right w:val="single" w:sz="4" w:space="0" w:color="auto"/>
            </w:tcBorders>
            <w:shd w:val="clear" w:color="auto" w:fill="C6EFCE"/>
            <w:noWrap/>
          </w:tcPr>
          <w:p w14:paraId="09D381AA"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2221913" w14:textId="77777777" w:rsidR="00515398" w:rsidRDefault="00515398">
            <w:pPr>
              <w:spacing w:after="0" w:line="240" w:lineRule="auto"/>
              <w:rPr>
                <w:rFonts w:eastAsia="Times New Roman" w:cs="Calibri"/>
                <w:noProof/>
                <w:color w:val="006100"/>
                <w:sz w:val="18"/>
                <w:szCs w:val="18"/>
              </w:rPr>
            </w:pPr>
          </w:p>
        </w:tc>
        <w:tc>
          <w:tcPr>
            <w:tcW w:w="771" w:type="dxa"/>
            <w:tcBorders>
              <w:top w:val="single" w:sz="4" w:space="0" w:color="auto"/>
              <w:left w:val="nil"/>
              <w:bottom w:val="single" w:sz="4" w:space="0" w:color="auto"/>
              <w:right w:val="single" w:sz="4" w:space="0" w:color="auto"/>
            </w:tcBorders>
            <w:shd w:val="clear" w:color="auto" w:fill="C6EFCE"/>
            <w:noWrap/>
          </w:tcPr>
          <w:p w14:paraId="412897DD" w14:textId="77777777" w:rsidR="00515398" w:rsidRDefault="00515398">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4D56C85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tcBorders>
              <w:top w:val="single" w:sz="4" w:space="0" w:color="auto"/>
              <w:left w:val="nil"/>
              <w:bottom w:val="single" w:sz="4" w:space="0" w:color="auto"/>
              <w:right w:val="single" w:sz="4" w:space="0" w:color="auto"/>
            </w:tcBorders>
            <w:shd w:val="clear" w:color="auto" w:fill="C6EFCE"/>
            <w:noWrap/>
          </w:tcPr>
          <w:p w14:paraId="155056EC" w14:textId="77777777" w:rsidR="00515398" w:rsidRDefault="006711E6">
            <w:pPr>
              <w:pStyle w:val="P68B1DB1-Normal9"/>
              <w:spacing w:after="0" w:line="240" w:lineRule="auto"/>
              <w:rPr>
                <w:rFonts w:eastAsia="Times New Roman" w:cs="Calibri"/>
                <w:noProof/>
                <w:szCs w:val="18"/>
              </w:rPr>
            </w:pPr>
            <w:r>
              <w:rPr>
                <w:noProof/>
              </w:rPr>
              <w:t>2023</w:t>
            </w:r>
          </w:p>
        </w:tc>
        <w:tc>
          <w:tcPr>
            <w:tcW w:w="3710" w:type="dxa"/>
            <w:tcBorders>
              <w:top w:val="single" w:sz="4" w:space="0" w:color="auto"/>
              <w:left w:val="nil"/>
              <w:bottom w:val="single" w:sz="4" w:space="0" w:color="auto"/>
              <w:right w:val="single" w:sz="4" w:space="0" w:color="auto"/>
            </w:tcBorders>
            <w:shd w:val="clear" w:color="auto" w:fill="C6EFCE"/>
            <w:noWrap/>
          </w:tcPr>
          <w:p w14:paraId="462360BE" w14:textId="3CD467B4" w:rsidR="00515398" w:rsidRDefault="006711E6">
            <w:pPr>
              <w:pStyle w:val="P68B1DB1-Normal10"/>
              <w:spacing w:after="0" w:line="240" w:lineRule="auto"/>
              <w:rPr>
                <w:rFonts w:eastAsia="Times New Roman" w:cs="Calibri"/>
                <w:noProof/>
              </w:rPr>
            </w:pPr>
            <w:r>
              <w:rPr>
                <w:noProof/>
              </w:rPr>
              <w:t xml:space="preserve">Vydání </w:t>
            </w:r>
            <w:r>
              <w:rPr>
                <w:noProof/>
              </w:rPr>
              <w:t>rozhodnutí o schválení ministerstvem školství, náboženských záležitostí a sportu pro vybrané univerzity za účelem modernizace a zlepšení jejich výzkumné a vzdělávací infrastruktury (např. vybavení nebo výzkumné laboratoře), rozšíření do nových oblastí výzk</w:t>
            </w:r>
            <w:r>
              <w:rPr>
                <w:noProof/>
              </w:rPr>
              <w:t>umu a zlepšení nabízené odborné přípravy.</w:t>
            </w:r>
          </w:p>
          <w:p w14:paraId="56433E07" w14:textId="77777777" w:rsidR="00515398" w:rsidRDefault="00515398">
            <w:pPr>
              <w:spacing w:after="0" w:line="240" w:lineRule="auto"/>
              <w:rPr>
                <w:rFonts w:eastAsia="Times New Roman" w:cs="Calibri"/>
                <w:noProof/>
                <w:color w:val="006100"/>
                <w:sz w:val="18"/>
                <w:szCs w:val="18"/>
              </w:rPr>
            </w:pPr>
          </w:p>
          <w:p w14:paraId="6CAF66AF" w14:textId="2942E468" w:rsidR="00515398" w:rsidRDefault="006711E6">
            <w:pPr>
              <w:pStyle w:val="P68B1DB1-Normal9"/>
              <w:spacing w:after="0" w:line="240" w:lineRule="auto"/>
              <w:rPr>
                <w:rFonts w:eastAsia="Times New Roman" w:cs="Calibri"/>
                <w:noProof/>
                <w:szCs w:val="18"/>
              </w:rPr>
            </w:pPr>
            <w:r>
              <w:rPr>
                <w:noProof/>
              </w:rPr>
              <w:t xml:space="preserve">Vydání rozhodnutí </w:t>
            </w:r>
            <w:r>
              <w:rPr>
                <w:noProof/>
                <w:szCs w:val="18"/>
              </w:rPr>
              <w:t xml:space="preserve">ministerstva školství, náboženských záležitostí a sportu o </w:t>
            </w:r>
            <w:r>
              <w:rPr>
                <w:noProof/>
              </w:rPr>
              <w:t>schválení 70 výzkumných projektů založených na spolupráci mezi univerzitami a soukromým sektorem v rámci iniciativy klastrů excelence vý</w:t>
            </w:r>
            <w:r>
              <w:rPr>
                <w:noProof/>
              </w:rPr>
              <w:t>zkumu.</w:t>
            </w:r>
          </w:p>
        </w:tc>
      </w:tr>
      <w:tr w:rsidR="00515398" w14:paraId="65DBA76F"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38CB9048" w14:textId="77777777" w:rsidR="00515398" w:rsidRDefault="006711E6">
            <w:pPr>
              <w:pStyle w:val="P68B1DB1-Normal9"/>
              <w:spacing w:after="0" w:line="240" w:lineRule="auto"/>
              <w:rPr>
                <w:rFonts w:eastAsia="Times New Roman" w:cs="Calibri"/>
                <w:noProof/>
                <w:szCs w:val="18"/>
              </w:rPr>
            </w:pPr>
            <w:r>
              <w:rPr>
                <w:noProof/>
              </w:rPr>
              <w:t>148</w:t>
            </w:r>
          </w:p>
        </w:tc>
        <w:tc>
          <w:tcPr>
            <w:tcW w:w="1560" w:type="dxa"/>
            <w:tcBorders>
              <w:top w:val="nil"/>
              <w:left w:val="nil"/>
              <w:bottom w:val="single" w:sz="4" w:space="0" w:color="auto"/>
              <w:right w:val="single" w:sz="4" w:space="0" w:color="auto"/>
            </w:tcBorders>
            <w:shd w:val="clear" w:color="auto" w:fill="C6EFCE"/>
            <w:noWrap/>
          </w:tcPr>
          <w:p w14:paraId="746AD9D8" w14:textId="77777777" w:rsidR="00515398" w:rsidRDefault="006711E6">
            <w:pPr>
              <w:pStyle w:val="P68B1DB1-Normal9"/>
              <w:spacing w:after="0" w:line="240" w:lineRule="auto"/>
              <w:rPr>
                <w:rFonts w:eastAsia="Times New Roman" w:cs="Calibri"/>
                <w:noProof/>
                <w:szCs w:val="18"/>
              </w:rPr>
            </w:pPr>
            <w:r>
              <w:rPr>
                <w:noProof/>
              </w:rPr>
              <w:t>9–3.2. Vzdělávání, odborné vzdělávání a příprava a dovednosti – 16676_Digitální transformace vzdělávání</w:t>
            </w:r>
          </w:p>
        </w:tc>
        <w:tc>
          <w:tcPr>
            <w:tcW w:w="1424" w:type="dxa"/>
            <w:tcBorders>
              <w:top w:val="nil"/>
              <w:left w:val="nil"/>
              <w:bottom w:val="single" w:sz="4" w:space="0" w:color="auto"/>
              <w:right w:val="single" w:sz="4" w:space="0" w:color="auto"/>
            </w:tcBorders>
            <w:shd w:val="clear" w:color="auto" w:fill="C6EFCE"/>
            <w:noWrap/>
          </w:tcPr>
          <w:p w14:paraId="42341C72" w14:textId="77777777" w:rsidR="00515398" w:rsidRDefault="006711E6">
            <w:pPr>
              <w:pStyle w:val="P68B1DB1-Normal9"/>
              <w:spacing w:after="0" w:line="240" w:lineRule="auto"/>
              <w:rPr>
                <w:rFonts w:eastAsia="Times New Roman" w:cs="Calibri"/>
                <w:noProof/>
                <w:szCs w:val="18"/>
              </w:rPr>
            </w:pPr>
            <w:r>
              <w:rPr>
                <w:noProof/>
              </w:rPr>
              <w:t>Cílová</w:t>
            </w:r>
          </w:p>
        </w:tc>
        <w:tc>
          <w:tcPr>
            <w:tcW w:w="1586" w:type="dxa"/>
            <w:tcBorders>
              <w:top w:val="nil"/>
              <w:left w:val="nil"/>
              <w:bottom w:val="single" w:sz="4" w:space="0" w:color="auto"/>
              <w:right w:val="single" w:sz="4" w:space="0" w:color="auto"/>
            </w:tcBorders>
            <w:shd w:val="clear" w:color="auto" w:fill="C6EFCE"/>
            <w:noWrap/>
          </w:tcPr>
          <w:p w14:paraId="64340752" w14:textId="77777777" w:rsidR="00515398" w:rsidRDefault="006711E6">
            <w:pPr>
              <w:pStyle w:val="P68B1DB1-Normal9"/>
              <w:spacing w:after="0" w:line="240" w:lineRule="auto"/>
              <w:rPr>
                <w:rFonts w:eastAsia="Times New Roman" w:cs="Calibri"/>
                <w:noProof/>
                <w:szCs w:val="18"/>
              </w:rPr>
            </w:pPr>
            <w:r>
              <w:rPr>
                <w:noProof/>
              </w:rPr>
              <w:t>Dokončení instalace interaktivních systémů</w:t>
            </w:r>
          </w:p>
        </w:tc>
        <w:tc>
          <w:tcPr>
            <w:tcW w:w="1713" w:type="dxa"/>
            <w:tcBorders>
              <w:top w:val="nil"/>
              <w:left w:val="nil"/>
              <w:bottom w:val="single" w:sz="4" w:space="0" w:color="auto"/>
              <w:right w:val="single" w:sz="4" w:space="0" w:color="auto"/>
            </w:tcBorders>
            <w:shd w:val="clear" w:color="auto" w:fill="C6EFCE"/>
            <w:noWrap/>
          </w:tcPr>
          <w:p w14:paraId="3B09C0B0" w14:textId="77777777" w:rsidR="00515398" w:rsidRDefault="00515398">
            <w:pPr>
              <w:spacing w:after="0" w:line="240" w:lineRule="auto"/>
              <w:rPr>
                <w:rFonts w:eastAsia="Times New Roman" w:cs="Calibri"/>
                <w:noProof/>
                <w:color w:val="006100"/>
                <w:sz w:val="18"/>
                <w:szCs w:val="18"/>
              </w:rPr>
            </w:pPr>
          </w:p>
        </w:tc>
        <w:tc>
          <w:tcPr>
            <w:tcW w:w="1154" w:type="dxa"/>
            <w:tcBorders>
              <w:top w:val="nil"/>
              <w:left w:val="nil"/>
              <w:bottom w:val="single" w:sz="4" w:space="0" w:color="auto"/>
              <w:right w:val="single" w:sz="4" w:space="0" w:color="auto"/>
            </w:tcBorders>
            <w:shd w:val="clear" w:color="auto" w:fill="C6EFCE"/>
            <w:noWrap/>
          </w:tcPr>
          <w:p w14:paraId="0031E8FF" w14:textId="77777777" w:rsidR="00515398" w:rsidRDefault="006711E6">
            <w:pPr>
              <w:pStyle w:val="P68B1DB1-Normal9"/>
              <w:spacing w:after="0" w:line="240" w:lineRule="auto"/>
              <w:rPr>
                <w:rFonts w:eastAsia="Times New Roman" w:cs="Calibri"/>
                <w:noProof/>
                <w:szCs w:val="18"/>
              </w:rPr>
            </w:pPr>
            <w:r>
              <w:rPr>
                <w:noProof/>
              </w:rPr>
              <w:t>Počet instalovaných interaktivních vzdělávacích systémů</w:t>
            </w:r>
          </w:p>
        </w:tc>
        <w:tc>
          <w:tcPr>
            <w:tcW w:w="857" w:type="dxa"/>
            <w:tcBorders>
              <w:top w:val="nil"/>
              <w:left w:val="nil"/>
              <w:bottom w:val="single" w:sz="4" w:space="0" w:color="auto"/>
              <w:right w:val="single" w:sz="4" w:space="0" w:color="auto"/>
            </w:tcBorders>
            <w:shd w:val="clear" w:color="auto" w:fill="C6EFCE"/>
            <w:noWrap/>
          </w:tcPr>
          <w:p w14:paraId="15C435F0" w14:textId="77777777" w:rsidR="00515398" w:rsidRDefault="006711E6">
            <w:pPr>
              <w:pStyle w:val="P68B1DB1-Normal9"/>
              <w:spacing w:after="0" w:line="240" w:lineRule="auto"/>
              <w:rPr>
                <w:rFonts w:eastAsia="Times New Roman" w:cs="Calibri"/>
                <w:noProof/>
                <w:szCs w:val="18"/>
              </w:rPr>
            </w:pPr>
            <w:r>
              <w:rPr>
                <w:noProof/>
              </w:rPr>
              <w:t>0</w:t>
            </w:r>
          </w:p>
        </w:tc>
        <w:tc>
          <w:tcPr>
            <w:tcW w:w="771" w:type="dxa"/>
            <w:tcBorders>
              <w:top w:val="nil"/>
              <w:left w:val="nil"/>
              <w:bottom w:val="single" w:sz="4" w:space="0" w:color="auto"/>
              <w:right w:val="single" w:sz="4" w:space="0" w:color="auto"/>
            </w:tcBorders>
            <w:shd w:val="clear" w:color="auto" w:fill="C6EFCE"/>
            <w:noWrap/>
          </w:tcPr>
          <w:p w14:paraId="2355ED9D" w14:textId="77777777" w:rsidR="00515398" w:rsidRDefault="006711E6">
            <w:pPr>
              <w:pStyle w:val="P68B1DB1-Normal9"/>
              <w:spacing w:after="0" w:line="240" w:lineRule="auto"/>
              <w:rPr>
                <w:rFonts w:eastAsia="Times New Roman" w:cs="Calibri"/>
                <w:noProof/>
                <w:szCs w:val="18"/>
              </w:rPr>
            </w:pPr>
            <w:r>
              <w:rPr>
                <w:noProof/>
              </w:rPr>
              <w:t>36 000</w:t>
            </w:r>
          </w:p>
        </w:tc>
        <w:tc>
          <w:tcPr>
            <w:tcW w:w="851" w:type="dxa"/>
            <w:tcBorders>
              <w:top w:val="nil"/>
              <w:left w:val="nil"/>
              <w:bottom w:val="single" w:sz="4" w:space="0" w:color="auto"/>
              <w:right w:val="single" w:sz="4" w:space="0" w:color="auto"/>
            </w:tcBorders>
            <w:shd w:val="clear" w:color="auto" w:fill="C6EFCE"/>
            <w:noWrap/>
          </w:tcPr>
          <w:p w14:paraId="32897570" w14:textId="7D811FE8" w:rsidR="00515398" w:rsidRDefault="006711E6">
            <w:pPr>
              <w:pStyle w:val="P68B1DB1-Normal9"/>
              <w:spacing w:after="0" w:line="240" w:lineRule="auto"/>
              <w:rPr>
                <w:rFonts w:eastAsia="Times New Roman" w:cs="Calibri"/>
                <w:noProof/>
                <w:szCs w:val="18"/>
              </w:rPr>
            </w:pPr>
            <w:r>
              <w:rPr>
                <w:noProof/>
              </w:rPr>
              <w:t>ČTVRTLETÍ</w:t>
            </w:r>
          </w:p>
        </w:tc>
        <w:tc>
          <w:tcPr>
            <w:tcW w:w="720" w:type="dxa"/>
            <w:tcBorders>
              <w:top w:val="nil"/>
              <w:left w:val="nil"/>
              <w:bottom w:val="single" w:sz="4" w:space="0" w:color="auto"/>
              <w:right w:val="single" w:sz="4" w:space="0" w:color="auto"/>
            </w:tcBorders>
            <w:shd w:val="clear" w:color="auto" w:fill="C6EFCE"/>
            <w:noWrap/>
          </w:tcPr>
          <w:p w14:paraId="5E6B07BA" w14:textId="77777777" w:rsidR="00515398" w:rsidRDefault="006711E6">
            <w:pPr>
              <w:pStyle w:val="P68B1DB1-Normal9"/>
              <w:spacing w:after="0" w:line="240" w:lineRule="auto"/>
              <w:rPr>
                <w:rFonts w:eastAsia="Times New Roman" w:cs="Calibri"/>
                <w:noProof/>
                <w:szCs w:val="18"/>
              </w:rPr>
            </w:pPr>
            <w:r>
              <w:rPr>
                <w:noProof/>
              </w:rPr>
              <w:t>2024</w:t>
            </w:r>
          </w:p>
        </w:tc>
        <w:tc>
          <w:tcPr>
            <w:tcW w:w="3710" w:type="dxa"/>
            <w:tcBorders>
              <w:top w:val="nil"/>
              <w:left w:val="nil"/>
              <w:bottom w:val="single" w:sz="4" w:space="0" w:color="auto"/>
              <w:right w:val="single" w:sz="4" w:space="0" w:color="auto"/>
            </w:tcBorders>
            <w:shd w:val="clear" w:color="auto" w:fill="C6EFCE"/>
            <w:noWrap/>
          </w:tcPr>
          <w:p w14:paraId="4B1453B2" w14:textId="7903BC80" w:rsidR="00515398" w:rsidRDefault="006711E6">
            <w:pPr>
              <w:pStyle w:val="P68B1DB1-Normal9"/>
              <w:spacing w:after="0" w:line="240" w:lineRule="auto"/>
              <w:rPr>
                <w:rFonts w:eastAsia="Times New Roman" w:cs="Calibri"/>
                <w:noProof/>
                <w:szCs w:val="18"/>
              </w:rPr>
            </w:pPr>
            <w:r>
              <w:rPr>
                <w:noProof/>
              </w:rPr>
              <w:t>Instalace</w:t>
            </w:r>
            <w:r>
              <w:rPr>
                <w:noProof/>
              </w:rPr>
              <w:t xml:space="preserve"> nejméně 36000 interaktivních vzdělávacích systémů pro třídy základních a středních škol</w:t>
            </w:r>
          </w:p>
        </w:tc>
      </w:tr>
      <w:tr w:rsidR="00515398" w14:paraId="570BE653"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36B32A03" w14:textId="77777777" w:rsidR="00515398" w:rsidRDefault="006711E6">
            <w:pPr>
              <w:pStyle w:val="P68B1DB1-Normal9"/>
              <w:spacing w:after="0" w:line="240" w:lineRule="auto"/>
              <w:rPr>
                <w:rFonts w:eastAsia="Times New Roman" w:cs="Calibri"/>
                <w:noProof/>
                <w:szCs w:val="18"/>
              </w:rPr>
            </w:pPr>
            <w:r>
              <w:rPr>
                <w:noProof/>
              </w:rPr>
              <w:t>148a</w:t>
            </w:r>
          </w:p>
        </w:tc>
        <w:tc>
          <w:tcPr>
            <w:tcW w:w="1560" w:type="dxa"/>
            <w:tcBorders>
              <w:top w:val="nil"/>
              <w:left w:val="nil"/>
              <w:bottom w:val="single" w:sz="4" w:space="0" w:color="auto"/>
              <w:right w:val="single" w:sz="4" w:space="0" w:color="auto"/>
            </w:tcBorders>
            <w:shd w:val="clear" w:color="auto" w:fill="C6EFCE"/>
            <w:noWrap/>
          </w:tcPr>
          <w:p w14:paraId="125F8305" w14:textId="77777777" w:rsidR="00515398" w:rsidRDefault="006711E6">
            <w:pPr>
              <w:pStyle w:val="P68B1DB1-Normal9"/>
              <w:spacing w:after="0" w:line="240" w:lineRule="auto"/>
              <w:rPr>
                <w:rFonts w:eastAsia="Times New Roman" w:cs="Calibri"/>
                <w:noProof/>
                <w:szCs w:val="18"/>
              </w:rPr>
            </w:pPr>
            <w:r>
              <w:rPr>
                <w:noProof/>
              </w:rPr>
              <w:t>9–3.2. Vzdělávání, odborné vzdělávání a příprava a dovednosti – 16676_Digitální transformace vzdělávání</w:t>
            </w:r>
          </w:p>
        </w:tc>
        <w:tc>
          <w:tcPr>
            <w:tcW w:w="1424" w:type="dxa"/>
            <w:tcBorders>
              <w:top w:val="nil"/>
              <w:left w:val="nil"/>
              <w:bottom w:val="single" w:sz="4" w:space="0" w:color="auto"/>
              <w:right w:val="single" w:sz="4" w:space="0" w:color="auto"/>
            </w:tcBorders>
            <w:shd w:val="clear" w:color="auto" w:fill="C6EFCE"/>
            <w:noWrap/>
          </w:tcPr>
          <w:p w14:paraId="753206B1" w14:textId="77777777" w:rsidR="00515398" w:rsidRDefault="006711E6">
            <w:pPr>
              <w:pStyle w:val="P68B1DB1-Normal9"/>
              <w:spacing w:after="0" w:line="240" w:lineRule="auto"/>
              <w:rPr>
                <w:rFonts w:eastAsia="Times New Roman" w:cs="Calibri"/>
                <w:noProof/>
                <w:szCs w:val="18"/>
              </w:rPr>
            </w:pPr>
            <w:r>
              <w:rPr>
                <w:noProof/>
              </w:rPr>
              <w:t>Milník</w:t>
            </w:r>
          </w:p>
        </w:tc>
        <w:tc>
          <w:tcPr>
            <w:tcW w:w="1586" w:type="dxa"/>
            <w:tcBorders>
              <w:top w:val="nil"/>
              <w:left w:val="nil"/>
              <w:bottom w:val="single" w:sz="4" w:space="0" w:color="auto"/>
              <w:right w:val="single" w:sz="4" w:space="0" w:color="auto"/>
            </w:tcBorders>
            <w:shd w:val="clear" w:color="auto" w:fill="C6EFCE"/>
            <w:noWrap/>
          </w:tcPr>
          <w:p w14:paraId="1B37B721" w14:textId="77777777" w:rsidR="00515398" w:rsidRDefault="006711E6">
            <w:pPr>
              <w:pStyle w:val="P68B1DB1-Normal9"/>
              <w:spacing w:after="0" w:line="240" w:lineRule="auto"/>
              <w:rPr>
                <w:rFonts w:eastAsia="Times New Roman" w:cs="Calibri"/>
                <w:noProof/>
                <w:szCs w:val="18"/>
              </w:rPr>
            </w:pPr>
            <w:r>
              <w:rPr>
                <w:noProof/>
              </w:rPr>
              <w:t xml:space="preserve">Strategie aktualizace učebních osnov, </w:t>
            </w:r>
            <w:r>
              <w:rPr>
                <w:noProof/>
              </w:rPr>
              <w:t>racionalizace služeb a monitorování výsledků vzdělávání</w:t>
            </w:r>
          </w:p>
        </w:tc>
        <w:tc>
          <w:tcPr>
            <w:tcW w:w="1713" w:type="dxa"/>
            <w:tcBorders>
              <w:top w:val="nil"/>
              <w:left w:val="nil"/>
              <w:bottom w:val="single" w:sz="4" w:space="0" w:color="auto"/>
              <w:right w:val="single" w:sz="4" w:space="0" w:color="auto"/>
            </w:tcBorders>
            <w:shd w:val="clear" w:color="auto" w:fill="C6EFCE"/>
            <w:noWrap/>
          </w:tcPr>
          <w:p w14:paraId="43792629" w14:textId="77777777" w:rsidR="00515398" w:rsidRDefault="006711E6">
            <w:pPr>
              <w:pStyle w:val="P68B1DB1-Normal9"/>
              <w:spacing w:after="0" w:line="240" w:lineRule="auto"/>
              <w:rPr>
                <w:rFonts w:eastAsia="Times New Roman" w:cs="Calibri"/>
                <w:noProof/>
                <w:szCs w:val="18"/>
              </w:rPr>
            </w:pPr>
            <w:r>
              <w:rPr>
                <w:noProof/>
              </w:rPr>
              <w:t>Zveřejnění komplexní reformní strategie pro aktualizaci učebních osnov, racionalizaci služeb a sledování výsledků vzdělávání</w:t>
            </w:r>
          </w:p>
        </w:tc>
        <w:tc>
          <w:tcPr>
            <w:tcW w:w="1154" w:type="dxa"/>
            <w:tcBorders>
              <w:top w:val="nil"/>
              <w:left w:val="nil"/>
              <w:bottom w:val="single" w:sz="4" w:space="0" w:color="auto"/>
              <w:right w:val="single" w:sz="4" w:space="0" w:color="auto"/>
            </w:tcBorders>
            <w:shd w:val="clear" w:color="auto" w:fill="C6EFCE"/>
            <w:noWrap/>
          </w:tcPr>
          <w:p w14:paraId="19B9BD14"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5975500" w14:textId="77777777" w:rsidR="00515398" w:rsidRDefault="00515398">
            <w:pPr>
              <w:spacing w:after="0" w:line="240" w:lineRule="auto"/>
              <w:rPr>
                <w:rFonts w:eastAsia="Times New Roman" w:cs="Calibri"/>
                <w:noProof/>
                <w:color w:val="006100"/>
                <w:sz w:val="18"/>
                <w:szCs w:val="18"/>
              </w:rPr>
            </w:pPr>
          </w:p>
        </w:tc>
        <w:tc>
          <w:tcPr>
            <w:tcW w:w="771" w:type="dxa"/>
            <w:tcBorders>
              <w:top w:val="nil"/>
              <w:left w:val="nil"/>
              <w:bottom w:val="single" w:sz="4" w:space="0" w:color="auto"/>
              <w:right w:val="single" w:sz="4" w:space="0" w:color="auto"/>
            </w:tcBorders>
            <w:shd w:val="clear" w:color="auto" w:fill="C6EFCE"/>
            <w:noWrap/>
          </w:tcPr>
          <w:p w14:paraId="19A4A556"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5C67A0E4" w14:textId="77777777" w:rsidR="00515398" w:rsidRDefault="006711E6">
            <w:pPr>
              <w:pStyle w:val="P68B1DB1-Normal9"/>
              <w:spacing w:after="0" w:line="240" w:lineRule="auto"/>
              <w:rPr>
                <w:rFonts w:eastAsia="Times New Roman" w:cs="Calibri"/>
                <w:noProof/>
                <w:szCs w:val="18"/>
              </w:rPr>
            </w:pPr>
            <w:r>
              <w:rPr>
                <w:noProof/>
              </w:rPr>
              <w:t>ČTVRTLETÍ</w:t>
            </w:r>
          </w:p>
        </w:tc>
        <w:tc>
          <w:tcPr>
            <w:tcW w:w="720" w:type="dxa"/>
            <w:tcBorders>
              <w:top w:val="nil"/>
              <w:left w:val="nil"/>
              <w:bottom w:val="single" w:sz="4" w:space="0" w:color="auto"/>
              <w:right w:val="single" w:sz="4" w:space="0" w:color="auto"/>
            </w:tcBorders>
            <w:shd w:val="clear" w:color="auto" w:fill="C6EFCE"/>
            <w:noWrap/>
          </w:tcPr>
          <w:p w14:paraId="0E944411" w14:textId="77777777" w:rsidR="00515398" w:rsidRDefault="006711E6">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6903EF9A" w14:textId="77777777" w:rsidR="00515398" w:rsidRDefault="006711E6">
            <w:pPr>
              <w:spacing w:after="0" w:line="240" w:lineRule="auto"/>
              <w:rPr>
                <w:rFonts w:eastAsia="Times New Roman" w:cs="Calibri"/>
                <w:noProof/>
                <w:color w:val="006100"/>
                <w:sz w:val="18"/>
                <w:szCs w:val="18"/>
              </w:rPr>
            </w:pPr>
            <w:r>
              <w:rPr>
                <w:noProof/>
                <w:color w:val="006100"/>
                <w:sz w:val="18"/>
              </w:rPr>
              <w:t xml:space="preserve">Vypracování komplexní reformní strategie pro aktualizaci </w:t>
            </w:r>
            <w:r>
              <w:rPr>
                <w:noProof/>
                <w:color w:val="006100"/>
                <w:sz w:val="18"/>
              </w:rPr>
              <w:t>učebních osnov, racionalizaci služeb a sledování výsledků vzdělávání.</w:t>
            </w:r>
            <w:r>
              <w:rPr>
                <w:rStyle w:val="eop"/>
                <w:noProof/>
                <w:color w:val="D13438"/>
                <w:sz w:val="20"/>
              </w:rPr>
              <w:t xml:space="preserve"> </w:t>
            </w:r>
          </w:p>
        </w:tc>
      </w:tr>
      <w:tr w:rsidR="00515398" w14:paraId="5A13E28B"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7E8FCFE5" w14:textId="77777777" w:rsidR="00515398" w:rsidRDefault="006711E6">
            <w:pPr>
              <w:pStyle w:val="P68B1DB1-Normal9"/>
              <w:spacing w:after="0" w:line="240" w:lineRule="auto"/>
              <w:rPr>
                <w:rFonts w:eastAsia="Times New Roman" w:cs="Calibri"/>
                <w:noProof/>
                <w:szCs w:val="18"/>
              </w:rPr>
            </w:pPr>
            <w:r>
              <w:rPr>
                <w:noProof/>
              </w:rPr>
              <w:t>148b</w:t>
            </w:r>
          </w:p>
        </w:tc>
        <w:tc>
          <w:tcPr>
            <w:tcW w:w="1560" w:type="dxa"/>
            <w:tcBorders>
              <w:top w:val="nil"/>
              <w:left w:val="nil"/>
              <w:bottom w:val="single" w:sz="4" w:space="0" w:color="auto"/>
              <w:right w:val="single" w:sz="4" w:space="0" w:color="auto"/>
            </w:tcBorders>
            <w:shd w:val="clear" w:color="auto" w:fill="C6EFCE"/>
            <w:noWrap/>
          </w:tcPr>
          <w:p w14:paraId="6E278AE9" w14:textId="77777777" w:rsidR="00515398" w:rsidRDefault="006711E6">
            <w:pPr>
              <w:pStyle w:val="P68B1DB1-Normal9"/>
              <w:spacing w:after="0" w:line="240" w:lineRule="auto"/>
              <w:rPr>
                <w:rFonts w:eastAsia="Times New Roman" w:cs="Calibri"/>
                <w:noProof/>
                <w:szCs w:val="18"/>
              </w:rPr>
            </w:pPr>
            <w:r>
              <w:rPr>
                <w:noProof/>
              </w:rPr>
              <w:t>9–3.2. Vzdělávání, odborné vzdělávání a příprava a dovednosti – 16676_Digitální transformace vzdělávání</w:t>
            </w:r>
          </w:p>
        </w:tc>
        <w:tc>
          <w:tcPr>
            <w:tcW w:w="1424" w:type="dxa"/>
            <w:tcBorders>
              <w:top w:val="nil"/>
              <w:left w:val="nil"/>
              <w:bottom w:val="single" w:sz="4" w:space="0" w:color="auto"/>
              <w:right w:val="single" w:sz="4" w:space="0" w:color="auto"/>
            </w:tcBorders>
            <w:shd w:val="clear" w:color="auto" w:fill="C6EFCE"/>
            <w:noWrap/>
          </w:tcPr>
          <w:p w14:paraId="7E08FD42" w14:textId="77777777" w:rsidR="00515398" w:rsidRDefault="006711E6">
            <w:pPr>
              <w:pStyle w:val="P68B1DB1-Normal9"/>
              <w:spacing w:after="0" w:line="240" w:lineRule="auto"/>
              <w:rPr>
                <w:rFonts w:eastAsia="Times New Roman" w:cs="Calibri"/>
                <w:noProof/>
                <w:szCs w:val="18"/>
              </w:rPr>
            </w:pPr>
            <w:r>
              <w:rPr>
                <w:noProof/>
              </w:rPr>
              <w:t>Milník</w:t>
            </w:r>
          </w:p>
        </w:tc>
        <w:tc>
          <w:tcPr>
            <w:tcW w:w="1586" w:type="dxa"/>
            <w:tcBorders>
              <w:top w:val="nil"/>
              <w:left w:val="nil"/>
              <w:bottom w:val="single" w:sz="4" w:space="0" w:color="auto"/>
              <w:right w:val="single" w:sz="4" w:space="0" w:color="auto"/>
            </w:tcBorders>
            <w:shd w:val="clear" w:color="auto" w:fill="C6EFCE"/>
            <w:noWrap/>
          </w:tcPr>
          <w:p w14:paraId="39E8CD7B" w14:textId="77777777" w:rsidR="00515398" w:rsidRDefault="006711E6">
            <w:pPr>
              <w:pStyle w:val="P68B1DB1-Normal9"/>
              <w:spacing w:after="0" w:line="240" w:lineRule="auto"/>
              <w:rPr>
                <w:rFonts w:eastAsia="Times New Roman" w:cs="Calibri"/>
                <w:noProof/>
                <w:szCs w:val="18"/>
              </w:rPr>
            </w:pPr>
            <w:r>
              <w:rPr>
                <w:noProof/>
              </w:rPr>
              <w:t>Digitální transformace ve vzdělávání</w:t>
            </w:r>
          </w:p>
        </w:tc>
        <w:tc>
          <w:tcPr>
            <w:tcW w:w="1713" w:type="dxa"/>
            <w:tcBorders>
              <w:top w:val="nil"/>
              <w:left w:val="nil"/>
              <w:bottom w:val="single" w:sz="4" w:space="0" w:color="auto"/>
              <w:right w:val="single" w:sz="4" w:space="0" w:color="auto"/>
            </w:tcBorders>
            <w:shd w:val="clear" w:color="auto" w:fill="C6EFCE"/>
            <w:noWrap/>
          </w:tcPr>
          <w:p w14:paraId="331FAEF1" w14:textId="77777777" w:rsidR="00515398" w:rsidRDefault="006711E6">
            <w:pPr>
              <w:pStyle w:val="P68B1DB1-Normal9"/>
              <w:spacing w:after="0" w:line="240" w:lineRule="auto"/>
              <w:rPr>
                <w:rFonts w:eastAsia="Times New Roman" w:cs="Calibri"/>
                <w:noProof/>
                <w:szCs w:val="18"/>
              </w:rPr>
            </w:pPr>
            <w:r>
              <w:rPr>
                <w:noProof/>
              </w:rPr>
              <w:t xml:space="preserve">Zpráva ministerstva školství </w:t>
            </w:r>
            <w:r>
              <w:rPr>
                <w:noProof/>
              </w:rPr>
              <w:t>potvrzující dokončení projektů</w:t>
            </w:r>
          </w:p>
        </w:tc>
        <w:tc>
          <w:tcPr>
            <w:tcW w:w="1154" w:type="dxa"/>
            <w:tcBorders>
              <w:top w:val="nil"/>
              <w:left w:val="nil"/>
              <w:bottom w:val="single" w:sz="4" w:space="0" w:color="auto"/>
              <w:right w:val="single" w:sz="4" w:space="0" w:color="auto"/>
            </w:tcBorders>
            <w:shd w:val="clear" w:color="auto" w:fill="C6EFCE"/>
            <w:noWrap/>
          </w:tcPr>
          <w:p w14:paraId="6187236C"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866D834" w14:textId="77777777" w:rsidR="00515398" w:rsidRDefault="00515398">
            <w:pPr>
              <w:spacing w:after="0" w:line="240" w:lineRule="auto"/>
              <w:rPr>
                <w:rFonts w:eastAsia="Times New Roman" w:cs="Calibri"/>
                <w:noProof/>
                <w:color w:val="006100"/>
                <w:sz w:val="18"/>
                <w:szCs w:val="18"/>
              </w:rPr>
            </w:pPr>
          </w:p>
        </w:tc>
        <w:tc>
          <w:tcPr>
            <w:tcW w:w="771" w:type="dxa"/>
            <w:tcBorders>
              <w:top w:val="nil"/>
              <w:left w:val="nil"/>
              <w:bottom w:val="single" w:sz="4" w:space="0" w:color="auto"/>
              <w:right w:val="single" w:sz="4" w:space="0" w:color="auto"/>
            </w:tcBorders>
            <w:shd w:val="clear" w:color="auto" w:fill="C6EFCE"/>
            <w:noWrap/>
          </w:tcPr>
          <w:p w14:paraId="3C8100EF"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C0D939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tcBorders>
              <w:top w:val="nil"/>
              <w:left w:val="nil"/>
              <w:bottom w:val="single" w:sz="4" w:space="0" w:color="auto"/>
              <w:right w:val="single" w:sz="4" w:space="0" w:color="auto"/>
            </w:tcBorders>
            <w:shd w:val="clear" w:color="auto" w:fill="C6EFCE"/>
            <w:noWrap/>
          </w:tcPr>
          <w:p w14:paraId="6FE3B542" w14:textId="77777777" w:rsidR="00515398" w:rsidRDefault="006711E6">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2E44A1D7" w14:textId="77777777" w:rsidR="00515398" w:rsidRDefault="006711E6">
            <w:pPr>
              <w:pStyle w:val="P68B1DB1-paragraph28"/>
              <w:spacing w:before="0" w:beforeAutospacing="0" w:after="0" w:afterAutospacing="0"/>
              <w:textAlignment w:val="baseline"/>
              <w:rPr>
                <w:noProof/>
              </w:rPr>
            </w:pPr>
            <w:r>
              <w:rPr>
                <w:noProof/>
              </w:rPr>
              <w:t>Dokončení těchto projektů:</w:t>
            </w:r>
          </w:p>
          <w:p w14:paraId="0CB4B6FF" w14:textId="16186D88" w:rsidR="00515398" w:rsidRDefault="006711E6">
            <w:pPr>
              <w:pStyle w:val="P68B1DB1-paragraph28"/>
              <w:spacing w:before="0" w:beforeAutospacing="0" w:after="0" w:afterAutospacing="0"/>
              <w:textAlignment w:val="baseline"/>
              <w:rPr>
                <w:noProof/>
              </w:rPr>
            </w:pPr>
            <w:r>
              <w:rPr>
                <w:noProof/>
              </w:rPr>
              <w:t>1. Přeměna tradičních učebních osnov a vzdělávacího obsahu na interaktivní a digitální prostředí s otevřeným zdrojovým kódem</w:t>
            </w:r>
          </w:p>
          <w:p w14:paraId="36BF5A13" w14:textId="0FC229CC" w:rsidR="00515398" w:rsidRDefault="006711E6">
            <w:pPr>
              <w:pStyle w:val="P68B1DB1-paragraph28"/>
              <w:spacing w:before="0" w:beforeAutospacing="0" w:after="0" w:afterAutospacing="0"/>
              <w:textAlignment w:val="baseline"/>
              <w:rPr>
                <w:noProof/>
              </w:rPr>
            </w:pPr>
            <w:r>
              <w:rPr>
                <w:noProof/>
              </w:rPr>
              <w:t xml:space="preserve"> 2. Poskytování školního poradenství pro volbu po</w:t>
            </w:r>
            <w:r>
              <w:rPr>
                <w:noProof/>
              </w:rPr>
              <w:t xml:space="preserve">volání pomocí strojového učení </w:t>
            </w:r>
          </w:p>
          <w:p w14:paraId="27318275" w14:textId="4006F53B" w:rsidR="00515398" w:rsidRDefault="006711E6">
            <w:pPr>
              <w:pStyle w:val="P68B1DB1-paragraph28"/>
              <w:spacing w:before="0" w:beforeAutospacing="0" w:after="0" w:afterAutospacing="0"/>
              <w:textAlignment w:val="baseline"/>
              <w:rPr>
                <w:noProof/>
              </w:rPr>
            </w:pPr>
            <w:r>
              <w:rPr>
                <w:noProof/>
              </w:rPr>
              <w:t>3. Instalace nejméně 2930 interaktivních vzdělávacích systémů pro třídy základních a středních škol</w:t>
            </w:r>
          </w:p>
          <w:p w14:paraId="293978A5" w14:textId="498C4C13" w:rsidR="00515398" w:rsidRDefault="006711E6">
            <w:pPr>
              <w:pStyle w:val="P68B1DB1-paragraph28"/>
              <w:spacing w:before="0" w:beforeAutospacing="0" w:after="0" w:afterAutospacing="0"/>
              <w:textAlignment w:val="baseline"/>
              <w:rPr>
                <w:noProof/>
              </w:rPr>
            </w:pPr>
            <w:r>
              <w:rPr>
                <w:noProof/>
              </w:rPr>
              <w:t xml:space="preserve">4. Poskytnutí nejméně 500000 poukázek studentům a učitelům na nákup digitálního vybavení </w:t>
            </w:r>
          </w:p>
          <w:p w14:paraId="7ADE66CC" w14:textId="0CE45E24" w:rsidR="00515398" w:rsidRDefault="006711E6">
            <w:pPr>
              <w:pStyle w:val="P68B1DB1-paragraph28"/>
              <w:spacing w:before="0" w:beforeAutospacing="0" w:after="0" w:afterAutospacing="0"/>
              <w:textAlignment w:val="baseline"/>
              <w:rPr>
                <w:noProof/>
              </w:rPr>
            </w:pPr>
            <w:r>
              <w:rPr>
                <w:noProof/>
              </w:rPr>
              <w:t>5. Poskytování vzdělávací infrastr</w:t>
            </w:r>
            <w:r>
              <w:rPr>
                <w:noProof/>
              </w:rPr>
              <w:t>uktury v oblasti robotiky a přírodních věd, technologií, inženýrství a matematiky veřejným školám</w:t>
            </w:r>
          </w:p>
          <w:p w14:paraId="3A0FC69F" w14:textId="45FDA426" w:rsidR="00515398" w:rsidRDefault="006711E6">
            <w:pPr>
              <w:pStyle w:val="P68B1DB1-paragraph28"/>
              <w:spacing w:before="0" w:beforeAutospacing="0" w:after="0" w:afterAutospacing="0"/>
              <w:textAlignment w:val="baseline"/>
              <w:rPr>
                <w:noProof/>
              </w:rPr>
            </w:pPr>
            <w:r>
              <w:rPr>
                <w:noProof/>
              </w:rPr>
              <w:t>6. Poskytování digitálních nástrojů studentům se zdravotním postižením nebo se zvláštními vzdělávacími potřebami</w:t>
            </w:r>
          </w:p>
          <w:p w14:paraId="226E26B5" w14:textId="4A0D6F05" w:rsidR="00515398" w:rsidRDefault="006711E6">
            <w:pPr>
              <w:pStyle w:val="P68B1DB1-paragraph28"/>
              <w:spacing w:before="0" w:beforeAutospacing="0" w:after="0" w:afterAutospacing="0"/>
              <w:textAlignment w:val="baseline"/>
              <w:rPr>
                <w:noProof/>
              </w:rPr>
            </w:pPr>
            <w:r>
              <w:rPr>
                <w:noProof/>
              </w:rPr>
              <w:t>7. Rozvoj inovačních středisek ve 13 regionál</w:t>
            </w:r>
            <w:r>
              <w:rPr>
                <w:noProof/>
              </w:rPr>
              <w:t>ních ředitelstvích</w:t>
            </w:r>
          </w:p>
          <w:p w14:paraId="08B44BB6" w14:textId="3868E050" w:rsidR="00515398" w:rsidRDefault="006711E6">
            <w:pPr>
              <w:pStyle w:val="P68B1DB1-paragraph28"/>
              <w:spacing w:before="0" w:beforeAutospacing="0" w:after="0" w:afterAutospacing="0"/>
              <w:textAlignment w:val="baseline"/>
              <w:rPr>
                <w:noProof/>
              </w:rPr>
            </w:pPr>
            <w:r>
              <w:rPr>
                <w:noProof/>
              </w:rPr>
              <w:t xml:space="preserve">8. Poskytování odborné přípravy 120000 učitelům, včetně 35000 specializovaných učitelů </w:t>
            </w:r>
          </w:p>
          <w:p w14:paraId="0DADA808" w14:textId="35DA1683" w:rsidR="00515398" w:rsidRDefault="006711E6">
            <w:pPr>
              <w:pStyle w:val="P68B1DB1-paragraph28"/>
              <w:spacing w:before="0" w:beforeAutospacing="0" w:after="0" w:afterAutospacing="0"/>
              <w:textAlignment w:val="baseline"/>
              <w:rPr>
                <w:rFonts w:ascii="Arial" w:hAnsi="Arial" w:cs="Arial"/>
                <w:b/>
                <w:noProof/>
                <w:sz w:val="22"/>
              </w:rPr>
            </w:pPr>
            <w:r>
              <w:rPr>
                <w:noProof/>
              </w:rPr>
              <w:t>9. Modernizace digitálních služeb škol a univerzit</w:t>
            </w:r>
          </w:p>
        </w:tc>
      </w:tr>
      <w:tr w:rsidR="00515398" w14:paraId="63733DEE"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47E6CBB5" w14:textId="77777777" w:rsidR="00515398" w:rsidRDefault="006711E6">
            <w:pPr>
              <w:pStyle w:val="P68B1DB1-Normal9"/>
              <w:spacing w:after="0" w:line="240" w:lineRule="auto"/>
              <w:rPr>
                <w:rFonts w:eastAsia="Times New Roman" w:cs="Calibri"/>
                <w:noProof/>
                <w:szCs w:val="18"/>
              </w:rPr>
            </w:pPr>
            <w:r>
              <w:rPr>
                <w:noProof/>
              </w:rPr>
              <w:t>149</w:t>
            </w:r>
          </w:p>
        </w:tc>
        <w:tc>
          <w:tcPr>
            <w:tcW w:w="1560" w:type="dxa"/>
            <w:tcBorders>
              <w:top w:val="nil"/>
              <w:left w:val="nil"/>
              <w:bottom w:val="single" w:sz="4" w:space="0" w:color="auto"/>
              <w:right w:val="single" w:sz="4" w:space="0" w:color="auto"/>
            </w:tcBorders>
            <w:shd w:val="clear" w:color="auto" w:fill="C6EFCE"/>
            <w:noWrap/>
          </w:tcPr>
          <w:p w14:paraId="7C21B717" w14:textId="264F47DA" w:rsidR="00515398" w:rsidRDefault="006711E6">
            <w:pPr>
              <w:pStyle w:val="P68B1DB1-Normal9"/>
              <w:spacing w:after="0" w:line="240" w:lineRule="auto"/>
              <w:rPr>
                <w:rFonts w:eastAsia="Times New Roman" w:cs="Calibri"/>
                <w:noProof/>
                <w:szCs w:val="18"/>
              </w:rPr>
            </w:pPr>
            <w:r>
              <w:rPr>
                <w:noProof/>
              </w:rPr>
              <w:t xml:space="preserve">9–3.2. Vzdělávání, odborné vzdělávání a příprava a dovednosti – 16933_Zlepšování odborného </w:t>
            </w:r>
            <w:r>
              <w:rPr>
                <w:noProof/>
              </w:rPr>
              <w:t>vzdělávání a přípravy: Dodávky laboratorního vybavení pro laboratorní střediska pro SAEK, EPAL, školu pro učňovskou přípravu po ukončení středoškolského studia a odborné vzdělávání</w:t>
            </w:r>
          </w:p>
        </w:tc>
        <w:tc>
          <w:tcPr>
            <w:tcW w:w="1424" w:type="dxa"/>
            <w:tcBorders>
              <w:top w:val="nil"/>
              <w:left w:val="nil"/>
              <w:bottom w:val="single" w:sz="4" w:space="0" w:color="auto"/>
              <w:right w:val="single" w:sz="4" w:space="0" w:color="auto"/>
            </w:tcBorders>
            <w:shd w:val="clear" w:color="auto" w:fill="C6EFCE"/>
            <w:noWrap/>
          </w:tcPr>
          <w:p w14:paraId="3479F37A" w14:textId="77777777" w:rsidR="00515398" w:rsidRDefault="006711E6">
            <w:pPr>
              <w:pStyle w:val="P68B1DB1-Normal9"/>
              <w:spacing w:after="0" w:line="240" w:lineRule="auto"/>
              <w:rPr>
                <w:rFonts w:eastAsia="Times New Roman" w:cs="Calibri"/>
                <w:noProof/>
                <w:szCs w:val="18"/>
              </w:rPr>
            </w:pPr>
            <w:r>
              <w:rPr>
                <w:noProof/>
              </w:rPr>
              <w:t>Cílová</w:t>
            </w:r>
          </w:p>
        </w:tc>
        <w:tc>
          <w:tcPr>
            <w:tcW w:w="1586" w:type="dxa"/>
            <w:tcBorders>
              <w:top w:val="nil"/>
              <w:left w:val="nil"/>
              <w:bottom w:val="single" w:sz="4" w:space="0" w:color="auto"/>
              <w:right w:val="single" w:sz="4" w:space="0" w:color="auto"/>
            </w:tcBorders>
            <w:shd w:val="clear" w:color="auto" w:fill="C6EFCE"/>
            <w:noWrap/>
          </w:tcPr>
          <w:p w14:paraId="457E6E8E" w14:textId="77777777" w:rsidR="00515398" w:rsidRDefault="006711E6">
            <w:pPr>
              <w:pStyle w:val="P68B1DB1-Normal9"/>
              <w:spacing w:after="0" w:line="240" w:lineRule="auto"/>
              <w:rPr>
                <w:rFonts w:eastAsia="Times New Roman" w:cs="Calibri"/>
                <w:noProof/>
                <w:szCs w:val="18"/>
              </w:rPr>
            </w:pPr>
            <w:r>
              <w:rPr>
                <w:noProof/>
              </w:rPr>
              <w:t>Obnova modernizace dokončení laboratorních středisek odborného vzděl</w:t>
            </w:r>
            <w:r>
              <w:rPr>
                <w:noProof/>
              </w:rPr>
              <w:t>ávání a přípravy</w:t>
            </w:r>
          </w:p>
        </w:tc>
        <w:tc>
          <w:tcPr>
            <w:tcW w:w="1713" w:type="dxa"/>
            <w:tcBorders>
              <w:top w:val="nil"/>
              <w:left w:val="nil"/>
              <w:bottom w:val="single" w:sz="4" w:space="0" w:color="auto"/>
              <w:right w:val="single" w:sz="4" w:space="0" w:color="auto"/>
            </w:tcBorders>
            <w:shd w:val="clear" w:color="auto" w:fill="C6EFCE"/>
            <w:noWrap/>
          </w:tcPr>
          <w:p w14:paraId="1E641242" w14:textId="77777777" w:rsidR="00515398" w:rsidRDefault="00515398">
            <w:pPr>
              <w:spacing w:after="0" w:line="240" w:lineRule="auto"/>
              <w:rPr>
                <w:rFonts w:eastAsia="Times New Roman" w:cs="Calibri"/>
                <w:noProof/>
                <w:color w:val="006100"/>
                <w:sz w:val="18"/>
                <w:szCs w:val="18"/>
              </w:rPr>
            </w:pPr>
          </w:p>
        </w:tc>
        <w:tc>
          <w:tcPr>
            <w:tcW w:w="1154" w:type="dxa"/>
            <w:tcBorders>
              <w:top w:val="nil"/>
              <w:left w:val="nil"/>
              <w:bottom w:val="single" w:sz="4" w:space="0" w:color="auto"/>
              <w:right w:val="single" w:sz="4" w:space="0" w:color="auto"/>
            </w:tcBorders>
            <w:shd w:val="clear" w:color="auto" w:fill="C6EFCE"/>
            <w:noWrap/>
          </w:tcPr>
          <w:p w14:paraId="001D2B32" w14:textId="77777777" w:rsidR="00515398" w:rsidRDefault="006711E6">
            <w:pPr>
              <w:pStyle w:val="P68B1DB1-Normal9"/>
              <w:spacing w:after="0" w:line="240" w:lineRule="auto"/>
              <w:rPr>
                <w:rFonts w:eastAsia="Times New Roman" w:cs="Calibri"/>
                <w:noProof/>
                <w:szCs w:val="18"/>
              </w:rPr>
            </w:pPr>
            <w:r>
              <w:rPr>
                <w:noProof/>
              </w:rPr>
              <w:t>Počet laboratoří ve školách odborného vzdělávání a přípravy, které byly zcela modernizovány a obnoveny</w:t>
            </w:r>
          </w:p>
        </w:tc>
        <w:tc>
          <w:tcPr>
            <w:tcW w:w="857" w:type="dxa"/>
            <w:tcBorders>
              <w:top w:val="nil"/>
              <w:left w:val="nil"/>
              <w:bottom w:val="single" w:sz="4" w:space="0" w:color="auto"/>
              <w:right w:val="single" w:sz="4" w:space="0" w:color="auto"/>
            </w:tcBorders>
            <w:shd w:val="clear" w:color="auto" w:fill="C6EFCE"/>
            <w:noWrap/>
          </w:tcPr>
          <w:p w14:paraId="7A0EDFFF" w14:textId="77777777" w:rsidR="00515398" w:rsidRDefault="006711E6">
            <w:pPr>
              <w:pStyle w:val="P68B1DB1-Normal9"/>
              <w:spacing w:after="0" w:line="240" w:lineRule="auto"/>
              <w:rPr>
                <w:rFonts w:eastAsia="Times New Roman" w:cs="Calibri"/>
                <w:noProof/>
                <w:szCs w:val="18"/>
              </w:rPr>
            </w:pPr>
            <w:r>
              <w:rPr>
                <w:noProof/>
              </w:rPr>
              <w:t>0</w:t>
            </w:r>
          </w:p>
        </w:tc>
        <w:tc>
          <w:tcPr>
            <w:tcW w:w="771" w:type="dxa"/>
            <w:tcBorders>
              <w:top w:val="nil"/>
              <w:left w:val="nil"/>
              <w:bottom w:val="single" w:sz="4" w:space="0" w:color="auto"/>
              <w:right w:val="single" w:sz="4" w:space="0" w:color="auto"/>
            </w:tcBorders>
            <w:shd w:val="clear" w:color="auto" w:fill="C6EFCE"/>
            <w:noWrap/>
          </w:tcPr>
          <w:p w14:paraId="27B43ABE" w14:textId="77777777" w:rsidR="00515398" w:rsidRDefault="006711E6">
            <w:pPr>
              <w:pStyle w:val="P68B1DB1-Normal9"/>
              <w:spacing w:after="0" w:line="240" w:lineRule="auto"/>
              <w:rPr>
                <w:rFonts w:eastAsia="Times New Roman" w:cs="Calibri"/>
                <w:noProof/>
                <w:szCs w:val="18"/>
              </w:rPr>
            </w:pPr>
            <w:r>
              <w:rPr>
                <w:noProof/>
              </w:rPr>
              <w:t>376</w:t>
            </w:r>
          </w:p>
        </w:tc>
        <w:tc>
          <w:tcPr>
            <w:tcW w:w="851" w:type="dxa"/>
            <w:tcBorders>
              <w:top w:val="nil"/>
              <w:left w:val="nil"/>
              <w:bottom w:val="single" w:sz="4" w:space="0" w:color="auto"/>
              <w:right w:val="single" w:sz="4" w:space="0" w:color="auto"/>
            </w:tcBorders>
            <w:shd w:val="clear" w:color="auto" w:fill="C6EFCE"/>
            <w:noWrap/>
          </w:tcPr>
          <w:p w14:paraId="483E4BB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tcBorders>
              <w:top w:val="nil"/>
              <w:left w:val="nil"/>
              <w:bottom w:val="single" w:sz="4" w:space="0" w:color="auto"/>
              <w:right w:val="single" w:sz="4" w:space="0" w:color="auto"/>
            </w:tcBorders>
            <w:shd w:val="clear" w:color="auto" w:fill="C6EFCE"/>
            <w:noWrap/>
          </w:tcPr>
          <w:p w14:paraId="18EA6F6A" w14:textId="77777777" w:rsidR="00515398" w:rsidRDefault="006711E6">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74C0EC21" w14:textId="77777777" w:rsidR="00515398" w:rsidRDefault="006711E6">
            <w:pPr>
              <w:pStyle w:val="P68B1DB1-Normal9"/>
              <w:spacing w:after="0" w:line="240" w:lineRule="auto"/>
              <w:rPr>
                <w:rFonts w:eastAsia="Times New Roman" w:cs="Calibri"/>
                <w:noProof/>
                <w:szCs w:val="18"/>
              </w:rPr>
            </w:pPr>
            <w:r>
              <w:rPr>
                <w:noProof/>
              </w:rPr>
              <w:t xml:space="preserve">Dokončení obnovy a technologické modernizace infrastruktury laboratorního vybavení pro 376 laboratoří ve školách odborného vzdělávání a přípravy: </w:t>
            </w:r>
          </w:p>
          <w:p w14:paraId="282F97CA" w14:textId="4BAF981D" w:rsidR="00515398" w:rsidRDefault="006711E6">
            <w:pPr>
              <w:pStyle w:val="P68B1DB1-Normal9"/>
              <w:spacing w:after="0" w:line="240" w:lineRule="auto"/>
              <w:rPr>
                <w:rFonts w:eastAsia="Times New Roman" w:cs="Calibri"/>
                <w:noProof/>
                <w:szCs w:val="18"/>
              </w:rPr>
            </w:pPr>
            <w:r>
              <w:rPr>
                <w:noProof/>
              </w:rPr>
              <w:t>Školy vyššího odborného vzdělávání (SAEK)</w:t>
            </w:r>
          </w:p>
          <w:p w14:paraId="44DEE624" w14:textId="77777777" w:rsidR="00515398" w:rsidRDefault="006711E6">
            <w:pPr>
              <w:pStyle w:val="P68B1DB1-Normal9"/>
              <w:spacing w:after="0" w:line="240" w:lineRule="auto"/>
              <w:rPr>
                <w:rFonts w:eastAsia="Times New Roman" w:cs="Calibri"/>
                <w:noProof/>
                <w:szCs w:val="18"/>
              </w:rPr>
            </w:pPr>
            <w:r>
              <w:rPr>
                <w:noProof/>
              </w:rPr>
              <w:t>Odborné lyceumy (EPAL)</w:t>
            </w:r>
          </w:p>
          <w:p w14:paraId="362FD10A" w14:textId="77777777" w:rsidR="00515398" w:rsidRDefault="006711E6">
            <w:pPr>
              <w:pStyle w:val="P68B1DB1-Normal9"/>
              <w:spacing w:after="0" w:line="240" w:lineRule="auto"/>
              <w:rPr>
                <w:rFonts w:eastAsia="Times New Roman" w:cs="Calibri"/>
                <w:noProof/>
                <w:szCs w:val="18"/>
              </w:rPr>
            </w:pPr>
            <w:r>
              <w:rPr>
                <w:noProof/>
              </w:rPr>
              <w:t>— Postsekundární ročník – třída učňovské pří</w:t>
            </w:r>
            <w:r>
              <w:rPr>
                <w:noProof/>
              </w:rPr>
              <w:t>pravy ve školách odborného vzdělávání.</w:t>
            </w:r>
          </w:p>
        </w:tc>
      </w:tr>
      <w:tr w:rsidR="00515398" w14:paraId="49245BD3" w14:textId="77777777">
        <w:trPr>
          <w:trHeight w:val="313"/>
        </w:trPr>
        <w:tc>
          <w:tcPr>
            <w:tcW w:w="1129" w:type="dxa"/>
            <w:tcBorders>
              <w:top w:val="nil"/>
              <w:left w:val="single" w:sz="4" w:space="0" w:color="auto"/>
              <w:bottom w:val="single" w:sz="4" w:space="0" w:color="auto"/>
              <w:right w:val="single" w:sz="4" w:space="0" w:color="auto"/>
            </w:tcBorders>
            <w:shd w:val="clear" w:color="auto" w:fill="C6EFCE"/>
            <w:noWrap/>
          </w:tcPr>
          <w:p w14:paraId="571BB05F" w14:textId="77777777" w:rsidR="00515398" w:rsidRDefault="006711E6">
            <w:pPr>
              <w:pStyle w:val="P68B1DB1-Normal10"/>
              <w:spacing w:after="0" w:line="240" w:lineRule="auto"/>
              <w:rPr>
                <w:rFonts w:eastAsia="Times New Roman" w:cs="Calibri"/>
                <w:noProof/>
              </w:rPr>
            </w:pPr>
            <w:r>
              <w:rPr>
                <w:noProof/>
              </w:rPr>
              <w:t>150</w:t>
            </w:r>
          </w:p>
        </w:tc>
        <w:tc>
          <w:tcPr>
            <w:tcW w:w="1560" w:type="dxa"/>
            <w:tcBorders>
              <w:top w:val="nil"/>
              <w:left w:val="nil"/>
              <w:bottom w:val="single" w:sz="4" w:space="0" w:color="auto"/>
              <w:right w:val="single" w:sz="4" w:space="0" w:color="auto"/>
            </w:tcBorders>
            <w:shd w:val="clear" w:color="auto" w:fill="C6EFCE"/>
            <w:noWrap/>
          </w:tcPr>
          <w:p w14:paraId="5C4A0F57" w14:textId="77777777" w:rsidR="00515398" w:rsidRDefault="006711E6">
            <w:pPr>
              <w:pStyle w:val="P68B1DB1-Normal9"/>
              <w:spacing w:after="0" w:line="240" w:lineRule="auto"/>
              <w:rPr>
                <w:rFonts w:eastAsia="Times New Roman" w:cs="Calibri"/>
                <w:noProof/>
                <w:szCs w:val="18"/>
              </w:rPr>
            </w:pPr>
            <w:r>
              <w:rPr>
                <w:noProof/>
              </w:rPr>
              <w:t>9–3.2. Vzdělávání, odborné vzdělávání a příprava a dovednosti – 16289_Strategie excelence na univerzitách a inovacích</w:t>
            </w:r>
          </w:p>
        </w:tc>
        <w:tc>
          <w:tcPr>
            <w:tcW w:w="1424" w:type="dxa"/>
            <w:tcBorders>
              <w:top w:val="nil"/>
              <w:left w:val="nil"/>
              <w:bottom w:val="single" w:sz="4" w:space="0" w:color="auto"/>
              <w:right w:val="single" w:sz="4" w:space="0" w:color="auto"/>
            </w:tcBorders>
            <w:shd w:val="clear" w:color="auto" w:fill="C6EFCE"/>
            <w:noWrap/>
          </w:tcPr>
          <w:p w14:paraId="203B6CDA" w14:textId="77777777" w:rsidR="00515398" w:rsidRDefault="006711E6">
            <w:pPr>
              <w:pStyle w:val="P68B1DB1-Normal9"/>
              <w:spacing w:after="0" w:line="240" w:lineRule="auto"/>
              <w:rPr>
                <w:rFonts w:eastAsia="Times New Roman" w:cs="Calibri"/>
                <w:noProof/>
                <w:szCs w:val="18"/>
              </w:rPr>
            </w:pPr>
            <w:r>
              <w:rPr>
                <w:noProof/>
              </w:rPr>
              <w:t>Milník</w:t>
            </w:r>
          </w:p>
        </w:tc>
        <w:tc>
          <w:tcPr>
            <w:tcW w:w="1586" w:type="dxa"/>
            <w:tcBorders>
              <w:top w:val="nil"/>
              <w:left w:val="nil"/>
              <w:bottom w:val="single" w:sz="4" w:space="0" w:color="auto"/>
              <w:right w:val="single" w:sz="4" w:space="0" w:color="auto"/>
            </w:tcBorders>
            <w:shd w:val="clear" w:color="auto" w:fill="C6EFCE"/>
            <w:noWrap/>
          </w:tcPr>
          <w:p w14:paraId="7897F173" w14:textId="77777777" w:rsidR="00515398" w:rsidRDefault="006711E6">
            <w:pPr>
              <w:pStyle w:val="P68B1DB1-Normal9"/>
              <w:spacing w:after="0" w:line="240" w:lineRule="auto"/>
              <w:rPr>
                <w:rFonts w:eastAsia="Times New Roman" w:cs="Calibri"/>
                <w:noProof/>
                <w:szCs w:val="18"/>
              </w:rPr>
            </w:pPr>
            <w:r>
              <w:rPr>
                <w:noProof/>
              </w:rPr>
              <w:t xml:space="preserve">Dokončení všech projektů v rámci opatření Strategie pro excelenci na univerzitách a v </w:t>
            </w:r>
            <w:r>
              <w:rPr>
                <w:noProof/>
              </w:rPr>
              <w:t>oblasti inovací</w:t>
            </w:r>
          </w:p>
          <w:p w14:paraId="7816BAF7" w14:textId="77777777" w:rsidR="00515398" w:rsidRDefault="00515398">
            <w:pPr>
              <w:spacing w:after="0" w:line="240" w:lineRule="auto"/>
              <w:rPr>
                <w:rFonts w:eastAsia="Times New Roman" w:cs="Calibri"/>
                <w:noProof/>
                <w:color w:val="006100"/>
                <w:sz w:val="18"/>
                <w:szCs w:val="18"/>
              </w:rPr>
            </w:pPr>
          </w:p>
        </w:tc>
        <w:tc>
          <w:tcPr>
            <w:tcW w:w="1713" w:type="dxa"/>
            <w:tcBorders>
              <w:top w:val="nil"/>
              <w:left w:val="nil"/>
              <w:bottom w:val="single" w:sz="4" w:space="0" w:color="auto"/>
              <w:right w:val="single" w:sz="4" w:space="0" w:color="auto"/>
            </w:tcBorders>
            <w:shd w:val="clear" w:color="auto" w:fill="C6EFCE"/>
            <w:noWrap/>
          </w:tcPr>
          <w:p w14:paraId="1B0F8F0B" w14:textId="2CE5A4E6" w:rsidR="00515398" w:rsidRDefault="006711E6">
            <w:pPr>
              <w:pStyle w:val="P68B1DB1-Normal9"/>
              <w:spacing w:after="0" w:line="240" w:lineRule="auto"/>
              <w:rPr>
                <w:rFonts w:eastAsia="Times New Roman" w:cs="Calibri"/>
                <w:noProof/>
                <w:szCs w:val="18"/>
              </w:rPr>
            </w:pPr>
            <w:r>
              <w:rPr>
                <w:noProof/>
              </w:rPr>
              <w:t>Zpráva řeckého orgánu pro vysokoškolské vzdělávání potvrzující dokončení všech projektů v rámci opatření Strategie excelence na univerzitách a inovacích.</w:t>
            </w:r>
          </w:p>
        </w:tc>
        <w:tc>
          <w:tcPr>
            <w:tcW w:w="1154" w:type="dxa"/>
            <w:tcBorders>
              <w:top w:val="nil"/>
              <w:left w:val="nil"/>
              <w:bottom w:val="single" w:sz="4" w:space="0" w:color="auto"/>
              <w:right w:val="single" w:sz="4" w:space="0" w:color="auto"/>
            </w:tcBorders>
            <w:shd w:val="clear" w:color="auto" w:fill="C6EFCE"/>
            <w:noWrap/>
          </w:tcPr>
          <w:p w14:paraId="3EEF4F78"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DC88A74" w14:textId="77777777" w:rsidR="00515398" w:rsidRDefault="00515398">
            <w:pPr>
              <w:spacing w:after="0" w:line="240" w:lineRule="auto"/>
              <w:rPr>
                <w:rFonts w:eastAsia="Times New Roman" w:cs="Calibri"/>
                <w:noProof/>
                <w:color w:val="006100"/>
                <w:sz w:val="18"/>
                <w:szCs w:val="18"/>
              </w:rPr>
            </w:pPr>
          </w:p>
        </w:tc>
        <w:tc>
          <w:tcPr>
            <w:tcW w:w="771" w:type="dxa"/>
            <w:tcBorders>
              <w:top w:val="nil"/>
              <w:left w:val="nil"/>
              <w:bottom w:val="single" w:sz="4" w:space="0" w:color="auto"/>
              <w:right w:val="single" w:sz="4" w:space="0" w:color="auto"/>
            </w:tcBorders>
            <w:shd w:val="clear" w:color="auto" w:fill="C6EFCE"/>
            <w:noWrap/>
          </w:tcPr>
          <w:p w14:paraId="11747882"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C3FCA2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20" w:type="dxa"/>
            <w:tcBorders>
              <w:top w:val="nil"/>
              <w:left w:val="nil"/>
              <w:bottom w:val="single" w:sz="4" w:space="0" w:color="auto"/>
              <w:right w:val="single" w:sz="4" w:space="0" w:color="auto"/>
            </w:tcBorders>
            <w:shd w:val="clear" w:color="auto" w:fill="C6EFCE"/>
            <w:noWrap/>
          </w:tcPr>
          <w:p w14:paraId="763AF31C" w14:textId="77777777" w:rsidR="00515398" w:rsidRDefault="006711E6">
            <w:pPr>
              <w:pStyle w:val="P68B1DB1-Normal9"/>
              <w:spacing w:after="0" w:line="240" w:lineRule="auto"/>
              <w:rPr>
                <w:rFonts w:eastAsia="Times New Roman" w:cs="Calibri"/>
                <w:noProof/>
                <w:szCs w:val="18"/>
              </w:rPr>
            </w:pPr>
            <w:r>
              <w:rPr>
                <w:noProof/>
              </w:rPr>
              <w:t>2025</w:t>
            </w:r>
          </w:p>
        </w:tc>
        <w:tc>
          <w:tcPr>
            <w:tcW w:w="3710" w:type="dxa"/>
            <w:tcBorders>
              <w:top w:val="nil"/>
              <w:left w:val="nil"/>
              <w:bottom w:val="single" w:sz="4" w:space="0" w:color="auto"/>
              <w:right w:val="single" w:sz="4" w:space="0" w:color="auto"/>
            </w:tcBorders>
            <w:shd w:val="clear" w:color="auto" w:fill="C6EFCE"/>
            <w:noWrap/>
          </w:tcPr>
          <w:p w14:paraId="4E8D7B2C" w14:textId="00F3E04E" w:rsidR="00515398" w:rsidRDefault="006711E6">
            <w:pPr>
              <w:pStyle w:val="P68B1DB1-Normal9"/>
              <w:spacing w:after="0" w:line="240" w:lineRule="auto"/>
              <w:rPr>
                <w:rFonts w:eastAsia="Times New Roman" w:cs="Calibri"/>
                <w:noProof/>
                <w:szCs w:val="18"/>
              </w:rPr>
            </w:pPr>
            <w:r>
              <w:rPr>
                <w:noProof/>
              </w:rPr>
              <w:t>Dokončení všech projektů v rámci opatření Strategie pro excel</w:t>
            </w:r>
            <w:r>
              <w:rPr>
                <w:noProof/>
              </w:rPr>
              <w:t>enci na univerzitách a v oblasti inovací:</w:t>
            </w:r>
          </w:p>
          <w:p w14:paraId="2D51893C" w14:textId="77777777" w:rsidR="00515398" w:rsidRDefault="006711E6">
            <w:pPr>
              <w:pStyle w:val="P68B1DB1-Normal9"/>
              <w:spacing w:after="0" w:line="240" w:lineRule="auto"/>
              <w:rPr>
                <w:noProof/>
              </w:rPr>
            </w:pPr>
            <w:r>
              <w:rPr>
                <w:noProof/>
              </w:rPr>
              <w:t>a) Dokončení 70 výzkumných projektů založených na spolupráci (klastry excelence výzkumu) pro akademické pracovníky se společnostmi ze soukromého sektoru.</w:t>
            </w:r>
          </w:p>
          <w:p w14:paraId="2C0A8722" w14:textId="1DB6804C" w:rsidR="00515398" w:rsidRDefault="00515398">
            <w:pPr>
              <w:spacing w:after="0" w:line="240" w:lineRule="auto"/>
              <w:rPr>
                <w:noProof/>
                <w:color w:val="006100"/>
                <w:sz w:val="18"/>
                <w:szCs w:val="18"/>
              </w:rPr>
            </w:pPr>
          </w:p>
          <w:p w14:paraId="2B7A293C" w14:textId="406BFDBF" w:rsidR="00515398" w:rsidRDefault="006711E6">
            <w:pPr>
              <w:pStyle w:val="P68B1DB1-Normal10"/>
              <w:spacing w:after="0" w:line="240" w:lineRule="auto"/>
              <w:rPr>
                <w:noProof/>
              </w:rPr>
            </w:pPr>
            <w:r>
              <w:rPr>
                <w:noProof/>
              </w:rPr>
              <w:t xml:space="preserve">dokončení modernizace výzkumné a vzdělávací infrastruktury </w:t>
            </w:r>
            <w:r>
              <w:rPr>
                <w:noProof/>
              </w:rPr>
              <w:t>řeckých univerzit vybraných v rámci opatření.</w:t>
            </w:r>
          </w:p>
          <w:p w14:paraId="088CB898" w14:textId="6BBE7653" w:rsidR="00515398" w:rsidRDefault="006711E6">
            <w:pPr>
              <w:pStyle w:val="P68B1DB1-Normal9"/>
              <w:spacing w:after="0" w:line="240" w:lineRule="auto"/>
              <w:rPr>
                <w:noProof/>
              </w:rPr>
            </w:pPr>
            <w:r>
              <w:rPr>
                <w:noProof/>
              </w:rPr>
              <w:t xml:space="preserve"> </w:t>
            </w:r>
          </w:p>
          <w:p w14:paraId="1D5BA9C3" w14:textId="11BA5E48" w:rsidR="00515398" w:rsidRDefault="006711E6">
            <w:pPr>
              <w:pStyle w:val="P68B1DB1-Normal9"/>
              <w:spacing w:after="0"/>
              <w:rPr>
                <w:rFonts w:eastAsia="Times New Roman" w:cs="Calibri"/>
                <w:noProof/>
                <w:szCs w:val="18"/>
              </w:rPr>
            </w:pPr>
            <w:r>
              <w:rPr>
                <w:noProof/>
              </w:rPr>
              <w:t>C) Dokončení digitální transformace Národní řecké sítě knihoven.</w:t>
            </w:r>
          </w:p>
          <w:p w14:paraId="76662EF5" w14:textId="35BF9EFD" w:rsidR="00515398" w:rsidRDefault="006711E6">
            <w:pPr>
              <w:pStyle w:val="P68B1DB1-Normal17"/>
              <w:spacing w:after="0"/>
              <w:rPr>
                <w:noProof/>
              </w:rPr>
            </w:pPr>
            <w:r>
              <w:rPr>
                <w:noProof/>
              </w:rPr>
              <w:t>d) Zavedení společných a/nebo duálních postgraduálních studijních programů se zahraničními univerzitami.</w:t>
            </w:r>
          </w:p>
        </w:tc>
      </w:tr>
      <w:tr w:rsidR="00515398" w14:paraId="223F309B" w14:textId="77777777">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7EB07F8" w14:textId="77777777" w:rsidR="00515398" w:rsidRDefault="006711E6">
            <w:pPr>
              <w:pStyle w:val="P68B1DB1-Normal9"/>
              <w:spacing w:after="0" w:line="240" w:lineRule="auto"/>
              <w:rPr>
                <w:rFonts w:eastAsia="Times New Roman" w:cs="Calibri"/>
                <w:noProof/>
                <w:szCs w:val="18"/>
              </w:rPr>
            </w:pPr>
            <w:r>
              <w:rPr>
                <w:noProof/>
              </w:rPr>
              <w:t>152</w:t>
            </w:r>
          </w:p>
        </w:tc>
        <w:tc>
          <w:tcPr>
            <w:tcW w:w="1560" w:type="dxa"/>
            <w:tcBorders>
              <w:top w:val="single" w:sz="4" w:space="0" w:color="auto"/>
              <w:left w:val="nil"/>
              <w:bottom w:val="single" w:sz="4" w:space="0" w:color="auto"/>
              <w:right w:val="single" w:sz="4" w:space="0" w:color="auto"/>
            </w:tcBorders>
            <w:shd w:val="clear" w:color="auto" w:fill="C6EFCE"/>
            <w:noWrap/>
          </w:tcPr>
          <w:p w14:paraId="4E9D7801" w14:textId="77777777" w:rsidR="00515398" w:rsidRDefault="006711E6">
            <w:pPr>
              <w:pStyle w:val="P68B1DB1-Normal9"/>
              <w:spacing w:after="0" w:line="240" w:lineRule="auto"/>
              <w:rPr>
                <w:rFonts w:eastAsia="Times New Roman" w:cs="Calibri"/>
                <w:noProof/>
                <w:szCs w:val="18"/>
              </w:rPr>
            </w:pPr>
            <w:r>
              <w:rPr>
                <w:noProof/>
              </w:rPr>
              <w:t xml:space="preserve">9–3.2. Vzdělávání, odborné </w:t>
            </w:r>
            <w:r>
              <w:rPr>
                <w:noProof/>
              </w:rPr>
              <w:t>vzdělávání a příprava a dovednosti – 16934_Zlepšování odborného vzdělávání a přípravy</w:t>
            </w:r>
          </w:p>
        </w:tc>
        <w:tc>
          <w:tcPr>
            <w:tcW w:w="1424" w:type="dxa"/>
            <w:tcBorders>
              <w:top w:val="single" w:sz="4" w:space="0" w:color="auto"/>
              <w:left w:val="nil"/>
              <w:bottom w:val="single" w:sz="4" w:space="0" w:color="auto"/>
              <w:right w:val="single" w:sz="4" w:space="0" w:color="auto"/>
            </w:tcBorders>
            <w:shd w:val="clear" w:color="auto" w:fill="C6EFCE"/>
            <w:noWrap/>
          </w:tcPr>
          <w:p w14:paraId="0A11A013" w14:textId="77777777" w:rsidR="00515398" w:rsidRDefault="006711E6">
            <w:pPr>
              <w:pStyle w:val="P68B1DB1-Normal9"/>
              <w:spacing w:after="0" w:line="240" w:lineRule="auto"/>
              <w:rPr>
                <w:rFonts w:eastAsia="Times New Roman" w:cs="Calibri"/>
                <w:noProof/>
                <w:szCs w:val="18"/>
              </w:rPr>
            </w:pPr>
            <w:r>
              <w:rPr>
                <w:noProof/>
              </w:rPr>
              <w:t>Milník</w:t>
            </w:r>
          </w:p>
        </w:tc>
        <w:tc>
          <w:tcPr>
            <w:tcW w:w="1586" w:type="dxa"/>
            <w:tcBorders>
              <w:top w:val="single" w:sz="4" w:space="0" w:color="auto"/>
              <w:left w:val="nil"/>
              <w:bottom w:val="single" w:sz="4" w:space="0" w:color="auto"/>
              <w:right w:val="single" w:sz="4" w:space="0" w:color="auto"/>
            </w:tcBorders>
            <w:shd w:val="clear" w:color="auto" w:fill="C6EFCE"/>
            <w:noWrap/>
          </w:tcPr>
          <w:p w14:paraId="6136A6FB" w14:textId="1343178B" w:rsidR="00515398" w:rsidRDefault="006711E6">
            <w:pPr>
              <w:pStyle w:val="P68B1DB1-Normal9"/>
              <w:spacing w:after="0" w:line="240" w:lineRule="auto"/>
              <w:rPr>
                <w:rFonts w:eastAsia="Times New Roman" w:cs="Calibri"/>
                <w:noProof/>
                <w:szCs w:val="18"/>
              </w:rPr>
            </w:pPr>
            <w:r>
              <w:rPr>
                <w:noProof/>
              </w:rPr>
              <w:t>Modernizace systému odborného vzdělávání a přípravy SAEK, návrh a vývoj modelu EPAL, dokončení digitalizace EOPPEP</w:t>
            </w:r>
          </w:p>
        </w:tc>
        <w:tc>
          <w:tcPr>
            <w:tcW w:w="1713" w:type="dxa"/>
            <w:tcBorders>
              <w:top w:val="single" w:sz="4" w:space="0" w:color="auto"/>
              <w:left w:val="nil"/>
              <w:bottom w:val="single" w:sz="4" w:space="0" w:color="auto"/>
              <w:right w:val="single" w:sz="4" w:space="0" w:color="auto"/>
            </w:tcBorders>
            <w:shd w:val="clear" w:color="auto" w:fill="C6EFCE"/>
            <w:noWrap/>
          </w:tcPr>
          <w:p w14:paraId="08B0E03A" w14:textId="77777777" w:rsidR="00515398" w:rsidRDefault="006711E6">
            <w:pPr>
              <w:pStyle w:val="P68B1DB1-Normal9"/>
              <w:spacing w:after="0" w:line="240" w:lineRule="auto"/>
              <w:rPr>
                <w:rFonts w:eastAsia="Times New Roman" w:cs="Calibri"/>
                <w:noProof/>
                <w:szCs w:val="18"/>
              </w:rPr>
            </w:pPr>
            <w:r>
              <w:rPr>
                <w:noProof/>
              </w:rPr>
              <w:t xml:space="preserve">Zpráva ministerstva školství potvrzující </w:t>
            </w:r>
            <w:r>
              <w:rPr>
                <w:noProof/>
              </w:rPr>
              <w:t>dokončení projektů</w:t>
            </w:r>
          </w:p>
        </w:tc>
        <w:tc>
          <w:tcPr>
            <w:tcW w:w="1154" w:type="dxa"/>
            <w:tcBorders>
              <w:top w:val="single" w:sz="4" w:space="0" w:color="auto"/>
              <w:left w:val="nil"/>
              <w:bottom w:val="single" w:sz="4" w:space="0" w:color="auto"/>
              <w:right w:val="single" w:sz="4" w:space="0" w:color="auto"/>
            </w:tcBorders>
            <w:shd w:val="clear" w:color="auto" w:fill="C6EFCE"/>
            <w:noWrap/>
          </w:tcPr>
          <w:p w14:paraId="0496B9E9"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566D2E6" w14:textId="77777777" w:rsidR="00515398" w:rsidRDefault="00515398">
            <w:pPr>
              <w:spacing w:after="0" w:line="240" w:lineRule="auto"/>
              <w:rPr>
                <w:rFonts w:eastAsia="Times New Roman" w:cs="Calibri"/>
                <w:noProof/>
                <w:color w:val="006100"/>
                <w:sz w:val="18"/>
                <w:szCs w:val="18"/>
              </w:rPr>
            </w:pPr>
          </w:p>
        </w:tc>
        <w:tc>
          <w:tcPr>
            <w:tcW w:w="771" w:type="dxa"/>
            <w:tcBorders>
              <w:top w:val="single" w:sz="4" w:space="0" w:color="auto"/>
              <w:left w:val="nil"/>
              <w:bottom w:val="single" w:sz="4" w:space="0" w:color="auto"/>
              <w:right w:val="single" w:sz="4" w:space="0" w:color="auto"/>
            </w:tcBorders>
            <w:shd w:val="clear" w:color="auto" w:fill="C6EFCE"/>
            <w:noWrap/>
          </w:tcPr>
          <w:p w14:paraId="74B57E52" w14:textId="77777777" w:rsidR="00515398" w:rsidRDefault="00515398">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732BD4D2" w14:textId="77777777" w:rsidR="00515398" w:rsidRDefault="006711E6">
            <w:pPr>
              <w:pStyle w:val="P68B1DB1-Normal9"/>
              <w:spacing w:after="0" w:line="240" w:lineRule="auto"/>
              <w:rPr>
                <w:noProof/>
              </w:rPr>
            </w:pPr>
            <w:r>
              <w:rPr>
                <w:noProof/>
              </w:rPr>
              <w:t>ČTVRTLETÍ ČTVRT</w:t>
            </w:r>
          </w:p>
          <w:p w14:paraId="71BBF58A" w14:textId="20304745" w:rsidR="00515398" w:rsidRDefault="00515398">
            <w:pPr>
              <w:spacing w:after="0" w:line="240" w:lineRule="auto"/>
              <w:rPr>
                <w:rFonts w:eastAsia="Times New Roman" w:cs="Calibri"/>
                <w:noProof/>
                <w:color w:val="006100"/>
                <w:sz w:val="18"/>
                <w:szCs w:val="18"/>
              </w:rPr>
            </w:pPr>
          </w:p>
        </w:tc>
        <w:tc>
          <w:tcPr>
            <w:tcW w:w="720" w:type="dxa"/>
            <w:tcBorders>
              <w:top w:val="single" w:sz="4" w:space="0" w:color="auto"/>
              <w:left w:val="nil"/>
              <w:bottom w:val="single" w:sz="4" w:space="0" w:color="auto"/>
              <w:right w:val="single" w:sz="4" w:space="0" w:color="auto"/>
            </w:tcBorders>
            <w:shd w:val="clear" w:color="auto" w:fill="C6EFCE"/>
            <w:noWrap/>
          </w:tcPr>
          <w:p w14:paraId="52C7A2BF" w14:textId="77777777" w:rsidR="00515398" w:rsidRDefault="006711E6">
            <w:pPr>
              <w:pStyle w:val="P68B1DB1-Normal9"/>
              <w:spacing w:after="0" w:line="240" w:lineRule="auto"/>
              <w:rPr>
                <w:rFonts w:eastAsia="Times New Roman" w:cs="Calibri"/>
                <w:noProof/>
                <w:szCs w:val="18"/>
              </w:rPr>
            </w:pPr>
            <w:r>
              <w:rPr>
                <w:noProof/>
              </w:rPr>
              <w:t>2025</w:t>
            </w:r>
          </w:p>
        </w:tc>
        <w:tc>
          <w:tcPr>
            <w:tcW w:w="3710" w:type="dxa"/>
            <w:tcBorders>
              <w:top w:val="single" w:sz="4" w:space="0" w:color="auto"/>
              <w:left w:val="nil"/>
              <w:bottom w:val="single" w:sz="4" w:space="0" w:color="auto"/>
              <w:right w:val="single" w:sz="4" w:space="0" w:color="auto"/>
            </w:tcBorders>
            <w:shd w:val="clear" w:color="auto" w:fill="C6EFCE"/>
            <w:noWrap/>
          </w:tcPr>
          <w:p w14:paraId="4FBB5DB7" w14:textId="77777777" w:rsidR="00515398" w:rsidRDefault="006711E6">
            <w:pPr>
              <w:pStyle w:val="P68B1DB1-Normal9"/>
              <w:spacing w:after="0" w:line="240" w:lineRule="auto"/>
              <w:rPr>
                <w:noProof/>
              </w:rPr>
            </w:pPr>
            <w:r>
              <w:rPr>
                <w:noProof/>
              </w:rPr>
              <w:t>Dokončení následujících projektů zaměřených na modernizaci systému odborného vzdělávání a přípravy:</w:t>
            </w:r>
          </w:p>
          <w:p w14:paraId="620717A3" w14:textId="6CA1197D" w:rsidR="00515398" w:rsidRDefault="006711E6">
            <w:pPr>
              <w:pStyle w:val="P68B1DB1-Normal9"/>
              <w:spacing w:after="0" w:line="240" w:lineRule="auto"/>
              <w:rPr>
                <w:noProof/>
              </w:rPr>
            </w:pPr>
            <w:r>
              <w:rPr>
                <w:noProof/>
              </w:rPr>
              <w:t>1. Navrhování a rozvoj příruček odborné přípravy, programů odborné přípravy a školení školitelů pro 5 tematickýc</w:t>
            </w:r>
            <w:r>
              <w:rPr>
                <w:noProof/>
              </w:rPr>
              <w:t>h a 10 zkušebních škol vyššího odborného vzdělávání (SAEK) a renovace budov pro 6 tematických/expperimentálních SAEK;</w:t>
            </w:r>
          </w:p>
          <w:p w14:paraId="5C65081E" w14:textId="5A19A51E" w:rsidR="00515398" w:rsidRDefault="006711E6">
            <w:pPr>
              <w:pStyle w:val="P68B1DB1-Normal9"/>
              <w:spacing w:after="0" w:line="240" w:lineRule="auto"/>
              <w:rPr>
                <w:noProof/>
              </w:rPr>
            </w:pPr>
            <w:r>
              <w:rPr>
                <w:noProof/>
              </w:rPr>
              <w:t>2. Navrhování a rozvoj učebních osnov, programů odborné přípravy a odborné přípravy školitelů pro 25 modelových odborných lyceum (vzor ΕPΑ</w:t>
            </w:r>
            <w:r>
              <w:rPr>
                <w:noProof/>
              </w:rPr>
              <w:t>L) a renovace budov pro 21 model EPAL;</w:t>
            </w:r>
          </w:p>
          <w:p w14:paraId="2AF55EB6" w14:textId="77777777" w:rsidR="00515398" w:rsidRDefault="006711E6">
            <w:pPr>
              <w:pStyle w:val="P68B1DB1-Normal9"/>
              <w:spacing w:after="0" w:line="240" w:lineRule="auto"/>
              <w:rPr>
                <w:rFonts w:eastAsia="Times New Roman" w:cs="Calibri"/>
                <w:noProof/>
                <w:szCs w:val="18"/>
              </w:rPr>
            </w:pPr>
            <w:r>
              <w:rPr>
                <w:noProof/>
              </w:rPr>
              <w:t>3. Digitalizace Národní organizace pro certifikaci kvalifikací a odborného poradenství (EOPPEP), včetně rozvoje platformy pro elektronické zkoušky a platformy pro elektronické učení pro odborné vzdělávání a přípravu.</w:t>
            </w:r>
          </w:p>
        </w:tc>
      </w:tr>
    </w:tbl>
    <w:p w14:paraId="69EE46B8"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163"/>
          <w:headerReference w:type="default" r:id="rId164"/>
          <w:footerReference w:type="even" r:id="rId165"/>
          <w:footerReference w:type="default" r:id="rId166"/>
          <w:headerReference w:type="first" r:id="rId167"/>
          <w:footerReference w:type="first" r:id="rId168"/>
          <w:pgSz w:w="16839" w:h="11907" w:orient="landscape"/>
          <w:pgMar w:top="720" w:right="720" w:bottom="720" w:left="720" w:header="709" w:footer="75" w:gutter="0"/>
          <w:cols w:space="720"/>
          <w:docGrid w:linePitch="360"/>
        </w:sectPr>
      </w:pPr>
    </w:p>
    <w:p w14:paraId="751BFBF3" w14:textId="77777777" w:rsidR="00515398" w:rsidRDefault="006711E6">
      <w:pPr>
        <w:pStyle w:val="P68B1DB1-Normal2"/>
        <w:spacing w:before="120" w:after="120" w:line="240" w:lineRule="auto"/>
        <w:ind w:firstLine="6"/>
        <w:jc w:val="both"/>
        <w:outlineLvl w:val="3"/>
        <w:rPr>
          <w:rFonts w:cs="Times New Roman"/>
          <w:bCs/>
          <w:noProof/>
        </w:rPr>
      </w:pPr>
      <w:r>
        <w:rPr>
          <w:noProof/>
        </w:rPr>
        <w:t>J. SLOŽKA 3.3: ZLEPŠENÍ ODOLNOSTI, PŘÍSTUPNOSTI A UDRŽITELNOSTI ZDRAVOTNÍ PÉČE</w:t>
      </w:r>
    </w:p>
    <w:p w14:paraId="4D9D83D3" w14:textId="77777777" w:rsidR="00515398" w:rsidRDefault="006711E6">
      <w:pPr>
        <w:pStyle w:val="P68B1DB1-Normal4"/>
        <w:spacing w:before="120" w:after="120" w:line="240" w:lineRule="auto"/>
        <w:jc w:val="both"/>
        <w:rPr>
          <w:rFonts w:cs="Times New Roman"/>
          <w:noProof/>
        </w:rPr>
      </w:pPr>
      <w:r>
        <w:rPr>
          <w:noProof/>
        </w:rPr>
        <w:t xml:space="preserve">Tato složka řeckého plánu pro oživení a odolnost se zaměřuje na zvýšení odolnosti systému zdravotní péče </w:t>
      </w:r>
      <w:r>
        <w:rPr>
          <w:noProof/>
        </w:rPr>
        <w:t>prostřednictvím různých intervencí. Část těchto opatření se zaměřuje na fyzickou i digitální infrastrukturu a provozní zlepšení za účelem modernizace a modernizace nemocničního systému a sítě zdravotních středisek. Jiné se zaměřují na podporu a zlepšení př</w:t>
      </w:r>
      <w:r>
        <w:rPr>
          <w:noProof/>
        </w:rPr>
        <w:t>ístupu, účinnosti a odolnosti odvětví zdravotní péče. Konkrétně se jedná o opatření na posílení veřejného zdraví a prevence, zvýšení kapacity systému zdravotní péče pro poskytování služeb v oblasti duševního zdraví a domácí péče, podporu přechodu k silnějš</w:t>
      </w:r>
      <w:r>
        <w:rPr>
          <w:noProof/>
        </w:rPr>
        <w:t>ímu primárnímu zdravotnictví a racionalizaci výdajů na léčivé přípravky a podporu farmaceutického výzkumu a vývoje. Cílem plánu digitalizace systémů a služeb zdravotní péče je podpořit účinnost, zlepšit přístup a zvýšit celkovou transparentnost a kvalitu v</w:t>
      </w:r>
      <w:r>
        <w:rPr>
          <w:noProof/>
        </w:rPr>
        <w:t>eřejných výdajů v systému. Očekává se, že žádné opatření v této složce významně nepoškozuje environmentální cíle ve smyslu článku 17 nařízení (EU) 2020/852, s přihlédnutím k popisu opatření a zmírňujícím krokům stanoveným v plánu pro oživení a odolnost v s</w:t>
      </w:r>
      <w:r>
        <w:rPr>
          <w:noProof/>
        </w:rPr>
        <w:t>ouladu s technickými pokyny „významně nepoškozovat“ (2021/C58/01).</w:t>
      </w:r>
    </w:p>
    <w:p w14:paraId="2ED71AE2"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J.1. </w:t>
      </w:r>
      <w:r>
        <w:rPr>
          <w:noProof/>
        </w:rPr>
        <w:t xml:space="preserve"> </w:t>
      </w:r>
      <w:r>
        <w:rPr>
          <w:rFonts w:ascii="Times New Roman" w:hAnsi="Times New Roman"/>
          <w:b/>
          <w:noProof/>
          <w:sz w:val="24"/>
          <w:u w:val="single"/>
        </w:rPr>
        <w:t>Popis reforem a investic pro nevratnou finanční podporu</w:t>
      </w:r>
    </w:p>
    <w:p w14:paraId="0D2F12CB"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Reformy a urychlení investic v odvětví zdravotní péče – snížení zpětného získání a racionalizace výdajů na zdravotní p</w:t>
      </w:r>
      <w:r>
        <w:rPr>
          <w:noProof/>
        </w:rPr>
        <w:t>éči (opatření ID: 16816)</w:t>
      </w:r>
    </w:p>
    <w:p w14:paraId="61F09C2F" w14:textId="24E0538E" w:rsidR="00515398" w:rsidRDefault="006711E6">
      <w:pPr>
        <w:pStyle w:val="P68B1DB1-Normal5"/>
        <w:spacing w:before="120" w:after="120" w:line="240" w:lineRule="auto"/>
        <w:jc w:val="both"/>
        <w:rPr>
          <w:rFonts w:cs="Times New Roman"/>
          <w:b/>
          <w:noProof/>
        </w:rPr>
      </w:pPr>
      <w:r>
        <w:rPr>
          <w:noProof/>
        </w:rPr>
        <w:t>Reforma systému zpětného vymáhání zavede sdílení rizik do výpočtu zpětného získání tím, že stanoví závazný cíl snížení zpětného vymáhání v příštích letech, minimální snížení částek zpětného získání o 50 000 000 EUR (2022), 150 000 </w:t>
      </w:r>
      <w:r>
        <w:rPr>
          <w:noProof/>
        </w:rPr>
        <w:t>000 EUR (2023), 300 000 000 EUR (2024) a 400 000 000 EUR (2025) oproti úrovním roku 2020, kterého má být dosaženo plným prosazováním dříve přijatých a nových opatření ke zvýšení účinnosti a plně v souladu s pravidly EU pro státní podporu. Kromě toho opatře</w:t>
      </w:r>
      <w:r>
        <w:rPr>
          <w:noProof/>
        </w:rPr>
        <w:t>ní předpokládá financování klinických hodnocení, výzkumu a vývoje nebo jiných investičních výdajů odpovědných společností, a to prostřednictvím částečného vyrovnání jejich zpětně vymáhaných závazků pro roky 2021 a následující roky. Provádění reformy se dok</w:t>
      </w:r>
      <w:r>
        <w:rPr>
          <w:noProof/>
        </w:rPr>
        <w:t>ončí do 30. června 2026.</w:t>
      </w:r>
    </w:p>
    <w:p w14:paraId="66A497E1"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Reforma systému primární zdravotní péče (ID opatření: 16755)</w:t>
      </w:r>
    </w:p>
    <w:p w14:paraId="5A44E013" w14:textId="0D8E0F3C" w:rsidR="00515398" w:rsidRDefault="006711E6">
      <w:pPr>
        <w:pStyle w:val="P68B1DB1-Normal5"/>
        <w:spacing w:before="120" w:after="120" w:line="240" w:lineRule="auto"/>
        <w:jc w:val="both"/>
        <w:rPr>
          <w:noProof/>
        </w:rPr>
      </w:pPr>
      <w:r>
        <w:rPr>
          <w:noProof/>
        </w:rPr>
        <w:t>Cílem reformy systému primární zdravotní péče je modernizovat infrastrukturu a zdravotnické vybavení zdravotnických středisek a reorganizovat systém primární zdr</w:t>
      </w:r>
      <w:r>
        <w:rPr>
          <w:noProof/>
        </w:rPr>
        <w:t>avotní péče rekvalifikací zaměstnanců, aby působili jako péče v první linii. Tato reforma předpokládá 1) dokončení modernizace a energeticky účinných renovací a nákup zdravotnického vybavení pro nejméně 156 zdravotnických středisek v zemi, 2) vypracování p</w:t>
      </w:r>
      <w:r>
        <w:rPr>
          <w:noProof/>
        </w:rPr>
        <w:t>lánu pro reformu primární zdravotní péče, pilotní provádění mechanismu předávání, odbornou přípravu zaměstnanců s cílem zlepšit kapacitu pracovní síly v oblasti PHC, rozvoj digitální platformy pro posílení využívání údajů pro informované rozhodování v obla</w:t>
      </w:r>
      <w:r>
        <w:rPr>
          <w:noProof/>
        </w:rPr>
        <w:t>sti zdravotní péče, 3) rozšíření dostupnosti aktivních (pokud již byly zahájeny kurzy) osnovy pro rodinné lékařství tak, aby je nabízelo alespoň 75 % lékařských škol a do čtvrtého čtvrtletí roku 2022 zavedl prvek rodinného lékařství do všech lékařských osn</w:t>
      </w:r>
      <w:r>
        <w:rPr>
          <w:noProof/>
        </w:rPr>
        <w:t>ov) podpořit rozvoj integrovaného systému péče vytvořením rámce pro zvládání chronických onemocnění.  Očekává se, že toto opatření významně nepoškodí environmentální cíle ve smyslu článku 17 nařízení (EU) 2020/852, s přihlédnutím k popisu opatření a zmírňu</w:t>
      </w:r>
      <w:r>
        <w:rPr>
          <w:noProof/>
        </w:rPr>
        <w:t xml:space="preserve">jícím krokům stanoveným v plánu na podporu oživení a odolnosti v souladu s technickými pokyny „nezpůsobit významnou újmu“ (2021/C58/01). </w:t>
      </w:r>
    </w:p>
    <w:p w14:paraId="536386A7" w14:textId="6926BCBD" w:rsidR="00515398" w:rsidRDefault="006711E6">
      <w:pPr>
        <w:pStyle w:val="P68B1DB1-Normal4"/>
        <w:spacing w:before="120" w:after="120" w:line="240" w:lineRule="auto"/>
        <w:jc w:val="both"/>
        <w:rPr>
          <w:rFonts w:cs="Times New Roman"/>
          <w:noProof/>
        </w:rPr>
      </w:pPr>
      <w:r>
        <w:rPr>
          <w:noProof/>
        </w:rPr>
        <w:t>Opatření zejména vyžaduje, aby hospodářské subjekty provádějící stavební práce zajistily, že nejméně 70 % (hmotnostníc</w:t>
      </w:r>
      <w:r>
        <w:rPr>
          <w:noProof/>
        </w:rPr>
        <w:t>h) konstrukčních a demoličních odpadů neklasifikovaných jako nebezpečné (s výjimkou přirozeně se vyskytujících materiálů uvedených v kategorii 17 05 04 na evropském seznamu odpadů stanoveném rozhodnutím 2000/532/ES ze dne 3. května 2000, kterým se nahrazuj</w:t>
      </w:r>
      <w:r>
        <w:rPr>
          <w:noProof/>
        </w:rPr>
        <w:t>e rozhodnutí 94/3/ES, kterým se stanoví seznam odpadů podle čl. 1 písm. a) směrnice Rady 75/442/EHS o odpadech a rozhodnutí Rady 94/904/ES, kterým se stanoví seznam nebezpečných odpadů ve smyslu čl. 1 odst. 4 směrnice Rady 91/689/EHS o nebezpečných odpadec</w:t>
      </w:r>
      <w:r>
        <w:rPr>
          <w:noProof/>
        </w:rPr>
        <w:t>h (oznámeno pod číslem K(2000) 1147)) vzniklých na staveništi, bude připraveno k opětovnému použití, recyklace a jiné materiálové využití, včetně zasypávání odpadů za účelem nahrazení jiných materiálů, v souladu s hierarchií způsobů nakládání s odpady a pr</w:t>
      </w:r>
      <w:r>
        <w:rPr>
          <w:noProof/>
        </w:rPr>
        <w:t>otokolem EU o nakládání se stavebním a demoličním odpadem. Provádění reformy se dokončí do 31. prosince 2025.</w:t>
      </w:r>
    </w:p>
    <w:p w14:paraId="2C318E6F"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Provádění národního programu prevence v oblasti veřejného zdraví „Spiros Doxiadis“ (NPP „SD“) (ID opatření: 16783)</w:t>
      </w:r>
    </w:p>
    <w:p w14:paraId="04320308" w14:textId="170EE6A0" w:rsidR="00515398" w:rsidRDefault="006711E6">
      <w:pPr>
        <w:pStyle w:val="P68B1DB1-Normal5"/>
        <w:spacing w:before="120" w:after="120" w:line="240" w:lineRule="auto"/>
        <w:jc w:val="both"/>
        <w:rPr>
          <w:rFonts w:cs="Times New Roman"/>
          <w:noProof/>
        </w:rPr>
      </w:pPr>
      <w:r>
        <w:rPr>
          <w:noProof/>
        </w:rPr>
        <w:t>Cílem reformy je zlepš</w:t>
      </w:r>
      <w:r>
        <w:rPr>
          <w:noProof/>
        </w:rPr>
        <w:t>it kvalitu života obyvatelstva a odolnost systému zdravotní péče vytvořením komplexního systému prevence, primární a sekundární zdravotní péče. To zahrnuje několik prvků na pilotním základě, a to takto: (1a) intervence na podporu tělesného cvičení a zdravé</w:t>
      </w:r>
      <w:r>
        <w:rPr>
          <w:noProof/>
        </w:rPr>
        <w:t>ho stravování prostřednictvím: a) legislativní rámec pro stravování ve zdravotnictví a školní jídelny, b) systematická odborná příprava s využitím zkušených školení ve školních osnovách, c) komunitní akce, d) zřízení Evropského střediska pro obezitu, e) po</w:t>
      </w:r>
      <w:r>
        <w:rPr>
          <w:noProof/>
        </w:rPr>
        <w:t>dpora tělesné aktivity, f) digitální nástroje, g) osvětová kampaň, (1b) intervence v oblasti zdravotní gramotnosti zaměřené na škodlivé důsledky zneužívání alkoholu, (1c) intervence k prevenci psychosociálních problémů u dětí, (1d) intervence v oblasti péč</w:t>
      </w:r>
      <w:r>
        <w:rPr>
          <w:noProof/>
        </w:rPr>
        <w:t>e o děti, (2a) screening populace na rakovinu prsu, rakovinu děložního čípku, rakovinu tlustého střeva a konečníku a kardiovaskulární onemocnění, (2b) intervence pro národní prenatální screening v odlehlých oblastech a národní prenatální screening (3) funk</w:t>
      </w:r>
      <w:r>
        <w:rPr>
          <w:noProof/>
        </w:rPr>
        <w:t>ční a provozní modernizaci systému veřejného zdravotnictví. Provádění reformy se dokončí do 31. prosince 2025.</w:t>
      </w:r>
    </w:p>
    <w:p w14:paraId="0DAB010F"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Reforma v oblasti duševního zdraví a závislostí (ID opatření: 16820)</w:t>
      </w:r>
    </w:p>
    <w:p w14:paraId="745443EF" w14:textId="3F7C118D" w:rsidR="00515398" w:rsidRDefault="006711E6">
      <w:pPr>
        <w:pStyle w:val="P68B1DB1-Normal5"/>
        <w:spacing w:before="120" w:after="120" w:line="240" w:lineRule="auto"/>
        <w:jc w:val="both"/>
        <w:rPr>
          <w:noProof/>
        </w:rPr>
      </w:pPr>
      <w:r>
        <w:rPr>
          <w:noProof/>
        </w:rPr>
        <w:t>Cílem této reformy je zajistit přístup ke kvalitním službám v oblas</w:t>
      </w:r>
      <w:r>
        <w:rPr>
          <w:noProof/>
        </w:rPr>
        <w:t>ti duševního zdraví pro konkrétní obyvatelstvo trpící duševním onemocněním a závislostí, aby se zabránilo jejich marginalizaci nebo institucionalizaci.  Spočívá v rozšíření služeb v oblasti duševního zdraví prostřednictvím jednotek duševního zdraví pro pac</w:t>
      </w:r>
      <w:r>
        <w:rPr>
          <w:noProof/>
        </w:rPr>
        <w:t>ienty s demencí a Alzheimerovou chorobou, jakož i pro pacienty s autismem a pro pacienty ve věkové skupině dětí, dospívajících a mladých dospělých, jakož i služby v oblasti duševního zdraví pro osoby se závislostmi. To bude doprovázeno vývojem webových apl</w:t>
      </w:r>
      <w:r>
        <w:rPr>
          <w:noProof/>
        </w:rPr>
        <w:t>ikací a digitalizací služeb v oblasti duševního zdraví. Provádění reformy se dokončí do 31. prosince 2023.</w:t>
      </w:r>
    </w:p>
    <w:p w14:paraId="5FBF1D76" w14:textId="15BA1D20" w:rsidR="00515398" w:rsidRDefault="006711E6">
      <w:pPr>
        <w:pStyle w:val="P68B1DB1-Normal5"/>
        <w:spacing w:before="120" w:after="120" w:line="240" w:lineRule="auto"/>
        <w:jc w:val="both"/>
        <w:rPr>
          <w:rFonts w:cs="Times New Roman"/>
          <w:noProof/>
        </w:rPr>
      </w:pPr>
      <w:r>
        <w:rPr>
          <w:b/>
          <w:noProof/>
        </w:rPr>
        <w:t>Reforma:</w:t>
      </w:r>
      <w:r>
        <w:rPr>
          <w:noProof/>
        </w:rPr>
        <w:t xml:space="preserve"> Organizační reformy systému zdravotní péče (ID opatření: 16756)</w:t>
      </w:r>
    </w:p>
    <w:p w14:paraId="41DA189A" w14:textId="6CF2BE92" w:rsidR="00515398" w:rsidRDefault="006711E6">
      <w:pPr>
        <w:pStyle w:val="P68B1DB1-Normal4"/>
        <w:spacing w:before="120" w:after="120" w:line="240" w:lineRule="auto"/>
        <w:jc w:val="both"/>
        <w:rPr>
          <w:rFonts w:cs="Times New Roman"/>
          <w:noProof/>
          <w:szCs w:val="24"/>
        </w:rPr>
      </w:pPr>
      <w:r>
        <w:rPr>
          <w:noProof/>
          <w:szCs w:val="24"/>
        </w:rPr>
        <w:t>Cílem této reformy je racionalizovat proplácení nemocničních lékařských post</w:t>
      </w:r>
      <w:r>
        <w:rPr>
          <w:noProof/>
          <w:szCs w:val="24"/>
        </w:rPr>
        <w:t>upů 1) posílením řecké skupiny pro diagnostiku (DRG) (KETEKNY) a 2) vytvořením rámce, který zajistí zavedení spolehlivých a kvalitních postupů a měření výkonnosti v oblasti péče o pacienty, zdravotních potřeb a poskytování péče na podporu řecké agentury pr</w:t>
      </w:r>
      <w:r>
        <w:rPr>
          <w:noProof/>
          <w:szCs w:val="24"/>
        </w:rPr>
        <w:t xml:space="preserve">o zajištění kvality v oblasti zdravotní péče (ODIPY) a jejích činností. Očekává se, že vytvoření vnitrostátní zdravotní mapy, která zaznamená poptávku a nabídku služeb ve zdravotnictví a stanoví rámec pro hodnocení kvality, zajistí větší transparentnost a </w:t>
      </w:r>
      <w:r>
        <w:rPr>
          <w:noProof/>
          <w:szCs w:val="24"/>
        </w:rPr>
        <w:t xml:space="preserve">účinnost systému </w:t>
      </w:r>
      <w:r>
        <w:rPr>
          <w:noProof/>
        </w:rPr>
        <w:t>zdravotní péče. Kromě toho je reforma doplněna omezením čekacího seznamu pro volitelné chirurgické zákroky (prostřednictvím dokončení 34000 odpoledních chirurgických operací (operace prováděné nad rámec běžné otevírací doby Národního zdrav</w:t>
      </w:r>
      <w:r>
        <w:rPr>
          <w:noProof/>
        </w:rPr>
        <w:t>otního systému). Provádění reformy se dokončí do 31. prosince 2025.</w:t>
      </w:r>
    </w:p>
    <w:p w14:paraId="66EE9287" w14:textId="354B105C" w:rsidR="00515398" w:rsidRDefault="006711E6">
      <w:pPr>
        <w:pStyle w:val="P68B1DB1-Normal5"/>
        <w:spacing w:before="120" w:after="120" w:line="240" w:lineRule="auto"/>
        <w:jc w:val="both"/>
        <w:rPr>
          <w:rFonts w:cs="Times New Roman"/>
          <w:noProof/>
        </w:rPr>
      </w:pPr>
      <w:r>
        <w:rPr>
          <w:b/>
          <w:noProof/>
        </w:rPr>
        <w:t>Investice:</w:t>
      </w:r>
      <w:r>
        <w:rPr>
          <w:noProof/>
        </w:rPr>
        <w:t xml:space="preserve"> Zdravotnická infrastruktura (ID opatření: 16795)</w:t>
      </w:r>
    </w:p>
    <w:p w14:paraId="697822ED" w14:textId="4B86F12E" w:rsidR="00515398" w:rsidRDefault="006711E6">
      <w:pPr>
        <w:pStyle w:val="P68B1DB1-Normal4"/>
        <w:spacing w:before="120" w:after="120" w:line="240" w:lineRule="auto"/>
        <w:jc w:val="both"/>
        <w:rPr>
          <w:rFonts w:cs="Times New Roman"/>
          <w:noProof/>
        </w:rPr>
      </w:pPr>
      <w:r>
        <w:rPr>
          <w:noProof/>
        </w:rPr>
        <w:t>Investice spočívá v komplexních intervencích na modernizaci logistické infrastruktury nemocnic v celém Řecku, včetně energeticky</w:t>
      </w:r>
      <w:r>
        <w:rPr>
          <w:noProof/>
        </w:rPr>
        <w:t xml:space="preserve"> účinné renovace budov a dodávek nového zdravotnického vybavení. Investice posílí postavení zdravotnického a ošetřovatelského personálu národního systému zdravotní péče o nástroje nezbytné ke zlepšení kvality a účinnosti poskytovaných zdravotnických služeb</w:t>
      </w:r>
      <w:r>
        <w:rPr>
          <w:noProof/>
        </w:rPr>
        <w:t>. Očekává se, že toto opatření významně nepoškodí environmentální cíle ve smyslu článku 17 nařízení (EU) 2020/852, s přihlédnutím k popisu opatření a zmírňujícím krokům stanoveným v plánu na podporu oživení a odolnosti v souladu s technickými pokyny „nezpů</w:t>
      </w:r>
      <w:r>
        <w:rPr>
          <w:noProof/>
        </w:rPr>
        <w:t>sobit významnou újmu“ (2021/C58/01). Opatření zejména vyžaduje, aby hospodářské subjekty provádějící stavební práce zajistily, že nejméně 70 % (hmotnostních) konstrukčních a demoličních odpadů neklasifikovaných jako nebezpečné (s výjimkou přirozeně se vysk</w:t>
      </w:r>
      <w:r>
        <w:rPr>
          <w:noProof/>
        </w:rPr>
        <w:t>ytujících materiálů uvedených v kategorii 17 05 04 na evropském seznamu odpadů stanoveném rozhodnutím 2000/532/ES ze dne 3. května 2000, kterým se nahrazuje rozhodnutí 94/3/ES, kterým se stanoví seznam odpadů podle čl. 1 písm. a) směrnice Rady 75/442/EHS o</w:t>
      </w:r>
      <w:r>
        <w:rPr>
          <w:noProof/>
        </w:rPr>
        <w:t xml:space="preserve"> odpadech a rozhodnutí Rady 94/904/ES, kterým se stanoví seznam nebezpečných odpadů ve smyslu čl. 1 odst. 4 směrnice Rady 91/689/EHS o nebezpečných odpadech (oznámeno pod číslem K(2000) 1147)) vzniklých na staveništi, bude připraveno k opětovnému použití, </w:t>
      </w:r>
      <w:r>
        <w:rPr>
          <w:noProof/>
        </w:rPr>
        <w:t>recyklace a jiné materiálové využití, včetně zasypávání odpadů za účelem nahrazení jiných materiálů, v souladu s hierarchií způsobů nakládání s odpady a protokolem EU o nakládání se stavebním a demoličním odpadem. Investice musí být provedena do 31. prosin</w:t>
      </w:r>
      <w:r>
        <w:rPr>
          <w:noProof/>
        </w:rPr>
        <w:t>ce 2025.</w:t>
      </w:r>
    </w:p>
    <w:p w14:paraId="40E0CECA"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zdraví (DigHealth) (ID opatření: 16752)</w:t>
      </w:r>
    </w:p>
    <w:p w14:paraId="0B69FC6B" w14:textId="1179F538" w:rsidR="00515398" w:rsidRDefault="006711E6">
      <w:pPr>
        <w:pStyle w:val="P68B1DB1-Normal5"/>
        <w:spacing w:before="120" w:after="120" w:line="240" w:lineRule="auto"/>
        <w:jc w:val="both"/>
        <w:rPr>
          <w:rFonts w:cs="Times New Roman"/>
          <w:noProof/>
        </w:rPr>
      </w:pPr>
      <w:r>
        <w:rPr>
          <w:noProof/>
        </w:rPr>
        <w:t>Cílem investice je optimalizovat kvalitu zdravotní péče a bezpečnost pacientů pomocí nových inovativních služeb a zároveň pomoci kontrolovat výdaje na zdravotní péči tím, že</w:t>
      </w:r>
      <w:r>
        <w:rPr>
          <w:noProof/>
        </w:rPr>
        <w:t xml:space="preserve"> odrazuje od nadměrného využívání výrobků, léčivých přípravků, zlepšení řízení nemocnic, zkušeností pacientů, postupů zadávání veřejných zakázek a zlepšení funkcí systému, interoperability a digitálních kapacit EOPYY (Národní organizace pro poskytování zdr</w:t>
      </w:r>
      <w:r>
        <w:rPr>
          <w:noProof/>
        </w:rPr>
        <w:t>avotnických služeb). Investice zahrnuje realizaci osmi dílčích projektů: dokončení a uvedení do provozu vnitrostátních digitálních zdravotních záznamů, zavedení programu digitální transformace léčby rakoviny, rozšíření kapacity Národní sítě telemedicíny (E</w:t>
      </w:r>
      <w:r>
        <w:rPr>
          <w:noProof/>
        </w:rPr>
        <w:t xml:space="preserve">DIT), zlepšení digitální připravenosti nemocnic a digitální transformace EOPYY, služby pro rozšíření systému vytváření a řízení jmenování v rámci národního programu očkování proti COVID-19, modernizace infrastruktury systému elektronického předepisování a </w:t>
      </w:r>
      <w:r>
        <w:rPr>
          <w:noProof/>
        </w:rPr>
        <w:t>vývojové a výrobní provozní služby pro informační systémy IDIKA SA. Investice musí být provedena do 31. prosince 2025.</w:t>
      </w:r>
    </w:p>
    <w:p w14:paraId="7C0550F6"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Zřízení střediska pro radioterapii v Aténách „Sotiria“ Thoracic Diseases Hospital (Identifikační číslo opatření: 16757)</w:t>
      </w:r>
    </w:p>
    <w:p w14:paraId="72FFE121" w14:textId="1FBFAF06" w:rsidR="00515398" w:rsidRDefault="006711E6">
      <w:pPr>
        <w:pStyle w:val="P68B1DB1-Normal5"/>
        <w:spacing w:before="120" w:after="120" w:line="240" w:lineRule="auto"/>
        <w:jc w:val="both"/>
        <w:rPr>
          <w:rFonts w:cs="Times New Roman"/>
          <w:noProof/>
        </w:rPr>
      </w:pPr>
      <w:r>
        <w:rPr>
          <w:noProof/>
        </w:rPr>
        <w:t>Zřízení a výstavba radioterapeutického centra v nemocnici Sotiria pomůže uspokojit potřeby onkologických pacientů a zvýšenou poptávku po radioterapii v zemi. To zahrnuje vytvoření nového radioterapeutického oddělení, novou infrastrukturu pro ambulantní odd</w:t>
      </w:r>
      <w:r>
        <w:rPr>
          <w:noProof/>
        </w:rPr>
        <w:t>ělení, střediska klinické excelence a oddělení specializované péče, propojení stávajících budov (Mega Laikon a 300 Andron);  renovace klinik a nových laboratoří, včetně infrastruktury a vybavení. Očekává se, že toto opatření významně nepoškodí environmentá</w:t>
      </w:r>
      <w:r>
        <w:rPr>
          <w:noProof/>
        </w:rPr>
        <w:t>lní cíle ve smyslu článku 17 nařízení (EU) 2020/852, s přihlédnutím k popisu opatření a zmírňujícím krokům stanoveným v plánu na podporu oživení a odolnosti v souladu s technickými pokyny „nezpůsobit významnou újmu“ (2021/C58/01). Opatření zejména vyžaduje</w:t>
      </w:r>
      <w:r>
        <w:rPr>
          <w:noProof/>
        </w:rPr>
        <w:t>, aby hospodářské subjekty provádějící stavební práce zajistily, že nejméně 70 % (hmotnostních) konstrukčních a demoličních odpadů neklasifikovaných jako nebezpečné (s výjimkou přirozeně se vyskytujících materiálů uvedených v kategorii 17 05 04 na evropské</w:t>
      </w:r>
      <w:r>
        <w:rPr>
          <w:noProof/>
        </w:rPr>
        <w:t>m seznamu odpadů stanoveném rozhodnutím 2000/532/ES ze dne 3. května 2000, kterým se nahrazuje rozhodnutí 94/3/ES, kterým se stanoví seznam odpadů podle čl. 1 písm. a) směrnice Rady 75/442/EHS o odpadech a rozhodnutí Rady 94/904/ES, kterým se stanoví sezna</w:t>
      </w:r>
      <w:r>
        <w:rPr>
          <w:noProof/>
        </w:rPr>
        <w:t>m nebezpečných odpadů ve smyslu čl. 1 odst. 4 směrnice Rady 91/689/EHS o nebezpečných odpadech (oznámeno pod číslem K(2000) 1147)) vzniklých na staveništi, bude připraveno k opětovnému použití, recyklace a jiné materiálové využití, včetně zasypávání odpadů</w:t>
      </w:r>
      <w:r>
        <w:rPr>
          <w:noProof/>
        </w:rPr>
        <w:t xml:space="preserve"> za účelem nahrazení jiných materiálů, v souladu s hierarchií způsobů nakládání s odpady a protokolem EU o nakládání se stavebním a demoličním odpadem. Investice musí být provedena do 31. prosince 2025.</w:t>
      </w:r>
    </w:p>
    <w:p w14:paraId="5D6CA141"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Zřízení systémů domácí zdravotní péče a ne</w:t>
      </w:r>
      <w:r>
        <w:rPr>
          <w:noProof/>
        </w:rPr>
        <w:t>mocnice (ID opatření: 16753)</w:t>
      </w:r>
    </w:p>
    <w:p w14:paraId="2B73149B" w14:textId="77777777" w:rsidR="00515398" w:rsidRDefault="006711E6">
      <w:pPr>
        <w:pStyle w:val="P68B1DB1-Normal4"/>
        <w:spacing w:before="120" w:after="120" w:line="240" w:lineRule="auto"/>
        <w:jc w:val="both"/>
        <w:rPr>
          <w:rFonts w:cs="Times New Roman"/>
          <w:noProof/>
        </w:rPr>
      </w:pPr>
      <w:r>
        <w:rPr>
          <w:noProof/>
        </w:rPr>
        <w:t>Investice se týká zřízení systému domácí péče pro cílové skupiny pacientů s chronickým postižením. Domácí péče je spojena s paralelní organizovanou podporou zdravotnických jednotek a týká se dětí, dospívajících a dospělých se z</w:t>
      </w:r>
      <w:r>
        <w:rPr>
          <w:noProof/>
        </w:rPr>
        <w:t>ávažnými chronickými zdravotními problémy, které způsobují dlouhodobé nebo trvalé zdravotní postižení. To zlepšuje kvalitu života pacientů a zároveň uvolňuje zdroje pro vnitrostátní systém zdravotní péče. Investice realizuje pět dílčích projektů: 1) průzku</w:t>
      </w:r>
      <w:r>
        <w:rPr>
          <w:noProof/>
        </w:rPr>
        <w:t>m posouzení potřeb zaměřený na určení osvědčených postupů, zaznamenávání potřeb a současné situace v Řecku a vypracování návrhu na institucionalizaci domácí péče; 2) zavádění aplikací telemedicíny jako monitorovacích nástrojů pro podporu pacientů; 3) vytvo</w:t>
      </w:r>
      <w:r>
        <w:rPr>
          <w:noProof/>
        </w:rPr>
        <w:t>ření a zavedení vnitrostátního registru pacientů léčených prostřednictvím domácí péče; 4) stanovení standardizovaných léčebných protokolů, jakož i norem jakosti a bezpečnosti a 5) vytvoření osmi referenčních míst (jedna v každém regionálním zdravotnickém o</w:t>
      </w:r>
      <w:r>
        <w:rPr>
          <w:noProof/>
        </w:rPr>
        <w:t>rgánu). Investice se uskuteční do 30. června 2025.</w:t>
      </w:r>
    </w:p>
    <w:p w14:paraId="78EA378D"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Projekt výstavby budovy určené pro Cellular &amp; Gene Therapies and Hematology Clinic Laboratories v rámci všeobecné nemocnice Soluň „Papanikolaou“ (Identifikační číslo opatření: 16793). </w:t>
      </w:r>
    </w:p>
    <w:p w14:paraId="7E475C69" w14:textId="2FFC0599" w:rsidR="00515398" w:rsidRDefault="006711E6">
      <w:pPr>
        <w:pStyle w:val="P68B1DB1-Normal4"/>
        <w:spacing w:before="120" w:after="120" w:line="240" w:lineRule="auto"/>
        <w:jc w:val="both"/>
        <w:rPr>
          <w:noProof/>
        </w:rPr>
      </w:pPr>
      <w:r>
        <w:rPr>
          <w:noProof/>
        </w:rPr>
        <w:t>Investice</w:t>
      </w:r>
      <w:r>
        <w:rPr>
          <w:noProof/>
        </w:rPr>
        <w:t xml:space="preserve"> předpokládá vytvoření nových budov pro umístění laboratoří pro buněčnou a genetickou terapii a hematologickou kliniku v nemocnici Papanikolaou s cílem udržet její služby v souladu se zvýšenými požadavky na péči o pacienty (malózní hematologická onemocnění</w:t>
      </w:r>
      <w:r>
        <w:rPr>
          <w:noProof/>
        </w:rPr>
        <w:t>) a rostoucí poptávkou po moderních technologiích; rovněž modernizuje stávající budovu pro přesun laboratoří a oddělení denní péče. Nově postavená budova musí splňovat požadavek na primární energii (PED), který je alespoň o 20 % nižší než požadavek na budo</w:t>
      </w:r>
      <w:r>
        <w:rPr>
          <w:noProof/>
        </w:rPr>
        <w:t>vy s téměř nulovou spotřebou energie (budova s téměř nulovou spotřebou energie, vnitrostátní směrnice). Očekává se, že toto opatření významně nepoškodí environmentální cíle ve smyslu článku 17 nařízení (EU) 2020/852, s přihlédnutím k popisu opatření a zmír</w:t>
      </w:r>
      <w:r>
        <w:rPr>
          <w:noProof/>
        </w:rPr>
        <w:t xml:space="preserve">ňujícím krokům stanoveným v plánu na podporu oživení a odolnosti v souladu s technickými pokyny „nezpůsobit významnou újmu“ (2021/C58/01). </w:t>
      </w:r>
    </w:p>
    <w:p w14:paraId="4C6213BC" w14:textId="08E61885" w:rsidR="00515398" w:rsidRDefault="006711E6">
      <w:pPr>
        <w:pStyle w:val="P68B1DB1-Normal4"/>
        <w:spacing w:before="120" w:after="120" w:line="240" w:lineRule="auto"/>
        <w:jc w:val="both"/>
        <w:rPr>
          <w:rFonts w:cs="Times New Roman"/>
          <w:noProof/>
        </w:rPr>
      </w:pPr>
      <w:r>
        <w:rPr>
          <w:noProof/>
        </w:rPr>
        <w:t>Opatření zejména vyžaduje, aby hospodářské subjekty provádějící stavební práce zajistily, že nejméně 70 % (hmotnostn</w:t>
      </w:r>
      <w:r>
        <w:rPr>
          <w:noProof/>
        </w:rPr>
        <w:t>ích) konstrukčních a demoličních odpadů neklasifikovaných jako nebezpečné (s výjimkou přirozeně se vyskytujících materiálů uvedených v kategorii 17 05 04 na evropském seznamu odpadů stanoveném rozhodnutím 2000/532/ES ze dne 3. května 2000, kterým se nahraz</w:t>
      </w:r>
      <w:r>
        <w:rPr>
          <w:noProof/>
        </w:rPr>
        <w:t>uje rozhodnutí 94/3/ES, kterým se stanoví seznam odpadů podle čl. 1 písm. a) směrnice Rady 75/442/EHS o odpadech a rozhodnutí Rady 94/904/ES, kterým se stanoví seznam nebezpečných odpadů ve smyslu čl. 1 odst. 4 směrnice Rady 91/689/EHS o nebezpečných odpad</w:t>
      </w:r>
      <w:r>
        <w:rPr>
          <w:noProof/>
        </w:rPr>
        <w:t xml:space="preserve">ech (oznámeno pod číslem K(2000) 1147)) vzniklých na staveništi, bude připraveno k opětovnému použití, recyklace a jiné materiálové využití, včetně zasypávání odpadů za účelem nahrazení jiných materiálů, v souladu s hierarchií způsobů nakládání s odpady a </w:t>
      </w:r>
      <w:r>
        <w:rPr>
          <w:noProof/>
        </w:rPr>
        <w:t>protokolem EU o nakládání se stavebním a demoličním odpadem. Investice musí být provedena do 31. prosince 2025.</w:t>
      </w:r>
    </w:p>
    <w:p w14:paraId="699BE25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Reforma osobního lékaře (ID opatření: 16984)</w:t>
      </w:r>
    </w:p>
    <w:p w14:paraId="7B713A48" w14:textId="46D238B1" w:rsidR="00515398" w:rsidRDefault="006711E6">
      <w:pPr>
        <w:pStyle w:val="P68B1DB1-Default29"/>
        <w:jc w:val="both"/>
        <w:rPr>
          <w:rFonts w:cs="Times New Roman"/>
          <w:noProof/>
        </w:rPr>
        <w:sectPr w:rsidR="00515398" w:rsidSect="00271D33">
          <w:headerReference w:type="even" r:id="rId169"/>
          <w:headerReference w:type="default" r:id="rId170"/>
          <w:footerReference w:type="even" r:id="rId171"/>
          <w:footerReference w:type="default" r:id="rId172"/>
          <w:headerReference w:type="first" r:id="rId173"/>
          <w:footerReference w:type="first" r:id="rId174"/>
          <w:pgSz w:w="11907" w:h="16839"/>
          <w:pgMar w:top="1134" w:right="1417" w:bottom="1134" w:left="1417" w:header="709" w:footer="468" w:gutter="0"/>
          <w:cols w:space="720"/>
          <w:docGrid w:linePitch="360"/>
        </w:sectPr>
      </w:pPr>
      <w:r>
        <w:rPr>
          <w:noProof/>
        </w:rPr>
        <w:t>Cílem reformy je zvýšit</w:t>
      </w:r>
      <w:r>
        <w:rPr>
          <w:noProof/>
        </w:rPr>
        <w:t xml:space="preserve"> počet osobních lékařů zapsaných do osobního systému lékařů s cílem dosáhnout plného pokrytí obyvatelstva a dokončit registraci obyvatelstva.  Reforma umožní rozšířit soubor dostupných osobních lékařů tím, že se všichni stávající lékaři na venkově zaregist</w:t>
      </w:r>
      <w:r>
        <w:rPr>
          <w:noProof/>
        </w:rPr>
        <w:t>rují jako osobní lékaři a vytvoří se nová podobná pracovní místa ve všech městských, příměstských a venkovských oblastech, kde stále existuje nedostatek osobních lékařů. Zavede se pobídkový mechanismus pro lékaře, aby se stali rezidenty všeobecné/rodinné n</w:t>
      </w:r>
      <w:r>
        <w:rPr>
          <w:noProof/>
        </w:rPr>
        <w:t xml:space="preserve">ebo interní medicíny. Musí být aktivován systém založený na uchovávání brány. Provádění reformy bude dokončeno do druhého čtvrtletí roku 2025.  </w:t>
      </w:r>
    </w:p>
    <w:p w14:paraId="41D5E7E6" w14:textId="13F8D4C8" w:rsidR="00515398" w:rsidRDefault="006711E6">
      <w:pPr>
        <w:pStyle w:val="P68B1DB1-Normal25"/>
        <w:spacing w:before="120" w:after="120" w:line="240" w:lineRule="auto"/>
        <w:jc w:val="both"/>
        <w:rPr>
          <w:rFonts w:cs="Times New Roman"/>
          <w:bCs/>
          <w:noProof/>
        </w:rPr>
      </w:pPr>
      <w:r>
        <w:rPr>
          <w:noProof/>
        </w:rPr>
        <w:t>J.2. Milníky, cíle, ukazatele a harmonogram monitorování a provádění nevratné finanční podpory</w:t>
      </w:r>
    </w:p>
    <w:p w14:paraId="462E3341" w14:textId="77777777" w:rsidR="00515398" w:rsidRDefault="006711E6">
      <w:pPr>
        <w:pStyle w:val="P68B1DB1-Normal6"/>
        <w:keepNext/>
        <w:keepLines/>
        <w:spacing w:before="40" w:after="0" w:line="240" w:lineRule="auto"/>
        <w:jc w:val="both"/>
        <w:outlineLvl w:val="4"/>
        <w:rPr>
          <w:noProof/>
        </w:rPr>
      </w:pPr>
      <w:r>
        <w:rPr>
          <w:noProof/>
        </w:rPr>
        <w:t xml:space="preserve">Klíčová reforma </w:t>
      </w:r>
      <w:r>
        <w:rPr>
          <w:noProof/>
        </w:rPr>
        <w:t>7: Reformy a urychlení investic v odvětví zdravotní péče – snížení zpětného získání a racionalizace výdajů na zdravotní péči (ID: 16816)</w:t>
      </w:r>
    </w:p>
    <w:p w14:paraId="75711023"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W w:w="15730" w:type="dxa"/>
        <w:jc w:val="center"/>
        <w:tblLook w:val="04A0" w:firstRow="1" w:lastRow="0" w:firstColumn="1" w:lastColumn="0" w:noHBand="0" w:noVBand="1"/>
      </w:tblPr>
      <w:tblGrid>
        <w:gridCol w:w="1027"/>
        <w:gridCol w:w="1387"/>
        <w:gridCol w:w="967"/>
        <w:gridCol w:w="1422"/>
        <w:gridCol w:w="1717"/>
        <w:gridCol w:w="1385"/>
        <w:gridCol w:w="870"/>
        <w:gridCol w:w="764"/>
        <w:gridCol w:w="984"/>
        <w:gridCol w:w="992"/>
        <w:gridCol w:w="4501"/>
      </w:tblGrid>
      <w:tr w:rsidR="00515398" w14:paraId="347D3D0D" w14:textId="77777777">
        <w:trPr>
          <w:trHeight w:val="75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851284"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2418E9"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4DC7D03"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B491D0"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4ABB78"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82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106BB72"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965" w:type="dxa"/>
            <w:gridSpan w:val="2"/>
            <w:tcBorders>
              <w:top w:val="single" w:sz="4" w:space="0" w:color="auto"/>
              <w:left w:val="nil"/>
              <w:bottom w:val="single" w:sz="4" w:space="0" w:color="auto"/>
              <w:right w:val="single" w:sz="4" w:space="0" w:color="auto"/>
            </w:tcBorders>
            <w:shd w:val="clear" w:color="auto" w:fill="BDD7EE"/>
            <w:vAlign w:val="center"/>
            <w:hideMark/>
          </w:tcPr>
          <w:p w14:paraId="7A51B783"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FA1826"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5C01EF19" w14:textId="77777777">
        <w:trPr>
          <w:trHeight w:val="532"/>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39BEDFE" w14:textId="77777777" w:rsidR="00515398" w:rsidRDefault="00515398">
            <w:pPr>
              <w:spacing w:after="0" w:line="240" w:lineRule="auto"/>
              <w:rPr>
                <w:rFonts w:ascii="Times New Roman" w:eastAsia="Times New Roman" w:hAnsi="Times New Roman" w:cs="Times New Roman"/>
                <w:b/>
                <w:bCs/>
                <w:noProof/>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006140C"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143BE3FB" w14:textId="77777777" w:rsidR="00515398" w:rsidRDefault="00515398">
            <w:pPr>
              <w:spacing w:after="0" w:line="240" w:lineRule="auto"/>
              <w:rPr>
                <w:rFonts w:ascii="Times New Roman" w:eastAsia="Times New Roman" w:hAnsi="Times New Roman" w:cs="Times New Roman"/>
                <w:b/>
                <w:bCs/>
                <w:noProof/>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8A5E2EF" w14:textId="77777777" w:rsidR="00515398" w:rsidRDefault="00515398">
            <w:pPr>
              <w:spacing w:after="0" w:line="240" w:lineRule="auto"/>
              <w:rPr>
                <w:rFonts w:ascii="Times New Roman" w:eastAsia="Times New Roman" w:hAnsi="Times New Roman" w:cs="Times New Roman"/>
                <w:b/>
                <w:bCs/>
                <w:noProof/>
                <w:sz w:val="18"/>
                <w:szCs w:val="18"/>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6EFFC0FD" w14:textId="77777777" w:rsidR="00515398" w:rsidRDefault="00515398">
            <w:pPr>
              <w:spacing w:after="0" w:line="240" w:lineRule="auto"/>
              <w:rPr>
                <w:rFonts w:ascii="Times New Roman" w:eastAsia="Times New Roman" w:hAnsi="Times New Roman" w:cs="Times New Roman"/>
                <w:b/>
                <w:bCs/>
                <w:noProof/>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49BA5C4"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70" w:type="dxa"/>
            <w:tcBorders>
              <w:top w:val="nil"/>
              <w:left w:val="nil"/>
              <w:bottom w:val="single" w:sz="4" w:space="0" w:color="auto"/>
              <w:right w:val="single" w:sz="4" w:space="0" w:color="auto"/>
            </w:tcBorders>
            <w:shd w:val="clear" w:color="auto" w:fill="BDD7EE"/>
            <w:vAlign w:val="center"/>
            <w:hideMark/>
          </w:tcPr>
          <w:p w14:paraId="423333C8"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64" w:type="dxa"/>
            <w:tcBorders>
              <w:top w:val="nil"/>
              <w:left w:val="nil"/>
              <w:bottom w:val="single" w:sz="4" w:space="0" w:color="auto"/>
              <w:right w:val="single" w:sz="4" w:space="0" w:color="auto"/>
            </w:tcBorders>
            <w:shd w:val="clear" w:color="auto" w:fill="BDD7EE"/>
            <w:vAlign w:val="center"/>
            <w:hideMark/>
          </w:tcPr>
          <w:p w14:paraId="415668D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73" w:type="dxa"/>
            <w:tcBorders>
              <w:top w:val="nil"/>
              <w:left w:val="nil"/>
              <w:bottom w:val="single" w:sz="4" w:space="0" w:color="auto"/>
              <w:right w:val="single" w:sz="4" w:space="0" w:color="auto"/>
            </w:tcBorders>
            <w:shd w:val="clear" w:color="auto" w:fill="BDD7EE"/>
            <w:vAlign w:val="center"/>
            <w:hideMark/>
          </w:tcPr>
          <w:p w14:paraId="2B01744C"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992" w:type="dxa"/>
            <w:tcBorders>
              <w:top w:val="nil"/>
              <w:left w:val="nil"/>
              <w:bottom w:val="single" w:sz="4" w:space="0" w:color="auto"/>
              <w:right w:val="single" w:sz="4" w:space="0" w:color="auto"/>
            </w:tcBorders>
            <w:shd w:val="clear" w:color="auto" w:fill="BDD7EE"/>
            <w:vAlign w:val="center"/>
            <w:hideMark/>
          </w:tcPr>
          <w:p w14:paraId="71D7602C"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501" w:type="dxa"/>
            <w:vMerge/>
            <w:tcBorders>
              <w:top w:val="single" w:sz="4" w:space="0" w:color="auto"/>
              <w:bottom w:val="single" w:sz="4" w:space="0" w:color="auto"/>
              <w:right w:val="single" w:sz="4" w:space="0" w:color="auto"/>
            </w:tcBorders>
            <w:vAlign w:val="center"/>
            <w:hideMark/>
          </w:tcPr>
          <w:p w14:paraId="6E916CA5"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60D60C94"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13E8758" w14:textId="77777777" w:rsidR="00515398" w:rsidRDefault="006711E6">
            <w:pPr>
              <w:pStyle w:val="P68B1DB1-Normal9"/>
              <w:spacing w:after="0" w:line="240" w:lineRule="auto"/>
              <w:rPr>
                <w:rFonts w:eastAsia="Times New Roman" w:cs="Calibri"/>
                <w:noProof/>
                <w:szCs w:val="18"/>
              </w:rPr>
            </w:pPr>
            <w:r>
              <w:rPr>
                <w:noProof/>
              </w:rPr>
              <w:t>153</w:t>
            </w:r>
          </w:p>
        </w:tc>
        <w:tc>
          <w:tcPr>
            <w:tcW w:w="1376" w:type="dxa"/>
            <w:tcBorders>
              <w:top w:val="single" w:sz="4" w:space="0" w:color="auto"/>
              <w:left w:val="nil"/>
              <w:bottom w:val="single" w:sz="4" w:space="0" w:color="auto"/>
              <w:right w:val="single" w:sz="4" w:space="0" w:color="auto"/>
            </w:tcBorders>
            <w:shd w:val="clear" w:color="auto" w:fill="C6EFCE"/>
            <w:noWrap/>
          </w:tcPr>
          <w:p w14:paraId="66DB1F12" w14:textId="77777777" w:rsidR="00515398" w:rsidRDefault="006711E6">
            <w:pPr>
              <w:pStyle w:val="P68B1DB1-Normal9"/>
              <w:spacing w:after="0" w:line="240" w:lineRule="auto"/>
              <w:rPr>
                <w:rFonts w:eastAsia="Times New Roman" w:cs="Calibri"/>
                <w:noProof/>
                <w:szCs w:val="18"/>
              </w:rPr>
            </w:pPr>
            <w:r>
              <w:rPr>
                <w:noProof/>
              </w:rPr>
              <w:t xml:space="preserve">10–3.3. Zlepšení odolnosti, dostupnosti a udržitelnosti zdravotní péče – 16816_Reformy a </w:t>
            </w:r>
            <w:r>
              <w:rPr>
                <w:noProof/>
              </w:rPr>
              <w:t>urychlení investic v odvětví zdravotní péče – snížení zpětného vymáhání a racionalizace výdajů na zdravotní péči</w:t>
            </w:r>
          </w:p>
        </w:tc>
        <w:tc>
          <w:tcPr>
            <w:tcW w:w="966" w:type="dxa"/>
            <w:tcBorders>
              <w:top w:val="single" w:sz="4" w:space="0" w:color="auto"/>
              <w:left w:val="nil"/>
              <w:bottom w:val="single" w:sz="4" w:space="0" w:color="auto"/>
              <w:right w:val="single" w:sz="4" w:space="0" w:color="auto"/>
            </w:tcBorders>
            <w:shd w:val="clear" w:color="auto" w:fill="C6EFCE"/>
            <w:noWrap/>
          </w:tcPr>
          <w:p w14:paraId="7F43E926" w14:textId="77777777" w:rsidR="00515398" w:rsidRDefault="006711E6">
            <w:pPr>
              <w:pStyle w:val="P68B1DB1-Normal9"/>
              <w:spacing w:after="0" w:line="240" w:lineRule="auto"/>
              <w:rPr>
                <w:rFonts w:eastAsia="Times New Roman" w:cs="Calibri"/>
                <w:noProof/>
                <w:szCs w:val="18"/>
              </w:rPr>
            </w:pPr>
            <w:r>
              <w:rPr>
                <w:noProof/>
              </w:rPr>
              <w:t>Milník</w:t>
            </w:r>
          </w:p>
        </w:tc>
        <w:tc>
          <w:tcPr>
            <w:tcW w:w="1350" w:type="dxa"/>
            <w:tcBorders>
              <w:top w:val="single" w:sz="4" w:space="0" w:color="auto"/>
              <w:left w:val="nil"/>
              <w:bottom w:val="single" w:sz="4" w:space="0" w:color="auto"/>
              <w:right w:val="single" w:sz="4" w:space="0" w:color="auto"/>
            </w:tcBorders>
            <w:shd w:val="clear" w:color="auto" w:fill="C6EFCE"/>
            <w:noWrap/>
          </w:tcPr>
          <w:p w14:paraId="6B54616B" w14:textId="77777777" w:rsidR="00515398" w:rsidRDefault="006711E6">
            <w:pPr>
              <w:pStyle w:val="P68B1DB1-Normal9"/>
              <w:spacing w:after="0" w:line="240" w:lineRule="auto"/>
              <w:rPr>
                <w:rFonts w:eastAsia="Times New Roman" w:cs="Calibri"/>
                <w:noProof/>
                <w:szCs w:val="18"/>
              </w:rPr>
            </w:pPr>
            <w:r>
              <w:rPr>
                <w:noProof/>
              </w:rPr>
              <w:t>Zpětné vymáhání – vstup právních předpisů v platnost</w:t>
            </w:r>
          </w:p>
        </w:tc>
        <w:tc>
          <w:tcPr>
            <w:tcW w:w="1717" w:type="dxa"/>
            <w:tcBorders>
              <w:top w:val="single" w:sz="4" w:space="0" w:color="auto"/>
              <w:left w:val="nil"/>
              <w:bottom w:val="single" w:sz="4" w:space="0" w:color="auto"/>
              <w:right w:val="single" w:sz="4" w:space="0" w:color="auto"/>
            </w:tcBorders>
            <w:shd w:val="clear" w:color="auto" w:fill="C6EFCE"/>
            <w:noWrap/>
          </w:tcPr>
          <w:p w14:paraId="1F2A4793" w14:textId="77777777" w:rsidR="00515398" w:rsidRDefault="006711E6">
            <w:pPr>
              <w:pStyle w:val="P68B1DB1-Normal9"/>
              <w:spacing w:after="0" w:line="240" w:lineRule="auto"/>
              <w:rPr>
                <w:rFonts w:eastAsia="Times New Roman" w:cs="Calibri"/>
                <w:noProof/>
                <w:szCs w:val="18"/>
              </w:rPr>
            </w:pPr>
            <w:r>
              <w:rPr>
                <w:noProof/>
              </w:rPr>
              <w:t>Vstup v platnost revidovaných právních předpisů zavádějících sdílení rizik a závazn</w:t>
            </w:r>
            <w:r>
              <w:rPr>
                <w:noProof/>
              </w:rPr>
              <w:t xml:space="preserve">é cíle pro minimální snížení zpětného získání podle harmonogramu uvedeného v popisu. </w:t>
            </w:r>
          </w:p>
        </w:tc>
        <w:tc>
          <w:tcPr>
            <w:tcW w:w="1194" w:type="dxa"/>
            <w:tcBorders>
              <w:top w:val="single" w:sz="4" w:space="0" w:color="auto"/>
              <w:left w:val="nil"/>
              <w:bottom w:val="single" w:sz="4" w:space="0" w:color="auto"/>
              <w:right w:val="single" w:sz="4" w:space="0" w:color="auto"/>
            </w:tcBorders>
            <w:shd w:val="clear" w:color="auto" w:fill="C6EFCE"/>
            <w:noWrap/>
          </w:tcPr>
          <w:p w14:paraId="34089610" w14:textId="77777777" w:rsidR="00515398" w:rsidRDefault="00515398">
            <w:pPr>
              <w:spacing w:after="0" w:line="240" w:lineRule="auto"/>
              <w:rPr>
                <w:rFonts w:eastAsia="Times New Roman" w:cs="Calibri"/>
                <w:noProof/>
                <w:color w:val="006100"/>
                <w:sz w:val="18"/>
                <w:szCs w:val="18"/>
              </w:rPr>
            </w:pPr>
          </w:p>
        </w:tc>
        <w:tc>
          <w:tcPr>
            <w:tcW w:w="870" w:type="dxa"/>
            <w:tcBorders>
              <w:top w:val="nil"/>
              <w:left w:val="nil"/>
              <w:bottom w:val="single" w:sz="4" w:space="0" w:color="auto"/>
              <w:right w:val="single" w:sz="4" w:space="0" w:color="auto"/>
            </w:tcBorders>
            <w:shd w:val="clear" w:color="auto" w:fill="C6EFCE"/>
            <w:noWrap/>
          </w:tcPr>
          <w:p w14:paraId="4871BE7A" w14:textId="77777777" w:rsidR="00515398" w:rsidRDefault="00515398">
            <w:pPr>
              <w:spacing w:after="0" w:line="240" w:lineRule="auto"/>
              <w:rPr>
                <w:rFonts w:eastAsia="Times New Roman" w:cs="Calibri"/>
                <w:noProof/>
                <w:color w:val="006100"/>
                <w:sz w:val="18"/>
                <w:szCs w:val="18"/>
              </w:rPr>
            </w:pPr>
          </w:p>
        </w:tc>
        <w:tc>
          <w:tcPr>
            <w:tcW w:w="764" w:type="dxa"/>
            <w:tcBorders>
              <w:top w:val="nil"/>
              <w:left w:val="nil"/>
              <w:bottom w:val="single" w:sz="4" w:space="0" w:color="auto"/>
              <w:right w:val="single" w:sz="4" w:space="0" w:color="auto"/>
            </w:tcBorders>
            <w:shd w:val="clear" w:color="auto" w:fill="C6EFCE"/>
            <w:noWrap/>
          </w:tcPr>
          <w:p w14:paraId="4EA51FEB" w14:textId="77777777" w:rsidR="00515398" w:rsidRDefault="00515398">
            <w:pPr>
              <w:spacing w:after="0" w:line="240" w:lineRule="auto"/>
              <w:rPr>
                <w:rFonts w:eastAsia="Times New Roman" w:cs="Calibri"/>
                <w:noProof/>
                <w:color w:val="006100"/>
                <w:sz w:val="18"/>
                <w:szCs w:val="18"/>
              </w:rPr>
            </w:pPr>
          </w:p>
        </w:tc>
        <w:tc>
          <w:tcPr>
            <w:tcW w:w="973" w:type="dxa"/>
            <w:tcBorders>
              <w:top w:val="nil"/>
              <w:left w:val="nil"/>
              <w:bottom w:val="single" w:sz="4" w:space="0" w:color="auto"/>
              <w:right w:val="single" w:sz="4" w:space="0" w:color="auto"/>
            </w:tcBorders>
            <w:shd w:val="clear" w:color="auto" w:fill="C6EFCE"/>
            <w:noWrap/>
          </w:tcPr>
          <w:p w14:paraId="2FC64CCB" w14:textId="77777777" w:rsidR="00515398" w:rsidRDefault="006711E6">
            <w:pPr>
              <w:pStyle w:val="P68B1DB1-Normal9"/>
              <w:spacing w:after="0" w:line="240" w:lineRule="auto"/>
              <w:rPr>
                <w:rFonts w:eastAsia="Times New Roman" w:cs="Calibri"/>
                <w:noProof/>
                <w:szCs w:val="18"/>
              </w:rPr>
            </w:pPr>
            <w:r>
              <w:rPr>
                <w:noProof/>
              </w:rPr>
              <w:t>ČTVRTLETÍ 3</w:t>
            </w:r>
          </w:p>
        </w:tc>
        <w:tc>
          <w:tcPr>
            <w:tcW w:w="992" w:type="dxa"/>
            <w:tcBorders>
              <w:top w:val="nil"/>
              <w:left w:val="nil"/>
              <w:bottom w:val="single" w:sz="4" w:space="0" w:color="auto"/>
              <w:right w:val="single" w:sz="4" w:space="0" w:color="auto"/>
            </w:tcBorders>
            <w:shd w:val="clear" w:color="auto" w:fill="C6EFCE"/>
            <w:noWrap/>
          </w:tcPr>
          <w:p w14:paraId="657CDA17" w14:textId="77777777" w:rsidR="00515398" w:rsidRDefault="006711E6">
            <w:pPr>
              <w:pStyle w:val="P68B1DB1-Normal9"/>
              <w:spacing w:after="0" w:line="240" w:lineRule="auto"/>
              <w:rPr>
                <w:rFonts w:eastAsia="Times New Roman" w:cs="Calibri"/>
                <w:noProof/>
                <w:szCs w:val="18"/>
              </w:rPr>
            </w:pPr>
            <w:r>
              <w:rPr>
                <w:noProof/>
              </w:rPr>
              <w:t>2021</w:t>
            </w:r>
          </w:p>
        </w:tc>
        <w:tc>
          <w:tcPr>
            <w:tcW w:w="4501" w:type="dxa"/>
            <w:tcBorders>
              <w:top w:val="single" w:sz="4" w:space="0" w:color="auto"/>
              <w:left w:val="nil"/>
              <w:bottom w:val="single" w:sz="4" w:space="0" w:color="auto"/>
              <w:right w:val="single" w:sz="4" w:space="0" w:color="auto"/>
            </w:tcBorders>
            <w:shd w:val="clear" w:color="auto" w:fill="C6EFCE"/>
            <w:noWrap/>
          </w:tcPr>
          <w:p w14:paraId="01C7961A" w14:textId="77777777" w:rsidR="00515398" w:rsidRDefault="006711E6">
            <w:pPr>
              <w:pStyle w:val="P68B1DB1-Normal9"/>
              <w:spacing w:after="0" w:line="240" w:lineRule="auto"/>
              <w:rPr>
                <w:rFonts w:eastAsia="Times New Roman" w:cs="Calibri"/>
                <w:noProof/>
                <w:szCs w:val="18"/>
              </w:rPr>
            </w:pPr>
            <w:r>
              <w:rPr>
                <w:noProof/>
              </w:rPr>
              <w:t>Vstup v platnost právního rámce (primárního práva) pro sdílení rizik při výpočtu zpětného vymáhání stanovením závazného cíle snížení zpětného vymáhání</w:t>
            </w:r>
            <w:r>
              <w:rPr>
                <w:noProof/>
              </w:rPr>
              <w:t xml:space="preserve"> v příštích letech. Cílem reformy je snížit částky zpětného získání o 50 000 000 EUR (2022), 150 000 000 EUR (2023), 300 000 000 EUR (2024) a 400 000 000 EUR (2025) oproti úrovním roku 2020. Není-li toho dosaženo, nesmí být rozdíl mezi cíleným snížením a s</w:t>
            </w:r>
            <w:r>
              <w:rPr>
                <w:noProof/>
              </w:rPr>
              <w:t>kutečným snížením za každý rok získán zpět od farmaceutického průmyslu a příslušná částka bude hrazena ze státního rozpočtu až do cílového snížení částek zpětného získání.</w:t>
            </w:r>
          </w:p>
        </w:tc>
      </w:tr>
      <w:tr w:rsidR="00515398" w14:paraId="06CE5AEF"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0EAD7F42" w14:textId="77777777" w:rsidR="00515398" w:rsidRDefault="006711E6">
            <w:pPr>
              <w:pStyle w:val="P68B1DB1-Normal9"/>
              <w:spacing w:after="0" w:line="240" w:lineRule="auto"/>
              <w:rPr>
                <w:rFonts w:eastAsia="Times New Roman" w:cs="Calibri"/>
                <w:noProof/>
                <w:szCs w:val="18"/>
              </w:rPr>
            </w:pPr>
            <w:r>
              <w:rPr>
                <w:noProof/>
              </w:rPr>
              <w:t>154</w:t>
            </w:r>
          </w:p>
        </w:tc>
        <w:tc>
          <w:tcPr>
            <w:tcW w:w="1376" w:type="dxa"/>
            <w:tcBorders>
              <w:top w:val="nil"/>
              <w:left w:val="nil"/>
              <w:bottom w:val="single" w:sz="4" w:space="0" w:color="auto"/>
              <w:right w:val="single" w:sz="4" w:space="0" w:color="auto"/>
            </w:tcBorders>
            <w:shd w:val="clear" w:color="auto" w:fill="C6EFCE"/>
            <w:noWrap/>
          </w:tcPr>
          <w:p w14:paraId="30F7CA43" w14:textId="77777777" w:rsidR="00515398" w:rsidRDefault="006711E6">
            <w:pPr>
              <w:pStyle w:val="P68B1DB1-Normal9"/>
              <w:spacing w:after="0" w:line="240" w:lineRule="auto"/>
              <w:rPr>
                <w:rFonts w:eastAsia="Times New Roman" w:cs="Calibri"/>
                <w:noProof/>
                <w:szCs w:val="18"/>
              </w:rPr>
            </w:pPr>
            <w:r>
              <w:rPr>
                <w:noProof/>
              </w:rPr>
              <w:t xml:space="preserve">10–3.3. Zlepšení odolnosti, dostupnosti a udržitelnosti zdravotní péče – </w:t>
            </w:r>
            <w:r>
              <w:rPr>
                <w:noProof/>
              </w:rPr>
              <w:t>16816_Reformy a urychlení investic v odvětví zdravotní péče – snížení zpětného vymáhání a racionalizace výdajů na zdravotní péči</w:t>
            </w:r>
          </w:p>
        </w:tc>
        <w:tc>
          <w:tcPr>
            <w:tcW w:w="966" w:type="dxa"/>
            <w:tcBorders>
              <w:top w:val="nil"/>
              <w:left w:val="nil"/>
              <w:bottom w:val="single" w:sz="4" w:space="0" w:color="auto"/>
              <w:right w:val="single" w:sz="4" w:space="0" w:color="auto"/>
            </w:tcBorders>
            <w:shd w:val="clear" w:color="auto" w:fill="C6EFCE"/>
            <w:noWrap/>
          </w:tcPr>
          <w:p w14:paraId="2D174A87" w14:textId="77777777" w:rsidR="00515398" w:rsidRDefault="006711E6">
            <w:pPr>
              <w:pStyle w:val="P68B1DB1-Normal9"/>
              <w:spacing w:after="0" w:line="240" w:lineRule="auto"/>
              <w:rPr>
                <w:rFonts w:eastAsia="Times New Roman" w:cs="Calibri"/>
                <w:noProof/>
                <w:szCs w:val="18"/>
              </w:rPr>
            </w:pPr>
            <w:r>
              <w:rPr>
                <w:noProof/>
              </w:rPr>
              <w:t>Cílová</w:t>
            </w:r>
          </w:p>
        </w:tc>
        <w:tc>
          <w:tcPr>
            <w:tcW w:w="1350" w:type="dxa"/>
            <w:tcBorders>
              <w:top w:val="nil"/>
              <w:left w:val="nil"/>
              <w:bottom w:val="single" w:sz="4" w:space="0" w:color="auto"/>
              <w:right w:val="single" w:sz="4" w:space="0" w:color="auto"/>
            </w:tcBorders>
            <w:shd w:val="clear" w:color="auto" w:fill="C6EFCE"/>
            <w:noWrap/>
          </w:tcPr>
          <w:p w14:paraId="7192DCE1" w14:textId="77777777" w:rsidR="00515398" w:rsidRDefault="006711E6">
            <w:pPr>
              <w:pStyle w:val="P68B1DB1-Normal9"/>
              <w:spacing w:after="0" w:line="240" w:lineRule="auto"/>
              <w:rPr>
                <w:rFonts w:eastAsia="Times New Roman" w:cs="Calibri"/>
                <w:noProof/>
                <w:szCs w:val="18"/>
              </w:rPr>
            </w:pPr>
            <w:r>
              <w:rPr>
                <w:noProof/>
              </w:rPr>
              <w:t>Snížení zpětného získání 50000000 – krok 1</w:t>
            </w:r>
          </w:p>
        </w:tc>
        <w:tc>
          <w:tcPr>
            <w:tcW w:w="1717" w:type="dxa"/>
            <w:tcBorders>
              <w:top w:val="nil"/>
              <w:left w:val="nil"/>
              <w:bottom w:val="single" w:sz="4" w:space="0" w:color="auto"/>
              <w:right w:val="single" w:sz="4" w:space="0" w:color="auto"/>
            </w:tcBorders>
            <w:shd w:val="clear" w:color="auto" w:fill="C6EFCE"/>
            <w:noWrap/>
          </w:tcPr>
          <w:p w14:paraId="2A309AA7" w14:textId="77777777" w:rsidR="00515398" w:rsidRDefault="00515398">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25A9B656" w14:textId="77777777" w:rsidR="00515398" w:rsidRDefault="006711E6">
            <w:pPr>
              <w:pStyle w:val="P68B1DB1-Normal9"/>
              <w:spacing w:after="0" w:line="240" w:lineRule="auto"/>
              <w:rPr>
                <w:rFonts w:eastAsia="Times New Roman" w:cs="Calibri"/>
                <w:noProof/>
                <w:szCs w:val="18"/>
              </w:rPr>
            </w:pPr>
            <w:r>
              <w:rPr>
                <w:noProof/>
              </w:rPr>
              <w:t>Snížení částky zpětného získání ve srovnání s úrovněmi z roku 2020 (v milion</w:t>
            </w:r>
            <w:r>
              <w:rPr>
                <w:noProof/>
              </w:rPr>
              <w:t>ech EUR)</w:t>
            </w:r>
          </w:p>
        </w:tc>
        <w:tc>
          <w:tcPr>
            <w:tcW w:w="870" w:type="dxa"/>
            <w:tcBorders>
              <w:top w:val="nil"/>
              <w:left w:val="nil"/>
              <w:bottom w:val="single" w:sz="4" w:space="0" w:color="auto"/>
              <w:right w:val="single" w:sz="4" w:space="0" w:color="auto"/>
            </w:tcBorders>
            <w:shd w:val="clear" w:color="auto" w:fill="C6EFCE"/>
            <w:noWrap/>
          </w:tcPr>
          <w:p w14:paraId="7AC4C786" w14:textId="77777777" w:rsidR="00515398" w:rsidRDefault="006711E6">
            <w:pPr>
              <w:pStyle w:val="P68B1DB1-Normal9"/>
              <w:spacing w:after="0" w:line="240" w:lineRule="auto"/>
              <w:rPr>
                <w:rFonts w:eastAsia="Times New Roman" w:cs="Calibri"/>
                <w:noProof/>
                <w:szCs w:val="18"/>
              </w:rPr>
            </w:pPr>
            <w:r>
              <w:rPr>
                <w:noProof/>
              </w:rPr>
              <w:t>0</w:t>
            </w:r>
          </w:p>
        </w:tc>
        <w:tc>
          <w:tcPr>
            <w:tcW w:w="764" w:type="dxa"/>
            <w:tcBorders>
              <w:top w:val="nil"/>
              <w:left w:val="nil"/>
              <w:bottom w:val="single" w:sz="4" w:space="0" w:color="auto"/>
              <w:right w:val="single" w:sz="4" w:space="0" w:color="auto"/>
            </w:tcBorders>
            <w:shd w:val="clear" w:color="auto" w:fill="C6EFCE"/>
            <w:noWrap/>
          </w:tcPr>
          <w:p w14:paraId="6A27480D" w14:textId="77777777" w:rsidR="00515398" w:rsidRDefault="006711E6">
            <w:pPr>
              <w:pStyle w:val="P68B1DB1-Normal9"/>
              <w:spacing w:after="0" w:line="240" w:lineRule="auto"/>
              <w:rPr>
                <w:rFonts w:eastAsia="Times New Roman" w:cs="Calibri"/>
                <w:noProof/>
                <w:szCs w:val="18"/>
              </w:rPr>
            </w:pPr>
            <w:r>
              <w:rPr>
                <w:noProof/>
              </w:rPr>
              <w:t>50</w:t>
            </w:r>
          </w:p>
        </w:tc>
        <w:tc>
          <w:tcPr>
            <w:tcW w:w="973" w:type="dxa"/>
            <w:tcBorders>
              <w:top w:val="nil"/>
              <w:left w:val="nil"/>
              <w:bottom w:val="single" w:sz="4" w:space="0" w:color="auto"/>
              <w:right w:val="single" w:sz="4" w:space="0" w:color="auto"/>
            </w:tcBorders>
            <w:shd w:val="clear" w:color="auto" w:fill="C6EFCE"/>
            <w:noWrap/>
          </w:tcPr>
          <w:p w14:paraId="00041BFA" w14:textId="77777777" w:rsidR="00515398" w:rsidRDefault="006711E6">
            <w:pPr>
              <w:pStyle w:val="P68B1DB1-Normal9"/>
              <w:spacing w:after="0" w:line="240" w:lineRule="auto"/>
              <w:rPr>
                <w:rFonts w:eastAsia="Times New Roman" w:cs="Calibri"/>
                <w:noProof/>
                <w:szCs w:val="18"/>
              </w:rPr>
            </w:pPr>
            <w:r>
              <w:rPr>
                <w:noProof/>
              </w:rPr>
              <w:t>ČTVRTLETÍ</w:t>
            </w:r>
          </w:p>
        </w:tc>
        <w:tc>
          <w:tcPr>
            <w:tcW w:w="992" w:type="dxa"/>
            <w:tcBorders>
              <w:top w:val="nil"/>
              <w:left w:val="nil"/>
              <w:bottom w:val="single" w:sz="4" w:space="0" w:color="auto"/>
              <w:right w:val="single" w:sz="4" w:space="0" w:color="auto"/>
            </w:tcBorders>
            <w:shd w:val="clear" w:color="auto" w:fill="C6EFCE"/>
            <w:noWrap/>
          </w:tcPr>
          <w:p w14:paraId="38B205F6" w14:textId="77777777" w:rsidR="00515398" w:rsidRDefault="006711E6">
            <w:pPr>
              <w:pStyle w:val="P68B1DB1-Normal9"/>
              <w:spacing w:after="0" w:line="240" w:lineRule="auto"/>
              <w:rPr>
                <w:rFonts w:eastAsia="Times New Roman" w:cs="Calibri"/>
                <w:noProof/>
                <w:szCs w:val="18"/>
              </w:rPr>
            </w:pPr>
            <w:r>
              <w:rPr>
                <w:noProof/>
              </w:rPr>
              <w:t>2023</w:t>
            </w:r>
          </w:p>
        </w:tc>
        <w:tc>
          <w:tcPr>
            <w:tcW w:w="4501" w:type="dxa"/>
            <w:tcBorders>
              <w:top w:val="nil"/>
              <w:left w:val="nil"/>
              <w:bottom w:val="single" w:sz="4" w:space="0" w:color="auto"/>
              <w:right w:val="single" w:sz="4" w:space="0" w:color="auto"/>
            </w:tcBorders>
            <w:shd w:val="clear" w:color="auto" w:fill="C6EFCE"/>
            <w:noWrap/>
          </w:tcPr>
          <w:p w14:paraId="209B746E" w14:textId="360A982C" w:rsidR="00515398" w:rsidRDefault="006711E6">
            <w:pPr>
              <w:pStyle w:val="P68B1DB1-Normal9"/>
              <w:spacing w:after="0" w:line="240" w:lineRule="auto"/>
              <w:rPr>
                <w:rFonts w:eastAsia="Times New Roman" w:cs="Calibri"/>
                <w:noProof/>
                <w:szCs w:val="18"/>
              </w:rPr>
            </w:pPr>
            <w:r>
              <w:rPr>
                <w:noProof/>
              </w:rPr>
              <w:t>Prosazovat dříve přijatá opatření ke zvýšení účinnosti s cílem dosáhnout snížení zpětného získání farmaceutických prostředků v roce 2022 jak u ambulantních, tak u lůžkových léčivých přípravků o 50 000 000 EUR ve srovnání s úrov</w:t>
            </w:r>
            <w:r>
              <w:rPr>
                <w:noProof/>
              </w:rPr>
              <w:t xml:space="preserve">němi z roku 2020. Není-li toho dosaženo, nebude rozdíl mezi cíleným snížením a skutečným snížením za každý rok získán zpět od farmaceutického průmyslu a příslušná částka bude hrazena ze státního rozpočtu až do výše 50 000 000 EUR. </w:t>
            </w:r>
          </w:p>
        </w:tc>
      </w:tr>
      <w:tr w:rsidR="00515398" w14:paraId="6C6C1FD3"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583346D" w14:textId="77777777" w:rsidR="00515398" w:rsidRDefault="006711E6">
            <w:pPr>
              <w:pStyle w:val="P68B1DB1-Normal9"/>
              <w:spacing w:after="0" w:line="240" w:lineRule="auto"/>
              <w:rPr>
                <w:rFonts w:eastAsia="Times New Roman" w:cs="Calibri"/>
                <w:noProof/>
                <w:szCs w:val="18"/>
              </w:rPr>
            </w:pPr>
            <w:r>
              <w:rPr>
                <w:noProof/>
              </w:rPr>
              <w:t>155</w:t>
            </w:r>
          </w:p>
        </w:tc>
        <w:tc>
          <w:tcPr>
            <w:tcW w:w="1376" w:type="dxa"/>
            <w:tcBorders>
              <w:top w:val="nil"/>
              <w:left w:val="nil"/>
              <w:bottom w:val="single" w:sz="4" w:space="0" w:color="auto"/>
              <w:right w:val="single" w:sz="4" w:space="0" w:color="auto"/>
            </w:tcBorders>
            <w:shd w:val="clear" w:color="auto" w:fill="C6EFCE"/>
            <w:noWrap/>
          </w:tcPr>
          <w:p w14:paraId="057F1CE2" w14:textId="77777777" w:rsidR="00515398" w:rsidRDefault="006711E6">
            <w:pPr>
              <w:pStyle w:val="P68B1DB1-Normal9"/>
              <w:spacing w:after="0" w:line="240" w:lineRule="auto"/>
              <w:rPr>
                <w:rFonts w:eastAsia="Times New Roman" w:cs="Calibri"/>
                <w:noProof/>
                <w:szCs w:val="18"/>
              </w:rPr>
            </w:pPr>
            <w:r>
              <w:rPr>
                <w:noProof/>
              </w:rPr>
              <w:t xml:space="preserve">10–3.3. Zlepšení </w:t>
            </w:r>
            <w:r>
              <w:rPr>
                <w:noProof/>
              </w:rPr>
              <w:t>odolnosti, dostupnosti a udržitelnosti zdravotní péče – 16816_Reformy a urychlení investic v odvětví zdravotní péče – snížení zpětného vymáhání a racionalizace výdajů na zdravotní péči</w:t>
            </w:r>
          </w:p>
        </w:tc>
        <w:tc>
          <w:tcPr>
            <w:tcW w:w="966" w:type="dxa"/>
            <w:tcBorders>
              <w:top w:val="nil"/>
              <w:left w:val="nil"/>
              <w:bottom w:val="single" w:sz="4" w:space="0" w:color="auto"/>
              <w:right w:val="single" w:sz="4" w:space="0" w:color="auto"/>
            </w:tcBorders>
            <w:shd w:val="clear" w:color="auto" w:fill="C6EFCE"/>
            <w:noWrap/>
          </w:tcPr>
          <w:p w14:paraId="7883B110" w14:textId="77777777" w:rsidR="00515398" w:rsidRDefault="006711E6">
            <w:pPr>
              <w:pStyle w:val="P68B1DB1-Normal9"/>
              <w:spacing w:after="0" w:line="240" w:lineRule="auto"/>
              <w:rPr>
                <w:rFonts w:eastAsia="Times New Roman" w:cs="Calibri"/>
                <w:noProof/>
                <w:szCs w:val="18"/>
              </w:rPr>
            </w:pPr>
            <w:r>
              <w:rPr>
                <w:noProof/>
              </w:rPr>
              <w:t>Cílová</w:t>
            </w:r>
          </w:p>
        </w:tc>
        <w:tc>
          <w:tcPr>
            <w:tcW w:w="1350" w:type="dxa"/>
            <w:tcBorders>
              <w:top w:val="nil"/>
              <w:left w:val="nil"/>
              <w:bottom w:val="single" w:sz="4" w:space="0" w:color="auto"/>
              <w:right w:val="single" w:sz="4" w:space="0" w:color="auto"/>
            </w:tcBorders>
            <w:shd w:val="clear" w:color="auto" w:fill="C6EFCE"/>
            <w:noWrap/>
          </w:tcPr>
          <w:p w14:paraId="6F2C9E08" w14:textId="77777777" w:rsidR="00515398" w:rsidRDefault="006711E6">
            <w:pPr>
              <w:pStyle w:val="P68B1DB1-Normal9"/>
              <w:spacing w:after="0" w:line="240" w:lineRule="auto"/>
              <w:rPr>
                <w:rFonts w:eastAsia="Times New Roman" w:cs="Calibri"/>
                <w:noProof/>
                <w:szCs w:val="18"/>
              </w:rPr>
            </w:pPr>
            <w:r>
              <w:rPr>
                <w:noProof/>
              </w:rPr>
              <w:t>Snížení zpětného získání 150000000 – krok 2</w:t>
            </w:r>
          </w:p>
        </w:tc>
        <w:tc>
          <w:tcPr>
            <w:tcW w:w="1717" w:type="dxa"/>
            <w:tcBorders>
              <w:top w:val="nil"/>
              <w:left w:val="nil"/>
              <w:bottom w:val="single" w:sz="4" w:space="0" w:color="auto"/>
              <w:right w:val="single" w:sz="4" w:space="0" w:color="auto"/>
            </w:tcBorders>
            <w:shd w:val="clear" w:color="auto" w:fill="C6EFCE"/>
            <w:noWrap/>
          </w:tcPr>
          <w:p w14:paraId="1DB7966A" w14:textId="77777777" w:rsidR="00515398" w:rsidRDefault="00515398">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27121D94" w14:textId="77777777" w:rsidR="00515398" w:rsidRDefault="006711E6">
            <w:pPr>
              <w:pStyle w:val="P68B1DB1-Normal9"/>
              <w:spacing w:after="0" w:line="240" w:lineRule="auto"/>
              <w:rPr>
                <w:rFonts w:eastAsia="Times New Roman" w:cs="Calibri"/>
                <w:noProof/>
                <w:szCs w:val="18"/>
              </w:rPr>
            </w:pPr>
            <w:r>
              <w:rPr>
                <w:noProof/>
              </w:rPr>
              <w:t xml:space="preserve">Snížení částky </w:t>
            </w:r>
            <w:r>
              <w:rPr>
                <w:noProof/>
              </w:rPr>
              <w:t>zpětného získání ve srovnání s úrovněmi z roku 2020 (v milionech EUR)</w:t>
            </w:r>
          </w:p>
        </w:tc>
        <w:tc>
          <w:tcPr>
            <w:tcW w:w="870" w:type="dxa"/>
            <w:tcBorders>
              <w:top w:val="nil"/>
              <w:left w:val="nil"/>
              <w:bottom w:val="single" w:sz="4" w:space="0" w:color="auto"/>
              <w:right w:val="single" w:sz="4" w:space="0" w:color="auto"/>
            </w:tcBorders>
            <w:shd w:val="clear" w:color="auto" w:fill="C6EFCE"/>
            <w:noWrap/>
          </w:tcPr>
          <w:p w14:paraId="7D056BA9" w14:textId="77777777" w:rsidR="00515398" w:rsidRDefault="006711E6">
            <w:pPr>
              <w:pStyle w:val="P68B1DB1-Normal9"/>
              <w:spacing w:after="0" w:line="240" w:lineRule="auto"/>
              <w:rPr>
                <w:rFonts w:eastAsia="Times New Roman" w:cs="Calibri"/>
                <w:noProof/>
                <w:szCs w:val="18"/>
              </w:rPr>
            </w:pPr>
            <w:r>
              <w:rPr>
                <w:noProof/>
              </w:rPr>
              <w:t>0</w:t>
            </w:r>
          </w:p>
        </w:tc>
        <w:tc>
          <w:tcPr>
            <w:tcW w:w="764" w:type="dxa"/>
            <w:tcBorders>
              <w:top w:val="nil"/>
              <w:left w:val="nil"/>
              <w:bottom w:val="single" w:sz="4" w:space="0" w:color="auto"/>
              <w:right w:val="single" w:sz="4" w:space="0" w:color="auto"/>
            </w:tcBorders>
            <w:shd w:val="clear" w:color="auto" w:fill="C6EFCE"/>
            <w:noWrap/>
          </w:tcPr>
          <w:p w14:paraId="54003BBD" w14:textId="77777777" w:rsidR="00515398" w:rsidRDefault="006711E6">
            <w:pPr>
              <w:pStyle w:val="P68B1DB1-Normal9"/>
              <w:spacing w:after="0" w:line="240" w:lineRule="auto"/>
              <w:rPr>
                <w:rFonts w:eastAsia="Times New Roman" w:cs="Calibri"/>
                <w:noProof/>
                <w:szCs w:val="18"/>
              </w:rPr>
            </w:pPr>
            <w:r>
              <w:rPr>
                <w:noProof/>
              </w:rPr>
              <w:t>150</w:t>
            </w:r>
          </w:p>
        </w:tc>
        <w:tc>
          <w:tcPr>
            <w:tcW w:w="973" w:type="dxa"/>
            <w:tcBorders>
              <w:top w:val="nil"/>
              <w:left w:val="nil"/>
              <w:bottom w:val="single" w:sz="4" w:space="0" w:color="auto"/>
              <w:right w:val="single" w:sz="4" w:space="0" w:color="auto"/>
            </w:tcBorders>
            <w:shd w:val="clear" w:color="auto" w:fill="C6EFCE"/>
            <w:noWrap/>
          </w:tcPr>
          <w:p w14:paraId="2800998E" w14:textId="77777777" w:rsidR="00515398" w:rsidRDefault="006711E6">
            <w:pPr>
              <w:pStyle w:val="P68B1DB1-Normal9"/>
              <w:spacing w:after="0" w:line="240" w:lineRule="auto"/>
              <w:rPr>
                <w:rFonts w:eastAsia="Times New Roman" w:cs="Calibri"/>
                <w:noProof/>
                <w:szCs w:val="18"/>
              </w:rPr>
            </w:pPr>
            <w:r>
              <w:rPr>
                <w:noProof/>
              </w:rPr>
              <w:t>ČTVRTLETÍ</w:t>
            </w:r>
          </w:p>
        </w:tc>
        <w:tc>
          <w:tcPr>
            <w:tcW w:w="992" w:type="dxa"/>
            <w:tcBorders>
              <w:top w:val="nil"/>
              <w:left w:val="nil"/>
              <w:bottom w:val="single" w:sz="4" w:space="0" w:color="auto"/>
              <w:right w:val="single" w:sz="4" w:space="0" w:color="auto"/>
            </w:tcBorders>
            <w:shd w:val="clear" w:color="auto" w:fill="C6EFCE"/>
            <w:noWrap/>
          </w:tcPr>
          <w:p w14:paraId="3A0F9289" w14:textId="77777777" w:rsidR="00515398" w:rsidRDefault="006711E6">
            <w:pPr>
              <w:pStyle w:val="P68B1DB1-Normal9"/>
              <w:spacing w:after="0" w:line="240" w:lineRule="auto"/>
              <w:rPr>
                <w:rFonts w:eastAsia="Times New Roman" w:cs="Calibri"/>
                <w:noProof/>
                <w:szCs w:val="18"/>
              </w:rPr>
            </w:pPr>
            <w:r>
              <w:rPr>
                <w:noProof/>
              </w:rPr>
              <w:t>2024</w:t>
            </w:r>
          </w:p>
        </w:tc>
        <w:tc>
          <w:tcPr>
            <w:tcW w:w="4501" w:type="dxa"/>
            <w:tcBorders>
              <w:top w:val="nil"/>
              <w:left w:val="nil"/>
              <w:bottom w:val="single" w:sz="4" w:space="0" w:color="auto"/>
              <w:right w:val="single" w:sz="4" w:space="0" w:color="auto"/>
            </w:tcBorders>
            <w:shd w:val="clear" w:color="auto" w:fill="C6EFCE"/>
            <w:noWrap/>
          </w:tcPr>
          <w:p w14:paraId="02756338" w14:textId="77777777" w:rsidR="00515398" w:rsidRDefault="006711E6">
            <w:pPr>
              <w:pStyle w:val="P68B1DB1-Normal9"/>
              <w:spacing w:after="0" w:line="240" w:lineRule="auto"/>
              <w:rPr>
                <w:rFonts w:eastAsia="Times New Roman" w:cs="Calibri"/>
                <w:noProof/>
                <w:szCs w:val="18"/>
              </w:rPr>
            </w:pPr>
            <w:r>
              <w:rPr>
                <w:noProof/>
              </w:rPr>
              <w:t>Prosazovat dříve přijatá opatření ke zvýšení účinnosti s cílem dosáhnout snížení zpětného vymáhání farmaceutických prostředků v roce 2023, a to jak u ambulantních, t</w:t>
            </w:r>
            <w:r>
              <w:rPr>
                <w:noProof/>
              </w:rPr>
              <w:t>ak i nemocničních léčivých přípravků, o 150 000 000 EUR ve srovnání s úrovněmi z roku 2020, čímž se podpoří odolnost systému zdravotní péče. Není-li toho dosaženo, nebude rozdíl mezi cíleným snížením a skutečným snížením za každý rok získán zpět od farmace</w:t>
            </w:r>
            <w:r>
              <w:rPr>
                <w:noProof/>
              </w:rPr>
              <w:t>utického průmyslu a příslušná částka bude hrazena ze státního rozpočtu až do výše 150 000 000 EUR.</w:t>
            </w:r>
          </w:p>
        </w:tc>
      </w:tr>
      <w:tr w:rsidR="00515398" w14:paraId="6681F9D6"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0B0DE29C" w14:textId="77777777" w:rsidR="00515398" w:rsidRDefault="006711E6">
            <w:pPr>
              <w:pStyle w:val="P68B1DB1-Normal9"/>
              <w:spacing w:after="0" w:line="240" w:lineRule="auto"/>
              <w:rPr>
                <w:rFonts w:eastAsia="Times New Roman" w:cs="Calibri"/>
                <w:noProof/>
                <w:szCs w:val="18"/>
              </w:rPr>
            </w:pPr>
            <w:r>
              <w:rPr>
                <w:noProof/>
              </w:rPr>
              <w:t>156</w:t>
            </w:r>
          </w:p>
        </w:tc>
        <w:tc>
          <w:tcPr>
            <w:tcW w:w="1376" w:type="dxa"/>
            <w:tcBorders>
              <w:top w:val="nil"/>
              <w:left w:val="nil"/>
              <w:bottom w:val="single" w:sz="4" w:space="0" w:color="auto"/>
              <w:right w:val="single" w:sz="4" w:space="0" w:color="auto"/>
            </w:tcBorders>
            <w:shd w:val="clear" w:color="auto" w:fill="C6EFCE"/>
            <w:noWrap/>
          </w:tcPr>
          <w:p w14:paraId="2EBB35F1" w14:textId="77777777" w:rsidR="00515398" w:rsidRDefault="006711E6">
            <w:pPr>
              <w:pStyle w:val="P68B1DB1-Normal9"/>
              <w:spacing w:after="0" w:line="240" w:lineRule="auto"/>
              <w:rPr>
                <w:rFonts w:eastAsia="Times New Roman" w:cs="Calibri"/>
                <w:noProof/>
                <w:szCs w:val="18"/>
              </w:rPr>
            </w:pPr>
            <w:r>
              <w:rPr>
                <w:noProof/>
              </w:rPr>
              <w:t xml:space="preserve">10–3.3. Zlepšení odolnosti, dostupnosti a udržitelnosti zdravotní péče – 16816_Reformy a urychlení investic v odvětví zdravotní péče – snížení zpětného </w:t>
            </w:r>
            <w:r>
              <w:rPr>
                <w:noProof/>
              </w:rPr>
              <w:t>vymáhání a racionalizace výdajů na zdravotní péči</w:t>
            </w:r>
          </w:p>
        </w:tc>
        <w:tc>
          <w:tcPr>
            <w:tcW w:w="966" w:type="dxa"/>
            <w:tcBorders>
              <w:top w:val="nil"/>
              <w:left w:val="nil"/>
              <w:bottom w:val="single" w:sz="4" w:space="0" w:color="auto"/>
              <w:right w:val="single" w:sz="4" w:space="0" w:color="auto"/>
            </w:tcBorders>
            <w:shd w:val="clear" w:color="auto" w:fill="C6EFCE"/>
            <w:noWrap/>
          </w:tcPr>
          <w:p w14:paraId="5F112C06" w14:textId="77777777" w:rsidR="00515398" w:rsidRDefault="006711E6">
            <w:pPr>
              <w:pStyle w:val="P68B1DB1-Normal9"/>
              <w:spacing w:after="0" w:line="240" w:lineRule="auto"/>
              <w:rPr>
                <w:rFonts w:eastAsia="Times New Roman" w:cs="Calibri"/>
                <w:noProof/>
                <w:szCs w:val="18"/>
              </w:rPr>
            </w:pPr>
            <w:r>
              <w:rPr>
                <w:noProof/>
              </w:rPr>
              <w:t>Cílová</w:t>
            </w:r>
          </w:p>
        </w:tc>
        <w:tc>
          <w:tcPr>
            <w:tcW w:w="1350" w:type="dxa"/>
            <w:tcBorders>
              <w:top w:val="nil"/>
              <w:left w:val="nil"/>
              <w:bottom w:val="single" w:sz="4" w:space="0" w:color="auto"/>
              <w:right w:val="single" w:sz="4" w:space="0" w:color="auto"/>
            </w:tcBorders>
            <w:shd w:val="clear" w:color="auto" w:fill="C6EFCE"/>
            <w:noWrap/>
          </w:tcPr>
          <w:p w14:paraId="30D2DB57" w14:textId="77777777" w:rsidR="00515398" w:rsidRDefault="006711E6">
            <w:pPr>
              <w:pStyle w:val="P68B1DB1-Normal9"/>
              <w:spacing w:after="0" w:line="240" w:lineRule="auto"/>
              <w:rPr>
                <w:rFonts w:eastAsia="Times New Roman" w:cs="Calibri"/>
                <w:noProof/>
                <w:szCs w:val="18"/>
              </w:rPr>
            </w:pPr>
            <w:r>
              <w:rPr>
                <w:noProof/>
              </w:rPr>
              <w:t>Výzkum a vývoj farmaceutických výrobků</w:t>
            </w:r>
          </w:p>
          <w:p w14:paraId="2435676F" w14:textId="653A2371" w:rsidR="00515398" w:rsidRDefault="006711E6">
            <w:pPr>
              <w:pStyle w:val="P68B1DB1-Normal10"/>
              <w:spacing w:after="0" w:line="240" w:lineRule="auto"/>
              <w:rPr>
                <w:rFonts w:eastAsia="Times New Roman" w:cs="Calibri"/>
                <w:noProof/>
              </w:rPr>
            </w:pPr>
            <w:r>
              <w:rPr>
                <w:noProof/>
              </w:rPr>
              <w:t>důkaz o investici – krok 1</w:t>
            </w:r>
          </w:p>
        </w:tc>
        <w:tc>
          <w:tcPr>
            <w:tcW w:w="1717" w:type="dxa"/>
            <w:tcBorders>
              <w:top w:val="nil"/>
              <w:left w:val="nil"/>
              <w:bottom w:val="single" w:sz="4" w:space="0" w:color="auto"/>
              <w:right w:val="single" w:sz="4" w:space="0" w:color="auto"/>
            </w:tcBorders>
            <w:shd w:val="clear" w:color="auto" w:fill="C6EFCE"/>
            <w:noWrap/>
          </w:tcPr>
          <w:p w14:paraId="2FCDC419" w14:textId="77777777" w:rsidR="00515398" w:rsidRDefault="00515398">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03E8C475" w14:textId="77777777" w:rsidR="00515398" w:rsidRDefault="006711E6">
            <w:pPr>
              <w:pStyle w:val="P68B1DB1-Normal9"/>
              <w:spacing w:after="0" w:line="240" w:lineRule="auto"/>
              <w:rPr>
                <w:rFonts w:eastAsia="Times New Roman" w:cs="Calibri"/>
                <w:noProof/>
                <w:szCs w:val="18"/>
              </w:rPr>
            </w:pPr>
            <w:r>
              <w:rPr>
                <w:noProof/>
              </w:rPr>
              <w:t>Investice (v milionech EUR) uplatněná prostřednictvím zápočtů v rovnocenné výši se zpětně získanými částkami</w:t>
            </w:r>
          </w:p>
        </w:tc>
        <w:tc>
          <w:tcPr>
            <w:tcW w:w="870" w:type="dxa"/>
            <w:tcBorders>
              <w:top w:val="nil"/>
              <w:left w:val="nil"/>
              <w:bottom w:val="single" w:sz="4" w:space="0" w:color="auto"/>
              <w:right w:val="single" w:sz="4" w:space="0" w:color="auto"/>
            </w:tcBorders>
            <w:shd w:val="clear" w:color="auto" w:fill="C6EFCE"/>
            <w:noWrap/>
          </w:tcPr>
          <w:p w14:paraId="13C57A06" w14:textId="026E86A3" w:rsidR="00515398" w:rsidRDefault="006711E6">
            <w:pPr>
              <w:pStyle w:val="P68B1DB1-Normal10"/>
              <w:spacing w:after="0" w:line="240" w:lineRule="auto"/>
              <w:rPr>
                <w:rFonts w:eastAsia="Times New Roman" w:cs="Calibri"/>
                <w:noProof/>
              </w:rPr>
            </w:pPr>
            <w:r>
              <w:rPr>
                <w:noProof/>
              </w:rPr>
              <w:t>0</w:t>
            </w:r>
          </w:p>
        </w:tc>
        <w:tc>
          <w:tcPr>
            <w:tcW w:w="764" w:type="dxa"/>
            <w:tcBorders>
              <w:top w:val="nil"/>
              <w:left w:val="nil"/>
              <w:bottom w:val="single" w:sz="4" w:space="0" w:color="auto"/>
              <w:right w:val="single" w:sz="4" w:space="0" w:color="auto"/>
            </w:tcBorders>
            <w:shd w:val="clear" w:color="auto" w:fill="C6EFCE"/>
            <w:noWrap/>
          </w:tcPr>
          <w:p w14:paraId="19E6F087" w14:textId="652FD3DC" w:rsidR="00515398" w:rsidRDefault="006711E6">
            <w:pPr>
              <w:pStyle w:val="P68B1DB1-Normal10"/>
              <w:spacing w:after="0" w:line="240" w:lineRule="auto"/>
              <w:rPr>
                <w:rFonts w:eastAsia="Times New Roman" w:cs="Calibri"/>
                <w:noProof/>
              </w:rPr>
            </w:pPr>
            <w:r>
              <w:rPr>
                <w:noProof/>
              </w:rPr>
              <w:t>117</w:t>
            </w:r>
          </w:p>
        </w:tc>
        <w:tc>
          <w:tcPr>
            <w:tcW w:w="973" w:type="dxa"/>
            <w:tcBorders>
              <w:top w:val="nil"/>
              <w:left w:val="nil"/>
              <w:bottom w:val="single" w:sz="4" w:space="0" w:color="auto"/>
              <w:right w:val="single" w:sz="4" w:space="0" w:color="auto"/>
            </w:tcBorders>
            <w:shd w:val="clear" w:color="auto" w:fill="C6EFCE"/>
            <w:noWrap/>
          </w:tcPr>
          <w:p w14:paraId="4BA6354C" w14:textId="77777777" w:rsidR="00515398" w:rsidRDefault="006711E6">
            <w:pPr>
              <w:pStyle w:val="P68B1DB1-Normal9"/>
              <w:spacing w:after="0" w:line="240" w:lineRule="auto"/>
              <w:rPr>
                <w:rFonts w:eastAsia="Times New Roman" w:cs="Calibri"/>
                <w:noProof/>
                <w:szCs w:val="18"/>
              </w:rPr>
            </w:pPr>
            <w:r>
              <w:rPr>
                <w:noProof/>
              </w:rPr>
              <w:t>ČTVRTLETÍ</w:t>
            </w:r>
          </w:p>
        </w:tc>
        <w:tc>
          <w:tcPr>
            <w:tcW w:w="992" w:type="dxa"/>
            <w:tcBorders>
              <w:top w:val="nil"/>
              <w:left w:val="nil"/>
              <w:bottom w:val="single" w:sz="4" w:space="0" w:color="auto"/>
              <w:right w:val="single" w:sz="4" w:space="0" w:color="auto"/>
            </w:tcBorders>
            <w:shd w:val="clear" w:color="auto" w:fill="C6EFCE"/>
            <w:noWrap/>
          </w:tcPr>
          <w:p w14:paraId="42577EAC" w14:textId="77777777" w:rsidR="00515398" w:rsidRDefault="006711E6">
            <w:pPr>
              <w:pStyle w:val="P68B1DB1-Normal9"/>
              <w:spacing w:after="0" w:line="240" w:lineRule="auto"/>
              <w:rPr>
                <w:rFonts w:eastAsia="Times New Roman" w:cs="Calibri"/>
                <w:noProof/>
                <w:szCs w:val="18"/>
              </w:rPr>
            </w:pPr>
            <w:r>
              <w:rPr>
                <w:noProof/>
              </w:rPr>
              <w:t>2024</w:t>
            </w:r>
          </w:p>
        </w:tc>
        <w:tc>
          <w:tcPr>
            <w:tcW w:w="4501" w:type="dxa"/>
            <w:tcBorders>
              <w:top w:val="nil"/>
              <w:left w:val="nil"/>
              <w:bottom w:val="single" w:sz="4" w:space="0" w:color="auto"/>
              <w:right w:val="single" w:sz="4" w:space="0" w:color="auto"/>
            </w:tcBorders>
            <w:shd w:val="clear" w:color="auto" w:fill="C6EFCE"/>
            <w:noWrap/>
          </w:tcPr>
          <w:p w14:paraId="31A37310" w14:textId="3200C55B" w:rsidR="00515398" w:rsidRDefault="006711E6">
            <w:pPr>
              <w:pStyle w:val="P68B1DB1-Normal10"/>
              <w:spacing w:after="0" w:line="240" w:lineRule="auto"/>
              <w:rPr>
                <w:rFonts w:eastAsia="Times New Roman" w:cs="Calibri"/>
                <w:noProof/>
              </w:rPr>
            </w:pPr>
            <w:r>
              <w:rPr>
                <w:noProof/>
              </w:rPr>
              <w:t xml:space="preserve">Provádět investice do farmaceutického výzkumu a vývoje ve výši 117 000 000 EUR. Investice se potvrdí tím, že příslušný orgán vydá osvědčení o zpětném získání za účelem započtení ve výši 117 000 000 EUR. </w:t>
            </w:r>
            <w:r>
              <w:rPr>
                <w:rFonts w:asciiTheme="minorHAnsi" w:eastAsiaTheme="minorEastAsia" w:hAnsiTheme="minorHAnsi" w:cstheme="minorBidi"/>
                <w:noProof/>
              </w:rPr>
              <w:t xml:space="preserve"> </w:t>
            </w:r>
          </w:p>
        </w:tc>
      </w:tr>
      <w:tr w:rsidR="00515398" w14:paraId="2DF6CB8E"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73B5A0C" w14:textId="136EF077" w:rsidR="00515398" w:rsidRDefault="006711E6">
            <w:pPr>
              <w:pStyle w:val="P68B1DB1-Normal10"/>
              <w:spacing w:line="240" w:lineRule="auto"/>
              <w:rPr>
                <w:noProof/>
              </w:rPr>
            </w:pPr>
            <w:r>
              <w:rPr>
                <w:noProof/>
              </w:rPr>
              <w:t>156a</w:t>
            </w:r>
          </w:p>
        </w:tc>
        <w:tc>
          <w:tcPr>
            <w:tcW w:w="1376" w:type="dxa"/>
            <w:tcBorders>
              <w:top w:val="nil"/>
              <w:left w:val="nil"/>
              <w:bottom w:val="single" w:sz="4" w:space="0" w:color="auto"/>
              <w:right w:val="single" w:sz="4" w:space="0" w:color="auto"/>
            </w:tcBorders>
            <w:shd w:val="clear" w:color="auto" w:fill="C6EFCE"/>
            <w:noWrap/>
          </w:tcPr>
          <w:p w14:paraId="14A1B16F" w14:textId="53AB8462" w:rsidR="00515398" w:rsidRDefault="006711E6">
            <w:pPr>
              <w:pStyle w:val="P68B1DB1-Normal10"/>
              <w:spacing w:after="0" w:line="240" w:lineRule="auto"/>
              <w:rPr>
                <w:rFonts w:eastAsia="Times New Roman" w:cs="Calibri"/>
                <w:noProof/>
              </w:rPr>
            </w:pPr>
            <w:r>
              <w:rPr>
                <w:noProof/>
              </w:rPr>
              <w:t xml:space="preserve">10–3.3. Zlepšení odolnosti, dostupnosti a </w:t>
            </w:r>
            <w:r>
              <w:rPr>
                <w:noProof/>
              </w:rPr>
              <w:t>udržitelnosti zdravotní péče – 16816_Reformy a urychlení investic v odvětví zdravotní péče – snížení zpětného vymáhání a racionalizace výdajů na zdravotní péči</w:t>
            </w:r>
          </w:p>
        </w:tc>
        <w:tc>
          <w:tcPr>
            <w:tcW w:w="966" w:type="dxa"/>
            <w:tcBorders>
              <w:top w:val="nil"/>
              <w:left w:val="nil"/>
              <w:bottom w:val="single" w:sz="4" w:space="0" w:color="auto"/>
              <w:right w:val="single" w:sz="4" w:space="0" w:color="auto"/>
            </w:tcBorders>
            <w:shd w:val="clear" w:color="auto" w:fill="C6EFCE"/>
            <w:noWrap/>
          </w:tcPr>
          <w:p w14:paraId="1244A826" w14:textId="3B56B96D" w:rsidR="00515398" w:rsidRDefault="006711E6">
            <w:pPr>
              <w:pStyle w:val="P68B1DB1-Normal10"/>
              <w:spacing w:after="0" w:line="240" w:lineRule="auto"/>
              <w:rPr>
                <w:rFonts w:eastAsia="Times New Roman" w:cs="Calibri"/>
                <w:noProof/>
              </w:rPr>
            </w:pPr>
            <w:r>
              <w:rPr>
                <w:noProof/>
              </w:rPr>
              <w:t>Cílová</w:t>
            </w:r>
          </w:p>
        </w:tc>
        <w:tc>
          <w:tcPr>
            <w:tcW w:w="1350" w:type="dxa"/>
            <w:tcBorders>
              <w:top w:val="nil"/>
              <w:left w:val="nil"/>
              <w:bottom w:val="single" w:sz="4" w:space="0" w:color="auto"/>
              <w:right w:val="single" w:sz="4" w:space="0" w:color="auto"/>
            </w:tcBorders>
            <w:shd w:val="clear" w:color="auto" w:fill="C6EFCE"/>
            <w:noWrap/>
          </w:tcPr>
          <w:p w14:paraId="20B88CB2" w14:textId="59874F9E" w:rsidR="00515398" w:rsidRDefault="006711E6">
            <w:pPr>
              <w:pStyle w:val="P68B1DB1-Normal10"/>
              <w:spacing w:after="0" w:line="240" w:lineRule="auto"/>
              <w:rPr>
                <w:rFonts w:eastAsia="Times New Roman" w:cs="Calibri"/>
                <w:noProof/>
              </w:rPr>
            </w:pPr>
            <w:r>
              <w:rPr>
                <w:noProof/>
              </w:rPr>
              <w:t>Výzkum a vývoj farmaceutických výrobků</w:t>
            </w:r>
          </w:p>
          <w:p w14:paraId="12A5EDFB" w14:textId="5FAB8172" w:rsidR="00515398" w:rsidRDefault="006711E6">
            <w:pPr>
              <w:pStyle w:val="P68B1DB1-Normal10"/>
              <w:spacing w:after="0" w:line="240" w:lineRule="auto"/>
              <w:rPr>
                <w:rFonts w:eastAsia="Times New Roman" w:cs="Calibri"/>
                <w:noProof/>
              </w:rPr>
            </w:pPr>
            <w:r>
              <w:rPr>
                <w:noProof/>
              </w:rPr>
              <w:t>důkaz o investici – krok 2</w:t>
            </w:r>
          </w:p>
        </w:tc>
        <w:tc>
          <w:tcPr>
            <w:tcW w:w="1717" w:type="dxa"/>
            <w:tcBorders>
              <w:top w:val="nil"/>
              <w:left w:val="nil"/>
              <w:bottom w:val="single" w:sz="4" w:space="0" w:color="auto"/>
              <w:right w:val="single" w:sz="4" w:space="0" w:color="auto"/>
            </w:tcBorders>
            <w:shd w:val="clear" w:color="auto" w:fill="C6EFCE"/>
            <w:noWrap/>
          </w:tcPr>
          <w:p w14:paraId="26A213A9" w14:textId="0205C9DA" w:rsidR="00515398" w:rsidRDefault="00515398">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59595672" w14:textId="1A11388A" w:rsidR="00515398" w:rsidRDefault="006711E6">
            <w:pPr>
              <w:pStyle w:val="P68B1DB1-Normal10"/>
              <w:spacing w:after="0" w:line="240" w:lineRule="auto"/>
              <w:rPr>
                <w:rFonts w:eastAsia="Times New Roman" w:cs="Calibri"/>
                <w:noProof/>
              </w:rPr>
            </w:pPr>
            <w:r>
              <w:rPr>
                <w:noProof/>
              </w:rPr>
              <w:t>Investice (v milionech</w:t>
            </w:r>
            <w:r>
              <w:rPr>
                <w:noProof/>
              </w:rPr>
              <w:t xml:space="preserve"> EUR) uplatněná prostřednictvím zápočtů v rovnocenné výši se zpětně získanými částkami</w:t>
            </w:r>
          </w:p>
        </w:tc>
        <w:tc>
          <w:tcPr>
            <w:tcW w:w="870" w:type="dxa"/>
            <w:tcBorders>
              <w:top w:val="nil"/>
              <w:left w:val="nil"/>
              <w:bottom w:val="single" w:sz="4" w:space="0" w:color="auto"/>
              <w:right w:val="single" w:sz="4" w:space="0" w:color="auto"/>
            </w:tcBorders>
            <w:shd w:val="clear" w:color="auto" w:fill="C6EFCE"/>
            <w:noWrap/>
          </w:tcPr>
          <w:p w14:paraId="13750E2B" w14:textId="66915D1E" w:rsidR="00515398" w:rsidRDefault="006711E6">
            <w:pPr>
              <w:pStyle w:val="P68B1DB1-Normal10"/>
              <w:spacing w:after="0" w:line="240" w:lineRule="auto"/>
              <w:rPr>
                <w:rFonts w:eastAsia="Times New Roman" w:cs="Calibri"/>
                <w:noProof/>
              </w:rPr>
            </w:pPr>
            <w:r>
              <w:rPr>
                <w:noProof/>
              </w:rPr>
              <w:t>117</w:t>
            </w:r>
          </w:p>
        </w:tc>
        <w:tc>
          <w:tcPr>
            <w:tcW w:w="764" w:type="dxa"/>
            <w:tcBorders>
              <w:top w:val="nil"/>
              <w:left w:val="nil"/>
              <w:bottom w:val="single" w:sz="4" w:space="0" w:color="auto"/>
              <w:right w:val="single" w:sz="4" w:space="0" w:color="auto"/>
            </w:tcBorders>
            <w:shd w:val="clear" w:color="auto" w:fill="C6EFCE"/>
            <w:noWrap/>
          </w:tcPr>
          <w:p w14:paraId="03621B28" w14:textId="136A7120" w:rsidR="00515398" w:rsidRDefault="006711E6">
            <w:pPr>
              <w:pStyle w:val="P68B1DB1-Normal10"/>
              <w:spacing w:after="0" w:line="240" w:lineRule="auto"/>
              <w:rPr>
                <w:rFonts w:eastAsia="Times New Roman" w:cs="Calibri"/>
                <w:noProof/>
              </w:rPr>
            </w:pPr>
            <w:r>
              <w:rPr>
                <w:noProof/>
              </w:rPr>
              <w:t>250</w:t>
            </w:r>
          </w:p>
        </w:tc>
        <w:tc>
          <w:tcPr>
            <w:tcW w:w="973" w:type="dxa"/>
            <w:tcBorders>
              <w:top w:val="nil"/>
              <w:left w:val="nil"/>
              <w:bottom w:val="single" w:sz="4" w:space="0" w:color="auto"/>
              <w:right w:val="single" w:sz="4" w:space="0" w:color="auto"/>
            </w:tcBorders>
            <w:shd w:val="clear" w:color="auto" w:fill="C6EFCE"/>
            <w:noWrap/>
          </w:tcPr>
          <w:p w14:paraId="7754B702" w14:textId="28B100CA" w:rsidR="00515398" w:rsidRDefault="006711E6">
            <w:pPr>
              <w:pStyle w:val="P68B1DB1-Normal10"/>
              <w:spacing w:after="0" w:line="240" w:lineRule="auto"/>
              <w:rPr>
                <w:rFonts w:eastAsia="Times New Roman" w:cs="Calibri"/>
                <w:noProof/>
              </w:rPr>
            </w:pPr>
            <w:r>
              <w:rPr>
                <w:noProof/>
              </w:rPr>
              <w:t>ČTVRTLETÍ ČTVRT</w:t>
            </w:r>
          </w:p>
        </w:tc>
        <w:tc>
          <w:tcPr>
            <w:tcW w:w="992" w:type="dxa"/>
            <w:tcBorders>
              <w:top w:val="nil"/>
              <w:left w:val="nil"/>
              <w:bottom w:val="single" w:sz="4" w:space="0" w:color="auto"/>
              <w:right w:val="single" w:sz="4" w:space="0" w:color="auto"/>
            </w:tcBorders>
            <w:shd w:val="clear" w:color="auto" w:fill="C6EFCE"/>
            <w:noWrap/>
          </w:tcPr>
          <w:p w14:paraId="2F6DBA71" w14:textId="60625BBB" w:rsidR="00515398" w:rsidRDefault="006711E6">
            <w:pPr>
              <w:pStyle w:val="P68B1DB1-Normal10"/>
              <w:spacing w:after="0" w:line="240" w:lineRule="auto"/>
              <w:rPr>
                <w:rFonts w:eastAsia="Times New Roman" w:cs="Calibri"/>
                <w:noProof/>
              </w:rPr>
            </w:pPr>
            <w:r>
              <w:rPr>
                <w:noProof/>
              </w:rPr>
              <w:t>2025</w:t>
            </w:r>
          </w:p>
        </w:tc>
        <w:tc>
          <w:tcPr>
            <w:tcW w:w="4501" w:type="dxa"/>
            <w:tcBorders>
              <w:top w:val="nil"/>
              <w:left w:val="nil"/>
              <w:bottom w:val="single" w:sz="4" w:space="0" w:color="auto"/>
              <w:right w:val="single" w:sz="4" w:space="0" w:color="auto"/>
            </w:tcBorders>
            <w:shd w:val="clear" w:color="auto" w:fill="C6EFCE"/>
            <w:noWrap/>
          </w:tcPr>
          <w:p w14:paraId="25A87C6B" w14:textId="52A8FE9B" w:rsidR="00515398" w:rsidRDefault="006711E6">
            <w:pPr>
              <w:pStyle w:val="P68B1DB1-Normal10"/>
              <w:spacing w:after="0" w:line="240" w:lineRule="auto"/>
              <w:rPr>
                <w:noProof/>
              </w:rPr>
            </w:pPr>
            <w:r>
              <w:rPr>
                <w:noProof/>
              </w:rPr>
              <w:t>Provést investice do farmaceutického výzkumu a vývoje v dodatečné výši 133 000 000 EUR s cílem dosáhnout investic v celkové výši 250 000 000</w:t>
            </w:r>
            <w:r>
              <w:rPr>
                <w:noProof/>
              </w:rPr>
              <w:t xml:space="preserve"> EUR (kumulativní krok 1 a krok 2).  </w:t>
            </w:r>
          </w:p>
          <w:p w14:paraId="7408F4D6" w14:textId="77777777" w:rsidR="00515398" w:rsidRDefault="00515398">
            <w:pPr>
              <w:spacing w:after="0" w:line="240" w:lineRule="auto"/>
              <w:rPr>
                <w:noProof/>
                <w:color w:val="006100"/>
                <w:sz w:val="18"/>
                <w:szCs w:val="18"/>
              </w:rPr>
            </w:pPr>
          </w:p>
          <w:p w14:paraId="1E253F09" w14:textId="61A172DA" w:rsidR="00515398" w:rsidRDefault="006711E6">
            <w:pPr>
              <w:pStyle w:val="P68B1DB1-Normal10"/>
              <w:spacing w:after="0" w:line="240" w:lineRule="auto"/>
              <w:rPr>
                <w:noProof/>
              </w:rPr>
            </w:pPr>
            <w:r>
              <w:rPr>
                <w:noProof/>
              </w:rPr>
              <w:t>Investice se potvrdí tím, že příslušný orgán vydá osvědčení o zpětném získání za účelem započtení</w:t>
            </w:r>
            <w:r>
              <w:rPr>
                <w:rFonts w:asciiTheme="minorHAnsi" w:eastAsiaTheme="minorEastAsia" w:hAnsiTheme="minorHAnsi" w:cstheme="minorBidi"/>
                <w:noProof/>
              </w:rPr>
              <w:t xml:space="preserve"> ve výši </w:t>
            </w:r>
            <w:r>
              <w:rPr>
                <w:noProof/>
              </w:rPr>
              <w:t>133000000 EUR.</w:t>
            </w:r>
          </w:p>
        </w:tc>
      </w:tr>
      <w:tr w:rsidR="00515398" w14:paraId="224371BA"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235A7C75" w14:textId="77777777" w:rsidR="00515398" w:rsidRDefault="006711E6">
            <w:pPr>
              <w:pStyle w:val="P68B1DB1-Normal9"/>
              <w:spacing w:after="0" w:line="240" w:lineRule="auto"/>
              <w:rPr>
                <w:rFonts w:eastAsia="Times New Roman" w:cs="Calibri"/>
                <w:noProof/>
                <w:szCs w:val="18"/>
              </w:rPr>
            </w:pPr>
            <w:r>
              <w:rPr>
                <w:noProof/>
              </w:rPr>
              <w:t>157</w:t>
            </w:r>
          </w:p>
        </w:tc>
        <w:tc>
          <w:tcPr>
            <w:tcW w:w="1376" w:type="dxa"/>
            <w:tcBorders>
              <w:top w:val="nil"/>
              <w:left w:val="nil"/>
              <w:bottom w:val="single" w:sz="4" w:space="0" w:color="auto"/>
              <w:right w:val="single" w:sz="4" w:space="0" w:color="auto"/>
            </w:tcBorders>
            <w:shd w:val="clear" w:color="auto" w:fill="C6EFCE"/>
            <w:noWrap/>
          </w:tcPr>
          <w:p w14:paraId="616555B1" w14:textId="77777777" w:rsidR="00515398" w:rsidRDefault="006711E6">
            <w:pPr>
              <w:pStyle w:val="P68B1DB1-Normal9"/>
              <w:spacing w:after="0" w:line="240" w:lineRule="auto"/>
              <w:rPr>
                <w:rFonts w:eastAsia="Times New Roman" w:cs="Calibri"/>
                <w:noProof/>
                <w:szCs w:val="18"/>
              </w:rPr>
            </w:pPr>
            <w:r>
              <w:rPr>
                <w:noProof/>
              </w:rPr>
              <w:t xml:space="preserve">10–3.3. Zlepšení odolnosti, dostupnosti a udržitelnosti zdravotní péče – 16816_Reformy a </w:t>
            </w:r>
            <w:r>
              <w:rPr>
                <w:noProof/>
              </w:rPr>
              <w:t>urychlení investic v odvětví zdravotní péče – snížení zpětného vymáhání a racionalizace výdajů na zdravotní péči</w:t>
            </w:r>
          </w:p>
        </w:tc>
        <w:tc>
          <w:tcPr>
            <w:tcW w:w="966" w:type="dxa"/>
            <w:tcBorders>
              <w:top w:val="nil"/>
              <w:left w:val="nil"/>
              <w:bottom w:val="single" w:sz="4" w:space="0" w:color="auto"/>
              <w:right w:val="single" w:sz="4" w:space="0" w:color="auto"/>
            </w:tcBorders>
            <w:shd w:val="clear" w:color="auto" w:fill="C6EFCE"/>
            <w:noWrap/>
          </w:tcPr>
          <w:p w14:paraId="07954231" w14:textId="77777777" w:rsidR="00515398" w:rsidRDefault="006711E6">
            <w:pPr>
              <w:pStyle w:val="P68B1DB1-Normal9"/>
              <w:spacing w:after="0" w:line="240" w:lineRule="auto"/>
              <w:rPr>
                <w:rFonts w:eastAsia="Times New Roman" w:cs="Calibri"/>
                <w:noProof/>
                <w:szCs w:val="18"/>
              </w:rPr>
            </w:pPr>
            <w:r>
              <w:rPr>
                <w:noProof/>
              </w:rPr>
              <w:t>Cílová</w:t>
            </w:r>
          </w:p>
        </w:tc>
        <w:tc>
          <w:tcPr>
            <w:tcW w:w="1350" w:type="dxa"/>
            <w:tcBorders>
              <w:top w:val="nil"/>
              <w:left w:val="nil"/>
              <w:bottom w:val="single" w:sz="4" w:space="0" w:color="auto"/>
              <w:right w:val="single" w:sz="4" w:space="0" w:color="auto"/>
            </w:tcBorders>
            <w:shd w:val="clear" w:color="auto" w:fill="C6EFCE"/>
            <w:noWrap/>
          </w:tcPr>
          <w:p w14:paraId="041911F2" w14:textId="77777777" w:rsidR="00515398" w:rsidRDefault="006711E6">
            <w:pPr>
              <w:pStyle w:val="P68B1DB1-Normal9"/>
              <w:spacing w:after="0" w:line="240" w:lineRule="auto"/>
              <w:rPr>
                <w:rFonts w:eastAsia="Times New Roman" w:cs="Calibri"/>
                <w:noProof/>
                <w:szCs w:val="18"/>
              </w:rPr>
            </w:pPr>
            <w:r>
              <w:rPr>
                <w:noProof/>
              </w:rPr>
              <w:t>Snížení zpětného vymáhání 300000000 – krok 3</w:t>
            </w:r>
          </w:p>
        </w:tc>
        <w:tc>
          <w:tcPr>
            <w:tcW w:w="1717" w:type="dxa"/>
            <w:tcBorders>
              <w:top w:val="nil"/>
              <w:left w:val="nil"/>
              <w:bottom w:val="single" w:sz="4" w:space="0" w:color="auto"/>
              <w:right w:val="single" w:sz="4" w:space="0" w:color="auto"/>
            </w:tcBorders>
            <w:shd w:val="clear" w:color="auto" w:fill="C6EFCE"/>
            <w:noWrap/>
          </w:tcPr>
          <w:p w14:paraId="50D2109C" w14:textId="77777777" w:rsidR="00515398" w:rsidRDefault="00515398">
            <w:pPr>
              <w:spacing w:after="0" w:line="240" w:lineRule="auto"/>
              <w:rPr>
                <w:rFonts w:eastAsia="Times New Roman" w:cs="Calibri"/>
                <w:noProof/>
                <w:color w:val="006100"/>
                <w:sz w:val="18"/>
                <w:szCs w:val="18"/>
              </w:rPr>
            </w:pPr>
          </w:p>
        </w:tc>
        <w:tc>
          <w:tcPr>
            <w:tcW w:w="1194" w:type="dxa"/>
            <w:tcBorders>
              <w:top w:val="nil"/>
              <w:left w:val="nil"/>
              <w:bottom w:val="single" w:sz="4" w:space="0" w:color="auto"/>
              <w:right w:val="single" w:sz="4" w:space="0" w:color="auto"/>
            </w:tcBorders>
            <w:shd w:val="clear" w:color="auto" w:fill="C6EFCE"/>
            <w:noWrap/>
          </w:tcPr>
          <w:p w14:paraId="25D40425" w14:textId="77777777" w:rsidR="00515398" w:rsidRDefault="006711E6">
            <w:pPr>
              <w:pStyle w:val="P68B1DB1-Normal9"/>
              <w:spacing w:after="0" w:line="240" w:lineRule="auto"/>
              <w:rPr>
                <w:rFonts w:eastAsia="Times New Roman" w:cs="Calibri"/>
                <w:noProof/>
                <w:szCs w:val="18"/>
              </w:rPr>
            </w:pPr>
            <w:r>
              <w:rPr>
                <w:noProof/>
              </w:rPr>
              <w:t>Snížení částky zpětného získání ve srovnání s úrovněmi z roku 2020 (v milionech EUR)</w:t>
            </w:r>
          </w:p>
        </w:tc>
        <w:tc>
          <w:tcPr>
            <w:tcW w:w="870" w:type="dxa"/>
            <w:tcBorders>
              <w:top w:val="nil"/>
              <w:left w:val="nil"/>
              <w:bottom w:val="single" w:sz="4" w:space="0" w:color="auto"/>
              <w:right w:val="single" w:sz="4" w:space="0" w:color="auto"/>
            </w:tcBorders>
            <w:shd w:val="clear" w:color="auto" w:fill="C6EFCE"/>
            <w:noWrap/>
          </w:tcPr>
          <w:p w14:paraId="51AFC041" w14:textId="629FF911" w:rsidR="00515398" w:rsidRDefault="006711E6">
            <w:pPr>
              <w:pStyle w:val="P68B1DB1-Normal9"/>
              <w:spacing w:after="0" w:line="240" w:lineRule="auto"/>
              <w:rPr>
                <w:rFonts w:eastAsia="Times New Roman" w:cs="Calibri"/>
                <w:noProof/>
                <w:szCs w:val="18"/>
              </w:rPr>
            </w:pPr>
            <w:r>
              <w:rPr>
                <w:noProof/>
              </w:rPr>
              <w:t>0</w:t>
            </w:r>
          </w:p>
        </w:tc>
        <w:tc>
          <w:tcPr>
            <w:tcW w:w="764" w:type="dxa"/>
            <w:tcBorders>
              <w:top w:val="nil"/>
              <w:left w:val="nil"/>
              <w:bottom w:val="single" w:sz="4" w:space="0" w:color="auto"/>
              <w:right w:val="single" w:sz="4" w:space="0" w:color="auto"/>
            </w:tcBorders>
            <w:shd w:val="clear" w:color="auto" w:fill="C6EFCE"/>
            <w:noWrap/>
          </w:tcPr>
          <w:p w14:paraId="5E6F5C05" w14:textId="77777777" w:rsidR="00515398" w:rsidRDefault="006711E6">
            <w:pPr>
              <w:pStyle w:val="P68B1DB1-Normal9"/>
              <w:spacing w:after="0" w:line="240" w:lineRule="auto"/>
              <w:rPr>
                <w:rFonts w:eastAsia="Times New Roman" w:cs="Calibri"/>
                <w:noProof/>
                <w:szCs w:val="18"/>
              </w:rPr>
            </w:pPr>
            <w:r>
              <w:rPr>
                <w:noProof/>
              </w:rPr>
              <w:t>300</w:t>
            </w:r>
          </w:p>
        </w:tc>
        <w:tc>
          <w:tcPr>
            <w:tcW w:w="973" w:type="dxa"/>
            <w:tcBorders>
              <w:top w:val="nil"/>
              <w:left w:val="nil"/>
              <w:bottom w:val="single" w:sz="4" w:space="0" w:color="auto"/>
              <w:right w:val="single" w:sz="4" w:space="0" w:color="auto"/>
            </w:tcBorders>
            <w:shd w:val="clear" w:color="auto" w:fill="C6EFCE"/>
            <w:noWrap/>
          </w:tcPr>
          <w:p w14:paraId="712A26EC" w14:textId="77777777" w:rsidR="00515398" w:rsidRDefault="006711E6">
            <w:pPr>
              <w:pStyle w:val="P68B1DB1-Normal9"/>
              <w:spacing w:after="0" w:line="240" w:lineRule="auto"/>
              <w:rPr>
                <w:rFonts w:eastAsia="Times New Roman" w:cs="Calibri"/>
                <w:noProof/>
                <w:szCs w:val="18"/>
              </w:rPr>
            </w:pPr>
            <w:r>
              <w:rPr>
                <w:noProof/>
              </w:rPr>
              <w:t>ČTVRTLETÍ</w:t>
            </w:r>
          </w:p>
        </w:tc>
        <w:tc>
          <w:tcPr>
            <w:tcW w:w="992" w:type="dxa"/>
            <w:tcBorders>
              <w:top w:val="nil"/>
              <w:left w:val="nil"/>
              <w:bottom w:val="single" w:sz="4" w:space="0" w:color="auto"/>
              <w:right w:val="single" w:sz="4" w:space="0" w:color="auto"/>
            </w:tcBorders>
            <w:shd w:val="clear" w:color="auto" w:fill="C6EFCE"/>
            <w:noWrap/>
          </w:tcPr>
          <w:p w14:paraId="79241647" w14:textId="77777777" w:rsidR="00515398" w:rsidRDefault="006711E6">
            <w:pPr>
              <w:pStyle w:val="P68B1DB1-Normal9"/>
              <w:spacing w:after="0" w:line="240" w:lineRule="auto"/>
              <w:rPr>
                <w:rFonts w:eastAsia="Times New Roman" w:cs="Calibri"/>
                <w:noProof/>
                <w:szCs w:val="18"/>
              </w:rPr>
            </w:pPr>
            <w:r>
              <w:rPr>
                <w:noProof/>
              </w:rPr>
              <w:t>2025</w:t>
            </w:r>
          </w:p>
        </w:tc>
        <w:tc>
          <w:tcPr>
            <w:tcW w:w="4501" w:type="dxa"/>
            <w:tcBorders>
              <w:top w:val="nil"/>
              <w:left w:val="nil"/>
              <w:bottom w:val="single" w:sz="4" w:space="0" w:color="auto"/>
              <w:right w:val="single" w:sz="4" w:space="0" w:color="auto"/>
            </w:tcBorders>
            <w:shd w:val="clear" w:color="auto" w:fill="C6EFCE"/>
            <w:noWrap/>
          </w:tcPr>
          <w:p w14:paraId="7877AD62" w14:textId="6E49AD7E" w:rsidR="00515398" w:rsidRDefault="006711E6">
            <w:pPr>
              <w:pStyle w:val="P68B1DB1-Normal9"/>
              <w:spacing w:after="0" w:line="240" w:lineRule="auto"/>
              <w:rPr>
                <w:rFonts w:eastAsia="Times New Roman" w:cs="Calibri"/>
                <w:noProof/>
                <w:szCs w:val="18"/>
              </w:rPr>
            </w:pPr>
            <w:r>
              <w:rPr>
                <w:noProof/>
              </w:rPr>
              <w:t>Prosazovat dříve přijatá opatření ke zvýšení účinnosti s cílem dosáhnout snížení zpětného vymáhání farmaceutických výrobků v roce 2024, a to jak u ambulantních, tak i nemocničních léčivých přípravků, o 300 000 000 EUR ve srovnání s úrovněmi</w:t>
            </w:r>
            <w:r>
              <w:rPr>
                <w:noProof/>
              </w:rPr>
              <w:t xml:space="preserve"> z roku 2020, čímž se podpoří odolnost systému zdravotní péče. Není-li toho dosaženo, nebude rozdíl mezi cíleným snížením a skutečným snížením za každý rok získán zpět od farmaceutického průmyslu a příslušná částka bude hrazena ze státního rozpočtu až do v</w:t>
            </w:r>
            <w:r>
              <w:rPr>
                <w:noProof/>
              </w:rPr>
              <w:t>ýše 300 000 000 EUR.</w:t>
            </w:r>
          </w:p>
        </w:tc>
      </w:tr>
      <w:tr w:rsidR="00515398" w14:paraId="5FDBBC2F"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06EC06B" w14:textId="77777777" w:rsidR="00515398" w:rsidRDefault="006711E6">
            <w:pPr>
              <w:pStyle w:val="P68B1DB1-Normal9"/>
              <w:spacing w:after="0" w:line="240" w:lineRule="auto"/>
              <w:rPr>
                <w:rFonts w:eastAsia="Times New Roman" w:cs="Calibri"/>
                <w:noProof/>
                <w:szCs w:val="18"/>
              </w:rPr>
            </w:pPr>
            <w:r>
              <w:rPr>
                <w:noProof/>
              </w:rPr>
              <w:t>158</w:t>
            </w:r>
          </w:p>
        </w:tc>
        <w:tc>
          <w:tcPr>
            <w:tcW w:w="1376" w:type="dxa"/>
            <w:tcBorders>
              <w:top w:val="single" w:sz="4" w:space="0" w:color="auto"/>
              <w:left w:val="nil"/>
              <w:bottom w:val="single" w:sz="4" w:space="0" w:color="auto"/>
              <w:right w:val="single" w:sz="4" w:space="0" w:color="auto"/>
            </w:tcBorders>
            <w:shd w:val="clear" w:color="auto" w:fill="C6EFCE"/>
            <w:noWrap/>
          </w:tcPr>
          <w:p w14:paraId="03D8862B"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16816_Reformy a urychlení investic v odvětví zdravotní péče – snížení zpětného vymáhání a racionalizace výdajů na zdravotní péči</w:t>
            </w:r>
          </w:p>
        </w:tc>
        <w:tc>
          <w:tcPr>
            <w:tcW w:w="966" w:type="dxa"/>
            <w:tcBorders>
              <w:top w:val="single" w:sz="4" w:space="0" w:color="auto"/>
              <w:left w:val="nil"/>
              <w:bottom w:val="single" w:sz="4" w:space="0" w:color="auto"/>
              <w:right w:val="single" w:sz="4" w:space="0" w:color="auto"/>
            </w:tcBorders>
            <w:shd w:val="clear" w:color="auto" w:fill="C6EFCE"/>
            <w:noWrap/>
          </w:tcPr>
          <w:p w14:paraId="249FC310" w14:textId="77777777" w:rsidR="00515398" w:rsidRDefault="006711E6">
            <w:pPr>
              <w:pStyle w:val="P68B1DB1-Normal9"/>
              <w:spacing w:after="0" w:line="240" w:lineRule="auto"/>
              <w:rPr>
                <w:rFonts w:eastAsia="Times New Roman" w:cs="Calibri"/>
                <w:noProof/>
                <w:szCs w:val="18"/>
              </w:rPr>
            </w:pPr>
            <w:r>
              <w:rPr>
                <w:noProof/>
              </w:rPr>
              <w:t>Cílová</w:t>
            </w:r>
          </w:p>
        </w:tc>
        <w:tc>
          <w:tcPr>
            <w:tcW w:w="1350" w:type="dxa"/>
            <w:tcBorders>
              <w:top w:val="single" w:sz="4" w:space="0" w:color="auto"/>
              <w:left w:val="nil"/>
              <w:bottom w:val="single" w:sz="4" w:space="0" w:color="auto"/>
              <w:right w:val="single" w:sz="4" w:space="0" w:color="auto"/>
            </w:tcBorders>
            <w:shd w:val="clear" w:color="auto" w:fill="C6EFCE"/>
            <w:noWrap/>
          </w:tcPr>
          <w:p w14:paraId="200B136F" w14:textId="77777777" w:rsidR="00515398" w:rsidRDefault="006711E6">
            <w:pPr>
              <w:pStyle w:val="P68B1DB1-Normal9"/>
              <w:spacing w:after="0" w:line="240" w:lineRule="auto"/>
              <w:rPr>
                <w:rFonts w:eastAsia="Times New Roman" w:cs="Calibri"/>
                <w:noProof/>
                <w:szCs w:val="18"/>
              </w:rPr>
            </w:pPr>
            <w:r>
              <w:rPr>
                <w:noProof/>
              </w:rPr>
              <w:t xml:space="preserve">Snížení zpětného </w:t>
            </w:r>
            <w:r>
              <w:rPr>
                <w:noProof/>
              </w:rPr>
              <w:t>vymáhání 400000000 – krok 4</w:t>
            </w:r>
          </w:p>
        </w:tc>
        <w:tc>
          <w:tcPr>
            <w:tcW w:w="1717" w:type="dxa"/>
            <w:tcBorders>
              <w:top w:val="single" w:sz="4" w:space="0" w:color="auto"/>
              <w:left w:val="nil"/>
              <w:bottom w:val="single" w:sz="4" w:space="0" w:color="auto"/>
              <w:right w:val="single" w:sz="4" w:space="0" w:color="auto"/>
            </w:tcBorders>
            <w:shd w:val="clear" w:color="auto" w:fill="C6EFCE"/>
            <w:noWrap/>
          </w:tcPr>
          <w:p w14:paraId="63F53BE6" w14:textId="77777777" w:rsidR="00515398" w:rsidRDefault="00515398">
            <w:pPr>
              <w:spacing w:after="0" w:line="240" w:lineRule="auto"/>
              <w:rPr>
                <w:rFonts w:eastAsia="Times New Roman" w:cs="Calibri"/>
                <w:noProof/>
                <w:color w:val="006100"/>
                <w:sz w:val="18"/>
                <w:szCs w:val="18"/>
              </w:rPr>
            </w:pPr>
          </w:p>
        </w:tc>
        <w:tc>
          <w:tcPr>
            <w:tcW w:w="1194" w:type="dxa"/>
            <w:tcBorders>
              <w:top w:val="single" w:sz="4" w:space="0" w:color="auto"/>
              <w:left w:val="nil"/>
              <w:bottom w:val="single" w:sz="4" w:space="0" w:color="auto"/>
              <w:right w:val="single" w:sz="4" w:space="0" w:color="auto"/>
            </w:tcBorders>
            <w:shd w:val="clear" w:color="auto" w:fill="C6EFCE"/>
            <w:noWrap/>
          </w:tcPr>
          <w:p w14:paraId="5207D7B2" w14:textId="77777777" w:rsidR="00515398" w:rsidRDefault="006711E6">
            <w:pPr>
              <w:pStyle w:val="P68B1DB1-Normal9"/>
              <w:spacing w:after="0" w:line="240" w:lineRule="auto"/>
              <w:rPr>
                <w:rFonts w:eastAsia="Times New Roman" w:cs="Calibri"/>
                <w:noProof/>
                <w:szCs w:val="18"/>
              </w:rPr>
            </w:pPr>
            <w:r>
              <w:rPr>
                <w:noProof/>
              </w:rPr>
              <w:t>Snížení částky zpětného získání ve srovnání s úrovněmi z roku 2020 (v milionech EUR)</w:t>
            </w:r>
          </w:p>
        </w:tc>
        <w:tc>
          <w:tcPr>
            <w:tcW w:w="870" w:type="dxa"/>
            <w:tcBorders>
              <w:top w:val="single" w:sz="4" w:space="0" w:color="auto"/>
              <w:left w:val="nil"/>
              <w:bottom w:val="single" w:sz="4" w:space="0" w:color="auto"/>
              <w:right w:val="single" w:sz="4" w:space="0" w:color="auto"/>
            </w:tcBorders>
            <w:shd w:val="clear" w:color="auto" w:fill="C6EFCE"/>
            <w:noWrap/>
          </w:tcPr>
          <w:p w14:paraId="11EAAC25" w14:textId="2E22E62E" w:rsidR="00515398" w:rsidRDefault="006711E6">
            <w:pPr>
              <w:pStyle w:val="P68B1DB1-Normal9"/>
              <w:spacing w:after="0" w:line="240" w:lineRule="auto"/>
              <w:rPr>
                <w:rFonts w:eastAsia="Times New Roman" w:cs="Calibri"/>
                <w:noProof/>
                <w:szCs w:val="18"/>
              </w:rPr>
            </w:pPr>
            <w:r>
              <w:rPr>
                <w:noProof/>
              </w:rPr>
              <w:t>0</w:t>
            </w:r>
          </w:p>
        </w:tc>
        <w:tc>
          <w:tcPr>
            <w:tcW w:w="764" w:type="dxa"/>
            <w:tcBorders>
              <w:top w:val="single" w:sz="4" w:space="0" w:color="auto"/>
              <w:left w:val="nil"/>
              <w:bottom w:val="single" w:sz="4" w:space="0" w:color="auto"/>
              <w:right w:val="single" w:sz="4" w:space="0" w:color="auto"/>
            </w:tcBorders>
            <w:shd w:val="clear" w:color="auto" w:fill="C6EFCE"/>
            <w:noWrap/>
          </w:tcPr>
          <w:p w14:paraId="72DAD12B" w14:textId="77777777" w:rsidR="00515398" w:rsidRDefault="006711E6">
            <w:pPr>
              <w:pStyle w:val="P68B1DB1-Normal9"/>
              <w:spacing w:after="0" w:line="240" w:lineRule="auto"/>
              <w:rPr>
                <w:rFonts w:eastAsia="Times New Roman" w:cs="Calibri"/>
                <w:noProof/>
                <w:szCs w:val="18"/>
              </w:rPr>
            </w:pPr>
            <w:r>
              <w:rPr>
                <w:noProof/>
              </w:rPr>
              <w:t>400</w:t>
            </w:r>
          </w:p>
        </w:tc>
        <w:tc>
          <w:tcPr>
            <w:tcW w:w="973" w:type="dxa"/>
            <w:tcBorders>
              <w:top w:val="single" w:sz="4" w:space="0" w:color="auto"/>
              <w:left w:val="nil"/>
              <w:bottom w:val="single" w:sz="4" w:space="0" w:color="auto"/>
              <w:right w:val="single" w:sz="4" w:space="0" w:color="auto"/>
            </w:tcBorders>
            <w:shd w:val="clear" w:color="auto" w:fill="C6EFCE"/>
            <w:noWrap/>
          </w:tcPr>
          <w:p w14:paraId="4F9754A2" w14:textId="77777777" w:rsidR="00515398" w:rsidRDefault="006711E6">
            <w:pPr>
              <w:pStyle w:val="P68B1DB1-Normal9"/>
              <w:spacing w:after="0" w:line="240" w:lineRule="auto"/>
              <w:rPr>
                <w:rFonts w:eastAsia="Times New Roman" w:cs="Calibri"/>
                <w:noProof/>
                <w:szCs w:val="18"/>
              </w:rPr>
            </w:pPr>
            <w:r>
              <w:rPr>
                <w:noProof/>
              </w:rPr>
              <w:t>ČTVRTLETÍ</w:t>
            </w:r>
          </w:p>
        </w:tc>
        <w:tc>
          <w:tcPr>
            <w:tcW w:w="992" w:type="dxa"/>
            <w:tcBorders>
              <w:top w:val="single" w:sz="4" w:space="0" w:color="auto"/>
              <w:left w:val="nil"/>
              <w:bottom w:val="single" w:sz="4" w:space="0" w:color="auto"/>
              <w:right w:val="single" w:sz="4" w:space="0" w:color="auto"/>
            </w:tcBorders>
            <w:shd w:val="clear" w:color="auto" w:fill="C6EFCE"/>
            <w:noWrap/>
          </w:tcPr>
          <w:p w14:paraId="7B96A7FC" w14:textId="77777777" w:rsidR="00515398" w:rsidRDefault="006711E6">
            <w:pPr>
              <w:pStyle w:val="P68B1DB1-Normal9"/>
              <w:spacing w:after="0" w:line="240" w:lineRule="auto"/>
              <w:rPr>
                <w:rFonts w:eastAsia="Times New Roman" w:cs="Calibri"/>
                <w:noProof/>
                <w:szCs w:val="18"/>
              </w:rPr>
            </w:pPr>
            <w:r>
              <w:rPr>
                <w:noProof/>
              </w:rPr>
              <w:t>2026</w:t>
            </w:r>
          </w:p>
        </w:tc>
        <w:tc>
          <w:tcPr>
            <w:tcW w:w="4501" w:type="dxa"/>
            <w:tcBorders>
              <w:top w:val="single" w:sz="4" w:space="0" w:color="auto"/>
              <w:left w:val="nil"/>
              <w:bottom w:val="single" w:sz="4" w:space="0" w:color="auto"/>
              <w:right w:val="single" w:sz="4" w:space="0" w:color="auto"/>
            </w:tcBorders>
            <w:shd w:val="clear" w:color="auto" w:fill="C6EFCE"/>
            <w:noWrap/>
          </w:tcPr>
          <w:p w14:paraId="5DB76648" w14:textId="7F7D9A0A" w:rsidR="00515398" w:rsidRDefault="006711E6">
            <w:pPr>
              <w:pStyle w:val="P68B1DB1-Normal9"/>
              <w:spacing w:after="0" w:line="240" w:lineRule="auto"/>
              <w:rPr>
                <w:rFonts w:eastAsia="Times New Roman" w:cs="Calibri"/>
                <w:noProof/>
                <w:szCs w:val="18"/>
              </w:rPr>
            </w:pPr>
            <w:r>
              <w:rPr>
                <w:noProof/>
              </w:rPr>
              <w:t xml:space="preserve">Prosazovat dříve přijatá opatření ke zvýšení účinnosti s cílem dosáhnout snížení zpětného vymáhání farmaceutických </w:t>
            </w:r>
            <w:r>
              <w:rPr>
                <w:noProof/>
              </w:rPr>
              <w:t>výrobků v roce 2025, a to jak u ambulantních, tak i nemocničních léčivých přípravků, o 400 000 000 EUR ve srovnání s úrovněmi z roku 2020, čímž se podpoří odolnost systému zdravotní péče. Není-li toho dosaženo, nebude rozdíl mezi cíleným snížením a skutečn</w:t>
            </w:r>
            <w:r>
              <w:rPr>
                <w:noProof/>
              </w:rPr>
              <w:t>ým snížením za každý rok získán zpět od farmaceutického průmyslu a příslušná částka bude hrazena ze státního rozpočtu až do výše 400 000 000 EUR.</w:t>
            </w:r>
          </w:p>
        </w:tc>
      </w:tr>
    </w:tbl>
    <w:p w14:paraId="4C0AC73B" w14:textId="77777777" w:rsidR="00515398" w:rsidRDefault="00515398">
      <w:pPr>
        <w:spacing w:before="120" w:after="120" w:line="240" w:lineRule="auto"/>
        <w:ind w:left="709"/>
        <w:jc w:val="both"/>
        <w:rPr>
          <w:rFonts w:ascii="Times New Roman" w:hAnsi="Times New Roman" w:cs="Times New Roman"/>
          <w:noProof/>
          <w:sz w:val="24"/>
          <w:szCs w:val="24"/>
        </w:rPr>
        <w:sectPr w:rsidR="00515398" w:rsidSect="00271D33">
          <w:headerReference w:type="even" r:id="rId175"/>
          <w:headerReference w:type="default" r:id="rId176"/>
          <w:footerReference w:type="even" r:id="rId177"/>
          <w:footerReference w:type="default" r:id="rId178"/>
          <w:headerReference w:type="first" r:id="rId179"/>
          <w:footerReference w:type="first" r:id="rId180"/>
          <w:pgSz w:w="16839" w:h="11907" w:orient="landscape"/>
          <w:pgMar w:top="720" w:right="720" w:bottom="720" w:left="720" w:header="709" w:footer="217" w:gutter="0"/>
          <w:cols w:space="720"/>
          <w:docGrid w:linePitch="360"/>
        </w:sectPr>
      </w:pPr>
    </w:p>
    <w:p w14:paraId="5489EFFC" w14:textId="77777777" w:rsidR="00515398" w:rsidRDefault="006711E6">
      <w:pPr>
        <w:pStyle w:val="P68B1DB1-Normal6"/>
        <w:keepNext/>
        <w:keepLines/>
        <w:spacing w:before="40" w:after="0" w:line="240" w:lineRule="auto"/>
        <w:jc w:val="both"/>
        <w:outlineLvl w:val="4"/>
        <w:rPr>
          <w:rFonts w:eastAsia="Times New Roman"/>
          <w:noProof/>
        </w:rPr>
      </w:pPr>
      <w:r>
        <w:rPr>
          <w:noProof/>
        </w:rPr>
        <w:t xml:space="preserve">Skupina 13: Zlepšení odolnosti, přístupnosti a </w:t>
      </w:r>
      <w:r>
        <w:rPr>
          <w:noProof/>
        </w:rPr>
        <w:t>udržitelnosti zdravotní péče</w:t>
      </w:r>
    </w:p>
    <w:p w14:paraId="4AC87050" w14:textId="24596D67" w:rsidR="00515398" w:rsidRDefault="006711E6">
      <w:pPr>
        <w:pStyle w:val="P68B1DB1-Normal4"/>
        <w:numPr>
          <w:ilvl w:val="0"/>
          <w:numId w:val="41"/>
        </w:numPr>
        <w:tabs>
          <w:tab w:val="left" w:pos="8364"/>
        </w:tabs>
        <w:spacing w:before="120" w:after="0" w:line="240" w:lineRule="auto"/>
        <w:jc w:val="both"/>
        <w:rPr>
          <w:rFonts w:cs="Times New Roman"/>
          <w:noProof/>
        </w:rPr>
      </w:pPr>
      <w:r>
        <w:rPr>
          <w:noProof/>
        </w:rPr>
        <w:t>Organizační reformy systému zdravotní péče (ID: 16756)</w:t>
      </w:r>
    </w:p>
    <w:p w14:paraId="068977C5" w14:textId="77777777" w:rsidR="00515398" w:rsidRDefault="006711E6">
      <w:pPr>
        <w:pStyle w:val="P68B1DB1-Normal4"/>
        <w:numPr>
          <w:ilvl w:val="0"/>
          <w:numId w:val="41"/>
        </w:numPr>
        <w:tabs>
          <w:tab w:val="left" w:pos="8364"/>
        </w:tabs>
        <w:spacing w:before="120" w:after="0" w:line="240" w:lineRule="auto"/>
        <w:jc w:val="both"/>
        <w:rPr>
          <w:rFonts w:cs="Times New Roman"/>
          <w:noProof/>
        </w:rPr>
      </w:pPr>
      <w:r>
        <w:rPr>
          <w:noProof/>
        </w:rPr>
        <w:t>Reforma v oblasti duševního zdraví a závislostí (ID: 16820)</w:t>
      </w:r>
    </w:p>
    <w:p w14:paraId="62C477B6" w14:textId="77777777" w:rsidR="00515398" w:rsidRDefault="006711E6">
      <w:pPr>
        <w:pStyle w:val="P68B1DB1-Normal4"/>
        <w:numPr>
          <w:ilvl w:val="0"/>
          <w:numId w:val="41"/>
        </w:numPr>
        <w:tabs>
          <w:tab w:val="left" w:pos="8364"/>
        </w:tabs>
        <w:spacing w:before="120" w:after="0" w:line="240" w:lineRule="auto"/>
        <w:jc w:val="both"/>
        <w:rPr>
          <w:rFonts w:cs="Times New Roman"/>
          <w:noProof/>
        </w:rPr>
      </w:pPr>
      <w:r>
        <w:rPr>
          <w:noProof/>
        </w:rPr>
        <w:t>Reforma systému primární zdravotní péče (ID: 16755)</w:t>
      </w:r>
    </w:p>
    <w:p w14:paraId="26317555" w14:textId="77777777" w:rsidR="00515398" w:rsidRDefault="006711E6">
      <w:pPr>
        <w:pStyle w:val="P68B1DB1-Normal4"/>
        <w:numPr>
          <w:ilvl w:val="0"/>
          <w:numId w:val="41"/>
        </w:numPr>
        <w:tabs>
          <w:tab w:val="left" w:pos="8364"/>
        </w:tabs>
        <w:spacing w:before="120" w:after="120" w:line="240" w:lineRule="auto"/>
        <w:jc w:val="both"/>
        <w:rPr>
          <w:rFonts w:cs="Times New Roman"/>
          <w:noProof/>
        </w:rPr>
      </w:pPr>
      <w:r>
        <w:rPr>
          <w:noProof/>
        </w:rPr>
        <w:t>Provádění národního programu prevence v oblasti veřejného zd</w:t>
      </w:r>
      <w:r>
        <w:rPr>
          <w:noProof/>
        </w:rPr>
        <w:t>raví „Spiros Doxiadis“ (ID: 16783)</w:t>
      </w:r>
    </w:p>
    <w:p w14:paraId="526F0D27" w14:textId="77777777" w:rsidR="00515398" w:rsidRDefault="006711E6">
      <w:pPr>
        <w:pStyle w:val="P68B1DB1-Normal4"/>
        <w:numPr>
          <w:ilvl w:val="0"/>
          <w:numId w:val="41"/>
        </w:numPr>
        <w:tabs>
          <w:tab w:val="left" w:pos="8364"/>
        </w:tabs>
        <w:spacing w:before="120" w:after="120" w:line="240" w:lineRule="auto"/>
        <w:jc w:val="both"/>
        <w:rPr>
          <w:rFonts w:cs="Times New Roman"/>
          <w:noProof/>
        </w:rPr>
      </w:pPr>
      <w:r>
        <w:rPr>
          <w:noProof/>
        </w:rPr>
        <w:t>Reforma osobního lékaře (ID: 16984)</w:t>
      </w:r>
    </w:p>
    <w:p w14:paraId="095871C1" w14:textId="77777777" w:rsidR="00515398" w:rsidRDefault="00515398">
      <w:pPr>
        <w:tabs>
          <w:tab w:val="left" w:pos="8364"/>
        </w:tabs>
        <w:spacing w:before="120" w:after="120" w:line="240" w:lineRule="auto"/>
        <w:jc w:val="both"/>
        <w:rPr>
          <w:rFonts w:ascii="Times New Roman" w:hAnsi="Times New Roman" w:cs="Times New Roman"/>
          <w:noProof/>
          <w:sz w:val="24"/>
        </w:rPr>
      </w:pPr>
    </w:p>
    <w:tbl>
      <w:tblPr>
        <w:tblpPr w:leftFromText="180" w:rightFromText="180" w:vertAnchor="text" w:tblpXSpec="center" w:tblpY="1"/>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268"/>
        <w:gridCol w:w="1001"/>
        <w:gridCol w:w="1274"/>
        <w:gridCol w:w="2178"/>
        <w:gridCol w:w="1199"/>
        <w:gridCol w:w="960"/>
        <w:gridCol w:w="839"/>
        <w:gridCol w:w="960"/>
        <w:gridCol w:w="721"/>
        <w:gridCol w:w="4142"/>
      </w:tblGrid>
      <w:tr w:rsidR="00515398" w14:paraId="6CD275FE" w14:textId="77777777">
        <w:trPr>
          <w:trHeight w:val="631"/>
          <w:tblHeader/>
        </w:trPr>
        <w:tc>
          <w:tcPr>
            <w:tcW w:w="320" w:type="pct"/>
            <w:vMerge w:val="restart"/>
            <w:shd w:val="clear" w:color="auto" w:fill="BDD7EE"/>
            <w:vAlign w:val="center"/>
            <w:hideMark/>
          </w:tcPr>
          <w:p w14:paraId="2110B1C3" w14:textId="77777777" w:rsidR="00515398" w:rsidRDefault="006711E6">
            <w:pPr>
              <w:pStyle w:val="P68B1DB1-Normal7"/>
              <w:spacing w:after="0" w:line="240" w:lineRule="auto"/>
              <w:ind w:right="-670"/>
              <w:rPr>
                <w:rFonts w:eastAsia="Times New Roman" w:cs="Times New Roman"/>
                <w:bCs/>
                <w:noProof/>
                <w:szCs w:val="18"/>
              </w:rPr>
            </w:pPr>
            <w:r>
              <w:rPr>
                <w:noProof/>
              </w:rPr>
              <w:t>Pořadové číslo</w:t>
            </w:r>
          </w:p>
        </w:tc>
        <w:tc>
          <w:tcPr>
            <w:tcW w:w="408" w:type="pct"/>
            <w:vMerge w:val="restart"/>
            <w:shd w:val="clear" w:color="auto" w:fill="BDD7EE"/>
            <w:vAlign w:val="center"/>
            <w:hideMark/>
          </w:tcPr>
          <w:p w14:paraId="1880459B" w14:textId="55B5A30B" w:rsidR="00515398" w:rsidRDefault="006711E6">
            <w:pPr>
              <w:pStyle w:val="P68B1DB1-Normal7"/>
              <w:spacing w:after="0" w:line="240" w:lineRule="auto"/>
              <w:ind w:right="-670"/>
              <w:rPr>
                <w:noProof/>
              </w:rPr>
            </w:pPr>
            <w:r>
              <w:rPr>
                <w:noProof/>
              </w:rPr>
              <w:t>Související</w:t>
            </w:r>
          </w:p>
          <w:p w14:paraId="0BFB14E4" w14:textId="77777777" w:rsidR="00515398" w:rsidRDefault="006711E6">
            <w:pPr>
              <w:pStyle w:val="P68B1DB1-Normal7"/>
              <w:spacing w:after="0" w:line="240" w:lineRule="auto"/>
              <w:ind w:right="-670"/>
              <w:rPr>
                <w:noProof/>
              </w:rPr>
            </w:pPr>
            <w:r>
              <w:rPr>
                <w:noProof/>
              </w:rPr>
              <w:t>Measurová</w:t>
            </w:r>
          </w:p>
          <w:p w14:paraId="3A5D308A" w14:textId="77777777" w:rsidR="00515398" w:rsidRDefault="006711E6">
            <w:pPr>
              <w:pStyle w:val="P68B1DB1-Normal7"/>
              <w:spacing w:after="0" w:line="240" w:lineRule="auto"/>
              <w:ind w:right="-670"/>
              <w:rPr>
                <w:rFonts w:eastAsia="Times New Roman" w:cs="Times New Roman"/>
                <w:bCs/>
                <w:noProof/>
                <w:szCs w:val="18"/>
              </w:rPr>
            </w:pPr>
            <w:r>
              <w:rPr>
                <w:noProof/>
              </w:rPr>
              <w:t>(Reforma nebo investice)</w:t>
            </w:r>
          </w:p>
        </w:tc>
        <w:tc>
          <w:tcPr>
            <w:tcW w:w="322" w:type="pct"/>
            <w:vMerge w:val="restart"/>
            <w:shd w:val="clear" w:color="auto" w:fill="BDD7EE"/>
            <w:vAlign w:val="center"/>
            <w:hideMark/>
          </w:tcPr>
          <w:p w14:paraId="241C0370" w14:textId="77777777" w:rsidR="00515398" w:rsidRDefault="006711E6">
            <w:pPr>
              <w:pStyle w:val="P68B1DB1-Normal7"/>
              <w:spacing w:after="0" w:line="240" w:lineRule="auto"/>
              <w:ind w:right="-670"/>
              <w:rPr>
                <w:noProof/>
              </w:rPr>
            </w:pPr>
            <w:r>
              <w:rPr>
                <w:noProof/>
              </w:rPr>
              <w:t xml:space="preserve">Milník/ </w:t>
            </w:r>
          </w:p>
          <w:p w14:paraId="61BCA957" w14:textId="77777777" w:rsidR="00515398" w:rsidRDefault="006711E6">
            <w:pPr>
              <w:pStyle w:val="P68B1DB1-Normal7"/>
              <w:spacing w:after="0" w:line="240" w:lineRule="auto"/>
              <w:ind w:right="-670"/>
              <w:rPr>
                <w:rFonts w:eastAsia="Times New Roman" w:cs="Times New Roman"/>
                <w:bCs/>
                <w:noProof/>
                <w:szCs w:val="18"/>
              </w:rPr>
            </w:pPr>
            <w:r>
              <w:rPr>
                <w:noProof/>
              </w:rPr>
              <w:t>Cílová</w:t>
            </w:r>
          </w:p>
        </w:tc>
        <w:tc>
          <w:tcPr>
            <w:tcW w:w="410" w:type="pct"/>
            <w:vMerge w:val="restart"/>
            <w:shd w:val="clear" w:color="auto" w:fill="BDD7EE"/>
            <w:vAlign w:val="center"/>
            <w:hideMark/>
          </w:tcPr>
          <w:p w14:paraId="1DB95DA7" w14:textId="77777777" w:rsidR="00515398" w:rsidRDefault="006711E6">
            <w:pPr>
              <w:pStyle w:val="P68B1DB1-Normal7"/>
              <w:spacing w:after="0" w:line="240" w:lineRule="auto"/>
              <w:ind w:left="447" w:right="-670" w:hanging="447"/>
              <w:rPr>
                <w:rFonts w:eastAsia="Times New Roman" w:cs="Times New Roman"/>
                <w:bCs/>
                <w:noProof/>
                <w:szCs w:val="18"/>
              </w:rPr>
            </w:pPr>
            <w:r>
              <w:rPr>
                <w:noProof/>
              </w:rPr>
              <w:t>Jméno</w:t>
            </w:r>
          </w:p>
        </w:tc>
        <w:tc>
          <w:tcPr>
            <w:tcW w:w="701" w:type="pct"/>
            <w:vMerge w:val="restart"/>
            <w:shd w:val="clear" w:color="auto" w:fill="BDD7EE"/>
            <w:vAlign w:val="center"/>
            <w:hideMark/>
          </w:tcPr>
          <w:p w14:paraId="20A3DC7A" w14:textId="77777777" w:rsidR="00515398" w:rsidRDefault="006711E6">
            <w:pPr>
              <w:pStyle w:val="P68B1DB1-Normal7"/>
              <w:spacing w:after="0" w:line="240" w:lineRule="auto"/>
              <w:ind w:left="447" w:right="-670" w:hanging="447"/>
              <w:rPr>
                <w:noProof/>
              </w:rPr>
            </w:pPr>
            <w:r>
              <w:rPr>
                <w:noProof/>
              </w:rPr>
              <w:t xml:space="preserve">Kvalitativní ukazatele  </w:t>
            </w:r>
          </w:p>
          <w:p w14:paraId="6B4A8A7C" w14:textId="494DFDE6" w:rsidR="00515398" w:rsidRDefault="006711E6">
            <w:pPr>
              <w:pStyle w:val="P68B1DB1-Normal7"/>
              <w:spacing w:after="0" w:line="240" w:lineRule="auto"/>
              <w:ind w:left="447" w:right="-670" w:hanging="447"/>
              <w:rPr>
                <w:rFonts w:eastAsia="Times New Roman" w:cs="Times New Roman"/>
                <w:bCs/>
                <w:noProof/>
                <w:szCs w:val="18"/>
              </w:rPr>
            </w:pPr>
            <w:r>
              <w:rPr>
                <w:noProof/>
              </w:rPr>
              <w:t>(pro milníky)</w:t>
            </w:r>
          </w:p>
        </w:tc>
        <w:tc>
          <w:tcPr>
            <w:tcW w:w="965" w:type="pct"/>
            <w:gridSpan w:val="3"/>
            <w:shd w:val="clear" w:color="auto" w:fill="BDD7EE"/>
            <w:vAlign w:val="center"/>
            <w:hideMark/>
          </w:tcPr>
          <w:p w14:paraId="25AFA771" w14:textId="15C6C650" w:rsidR="00515398" w:rsidRDefault="006711E6">
            <w:pPr>
              <w:pStyle w:val="P68B1DB1-Normal7"/>
              <w:spacing w:after="0" w:line="240" w:lineRule="auto"/>
              <w:ind w:right="-670"/>
              <w:jc w:val="center"/>
              <w:rPr>
                <w:noProof/>
              </w:rPr>
            </w:pPr>
            <w:r>
              <w:rPr>
                <w:noProof/>
              </w:rPr>
              <w:t>Kvantitativní ukazatele</w:t>
            </w:r>
          </w:p>
          <w:p w14:paraId="5EB75F35" w14:textId="77777777" w:rsidR="00515398" w:rsidRDefault="006711E6">
            <w:pPr>
              <w:pStyle w:val="P68B1DB1-Normal7"/>
              <w:spacing w:after="0" w:line="240" w:lineRule="auto"/>
              <w:ind w:right="-670"/>
              <w:jc w:val="center"/>
              <w:rPr>
                <w:rFonts w:eastAsia="Times New Roman" w:cs="Times New Roman"/>
                <w:bCs/>
                <w:noProof/>
                <w:szCs w:val="18"/>
              </w:rPr>
            </w:pPr>
            <w:r>
              <w:rPr>
                <w:noProof/>
              </w:rPr>
              <w:t>(pro cíle)</w:t>
            </w:r>
          </w:p>
        </w:tc>
        <w:tc>
          <w:tcPr>
            <w:tcW w:w="541" w:type="pct"/>
            <w:gridSpan w:val="2"/>
            <w:shd w:val="clear" w:color="auto" w:fill="BDD7EE"/>
            <w:vAlign w:val="center"/>
            <w:hideMark/>
          </w:tcPr>
          <w:p w14:paraId="3BCC6732" w14:textId="77777777" w:rsidR="00515398" w:rsidRDefault="006711E6">
            <w:pPr>
              <w:pStyle w:val="P68B1DB1-Normal7"/>
              <w:spacing w:after="0" w:line="240" w:lineRule="auto"/>
              <w:ind w:right="-670"/>
              <w:rPr>
                <w:noProof/>
              </w:rPr>
            </w:pPr>
            <w:r>
              <w:rPr>
                <w:noProof/>
              </w:rPr>
              <w:t>Orientační harmonogram</w:t>
            </w:r>
          </w:p>
          <w:p w14:paraId="2B9FB511" w14:textId="05B29FE4" w:rsidR="00515398" w:rsidRDefault="006711E6">
            <w:pPr>
              <w:pStyle w:val="P68B1DB1-Normal7"/>
              <w:spacing w:after="0" w:line="240" w:lineRule="auto"/>
              <w:ind w:right="-670"/>
              <w:rPr>
                <w:rFonts w:eastAsia="Times New Roman" w:cs="Times New Roman"/>
                <w:bCs/>
                <w:noProof/>
                <w:szCs w:val="18"/>
              </w:rPr>
            </w:pPr>
            <w:r>
              <w:rPr>
                <w:noProof/>
              </w:rPr>
              <w:t xml:space="preserve"> k dokončení</w:t>
            </w:r>
          </w:p>
        </w:tc>
        <w:tc>
          <w:tcPr>
            <w:tcW w:w="1333" w:type="pct"/>
            <w:vMerge w:val="restart"/>
            <w:shd w:val="clear" w:color="auto" w:fill="BDD7EE"/>
            <w:vAlign w:val="center"/>
            <w:hideMark/>
          </w:tcPr>
          <w:p w14:paraId="28F22717" w14:textId="77777777" w:rsidR="00515398" w:rsidRDefault="006711E6">
            <w:pPr>
              <w:pStyle w:val="P68B1DB1-Normal7"/>
              <w:spacing w:after="0" w:line="240" w:lineRule="auto"/>
              <w:ind w:right="-670"/>
              <w:jc w:val="center"/>
              <w:rPr>
                <w:rFonts w:eastAsia="Times New Roman" w:cs="Times New Roman"/>
                <w:bCs/>
                <w:noProof/>
                <w:szCs w:val="18"/>
              </w:rPr>
            </w:pPr>
            <w:r>
              <w:rPr>
                <w:noProof/>
              </w:rPr>
              <w:t>Popis každého milníku a cíle</w:t>
            </w:r>
          </w:p>
        </w:tc>
      </w:tr>
      <w:tr w:rsidR="00515398" w14:paraId="13AE0862" w14:textId="77777777">
        <w:trPr>
          <w:trHeight w:val="532"/>
          <w:tblHeader/>
        </w:trPr>
        <w:tc>
          <w:tcPr>
            <w:tcW w:w="320" w:type="pct"/>
            <w:vMerge/>
            <w:vAlign w:val="center"/>
            <w:hideMark/>
          </w:tcPr>
          <w:p w14:paraId="61058CE7" w14:textId="77777777" w:rsidR="00515398" w:rsidRDefault="00515398">
            <w:pPr>
              <w:spacing w:after="0" w:line="240" w:lineRule="auto"/>
              <w:rPr>
                <w:rFonts w:ascii="Times New Roman" w:eastAsia="Times New Roman" w:hAnsi="Times New Roman" w:cs="Times New Roman"/>
                <w:b/>
                <w:bCs/>
                <w:noProof/>
                <w:sz w:val="18"/>
                <w:szCs w:val="18"/>
              </w:rPr>
            </w:pPr>
          </w:p>
        </w:tc>
        <w:tc>
          <w:tcPr>
            <w:tcW w:w="408" w:type="pct"/>
            <w:vMerge/>
            <w:vAlign w:val="center"/>
            <w:hideMark/>
          </w:tcPr>
          <w:p w14:paraId="2CFB6F08" w14:textId="77777777" w:rsidR="00515398" w:rsidRDefault="00515398">
            <w:pPr>
              <w:spacing w:after="0" w:line="240" w:lineRule="auto"/>
              <w:rPr>
                <w:rFonts w:ascii="Times New Roman" w:eastAsia="Times New Roman" w:hAnsi="Times New Roman" w:cs="Times New Roman"/>
                <w:b/>
                <w:bCs/>
                <w:noProof/>
                <w:sz w:val="18"/>
                <w:szCs w:val="18"/>
              </w:rPr>
            </w:pPr>
          </w:p>
        </w:tc>
        <w:tc>
          <w:tcPr>
            <w:tcW w:w="322" w:type="pct"/>
            <w:vMerge/>
            <w:vAlign w:val="center"/>
            <w:hideMark/>
          </w:tcPr>
          <w:p w14:paraId="44DF5C13" w14:textId="77777777" w:rsidR="00515398" w:rsidRDefault="00515398">
            <w:pPr>
              <w:spacing w:after="0" w:line="240" w:lineRule="auto"/>
              <w:rPr>
                <w:rFonts w:ascii="Times New Roman" w:eastAsia="Times New Roman" w:hAnsi="Times New Roman" w:cs="Times New Roman"/>
                <w:b/>
                <w:bCs/>
                <w:noProof/>
                <w:sz w:val="18"/>
                <w:szCs w:val="18"/>
              </w:rPr>
            </w:pPr>
          </w:p>
        </w:tc>
        <w:tc>
          <w:tcPr>
            <w:tcW w:w="410" w:type="pct"/>
            <w:vMerge/>
            <w:vAlign w:val="center"/>
            <w:hideMark/>
          </w:tcPr>
          <w:p w14:paraId="47DC1A65" w14:textId="77777777" w:rsidR="00515398" w:rsidRDefault="00515398">
            <w:pPr>
              <w:spacing w:after="0" w:line="240" w:lineRule="auto"/>
              <w:rPr>
                <w:rFonts w:ascii="Times New Roman" w:eastAsia="Times New Roman" w:hAnsi="Times New Roman" w:cs="Times New Roman"/>
                <w:b/>
                <w:bCs/>
                <w:noProof/>
                <w:sz w:val="18"/>
                <w:szCs w:val="18"/>
              </w:rPr>
            </w:pPr>
          </w:p>
        </w:tc>
        <w:tc>
          <w:tcPr>
            <w:tcW w:w="701" w:type="pct"/>
            <w:vMerge/>
            <w:vAlign w:val="center"/>
            <w:hideMark/>
          </w:tcPr>
          <w:p w14:paraId="61ED7832" w14:textId="77777777" w:rsidR="00515398" w:rsidRDefault="00515398">
            <w:pPr>
              <w:spacing w:after="0" w:line="240" w:lineRule="auto"/>
              <w:rPr>
                <w:rFonts w:ascii="Times New Roman" w:eastAsia="Times New Roman" w:hAnsi="Times New Roman" w:cs="Times New Roman"/>
                <w:b/>
                <w:bCs/>
                <w:noProof/>
                <w:sz w:val="18"/>
                <w:szCs w:val="18"/>
              </w:rPr>
            </w:pPr>
          </w:p>
        </w:tc>
        <w:tc>
          <w:tcPr>
            <w:tcW w:w="386" w:type="pct"/>
            <w:shd w:val="clear" w:color="auto" w:fill="BDD7EE"/>
            <w:vAlign w:val="center"/>
            <w:hideMark/>
          </w:tcPr>
          <w:p w14:paraId="6E28F864"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309" w:type="pct"/>
            <w:shd w:val="clear" w:color="auto" w:fill="BDD7EE"/>
            <w:vAlign w:val="center"/>
            <w:hideMark/>
          </w:tcPr>
          <w:p w14:paraId="34CE198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270" w:type="pct"/>
            <w:shd w:val="clear" w:color="auto" w:fill="BDD7EE"/>
            <w:vAlign w:val="center"/>
            <w:hideMark/>
          </w:tcPr>
          <w:p w14:paraId="61B70E90"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309" w:type="pct"/>
            <w:shd w:val="clear" w:color="auto" w:fill="BDD7EE"/>
            <w:vAlign w:val="center"/>
            <w:hideMark/>
          </w:tcPr>
          <w:p w14:paraId="46B68A12"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232" w:type="pct"/>
            <w:shd w:val="clear" w:color="auto" w:fill="BDD7EE"/>
            <w:vAlign w:val="center"/>
            <w:hideMark/>
          </w:tcPr>
          <w:p w14:paraId="63DBB39F"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1333" w:type="pct"/>
            <w:vMerge/>
            <w:vAlign w:val="center"/>
            <w:hideMark/>
          </w:tcPr>
          <w:p w14:paraId="7E86C7DB"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2989C1D" w14:textId="77777777">
        <w:trPr>
          <w:trHeight w:val="313"/>
        </w:trPr>
        <w:tc>
          <w:tcPr>
            <w:tcW w:w="320" w:type="pct"/>
            <w:shd w:val="clear" w:color="auto" w:fill="C6EFCE"/>
            <w:noWrap/>
          </w:tcPr>
          <w:p w14:paraId="168459C4" w14:textId="77777777" w:rsidR="00515398" w:rsidRDefault="006711E6">
            <w:pPr>
              <w:pStyle w:val="P68B1DB1-Normal9"/>
              <w:spacing w:after="0" w:line="240" w:lineRule="auto"/>
              <w:rPr>
                <w:rFonts w:eastAsia="Times New Roman" w:cs="Calibri"/>
                <w:noProof/>
                <w:szCs w:val="18"/>
              </w:rPr>
            </w:pPr>
            <w:r>
              <w:rPr>
                <w:noProof/>
              </w:rPr>
              <w:t>159</w:t>
            </w:r>
          </w:p>
        </w:tc>
        <w:tc>
          <w:tcPr>
            <w:tcW w:w="408" w:type="pct"/>
            <w:shd w:val="clear" w:color="auto" w:fill="C6EFCE"/>
            <w:noWrap/>
          </w:tcPr>
          <w:p w14:paraId="6E747696"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16755_Reforma systému primární zdravotní péče</w:t>
            </w:r>
          </w:p>
        </w:tc>
        <w:tc>
          <w:tcPr>
            <w:tcW w:w="322" w:type="pct"/>
            <w:shd w:val="clear" w:color="auto" w:fill="C6EFCE"/>
            <w:noWrap/>
          </w:tcPr>
          <w:p w14:paraId="04F65627" w14:textId="77777777" w:rsidR="00515398" w:rsidRDefault="006711E6">
            <w:pPr>
              <w:pStyle w:val="P68B1DB1-Normal9"/>
              <w:spacing w:after="0" w:line="240" w:lineRule="auto"/>
              <w:rPr>
                <w:rFonts w:eastAsia="Times New Roman" w:cs="Calibri"/>
                <w:noProof/>
                <w:szCs w:val="18"/>
              </w:rPr>
            </w:pPr>
            <w:r>
              <w:rPr>
                <w:noProof/>
              </w:rPr>
              <w:t>Milník</w:t>
            </w:r>
          </w:p>
        </w:tc>
        <w:tc>
          <w:tcPr>
            <w:tcW w:w="410" w:type="pct"/>
            <w:shd w:val="clear" w:color="auto" w:fill="C6EFCE"/>
            <w:noWrap/>
          </w:tcPr>
          <w:p w14:paraId="7953BACE" w14:textId="77777777" w:rsidR="00515398" w:rsidRDefault="006711E6">
            <w:pPr>
              <w:pStyle w:val="P68B1DB1-Normal9"/>
              <w:spacing w:after="0" w:line="240" w:lineRule="auto"/>
              <w:rPr>
                <w:rFonts w:eastAsia="Times New Roman" w:cs="Calibri"/>
                <w:noProof/>
                <w:szCs w:val="18"/>
              </w:rPr>
            </w:pPr>
            <w:r>
              <w:rPr>
                <w:noProof/>
              </w:rPr>
              <w:t xml:space="preserve">Aktivace učebních osnov pro rodinu primární zdravotní péče </w:t>
            </w:r>
          </w:p>
        </w:tc>
        <w:tc>
          <w:tcPr>
            <w:tcW w:w="701" w:type="pct"/>
            <w:shd w:val="clear" w:color="auto" w:fill="C6EFCE"/>
            <w:noWrap/>
          </w:tcPr>
          <w:p w14:paraId="1C326A39" w14:textId="77777777" w:rsidR="00515398" w:rsidRDefault="006711E6">
            <w:pPr>
              <w:pStyle w:val="P68B1DB1-Normal9"/>
              <w:spacing w:after="0" w:line="240" w:lineRule="auto"/>
              <w:rPr>
                <w:rFonts w:eastAsia="Times New Roman" w:cs="Calibri"/>
                <w:noProof/>
                <w:szCs w:val="18"/>
              </w:rPr>
            </w:pPr>
            <w:r>
              <w:rPr>
                <w:noProof/>
              </w:rPr>
              <w:t>Doklad o zahájení kurzů pro všechny nově aktivované akademické osnovy v rodinné medicíně a o začlenění modulu rodinného lékařství do všech učebních osnov.</w:t>
            </w:r>
          </w:p>
          <w:p w14:paraId="5521CA13" w14:textId="77777777" w:rsidR="00515398" w:rsidRDefault="00515398">
            <w:pPr>
              <w:spacing w:after="0" w:line="240" w:lineRule="auto"/>
              <w:rPr>
                <w:rFonts w:ascii="Times New Roman" w:hAnsi="Times New Roman" w:cs="Times New Roman"/>
                <w:noProof/>
                <w:color w:val="006100"/>
                <w:sz w:val="18"/>
                <w:szCs w:val="18"/>
              </w:rPr>
            </w:pPr>
          </w:p>
        </w:tc>
        <w:tc>
          <w:tcPr>
            <w:tcW w:w="386" w:type="pct"/>
            <w:shd w:val="clear" w:color="auto" w:fill="C6EFCE"/>
            <w:noWrap/>
          </w:tcPr>
          <w:p w14:paraId="0C520BAE"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4296BE58" w14:textId="77777777" w:rsidR="00515398" w:rsidRDefault="00515398">
            <w:pPr>
              <w:spacing w:after="0" w:line="240" w:lineRule="auto"/>
              <w:rPr>
                <w:rFonts w:eastAsia="Times New Roman" w:cs="Calibri"/>
                <w:noProof/>
                <w:color w:val="006100"/>
                <w:sz w:val="18"/>
                <w:szCs w:val="18"/>
              </w:rPr>
            </w:pPr>
          </w:p>
        </w:tc>
        <w:tc>
          <w:tcPr>
            <w:tcW w:w="270" w:type="pct"/>
            <w:shd w:val="clear" w:color="auto" w:fill="C6EFCE"/>
            <w:noWrap/>
          </w:tcPr>
          <w:p w14:paraId="2C110F49"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25842AC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232" w:type="pct"/>
            <w:shd w:val="clear" w:color="auto" w:fill="C6EFCE"/>
            <w:noWrap/>
          </w:tcPr>
          <w:p w14:paraId="5A69E42A" w14:textId="77777777" w:rsidR="00515398" w:rsidRDefault="006711E6">
            <w:pPr>
              <w:pStyle w:val="P68B1DB1-Normal9"/>
              <w:spacing w:after="0" w:line="240" w:lineRule="auto"/>
              <w:rPr>
                <w:rFonts w:eastAsia="Times New Roman" w:cs="Calibri"/>
                <w:noProof/>
                <w:szCs w:val="18"/>
              </w:rPr>
            </w:pPr>
            <w:r>
              <w:rPr>
                <w:noProof/>
              </w:rPr>
              <w:t>2022</w:t>
            </w:r>
          </w:p>
        </w:tc>
        <w:tc>
          <w:tcPr>
            <w:tcW w:w="1333" w:type="pct"/>
            <w:shd w:val="clear" w:color="auto" w:fill="C6EFCE"/>
            <w:noWrap/>
          </w:tcPr>
          <w:p w14:paraId="2B63113A" w14:textId="77777777" w:rsidR="00515398" w:rsidRDefault="006711E6">
            <w:pPr>
              <w:pStyle w:val="P68B1DB1-Normal9"/>
              <w:spacing w:after="0" w:line="240" w:lineRule="auto"/>
              <w:rPr>
                <w:rFonts w:eastAsia="Times New Roman" w:cs="Calibri"/>
                <w:noProof/>
                <w:szCs w:val="18"/>
              </w:rPr>
            </w:pPr>
            <w:r>
              <w:rPr>
                <w:noProof/>
              </w:rPr>
              <w:t xml:space="preserve">Rozšířit počet </w:t>
            </w:r>
            <w:r>
              <w:rPr>
                <w:noProof/>
              </w:rPr>
              <w:t xml:space="preserve">aktivních akademických osnov v oboru rodinné medicíny na nejméně 75 % lékařských škol v Řecku a zahrnout povinný modul v rodinné medicíně do všech lékařských osnov. To zahrnuje dokumentaci pro dotčené univerzity zdůrazňující novou architekturu diplomů: 1) </w:t>
            </w:r>
            <w:r>
              <w:rPr>
                <w:noProof/>
              </w:rPr>
              <w:t>nově zavedené osnovy a 2) začlenění povinného modulu v rodinné medicíně do stávajících osnov).</w:t>
            </w:r>
          </w:p>
        </w:tc>
      </w:tr>
      <w:tr w:rsidR="00515398" w14:paraId="6D9971A0" w14:textId="77777777">
        <w:trPr>
          <w:trHeight w:val="313"/>
        </w:trPr>
        <w:tc>
          <w:tcPr>
            <w:tcW w:w="320" w:type="pct"/>
            <w:shd w:val="clear" w:color="auto" w:fill="C6EFCE"/>
            <w:noWrap/>
          </w:tcPr>
          <w:p w14:paraId="03A9C74D" w14:textId="77777777" w:rsidR="00515398" w:rsidRDefault="006711E6">
            <w:pPr>
              <w:pStyle w:val="P68B1DB1-Normal9"/>
              <w:spacing w:after="0" w:line="240" w:lineRule="auto"/>
              <w:rPr>
                <w:rFonts w:eastAsia="Times New Roman" w:cs="Calibri"/>
                <w:noProof/>
                <w:szCs w:val="18"/>
              </w:rPr>
            </w:pPr>
            <w:r>
              <w:rPr>
                <w:noProof/>
              </w:rPr>
              <w:t>160</w:t>
            </w:r>
          </w:p>
        </w:tc>
        <w:tc>
          <w:tcPr>
            <w:tcW w:w="408" w:type="pct"/>
            <w:shd w:val="clear" w:color="auto" w:fill="C6EFCE"/>
            <w:noWrap/>
          </w:tcPr>
          <w:p w14:paraId="234F8262" w14:textId="77777777" w:rsidR="00515398" w:rsidRDefault="006711E6">
            <w:pPr>
              <w:pStyle w:val="P68B1DB1-Normal9"/>
              <w:spacing w:after="0" w:line="240" w:lineRule="auto"/>
              <w:rPr>
                <w:rFonts w:eastAsia="Times New Roman"/>
                <w:noProof/>
                <w:szCs w:val="18"/>
                <w:highlight w:val="yellow"/>
              </w:rPr>
            </w:pPr>
            <w:r>
              <w:rPr>
                <w:noProof/>
              </w:rPr>
              <w:t>10–3.3. Zlepšení odolnosti, dostupnosti a udržitelnosti zdravotní péče – 16820_Reforma v oblasti duševního zdraví a závislostí</w:t>
            </w:r>
          </w:p>
          <w:p w14:paraId="3C499FED" w14:textId="77777777" w:rsidR="00515398" w:rsidRDefault="00515398">
            <w:pPr>
              <w:spacing w:after="0" w:line="240" w:lineRule="auto"/>
              <w:rPr>
                <w:rFonts w:eastAsia="Times New Roman" w:cs="Calibri"/>
                <w:noProof/>
                <w:color w:val="006100"/>
                <w:sz w:val="18"/>
                <w:szCs w:val="18"/>
              </w:rPr>
            </w:pPr>
          </w:p>
        </w:tc>
        <w:tc>
          <w:tcPr>
            <w:tcW w:w="322" w:type="pct"/>
            <w:shd w:val="clear" w:color="auto" w:fill="C6EFCE"/>
            <w:noWrap/>
          </w:tcPr>
          <w:p w14:paraId="6F891505" w14:textId="77777777" w:rsidR="00515398" w:rsidRDefault="006711E6">
            <w:pPr>
              <w:pStyle w:val="P68B1DB1-Normal9"/>
              <w:spacing w:after="0" w:line="240" w:lineRule="auto"/>
              <w:rPr>
                <w:rFonts w:eastAsia="Times New Roman" w:cs="Calibri"/>
                <w:noProof/>
                <w:szCs w:val="18"/>
              </w:rPr>
            </w:pPr>
            <w:r>
              <w:rPr>
                <w:noProof/>
              </w:rPr>
              <w:t>Cílová</w:t>
            </w:r>
          </w:p>
        </w:tc>
        <w:tc>
          <w:tcPr>
            <w:tcW w:w="410" w:type="pct"/>
            <w:shd w:val="clear" w:color="auto" w:fill="C6EFCE"/>
            <w:noWrap/>
          </w:tcPr>
          <w:p w14:paraId="78F85D6B" w14:textId="77777777" w:rsidR="00515398" w:rsidRDefault="006711E6">
            <w:pPr>
              <w:pStyle w:val="P68B1DB1-Normal9"/>
              <w:spacing w:after="0" w:line="240" w:lineRule="auto"/>
              <w:rPr>
                <w:rFonts w:eastAsia="Times New Roman" w:cs="Calibri"/>
                <w:noProof/>
                <w:szCs w:val="18"/>
              </w:rPr>
            </w:pPr>
            <w:r>
              <w:rPr>
                <w:noProof/>
              </w:rPr>
              <w:t xml:space="preserve">Duševní zdraví – </w:t>
            </w:r>
            <w:r>
              <w:rPr>
                <w:noProof/>
              </w:rPr>
              <w:t>otevřeno 50 jednotek – krok 1 z 2</w:t>
            </w:r>
          </w:p>
        </w:tc>
        <w:tc>
          <w:tcPr>
            <w:tcW w:w="701" w:type="pct"/>
            <w:shd w:val="clear" w:color="auto" w:fill="C6EFCE"/>
            <w:noWrap/>
          </w:tcPr>
          <w:p w14:paraId="6B24D4C5" w14:textId="77777777" w:rsidR="00515398" w:rsidRDefault="00515398">
            <w:pPr>
              <w:spacing w:after="0" w:line="240" w:lineRule="auto"/>
              <w:rPr>
                <w:rFonts w:eastAsia="Times New Roman" w:cs="Calibri"/>
                <w:noProof/>
                <w:color w:val="006100"/>
                <w:sz w:val="18"/>
                <w:szCs w:val="18"/>
              </w:rPr>
            </w:pPr>
          </w:p>
        </w:tc>
        <w:tc>
          <w:tcPr>
            <w:tcW w:w="386" w:type="pct"/>
            <w:shd w:val="clear" w:color="auto" w:fill="C6EFCE"/>
            <w:noWrap/>
          </w:tcPr>
          <w:p w14:paraId="7F036FFD" w14:textId="77777777" w:rsidR="00515398" w:rsidRDefault="006711E6">
            <w:pPr>
              <w:pStyle w:val="P68B1DB1-Normal9"/>
              <w:spacing w:after="0" w:line="240" w:lineRule="auto"/>
              <w:rPr>
                <w:rFonts w:eastAsia="Times New Roman" w:cs="Calibri"/>
                <w:noProof/>
                <w:szCs w:val="18"/>
              </w:rPr>
            </w:pPr>
            <w:r>
              <w:rPr>
                <w:noProof/>
              </w:rPr>
              <w:t>Počet dokončených a funkčních jednotek duševního zdraví</w:t>
            </w:r>
          </w:p>
        </w:tc>
        <w:tc>
          <w:tcPr>
            <w:tcW w:w="309" w:type="pct"/>
            <w:shd w:val="clear" w:color="auto" w:fill="C6EFCE"/>
            <w:noWrap/>
          </w:tcPr>
          <w:p w14:paraId="41EC48CD" w14:textId="77777777" w:rsidR="00515398" w:rsidRDefault="006711E6">
            <w:pPr>
              <w:pStyle w:val="P68B1DB1-Normal9"/>
              <w:spacing w:after="0" w:line="240" w:lineRule="auto"/>
              <w:rPr>
                <w:rFonts w:eastAsia="Times New Roman" w:cs="Calibri"/>
                <w:noProof/>
                <w:szCs w:val="18"/>
              </w:rPr>
            </w:pPr>
            <w:r>
              <w:rPr>
                <w:noProof/>
              </w:rPr>
              <w:t>0</w:t>
            </w:r>
          </w:p>
        </w:tc>
        <w:tc>
          <w:tcPr>
            <w:tcW w:w="270" w:type="pct"/>
            <w:shd w:val="clear" w:color="auto" w:fill="C6EFCE"/>
            <w:noWrap/>
          </w:tcPr>
          <w:p w14:paraId="20B1BF1C" w14:textId="77777777" w:rsidR="00515398" w:rsidRDefault="006711E6">
            <w:pPr>
              <w:pStyle w:val="P68B1DB1-Normal9"/>
              <w:spacing w:after="0" w:line="240" w:lineRule="auto"/>
              <w:rPr>
                <w:rFonts w:eastAsia="Times New Roman" w:cs="Calibri"/>
                <w:noProof/>
                <w:szCs w:val="18"/>
              </w:rPr>
            </w:pPr>
            <w:r>
              <w:rPr>
                <w:noProof/>
              </w:rPr>
              <w:t>50</w:t>
            </w:r>
          </w:p>
        </w:tc>
        <w:tc>
          <w:tcPr>
            <w:tcW w:w="309" w:type="pct"/>
            <w:shd w:val="clear" w:color="auto" w:fill="C6EFCE"/>
            <w:noWrap/>
          </w:tcPr>
          <w:p w14:paraId="5DFD5875"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232" w:type="pct"/>
            <w:shd w:val="clear" w:color="auto" w:fill="C6EFCE"/>
            <w:noWrap/>
          </w:tcPr>
          <w:p w14:paraId="5B375EB0" w14:textId="77777777" w:rsidR="00515398" w:rsidRDefault="006711E6">
            <w:pPr>
              <w:pStyle w:val="P68B1DB1-Normal9"/>
              <w:spacing w:after="0" w:line="240" w:lineRule="auto"/>
              <w:rPr>
                <w:rFonts w:eastAsia="Times New Roman" w:cs="Calibri"/>
                <w:noProof/>
                <w:szCs w:val="18"/>
              </w:rPr>
            </w:pPr>
            <w:r>
              <w:rPr>
                <w:noProof/>
              </w:rPr>
              <w:t>2022</w:t>
            </w:r>
          </w:p>
        </w:tc>
        <w:tc>
          <w:tcPr>
            <w:tcW w:w="1333" w:type="pct"/>
            <w:shd w:val="clear" w:color="auto" w:fill="C6EFCE"/>
            <w:noWrap/>
          </w:tcPr>
          <w:p w14:paraId="76386C23" w14:textId="77777777" w:rsidR="00515398" w:rsidRDefault="006711E6">
            <w:pPr>
              <w:pStyle w:val="P68B1DB1-Normal9"/>
              <w:spacing w:after="0" w:line="240" w:lineRule="auto"/>
              <w:rPr>
                <w:rFonts w:eastAsia="Times New Roman" w:cs="Calibri"/>
                <w:noProof/>
                <w:szCs w:val="18"/>
              </w:rPr>
            </w:pPr>
            <w:r>
              <w:rPr>
                <w:noProof/>
              </w:rPr>
              <w:t>Zřízení a plné fungování 50 jednotek duševního zdraví (provedených prostřednictvím renovace stávajících jednotek) podporovaných z národního</w:t>
            </w:r>
            <w:r>
              <w:rPr>
                <w:noProof/>
              </w:rPr>
              <w:t xml:space="preserve"> strategického plánu na podporu duševního zdraví (z celkového počtu 106 jednotek duševního zdraví)</w:t>
            </w:r>
          </w:p>
        </w:tc>
      </w:tr>
      <w:tr w:rsidR="00515398" w14:paraId="290CE788" w14:textId="77777777">
        <w:trPr>
          <w:trHeight w:val="313"/>
        </w:trPr>
        <w:tc>
          <w:tcPr>
            <w:tcW w:w="320" w:type="pct"/>
            <w:shd w:val="clear" w:color="auto" w:fill="C6EFCE"/>
            <w:noWrap/>
          </w:tcPr>
          <w:p w14:paraId="6294C8C3" w14:textId="77777777" w:rsidR="00515398" w:rsidRDefault="006711E6">
            <w:pPr>
              <w:pStyle w:val="P68B1DB1-Normal9"/>
              <w:spacing w:after="0" w:line="240" w:lineRule="auto"/>
              <w:rPr>
                <w:rFonts w:eastAsia="Times New Roman" w:cs="Calibri"/>
                <w:noProof/>
                <w:szCs w:val="18"/>
              </w:rPr>
            </w:pPr>
            <w:r>
              <w:rPr>
                <w:noProof/>
              </w:rPr>
              <w:t>162</w:t>
            </w:r>
          </w:p>
        </w:tc>
        <w:tc>
          <w:tcPr>
            <w:tcW w:w="408" w:type="pct"/>
            <w:shd w:val="clear" w:color="auto" w:fill="C6EFCE"/>
            <w:noWrap/>
          </w:tcPr>
          <w:p w14:paraId="00E6D3A2"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16820_Reforma v oblasti duševního zdraví a závislostí</w:t>
            </w:r>
          </w:p>
        </w:tc>
        <w:tc>
          <w:tcPr>
            <w:tcW w:w="322" w:type="pct"/>
            <w:shd w:val="clear" w:color="auto" w:fill="C6EFCE"/>
            <w:noWrap/>
          </w:tcPr>
          <w:p w14:paraId="3251ABD2" w14:textId="77777777" w:rsidR="00515398" w:rsidRDefault="006711E6">
            <w:pPr>
              <w:pStyle w:val="P68B1DB1-Normal9"/>
              <w:spacing w:after="0" w:line="240" w:lineRule="auto"/>
              <w:rPr>
                <w:rFonts w:eastAsia="Times New Roman" w:cs="Calibri"/>
                <w:noProof/>
                <w:szCs w:val="18"/>
              </w:rPr>
            </w:pPr>
            <w:r>
              <w:rPr>
                <w:noProof/>
              </w:rPr>
              <w:t>Cílová</w:t>
            </w:r>
          </w:p>
        </w:tc>
        <w:tc>
          <w:tcPr>
            <w:tcW w:w="410" w:type="pct"/>
            <w:shd w:val="clear" w:color="auto" w:fill="C6EFCE"/>
            <w:noWrap/>
          </w:tcPr>
          <w:p w14:paraId="02395316" w14:textId="77777777" w:rsidR="00515398" w:rsidRDefault="006711E6">
            <w:pPr>
              <w:pStyle w:val="P68B1DB1-Normal9"/>
              <w:spacing w:after="0" w:line="240" w:lineRule="auto"/>
              <w:rPr>
                <w:rFonts w:eastAsia="Times New Roman" w:cs="Calibri"/>
                <w:noProof/>
                <w:szCs w:val="18"/>
              </w:rPr>
            </w:pPr>
            <w:r>
              <w:rPr>
                <w:noProof/>
              </w:rPr>
              <w:t xml:space="preserve">Duševní zdraví – </w:t>
            </w:r>
            <w:r>
              <w:rPr>
                <w:noProof/>
              </w:rPr>
              <w:t>otevřeno 106 oddělení – krok 2 z 2</w:t>
            </w:r>
          </w:p>
        </w:tc>
        <w:tc>
          <w:tcPr>
            <w:tcW w:w="701" w:type="pct"/>
            <w:shd w:val="clear" w:color="auto" w:fill="C6EFCE"/>
            <w:noWrap/>
          </w:tcPr>
          <w:p w14:paraId="6C353005" w14:textId="77777777" w:rsidR="00515398" w:rsidRDefault="00515398">
            <w:pPr>
              <w:spacing w:after="0" w:line="240" w:lineRule="auto"/>
              <w:rPr>
                <w:rFonts w:eastAsia="Times New Roman" w:cs="Calibri"/>
                <w:noProof/>
                <w:color w:val="006100"/>
                <w:sz w:val="18"/>
                <w:szCs w:val="18"/>
              </w:rPr>
            </w:pPr>
          </w:p>
        </w:tc>
        <w:tc>
          <w:tcPr>
            <w:tcW w:w="386" w:type="pct"/>
            <w:shd w:val="clear" w:color="auto" w:fill="C6EFCE"/>
            <w:noWrap/>
          </w:tcPr>
          <w:p w14:paraId="4F801AC7" w14:textId="30ACA37A" w:rsidR="00515398" w:rsidRDefault="006711E6">
            <w:pPr>
              <w:pStyle w:val="P68B1DB1-Normal9"/>
              <w:spacing w:after="0" w:line="240" w:lineRule="auto"/>
              <w:rPr>
                <w:rFonts w:eastAsia="Times New Roman" w:cs="Calibri"/>
                <w:noProof/>
                <w:szCs w:val="18"/>
              </w:rPr>
            </w:pPr>
            <w:r>
              <w:rPr>
                <w:noProof/>
              </w:rPr>
              <w:t>Počet zřízených nebo renovovaných jednotek duševního zdraví</w:t>
            </w:r>
          </w:p>
        </w:tc>
        <w:tc>
          <w:tcPr>
            <w:tcW w:w="309" w:type="pct"/>
            <w:shd w:val="clear" w:color="auto" w:fill="C6EFCE"/>
            <w:noWrap/>
          </w:tcPr>
          <w:p w14:paraId="00902D46" w14:textId="77777777" w:rsidR="00515398" w:rsidRDefault="006711E6">
            <w:pPr>
              <w:pStyle w:val="P68B1DB1-Normal9"/>
              <w:spacing w:after="0" w:line="240" w:lineRule="auto"/>
              <w:rPr>
                <w:rFonts w:eastAsia="Times New Roman" w:cs="Calibri"/>
                <w:noProof/>
                <w:szCs w:val="18"/>
              </w:rPr>
            </w:pPr>
            <w:r>
              <w:rPr>
                <w:noProof/>
              </w:rPr>
              <w:t>50</w:t>
            </w:r>
          </w:p>
        </w:tc>
        <w:tc>
          <w:tcPr>
            <w:tcW w:w="270" w:type="pct"/>
            <w:shd w:val="clear" w:color="auto" w:fill="C6EFCE"/>
            <w:noWrap/>
          </w:tcPr>
          <w:p w14:paraId="362575E7" w14:textId="77777777" w:rsidR="00515398" w:rsidRDefault="006711E6">
            <w:pPr>
              <w:pStyle w:val="P68B1DB1-Normal9"/>
              <w:spacing w:after="0" w:line="240" w:lineRule="auto"/>
              <w:rPr>
                <w:rFonts w:eastAsia="Times New Roman" w:cs="Calibri"/>
                <w:noProof/>
                <w:szCs w:val="18"/>
              </w:rPr>
            </w:pPr>
            <w:r>
              <w:rPr>
                <w:noProof/>
              </w:rPr>
              <w:t>106</w:t>
            </w:r>
          </w:p>
          <w:p w14:paraId="5628DD7C"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78C5B6A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232" w:type="pct"/>
            <w:shd w:val="clear" w:color="auto" w:fill="C6EFCE"/>
            <w:noWrap/>
          </w:tcPr>
          <w:p w14:paraId="53FE5334" w14:textId="77777777" w:rsidR="00515398" w:rsidRDefault="006711E6">
            <w:pPr>
              <w:pStyle w:val="P68B1DB1-Normal9"/>
              <w:spacing w:after="0" w:line="240" w:lineRule="auto"/>
              <w:rPr>
                <w:rFonts w:eastAsia="Times New Roman" w:cs="Calibri"/>
                <w:noProof/>
                <w:szCs w:val="18"/>
              </w:rPr>
            </w:pPr>
            <w:r>
              <w:rPr>
                <w:noProof/>
              </w:rPr>
              <w:t>2023</w:t>
            </w:r>
          </w:p>
        </w:tc>
        <w:tc>
          <w:tcPr>
            <w:tcW w:w="1333" w:type="pct"/>
            <w:shd w:val="clear" w:color="auto" w:fill="C6EFCE"/>
            <w:noWrap/>
          </w:tcPr>
          <w:p w14:paraId="5ECAE701" w14:textId="43A71193" w:rsidR="00515398" w:rsidRDefault="006711E6">
            <w:pPr>
              <w:pStyle w:val="P68B1DB1-Normal10"/>
              <w:spacing w:after="0" w:line="240" w:lineRule="auto"/>
              <w:rPr>
                <w:rFonts w:eastAsia="Times New Roman" w:cs="Calibri"/>
                <w:noProof/>
              </w:rPr>
            </w:pPr>
            <w:r>
              <w:rPr>
                <w:noProof/>
              </w:rPr>
              <w:t xml:space="preserve">Zřízení a zahájení provozu 25 nových jednotek pro duševní zdraví a renovace 31 stávajících jednotek duševního zdraví podporovaných </w:t>
            </w:r>
            <w:r>
              <w:rPr>
                <w:noProof/>
              </w:rPr>
              <w:t xml:space="preserve">národním strategickým plánem na podporu duševního zdraví, jakož i rozvoj webových aplikací a digitalizace služeb v oblasti duševního zdraví (skládající se z digitální mapy jednotek duševního zdraví a digitální platformy pro dohled nad neziskovými subjekty </w:t>
            </w:r>
            <w:r>
              <w:rPr>
                <w:noProof/>
              </w:rPr>
              <w:t xml:space="preserve">poskytujícími služby v oblasti duševního zdraví) </w:t>
            </w:r>
          </w:p>
        </w:tc>
      </w:tr>
      <w:tr w:rsidR="00515398" w14:paraId="15FE7109" w14:textId="77777777">
        <w:trPr>
          <w:trHeight w:val="313"/>
        </w:trPr>
        <w:tc>
          <w:tcPr>
            <w:tcW w:w="320" w:type="pct"/>
            <w:shd w:val="clear" w:color="auto" w:fill="C6EFCE"/>
            <w:noWrap/>
          </w:tcPr>
          <w:p w14:paraId="6F1B21E6" w14:textId="77777777" w:rsidR="00515398" w:rsidRDefault="006711E6">
            <w:pPr>
              <w:pStyle w:val="P68B1DB1-Normal10"/>
              <w:spacing w:after="0" w:line="240" w:lineRule="auto"/>
              <w:rPr>
                <w:rFonts w:eastAsia="Times New Roman" w:cs="Calibri"/>
                <w:noProof/>
              </w:rPr>
            </w:pPr>
            <w:r>
              <w:rPr>
                <w:noProof/>
              </w:rPr>
              <w:t>163</w:t>
            </w:r>
          </w:p>
        </w:tc>
        <w:tc>
          <w:tcPr>
            <w:tcW w:w="408" w:type="pct"/>
            <w:shd w:val="clear" w:color="auto" w:fill="C6EFCE"/>
            <w:noWrap/>
          </w:tcPr>
          <w:p w14:paraId="7EF0580E" w14:textId="7B5A0E9D" w:rsidR="00515398" w:rsidRDefault="006711E6">
            <w:pPr>
              <w:pStyle w:val="P68B1DB1-Normal9"/>
              <w:spacing w:after="0" w:line="240" w:lineRule="auto"/>
              <w:rPr>
                <w:rFonts w:eastAsia="Times New Roman" w:cs="Calibri"/>
                <w:noProof/>
                <w:szCs w:val="18"/>
              </w:rPr>
            </w:pPr>
            <w:r>
              <w:rPr>
                <w:noProof/>
              </w:rPr>
              <w:t xml:space="preserve">10–3.3. Zlepšení odolnosti, dostupnosti a udržitelnosti zdravotní péče – 16756_Organizační reformy systému zdravotní péče </w:t>
            </w:r>
          </w:p>
        </w:tc>
        <w:tc>
          <w:tcPr>
            <w:tcW w:w="322" w:type="pct"/>
            <w:shd w:val="clear" w:color="auto" w:fill="C6EFCE"/>
            <w:noWrap/>
          </w:tcPr>
          <w:p w14:paraId="656F19AE" w14:textId="77777777" w:rsidR="00515398" w:rsidRDefault="006711E6">
            <w:pPr>
              <w:pStyle w:val="P68B1DB1-Normal9"/>
              <w:spacing w:after="0" w:line="240" w:lineRule="auto"/>
              <w:rPr>
                <w:rFonts w:eastAsia="Times New Roman" w:cs="Calibri"/>
                <w:noProof/>
                <w:szCs w:val="18"/>
              </w:rPr>
            </w:pPr>
            <w:r>
              <w:rPr>
                <w:noProof/>
              </w:rPr>
              <w:t>Milník</w:t>
            </w:r>
          </w:p>
        </w:tc>
        <w:tc>
          <w:tcPr>
            <w:tcW w:w="410" w:type="pct"/>
            <w:shd w:val="clear" w:color="auto" w:fill="C6EFCE"/>
            <w:noWrap/>
          </w:tcPr>
          <w:p w14:paraId="72390724" w14:textId="6F97D2D7" w:rsidR="00515398" w:rsidRDefault="006711E6">
            <w:pPr>
              <w:spacing w:after="0" w:line="240" w:lineRule="auto"/>
              <w:rPr>
                <w:rFonts w:eastAsia="Times New Roman" w:cs="Calibri"/>
                <w:noProof/>
                <w:color w:val="006100"/>
                <w:sz w:val="18"/>
                <w:szCs w:val="18"/>
              </w:rPr>
            </w:pPr>
            <w:r>
              <w:rPr>
                <w:noProof/>
                <w:color w:val="006100"/>
                <w:sz w:val="18"/>
              </w:rPr>
              <w:t>Zdravotní systém – dokončit řecký institut DRG KETEKNY a novou</w:t>
            </w:r>
            <w:r>
              <w:rPr>
                <w:rFonts w:ascii="Times New Roman" w:hAnsi="Times New Roman"/>
                <w:noProof/>
                <w:sz w:val="24"/>
              </w:rPr>
              <w:t xml:space="preserve"> </w:t>
            </w:r>
            <w:r>
              <w:rPr>
                <w:noProof/>
                <w:color w:val="006100"/>
                <w:sz w:val="18"/>
              </w:rPr>
              <w:t>Agenturu pro zajišťování kvality ve zdravotnictví ODIPY (kromě odborné přípravy)</w:t>
            </w:r>
          </w:p>
        </w:tc>
        <w:tc>
          <w:tcPr>
            <w:tcW w:w="701" w:type="pct"/>
            <w:shd w:val="clear" w:color="auto" w:fill="C6EFCE"/>
            <w:noWrap/>
          </w:tcPr>
          <w:p w14:paraId="10D3F59B" w14:textId="75DC18B8" w:rsidR="00515398" w:rsidRDefault="006711E6">
            <w:pPr>
              <w:pStyle w:val="P68B1DB1-Normal10"/>
              <w:spacing w:after="0" w:line="240" w:lineRule="auto"/>
              <w:rPr>
                <w:rFonts w:eastAsia="Times New Roman" w:cs="Calibri"/>
                <w:noProof/>
              </w:rPr>
            </w:pPr>
            <w:r>
              <w:rPr>
                <w:noProof/>
              </w:rPr>
              <w:t xml:space="preserve">Doklad o dokončení dílčích projektů 1, 2, 3 u KETEKNY a dílčích projektů 1, 2, 3 pro ODIPY předložením výše uvedených výstupů </w:t>
            </w:r>
          </w:p>
        </w:tc>
        <w:tc>
          <w:tcPr>
            <w:tcW w:w="386" w:type="pct"/>
            <w:shd w:val="clear" w:color="auto" w:fill="C6EFCE"/>
            <w:noWrap/>
          </w:tcPr>
          <w:p w14:paraId="2E81E2CC"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47E67B62" w14:textId="77777777" w:rsidR="00515398" w:rsidRDefault="00515398">
            <w:pPr>
              <w:spacing w:after="0" w:line="240" w:lineRule="auto"/>
              <w:rPr>
                <w:rFonts w:eastAsia="Times New Roman" w:cs="Calibri"/>
                <w:noProof/>
                <w:color w:val="006100"/>
                <w:sz w:val="18"/>
                <w:szCs w:val="18"/>
              </w:rPr>
            </w:pPr>
          </w:p>
        </w:tc>
        <w:tc>
          <w:tcPr>
            <w:tcW w:w="270" w:type="pct"/>
            <w:shd w:val="clear" w:color="auto" w:fill="C6EFCE"/>
            <w:noWrap/>
          </w:tcPr>
          <w:p w14:paraId="70183F2E"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6D3CCD15" w14:textId="77777777" w:rsidR="00515398" w:rsidRDefault="006711E6">
            <w:pPr>
              <w:pStyle w:val="P68B1DB1-Normal9"/>
              <w:spacing w:after="0" w:line="240" w:lineRule="auto"/>
              <w:rPr>
                <w:rFonts w:eastAsia="Times New Roman" w:cs="Calibri"/>
                <w:noProof/>
                <w:szCs w:val="18"/>
              </w:rPr>
            </w:pPr>
            <w:r>
              <w:rPr>
                <w:noProof/>
              </w:rPr>
              <w:t>ČTVRTLETÍ</w:t>
            </w:r>
          </w:p>
        </w:tc>
        <w:tc>
          <w:tcPr>
            <w:tcW w:w="232" w:type="pct"/>
            <w:shd w:val="clear" w:color="auto" w:fill="C6EFCE"/>
            <w:noWrap/>
          </w:tcPr>
          <w:p w14:paraId="509484C1" w14:textId="77777777" w:rsidR="00515398" w:rsidRDefault="006711E6">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6CB5D021" w14:textId="6F051304" w:rsidR="00515398" w:rsidRDefault="006711E6">
            <w:pPr>
              <w:spacing w:after="0" w:line="240" w:lineRule="auto"/>
              <w:rPr>
                <w:rFonts w:eastAsia="Times New Roman" w:cs="Calibri"/>
                <w:noProof/>
                <w:color w:val="006100"/>
                <w:sz w:val="18"/>
                <w:szCs w:val="18"/>
              </w:rPr>
            </w:pPr>
            <w:r>
              <w:rPr>
                <w:noProof/>
                <w:color w:val="006100"/>
                <w:sz w:val="18"/>
                <w:szCs w:val="18"/>
              </w:rPr>
              <w:t>Dokončit rozšíření interoperability, pilotní projekty týkající se mezinárodní klasifikace nemocí (ICD) a</w:t>
            </w:r>
            <w:r>
              <w:rPr>
                <w:rFonts w:ascii="Times New Roman" w:hAnsi="Times New Roman"/>
                <w:noProof/>
                <w:sz w:val="24"/>
                <w:szCs w:val="24"/>
              </w:rPr>
              <w:t xml:space="preserve"> </w:t>
            </w:r>
            <w:r>
              <w:rPr>
                <w:noProof/>
                <w:color w:val="006100"/>
                <w:sz w:val="18"/>
                <w:szCs w:val="18"/>
              </w:rPr>
              <w:t>řecké klasifikace lékařských postupů (ETIP), konzultační platformy pro lékařské kódování a pilotní projekt platformy pro shromažďování finančních a úče</w:t>
            </w:r>
            <w:r>
              <w:rPr>
                <w:noProof/>
                <w:color w:val="006100"/>
                <w:sz w:val="18"/>
                <w:szCs w:val="18"/>
              </w:rPr>
              <w:t>tních údajů (dílčí projekty 1, 2, 3 KETEKNY), jakož i vnitrostátní strategii a navrhovaný legislativní rámec pro zajištění kvality, bezpečnost pacientů a zapojení pacientů do poskytování zdravotnických služeb; národní zdravotní mapa; vnitrostátní strategie</w:t>
            </w:r>
            <w:r>
              <w:rPr>
                <w:noProof/>
                <w:color w:val="006100"/>
                <w:sz w:val="18"/>
                <w:szCs w:val="18"/>
              </w:rPr>
              <w:t xml:space="preserve"> a navrhovaný legislativní rámec pro kvalitu politik v oblasti péče a bezpečnosti.</w:t>
            </w:r>
          </w:p>
        </w:tc>
      </w:tr>
      <w:tr w:rsidR="00515398" w14:paraId="267EC2C3" w14:textId="77777777">
        <w:trPr>
          <w:trHeight w:val="313"/>
        </w:trPr>
        <w:tc>
          <w:tcPr>
            <w:tcW w:w="320" w:type="pct"/>
            <w:shd w:val="clear" w:color="auto" w:fill="C6EFCE"/>
            <w:noWrap/>
          </w:tcPr>
          <w:p w14:paraId="5D43213D" w14:textId="77777777" w:rsidR="00515398" w:rsidRDefault="006711E6">
            <w:pPr>
              <w:pStyle w:val="P68B1DB1-Normal10"/>
              <w:spacing w:after="0" w:line="240" w:lineRule="auto"/>
              <w:rPr>
                <w:rFonts w:eastAsia="Times New Roman" w:cs="Calibri"/>
                <w:noProof/>
              </w:rPr>
            </w:pPr>
            <w:r>
              <w:rPr>
                <w:noProof/>
              </w:rPr>
              <w:t>164</w:t>
            </w:r>
          </w:p>
        </w:tc>
        <w:tc>
          <w:tcPr>
            <w:tcW w:w="408" w:type="pct"/>
            <w:shd w:val="clear" w:color="auto" w:fill="C6EFCE"/>
            <w:noWrap/>
          </w:tcPr>
          <w:p w14:paraId="735EF920" w14:textId="48EF918C" w:rsidR="00515398" w:rsidRDefault="006711E6">
            <w:pPr>
              <w:pStyle w:val="P68B1DB1-Normal9"/>
              <w:spacing w:after="0" w:line="240" w:lineRule="auto"/>
              <w:rPr>
                <w:rFonts w:eastAsia="Times New Roman" w:cs="Calibri"/>
                <w:noProof/>
                <w:szCs w:val="18"/>
              </w:rPr>
            </w:pPr>
            <w:r>
              <w:rPr>
                <w:noProof/>
              </w:rPr>
              <w:t xml:space="preserve">10–3.3. Zlepšení odolnosti, dostupnosti a udržitelnosti zdravotní péče – 16756_Organizační reformy systému zdravotní péče </w:t>
            </w:r>
          </w:p>
        </w:tc>
        <w:tc>
          <w:tcPr>
            <w:tcW w:w="322" w:type="pct"/>
            <w:shd w:val="clear" w:color="auto" w:fill="C6EFCE"/>
            <w:noWrap/>
          </w:tcPr>
          <w:p w14:paraId="1D8823E8" w14:textId="77777777" w:rsidR="00515398" w:rsidRDefault="006711E6">
            <w:pPr>
              <w:pStyle w:val="P68B1DB1-Normal9"/>
              <w:spacing w:after="0" w:line="240" w:lineRule="auto"/>
              <w:rPr>
                <w:rFonts w:eastAsia="Times New Roman" w:cs="Calibri"/>
                <w:noProof/>
                <w:szCs w:val="18"/>
              </w:rPr>
            </w:pPr>
            <w:r>
              <w:rPr>
                <w:noProof/>
              </w:rPr>
              <w:t>Cílová</w:t>
            </w:r>
          </w:p>
        </w:tc>
        <w:tc>
          <w:tcPr>
            <w:tcW w:w="410" w:type="pct"/>
            <w:shd w:val="clear" w:color="auto" w:fill="C6EFCE"/>
            <w:noWrap/>
          </w:tcPr>
          <w:p w14:paraId="0AD648B0" w14:textId="77777777" w:rsidR="00515398" w:rsidRDefault="006711E6">
            <w:pPr>
              <w:pStyle w:val="P68B1DB1-Normal9"/>
              <w:spacing w:after="0" w:line="240" w:lineRule="auto"/>
              <w:rPr>
                <w:rFonts w:eastAsia="Times New Roman" w:cs="Calibri"/>
                <w:noProof/>
                <w:szCs w:val="18"/>
              </w:rPr>
            </w:pPr>
            <w:r>
              <w:rPr>
                <w:noProof/>
              </w:rPr>
              <w:t xml:space="preserve">Systém zdravotní péče – Úplná odborná </w:t>
            </w:r>
            <w:r>
              <w:rPr>
                <w:noProof/>
              </w:rPr>
              <w:t>příprava KETEKNY</w:t>
            </w:r>
          </w:p>
        </w:tc>
        <w:tc>
          <w:tcPr>
            <w:tcW w:w="701" w:type="pct"/>
            <w:shd w:val="clear" w:color="auto" w:fill="C6EFCE"/>
            <w:noWrap/>
          </w:tcPr>
          <w:p w14:paraId="59AF2D67" w14:textId="77777777" w:rsidR="00515398" w:rsidRDefault="00515398">
            <w:pPr>
              <w:spacing w:after="0" w:line="240" w:lineRule="auto"/>
              <w:rPr>
                <w:rFonts w:eastAsia="Times New Roman" w:cs="Calibri"/>
                <w:noProof/>
                <w:color w:val="006100"/>
                <w:sz w:val="18"/>
                <w:szCs w:val="18"/>
              </w:rPr>
            </w:pPr>
          </w:p>
        </w:tc>
        <w:tc>
          <w:tcPr>
            <w:tcW w:w="386" w:type="pct"/>
            <w:shd w:val="clear" w:color="auto" w:fill="C6EFCE"/>
            <w:noWrap/>
          </w:tcPr>
          <w:p w14:paraId="306D9B5D" w14:textId="77777777" w:rsidR="00515398" w:rsidRDefault="006711E6">
            <w:pPr>
              <w:pStyle w:val="P68B1DB1-Normal9"/>
              <w:spacing w:after="0" w:line="240" w:lineRule="auto"/>
              <w:rPr>
                <w:rFonts w:eastAsia="Times New Roman" w:cs="Calibri"/>
                <w:noProof/>
                <w:szCs w:val="18"/>
              </w:rPr>
            </w:pPr>
            <w:r>
              <w:rPr>
                <w:noProof/>
              </w:rPr>
              <w:t>Počet zdravotnických pracovníků, kteří dokončili programy odborné přípravy a jsou formálně certifikováni v klinickém kódování, vyúčtování a posuzování souladu</w:t>
            </w:r>
          </w:p>
        </w:tc>
        <w:tc>
          <w:tcPr>
            <w:tcW w:w="309" w:type="pct"/>
            <w:shd w:val="clear" w:color="auto" w:fill="C6EFCE"/>
            <w:noWrap/>
          </w:tcPr>
          <w:p w14:paraId="77EE1B8B" w14:textId="77777777" w:rsidR="00515398" w:rsidRDefault="006711E6">
            <w:pPr>
              <w:pStyle w:val="P68B1DB1-Normal9"/>
              <w:spacing w:after="0" w:line="240" w:lineRule="auto"/>
              <w:rPr>
                <w:rFonts w:eastAsia="Times New Roman" w:cs="Calibri"/>
                <w:noProof/>
                <w:szCs w:val="18"/>
              </w:rPr>
            </w:pPr>
            <w:r>
              <w:rPr>
                <w:noProof/>
              </w:rPr>
              <w:t>0</w:t>
            </w:r>
          </w:p>
        </w:tc>
        <w:tc>
          <w:tcPr>
            <w:tcW w:w="270" w:type="pct"/>
            <w:shd w:val="clear" w:color="auto" w:fill="C6EFCE"/>
            <w:noWrap/>
          </w:tcPr>
          <w:p w14:paraId="04A39EC2" w14:textId="77777777" w:rsidR="00515398" w:rsidRDefault="006711E6">
            <w:pPr>
              <w:pStyle w:val="P68B1DB1-Normal9"/>
              <w:spacing w:after="0" w:line="240" w:lineRule="auto"/>
              <w:rPr>
                <w:rFonts w:eastAsia="Times New Roman" w:cs="Calibri"/>
                <w:noProof/>
                <w:szCs w:val="18"/>
              </w:rPr>
            </w:pPr>
            <w:r>
              <w:rPr>
                <w:noProof/>
              </w:rPr>
              <w:t>4 500</w:t>
            </w:r>
          </w:p>
        </w:tc>
        <w:tc>
          <w:tcPr>
            <w:tcW w:w="309" w:type="pct"/>
            <w:shd w:val="clear" w:color="auto" w:fill="C6EFCE"/>
            <w:noWrap/>
          </w:tcPr>
          <w:p w14:paraId="140E2450" w14:textId="77777777" w:rsidR="00515398" w:rsidRDefault="006711E6">
            <w:pPr>
              <w:pStyle w:val="P68B1DB1-Normal9"/>
              <w:spacing w:after="0" w:line="240" w:lineRule="auto"/>
              <w:rPr>
                <w:rFonts w:eastAsia="Times New Roman" w:cs="Calibri"/>
                <w:noProof/>
                <w:szCs w:val="18"/>
              </w:rPr>
            </w:pPr>
            <w:r>
              <w:rPr>
                <w:noProof/>
              </w:rPr>
              <w:t>ČTVRTLETÍ</w:t>
            </w:r>
          </w:p>
        </w:tc>
        <w:tc>
          <w:tcPr>
            <w:tcW w:w="232" w:type="pct"/>
            <w:shd w:val="clear" w:color="auto" w:fill="C6EFCE"/>
            <w:noWrap/>
          </w:tcPr>
          <w:p w14:paraId="7D93CE80" w14:textId="77777777" w:rsidR="00515398" w:rsidRDefault="006711E6">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2A66029B" w14:textId="612BEFBF" w:rsidR="00515398" w:rsidRDefault="006711E6">
            <w:pPr>
              <w:pStyle w:val="P68B1DB1-Normal9"/>
              <w:spacing w:after="0" w:line="240" w:lineRule="auto"/>
              <w:rPr>
                <w:rFonts w:eastAsia="Times New Roman" w:cs="Calibri"/>
                <w:noProof/>
                <w:szCs w:val="18"/>
              </w:rPr>
            </w:pPr>
            <w:r>
              <w:rPr>
                <w:noProof/>
              </w:rPr>
              <w:t>Dokončení odborné přípravy a certifikace 4500 zdravotnic</w:t>
            </w:r>
            <w:r>
              <w:rPr>
                <w:noProof/>
              </w:rPr>
              <w:t>kých pracovníků v oblastech klinického kódování a vyúčtování (dílčí projekt 4 KETEKNY) a posouzení souladu na základě nového společného hodnotícího rámce (dílčí projekt 4 ODIPY) úměrně zjištěným potřebám pro KETEKNY a ODIPY.</w:t>
            </w:r>
          </w:p>
        </w:tc>
      </w:tr>
      <w:tr w:rsidR="00515398" w14:paraId="58A80BB6" w14:textId="77777777">
        <w:trPr>
          <w:trHeight w:val="313"/>
        </w:trPr>
        <w:tc>
          <w:tcPr>
            <w:tcW w:w="320" w:type="pct"/>
            <w:shd w:val="clear" w:color="auto" w:fill="C6EFCE"/>
            <w:noWrap/>
          </w:tcPr>
          <w:p w14:paraId="68026D22" w14:textId="77777777" w:rsidR="00515398" w:rsidRDefault="006711E6">
            <w:pPr>
              <w:pStyle w:val="P68B1DB1-Normal10"/>
              <w:spacing w:after="0" w:line="240" w:lineRule="auto"/>
              <w:rPr>
                <w:noProof/>
              </w:rPr>
            </w:pPr>
            <w:r>
              <w:rPr>
                <w:noProof/>
              </w:rPr>
              <w:t>164a</w:t>
            </w:r>
          </w:p>
        </w:tc>
        <w:tc>
          <w:tcPr>
            <w:tcW w:w="408" w:type="pct"/>
            <w:shd w:val="clear" w:color="auto" w:fill="C6EFCE"/>
            <w:noWrap/>
          </w:tcPr>
          <w:p w14:paraId="40219754" w14:textId="6E18418B" w:rsidR="00515398" w:rsidRDefault="006711E6">
            <w:pPr>
              <w:pStyle w:val="P68B1DB1-Normal9"/>
              <w:spacing w:after="0" w:line="240" w:lineRule="auto"/>
              <w:rPr>
                <w:noProof/>
              </w:rPr>
            </w:pPr>
            <w:r>
              <w:rPr>
                <w:noProof/>
              </w:rPr>
              <w:t>10–3.3. Zlepšení odolnosti, dostupnosti a udržitelnosti zdravotní péče – 16 756_Organizační reformy systému zdravotní péče</w:t>
            </w:r>
          </w:p>
        </w:tc>
        <w:tc>
          <w:tcPr>
            <w:tcW w:w="322" w:type="pct"/>
            <w:shd w:val="clear" w:color="auto" w:fill="C6EFCE"/>
            <w:noWrap/>
          </w:tcPr>
          <w:p w14:paraId="63B75385" w14:textId="77777777" w:rsidR="00515398" w:rsidRDefault="006711E6">
            <w:pPr>
              <w:pStyle w:val="P68B1DB1-Normal9"/>
              <w:spacing w:after="0" w:line="240" w:lineRule="auto"/>
              <w:rPr>
                <w:noProof/>
              </w:rPr>
            </w:pPr>
            <w:r>
              <w:rPr>
                <w:noProof/>
              </w:rPr>
              <w:t>Cílová</w:t>
            </w:r>
          </w:p>
        </w:tc>
        <w:tc>
          <w:tcPr>
            <w:tcW w:w="410" w:type="pct"/>
            <w:shd w:val="clear" w:color="auto" w:fill="C6EFCE"/>
            <w:noWrap/>
          </w:tcPr>
          <w:p w14:paraId="0B0C05A3" w14:textId="77777777" w:rsidR="00515398" w:rsidRDefault="006711E6">
            <w:pPr>
              <w:pStyle w:val="P68B1DB1-Normal9"/>
              <w:spacing w:after="0" w:line="240" w:lineRule="auto"/>
              <w:rPr>
                <w:noProof/>
              </w:rPr>
            </w:pPr>
            <w:r>
              <w:rPr>
                <w:noProof/>
              </w:rPr>
              <w:t>Snížení počtu čekajících na seznamu chirurgických zákroků</w:t>
            </w:r>
          </w:p>
        </w:tc>
        <w:tc>
          <w:tcPr>
            <w:tcW w:w="701" w:type="pct"/>
            <w:shd w:val="clear" w:color="auto" w:fill="C6EFCE"/>
            <w:noWrap/>
          </w:tcPr>
          <w:p w14:paraId="6740FC67" w14:textId="77777777" w:rsidR="00515398" w:rsidRDefault="00515398">
            <w:pPr>
              <w:spacing w:after="0" w:line="240" w:lineRule="auto"/>
              <w:rPr>
                <w:rFonts w:eastAsia="Times New Roman" w:cs="Calibri"/>
                <w:noProof/>
                <w:color w:val="006100"/>
                <w:sz w:val="18"/>
                <w:szCs w:val="18"/>
              </w:rPr>
            </w:pPr>
          </w:p>
        </w:tc>
        <w:tc>
          <w:tcPr>
            <w:tcW w:w="386" w:type="pct"/>
            <w:shd w:val="clear" w:color="auto" w:fill="C6EFCE"/>
            <w:noWrap/>
          </w:tcPr>
          <w:p w14:paraId="431FF27B" w14:textId="77777777" w:rsidR="00515398" w:rsidRDefault="006711E6">
            <w:pPr>
              <w:pStyle w:val="P68B1DB1-Normal9"/>
              <w:spacing w:after="0" w:line="240" w:lineRule="auto"/>
              <w:rPr>
                <w:noProof/>
              </w:rPr>
            </w:pPr>
            <w:r>
              <w:rPr>
                <w:noProof/>
              </w:rPr>
              <w:t>Počet provedených chirurgických zákroků u pacientů, kteří čekali dé</w:t>
            </w:r>
            <w:r>
              <w:rPr>
                <w:noProof/>
              </w:rPr>
              <w:t>le než čtyři měsíce.</w:t>
            </w:r>
          </w:p>
        </w:tc>
        <w:tc>
          <w:tcPr>
            <w:tcW w:w="309" w:type="pct"/>
            <w:shd w:val="clear" w:color="auto" w:fill="C6EFCE"/>
            <w:noWrap/>
          </w:tcPr>
          <w:p w14:paraId="3BA62436" w14:textId="77777777" w:rsidR="00515398" w:rsidRDefault="006711E6">
            <w:pPr>
              <w:pStyle w:val="P68B1DB1-Normal9"/>
              <w:spacing w:after="0" w:line="240" w:lineRule="auto"/>
              <w:rPr>
                <w:noProof/>
              </w:rPr>
            </w:pPr>
            <w:r>
              <w:rPr>
                <w:noProof/>
              </w:rPr>
              <w:t>0</w:t>
            </w:r>
          </w:p>
        </w:tc>
        <w:tc>
          <w:tcPr>
            <w:tcW w:w="270" w:type="pct"/>
            <w:shd w:val="clear" w:color="auto" w:fill="C6EFCE"/>
            <w:noWrap/>
          </w:tcPr>
          <w:p w14:paraId="6FC8090D" w14:textId="50A497CC" w:rsidR="00515398" w:rsidRDefault="006711E6">
            <w:pPr>
              <w:pStyle w:val="P68B1DB1-Normal9"/>
              <w:spacing w:after="0" w:line="240" w:lineRule="auto"/>
              <w:rPr>
                <w:noProof/>
              </w:rPr>
            </w:pPr>
            <w:r>
              <w:rPr>
                <w:noProof/>
              </w:rPr>
              <w:t>34 000</w:t>
            </w:r>
          </w:p>
        </w:tc>
        <w:tc>
          <w:tcPr>
            <w:tcW w:w="309" w:type="pct"/>
            <w:shd w:val="clear" w:color="auto" w:fill="C6EFCE"/>
            <w:noWrap/>
          </w:tcPr>
          <w:p w14:paraId="681024F7" w14:textId="77777777" w:rsidR="00515398" w:rsidRDefault="006711E6">
            <w:pPr>
              <w:pStyle w:val="P68B1DB1-Normal9"/>
              <w:spacing w:after="0" w:line="240" w:lineRule="auto"/>
              <w:rPr>
                <w:noProof/>
              </w:rPr>
            </w:pPr>
            <w:r>
              <w:rPr>
                <w:noProof/>
              </w:rPr>
              <w:t>ČTVRTLETÍ ČTVRT</w:t>
            </w:r>
          </w:p>
        </w:tc>
        <w:tc>
          <w:tcPr>
            <w:tcW w:w="232" w:type="pct"/>
            <w:shd w:val="clear" w:color="auto" w:fill="C6EFCE"/>
            <w:noWrap/>
          </w:tcPr>
          <w:p w14:paraId="4E6711A3" w14:textId="77777777" w:rsidR="00515398" w:rsidRDefault="006711E6">
            <w:pPr>
              <w:pStyle w:val="P68B1DB1-Normal9"/>
              <w:spacing w:after="0" w:line="240" w:lineRule="auto"/>
              <w:rPr>
                <w:noProof/>
              </w:rPr>
            </w:pPr>
            <w:r>
              <w:rPr>
                <w:noProof/>
              </w:rPr>
              <w:t>2025</w:t>
            </w:r>
          </w:p>
        </w:tc>
        <w:tc>
          <w:tcPr>
            <w:tcW w:w="1333" w:type="pct"/>
            <w:shd w:val="clear" w:color="auto" w:fill="C6EFCE"/>
            <w:noWrap/>
          </w:tcPr>
          <w:p w14:paraId="631C885C" w14:textId="73E9AC98" w:rsidR="00515398" w:rsidRDefault="006711E6">
            <w:pPr>
              <w:pStyle w:val="P68B1DB1-Normal10"/>
              <w:spacing w:after="0" w:line="240" w:lineRule="auto"/>
              <w:rPr>
                <w:noProof/>
              </w:rPr>
            </w:pPr>
            <w:r>
              <w:rPr>
                <w:noProof/>
              </w:rPr>
              <w:t>Snížení počtu nevyřízených operací u pacientů, kteří čekali déle než čtyři měsíce na jednotném digitálním seznamu chirurgií (na základě stavu seznamu ke dni 16. října 2024), alespoň o polovinu. To zahrnuje</w:t>
            </w:r>
            <w:r>
              <w:rPr>
                <w:noProof/>
              </w:rPr>
              <w:t xml:space="preserve"> dokončení 34000 chirurgických zákroků u pacientů, kteří čekali déle než čtyři měsíce, včetně nejméně 26000 operací u pacientů, kteří čekali déle než 8 měsíců.</w:t>
            </w:r>
          </w:p>
        </w:tc>
      </w:tr>
      <w:tr w:rsidR="00515398" w14:paraId="6450AAEB" w14:textId="77777777">
        <w:trPr>
          <w:trHeight w:val="313"/>
        </w:trPr>
        <w:tc>
          <w:tcPr>
            <w:tcW w:w="320" w:type="pct"/>
            <w:shd w:val="clear" w:color="auto" w:fill="C6EFCE"/>
            <w:noWrap/>
          </w:tcPr>
          <w:p w14:paraId="41D61A3C" w14:textId="77777777" w:rsidR="00515398" w:rsidRDefault="006711E6">
            <w:pPr>
              <w:pStyle w:val="P68B1DB1-Normal9"/>
              <w:spacing w:after="0" w:line="240" w:lineRule="auto"/>
              <w:rPr>
                <w:rFonts w:eastAsia="Times New Roman" w:cs="Calibri"/>
                <w:noProof/>
                <w:szCs w:val="18"/>
              </w:rPr>
            </w:pPr>
            <w:r>
              <w:rPr>
                <w:noProof/>
              </w:rPr>
              <w:t>165</w:t>
            </w:r>
          </w:p>
        </w:tc>
        <w:tc>
          <w:tcPr>
            <w:tcW w:w="408" w:type="pct"/>
            <w:shd w:val="clear" w:color="auto" w:fill="C6EFCE"/>
            <w:noWrap/>
          </w:tcPr>
          <w:p w14:paraId="4DB956D3" w14:textId="77777777" w:rsidR="00515398" w:rsidRDefault="006711E6">
            <w:pPr>
              <w:pStyle w:val="P68B1DB1-Normal9"/>
              <w:spacing w:after="0" w:line="240" w:lineRule="auto"/>
              <w:rPr>
                <w:rFonts w:eastAsia="Times New Roman"/>
                <w:noProof/>
                <w:szCs w:val="18"/>
              </w:rPr>
            </w:pPr>
            <w:r>
              <w:rPr>
                <w:noProof/>
              </w:rPr>
              <w:t xml:space="preserve">10–3.3. Zlepšit odolnost, dostupnost a udržitelnost zdravotní péče – 16783_Provádění </w:t>
            </w:r>
            <w:r>
              <w:rPr>
                <w:noProof/>
              </w:rPr>
              <w:t>národního programu prevence veřejného zdraví „Spiros Doxiadis“ (NPP „SD“)</w:t>
            </w:r>
          </w:p>
          <w:p w14:paraId="5A44AD20" w14:textId="77777777" w:rsidR="00515398" w:rsidRDefault="00515398">
            <w:pPr>
              <w:spacing w:after="0" w:line="240" w:lineRule="auto"/>
              <w:rPr>
                <w:rFonts w:eastAsia="Times New Roman" w:cs="Calibri"/>
                <w:noProof/>
                <w:color w:val="006100"/>
                <w:sz w:val="18"/>
                <w:szCs w:val="18"/>
                <w:highlight w:val="yellow"/>
              </w:rPr>
            </w:pPr>
          </w:p>
          <w:p w14:paraId="17B2819D" w14:textId="77777777" w:rsidR="00515398" w:rsidRDefault="00515398">
            <w:pPr>
              <w:spacing w:after="0" w:line="240" w:lineRule="auto"/>
              <w:rPr>
                <w:rFonts w:eastAsia="Times New Roman" w:cs="Calibri"/>
                <w:noProof/>
                <w:color w:val="006100"/>
                <w:sz w:val="18"/>
                <w:szCs w:val="18"/>
              </w:rPr>
            </w:pPr>
          </w:p>
        </w:tc>
        <w:tc>
          <w:tcPr>
            <w:tcW w:w="322" w:type="pct"/>
            <w:shd w:val="clear" w:color="auto" w:fill="C6EFCE"/>
            <w:noWrap/>
          </w:tcPr>
          <w:p w14:paraId="36232779" w14:textId="77777777" w:rsidR="00515398" w:rsidRDefault="006711E6">
            <w:pPr>
              <w:pStyle w:val="P68B1DB1-Normal9"/>
              <w:spacing w:after="0" w:line="240" w:lineRule="auto"/>
              <w:rPr>
                <w:rFonts w:eastAsia="Times New Roman" w:cs="Calibri"/>
                <w:noProof/>
                <w:szCs w:val="18"/>
              </w:rPr>
            </w:pPr>
            <w:r>
              <w:rPr>
                <w:noProof/>
              </w:rPr>
              <w:t>Milník</w:t>
            </w:r>
          </w:p>
        </w:tc>
        <w:tc>
          <w:tcPr>
            <w:tcW w:w="410" w:type="pct"/>
            <w:shd w:val="clear" w:color="auto" w:fill="C6EFCE"/>
            <w:noWrap/>
          </w:tcPr>
          <w:p w14:paraId="7DAE12B6" w14:textId="30B778A4" w:rsidR="00515398" w:rsidRDefault="006711E6">
            <w:pPr>
              <w:pStyle w:val="P68B1DB1-Normal9"/>
              <w:spacing w:after="0" w:line="240" w:lineRule="auto"/>
              <w:rPr>
                <w:rFonts w:eastAsia="Times New Roman" w:cs="Calibri"/>
                <w:noProof/>
                <w:szCs w:val="18"/>
              </w:rPr>
            </w:pPr>
            <w:r>
              <w:rPr>
                <w:noProof/>
              </w:rPr>
              <w:t>Národní program prevence v oblasti veřejného zdraví „</w:t>
            </w:r>
            <w:r>
              <w:rPr>
                <w:noProof/>
                <w:szCs w:val="18"/>
              </w:rPr>
              <w:t xml:space="preserve">Spiros </w:t>
            </w:r>
            <w:r>
              <w:rPr>
                <w:noProof/>
              </w:rPr>
              <w:t>Doxiadis“ – všechny projekty dokončeny</w:t>
            </w:r>
          </w:p>
        </w:tc>
        <w:tc>
          <w:tcPr>
            <w:tcW w:w="701" w:type="pct"/>
            <w:shd w:val="clear" w:color="auto" w:fill="C6EFCE"/>
            <w:noWrap/>
          </w:tcPr>
          <w:p w14:paraId="1A10D471" w14:textId="099BEC8B" w:rsidR="00515398" w:rsidRDefault="006711E6">
            <w:pPr>
              <w:pStyle w:val="P68B1DB1-Normal9"/>
              <w:spacing w:after="0" w:line="240" w:lineRule="auto"/>
              <w:rPr>
                <w:rFonts w:eastAsia="Times New Roman" w:cs="Calibri"/>
                <w:noProof/>
                <w:szCs w:val="18"/>
              </w:rPr>
            </w:pPr>
            <w:r>
              <w:rPr>
                <w:noProof/>
              </w:rPr>
              <w:t xml:space="preserve">Doklad o dokončení všech projektů doložený zprávami pro všechny oblasti </w:t>
            </w:r>
            <w:r>
              <w:rPr>
                <w:noProof/>
              </w:rPr>
              <w:t>(primární, sekundární a funkční modernizace systému veřejného zdravotnictví) zahrnující všechny akce a obyvatelstvo, na něž se každá akce vztahuje.</w:t>
            </w:r>
          </w:p>
        </w:tc>
        <w:tc>
          <w:tcPr>
            <w:tcW w:w="386" w:type="pct"/>
            <w:shd w:val="clear" w:color="auto" w:fill="C6EFCE"/>
            <w:noWrap/>
          </w:tcPr>
          <w:p w14:paraId="12B2C480"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6F2926FB" w14:textId="77777777" w:rsidR="00515398" w:rsidRDefault="00515398">
            <w:pPr>
              <w:spacing w:after="0" w:line="240" w:lineRule="auto"/>
              <w:rPr>
                <w:rFonts w:eastAsia="Times New Roman" w:cs="Calibri"/>
                <w:noProof/>
                <w:color w:val="006100"/>
                <w:sz w:val="18"/>
                <w:szCs w:val="18"/>
              </w:rPr>
            </w:pPr>
          </w:p>
        </w:tc>
        <w:tc>
          <w:tcPr>
            <w:tcW w:w="270" w:type="pct"/>
            <w:shd w:val="clear" w:color="auto" w:fill="C6EFCE"/>
            <w:noWrap/>
          </w:tcPr>
          <w:p w14:paraId="18C96C23"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0246456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232" w:type="pct"/>
            <w:shd w:val="clear" w:color="auto" w:fill="C6EFCE"/>
            <w:noWrap/>
          </w:tcPr>
          <w:p w14:paraId="5CE1F761" w14:textId="77777777" w:rsidR="00515398" w:rsidRDefault="006711E6">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126EA06C" w14:textId="1EADEB60" w:rsidR="00515398" w:rsidRDefault="006711E6">
            <w:pPr>
              <w:pStyle w:val="P68B1DB1-Normal10"/>
              <w:spacing w:after="0" w:line="240" w:lineRule="auto"/>
              <w:rPr>
                <w:rFonts w:eastAsia="Times New Roman" w:cs="Calibri"/>
                <w:noProof/>
              </w:rPr>
            </w:pPr>
            <w:r>
              <w:rPr>
                <w:noProof/>
              </w:rPr>
              <w:t xml:space="preserve">Dokončení: </w:t>
            </w:r>
          </w:p>
          <w:p w14:paraId="0971AEC2" w14:textId="112B798D" w:rsidR="00515398" w:rsidRDefault="006711E6">
            <w:pPr>
              <w:pStyle w:val="P68B1DB1-Normal10"/>
              <w:spacing w:after="0" w:line="240" w:lineRule="auto"/>
              <w:rPr>
                <w:rFonts w:eastAsia="Times New Roman" w:cs="Calibri"/>
                <w:noProof/>
              </w:rPr>
            </w:pPr>
            <w:r>
              <w:rPr>
                <w:noProof/>
              </w:rPr>
              <w:t xml:space="preserve">1. Primární prevence:  </w:t>
            </w:r>
          </w:p>
          <w:p w14:paraId="01AECB37" w14:textId="56244C6A" w:rsidR="00515398" w:rsidRDefault="006711E6">
            <w:pPr>
              <w:pStyle w:val="P68B1DB1-Normal10"/>
              <w:spacing w:after="0" w:line="240" w:lineRule="auto"/>
              <w:ind w:left="720"/>
              <w:rPr>
                <w:rFonts w:eastAsia="Times New Roman" w:cs="Calibri"/>
                <w:noProof/>
              </w:rPr>
            </w:pPr>
            <w:r>
              <w:rPr>
                <w:noProof/>
              </w:rPr>
              <w:t>i) intervence na podporu fyzického cvičení a zdr</w:t>
            </w:r>
            <w:r>
              <w:rPr>
                <w:noProof/>
              </w:rPr>
              <w:t xml:space="preserve">avého stravování prostřednictvím: a) legislativní rámec pro stravování a školní jídelny, b) systematická odborná příprava s využitím zkušených školení ve školních osnovách, c) komunitní akce, d) zřízení Evropského střediska pro obezitu, e) podpora tělesné </w:t>
            </w:r>
            <w:r>
              <w:rPr>
                <w:noProof/>
              </w:rPr>
              <w:t>aktivity, f) digitální nástroje, g) osvětová kampaň,</w:t>
            </w:r>
          </w:p>
          <w:p w14:paraId="043AA822" w14:textId="20505416" w:rsidR="00515398" w:rsidRDefault="006711E6">
            <w:pPr>
              <w:pStyle w:val="P68B1DB1-Normal10"/>
              <w:spacing w:after="0" w:line="240" w:lineRule="auto"/>
              <w:ind w:left="720"/>
              <w:rPr>
                <w:noProof/>
              </w:rPr>
            </w:pPr>
            <w:r>
              <w:rPr>
                <w:noProof/>
              </w:rPr>
              <w:t xml:space="preserve">II) intervence v oblasti zdravotní gramotnosti zaměřené na škodlivé důsledky nadměrné konzumace alkoholu </w:t>
            </w:r>
          </w:p>
          <w:p w14:paraId="34643517" w14:textId="2E25677C" w:rsidR="00515398" w:rsidRDefault="006711E6">
            <w:pPr>
              <w:pStyle w:val="P68B1DB1-Normal10"/>
              <w:spacing w:after="0" w:line="240" w:lineRule="auto"/>
              <w:ind w:left="720"/>
              <w:rPr>
                <w:rFonts w:eastAsia="Times New Roman" w:cs="Calibri"/>
                <w:noProof/>
              </w:rPr>
            </w:pPr>
            <w:r>
              <w:rPr>
                <w:noProof/>
              </w:rPr>
              <w:t xml:space="preserve">III) intervence k prevenci psychosociálních problémů u dětí a </w:t>
            </w:r>
          </w:p>
          <w:p w14:paraId="390D0063" w14:textId="4E76CC3E" w:rsidR="00515398" w:rsidRDefault="006711E6">
            <w:pPr>
              <w:pStyle w:val="P68B1DB1-Normal10"/>
              <w:spacing w:after="0" w:line="240" w:lineRule="auto"/>
              <w:ind w:left="720"/>
              <w:rPr>
                <w:rFonts w:eastAsia="Times New Roman" w:cs="Calibri"/>
                <w:noProof/>
              </w:rPr>
            </w:pPr>
            <w:r>
              <w:rPr>
                <w:noProof/>
              </w:rPr>
              <w:t>IV) zákroky v oblasti zubní péče o</w:t>
            </w:r>
            <w:r>
              <w:rPr>
                <w:noProof/>
              </w:rPr>
              <w:t xml:space="preserve"> děti.</w:t>
            </w:r>
          </w:p>
          <w:p w14:paraId="25852F99" w14:textId="1E925FE6" w:rsidR="00515398" w:rsidRDefault="00515398">
            <w:pPr>
              <w:spacing w:after="0" w:line="240" w:lineRule="auto"/>
              <w:rPr>
                <w:noProof/>
                <w:color w:val="006100"/>
                <w:sz w:val="18"/>
                <w:szCs w:val="18"/>
              </w:rPr>
            </w:pPr>
          </w:p>
          <w:p w14:paraId="521D770C" w14:textId="423460DE" w:rsidR="00515398" w:rsidRDefault="006711E6">
            <w:pPr>
              <w:pStyle w:val="P68B1DB1-Normal10"/>
              <w:spacing w:after="0" w:line="240" w:lineRule="auto"/>
              <w:rPr>
                <w:rFonts w:eastAsia="Times New Roman" w:cs="Calibri"/>
                <w:noProof/>
              </w:rPr>
            </w:pPr>
            <w:r>
              <w:rPr>
                <w:noProof/>
              </w:rPr>
              <w:t xml:space="preserve">2. Sekundární prevence:  </w:t>
            </w:r>
          </w:p>
          <w:p w14:paraId="16FCCC8E" w14:textId="31B241F9" w:rsidR="00515398" w:rsidRDefault="006711E6">
            <w:pPr>
              <w:pStyle w:val="P68B1DB1-Normal10"/>
              <w:spacing w:after="0" w:line="240" w:lineRule="auto"/>
              <w:ind w:left="720"/>
              <w:rPr>
                <w:rFonts w:eastAsia="Times New Roman" w:cs="Calibri"/>
                <w:noProof/>
              </w:rPr>
            </w:pPr>
            <w:r>
              <w:rPr>
                <w:noProof/>
              </w:rPr>
              <w:t xml:space="preserve">i) Populační screening na rakovinu prsu, rakovinu děložního čípku, rakovinu tlustého střeva a konečníku a kardiovaskulární onemocnění, </w:t>
            </w:r>
          </w:p>
          <w:p w14:paraId="42D4B5CC" w14:textId="3CDBE5BB" w:rsidR="00515398" w:rsidRDefault="006711E6">
            <w:pPr>
              <w:pStyle w:val="P68B1DB1-Normal10"/>
              <w:spacing w:after="0" w:line="240" w:lineRule="auto"/>
              <w:ind w:left="720"/>
              <w:rPr>
                <w:rFonts w:eastAsia="Times New Roman" w:cs="Calibri"/>
                <w:noProof/>
              </w:rPr>
            </w:pPr>
            <w:r>
              <w:rPr>
                <w:noProof/>
              </w:rPr>
              <w:t>II) intervence pro prenatální screening v odlehlých oblastech a národní perinatální sc</w:t>
            </w:r>
            <w:r>
              <w:rPr>
                <w:noProof/>
              </w:rPr>
              <w:t>reening.</w:t>
            </w:r>
          </w:p>
          <w:p w14:paraId="5D4E314E" w14:textId="34C56C90" w:rsidR="00515398" w:rsidRDefault="00515398">
            <w:pPr>
              <w:spacing w:after="0" w:line="240" w:lineRule="auto"/>
              <w:rPr>
                <w:noProof/>
                <w:color w:val="006100"/>
                <w:sz w:val="18"/>
                <w:szCs w:val="18"/>
              </w:rPr>
            </w:pPr>
          </w:p>
          <w:p w14:paraId="2523A38A" w14:textId="5B091B1D" w:rsidR="00515398" w:rsidRDefault="00515398">
            <w:pPr>
              <w:spacing w:after="0" w:line="240" w:lineRule="auto"/>
              <w:rPr>
                <w:rFonts w:eastAsia="Times New Roman" w:cs="Calibri"/>
                <w:noProof/>
                <w:color w:val="006100"/>
                <w:sz w:val="18"/>
                <w:szCs w:val="18"/>
              </w:rPr>
            </w:pPr>
          </w:p>
          <w:p w14:paraId="2145A932" w14:textId="0407C0BB" w:rsidR="00515398" w:rsidRDefault="00515398">
            <w:pPr>
              <w:spacing w:after="0" w:line="240" w:lineRule="auto"/>
              <w:rPr>
                <w:noProof/>
                <w:color w:val="006100"/>
                <w:sz w:val="18"/>
                <w:szCs w:val="18"/>
              </w:rPr>
            </w:pPr>
          </w:p>
          <w:p w14:paraId="6381BFC0" w14:textId="5503FB3F" w:rsidR="00515398" w:rsidRDefault="006711E6">
            <w:pPr>
              <w:pStyle w:val="P68B1DB1-Normal10"/>
              <w:spacing w:after="0" w:line="240" w:lineRule="auto"/>
              <w:rPr>
                <w:rFonts w:eastAsia="Times New Roman" w:cs="Calibri"/>
                <w:noProof/>
              </w:rPr>
            </w:pPr>
            <w:r>
              <w:rPr>
                <w:noProof/>
              </w:rPr>
              <w:t xml:space="preserve">3. Funkční modernizace systému veřejného zdraví:  </w:t>
            </w:r>
          </w:p>
          <w:p w14:paraId="520E0F2A" w14:textId="74612040" w:rsidR="00515398" w:rsidRDefault="006711E6">
            <w:pPr>
              <w:pStyle w:val="P68B1DB1-Normal10"/>
              <w:spacing w:after="0" w:line="240" w:lineRule="auto"/>
              <w:ind w:left="720"/>
              <w:rPr>
                <w:rFonts w:eastAsia="Times New Roman" w:cs="Calibri"/>
                <w:noProof/>
              </w:rPr>
            </w:pPr>
            <w:r>
              <w:rPr>
                <w:noProof/>
              </w:rPr>
              <w:t xml:space="preserve">i) funkční reorganizace systému monitorování zdraví obyvatelstva, </w:t>
            </w:r>
          </w:p>
          <w:p w14:paraId="5DA231DA" w14:textId="1FA849F7" w:rsidR="00515398" w:rsidRDefault="006711E6">
            <w:pPr>
              <w:pStyle w:val="P68B1DB1-Normal10"/>
              <w:spacing w:after="0" w:line="240" w:lineRule="auto"/>
              <w:ind w:left="720"/>
              <w:rPr>
                <w:rFonts w:eastAsia="Times New Roman" w:cs="Calibri"/>
                <w:noProof/>
              </w:rPr>
            </w:pPr>
            <w:r>
              <w:rPr>
                <w:noProof/>
              </w:rPr>
              <w:t xml:space="preserve">účinnost a účelnost veřejných zdravotnických služeb, </w:t>
            </w:r>
          </w:p>
          <w:p w14:paraId="2734EB9B" w14:textId="52AF36D8" w:rsidR="00515398" w:rsidRDefault="006711E6">
            <w:pPr>
              <w:pStyle w:val="P68B1DB1-Normal10"/>
              <w:spacing w:after="0" w:line="240" w:lineRule="auto"/>
              <w:ind w:left="720"/>
              <w:rPr>
                <w:rFonts w:eastAsia="Times New Roman" w:cs="Calibri"/>
                <w:noProof/>
              </w:rPr>
            </w:pPr>
            <w:r>
              <w:rPr>
                <w:noProof/>
              </w:rPr>
              <w:t xml:space="preserve">účinnost mechanismů rychlé reakce pro řešení mimořádných událostí a hrozeb, </w:t>
            </w:r>
          </w:p>
          <w:p w14:paraId="21D4C1D7" w14:textId="5B26B8A2" w:rsidR="00515398" w:rsidRDefault="006711E6">
            <w:pPr>
              <w:pStyle w:val="P68B1DB1-Normal10"/>
              <w:spacing w:after="0" w:line="240" w:lineRule="auto"/>
              <w:ind w:left="720"/>
              <w:rPr>
                <w:rFonts w:eastAsia="Times New Roman" w:cs="Calibri"/>
                <w:noProof/>
              </w:rPr>
            </w:pPr>
            <w:r>
              <w:rPr>
                <w:noProof/>
              </w:rPr>
              <w:t xml:space="preserve">IV) Zlepšení účinnosti mechanismů ochrany životního prostředí, </w:t>
            </w:r>
          </w:p>
          <w:p w14:paraId="4535BE4A" w14:textId="64308B72" w:rsidR="00515398" w:rsidRDefault="006711E6">
            <w:pPr>
              <w:pStyle w:val="P68B1DB1-Normal10"/>
              <w:spacing w:after="0" w:line="240" w:lineRule="auto"/>
              <w:ind w:left="720"/>
              <w:rPr>
                <w:rFonts w:eastAsia="Times New Roman" w:cs="Calibri"/>
                <w:noProof/>
              </w:rPr>
            </w:pPr>
            <w:r>
              <w:rPr>
                <w:noProof/>
              </w:rPr>
              <w:t xml:space="preserve">zlepšení kvality a vědecké platnosti poskytovaných služeb, </w:t>
            </w:r>
          </w:p>
          <w:p w14:paraId="02730C85" w14:textId="14CA7B74" w:rsidR="00515398" w:rsidRDefault="006711E6">
            <w:pPr>
              <w:pStyle w:val="P68B1DB1-Normal10"/>
              <w:spacing w:after="0" w:line="240" w:lineRule="auto"/>
              <w:ind w:left="720"/>
              <w:rPr>
                <w:noProof/>
              </w:rPr>
            </w:pPr>
            <w:r>
              <w:rPr>
                <w:noProof/>
              </w:rPr>
              <w:t>VI) Organizace pro informatiku pro veřejné zdraví</w:t>
            </w:r>
          </w:p>
          <w:p w14:paraId="7B50C2DE" w14:textId="36EEC345" w:rsidR="00515398" w:rsidRDefault="006711E6">
            <w:pPr>
              <w:pStyle w:val="P68B1DB1-Normal10"/>
              <w:spacing w:after="0" w:line="240" w:lineRule="auto"/>
              <w:rPr>
                <w:rFonts w:eastAsia="Times New Roman" w:cs="Calibri"/>
                <w:noProof/>
              </w:rPr>
            </w:pPr>
            <w:r>
              <w:rPr>
                <w:noProof/>
              </w:rPr>
              <w:t>.</w:t>
            </w:r>
          </w:p>
        </w:tc>
      </w:tr>
      <w:tr w:rsidR="00515398" w14:paraId="29CF5AF0" w14:textId="77777777">
        <w:trPr>
          <w:trHeight w:val="313"/>
        </w:trPr>
        <w:tc>
          <w:tcPr>
            <w:tcW w:w="320" w:type="pct"/>
            <w:shd w:val="clear" w:color="auto" w:fill="C6EFCE"/>
            <w:noWrap/>
          </w:tcPr>
          <w:p w14:paraId="05B9E559" w14:textId="77777777" w:rsidR="00515398" w:rsidRDefault="006711E6">
            <w:pPr>
              <w:pStyle w:val="P68B1DB1-Normal9"/>
              <w:spacing w:after="0" w:line="240" w:lineRule="auto"/>
              <w:rPr>
                <w:rFonts w:eastAsia="Times New Roman" w:cs="Calibri"/>
                <w:noProof/>
                <w:szCs w:val="18"/>
              </w:rPr>
            </w:pPr>
            <w:r>
              <w:rPr>
                <w:noProof/>
              </w:rPr>
              <w:t>166</w:t>
            </w:r>
          </w:p>
        </w:tc>
        <w:tc>
          <w:tcPr>
            <w:tcW w:w="408" w:type="pct"/>
            <w:shd w:val="clear" w:color="auto" w:fill="C6EFCE"/>
            <w:noWrap/>
          </w:tcPr>
          <w:p w14:paraId="47A030FE"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16755_Zelené investice – Reforma systému primární zdravotní péče</w:t>
            </w:r>
          </w:p>
        </w:tc>
        <w:tc>
          <w:tcPr>
            <w:tcW w:w="322" w:type="pct"/>
            <w:shd w:val="clear" w:color="auto" w:fill="C6EFCE"/>
            <w:noWrap/>
          </w:tcPr>
          <w:p w14:paraId="678459D0" w14:textId="77777777" w:rsidR="00515398" w:rsidRDefault="006711E6">
            <w:pPr>
              <w:pStyle w:val="P68B1DB1-Normal9"/>
              <w:spacing w:after="0" w:line="240" w:lineRule="auto"/>
              <w:rPr>
                <w:rFonts w:eastAsia="Times New Roman" w:cs="Calibri"/>
                <w:noProof/>
                <w:szCs w:val="18"/>
              </w:rPr>
            </w:pPr>
            <w:r>
              <w:rPr>
                <w:noProof/>
              </w:rPr>
              <w:t>Cílová</w:t>
            </w:r>
          </w:p>
        </w:tc>
        <w:tc>
          <w:tcPr>
            <w:tcW w:w="410" w:type="pct"/>
            <w:shd w:val="clear" w:color="auto" w:fill="C6EFCE"/>
            <w:noWrap/>
          </w:tcPr>
          <w:p w14:paraId="5B765CB9" w14:textId="1C327C3C" w:rsidR="00515398" w:rsidRDefault="006711E6">
            <w:pPr>
              <w:pStyle w:val="P68B1DB1-Normal9"/>
              <w:spacing w:after="0" w:line="240" w:lineRule="auto"/>
              <w:rPr>
                <w:rFonts w:eastAsia="Times New Roman" w:cs="Calibri"/>
                <w:noProof/>
                <w:szCs w:val="18"/>
              </w:rPr>
            </w:pPr>
            <w:r>
              <w:rPr>
                <w:noProof/>
              </w:rPr>
              <w:t>PHC – plně renovovaná zdravotnická střediska</w:t>
            </w:r>
          </w:p>
        </w:tc>
        <w:tc>
          <w:tcPr>
            <w:tcW w:w="701" w:type="pct"/>
            <w:shd w:val="clear" w:color="auto" w:fill="C6EFCE"/>
            <w:noWrap/>
          </w:tcPr>
          <w:p w14:paraId="66D00F14" w14:textId="77777777" w:rsidR="00515398" w:rsidRDefault="00515398">
            <w:pPr>
              <w:spacing w:after="0" w:line="240" w:lineRule="auto"/>
              <w:rPr>
                <w:rFonts w:eastAsia="Times New Roman" w:cs="Calibri"/>
                <w:noProof/>
                <w:color w:val="006100"/>
                <w:sz w:val="18"/>
                <w:szCs w:val="18"/>
              </w:rPr>
            </w:pPr>
          </w:p>
        </w:tc>
        <w:tc>
          <w:tcPr>
            <w:tcW w:w="386" w:type="pct"/>
            <w:shd w:val="clear" w:color="auto" w:fill="C6EFCE"/>
            <w:noWrap/>
          </w:tcPr>
          <w:p w14:paraId="56DF655B" w14:textId="57D4CC2F" w:rsidR="00515398" w:rsidRDefault="006711E6">
            <w:pPr>
              <w:pStyle w:val="P68B1DB1-Normal9"/>
              <w:spacing w:after="0" w:line="240" w:lineRule="auto"/>
              <w:rPr>
                <w:rFonts w:eastAsia="Times New Roman" w:cs="Calibri"/>
                <w:noProof/>
                <w:szCs w:val="18"/>
              </w:rPr>
            </w:pPr>
            <w:r>
              <w:rPr>
                <w:noProof/>
              </w:rPr>
              <w:t xml:space="preserve">Počet zdravotních středisek (alespoň), kde je renovace </w:t>
            </w:r>
            <w:r>
              <w:rPr>
                <w:noProof/>
              </w:rPr>
              <w:t>infrastruktury plně dokončena a jsou v provozu</w:t>
            </w:r>
          </w:p>
        </w:tc>
        <w:tc>
          <w:tcPr>
            <w:tcW w:w="309" w:type="pct"/>
            <w:shd w:val="clear" w:color="auto" w:fill="C6EFCE"/>
            <w:noWrap/>
          </w:tcPr>
          <w:p w14:paraId="53402DE6" w14:textId="77777777" w:rsidR="00515398" w:rsidRDefault="006711E6">
            <w:pPr>
              <w:pStyle w:val="P68B1DB1-Normal9"/>
              <w:spacing w:after="0" w:line="240" w:lineRule="auto"/>
              <w:rPr>
                <w:rFonts w:eastAsia="Times New Roman" w:cs="Calibri"/>
                <w:noProof/>
                <w:szCs w:val="18"/>
              </w:rPr>
            </w:pPr>
            <w:r>
              <w:rPr>
                <w:noProof/>
              </w:rPr>
              <w:t>0</w:t>
            </w:r>
          </w:p>
        </w:tc>
        <w:tc>
          <w:tcPr>
            <w:tcW w:w="270" w:type="pct"/>
            <w:shd w:val="clear" w:color="auto" w:fill="C6EFCE"/>
            <w:noWrap/>
          </w:tcPr>
          <w:p w14:paraId="602DA23A" w14:textId="77777777" w:rsidR="00515398" w:rsidRDefault="006711E6">
            <w:pPr>
              <w:pStyle w:val="P68B1DB1-Normal9"/>
              <w:spacing w:after="0" w:line="240" w:lineRule="auto"/>
              <w:rPr>
                <w:rFonts w:eastAsia="Times New Roman" w:cs="Calibri"/>
                <w:noProof/>
                <w:szCs w:val="18"/>
              </w:rPr>
            </w:pPr>
            <w:r>
              <w:rPr>
                <w:noProof/>
              </w:rPr>
              <w:t>156</w:t>
            </w:r>
          </w:p>
        </w:tc>
        <w:tc>
          <w:tcPr>
            <w:tcW w:w="309" w:type="pct"/>
            <w:shd w:val="clear" w:color="auto" w:fill="C6EFCE"/>
            <w:noWrap/>
          </w:tcPr>
          <w:p w14:paraId="51B5647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232" w:type="pct"/>
            <w:shd w:val="clear" w:color="auto" w:fill="C6EFCE"/>
            <w:noWrap/>
          </w:tcPr>
          <w:p w14:paraId="36DBD118" w14:textId="77777777" w:rsidR="00515398" w:rsidRDefault="006711E6">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637D222E" w14:textId="00C5F567" w:rsidR="00515398" w:rsidRDefault="006711E6">
            <w:pPr>
              <w:pStyle w:val="P68B1DB1-Normal10"/>
              <w:spacing w:after="0" w:line="240" w:lineRule="auto"/>
              <w:rPr>
                <w:noProof/>
              </w:rPr>
            </w:pPr>
            <w:r>
              <w:rPr>
                <w:noProof/>
              </w:rPr>
              <w:t xml:space="preserve">Dokončení renovace infrastruktury s cílem zlepšit energetickou účinnost nejméně 156 zdravotnických středisek a nákup zdravotnického vybavení. </w:t>
            </w:r>
          </w:p>
          <w:p w14:paraId="2EC981BC" w14:textId="77777777" w:rsidR="00515398" w:rsidRDefault="00515398">
            <w:pPr>
              <w:spacing w:after="0" w:line="240" w:lineRule="auto"/>
              <w:rPr>
                <w:noProof/>
                <w:color w:val="006100"/>
                <w:sz w:val="18"/>
                <w:szCs w:val="18"/>
              </w:rPr>
            </w:pPr>
          </w:p>
          <w:p w14:paraId="72550C5C" w14:textId="579A622A" w:rsidR="00515398" w:rsidRDefault="006711E6">
            <w:pPr>
              <w:pStyle w:val="P68B1DB1-Normal10"/>
              <w:spacing w:after="0" w:line="240" w:lineRule="auto"/>
              <w:rPr>
                <w:noProof/>
              </w:rPr>
            </w:pPr>
            <w:r>
              <w:rPr>
                <w:noProof/>
              </w:rPr>
              <w:t>Vypracování</w:t>
            </w:r>
            <w:r>
              <w:rPr>
                <w:rFonts w:asciiTheme="minorHAnsi" w:eastAsiaTheme="minorEastAsia" w:hAnsiTheme="minorHAnsi" w:cstheme="minorBidi"/>
                <w:noProof/>
              </w:rPr>
              <w:t xml:space="preserve">plánu </w:t>
            </w:r>
            <w:r>
              <w:rPr>
                <w:noProof/>
              </w:rPr>
              <w:t xml:space="preserve"> </w:t>
            </w:r>
            <w:r>
              <w:rPr>
                <w:noProof/>
                <w:u w:val="single"/>
              </w:rPr>
              <w:t>reformy primární zdr</w:t>
            </w:r>
            <w:r>
              <w:rPr>
                <w:noProof/>
                <w:u w:val="single"/>
              </w:rPr>
              <w:t>avotní péče, pilotní provádění mechanismu předávání, odborná příprava zaměstnanců zaměřená na zlepšení kapacity pracovníků v oblasti veřejného zdraví, zavedení digitální platformy s cílem posílit využívání údajů pro informované rozhodování v oblasti PHC</w:t>
            </w:r>
            <w:r>
              <w:rPr>
                <w:noProof/>
              </w:rPr>
              <w:t xml:space="preserve"> </w:t>
            </w:r>
          </w:p>
          <w:p w14:paraId="5DBD669D" w14:textId="77777777" w:rsidR="00515398" w:rsidRDefault="00515398">
            <w:pPr>
              <w:spacing w:after="0" w:line="240" w:lineRule="auto"/>
              <w:rPr>
                <w:noProof/>
                <w:color w:val="006100"/>
                <w:sz w:val="18"/>
                <w:szCs w:val="18"/>
              </w:rPr>
            </w:pPr>
          </w:p>
          <w:p w14:paraId="08472365" w14:textId="3AF139B6" w:rsidR="00515398" w:rsidRDefault="006711E6">
            <w:pPr>
              <w:pStyle w:val="P68B1DB1-Normal10"/>
              <w:spacing w:after="0" w:line="240" w:lineRule="auto"/>
              <w:rPr>
                <w:noProof/>
              </w:rPr>
            </w:pPr>
            <w:r>
              <w:rPr>
                <w:noProof/>
              </w:rPr>
              <w:t xml:space="preserve">Dokončení rozšíření vzdělávání a odborné přípravy zdravotnických pracovníků pro 10000 pracovníků primární zdravotní péče, včetně odborné přípravy v oblasti nových technologií </w:t>
            </w:r>
          </w:p>
          <w:p w14:paraId="720887BE" w14:textId="77777777" w:rsidR="00515398" w:rsidRDefault="00515398">
            <w:pPr>
              <w:spacing w:after="0" w:line="240" w:lineRule="auto"/>
              <w:rPr>
                <w:noProof/>
                <w:color w:val="006100"/>
                <w:sz w:val="18"/>
                <w:szCs w:val="18"/>
              </w:rPr>
            </w:pPr>
          </w:p>
          <w:p w14:paraId="29F15179" w14:textId="586D3EA1" w:rsidR="00515398" w:rsidRDefault="006711E6">
            <w:pPr>
              <w:pStyle w:val="P68B1DB1-Normal10"/>
              <w:spacing w:after="0" w:line="240" w:lineRule="auto"/>
              <w:rPr>
                <w:rFonts w:eastAsia="Times New Roman" w:cs="Calibri"/>
                <w:noProof/>
              </w:rPr>
            </w:pPr>
            <w:r>
              <w:rPr>
                <w:noProof/>
              </w:rPr>
              <w:t>Vývoj jednotek pro zvládání chronických onemocnění v 312 zdravotnických středis</w:t>
            </w:r>
            <w:r>
              <w:rPr>
                <w:noProof/>
              </w:rPr>
              <w:t>cích a decentralizovaných jednotkách primární zdravotní péče, které jsou přidruženy k primárním zdravotnickým střediskům.</w:t>
            </w:r>
          </w:p>
        </w:tc>
      </w:tr>
      <w:tr w:rsidR="00515398" w14:paraId="381D13CC" w14:textId="77777777">
        <w:trPr>
          <w:trHeight w:val="313"/>
        </w:trPr>
        <w:tc>
          <w:tcPr>
            <w:tcW w:w="320" w:type="pct"/>
            <w:shd w:val="clear" w:color="auto" w:fill="C6EFCE"/>
            <w:noWrap/>
          </w:tcPr>
          <w:p w14:paraId="12E063B6" w14:textId="77777777" w:rsidR="00515398" w:rsidRDefault="006711E6">
            <w:pPr>
              <w:pStyle w:val="P68B1DB1-Normal9"/>
              <w:spacing w:after="0" w:line="240" w:lineRule="auto"/>
              <w:rPr>
                <w:rFonts w:eastAsia="Times New Roman" w:cs="Calibri"/>
                <w:noProof/>
                <w:szCs w:val="18"/>
              </w:rPr>
            </w:pPr>
            <w:r>
              <w:rPr>
                <w:noProof/>
              </w:rPr>
              <w:t>335</w:t>
            </w:r>
          </w:p>
        </w:tc>
        <w:tc>
          <w:tcPr>
            <w:tcW w:w="408" w:type="pct"/>
            <w:shd w:val="clear" w:color="auto" w:fill="C6EFCE"/>
            <w:noWrap/>
          </w:tcPr>
          <w:p w14:paraId="455DEB46" w14:textId="77777777" w:rsidR="00515398" w:rsidRDefault="006711E6">
            <w:pPr>
              <w:spacing w:after="0" w:line="240" w:lineRule="auto"/>
              <w:rPr>
                <w:rFonts w:eastAsia="Times New Roman" w:cs="Calibri"/>
                <w:noProof/>
                <w:color w:val="006100"/>
                <w:sz w:val="18"/>
                <w:szCs w:val="18"/>
              </w:rPr>
            </w:pPr>
            <w:r>
              <w:rPr>
                <w:noProof/>
                <w:color w:val="006100"/>
                <w:sz w:val="18"/>
              </w:rPr>
              <w:t>10–3.3. Zlepšení odolnosti, dostupnosti a udržitelnosti zdravotní péče – 16984_ Reforma osobních lékařů</w:t>
            </w:r>
          </w:p>
        </w:tc>
        <w:tc>
          <w:tcPr>
            <w:tcW w:w="322" w:type="pct"/>
            <w:shd w:val="clear" w:color="auto" w:fill="C6EFCE"/>
            <w:noWrap/>
          </w:tcPr>
          <w:p w14:paraId="3F17B213" w14:textId="77777777" w:rsidR="00515398" w:rsidRDefault="006711E6">
            <w:pPr>
              <w:pStyle w:val="P68B1DB1-Normal9"/>
              <w:spacing w:after="0" w:line="240" w:lineRule="auto"/>
              <w:rPr>
                <w:rFonts w:eastAsia="Times New Roman" w:cs="Calibri"/>
                <w:noProof/>
                <w:szCs w:val="18"/>
              </w:rPr>
            </w:pPr>
            <w:r>
              <w:rPr>
                <w:noProof/>
              </w:rPr>
              <w:t>Milník</w:t>
            </w:r>
          </w:p>
        </w:tc>
        <w:tc>
          <w:tcPr>
            <w:tcW w:w="410" w:type="pct"/>
            <w:shd w:val="clear" w:color="auto" w:fill="C6EFCE"/>
            <w:noWrap/>
          </w:tcPr>
          <w:p w14:paraId="0B174DFC" w14:textId="77777777" w:rsidR="00515398" w:rsidRDefault="006711E6">
            <w:pPr>
              <w:spacing w:after="0" w:line="240" w:lineRule="auto"/>
              <w:rPr>
                <w:rFonts w:eastAsia="Times New Roman" w:cs="Calibri"/>
                <w:noProof/>
                <w:color w:val="006100"/>
                <w:sz w:val="18"/>
                <w:szCs w:val="18"/>
              </w:rPr>
            </w:pPr>
            <w:r>
              <w:rPr>
                <w:noProof/>
                <w:color w:val="006100"/>
                <w:sz w:val="18"/>
              </w:rPr>
              <w:t xml:space="preserve">Reforma osobního </w:t>
            </w:r>
            <w:r>
              <w:rPr>
                <w:noProof/>
                <w:color w:val="006100"/>
                <w:sz w:val="18"/>
              </w:rPr>
              <w:t>lékaře – vstup právních předpisů v platnost</w:t>
            </w:r>
          </w:p>
        </w:tc>
        <w:tc>
          <w:tcPr>
            <w:tcW w:w="701" w:type="pct"/>
            <w:shd w:val="clear" w:color="auto" w:fill="C6EFCE"/>
            <w:noWrap/>
          </w:tcPr>
          <w:p w14:paraId="1817702D" w14:textId="533FD195" w:rsidR="00515398" w:rsidRDefault="006711E6">
            <w:pPr>
              <w:spacing w:after="0" w:line="240" w:lineRule="auto"/>
              <w:rPr>
                <w:rFonts w:eastAsia="Times New Roman" w:cs="Calibri"/>
                <w:noProof/>
                <w:color w:val="006100"/>
                <w:sz w:val="18"/>
                <w:szCs w:val="18"/>
              </w:rPr>
            </w:pPr>
            <w:r>
              <w:rPr>
                <w:noProof/>
                <w:color w:val="006100"/>
                <w:sz w:val="18"/>
                <w:szCs w:val="18"/>
              </w:rPr>
              <w:t>Vstup v platnost právních předpisů, které stanoví klíčové prvky registrace lékařů na venkově do osobního</w:t>
            </w:r>
            <w:r>
              <w:rPr>
                <w:rFonts w:ascii="Times New Roman" w:hAnsi="Times New Roman"/>
                <w:noProof/>
              </w:rPr>
              <w:t xml:space="preserve"> </w:t>
            </w:r>
            <w:r>
              <w:rPr>
                <w:noProof/>
                <w:color w:val="006100"/>
                <w:sz w:val="18"/>
                <w:szCs w:val="18"/>
              </w:rPr>
              <w:t xml:space="preserve">systému lékařů, vytvoření nových podobných pracovních míst v městských, příměstských a venkovských </w:t>
            </w:r>
            <w:r>
              <w:rPr>
                <w:noProof/>
                <w:color w:val="006100"/>
                <w:sz w:val="18"/>
                <w:szCs w:val="18"/>
              </w:rPr>
              <w:t>oblastech a pobídkový mechanismus</w:t>
            </w:r>
          </w:p>
        </w:tc>
        <w:tc>
          <w:tcPr>
            <w:tcW w:w="386" w:type="pct"/>
            <w:shd w:val="clear" w:color="auto" w:fill="C6EFCE"/>
            <w:noWrap/>
          </w:tcPr>
          <w:p w14:paraId="56372798"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1CF6C35E" w14:textId="77777777" w:rsidR="00515398" w:rsidRDefault="00515398">
            <w:pPr>
              <w:spacing w:after="0" w:line="240" w:lineRule="auto"/>
              <w:rPr>
                <w:rFonts w:eastAsia="Times New Roman" w:cs="Calibri"/>
                <w:noProof/>
                <w:color w:val="006100"/>
                <w:sz w:val="18"/>
                <w:szCs w:val="18"/>
              </w:rPr>
            </w:pPr>
          </w:p>
        </w:tc>
        <w:tc>
          <w:tcPr>
            <w:tcW w:w="270" w:type="pct"/>
            <w:shd w:val="clear" w:color="auto" w:fill="C6EFCE"/>
            <w:noWrap/>
          </w:tcPr>
          <w:p w14:paraId="41B1BC20"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5A8ADC55" w14:textId="77777777" w:rsidR="00515398" w:rsidRDefault="006711E6">
            <w:pPr>
              <w:pStyle w:val="P68B1DB1-Normal9"/>
              <w:spacing w:after="0" w:line="240" w:lineRule="auto"/>
              <w:rPr>
                <w:rFonts w:eastAsia="Times New Roman" w:cs="Calibri"/>
                <w:noProof/>
                <w:szCs w:val="18"/>
              </w:rPr>
            </w:pPr>
            <w:r>
              <w:rPr>
                <w:noProof/>
              </w:rPr>
              <w:t>ČTVRTLETÍ 1</w:t>
            </w:r>
          </w:p>
        </w:tc>
        <w:tc>
          <w:tcPr>
            <w:tcW w:w="232" w:type="pct"/>
            <w:shd w:val="clear" w:color="auto" w:fill="C6EFCE"/>
            <w:noWrap/>
          </w:tcPr>
          <w:p w14:paraId="1C339860" w14:textId="77777777" w:rsidR="00515398" w:rsidRDefault="006711E6">
            <w:pPr>
              <w:pStyle w:val="P68B1DB1-Normal9"/>
              <w:spacing w:after="0" w:line="240" w:lineRule="auto"/>
              <w:rPr>
                <w:rFonts w:eastAsia="Times New Roman" w:cs="Calibri"/>
                <w:noProof/>
                <w:szCs w:val="18"/>
              </w:rPr>
            </w:pPr>
            <w:r>
              <w:rPr>
                <w:noProof/>
              </w:rPr>
              <w:t>2024</w:t>
            </w:r>
          </w:p>
        </w:tc>
        <w:tc>
          <w:tcPr>
            <w:tcW w:w="1333" w:type="pct"/>
            <w:shd w:val="clear" w:color="auto" w:fill="C6EFCE"/>
            <w:noWrap/>
          </w:tcPr>
          <w:p w14:paraId="1E8D91BF" w14:textId="66B91D38" w:rsidR="00515398" w:rsidRDefault="006711E6">
            <w:pPr>
              <w:pStyle w:val="P68B1DB1-Normal10"/>
              <w:spacing w:before="120"/>
              <w:rPr>
                <w:rFonts w:eastAsia="Times New Roman" w:cs="Calibri"/>
                <w:noProof/>
              </w:rPr>
            </w:pPr>
            <w:r>
              <w:rPr>
                <w:noProof/>
              </w:rPr>
              <w:t>Vstoupí v platnost právní předpisy, které stanoví klíčové prvky zápisu lékařů na venkově do osobního systému lékařů, vytvoření nových podobných pracovních míst v městských, příměstských a venkovských ob</w:t>
            </w:r>
            <w:r>
              <w:rPr>
                <w:noProof/>
              </w:rPr>
              <w:t>lastech, kde stále chybí osobní lékaři, a mechanismu pobídek pro lékaře, aby se stali obyvateli všeobecné/rodinné nebo interní medicíny.</w:t>
            </w:r>
          </w:p>
        </w:tc>
      </w:tr>
      <w:tr w:rsidR="00515398" w14:paraId="06067782" w14:textId="77777777">
        <w:trPr>
          <w:trHeight w:val="313"/>
        </w:trPr>
        <w:tc>
          <w:tcPr>
            <w:tcW w:w="320" w:type="pct"/>
            <w:shd w:val="clear" w:color="auto" w:fill="C6EFCE"/>
            <w:noWrap/>
          </w:tcPr>
          <w:p w14:paraId="4E8D478F" w14:textId="77777777" w:rsidR="00515398" w:rsidRDefault="006711E6">
            <w:pPr>
              <w:pStyle w:val="P68B1DB1-Normal9"/>
              <w:spacing w:after="0" w:line="240" w:lineRule="auto"/>
              <w:rPr>
                <w:rFonts w:eastAsia="Times New Roman" w:cs="Calibri"/>
                <w:noProof/>
                <w:szCs w:val="18"/>
              </w:rPr>
            </w:pPr>
            <w:r>
              <w:rPr>
                <w:noProof/>
              </w:rPr>
              <w:t>336</w:t>
            </w:r>
          </w:p>
        </w:tc>
        <w:tc>
          <w:tcPr>
            <w:tcW w:w="408" w:type="pct"/>
            <w:shd w:val="clear" w:color="auto" w:fill="C6EFCE"/>
            <w:noWrap/>
          </w:tcPr>
          <w:p w14:paraId="1CFF199C" w14:textId="77777777" w:rsidR="00515398" w:rsidRDefault="006711E6">
            <w:pPr>
              <w:spacing w:after="0" w:line="240" w:lineRule="auto"/>
              <w:rPr>
                <w:rFonts w:eastAsia="Times New Roman" w:cs="Calibri"/>
                <w:noProof/>
                <w:color w:val="006100"/>
                <w:sz w:val="18"/>
                <w:szCs w:val="18"/>
              </w:rPr>
            </w:pPr>
            <w:r>
              <w:rPr>
                <w:noProof/>
                <w:color w:val="006100"/>
                <w:sz w:val="18"/>
              </w:rPr>
              <w:t>10–3.3. Zlepšení odolnosti, dostupnosti a udržitelnosti zdravotní péče – 16984_ Reforma osobních lékařů</w:t>
            </w:r>
          </w:p>
        </w:tc>
        <w:tc>
          <w:tcPr>
            <w:tcW w:w="322" w:type="pct"/>
            <w:shd w:val="clear" w:color="auto" w:fill="C6EFCE"/>
            <w:noWrap/>
          </w:tcPr>
          <w:p w14:paraId="0186354A" w14:textId="77777777" w:rsidR="00515398" w:rsidRDefault="006711E6">
            <w:pPr>
              <w:pStyle w:val="P68B1DB1-Normal9"/>
              <w:spacing w:after="0" w:line="240" w:lineRule="auto"/>
              <w:rPr>
                <w:rFonts w:eastAsia="Times New Roman" w:cs="Calibri"/>
                <w:noProof/>
                <w:szCs w:val="18"/>
              </w:rPr>
            </w:pPr>
            <w:r>
              <w:rPr>
                <w:noProof/>
              </w:rPr>
              <w:t>Milník</w:t>
            </w:r>
          </w:p>
        </w:tc>
        <w:tc>
          <w:tcPr>
            <w:tcW w:w="410" w:type="pct"/>
            <w:shd w:val="clear" w:color="auto" w:fill="C6EFCE"/>
            <w:noWrap/>
          </w:tcPr>
          <w:p w14:paraId="14B71387" w14:textId="77777777" w:rsidR="00515398" w:rsidRDefault="006711E6">
            <w:pPr>
              <w:spacing w:after="0" w:line="240" w:lineRule="auto"/>
              <w:rPr>
                <w:rFonts w:eastAsia="Times New Roman" w:cs="Calibri"/>
                <w:noProof/>
                <w:color w:val="006100"/>
                <w:sz w:val="18"/>
                <w:szCs w:val="18"/>
              </w:rPr>
            </w:pPr>
            <w:r>
              <w:rPr>
                <w:noProof/>
                <w:color w:val="006100"/>
                <w:sz w:val="18"/>
              </w:rPr>
              <w:t xml:space="preserve">Reforma osobního lékaře – registrace obyvatelstva </w:t>
            </w:r>
          </w:p>
        </w:tc>
        <w:tc>
          <w:tcPr>
            <w:tcW w:w="701" w:type="pct"/>
            <w:shd w:val="clear" w:color="auto" w:fill="C6EFCE"/>
            <w:noWrap/>
          </w:tcPr>
          <w:p w14:paraId="4E74EBFF" w14:textId="77777777" w:rsidR="00515398" w:rsidRDefault="006711E6">
            <w:pPr>
              <w:pStyle w:val="P68B1DB1-Normal9"/>
              <w:spacing w:after="0" w:line="240" w:lineRule="auto"/>
              <w:rPr>
                <w:rFonts w:eastAsia="Times New Roman" w:cs="Calibri"/>
                <w:noProof/>
                <w:szCs w:val="18"/>
              </w:rPr>
            </w:pPr>
            <w:r>
              <w:rPr>
                <w:noProof/>
              </w:rPr>
              <w:t>100 % registrace populace a aktivace udržování brány</w:t>
            </w:r>
          </w:p>
        </w:tc>
        <w:tc>
          <w:tcPr>
            <w:tcW w:w="386" w:type="pct"/>
            <w:shd w:val="clear" w:color="auto" w:fill="C6EFCE"/>
            <w:noWrap/>
          </w:tcPr>
          <w:p w14:paraId="768E85B0"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54ABB69C" w14:textId="77777777" w:rsidR="00515398" w:rsidRDefault="00515398">
            <w:pPr>
              <w:spacing w:after="0" w:line="240" w:lineRule="auto"/>
              <w:rPr>
                <w:rFonts w:eastAsia="Times New Roman" w:cs="Calibri"/>
                <w:noProof/>
                <w:color w:val="006100"/>
                <w:sz w:val="18"/>
                <w:szCs w:val="18"/>
              </w:rPr>
            </w:pPr>
          </w:p>
        </w:tc>
        <w:tc>
          <w:tcPr>
            <w:tcW w:w="270" w:type="pct"/>
            <w:shd w:val="clear" w:color="auto" w:fill="C6EFCE"/>
            <w:noWrap/>
          </w:tcPr>
          <w:p w14:paraId="5A895A4F" w14:textId="77777777" w:rsidR="00515398" w:rsidRDefault="00515398">
            <w:pPr>
              <w:spacing w:after="0" w:line="240" w:lineRule="auto"/>
              <w:rPr>
                <w:rFonts w:eastAsia="Times New Roman" w:cs="Calibri"/>
                <w:noProof/>
                <w:color w:val="006100"/>
                <w:sz w:val="18"/>
                <w:szCs w:val="18"/>
              </w:rPr>
            </w:pPr>
          </w:p>
        </w:tc>
        <w:tc>
          <w:tcPr>
            <w:tcW w:w="309" w:type="pct"/>
            <w:shd w:val="clear" w:color="auto" w:fill="C6EFCE"/>
            <w:noWrap/>
          </w:tcPr>
          <w:p w14:paraId="625A6828" w14:textId="77777777" w:rsidR="00515398" w:rsidRDefault="006711E6">
            <w:pPr>
              <w:pStyle w:val="P68B1DB1-Normal9"/>
              <w:spacing w:after="0" w:line="240" w:lineRule="auto"/>
              <w:rPr>
                <w:rFonts w:eastAsia="Times New Roman" w:cs="Calibri"/>
                <w:noProof/>
                <w:szCs w:val="18"/>
              </w:rPr>
            </w:pPr>
            <w:r>
              <w:rPr>
                <w:noProof/>
              </w:rPr>
              <w:t>ČTVRTLETÍ</w:t>
            </w:r>
          </w:p>
        </w:tc>
        <w:tc>
          <w:tcPr>
            <w:tcW w:w="232" w:type="pct"/>
            <w:shd w:val="clear" w:color="auto" w:fill="C6EFCE"/>
            <w:noWrap/>
          </w:tcPr>
          <w:p w14:paraId="415AB01B" w14:textId="77777777" w:rsidR="00515398" w:rsidRDefault="006711E6">
            <w:pPr>
              <w:pStyle w:val="P68B1DB1-Normal9"/>
              <w:spacing w:after="0" w:line="240" w:lineRule="auto"/>
              <w:rPr>
                <w:rFonts w:eastAsia="Times New Roman" w:cs="Calibri"/>
                <w:noProof/>
                <w:szCs w:val="18"/>
              </w:rPr>
            </w:pPr>
            <w:r>
              <w:rPr>
                <w:noProof/>
              </w:rPr>
              <w:t>2025</w:t>
            </w:r>
          </w:p>
        </w:tc>
        <w:tc>
          <w:tcPr>
            <w:tcW w:w="1333" w:type="pct"/>
            <w:shd w:val="clear" w:color="auto" w:fill="C6EFCE"/>
            <w:noWrap/>
          </w:tcPr>
          <w:p w14:paraId="4F22D306" w14:textId="66A2DAF6" w:rsidR="00515398" w:rsidRDefault="006711E6">
            <w:pPr>
              <w:spacing w:after="0" w:line="240" w:lineRule="auto"/>
              <w:rPr>
                <w:rFonts w:eastAsia="Times New Roman" w:cs="Calibri"/>
                <w:noProof/>
                <w:color w:val="006100"/>
                <w:sz w:val="18"/>
                <w:szCs w:val="18"/>
              </w:rPr>
            </w:pPr>
            <w:r>
              <w:rPr>
                <w:noProof/>
                <w:color w:val="006100"/>
                <w:sz w:val="18"/>
                <w:szCs w:val="18"/>
              </w:rPr>
              <w:t>Všichni způsobilí občané jsou registrováni u osobního</w:t>
            </w:r>
            <w:r>
              <w:rPr>
                <w:rFonts w:ascii="Times New Roman" w:hAnsi="Times New Roman"/>
                <w:noProof/>
              </w:rPr>
              <w:t xml:space="preserve"> </w:t>
            </w:r>
            <w:r>
              <w:rPr>
                <w:noProof/>
                <w:color w:val="006100"/>
                <w:sz w:val="18"/>
                <w:szCs w:val="18"/>
              </w:rPr>
              <w:t>lékaře. Systém založený na bránách se aktivuje, jak je popsáno v ministerském ro</w:t>
            </w:r>
            <w:r>
              <w:rPr>
                <w:noProof/>
                <w:color w:val="006100"/>
                <w:sz w:val="18"/>
                <w:szCs w:val="18"/>
              </w:rPr>
              <w:t>zhodnutí č. 64513 (GG B 6974/19–12–2024), přičemž osobní</w:t>
            </w:r>
            <w:r>
              <w:rPr>
                <w:rFonts w:ascii="Times New Roman" w:hAnsi="Times New Roman"/>
                <w:noProof/>
              </w:rPr>
              <w:t xml:space="preserve"> </w:t>
            </w:r>
            <w:r>
              <w:rPr>
                <w:noProof/>
                <w:color w:val="006100"/>
                <w:sz w:val="18"/>
                <w:szCs w:val="18"/>
              </w:rPr>
              <w:t>lékaři slouží jako počáteční kontaktní místo a hlavní koordinátor péče o pacienta a povolují pacientovi přístup ke specializované péči ve veřejných strukturách sekundární a terciární zdravotní péče s</w:t>
            </w:r>
            <w:r>
              <w:rPr>
                <w:noProof/>
                <w:color w:val="006100"/>
                <w:sz w:val="18"/>
                <w:szCs w:val="18"/>
              </w:rPr>
              <w:t xml:space="preserve"> výjimkou naléhavých případů, kdy se použije příslušný postup třídění pacientů.</w:t>
            </w:r>
          </w:p>
        </w:tc>
      </w:tr>
    </w:tbl>
    <w:p w14:paraId="41236009" w14:textId="77777777" w:rsidR="00515398" w:rsidRDefault="006711E6">
      <w:pPr>
        <w:pStyle w:val="P68B1DB1-Normal6"/>
        <w:keepNext/>
        <w:keepLines/>
        <w:spacing w:before="40" w:after="0" w:line="240" w:lineRule="auto"/>
        <w:jc w:val="both"/>
        <w:outlineLvl w:val="4"/>
        <w:rPr>
          <w:noProof/>
          <w:color w:val="365F91" w:themeColor="accent1" w:themeShade="BF"/>
        </w:rPr>
      </w:pPr>
      <w:r>
        <w:rPr>
          <w:noProof/>
        </w:rPr>
        <w:br/>
      </w:r>
    </w:p>
    <w:p w14:paraId="052820C0" w14:textId="77777777" w:rsidR="00515398" w:rsidRDefault="006711E6">
      <w:pPr>
        <w:pStyle w:val="P68B1DB1-Normal6"/>
        <w:keepNext/>
        <w:keepLines/>
        <w:spacing w:before="40" w:after="0" w:line="240" w:lineRule="auto"/>
        <w:jc w:val="both"/>
        <w:outlineLvl w:val="4"/>
        <w:rPr>
          <w:rFonts w:eastAsia="Times New Roman"/>
          <w:noProof/>
          <w:szCs w:val="24"/>
        </w:rPr>
      </w:pPr>
      <w:r>
        <w:rPr>
          <w:noProof/>
        </w:rPr>
        <w:t xml:space="preserve">Skupina 14:  Opatření v oblasti infrastruktury a digitalizace za účelem modernizace a modernizace systému zdravotní péče </w:t>
      </w:r>
    </w:p>
    <w:p w14:paraId="6F7D134E" w14:textId="77777777" w:rsidR="00515398" w:rsidRDefault="006711E6">
      <w:pPr>
        <w:pStyle w:val="P68B1DB1-Normal4"/>
        <w:numPr>
          <w:ilvl w:val="0"/>
          <w:numId w:val="39"/>
        </w:numPr>
        <w:spacing w:before="120" w:after="0" w:line="240" w:lineRule="auto"/>
        <w:jc w:val="both"/>
        <w:rPr>
          <w:rFonts w:cs="Times New Roman"/>
          <w:noProof/>
        </w:rPr>
      </w:pPr>
      <w:r>
        <w:rPr>
          <w:noProof/>
        </w:rPr>
        <w:t>Digitální transformace zdravotnictví (ID: 16752)</w:t>
      </w:r>
    </w:p>
    <w:p w14:paraId="2C5A81F6" w14:textId="10B7059B" w:rsidR="00515398" w:rsidRDefault="006711E6">
      <w:pPr>
        <w:pStyle w:val="P68B1DB1-Normal4"/>
        <w:numPr>
          <w:ilvl w:val="0"/>
          <w:numId w:val="39"/>
        </w:numPr>
        <w:spacing w:before="120" w:after="0" w:line="240" w:lineRule="auto"/>
        <w:jc w:val="both"/>
        <w:rPr>
          <w:rFonts w:cs="Times New Roman"/>
          <w:noProof/>
        </w:rPr>
      </w:pPr>
      <w:r>
        <w:rPr>
          <w:noProof/>
          <w:szCs w:val="24"/>
        </w:rPr>
        <w:t>Zdravotnická infrastruktura</w:t>
      </w:r>
      <w:r>
        <w:rPr>
          <w:noProof/>
        </w:rPr>
        <w:t xml:space="preserve"> (ID: 16795)</w:t>
      </w:r>
    </w:p>
    <w:p w14:paraId="27388021" w14:textId="77777777" w:rsidR="00515398" w:rsidRDefault="006711E6">
      <w:pPr>
        <w:pStyle w:val="P68B1DB1-Normal4"/>
        <w:numPr>
          <w:ilvl w:val="0"/>
          <w:numId w:val="39"/>
        </w:numPr>
        <w:spacing w:before="120" w:after="0" w:line="240" w:lineRule="auto"/>
        <w:jc w:val="both"/>
        <w:rPr>
          <w:rFonts w:cs="Times New Roman"/>
          <w:noProof/>
        </w:rPr>
      </w:pPr>
      <w:r>
        <w:rPr>
          <w:noProof/>
        </w:rPr>
        <w:t>Zřízení střediska pro radioterapii v Aténách „Sotiria“ Thoracic Diseases Hospital (ID: 16757)</w:t>
      </w:r>
    </w:p>
    <w:p w14:paraId="3D982996" w14:textId="77777777" w:rsidR="00515398" w:rsidRDefault="006711E6">
      <w:pPr>
        <w:pStyle w:val="P68B1DB1-Normal4"/>
        <w:numPr>
          <w:ilvl w:val="0"/>
          <w:numId w:val="39"/>
        </w:numPr>
        <w:spacing w:before="120" w:after="0" w:line="240" w:lineRule="auto"/>
        <w:jc w:val="both"/>
        <w:rPr>
          <w:rFonts w:cs="Times New Roman"/>
          <w:noProof/>
        </w:rPr>
      </w:pPr>
      <w:r>
        <w:rPr>
          <w:noProof/>
        </w:rPr>
        <w:t>Projekt výstavby budovy věnované klinickým laboratořím Cellular &amp; Gene Therapies Hematology v rámci všeobecné nemocnice So</w:t>
      </w:r>
      <w:r>
        <w:rPr>
          <w:noProof/>
        </w:rPr>
        <w:t>luň „Papanikolaou“ (ID: 16793)</w:t>
      </w:r>
    </w:p>
    <w:p w14:paraId="118030CB" w14:textId="77777777" w:rsidR="00515398" w:rsidRDefault="006711E6">
      <w:pPr>
        <w:pStyle w:val="P68B1DB1-Normal4"/>
        <w:numPr>
          <w:ilvl w:val="0"/>
          <w:numId w:val="39"/>
        </w:numPr>
        <w:spacing w:before="120" w:after="120" w:line="240" w:lineRule="auto"/>
        <w:jc w:val="both"/>
        <w:rPr>
          <w:rFonts w:cs="Times New Roman"/>
          <w:noProof/>
        </w:rPr>
      </w:pPr>
      <w:r>
        <w:rPr>
          <w:noProof/>
        </w:rPr>
        <w:t>Zřízení systémů domácí zdravotní péče a nemocnice (ID: 16753)</w:t>
      </w:r>
    </w:p>
    <w:tbl>
      <w:tblPr>
        <w:tblW w:w="15893" w:type="dxa"/>
        <w:jc w:val="center"/>
        <w:tblLayout w:type="fixed"/>
        <w:tblLook w:val="04A0" w:firstRow="1" w:lastRow="0" w:firstColumn="1" w:lastColumn="0" w:noHBand="0" w:noVBand="1"/>
      </w:tblPr>
      <w:tblGrid>
        <w:gridCol w:w="1028"/>
        <w:gridCol w:w="1797"/>
        <w:gridCol w:w="1424"/>
        <w:gridCol w:w="1419"/>
        <w:gridCol w:w="1553"/>
        <w:gridCol w:w="866"/>
        <w:gridCol w:w="857"/>
        <w:gridCol w:w="659"/>
        <w:gridCol w:w="850"/>
        <w:gridCol w:w="709"/>
        <w:gridCol w:w="4731"/>
      </w:tblGrid>
      <w:tr w:rsidR="00515398" w14:paraId="425F7D23" w14:textId="77777777">
        <w:trPr>
          <w:trHeight w:val="853"/>
          <w:tblHeader/>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DC924A"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E52A14"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8C0B39"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9747E5"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AE1340"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3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9257024"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3C4BF284"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7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A378D6"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67D25494" w14:textId="77777777">
        <w:trPr>
          <w:trHeight w:val="626"/>
          <w:tblHeade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645087EC" w14:textId="77777777" w:rsidR="00515398" w:rsidRDefault="00515398">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007B4B45" w14:textId="77777777" w:rsidR="00515398" w:rsidRDefault="00515398">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5034413" w14:textId="77777777" w:rsidR="00515398" w:rsidRDefault="00515398">
            <w:pPr>
              <w:spacing w:after="0" w:line="240" w:lineRule="auto"/>
              <w:rPr>
                <w:rFonts w:ascii="Times New Roman" w:eastAsia="Times New Roman" w:hAnsi="Times New Roman" w:cs="Times New Roman"/>
                <w:b/>
                <w:bCs/>
                <w:noProof/>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57549C" w14:textId="77777777" w:rsidR="00515398" w:rsidRDefault="00515398">
            <w:pPr>
              <w:spacing w:after="0" w:line="240" w:lineRule="auto"/>
              <w:rPr>
                <w:rFonts w:ascii="Times New Roman" w:eastAsia="Times New Roman" w:hAnsi="Times New Roman" w:cs="Times New Roman"/>
                <w:b/>
                <w:bCs/>
                <w:noProof/>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655C37E" w14:textId="77777777" w:rsidR="00515398" w:rsidRDefault="00515398">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339A0A1"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54D3EA86"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659" w:type="dxa"/>
            <w:tcBorders>
              <w:top w:val="nil"/>
              <w:left w:val="nil"/>
              <w:bottom w:val="single" w:sz="4" w:space="0" w:color="auto"/>
              <w:right w:val="single" w:sz="4" w:space="0" w:color="auto"/>
            </w:tcBorders>
            <w:shd w:val="clear" w:color="auto" w:fill="BDD7EE"/>
            <w:vAlign w:val="center"/>
            <w:hideMark/>
          </w:tcPr>
          <w:p w14:paraId="60D8ECB3"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0" w:type="dxa"/>
            <w:tcBorders>
              <w:top w:val="nil"/>
              <w:left w:val="nil"/>
              <w:bottom w:val="single" w:sz="4" w:space="0" w:color="auto"/>
              <w:right w:val="single" w:sz="4" w:space="0" w:color="auto"/>
            </w:tcBorders>
            <w:shd w:val="clear" w:color="auto" w:fill="BDD7EE"/>
            <w:vAlign w:val="center"/>
            <w:hideMark/>
          </w:tcPr>
          <w:p w14:paraId="7CFD6D95"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9" w:type="dxa"/>
            <w:tcBorders>
              <w:top w:val="nil"/>
              <w:left w:val="nil"/>
              <w:bottom w:val="single" w:sz="4" w:space="0" w:color="auto"/>
              <w:right w:val="single" w:sz="4" w:space="0" w:color="auto"/>
            </w:tcBorders>
            <w:shd w:val="clear" w:color="auto" w:fill="BDD7EE"/>
            <w:vAlign w:val="center"/>
            <w:hideMark/>
          </w:tcPr>
          <w:p w14:paraId="2161F62D"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731" w:type="dxa"/>
            <w:vMerge/>
            <w:tcBorders>
              <w:top w:val="single" w:sz="4" w:space="0" w:color="auto"/>
              <w:bottom w:val="single" w:sz="4" w:space="0" w:color="auto"/>
              <w:right w:val="single" w:sz="4" w:space="0" w:color="auto"/>
            </w:tcBorders>
            <w:vAlign w:val="center"/>
            <w:hideMark/>
          </w:tcPr>
          <w:p w14:paraId="462DD85D"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C0F9D7B"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0B03A815" w14:textId="77777777" w:rsidR="00515398" w:rsidRDefault="006711E6">
            <w:pPr>
              <w:pStyle w:val="P68B1DB1-Normal9"/>
              <w:spacing w:after="0" w:line="240" w:lineRule="auto"/>
              <w:rPr>
                <w:rFonts w:eastAsia="Times New Roman" w:cs="Calibri"/>
                <w:noProof/>
                <w:szCs w:val="18"/>
              </w:rPr>
            </w:pPr>
            <w:r>
              <w:rPr>
                <w:noProof/>
              </w:rPr>
              <w:t>167</w:t>
            </w:r>
          </w:p>
          <w:p w14:paraId="2653D9D7" w14:textId="77777777" w:rsidR="00515398" w:rsidRDefault="00515398">
            <w:pPr>
              <w:spacing w:after="0" w:line="240" w:lineRule="auto"/>
              <w:rPr>
                <w:rFonts w:eastAsia="Times New Roman" w:cs="Calibri"/>
                <w:noProof/>
                <w:color w:val="006100"/>
                <w:sz w:val="18"/>
                <w:szCs w:val="18"/>
              </w:rPr>
            </w:pPr>
          </w:p>
        </w:tc>
        <w:tc>
          <w:tcPr>
            <w:tcW w:w="1797" w:type="dxa"/>
            <w:tcBorders>
              <w:top w:val="single" w:sz="4" w:space="0" w:color="auto"/>
              <w:left w:val="nil"/>
              <w:bottom w:val="single" w:sz="4" w:space="0" w:color="auto"/>
              <w:right w:val="single" w:sz="4" w:space="0" w:color="auto"/>
            </w:tcBorders>
            <w:shd w:val="clear" w:color="auto" w:fill="C6EFCE"/>
            <w:noWrap/>
          </w:tcPr>
          <w:p w14:paraId="79D8C706"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16752_Digitální transformace zdraví (DigHealth)</w:t>
            </w:r>
          </w:p>
        </w:tc>
        <w:tc>
          <w:tcPr>
            <w:tcW w:w="1424" w:type="dxa"/>
            <w:tcBorders>
              <w:top w:val="single" w:sz="4" w:space="0" w:color="auto"/>
              <w:left w:val="nil"/>
              <w:bottom w:val="single" w:sz="4" w:space="0" w:color="auto"/>
              <w:right w:val="single" w:sz="4" w:space="0" w:color="auto"/>
            </w:tcBorders>
            <w:shd w:val="clear" w:color="auto" w:fill="C6EFCE"/>
            <w:noWrap/>
          </w:tcPr>
          <w:p w14:paraId="0C581AAF" w14:textId="77777777" w:rsidR="00515398" w:rsidRDefault="006711E6">
            <w:pPr>
              <w:pStyle w:val="P68B1DB1-Normal9"/>
              <w:spacing w:after="0" w:line="240" w:lineRule="auto"/>
              <w:rPr>
                <w:rFonts w:eastAsia="Times New Roman" w:cs="Calibri"/>
                <w:noProof/>
                <w:szCs w:val="18"/>
              </w:rPr>
            </w:pPr>
            <w:r>
              <w:rPr>
                <w:noProof/>
              </w:rPr>
              <w:t>Milník</w:t>
            </w:r>
          </w:p>
        </w:tc>
        <w:tc>
          <w:tcPr>
            <w:tcW w:w="1419" w:type="dxa"/>
            <w:tcBorders>
              <w:top w:val="single" w:sz="4" w:space="0" w:color="auto"/>
              <w:left w:val="nil"/>
              <w:bottom w:val="single" w:sz="4" w:space="0" w:color="auto"/>
              <w:right w:val="single" w:sz="4" w:space="0" w:color="auto"/>
            </w:tcBorders>
            <w:shd w:val="clear" w:color="auto" w:fill="C6EFCE"/>
            <w:noWrap/>
          </w:tcPr>
          <w:p w14:paraId="2B045576" w14:textId="77777777" w:rsidR="00515398" w:rsidRDefault="006711E6">
            <w:pPr>
              <w:pStyle w:val="P68B1DB1-Normal9"/>
              <w:spacing w:after="0" w:line="240" w:lineRule="auto"/>
              <w:rPr>
                <w:rFonts w:eastAsia="Times New Roman" w:cs="Calibri"/>
                <w:noProof/>
                <w:szCs w:val="18"/>
              </w:rPr>
            </w:pPr>
            <w:r>
              <w:rPr>
                <w:noProof/>
              </w:rPr>
              <w:t>Digitální transformace v oblasti zdravotní péče – vnitrostátní digitální zdravotní záznamy (dílčí projekt 1)</w:t>
            </w:r>
          </w:p>
        </w:tc>
        <w:tc>
          <w:tcPr>
            <w:tcW w:w="1553" w:type="dxa"/>
            <w:tcBorders>
              <w:top w:val="single" w:sz="4" w:space="0" w:color="auto"/>
              <w:left w:val="nil"/>
              <w:bottom w:val="single" w:sz="4" w:space="0" w:color="auto"/>
              <w:right w:val="single" w:sz="4" w:space="0" w:color="auto"/>
            </w:tcBorders>
            <w:shd w:val="clear" w:color="auto" w:fill="C6EFCE"/>
            <w:noWrap/>
          </w:tcPr>
          <w:p w14:paraId="604F57F2" w14:textId="77777777" w:rsidR="00515398" w:rsidRDefault="006711E6">
            <w:pPr>
              <w:pStyle w:val="P68B1DB1-Normal9"/>
              <w:spacing w:after="0" w:line="240" w:lineRule="auto"/>
              <w:rPr>
                <w:rFonts w:eastAsia="Times New Roman" w:cs="Calibri"/>
                <w:noProof/>
                <w:szCs w:val="18"/>
              </w:rPr>
            </w:pPr>
            <w:r>
              <w:rPr>
                <w:noProof/>
              </w:rPr>
              <w:t>Zpráva o dokončení všech hlavních prvků dílčího projektu 1 (digitální zdravotní záznamy – viz popis)</w:t>
            </w:r>
          </w:p>
        </w:tc>
        <w:tc>
          <w:tcPr>
            <w:tcW w:w="866" w:type="dxa"/>
            <w:tcBorders>
              <w:top w:val="single" w:sz="4" w:space="0" w:color="auto"/>
              <w:left w:val="nil"/>
              <w:bottom w:val="single" w:sz="4" w:space="0" w:color="auto"/>
              <w:right w:val="single" w:sz="4" w:space="0" w:color="auto"/>
            </w:tcBorders>
            <w:shd w:val="clear" w:color="auto" w:fill="C6EFCE"/>
            <w:noWrap/>
          </w:tcPr>
          <w:p w14:paraId="5EEDD513"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51424E6" w14:textId="77777777" w:rsidR="00515398" w:rsidRDefault="00515398">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50D87414"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1AEA0C05" w14:textId="77777777" w:rsidR="00515398" w:rsidRDefault="006711E6">
            <w:pPr>
              <w:pStyle w:val="P68B1DB1-Normal9"/>
              <w:spacing w:after="0" w:line="240" w:lineRule="auto"/>
              <w:rPr>
                <w:rFonts w:eastAsia="Times New Roman" w:cs="Calibri"/>
                <w:noProof/>
                <w:szCs w:val="18"/>
              </w:rPr>
            </w:pPr>
            <w:r>
              <w:rPr>
                <w:noProof/>
              </w:rPr>
              <w:t>ČTVRTLETÍ</w:t>
            </w:r>
          </w:p>
        </w:tc>
        <w:tc>
          <w:tcPr>
            <w:tcW w:w="709" w:type="dxa"/>
            <w:tcBorders>
              <w:top w:val="nil"/>
              <w:left w:val="nil"/>
              <w:bottom w:val="single" w:sz="4" w:space="0" w:color="auto"/>
              <w:right w:val="single" w:sz="4" w:space="0" w:color="auto"/>
            </w:tcBorders>
            <w:shd w:val="clear" w:color="auto" w:fill="C6EFCE"/>
            <w:noWrap/>
          </w:tcPr>
          <w:p w14:paraId="1FDBCCBF" w14:textId="77777777" w:rsidR="00515398" w:rsidRDefault="006711E6">
            <w:pPr>
              <w:pStyle w:val="P68B1DB1-Normal9"/>
              <w:spacing w:after="0" w:line="240" w:lineRule="auto"/>
              <w:rPr>
                <w:rFonts w:eastAsia="Times New Roman" w:cs="Calibri"/>
                <w:noProof/>
                <w:szCs w:val="18"/>
              </w:rPr>
            </w:pPr>
            <w:r>
              <w:rPr>
                <w:noProof/>
              </w:rPr>
              <w:t>2024</w:t>
            </w:r>
          </w:p>
        </w:tc>
        <w:tc>
          <w:tcPr>
            <w:tcW w:w="4731" w:type="dxa"/>
            <w:tcBorders>
              <w:top w:val="single" w:sz="4" w:space="0" w:color="auto"/>
              <w:left w:val="nil"/>
              <w:bottom w:val="single" w:sz="4" w:space="0" w:color="auto"/>
              <w:right w:val="single" w:sz="4" w:space="0" w:color="auto"/>
            </w:tcBorders>
            <w:shd w:val="clear" w:color="auto" w:fill="C6EFCE"/>
            <w:noWrap/>
          </w:tcPr>
          <w:p w14:paraId="4E4A8651" w14:textId="66BBDED1" w:rsidR="00515398" w:rsidRDefault="006711E6">
            <w:pPr>
              <w:pStyle w:val="P68B1DB1-Normal10"/>
              <w:spacing w:after="0" w:line="240" w:lineRule="auto"/>
              <w:rPr>
                <w:rFonts w:eastAsia="Times New Roman" w:cs="Calibri"/>
                <w:noProof/>
              </w:rPr>
            </w:pPr>
            <w:r>
              <w:rPr>
                <w:rFonts w:asciiTheme="minorHAnsi" w:eastAsiaTheme="minorEastAsia" w:hAnsiTheme="minorHAnsi" w:cstheme="minorBidi"/>
                <w:noProof/>
              </w:rPr>
              <w:t>Dokončení a uvedení do provo</w:t>
            </w:r>
            <w:r>
              <w:rPr>
                <w:rFonts w:asciiTheme="minorHAnsi" w:eastAsiaTheme="minorEastAsia" w:hAnsiTheme="minorHAnsi" w:cstheme="minorBidi"/>
                <w:noProof/>
              </w:rPr>
              <w:t xml:space="preserve">zu </w:t>
            </w:r>
            <w:r>
              <w:rPr>
                <w:noProof/>
              </w:rPr>
              <w:t>alespoň všech následujících prvků dílčího projektu 1 podporujících digitální transformaci systému zdravotní péče, aby vnitrostátní digitální zdravotní záznamy fungovaly: 1) klinické dokumenty, 2) terminologické služby, 3) vnitrostátní rámec interoperabi</w:t>
            </w:r>
            <w:r>
              <w:rPr>
                <w:noProof/>
              </w:rPr>
              <w:t>lity elektronického zdravotnictví, 4) shromažďování všech laboratorních výsledků do elektronické zdravotní dokumentace, 5) sběr dopisů o udělení absolutoria.</w:t>
            </w:r>
          </w:p>
        </w:tc>
      </w:tr>
      <w:tr w:rsidR="00515398" w14:paraId="7FD0DEB5" w14:textId="77777777">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1E19392C" w14:textId="77777777" w:rsidR="00515398" w:rsidRDefault="006711E6">
            <w:pPr>
              <w:pStyle w:val="P68B1DB1-Normal9"/>
              <w:spacing w:after="0" w:line="240" w:lineRule="auto"/>
              <w:rPr>
                <w:rFonts w:eastAsia="Times New Roman" w:cs="Calibri"/>
                <w:noProof/>
                <w:szCs w:val="18"/>
              </w:rPr>
            </w:pPr>
            <w:r>
              <w:rPr>
                <w:noProof/>
              </w:rPr>
              <w:t>168</w:t>
            </w:r>
          </w:p>
        </w:tc>
        <w:tc>
          <w:tcPr>
            <w:tcW w:w="1797" w:type="dxa"/>
            <w:tcBorders>
              <w:top w:val="nil"/>
              <w:left w:val="nil"/>
              <w:bottom w:val="single" w:sz="4" w:space="0" w:color="auto"/>
              <w:right w:val="single" w:sz="4" w:space="0" w:color="auto"/>
            </w:tcBorders>
            <w:shd w:val="clear" w:color="auto" w:fill="C6EFCE"/>
            <w:noWrap/>
          </w:tcPr>
          <w:p w14:paraId="48B31D62" w14:textId="77777777" w:rsidR="00515398" w:rsidRDefault="006711E6">
            <w:pPr>
              <w:pStyle w:val="P68B1DB1-Normal9"/>
              <w:spacing w:after="0" w:line="240" w:lineRule="auto"/>
              <w:rPr>
                <w:rFonts w:eastAsia="Times New Roman" w:cs="Calibri"/>
                <w:noProof/>
                <w:szCs w:val="18"/>
              </w:rPr>
            </w:pPr>
            <w:r>
              <w:rPr>
                <w:noProof/>
              </w:rPr>
              <w:t xml:space="preserve">10–3.3. Zlepšení odolnosti, dostupnosti a udržitelnosti zdravotní péče – 16752_Digitální </w:t>
            </w:r>
            <w:r>
              <w:rPr>
                <w:noProof/>
              </w:rPr>
              <w:t>transformace zdraví (DigHealth)</w:t>
            </w:r>
          </w:p>
        </w:tc>
        <w:tc>
          <w:tcPr>
            <w:tcW w:w="1424" w:type="dxa"/>
            <w:tcBorders>
              <w:top w:val="nil"/>
              <w:left w:val="nil"/>
              <w:bottom w:val="single" w:sz="4" w:space="0" w:color="auto"/>
              <w:right w:val="single" w:sz="4" w:space="0" w:color="auto"/>
            </w:tcBorders>
            <w:shd w:val="clear" w:color="auto" w:fill="C6EFCE"/>
            <w:noWrap/>
          </w:tcPr>
          <w:p w14:paraId="1A7B0E9F" w14:textId="77777777" w:rsidR="00515398" w:rsidRDefault="006711E6">
            <w:pPr>
              <w:pStyle w:val="P68B1DB1-Normal9"/>
              <w:spacing w:after="0" w:line="240" w:lineRule="auto"/>
              <w:rPr>
                <w:rFonts w:eastAsia="Times New Roman" w:cs="Calibri"/>
                <w:noProof/>
                <w:szCs w:val="18"/>
              </w:rPr>
            </w:pPr>
            <w:r>
              <w:rPr>
                <w:noProof/>
              </w:rPr>
              <w:t>Milník</w:t>
            </w:r>
          </w:p>
        </w:tc>
        <w:tc>
          <w:tcPr>
            <w:tcW w:w="1419" w:type="dxa"/>
            <w:tcBorders>
              <w:top w:val="nil"/>
              <w:left w:val="nil"/>
              <w:bottom w:val="single" w:sz="4" w:space="0" w:color="auto"/>
              <w:right w:val="single" w:sz="4" w:space="0" w:color="auto"/>
            </w:tcBorders>
            <w:shd w:val="clear" w:color="auto" w:fill="C6EFCE"/>
            <w:noWrap/>
          </w:tcPr>
          <w:p w14:paraId="7DECB151" w14:textId="505FD49D" w:rsidR="00515398" w:rsidRDefault="006711E6">
            <w:pPr>
              <w:spacing w:after="0" w:line="240" w:lineRule="auto"/>
              <w:rPr>
                <w:rFonts w:cs="Calibri"/>
                <w:noProof/>
                <w:sz w:val="18"/>
                <w:szCs w:val="18"/>
              </w:rPr>
            </w:pPr>
            <w:r>
              <w:rPr>
                <w:noProof/>
                <w:color w:val="006100"/>
                <w:sz w:val="18"/>
                <w:szCs w:val="18"/>
              </w:rPr>
              <w:t>Digitální transformace</w:t>
            </w:r>
            <w:r>
              <w:rPr>
                <w:rFonts w:cs="Calibri"/>
                <w:noProof/>
                <w:sz w:val="20"/>
                <w:szCs w:val="20"/>
              </w:rPr>
              <w:t xml:space="preserve"> </w:t>
            </w:r>
            <w:r>
              <w:rPr>
                <w:rFonts w:asciiTheme="minorHAnsi" w:eastAsiaTheme="minorEastAsia" w:hAnsiTheme="minorHAnsi" w:cstheme="minorBidi"/>
                <w:noProof/>
                <w:color w:val="006100"/>
                <w:sz w:val="18"/>
                <w:szCs w:val="18"/>
              </w:rPr>
              <w:t>– jsou zavedeny služby pro rozšíření vytváření jmen, modernizaci infrastruktury systému elektronického předepisování a provozní služby pro informační systémy IDIKA SA</w:t>
            </w:r>
          </w:p>
        </w:tc>
        <w:tc>
          <w:tcPr>
            <w:tcW w:w="1553" w:type="dxa"/>
            <w:tcBorders>
              <w:top w:val="nil"/>
              <w:left w:val="nil"/>
              <w:bottom w:val="single" w:sz="4" w:space="0" w:color="auto"/>
              <w:right w:val="single" w:sz="4" w:space="0" w:color="auto"/>
            </w:tcBorders>
            <w:shd w:val="clear" w:color="auto" w:fill="C6EFCE"/>
            <w:noWrap/>
          </w:tcPr>
          <w:p w14:paraId="7C5B5C2B" w14:textId="55CD5C22" w:rsidR="00515398" w:rsidRDefault="006711E6">
            <w:pPr>
              <w:pStyle w:val="P68B1DB1-Normal10"/>
              <w:spacing w:after="0" w:line="240" w:lineRule="auto"/>
              <w:rPr>
                <w:rFonts w:eastAsia="Times New Roman" w:cs="Calibri"/>
                <w:noProof/>
              </w:rPr>
            </w:pPr>
            <w:r>
              <w:rPr>
                <w:noProof/>
              </w:rPr>
              <w:t>Osvědčení o dokončení vydan</w:t>
            </w:r>
            <w:r>
              <w:rPr>
                <w:noProof/>
              </w:rPr>
              <w:t>é v souladu s vnitrostátními právními předpisy</w:t>
            </w:r>
          </w:p>
        </w:tc>
        <w:tc>
          <w:tcPr>
            <w:tcW w:w="866" w:type="dxa"/>
            <w:tcBorders>
              <w:top w:val="nil"/>
              <w:left w:val="nil"/>
              <w:bottom w:val="single" w:sz="4" w:space="0" w:color="auto"/>
              <w:right w:val="single" w:sz="4" w:space="0" w:color="auto"/>
            </w:tcBorders>
            <w:shd w:val="clear" w:color="auto" w:fill="C6EFCE"/>
            <w:noWrap/>
          </w:tcPr>
          <w:p w14:paraId="57EBE59D"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FD4ABF4" w14:textId="77777777" w:rsidR="00515398" w:rsidRDefault="00515398">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6CD5630A"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514567B3" w14:textId="77777777" w:rsidR="00515398" w:rsidRDefault="006711E6">
            <w:pPr>
              <w:pStyle w:val="P68B1DB1-Normal9"/>
              <w:spacing w:after="0" w:line="240" w:lineRule="auto"/>
              <w:rPr>
                <w:rFonts w:eastAsia="Times New Roman" w:cs="Calibri"/>
                <w:noProof/>
                <w:szCs w:val="18"/>
              </w:rPr>
            </w:pPr>
            <w:r>
              <w:rPr>
                <w:noProof/>
              </w:rPr>
              <w:t>ČTVRTLETÍ</w:t>
            </w:r>
          </w:p>
        </w:tc>
        <w:tc>
          <w:tcPr>
            <w:tcW w:w="709" w:type="dxa"/>
            <w:tcBorders>
              <w:top w:val="nil"/>
              <w:left w:val="nil"/>
              <w:bottom w:val="single" w:sz="4" w:space="0" w:color="auto"/>
              <w:right w:val="single" w:sz="4" w:space="0" w:color="auto"/>
            </w:tcBorders>
            <w:shd w:val="clear" w:color="auto" w:fill="C6EFCE"/>
            <w:noWrap/>
          </w:tcPr>
          <w:p w14:paraId="6EA81B9C" w14:textId="77777777" w:rsidR="00515398" w:rsidRDefault="006711E6">
            <w:pPr>
              <w:pStyle w:val="P68B1DB1-Normal9"/>
              <w:spacing w:after="0" w:line="240" w:lineRule="auto"/>
              <w:rPr>
                <w:rFonts w:eastAsia="Times New Roman" w:cs="Calibri"/>
                <w:noProof/>
                <w:szCs w:val="18"/>
              </w:rPr>
            </w:pPr>
            <w:r>
              <w:rPr>
                <w:noProof/>
              </w:rPr>
              <w:t>2025</w:t>
            </w:r>
          </w:p>
        </w:tc>
        <w:tc>
          <w:tcPr>
            <w:tcW w:w="4731" w:type="dxa"/>
            <w:tcBorders>
              <w:top w:val="nil"/>
              <w:left w:val="nil"/>
              <w:bottom w:val="single" w:sz="4" w:space="0" w:color="auto"/>
              <w:right w:val="single" w:sz="4" w:space="0" w:color="auto"/>
            </w:tcBorders>
            <w:shd w:val="clear" w:color="auto" w:fill="C6EFCE"/>
            <w:noWrap/>
          </w:tcPr>
          <w:p w14:paraId="004F4450" w14:textId="4F864A41" w:rsidR="00515398" w:rsidRDefault="00515398">
            <w:pPr>
              <w:spacing w:after="0" w:line="240" w:lineRule="auto"/>
              <w:rPr>
                <w:noProof/>
                <w:color w:val="006100"/>
                <w:sz w:val="18"/>
                <w:szCs w:val="18"/>
              </w:rPr>
            </w:pPr>
          </w:p>
          <w:p w14:paraId="43C1AF0C" w14:textId="6A2B8227" w:rsidR="00515398" w:rsidRDefault="006711E6">
            <w:pPr>
              <w:pStyle w:val="P68B1DB1-Normal10"/>
              <w:spacing w:after="0" w:line="240" w:lineRule="auto"/>
              <w:rPr>
                <w:rFonts w:asciiTheme="minorHAnsi" w:eastAsiaTheme="minorEastAsia" w:hAnsiTheme="minorHAnsi" w:cstheme="minorBidi"/>
                <w:noProof/>
              </w:rPr>
            </w:pPr>
            <w:r>
              <w:rPr>
                <w:noProof/>
              </w:rPr>
              <w:t xml:space="preserve">Je třeba doplnit: </w:t>
            </w:r>
          </w:p>
          <w:p w14:paraId="5FD58A17" w14:textId="6112BBE2" w:rsidR="00515398" w:rsidRDefault="006711E6">
            <w:pPr>
              <w:pStyle w:val="P68B1DB1-Normal30"/>
              <w:spacing w:after="0" w:line="240" w:lineRule="auto"/>
              <w:rPr>
                <w:noProof/>
              </w:rPr>
            </w:pPr>
            <w:r>
              <w:rPr>
                <w:noProof/>
              </w:rPr>
              <w:t>1. Služby pro rozšíření systému vytváření a řízení jmenování v rámci Národního programu očkování proti COVID-19</w:t>
            </w:r>
          </w:p>
          <w:p w14:paraId="24CD87C2" w14:textId="3705F1B8" w:rsidR="00515398" w:rsidRDefault="006711E6">
            <w:pPr>
              <w:pStyle w:val="P68B1DB1-Normal30"/>
              <w:spacing w:after="0" w:line="240" w:lineRule="auto"/>
              <w:rPr>
                <w:noProof/>
              </w:rPr>
            </w:pPr>
            <w:r>
              <w:rPr>
                <w:noProof/>
              </w:rPr>
              <w:t>2. Modernizace infrastruktury systému elektronického předep</w:t>
            </w:r>
            <w:r>
              <w:rPr>
                <w:noProof/>
              </w:rPr>
              <w:t xml:space="preserve">isování </w:t>
            </w:r>
          </w:p>
          <w:p w14:paraId="28956B9D" w14:textId="486B0790" w:rsidR="00515398" w:rsidRDefault="006711E6">
            <w:pPr>
              <w:pStyle w:val="P68B1DB1-Normal30"/>
              <w:spacing w:after="0" w:line="240" w:lineRule="auto"/>
              <w:rPr>
                <w:noProof/>
              </w:rPr>
            </w:pPr>
            <w:r>
              <w:rPr>
                <w:noProof/>
              </w:rPr>
              <w:t>3. Vývojové a výrobní služby pro informační systémy společnosti IDIKA SA</w:t>
            </w:r>
          </w:p>
          <w:p w14:paraId="42382ADB" w14:textId="75F9AB8D" w:rsidR="00515398" w:rsidRDefault="00515398">
            <w:pPr>
              <w:spacing w:after="0" w:line="240" w:lineRule="auto"/>
              <w:rPr>
                <w:noProof/>
                <w:color w:val="006100"/>
                <w:sz w:val="18"/>
                <w:szCs w:val="18"/>
              </w:rPr>
            </w:pPr>
          </w:p>
        </w:tc>
      </w:tr>
      <w:tr w:rsidR="00515398" w14:paraId="5026A36E" w14:textId="77777777">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0AFCCD14" w14:textId="77777777" w:rsidR="00515398" w:rsidRDefault="006711E6">
            <w:pPr>
              <w:pStyle w:val="P68B1DB1-Normal9"/>
              <w:spacing w:after="0" w:line="240" w:lineRule="auto"/>
              <w:rPr>
                <w:rFonts w:eastAsia="Times New Roman" w:cs="Calibri"/>
                <w:noProof/>
                <w:szCs w:val="18"/>
              </w:rPr>
            </w:pPr>
            <w:r>
              <w:rPr>
                <w:noProof/>
              </w:rPr>
              <w:t>169</w:t>
            </w:r>
          </w:p>
        </w:tc>
        <w:tc>
          <w:tcPr>
            <w:tcW w:w="1797" w:type="dxa"/>
            <w:tcBorders>
              <w:top w:val="nil"/>
              <w:left w:val="nil"/>
              <w:bottom w:val="single" w:sz="4" w:space="0" w:color="auto"/>
              <w:right w:val="single" w:sz="4" w:space="0" w:color="auto"/>
            </w:tcBorders>
            <w:shd w:val="clear" w:color="auto" w:fill="C6EFCE"/>
            <w:noWrap/>
          </w:tcPr>
          <w:p w14:paraId="1F542D8B"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16753_Zřízení systémů domácí zdravotní péče a nemocnic</w:t>
            </w:r>
          </w:p>
        </w:tc>
        <w:tc>
          <w:tcPr>
            <w:tcW w:w="1424" w:type="dxa"/>
            <w:tcBorders>
              <w:top w:val="nil"/>
              <w:left w:val="nil"/>
              <w:bottom w:val="single" w:sz="4" w:space="0" w:color="auto"/>
              <w:right w:val="single" w:sz="4" w:space="0" w:color="auto"/>
            </w:tcBorders>
            <w:shd w:val="clear" w:color="auto" w:fill="C6EFCE"/>
            <w:noWrap/>
          </w:tcPr>
          <w:p w14:paraId="7B63E697" w14:textId="77777777" w:rsidR="00515398" w:rsidRDefault="006711E6">
            <w:pPr>
              <w:pStyle w:val="P68B1DB1-Normal9"/>
              <w:spacing w:after="0" w:line="240" w:lineRule="auto"/>
              <w:rPr>
                <w:rFonts w:eastAsia="Times New Roman" w:cs="Calibri"/>
                <w:noProof/>
                <w:szCs w:val="18"/>
              </w:rPr>
            </w:pPr>
            <w:r>
              <w:rPr>
                <w:noProof/>
              </w:rPr>
              <w:t>Milník</w:t>
            </w:r>
          </w:p>
        </w:tc>
        <w:tc>
          <w:tcPr>
            <w:tcW w:w="1419" w:type="dxa"/>
            <w:tcBorders>
              <w:top w:val="nil"/>
              <w:left w:val="nil"/>
              <w:bottom w:val="single" w:sz="4" w:space="0" w:color="auto"/>
              <w:right w:val="single" w:sz="4" w:space="0" w:color="auto"/>
            </w:tcBorders>
            <w:shd w:val="clear" w:color="auto" w:fill="C6EFCE"/>
            <w:noWrap/>
          </w:tcPr>
          <w:p w14:paraId="4292186E" w14:textId="77777777" w:rsidR="00515398" w:rsidRDefault="006711E6">
            <w:pPr>
              <w:pStyle w:val="P68B1DB1-Normal9"/>
              <w:spacing w:after="0" w:line="240" w:lineRule="auto"/>
              <w:rPr>
                <w:rFonts w:eastAsia="Times New Roman" w:cs="Calibri"/>
                <w:noProof/>
                <w:szCs w:val="18"/>
              </w:rPr>
            </w:pPr>
            <w:r>
              <w:rPr>
                <w:noProof/>
              </w:rPr>
              <w:t>Domácí péče – otevření jednotek</w:t>
            </w:r>
          </w:p>
        </w:tc>
        <w:tc>
          <w:tcPr>
            <w:tcW w:w="1553" w:type="dxa"/>
            <w:tcBorders>
              <w:top w:val="nil"/>
              <w:left w:val="nil"/>
              <w:bottom w:val="single" w:sz="4" w:space="0" w:color="auto"/>
              <w:right w:val="single" w:sz="4" w:space="0" w:color="auto"/>
            </w:tcBorders>
            <w:shd w:val="clear" w:color="auto" w:fill="C6EFCE"/>
            <w:noWrap/>
          </w:tcPr>
          <w:p w14:paraId="79C00B40" w14:textId="77777777" w:rsidR="00515398" w:rsidRDefault="006711E6">
            <w:pPr>
              <w:pStyle w:val="P68B1DB1-Normal9"/>
              <w:spacing w:after="0" w:line="240" w:lineRule="auto"/>
              <w:rPr>
                <w:rFonts w:eastAsia="Times New Roman" w:cs="Calibri"/>
                <w:noProof/>
                <w:szCs w:val="18"/>
              </w:rPr>
            </w:pPr>
            <w:r>
              <w:rPr>
                <w:noProof/>
              </w:rPr>
              <w:t>Zprávy o otevření osmi operačních jednotek poskytujících domácí péči a o dokončení všech příslušných dílčích projektů</w:t>
            </w:r>
          </w:p>
        </w:tc>
        <w:tc>
          <w:tcPr>
            <w:tcW w:w="866" w:type="dxa"/>
            <w:tcBorders>
              <w:top w:val="nil"/>
              <w:left w:val="nil"/>
              <w:bottom w:val="single" w:sz="4" w:space="0" w:color="auto"/>
              <w:right w:val="single" w:sz="4" w:space="0" w:color="auto"/>
            </w:tcBorders>
            <w:shd w:val="clear" w:color="auto" w:fill="C6EFCE"/>
            <w:noWrap/>
          </w:tcPr>
          <w:p w14:paraId="577C878A"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F68AB8C" w14:textId="77777777" w:rsidR="00515398" w:rsidRDefault="00515398">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4D8A01B6"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42707384" w14:textId="77777777" w:rsidR="00515398" w:rsidRDefault="006711E6">
            <w:pPr>
              <w:pStyle w:val="P68B1DB1-Normal9"/>
              <w:spacing w:after="0" w:line="240" w:lineRule="auto"/>
              <w:rPr>
                <w:rFonts w:eastAsia="Times New Roman" w:cs="Calibri"/>
                <w:noProof/>
                <w:szCs w:val="18"/>
              </w:rPr>
            </w:pPr>
            <w:r>
              <w:rPr>
                <w:noProof/>
              </w:rPr>
              <w:t>ČTVRTLETÍ</w:t>
            </w:r>
          </w:p>
        </w:tc>
        <w:tc>
          <w:tcPr>
            <w:tcW w:w="709" w:type="dxa"/>
            <w:tcBorders>
              <w:top w:val="nil"/>
              <w:left w:val="nil"/>
              <w:bottom w:val="single" w:sz="4" w:space="0" w:color="auto"/>
              <w:right w:val="single" w:sz="4" w:space="0" w:color="auto"/>
            </w:tcBorders>
            <w:shd w:val="clear" w:color="auto" w:fill="C6EFCE"/>
            <w:noWrap/>
          </w:tcPr>
          <w:p w14:paraId="6F0C64F8" w14:textId="77777777" w:rsidR="00515398" w:rsidRDefault="006711E6">
            <w:pPr>
              <w:pStyle w:val="P68B1DB1-Normal9"/>
              <w:spacing w:after="0" w:line="240" w:lineRule="auto"/>
              <w:rPr>
                <w:rFonts w:eastAsia="Times New Roman" w:cs="Calibri"/>
                <w:noProof/>
                <w:szCs w:val="18"/>
              </w:rPr>
            </w:pPr>
            <w:r>
              <w:rPr>
                <w:noProof/>
              </w:rPr>
              <w:t>2025</w:t>
            </w:r>
          </w:p>
        </w:tc>
        <w:tc>
          <w:tcPr>
            <w:tcW w:w="4731" w:type="dxa"/>
            <w:tcBorders>
              <w:top w:val="nil"/>
              <w:left w:val="nil"/>
              <w:bottom w:val="single" w:sz="4" w:space="0" w:color="auto"/>
              <w:right w:val="single" w:sz="4" w:space="0" w:color="auto"/>
            </w:tcBorders>
            <w:shd w:val="clear" w:color="auto" w:fill="C6EFCE"/>
            <w:noWrap/>
          </w:tcPr>
          <w:p w14:paraId="498A6C03" w14:textId="77777777" w:rsidR="00515398" w:rsidRDefault="006711E6">
            <w:pPr>
              <w:pStyle w:val="P68B1DB1-Normal9"/>
              <w:spacing w:after="0" w:line="240" w:lineRule="auto"/>
              <w:rPr>
                <w:rFonts w:eastAsia="Times New Roman" w:cs="Calibri"/>
                <w:noProof/>
                <w:szCs w:val="18"/>
              </w:rPr>
            </w:pPr>
            <w:r>
              <w:rPr>
                <w:noProof/>
              </w:rPr>
              <w:t xml:space="preserve">Zřízení 8 personálních a operativních jednotek poskytujících domácí péči (2 v Aténách, 1 v Soluni, 1 v Alexandroupolis, </w:t>
            </w:r>
            <w:r>
              <w:rPr>
                <w:noProof/>
              </w:rPr>
              <w:t>1 v Patra, 1 v Ioannině, 1 v Iraklionu a 1 v Larisi) a dokončení těchto dílčích projektů:</w:t>
            </w:r>
          </w:p>
          <w:p w14:paraId="5E5E9AE9" w14:textId="77777777" w:rsidR="00515398" w:rsidRDefault="006711E6">
            <w:pPr>
              <w:pStyle w:val="P68B1DB1-Normal9"/>
              <w:spacing w:after="0" w:line="240" w:lineRule="auto"/>
              <w:rPr>
                <w:rFonts w:eastAsia="Times New Roman" w:cs="Calibri"/>
                <w:noProof/>
                <w:szCs w:val="18"/>
              </w:rPr>
            </w:pPr>
            <w:r>
              <w:rPr>
                <w:noProof/>
              </w:rPr>
              <w:t xml:space="preserve">průzkum „posouzení současné situace a potřeb“ (dílčí projekt 1) </w:t>
            </w:r>
          </w:p>
          <w:p w14:paraId="6E69C518" w14:textId="77777777" w:rsidR="00515398" w:rsidRDefault="006711E6">
            <w:pPr>
              <w:pStyle w:val="P68B1DB1-Normal9"/>
              <w:spacing w:after="0" w:line="240" w:lineRule="auto"/>
              <w:rPr>
                <w:rFonts w:eastAsia="Times New Roman" w:cs="Calibri"/>
                <w:noProof/>
                <w:szCs w:val="18"/>
              </w:rPr>
            </w:pPr>
            <w:r>
              <w:rPr>
                <w:noProof/>
              </w:rPr>
              <w:t>aplikace telemedicíny: zařízení a vybavení pro pilotní středisko domácí péče, které má být instalován</w:t>
            </w:r>
            <w:r>
              <w:rPr>
                <w:noProof/>
              </w:rPr>
              <w:t>o a uvedeno do provozu, včetně odborné přípravy (dílčí projekt 2)</w:t>
            </w:r>
          </w:p>
          <w:p w14:paraId="6ABB0B7F" w14:textId="77777777" w:rsidR="00515398" w:rsidRDefault="006711E6">
            <w:pPr>
              <w:pStyle w:val="P68B1DB1-Normal9"/>
              <w:spacing w:after="0" w:line="240" w:lineRule="auto"/>
              <w:rPr>
                <w:rFonts w:eastAsia="Times New Roman" w:cs="Calibri"/>
                <w:noProof/>
                <w:szCs w:val="18"/>
              </w:rPr>
            </w:pPr>
            <w:r>
              <w:rPr>
                <w:noProof/>
              </w:rPr>
              <w:t>C) vnitrostátní registr pacientů léčených prostřednictvím domácí péče (dílčí projekt 3)</w:t>
            </w:r>
          </w:p>
          <w:p w14:paraId="24B508FD" w14:textId="77777777" w:rsidR="00515398" w:rsidRDefault="006711E6">
            <w:pPr>
              <w:pStyle w:val="P68B1DB1-Normal9"/>
              <w:spacing w:after="0" w:line="240" w:lineRule="auto"/>
              <w:rPr>
                <w:rFonts w:eastAsia="Times New Roman" w:cs="Calibri"/>
                <w:noProof/>
                <w:szCs w:val="18"/>
              </w:rPr>
            </w:pPr>
            <w:r>
              <w:rPr>
                <w:noProof/>
              </w:rPr>
              <w:t>d) stanovení standardizovaných léčebných protokolů, jakož i norem jakosti a bezpečnosti (dílčí projekt</w:t>
            </w:r>
            <w:r>
              <w:rPr>
                <w:noProof/>
              </w:rPr>
              <w:t xml:space="preserve"> 4)</w:t>
            </w:r>
          </w:p>
        </w:tc>
      </w:tr>
      <w:tr w:rsidR="00515398" w14:paraId="6503DCC0" w14:textId="77777777">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14:paraId="7558A4C6" w14:textId="77777777" w:rsidR="00515398" w:rsidRDefault="006711E6">
            <w:pPr>
              <w:pStyle w:val="P68B1DB1-Normal9"/>
              <w:spacing w:after="0" w:line="240" w:lineRule="auto"/>
              <w:rPr>
                <w:rFonts w:eastAsia="Times New Roman" w:cs="Calibri"/>
                <w:noProof/>
                <w:szCs w:val="18"/>
              </w:rPr>
            </w:pPr>
            <w:r>
              <w:rPr>
                <w:noProof/>
              </w:rPr>
              <w:t>170</w:t>
            </w:r>
          </w:p>
        </w:tc>
        <w:tc>
          <w:tcPr>
            <w:tcW w:w="1797" w:type="dxa"/>
            <w:tcBorders>
              <w:top w:val="nil"/>
              <w:left w:val="nil"/>
              <w:bottom w:val="single" w:sz="4" w:space="0" w:color="auto"/>
              <w:right w:val="single" w:sz="4" w:space="0" w:color="auto"/>
            </w:tcBorders>
            <w:shd w:val="clear" w:color="auto" w:fill="C6EFCE"/>
            <w:noWrap/>
          </w:tcPr>
          <w:p w14:paraId="64B63CC2" w14:textId="1A392D03" w:rsidR="00515398" w:rsidRDefault="006711E6">
            <w:pPr>
              <w:pStyle w:val="P68B1DB1-Normal10"/>
              <w:spacing w:after="0" w:line="240" w:lineRule="auto"/>
              <w:rPr>
                <w:rFonts w:eastAsia="Times New Roman" w:cs="Calibri"/>
                <w:noProof/>
              </w:rPr>
            </w:pPr>
            <w:r>
              <w:rPr>
                <w:noProof/>
              </w:rPr>
              <w:t>10–3.3. Zlepšení odolnosti, dostupnosti a udržitelnosti zdravotní péče – 16795_ Zdravotní infrastruktura</w:t>
            </w:r>
          </w:p>
        </w:tc>
        <w:tc>
          <w:tcPr>
            <w:tcW w:w="1424" w:type="dxa"/>
            <w:tcBorders>
              <w:top w:val="nil"/>
              <w:left w:val="nil"/>
              <w:bottom w:val="single" w:sz="4" w:space="0" w:color="auto"/>
              <w:right w:val="single" w:sz="4" w:space="0" w:color="auto"/>
            </w:tcBorders>
            <w:shd w:val="clear" w:color="auto" w:fill="C6EFCE"/>
            <w:noWrap/>
          </w:tcPr>
          <w:p w14:paraId="3E45CFFE" w14:textId="77777777" w:rsidR="00515398" w:rsidRDefault="006711E6">
            <w:pPr>
              <w:pStyle w:val="P68B1DB1-Normal9"/>
              <w:spacing w:after="0" w:line="240" w:lineRule="auto"/>
              <w:rPr>
                <w:rFonts w:eastAsia="Times New Roman" w:cs="Calibri"/>
                <w:noProof/>
                <w:szCs w:val="18"/>
              </w:rPr>
            </w:pPr>
            <w:r>
              <w:rPr>
                <w:noProof/>
              </w:rPr>
              <w:t>Milník</w:t>
            </w:r>
          </w:p>
        </w:tc>
        <w:tc>
          <w:tcPr>
            <w:tcW w:w="1419" w:type="dxa"/>
            <w:tcBorders>
              <w:top w:val="nil"/>
              <w:left w:val="nil"/>
              <w:bottom w:val="single" w:sz="4" w:space="0" w:color="auto"/>
              <w:right w:val="single" w:sz="4" w:space="0" w:color="auto"/>
            </w:tcBorders>
            <w:shd w:val="clear" w:color="auto" w:fill="C6EFCE"/>
            <w:noWrap/>
          </w:tcPr>
          <w:p w14:paraId="1749243C" w14:textId="77777777" w:rsidR="00515398" w:rsidRDefault="006711E6">
            <w:pPr>
              <w:pStyle w:val="P68B1DB1-Normal9"/>
              <w:spacing w:after="0" w:line="240" w:lineRule="auto"/>
              <w:rPr>
                <w:rFonts w:eastAsia="Times New Roman" w:cs="Calibri"/>
                <w:noProof/>
                <w:szCs w:val="18"/>
              </w:rPr>
            </w:pPr>
            <w:r>
              <w:rPr>
                <w:noProof/>
              </w:rPr>
              <w:t>Dokončení modernizace infrastruktury NHS</w:t>
            </w:r>
          </w:p>
        </w:tc>
        <w:tc>
          <w:tcPr>
            <w:tcW w:w="1553" w:type="dxa"/>
            <w:tcBorders>
              <w:top w:val="nil"/>
              <w:left w:val="nil"/>
              <w:bottom w:val="single" w:sz="4" w:space="0" w:color="auto"/>
              <w:right w:val="single" w:sz="4" w:space="0" w:color="auto"/>
            </w:tcBorders>
            <w:shd w:val="clear" w:color="auto" w:fill="C6EFCE"/>
            <w:noWrap/>
          </w:tcPr>
          <w:p w14:paraId="6BFFC6EB" w14:textId="77777777" w:rsidR="00515398" w:rsidRDefault="006711E6">
            <w:pPr>
              <w:pStyle w:val="P68B1DB1-Normal9"/>
              <w:spacing w:after="0" w:line="240" w:lineRule="auto"/>
              <w:rPr>
                <w:rFonts w:eastAsia="Times New Roman" w:cs="Calibri"/>
                <w:noProof/>
                <w:szCs w:val="18"/>
              </w:rPr>
            </w:pPr>
            <w:r>
              <w:rPr>
                <w:noProof/>
              </w:rPr>
              <w:t xml:space="preserve">Zpráva o dokončení infrastrukturních prací na renovaci nemocnic NHS a modernizaci </w:t>
            </w:r>
            <w:r>
              <w:rPr>
                <w:noProof/>
              </w:rPr>
              <w:t>infrastruktury.</w:t>
            </w:r>
          </w:p>
        </w:tc>
        <w:tc>
          <w:tcPr>
            <w:tcW w:w="866" w:type="dxa"/>
            <w:tcBorders>
              <w:top w:val="nil"/>
              <w:left w:val="nil"/>
              <w:bottom w:val="single" w:sz="4" w:space="0" w:color="auto"/>
              <w:right w:val="single" w:sz="4" w:space="0" w:color="auto"/>
            </w:tcBorders>
            <w:shd w:val="clear" w:color="auto" w:fill="C6EFCE"/>
            <w:noWrap/>
          </w:tcPr>
          <w:p w14:paraId="4E7F1D41"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D92386D" w14:textId="77777777" w:rsidR="00515398" w:rsidRDefault="00515398">
            <w:pPr>
              <w:spacing w:after="0" w:line="240" w:lineRule="auto"/>
              <w:rPr>
                <w:rFonts w:eastAsia="Times New Roman" w:cs="Calibri"/>
                <w:noProof/>
                <w:color w:val="006100"/>
                <w:sz w:val="18"/>
                <w:szCs w:val="18"/>
              </w:rPr>
            </w:pPr>
          </w:p>
        </w:tc>
        <w:tc>
          <w:tcPr>
            <w:tcW w:w="659" w:type="dxa"/>
            <w:tcBorders>
              <w:top w:val="nil"/>
              <w:left w:val="nil"/>
              <w:bottom w:val="single" w:sz="4" w:space="0" w:color="auto"/>
              <w:right w:val="single" w:sz="4" w:space="0" w:color="auto"/>
            </w:tcBorders>
            <w:shd w:val="clear" w:color="auto" w:fill="C6EFCE"/>
            <w:noWrap/>
          </w:tcPr>
          <w:p w14:paraId="6D8BAA6D"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2216091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tcPr>
          <w:p w14:paraId="42687E91" w14:textId="77777777" w:rsidR="00515398" w:rsidRDefault="006711E6">
            <w:pPr>
              <w:pStyle w:val="P68B1DB1-Normal9"/>
              <w:spacing w:after="0" w:line="240" w:lineRule="auto"/>
              <w:rPr>
                <w:rFonts w:eastAsia="Times New Roman" w:cs="Calibri"/>
                <w:noProof/>
                <w:szCs w:val="18"/>
              </w:rPr>
            </w:pPr>
            <w:r>
              <w:rPr>
                <w:noProof/>
              </w:rPr>
              <w:t>2025</w:t>
            </w:r>
          </w:p>
        </w:tc>
        <w:tc>
          <w:tcPr>
            <w:tcW w:w="4731" w:type="dxa"/>
            <w:tcBorders>
              <w:top w:val="nil"/>
              <w:left w:val="nil"/>
              <w:bottom w:val="single" w:sz="4" w:space="0" w:color="auto"/>
              <w:right w:val="single" w:sz="4" w:space="0" w:color="auto"/>
            </w:tcBorders>
            <w:shd w:val="clear" w:color="auto" w:fill="C6EFCE"/>
            <w:noWrap/>
          </w:tcPr>
          <w:p w14:paraId="3DCC6322" w14:textId="77777777" w:rsidR="00515398" w:rsidRDefault="006711E6">
            <w:pPr>
              <w:pStyle w:val="P68B1DB1-Normal9"/>
              <w:spacing w:after="0" w:line="240" w:lineRule="auto"/>
              <w:rPr>
                <w:rFonts w:eastAsia="Times New Roman" w:cs="Calibri"/>
                <w:noProof/>
                <w:szCs w:val="18"/>
              </w:rPr>
            </w:pPr>
            <w:r>
              <w:rPr>
                <w:noProof/>
              </w:rPr>
              <w:t xml:space="preserve">Dokončení výstavby a modernizace infrastruktury, včetně elektromechanické a elektrotechnické infrastruktury, ubytovacích zařízení a infrastruktury se zařízením, zdravotnickým vybavením a vybavením, a uzavírání smluv </w:t>
            </w:r>
            <w:r>
              <w:rPr>
                <w:noProof/>
              </w:rPr>
              <w:t xml:space="preserve">o dohodách o úrovni služeb a správě budov pro všech 80 dotčených nemocnic v sedmi regionech. </w:t>
            </w:r>
          </w:p>
        </w:tc>
      </w:tr>
      <w:tr w:rsidR="00515398" w14:paraId="6336E803"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6038A3F0" w14:textId="77777777" w:rsidR="00515398" w:rsidRDefault="006711E6">
            <w:pPr>
              <w:pStyle w:val="P68B1DB1-Normal9"/>
              <w:spacing w:after="0" w:line="240" w:lineRule="auto"/>
              <w:rPr>
                <w:rFonts w:eastAsia="Times New Roman" w:cs="Calibri"/>
                <w:noProof/>
                <w:szCs w:val="18"/>
              </w:rPr>
            </w:pPr>
            <w:r>
              <w:rPr>
                <w:noProof/>
              </w:rPr>
              <w:t>171</w:t>
            </w:r>
          </w:p>
        </w:tc>
        <w:tc>
          <w:tcPr>
            <w:tcW w:w="1797" w:type="dxa"/>
            <w:tcBorders>
              <w:top w:val="single" w:sz="4" w:space="0" w:color="auto"/>
              <w:left w:val="nil"/>
              <w:bottom w:val="single" w:sz="4" w:space="0" w:color="auto"/>
              <w:right w:val="single" w:sz="4" w:space="0" w:color="auto"/>
            </w:tcBorders>
            <w:shd w:val="clear" w:color="auto" w:fill="C6EFCE"/>
            <w:noWrap/>
          </w:tcPr>
          <w:p w14:paraId="77F6277E"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16757_Zřízení radioterapeutického střediska v „Sotiria“ Thoracic</w:t>
            </w:r>
          </w:p>
          <w:p w14:paraId="39560FE6" w14:textId="77777777" w:rsidR="00515398" w:rsidRDefault="006711E6">
            <w:pPr>
              <w:pStyle w:val="P68B1DB1-Normal9"/>
              <w:spacing w:after="0" w:line="240" w:lineRule="auto"/>
              <w:rPr>
                <w:rFonts w:eastAsia="Times New Roman" w:cs="Calibri"/>
                <w:noProof/>
                <w:szCs w:val="18"/>
              </w:rPr>
            </w:pPr>
            <w:r>
              <w:rPr>
                <w:noProof/>
              </w:rPr>
              <w:t xml:space="preserve">Nemocenská </w:t>
            </w:r>
            <w:r>
              <w:rPr>
                <w:noProof/>
              </w:rPr>
              <w:t>nemocnice v Aténách</w:t>
            </w:r>
          </w:p>
        </w:tc>
        <w:tc>
          <w:tcPr>
            <w:tcW w:w="1424" w:type="dxa"/>
            <w:tcBorders>
              <w:top w:val="single" w:sz="4" w:space="0" w:color="auto"/>
              <w:left w:val="nil"/>
              <w:bottom w:val="single" w:sz="4" w:space="0" w:color="auto"/>
              <w:right w:val="single" w:sz="4" w:space="0" w:color="auto"/>
            </w:tcBorders>
            <w:shd w:val="clear" w:color="auto" w:fill="C6EFCE"/>
            <w:noWrap/>
          </w:tcPr>
          <w:p w14:paraId="35ACBF99" w14:textId="77777777" w:rsidR="00515398" w:rsidRDefault="006711E6">
            <w:pPr>
              <w:pStyle w:val="P68B1DB1-Normal9"/>
              <w:spacing w:after="0" w:line="240" w:lineRule="auto"/>
              <w:rPr>
                <w:rFonts w:eastAsia="Times New Roman" w:cs="Calibri"/>
                <w:noProof/>
                <w:szCs w:val="18"/>
              </w:rPr>
            </w:pPr>
            <w:r>
              <w:rPr>
                <w:noProof/>
              </w:rPr>
              <w:t>Milník</w:t>
            </w:r>
          </w:p>
        </w:tc>
        <w:tc>
          <w:tcPr>
            <w:tcW w:w="1419" w:type="dxa"/>
            <w:tcBorders>
              <w:top w:val="single" w:sz="4" w:space="0" w:color="auto"/>
              <w:left w:val="nil"/>
              <w:bottom w:val="single" w:sz="4" w:space="0" w:color="auto"/>
              <w:right w:val="single" w:sz="4" w:space="0" w:color="auto"/>
            </w:tcBorders>
            <w:shd w:val="clear" w:color="auto" w:fill="C6EFCE"/>
            <w:noWrap/>
          </w:tcPr>
          <w:p w14:paraId="3F3F30A4" w14:textId="77777777" w:rsidR="00515398" w:rsidRDefault="006711E6">
            <w:pPr>
              <w:pStyle w:val="P68B1DB1-Normal9"/>
              <w:spacing w:after="0" w:line="240" w:lineRule="auto"/>
              <w:rPr>
                <w:rFonts w:eastAsia="Times New Roman" w:cs="Calibri"/>
                <w:noProof/>
                <w:szCs w:val="18"/>
              </w:rPr>
            </w:pPr>
            <w:r>
              <w:rPr>
                <w:noProof/>
              </w:rPr>
              <w:t>Radioterapeutické středisko Sotiria</w:t>
            </w:r>
          </w:p>
          <w:p w14:paraId="7639D82B" w14:textId="77777777" w:rsidR="00515398" w:rsidRDefault="006711E6">
            <w:pPr>
              <w:pStyle w:val="P68B1DB1-Normal9"/>
              <w:spacing w:after="0" w:line="240" w:lineRule="auto"/>
              <w:rPr>
                <w:rFonts w:eastAsia="Times New Roman" w:cs="Calibri"/>
                <w:noProof/>
                <w:szCs w:val="18"/>
              </w:rPr>
            </w:pPr>
            <w:r>
              <w:rPr>
                <w:noProof/>
              </w:rPr>
              <w:t>dokončení</w:t>
            </w:r>
          </w:p>
        </w:tc>
        <w:tc>
          <w:tcPr>
            <w:tcW w:w="1553" w:type="dxa"/>
            <w:tcBorders>
              <w:top w:val="single" w:sz="4" w:space="0" w:color="auto"/>
              <w:left w:val="nil"/>
              <w:bottom w:val="single" w:sz="4" w:space="0" w:color="auto"/>
              <w:right w:val="single" w:sz="4" w:space="0" w:color="auto"/>
            </w:tcBorders>
            <w:shd w:val="clear" w:color="auto" w:fill="C6EFCE"/>
            <w:noWrap/>
          </w:tcPr>
          <w:p w14:paraId="2426EC99" w14:textId="77777777" w:rsidR="00515398" w:rsidRDefault="006711E6">
            <w:pPr>
              <w:pStyle w:val="P68B1DB1-Normal9"/>
              <w:spacing w:after="0" w:line="240" w:lineRule="auto"/>
              <w:rPr>
                <w:rFonts w:eastAsia="Times New Roman" w:cs="Calibri"/>
                <w:noProof/>
                <w:szCs w:val="18"/>
              </w:rPr>
            </w:pPr>
            <w:r>
              <w:rPr>
                <w:noProof/>
              </w:rPr>
              <w:t>Zpráva o dokončení prací na infrastruktuře pro zřízení radioterapeutického střediska „Sotiria“ Thoracic</w:t>
            </w:r>
          </w:p>
          <w:p w14:paraId="044F708B" w14:textId="77777777" w:rsidR="00515398" w:rsidRDefault="006711E6">
            <w:pPr>
              <w:pStyle w:val="P68B1DB1-Normal9"/>
              <w:spacing w:after="0" w:line="240" w:lineRule="auto"/>
              <w:rPr>
                <w:rFonts w:eastAsia="Times New Roman" w:cs="Calibri"/>
                <w:noProof/>
                <w:szCs w:val="18"/>
              </w:rPr>
            </w:pPr>
            <w:r>
              <w:rPr>
                <w:noProof/>
              </w:rPr>
              <w:t>Nemocenská nemocnice v Aténách.</w:t>
            </w:r>
          </w:p>
        </w:tc>
        <w:tc>
          <w:tcPr>
            <w:tcW w:w="866" w:type="dxa"/>
            <w:tcBorders>
              <w:top w:val="single" w:sz="4" w:space="0" w:color="auto"/>
              <w:left w:val="nil"/>
              <w:bottom w:val="single" w:sz="4" w:space="0" w:color="auto"/>
              <w:right w:val="single" w:sz="4" w:space="0" w:color="auto"/>
            </w:tcBorders>
            <w:shd w:val="clear" w:color="auto" w:fill="C6EFCE"/>
            <w:noWrap/>
          </w:tcPr>
          <w:p w14:paraId="769D387E"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88D3C3A" w14:textId="77777777" w:rsidR="00515398" w:rsidRDefault="00515398">
            <w:pPr>
              <w:spacing w:after="0" w:line="240" w:lineRule="auto"/>
              <w:rPr>
                <w:rFonts w:eastAsia="Times New Roman" w:cs="Calibri"/>
                <w:noProof/>
                <w:color w:val="006100"/>
                <w:sz w:val="18"/>
                <w:szCs w:val="18"/>
              </w:rPr>
            </w:pPr>
          </w:p>
        </w:tc>
        <w:tc>
          <w:tcPr>
            <w:tcW w:w="659" w:type="dxa"/>
            <w:tcBorders>
              <w:top w:val="single" w:sz="4" w:space="0" w:color="auto"/>
              <w:left w:val="nil"/>
              <w:bottom w:val="single" w:sz="4" w:space="0" w:color="auto"/>
              <w:right w:val="single" w:sz="4" w:space="0" w:color="auto"/>
            </w:tcBorders>
            <w:shd w:val="clear" w:color="auto" w:fill="C6EFCE"/>
            <w:noWrap/>
          </w:tcPr>
          <w:p w14:paraId="2D4C39B0"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604DECC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28807D75" w14:textId="77777777" w:rsidR="00515398" w:rsidRDefault="006711E6">
            <w:pPr>
              <w:pStyle w:val="P68B1DB1-Normal9"/>
              <w:spacing w:after="0" w:line="240" w:lineRule="auto"/>
              <w:rPr>
                <w:rFonts w:eastAsia="Times New Roman" w:cs="Calibri"/>
                <w:noProof/>
                <w:szCs w:val="18"/>
              </w:rPr>
            </w:pPr>
            <w:r>
              <w:rPr>
                <w:noProof/>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6459C712" w14:textId="27425D27" w:rsidR="00515398" w:rsidRDefault="006711E6">
            <w:pPr>
              <w:pStyle w:val="P68B1DB1-Normal10"/>
              <w:spacing w:after="0" w:line="240" w:lineRule="auto"/>
              <w:rPr>
                <w:rFonts w:eastAsia="Times New Roman" w:cs="Calibri"/>
                <w:noProof/>
              </w:rPr>
            </w:pPr>
            <w:r>
              <w:rPr>
                <w:noProof/>
              </w:rPr>
              <w:t>C</w:t>
            </w:r>
            <w:r>
              <w:rPr>
                <w:rFonts w:asciiTheme="minorHAnsi" w:eastAsiaTheme="minorEastAsia" w:hAnsiTheme="minorHAnsi" w:cstheme="minorBidi"/>
                <w:noProof/>
              </w:rPr>
              <w:t xml:space="preserve">opomíjení nového </w:t>
            </w:r>
            <w:r>
              <w:rPr>
                <w:rFonts w:asciiTheme="minorHAnsi" w:eastAsiaTheme="minorEastAsia" w:hAnsiTheme="minorHAnsi" w:cstheme="minorBidi"/>
                <w:noProof/>
              </w:rPr>
              <w:t xml:space="preserve">oddělení radioterapie v nemocnici Sotiria a nové stavební infrastruktury; modernizace infrastruktury budov;  most propojující budovu „300 Andron (Men)“ a stávající mostní síť s víceúčelovou ICU, „MEGA. Laikon“ a chirurgický odbor; renovace klinik a nového </w:t>
            </w:r>
            <w:r>
              <w:rPr>
                <w:rFonts w:asciiTheme="minorHAnsi" w:eastAsiaTheme="minorEastAsia" w:hAnsiTheme="minorHAnsi" w:cstheme="minorBidi"/>
                <w:noProof/>
              </w:rPr>
              <w:t xml:space="preserve">laboratorního oddělení. </w:t>
            </w:r>
          </w:p>
        </w:tc>
      </w:tr>
      <w:tr w:rsidR="00515398" w14:paraId="19E54A6F"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4C6F9933" w14:textId="77777777" w:rsidR="00515398" w:rsidRDefault="006711E6">
            <w:pPr>
              <w:pStyle w:val="P68B1DB1-Normal9"/>
              <w:spacing w:after="0" w:line="240" w:lineRule="auto"/>
              <w:rPr>
                <w:rFonts w:eastAsia="Times New Roman" w:cs="Calibri"/>
                <w:noProof/>
                <w:szCs w:val="18"/>
              </w:rPr>
            </w:pPr>
            <w:r>
              <w:rPr>
                <w:noProof/>
              </w:rPr>
              <w:t>172</w:t>
            </w:r>
          </w:p>
        </w:tc>
        <w:tc>
          <w:tcPr>
            <w:tcW w:w="1797" w:type="dxa"/>
            <w:tcBorders>
              <w:top w:val="single" w:sz="4" w:space="0" w:color="auto"/>
              <w:left w:val="nil"/>
              <w:bottom w:val="single" w:sz="4" w:space="0" w:color="auto"/>
              <w:right w:val="single" w:sz="4" w:space="0" w:color="auto"/>
            </w:tcBorders>
            <w:shd w:val="clear" w:color="auto" w:fill="C6EFCE"/>
            <w:noWrap/>
          </w:tcPr>
          <w:p w14:paraId="705518C2"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16793_Projekt výstavby budovy určené pro buněčné a genetické terapie a hematologické klinické laboratoře v rámci všeobecné nemocnice Soluň „Papanikolaou“</w:t>
            </w:r>
          </w:p>
        </w:tc>
        <w:tc>
          <w:tcPr>
            <w:tcW w:w="1424" w:type="dxa"/>
            <w:tcBorders>
              <w:top w:val="single" w:sz="4" w:space="0" w:color="auto"/>
              <w:left w:val="nil"/>
              <w:bottom w:val="single" w:sz="4" w:space="0" w:color="auto"/>
              <w:right w:val="single" w:sz="4" w:space="0" w:color="auto"/>
            </w:tcBorders>
            <w:shd w:val="clear" w:color="auto" w:fill="C6EFCE"/>
            <w:noWrap/>
          </w:tcPr>
          <w:p w14:paraId="0BA3C583" w14:textId="77777777" w:rsidR="00515398" w:rsidRDefault="006711E6">
            <w:pPr>
              <w:pStyle w:val="P68B1DB1-Normal9"/>
              <w:spacing w:after="0" w:line="240" w:lineRule="auto"/>
              <w:rPr>
                <w:rFonts w:eastAsia="Times New Roman" w:cs="Calibri"/>
                <w:noProof/>
                <w:szCs w:val="18"/>
              </w:rPr>
            </w:pPr>
            <w:r>
              <w:rPr>
                <w:noProof/>
              </w:rPr>
              <w:t>Milník</w:t>
            </w:r>
          </w:p>
        </w:tc>
        <w:tc>
          <w:tcPr>
            <w:tcW w:w="1419" w:type="dxa"/>
            <w:tcBorders>
              <w:top w:val="single" w:sz="4" w:space="0" w:color="auto"/>
              <w:left w:val="nil"/>
              <w:bottom w:val="single" w:sz="4" w:space="0" w:color="auto"/>
              <w:right w:val="single" w:sz="4" w:space="0" w:color="auto"/>
            </w:tcBorders>
            <w:shd w:val="clear" w:color="auto" w:fill="C6EFCE"/>
            <w:noWrap/>
          </w:tcPr>
          <w:p w14:paraId="24DCEFF5" w14:textId="77777777" w:rsidR="00515398" w:rsidRDefault="006711E6">
            <w:pPr>
              <w:pStyle w:val="P68B1DB1-Normal9"/>
              <w:spacing w:after="0" w:line="240" w:lineRule="auto"/>
              <w:rPr>
                <w:rFonts w:eastAsia="Times New Roman" w:cs="Calibri"/>
                <w:noProof/>
                <w:szCs w:val="18"/>
              </w:rPr>
            </w:pPr>
            <w:r>
              <w:rPr>
                <w:noProof/>
              </w:rPr>
              <w:t>Dokončení nemocnice Papanikolau</w:t>
            </w:r>
          </w:p>
        </w:tc>
        <w:tc>
          <w:tcPr>
            <w:tcW w:w="1553" w:type="dxa"/>
            <w:tcBorders>
              <w:top w:val="single" w:sz="4" w:space="0" w:color="auto"/>
              <w:left w:val="nil"/>
              <w:bottom w:val="single" w:sz="4" w:space="0" w:color="auto"/>
              <w:right w:val="single" w:sz="4" w:space="0" w:color="auto"/>
            </w:tcBorders>
            <w:shd w:val="clear" w:color="auto" w:fill="C6EFCE"/>
            <w:noWrap/>
          </w:tcPr>
          <w:p w14:paraId="4AEE5AC7" w14:textId="77777777" w:rsidR="00515398" w:rsidRDefault="006711E6">
            <w:pPr>
              <w:pStyle w:val="P68B1DB1-Normal9"/>
              <w:spacing w:after="0" w:line="240" w:lineRule="auto"/>
              <w:rPr>
                <w:rFonts w:eastAsia="Times New Roman" w:cs="Calibri"/>
                <w:noProof/>
                <w:szCs w:val="18"/>
              </w:rPr>
            </w:pPr>
            <w:r>
              <w:rPr>
                <w:noProof/>
              </w:rPr>
              <w:t xml:space="preserve">Zpráva o dokončení infrastrukturních prací na stavbě budovy určené pro buněčné a genové terapie a hematologické kliniky v rámci všeobecné nemocnice Soluň „Papanikolaou“. </w:t>
            </w:r>
          </w:p>
        </w:tc>
        <w:tc>
          <w:tcPr>
            <w:tcW w:w="866" w:type="dxa"/>
            <w:tcBorders>
              <w:top w:val="single" w:sz="4" w:space="0" w:color="auto"/>
              <w:left w:val="nil"/>
              <w:bottom w:val="single" w:sz="4" w:space="0" w:color="auto"/>
              <w:right w:val="single" w:sz="4" w:space="0" w:color="auto"/>
            </w:tcBorders>
            <w:shd w:val="clear" w:color="auto" w:fill="C6EFCE"/>
            <w:noWrap/>
          </w:tcPr>
          <w:p w14:paraId="351D56CA"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1975CB3" w14:textId="77777777" w:rsidR="00515398" w:rsidRDefault="00515398">
            <w:pPr>
              <w:spacing w:after="0" w:line="240" w:lineRule="auto"/>
              <w:rPr>
                <w:rFonts w:eastAsia="Times New Roman" w:cs="Calibri"/>
                <w:noProof/>
                <w:color w:val="006100"/>
                <w:sz w:val="18"/>
                <w:szCs w:val="18"/>
              </w:rPr>
            </w:pPr>
          </w:p>
        </w:tc>
        <w:tc>
          <w:tcPr>
            <w:tcW w:w="659" w:type="dxa"/>
            <w:tcBorders>
              <w:top w:val="single" w:sz="4" w:space="0" w:color="auto"/>
              <w:left w:val="nil"/>
              <w:bottom w:val="single" w:sz="4" w:space="0" w:color="auto"/>
              <w:right w:val="single" w:sz="4" w:space="0" w:color="auto"/>
            </w:tcBorders>
            <w:shd w:val="clear" w:color="auto" w:fill="C6EFCE"/>
            <w:noWrap/>
          </w:tcPr>
          <w:p w14:paraId="66CC0648"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3C19EE65"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49DB644B" w14:textId="77777777" w:rsidR="00515398" w:rsidRDefault="006711E6">
            <w:pPr>
              <w:pStyle w:val="P68B1DB1-Normal9"/>
              <w:spacing w:after="0" w:line="240" w:lineRule="auto"/>
              <w:rPr>
                <w:rFonts w:eastAsia="Times New Roman" w:cs="Calibri"/>
                <w:noProof/>
                <w:szCs w:val="18"/>
              </w:rPr>
            </w:pPr>
            <w:r>
              <w:rPr>
                <w:noProof/>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00A375A7" w14:textId="77777777" w:rsidR="00515398" w:rsidRDefault="006711E6">
            <w:pPr>
              <w:pStyle w:val="P68B1DB1-Normal9"/>
              <w:spacing w:after="0" w:line="240" w:lineRule="auto"/>
              <w:rPr>
                <w:rFonts w:eastAsia="Times New Roman" w:cs="Calibri"/>
                <w:noProof/>
                <w:szCs w:val="18"/>
              </w:rPr>
            </w:pPr>
            <w:r>
              <w:rPr>
                <w:noProof/>
              </w:rPr>
              <w:t xml:space="preserve">Dokončení nových </w:t>
            </w:r>
            <w:r>
              <w:rPr>
                <w:noProof/>
              </w:rPr>
              <w:t>třísložkových budov, v nichž budou umístěny všechny specializované laboratoře a zvláštní ošetřovatelská jednotka; restrukturalizace přízemí stávající budovy tak, aby měl dostatek prostoru pro ambulantní kliniky a denní péči o nemocnici Papanikolaou, a dosa</w:t>
            </w:r>
            <w:r>
              <w:rPr>
                <w:noProof/>
              </w:rPr>
              <w:t>žení spotřeby primární energie, která je nejméně o 20 % nižší než požadavek na budovy s téměř nulovou spotřebou energie (budova s téměř nulovou spotřebou energie, vnitrostátní směrnice).</w:t>
            </w:r>
          </w:p>
        </w:tc>
      </w:tr>
      <w:tr w:rsidR="00515398" w14:paraId="40919628" w14:textId="77777777">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14:paraId="0C6531BC" w14:textId="77777777" w:rsidR="00515398" w:rsidRDefault="006711E6">
            <w:pPr>
              <w:pStyle w:val="P68B1DB1-Normal9"/>
              <w:spacing w:after="0" w:line="240" w:lineRule="auto"/>
              <w:rPr>
                <w:rFonts w:eastAsia="Times New Roman" w:cs="Calibri"/>
                <w:noProof/>
                <w:szCs w:val="18"/>
              </w:rPr>
            </w:pPr>
            <w:r>
              <w:rPr>
                <w:noProof/>
              </w:rPr>
              <w:t>173</w:t>
            </w:r>
          </w:p>
        </w:tc>
        <w:tc>
          <w:tcPr>
            <w:tcW w:w="1797" w:type="dxa"/>
            <w:tcBorders>
              <w:top w:val="single" w:sz="4" w:space="0" w:color="auto"/>
              <w:left w:val="nil"/>
              <w:bottom w:val="single" w:sz="4" w:space="0" w:color="auto"/>
              <w:right w:val="single" w:sz="4" w:space="0" w:color="auto"/>
            </w:tcBorders>
            <w:shd w:val="clear" w:color="auto" w:fill="C6EFCE"/>
            <w:noWrap/>
          </w:tcPr>
          <w:p w14:paraId="2131BB20" w14:textId="77777777" w:rsidR="00515398" w:rsidRDefault="006711E6">
            <w:pPr>
              <w:pStyle w:val="P68B1DB1-Normal9"/>
              <w:spacing w:after="0" w:line="240" w:lineRule="auto"/>
              <w:rPr>
                <w:rFonts w:eastAsia="Times New Roman" w:cs="Calibri"/>
                <w:noProof/>
                <w:szCs w:val="18"/>
              </w:rPr>
            </w:pPr>
            <w:r>
              <w:rPr>
                <w:noProof/>
              </w:rPr>
              <w:t>10–3.3. Zlepšení odolnosti, dostupnosti a udržitelnosti zdravotní péče – 16752_Digitální transformace zdraví (DigHealth)</w:t>
            </w:r>
          </w:p>
          <w:p w14:paraId="0BE470D7" w14:textId="77777777" w:rsidR="00515398" w:rsidRDefault="00515398">
            <w:pPr>
              <w:spacing w:before="120" w:after="120" w:line="240" w:lineRule="auto"/>
              <w:jc w:val="center"/>
              <w:rPr>
                <w:rFonts w:eastAsia="Times New Roman" w:cs="Calibri"/>
                <w:noProof/>
                <w:sz w:val="18"/>
                <w:szCs w:val="18"/>
              </w:rPr>
            </w:pPr>
          </w:p>
        </w:tc>
        <w:tc>
          <w:tcPr>
            <w:tcW w:w="1424" w:type="dxa"/>
            <w:tcBorders>
              <w:top w:val="single" w:sz="4" w:space="0" w:color="auto"/>
              <w:left w:val="nil"/>
              <w:bottom w:val="single" w:sz="4" w:space="0" w:color="auto"/>
              <w:right w:val="single" w:sz="4" w:space="0" w:color="auto"/>
            </w:tcBorders>
            <w:shd w:val="clear" w:color="auto" w:fill="C6EFCE"/>
            <w:noWrap/>
          </w:tcPr>
          <w:p w14:paraId="55C99865" w14:textId="77777777" w:rsidR="00515398" w:rsidRDefault="006711E6">
            <w:pPr>
              <w:pStyle w:val="P68B1DB1-Normal9"/>
              <w:spacing w:after="0" w:line="240" w:lineRule="auto"/>
              <w:rPr>
                <w:rFonts w:eastAsia="Times New Roman" w:cs="Calibri"/>
                <w:noProof/>
                <w:szCs w:val="18"/>
              </w:rPr>
            </w:pPr>
            <w:r>
              <w:rPr>
                <w:noProof/>
              </w:rPr>
              <w:t>Milník</w:t>
            </w:r>
          </w:p>
        </w:tc>
        <w:tc>
          <w:tcPr>
            <w:tcW w:w="1419" w:type="dxa"/>
            <w:tcBorders>
              <w:top w:val="single" w:sz="4" w:space="0" w:color="auto"/>
              <w:left w:val="nil"/>
              <w:bottom w:val="single" w:sz="4" w:space="0" w:color="auto"/>
              <w:right w:val="single" w:sz="4" w:space="0" w:color="auto"/>
            </w:tcBorders>
            <w:shd w:val="clear" w:color="auto" w:fill="C6EFCE"/>
            <w:noWrap/>
          </w:tcPr>
          <w:p w14:paraId="31E84A4C" w14:textId="77777777" w:rsidR="00515398" w:rsidRDefault="006711E6">
            <w:pPr>
              <w:pStyle w:val="P68B1DB1-Normal9"/>
              <w:spacing w:after="0" w:line="240" w:lineRule="auto"/>
              <w:rPr>
                <w:rFonts w:eastAsia="Times New Roman" w:cs="Calibri"/>
                <w:noProof/>
                <w:szCs w:val="18"/>
              </w:rPr>
            </w:pPr>
            <w:r>
              <w:rPr>
                <w:noProof/>
              </w:rPr>
              <w:t>Digitální transformace – všechny dílčí projekty dokončeny</w:t>
            </w:r>
          </w:p>
        </w:tc>
        <w:tc>
          <w:tcPr>
            <w:tcW w:w="1553" w:type="dxa"/>
            <w:tcBorders>
              <w:top w:val="single" w:sz="4" w:space="0" w:color="auto"/>
              <w:left w:val="nil"/>
              <w:bottom w:val="single" w:sz="4" w:space="0" w:color="auto"/>
              <w:right w:val="single" w:sz="4" w:space="0" w:color="auto"/>
            </w:tcBorders>
            <w:shd w:val="clear" w:color="auto" w:fill="C6EFCE"/>
            <w:noWrap/>
          </w:tcPr>
          <w:p w14:paraId="37772179" w14:textId="69F9C510" w:rsidR="00515398" w:rsidRDefault="006711E6">
            <w:pPr>
              <w:pStyle w:val="P68B1DB1-Normal10"/>
              <w:spacing w:after="0" w:line="240" w:lineRule="auto"/>
              <w:rPr>
                <w:rFonts w:eastAsia="Times New Roman" w:cs="Calibri"/>
                <w:noProof/>
              </w:rPr>
            </w:pPr>
            <w:r>
              <w:rPr>
                <w:noProof/>
              </w:rPr>
              <w:t xml:space="preserve">Osvědčení o dokončení vydané v souladu s vnitrostátními právními </w:t>
            </w:r>
            <w:r>
              <w:rPr>
                <w:noProof/>
              </w:rPr>
              <w:t>předpisy</w:t>
            </w:r>
          </w:p>
          <w:p w14:paraId="704BECF4" w14:textId="77777777" w:rsidR="00515398" w:rsidRDefault="00515398">
            <w:pPr>
              <w:spacing w:after="0" w:line="240" w:lineRule="auto"/>
              <w:rPr>
                <w:rFonts w:eastAsia="Times New Roman" w:cs="Calibri"/>
                <w:noProof/>
                <w:color w:val="006100"/>
                <w:sz w:val="18"/>
                <w:szCs w:val="18"/>
              </w:rPr>
            </w:pPr>
          </w:p>
        </w:tc>
        <w:tc>
          <w:tcPr>
            <w:tcW w:w="866" w:type="dxa"/>
            <w:tcBorders>
              <w:top w:val="single" w:sz="4" w:space="0" w:color="auto"/>
              <w:left w:val="nil"/>
              <w:bottom w:val="single" w:sz="4" w:space="0" w:color="auto"/>
              <w:right w:val="single" w:sz="4" w:space="0" w:color="auto"/>
            </w:tcBorders>
            <w:shd w:val="clear" w:color="auto" w:fill="C6EFCE"/>
            <w:noWrap/>
          </w:tcPr>
          <w:p w14:paraId="2BCE5037"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4E82653" w14:textId="77777777" w:rsidR="00515398" w:rsidRDefault="00515398">
            <w:pPr>
              <w:spacing w:after="0" w:line="240" w:lineRule="auto"/>
              <w:rPr>
                <w:rFonts w:eastAsia="Times New Roman" w:cs="Calibri"/>
                <w:noProof/>
                <w:color w:val="006100"/>
                <w:sz w:val="18"/>
                <w:szCs w:val="18"/>
              </w:rPr>
            </w:pPr>
          </w:p>
        </w:tc>
        <w:tc>
          <w:tcPr>
            <w:tcW w:w="659" w:type="dxa"/>
            <w:tcBorders>
              <w:top w:val="single" w:sz="4" w:space="0" w:color="auto"/>
              <w:left w:val="nil"/>
              <w:bottom w:val="single" w:sz="4" w:space="0" w:color="auto"/>
              <w:right w:val="single" w:sz="4" w:space="0" w:color="auto"/>
            </w:tcBorders>
            <w:shd w:val="clear" w:color="auto" w:fill="C6EFCE"/>
            <w:noWrap/>
          </w:tcPr>
          <w:p w14:paraId="7912F78B"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67AF94F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55F1CEB8" w14:textId="77777777" w:rsidR="00515398" w:rsidRDefault="006711E6">
            <w:pPr>
              <w:pStyle w:val="P68B1DB1-Normal9"/>
              <w:spacing w:after="0" w:line="240" w:lineRule="auto"/>
              <w:rPr>
                <w:rFonts w:eastAsia="Times New Roman" w:cs="Calibri"/>
                <w:noProof/>
                <w:szCs w:val="18"/>
              </w:rPr>
            </w:pPr>
            <w:r>
              <w:rPr>
                <w:noProof/>
              </w:rPr>
              <w:t>2025</w:t>
            </w:r>
          </w:p>
        </w:tc>
        <w:tc>
          <w:tcPr>
            <w:tcW w:w="4731" w:type="dxa"/>
            <w:tcBorders>
              <w:top w:val="single" w:sz="4" w:space="0" w:color="auto"/>
              <w:left w:val="nil"/>
              <w:bottom w:val="single" w:sz="4" w:space="0" w:color="auto"/>
              <w:right w:val="single" w:sz="4" w:space="0" w:color="auto"/>
            </w:tcBorders>
            <w:shd w:val="clear" w:color="auto" w:fill="C6EFCE"/>
            <w:noWrap/>
          </w:tcPr>
          <w:p w14:paraId="38945BA2" w14:textId="4D4DDD88" w:rsidR="00515398" w:rsidRDefault="006711E6">
            <w:pPr>
              <w:pStyle w:val="P68B1DB1-Normal10"/>
              <w:spacing w:after="0" w:line="240" w:lineRule="auto"/>
              <w:rPr>
                <w:rFonts w:eastAsia="Times New Roman" w:cs="Calibri"/>
                <w:noProof/>
              </w:rPr>
            </w:pPr>
            <w:r>
              <w:rPr>
                <w:noProof/>
              </w:rPr>
              <w:t>Dokončení:</w:t>
            </w:r>
          </w:p>
          <w:p w14:paraId="7EC16AC0" w14:textId="78B179F9" w:rsidR="00515398" w:rsidRDefault="006711E6">
            <w:pPr>
              <w:pStyle w:val="P68B1DB1-Normal10"/>
              <w:spacing w:after="0" w:line="240" w:lineRule="auto"/>
              <w:rPr>
                <w:rFonts w:ascii="Times New Roman" w:eastAsia="Times New Roman" w:hAnsi="Times New Roman" w:cs="Times New Roman"/>
                <w:noProof/>
                <w:sz w:val="20"/>
                <w:szCs w:val="20"/>
              </w:rPr>
            </w:pPr>
            <w:r>
              <w:rPr>
                <w:noProof/>
              </w:rPr>
              <w:t xml:space="preserve">a) vnitrostátní digitální zdravotní záznamy pacientů, </w:t>
            </w:r>
            <w:r>
              <w:rPr>
                <w:rFonts w:asciiTheme="minorHAnsi" w:eastAsiaTheme="minorEastAsia" w:hAnsiTheme="minorHAnsi" w:cstheme="minorBidi"/>
                <w:noProof/>
              </w:rPr>
              <w:t xml:space="preserve"> včetně: Platforma hlavní evidence pacientů, subsystém identifikace a autentizace uživatele, internetový portál systému, subsystém interoperability uživatels</w:t>
            </w:r>
            <w:r>
              <w:rPr>
                <w:rFonts w:asciiTheme="minorHAnsi" w:eastAsiaTheme="minorEastAsia" w:hAnsiTheme="minorHAnsi" w:cstheme="minorBidi"/>
                <w:noProof/>
              </w:rPr>
              <w:t xml:space="preserve">kého rozhraní UI, Integrace lékařských údajů primární zdravotní péče, aplikace péče o pacienty, subsystém BI </w:t>
            </w:r>
          </w:p>
          <w:p w14:paraId="2E8C3A2F" w14:textId="010C3A51" w:rsidR="00515398" w:rsidRDefault="00515398">
            <w:pPr>
              <w:spacing w:after="0" w:line="240" w:lineRule="auto"/>
              <w:rPr>
                <w:noProof/>
                <w:color w:val="006100"/>
                <w:sz w:val="18"/>
                <w:szCs w:val="18"/>
              </w:rPr>
            </w:pPr>
          </w:p>
          <w:p w14:paraId="6390D0C0" w14:textId="24733D70" w:rsidR="00515398" w:rsidRDefault="006711E6">
            <w:pPr>
              <w:pStyle w:val="P68B1DB1-Normal10"/>
              <w:spacing w:after="0" w:line="240" w:lineRule="auto"/>
              <w:rPr>
                <w:noProof/>
              </w:rPr>
            </w:pPr>
            <w:r>
              <w:rPr>
                <w:noProof/>
              </w:rPr>
              <w:t>b) program digitální transformace léčby rakoviny, včetně: registry pacientů, informační systém pro léčbu rakoviny (včetně léčebných protokolů pro</w:t>
            </w:r>
            <w:r>
              <w:rPr>
                <w:noProof/>
              </w:rPr>
              <w:t xml:space="preserve"> chemoterapii, z nichž 36 je již ve vývoji a instalaci systému v nejméně osmi nemocnicích), zavedení/vytvoření vnitrostátního registru nádorových onemocnění,</w:t>
            </w:r>
          </w:p>
          <w:p w14:paraId="39AC948A" w14:textId="1AF8F0F2" w:rsidR="00515398" w:rsidRDefault="00515398">
            <w:pPr>
              <w:spacing w:after="0" w:line="240" w:lineRule="auto"/>
              <w:rPr>
                <w:noProof/>
                <w:color w:val="006100"/>
                <w:sz w:val="18"/>
                <w:szCs w:val="18"/>
              </w:rPr>
            </w:pPr>
          </w:p>
          <w:p w14:paraId="2CCB4E72" w14:textId="0AAC6E52" w:rsidR="00515398" w:rsidRDefault="006711E6">
            <w:pPr>
              <w:pStyle w:val="P68B1DB1-Normal10"/>
              <w:spacing w:after="0" w:line="240" w:lineRule="auto"/>
              <w:rPr>
                <w:rFonts w:eastAsia="Times New Roman" w:cs="Calibri"/>
                <w:noProof/>
              </w:rPr>
            </w:pPr>
            <w:r>
              <w:rPr>
                <w:noProof/>
              </w:rPr>
              <w:t>C) rozšíření kapacity národní sítě telemedicíny, včetně telemedicínských stanic, nové infrastrukt</w:t>
            </w:r>
            <w:r>
              <w:rPr>
                <w:noProof/>
              </w:rPr>
              <w:t xml:space="preserve">ury, nástrojů </w:t>
            </w:r>
          </w:p>
          <w:p w14:paraId="0F6A0647" w14:textId="1653BB3A" w:rsidR="00515398" w:rsidRDefault="00515398">
            <w:pPr>
              <w:spacing w:after="0" w:line="240" w:lineRule="auto"/>
              <w:rPr>
                <w:noProof/>
                <w:color w:val="006100"/>
                <w:sz w:val="18"/>
                <w:szCs w:val="18"/>
              </w:rPr>
            </w:pPr>
          </w:p>
          <w:p w14:paraId="0E8D3CDD" w14:textId="69BA72CD" w:rsidR="00515398" w:rsidRDefault="006711E6">
            <w:pPr>
              <w:pStyle w:val="P68B1DB1-Normal10"/>
              <w:spacing w:after="0" w:line="240" w:lineRule="auto"/>
              <w:rPr>
                <w:rFonts w:eastAsia="Times New Roman" w:cs="Calibri"/>
                <w:noProof/>
              </w:rPr>
            </w:pPr>
            <w:r>
              <w:rPr>
                <w:noProof/>
              </w:rPr>
              <w:t>d) digitální připravenost nemocnic, včetně: zavedení systémů elektronických zdravotních záznamů, soupis zdravotnického vybavení, interoperabilita DRG, elektronické objednávky pro pacienty s cílem uplatnit je ve stávajících léčebných protoko</w:t>
            </w:r>
            <w:r>
              <w:rPr>
                <w:noProof/>
              </w:rPr>
              <w:t xml:space="preserve">lech v nemocničním prostředí, zavedení interoperability s vnitrostátním systémem elektronického jmenování, digitální modernizace národního střediska pomoci při mimořádných událostech (EKAB) a agentury pro léčivé přípravky (EOF), </w:t>
            </w:r>
          </w:p>
          <w:p w14:paraId="0A4C3C70" w14:textId="4C8863DE" w:rsidR="00515398" w:rsidRDefault="00515398">
            <w:pPr>
              <w:spacing w:after="0" w:line="240" w:lineRule="auto"/>
              <w:rPr>
                <w:noProof/>
                <w:color w:val="006100"/>
                <w:sz w:val="18"/>
                <w:szCs w:val="18"/>
              </w:rPr>
            </w:pPr>
          </w:p>
          <w:p w14:paraId="5B64AEC5" w14:textId="78E780E3" w:rsidR="00515398" w:rsidRDefault="006711E6">
            <w:pPr>
              <w:pStyle w:val="P68B1DB1-Normal10"/>
              <w:spacing w:after="0" w:line="240" w:lineRule="auto"/>
              <w:rPr>
                <w:rFonts w:eastAsia="Times New Roman" w:cs="Calibri"/>
                <w:noProof/>
              </w:rPr>
            </w:pPr>
            <w:r>
              <w:rPr>
                <w:noProof/>
              </w:rPr>
              <w:t>e) integrovaný informační</w:t>
            </w:r>
            <w:r>
              <w:rPr>
                <w:noProof/>
              </w:rPr>
              <w:t xml:space="preserve"> systém EOPYY (Národní organizace pro poskytování zdravotnických služeb), řízení a monitorování výdajů, digitální služby pro poskytovatele zdravotní péče a občany, správa dat, analýza a interoperabilita a nákup 250 licencí pro plánování podnikových zdrojů </w:t>
            </w:r>
            <w:r>
              <w:rPr>
                <w:noProof/>
              </w:rPr>
              <w:t>(ERP) pro systém finančního řízení a zúčtování.</w:t>
            </w:r>
          </w:p>
        </w:tc>
      </w:tr>
    </w:tbl>
    <w:p w14:paraId="5C6054FB" w14:textId="77777777" w:rsidR="00515398" w:rsidRDefault="00515398">
      <w:pPr>
        <w:spacing w:before="120" w:after="120" w:line="240" w:lineRule="auto"/>
        <w:jc w:val="both"/>
        <w:rPr>
          <w:rFonts w:ascii="Times New Roman" w:hAnsi="Times New Roman" w:cs="Times New Roman"/>
          <w:noProof/>
          <w:sz w:val="24"/>
        </w:rPr>
        <w:sectPr w:rsidR="00515398" w:rsidSect="00271D33">
          <w:headerReference w:type="even" r:id="rId181"/>
          <w:headerReference w:type="default" r:id="rId182"/>
          <w:footerReference w:type="even" r:id="rId183"/>
          <w:footerReference w:type="default" r:id="rId184"/>
          <w:headerReference w:type="first" r:id="rId185"/>
          <w:footerReference w:type="first" r:id="rId186"/>
          <w:pgSz w:w="16839" w:h="11907" w:orient="landscape"/>
          <w:pgMar w:top="720" w:right="720" w:bottom="720" w:left="720" w:header="709" w:footer="217" w:gutter="0"/>
          <w:cols w:space="720"/>
          <w:docGrid w:linePitch="360"/>
        </w:sectPr>
      </w:pPr>
    </w:p>
    <w:p w14:paraId="76A8F673" w14:textId="77777777" w:rsidR="00515398" w:rsidRDefault="006711E6">
      <w:pPr>
        <w:pStyle w:val="P68B1DB1-Normal2"/>
        <w:spacing w:before="120" w:after="120" w:line="240" w:lineRule="auto"/>
        <w:ind w:firstLine="6"/>
        <w:jc w:val="both"/>
        <w:outlineLvl w:val="3"/>
        <w:rPr>
          <w:rFonts w:cs="Times New Roman"/>
          <w:noProof/>
          <w:szCs w:val="24"/>
        </w:rPr>
      </w:pPr>
      <w:r>
        <w:rPr>
          <w:noProof/>
        </w:rPr>
        <w:t>K. SLOŽKA 3.4: ZLEPŠENÍ PŘÍSTUPU K ÚČINNÝM A INKLUZIVNÍM SOCIÁLNÍM POLITIKÁM</w:t>
      </w:r>
    </w:p>
    <w:p w14:paraId="4B038EBD" w14:textId="77777777" w:rsidR="00515398" w:rsidRDefault="006711E6">
      <w:pPr>
        <w:pStyle w:val="P68B1DB1-Normal4"/>
        <w:spacing w:before="120" w:after="120" w:line="240" w:lineRule="auto"/>
        <w:jc w:val="both"/>
        <w:rPr>
          <w:rFonts w:cs="Times New Roman"/>
          <w:noProof/>
          <w:szCs w:val="24"/>
        </w:rPr>
      </w:pPr>
      <w:r>
        <w:rPr>
          <w:noProof/>
        </w:rPr>
        <w:t xml:space="preserve">Cílem této složky řeckého plánu na podporu oživení a řešení krize je </w:t>
      </w:r>
      <w:r>
        <w:rPr>
          <w:noProof/>
        </w:rPr>
        <w:t>podpořit sociální začleňování se zvláštním zaměřením na zranitelné skupiny a zároveň podpořit účast žen na trhu práce. Velká část složky je věnována předškolnímu vzdělávání a péči, zejména ve formě dotací na vytvoření 1000 nových jednotek péče o děti v obc</w:t>
      </w:r>
      <w:r>
        <w:rPr>
          <w:noProof/>
        </w:rPr>
        <w:t>ích. Plán rovněž umožňuje aktivační opatření na trhu práce pro zranitelné skupiny, včetně příjemců zaručeného minimálního příjmu, uprchlíků, osob bez domova, Romů a osob trpících poruchami autistického spektra. Klíčovými prvky plánu jsou rovněž rozsáhlý vz</w:t>
      </w:r>
      <w:r>
        <w:rPr>
          <w:noProof/>
        </w:rPr>
        <w:t>dělávací program pro malé podniky v oblasti povědomí o rozmanitosti a několik malých pilotních projektů, jako je deinstitucionalizace dětí, podpora osob se zdravotním postižením a sociální bydlení.</w:t>
      </w:r>
      <w:r>
        <w:rPr>
          <w:noProof/>
          <w:color w:val="000000"/>
          <w:shd w:val="clear" w:color="auto" w:fill="FFFFFF"/>
        </w:rPr>
        <w:t xml:space="preserve"> Složka je v souladu s doporučeními pro jednotlivé země týk</w:t>
      </w:r>
      <w:r>
        <w:rPr>
          <w:noProof/>
          <w:color w:val="000000"/>
          <w:shd w:val="clear" w:color="auto" w:fill="FFFFFF"/>
        </w:rPr>
        <w:t xml:space="preserve">ajícími se trhu práce a sociální politiky (doporučení pro jednotlivé země č. 2 2020 a 1 2019) a s investicemi (doporučení pro jednotlivé země č. 3 2020 a 2 2019). </w:t>
      </w:r>
      <w:r>
        <w:rPr>
          <w:noProof/>
        </w:rPr>
        <w:t>Očekává se, že žádné opatření v této složce významně nepoškozuje environmentální cíle ve smys</w:t>
      </w:r>
      <w:r>
        <w:rPr>
          <w:noProof/>
        </w:rPr>
        <w:t>lu článku 17 nařízení (EU) 2020/852, s přihlédnutím k popisu opatření a zmírňujícím krokům stanoveným v plánu pro oživení a odolnost v souladu s technickými pokyny „významně nepoškozovat“ (2021/C58/01).</w:t>
      </w:r>
    </w:p>
    <w:p w14:paraId="6287D754" w14:textId="77777777" w:rsidR="00515398" w:rsidRDefault="006711E6">
      <w:pPr>
        <w:spacing w:before="120" w:after="120" w:line="240" w:lineRule="auto"/>
        <w:jc w:val="both"/>
        <w:rPr>
          <w:rFonts w:ascii="Times New Roman" w:hAnsi="Times New Roman" w:cs="Times New Roman"/>
          <w:b/>
          <w:i/>
          <w:noProof/>
          <w:color w:val="4F81BD"/>
          <w:sz w:val="24"/>
          <w:szCs w:val="24"/>
        </w:rPr>
      </w:pPr>
      <w:r>
        <w:rPr>
          <w:rFonts w:ascii="Times New Roman" w:hAnsi="Times New Roman"/>
          <w:b/>
          <w:noProof/>
          <w:sz w:val="24"/>
          <w:u w:val="single"/>
        </w:rPr>
        <w:t xml:space="preserve">K.1. </w:t>
      </w:r>
      <w:r>
        <w:rPr>
          <w:noProof/>
        </w:rPr>
        <w:t xml:space="preserve"> </w:t>
      </w:r>
      <w:r>
        <w:rPr>
          <w:rFonts w:ascii="Times New Roman" w:hAnsi="Times New Roman"/>
          <w:b/>
          <w:noProof/>
          <w:sz w:val="24"/>
          <w:u w:val="single"/>
        </w:rPr>
        <w:t>Popis reforem a investic pro nevratnou finanční</w:t>
      </w:r>
      <w:r>
        <w:rPr>
          <w:rFonts w:ascii="Times New Roman" w:hAnsi="Times New Roman"/>
          <w:b/>
          <w:noProof/>
          <w:sz w:val="24"/>
          <w:u w:val="single"/>
        </w:rPr>
        <w:t xml:space="preserve"> podporu</w:t>
      </w:r>
    </w:p>
    <w:p w14:paraId="105C9639" w14:textId="77777777" w:rsidR="00515398" w:rsidRDefault="006711E6">
      <w:pPr>
        <w:pStyle w:val="P68B1DB1-Normal4"/>
        <w:spacing w:before="120" w:after="120" w:line="240" w:lineRule="auto"/>
        <w:jc w:val="both"/>
        <w:rPr>
          <w:rFonts w:cs="Times New Roman"/>
          <w:noProof/>
          <w:szCs w:val="24"/>
        </w:rPr>
      </w:pPr>
      <w:r>
        <w:rPr>
          <w:b/>
          <w:noProof/>
        </w:rPr>
        <w:t xml:space="preserve">Reforma: </w:t>
      </w:r>
      <w:r>
        <w:rPr>
          <w:noProof/>
        </w:rPr>
        <w:t>Ochrana dětí (ID opatření: 16919)</w:t>
      </w:r>
    </w:p>
    <w:p w14:paraId="4AFBC0FA" w14:textId="15BDF6C8" w:rsidR="00515398" w:rsidRDefault="006711E6">
      <w:pPr>
        <w:pStyle w:val="P68B1DB1-Normal4"/>
        <w:spacing w:before="120" w:after="120" w:line="240" w:lineRule="auto"/>
        <w:jc w:val="both"/>
        <w:rPr>
          <w:rFonts w:cs="Times New Roman"/>
          <w:noProof/>
          <w:szCs w:val="24"/>
        </w:rPr>
      </w:pPr>
      <w:r>
        <w:rPr>
          <w:noProof/>
        </w:rPr>
        <w:t>Opatření spočívá v investicích umožňujících a) přesun mladých lidí do 26 let z oddělení ochrany dětí do podporovaných nezávislých bytů s cílem deinstitucionalizace, budování dovedností a zlepšení zaměstna</w:t>
      </w:r>
      <w:r>
        <w:rPr>
          <w:noProof/>
        </w:rPr>
        <w:t>telnosti; a b) vytváření středisek tvůrčích činností v oblasti přírodních věd, technologií, inženýrství a matematiky (STEM) pro děti ve věku 12–15 let. Provádění reformy a investic se dokončí do 31. prosince 2025.</w:t>
      </w:r>
    </w:p>
    <w:p w14:paraId="3727207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Zdravotní postižení (ID opatření:</w:t>
      </w:r>
      <w:r>
        <w:rPr>
          <w:noProof/>
        </w:rPr>
        <w:t xml:space="preserve"> 16904)</w:t>
      </w:r>
    </w:p>
    <w:p w14:paraId="731579C7" w14:textId="33B101BE" w:rsidR="00515398" w:rsidRDefault="006711E6">
      <w:pPr>
        <w:pStyle w:val="P68B1DB1-Normal4"/>
        <w:spacing w:before="120" w:after="120" w:line="240" w:lineRule="auto"/>
        <w:jc w:val="both"/>
        <w:rPr>
          <w:rFonts w:cs="Times New Roman"/>
          <w:noProof/>
        </w:rPr>
      </w:pPr>
      <w:r>
        <w:rPr>
          <w:noProof/>
        </w:rPr>
        <w:t>Reforma sestává ze dvou dílčích projektů zaměřených na posílení sociálního začleňování, nezávislého života, zaměstnatelnosti a intervence v raném dětství pro osoby se zdravotním postižením. Tyto dílčí projekty se týkají zejména a) zlepšení nezávisl</w:t>
      </w:r>
      <w:r>
        <w:rPr>
          <w:noProof/>
        </w:rPr>
        <w:t xml:space="preserve">ého života osob se zdravotním postižením, přístupnosti a podpůrné infrastruktury pro osoby s mobilitou a smyslovým postižením, pomoci osobám se zdravotním postižením při nezávislém životě, včetně postupu posuzování způsobilosti, a to na základě lékařského </w:t>
      </w:r>
      <w:r>
        <w:rPr>
          <w:noProof/>
        </w:rPr>
        <w:t>i funkčního posouzení zdravotního postižení provedeného multidisciplinární hodnotící komisí: počáteční pilotní program a následné vnitrostátní zavádění; b) podpora intervencí v raném dětství (pilotní program). Provádění reformy se dokončí do 31. prosince 2</w:t>
      </w:r>
      <w:r>
        <w:rPr>
          <w:noProof/>
        </w:rPr>
        <w:t>025.</w:t>
      </w:r>
    </w:p>
    <w:p w14:paraId="7E018482" w14:textId="77777777" w:rsidR="00515398" w:rsidRDefault="006711E6">
      <w:pPr>
        <w:pStyle w:val="P68B1DB1-Normal4"/>
        <w:rPr>
          <w:b/>
          <w:noProof/>
        </w:rPr>
      </w:pPr>
      <w:r>
        <w:rPr>
          <w:noProof/>
        </w:rPr>
        <w:br w:type="page"/>
      </w:r>
    </w:p>
    <w:p w14:paraId="19EDAD7F" w14:textId="4F7CB390" w:rsidR="00515398" w:rsidRDefault="006711E6">
      <w:pPr>
        <w:pStyle w:val="P68B1DB1-Normal4"/>
        <w:spacing w:before="120" w:after="120" w:line="240" w:lineRule="auto"/>
        <w:jc w:val="both"/>
        <w:rPr>
          <w:rFonts w:cs="Times New Roman"/>
          <w:noProof/>
        </w:rPr>
      </w:pPr>
      <w:r>
        <w:rPr>
          <w:b/>
          <w:noProof/>
        </w:rPr>
        <w:t>Investice:</w:t>
      </w:r>
      <w:r>
        <w:rPr>
          <w:noProof/>
        </w:rPr>
        <w:t xml:space="preserve"> Sociální integrace (ID opatření: 16922)</w:t>
      </w:r>
    </w:p>
    <w:p w14:paraId="4E25B1AF" w14:textId="77777777" w:rsidR="00515398" w:rsidRDefault="006711E6">
      <w:pPr>
        <w:pStyle w:val="P68B1DB1-Normal4"/>
        <w:spacing w:before="120" w:after="120" w:line="240" w:lineRule="auto"/>
        <w:jc w:val="both"/>
        <w:rPr>
          <w:rFonts w:cs="Times New Roman"/>
          <w:noProof/>
        </w:rPr>
      </w:pPr>
      <w:r>
        <w:rPr>
          <w:noProof/>
        </w:rPr>
        <w:t>Tato investice sestává ze tří dílčích projektů:</w:t>
      </w:r>
    </w:p>
    <w:p w14:paraId="171E6A88" w14:textId="1AE047D1" w:rsidR="00515398" w:rsidRDefault="006711E6">
      <w:pPr>
        <w:pStyle w:val="P68B1DB1-Normal4"/>
        <w:numPr>
          <w:ilvl w:val="0"/>
          <w:numId w:val="66"/>
        </w:numPr>
        <w:spacing w:before="120" w:after="120" w:line="240" w:lineRule="auto"/>
        <w:ind w:left="426" w:hanging="426"/>
        <w:jc w:val="both"/>
        <w:rPr>
          <w:rFonts w:cs="Times New Roman"/>
          <w:noProof/>
        </w:rPr>
      </w:pPr>
      <w:r>
        <w:rPr>
          <w:noProof/>
        </w:rPr>
        <w:t>Opětovné začlenění nejzranitelnějších skupin do společnosti se zaměřuje na podporu nejzranitelnějších skupin (příjemců zaručeného minimálního příjmu a</w:t>
      </w:r>
      <w:r>
        <w:rPr>
          <w:noProof/>
        </w:rPr>
        <w:t xml:space="preserve"> osob bez domova), jejichž cílem je jejich (opětovné) začlenění na trh práce.</w:t>
      </w:r>
    </w:p>
    <w:p w14:paraId="04E9A2B9" w14:textId="77777777" w:rsidR="00515398" w:rsidRDefault="006711E6">
      <w:pPr>
        <w:pStyle w:val="P68B1DB1-Normal4"/>
        <w:numPr>
          <w:ilvl w:val="0"/>
          <w:numId w:val="66"/>
        </w:numPr>
        <w:spacing w:before="120" w:after="120" w:line="240" w:lineRule="auto"/>
        <w:ind w:left="426" w:hanging="426"/>
        <w:jc w:val="both"/>
        <w:rPr>
          <w:rFonts w:cs="Times New Roman"/>
          <w:noProof/>
        </w:rPr>
      </w:pPr>
      <w:r>
        <w:rPr>
          <w:noProof/>
        </w:rPr>
        <w:t>Digitální odborná příprava starších osob a osob se zdravotním postižením zahrnuje programy obeznámenosti, seznámení a vzdělávání starších osob a osob se zdravotním postižením v o</w:t>
      </w:r>
      <w:r>
        <w:rPr>
          <w:noProof/>
        </w:rPr>
        <w:t>blasti nových technologií, zejména pokud jde o digitální informační, komunikační a internetové dovednosti a dovednosti v sociálních médiích (např. provádění elektronických plateb, podávání žádostí prostřednictvím digitálních platforem, používání sociálních</w:t>
      </w:r>
      <w:r>
        <w:rPr>
          <w:noProof/>
        </w:rPr>
        <w:t xml:space="preserve"> médií). </w:t>
      </w:r>
    </w:p>
    <w:p w14:paraId="12145958" w14:textId="77777777" w:rsidR="00515398" w:rsidRDefault="006711E6">
      <w:pPr>
        <w:pStyle w:val="P68B1DB1-Normal4"/>
        <w:numPr>
          <w:ilvl w:val="0"/>
          <w:numId w:val="66"/>
        </w:numPr>
        <w:spacing w:before="120" w:after="120" w:line="240" w:lineRule="auto"/>
        <w:ind w:left="426" w:hanging="426"/>
        <w:jc w:val="both"/>
        <w:rPr>
          <w:rFonts w:cs="Times New Roman"/>
          <w:noProof/>
        </w:rPr>
      </w:pPr>
      <w:r>
        <w:rPr>
          <w:noProof/>
        </w:rPr>
        <w:t>Sociální bydlení se zaměřuje na poskytování podpory v oblasti bydlení nejzranitelnějším skupinám ohroženým nebo čelícím bezdomovectví.</w:t>
      </w:r>
    </w:p>
    <w:p w14:paraId="31B4390C" w14:textId="77777777" w:rsidR="00515398" w:rsidRDefault="006711E6">
      <w:pPr>
        <w:pStyle w:val="P68B1DB1-Normal4"/>
        <w:spacing w:before="120" w:after="120" w:line="240" w:lineRule="auto"/>
        <w:jc w:val="both"/>
        <w:rPr>
          <w:rFonts w:cs="Times New Roman"/>
          <w:noProof/>
        </w:rPr>
      </w:pPr>
      <w:r>
        <w:rPr>
          <w:noProof/>
        </w:rPr>
        <w:t>Provádění reformy se dokončí do 31. prosince 2025.</w:t>
      </w:r>
    </w:p>
    <w:p w14:paraId="69FD3E0D"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systému sociální podpory (ID opatření: 16925)</w:t>
      </w:r>
    </w:p>
    <w:p w14:paraId="33425782" w14:textId="292FE78E" w:rsidR="00515398" w:rsidRDefault="006711E6">
      <w:pPr>
        <w:pStyle w:val="P68B1DB1-Normal4"/>
        <w:spacing w:before="120" w:after="120" w:line="240" w:lineRule="auto"/>
        <w:jc w:val="both"/>
        <w:rPr>
          <w:rFonts w:cs="Times New Roman"/>
          <w:noProof/>
        </w:rPr>
      </w:pPr>
      <w:r>
        <w:rPr>
          <w:noProof/>
        </w:rPr>
        <w:t xml:space="preserve">Investice vyvíjí digitální nástroje, které umožňují: 1) zjednodušení přístupu občanů ke službám a dávkám sociální péče se zvláštním zaměřením na osoby se zdravotním postižením, 2) lepší </w:t>
      </w:r>
      <w:r>
        <w:rPr>
          <w:noProof/>
        </w:rPr>
        <w:t>identifikace potřeb s cílem zabránit plýtvání zdroji a co nejspravedlivější přidělování rozpočtových prostředků na sociální pomoc, 3) účinnější monitorování veřejných a soukromých poskytovatelů sociální péče.</w:t>
      </w:r>
    </w:p>
    <w:p w14:paraId="1323E774" w14:textId="141208F6" w:rsidR="00515398" w:rsidRDefault="006711E6">
      <w:pPr>
        <w:pStyle w:val="P68B1DB1-Normal4"/>
        <w:spacing w:before="120" w:after="120" w:line="240" w:lineRule="auto"/>
        <w:jc w:val="both"/>
        <w:rPr>
          <w:rFonts w:cs="Times New Roman"/>
          <w:noProof/>
          <w:szCs w:val="24"/>
        </w:rPr>
      </w:pPr>
      <w:r>
        <w:rPr>
          <w:noProof/>
        </w:rPr>
        <w:t>Investice sestává z těchto dílčích projektů: a)</w:t>
      </w:r>
      <w:r>
        <w:rPr>
          <w:noProof/>
        </w:rPr>
        <w:t xml:space="preserve"> zřízení jednotného digitálního přístupového portálu k sociální ochraně, který by integroval stávající elektronické formuláře pro podávání žádostí o peněžité dávky sociální pomoci do jednotného digitálního portálu; zřízení jednotného kontaktního místa pro </w:t>
      </w:r>
      <w:r>
        <w:rPr>
          <w:noProof/>
        </w:rPr>
        <w:t>vnitrostátní portál dávek pro osoby se zdravotním postižením, který příjemcům umožní online přístup k osobním údajům a dávkám a vydávání osvědčení; C) zavedení průkazu pro osoby se zdravotním postižením; d) digitální transformace Jednotného orgánu pro plat</w:t>
      </w:r>
      <w:r>
        <w:rPr>
          <w:noProof/>
        </w:rPr>
        <w:t>by sociálních dávek (OPEKA); vytvoření úplného soupisu veřejných nemovitostí souvisejících se službami sociální ochrany. Investice musí být provedena do 31. prosince 2025.</w:t>
      </w:r>
    </w:p>
    <w:p w14:paraId="6372FCB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Optimalizace sociálních dávek (ID opatření: 16726)</w:t>
      </w:r>
    </w:p>
    <w:p w14:paraId="4D5605CB" w14:textId="77777777" w:rsidR="00515398" w:rsidRDefault="006711E6">
      <w:pPr>
        <w:pStyle w:val="P68B1DB1-Normal4"/>
        <w:spacing w:before="120" w:after="120" w:line="240" w:lineRule="auto"/>
        <w:jc w:val="both"/>
        <w:rPr>
          <w:rFonts w:cs="Times New Roman"/>
          <w:noProof/>
        </w:rPr>
      </w:pPr>
      <w:r>
        <w:rPr>
          <w:noProof/>
        </w:rPr>
        <w:t>Reforma sestává z těchto</w:t>
      </w:r>
      <w:r>
        <w:rPr>
          <w:noProof/>
        </w:rPr>
        <w:t xml:space="preserve"> složek: </w:t>
      </w:r>
    </w:p>
    <w:p w14:paraId="78292C9C" w14:textId="727BCF0E" w:rsidR="00515398" w:rsidRDefault="006711E6">
      <w:pPr>
        <w:pStyle w:val="P68B1DB1-Normal4"/>
        <w:numPr>
          <w:ilvl w:val="0"/>
          <w:numId w:val="67"/>
        </w:numPr>
        <w:spacing w:before="120" w:after="120" w:line="240" w:lineRule="auto"/>
        <w:ind w:left="426" w:hanging="426"/>
        <w:jc w:val="both"/>
        <w:rPr>
          <w:rFonts w:cs="Times New Roman"/>
          <w:noProof/>
          <w:szCs w:val="24"/>
        </w:rPr>
      </w:pPr>
      <w:r>
        <w:rPr>
          <w:noProof/>
        </w:rPr>
        <w:t xml:space="preserve">Zavedení předplacených karet pro výplatu většiny sociálních dávek poskytovaných Jednotným úřadem pro platby sociálních dávek (OPEKA) a veřejnou službou zaměstnanosti (DYPA) </w:t>
      </w:r>
    </w:p>
    <w:p w14:paraId="5EA16424" w14:textId="12EE9445" w:rsidR="00515398" w:rsidRDefault="006711E6">
      <w:pPr>
        <w:pStyle w:val="P68B1DB1-Normal4"/>
        <w:numPr>
          <w:ilvl w:val="0"/>
          <w:numId w:val="67"/>
        </w:numPr>
        <w:spacing w:before="120" w:after="120" w:line="240" w:lineRule="auto"/>
        <w:ind w:left="426" w:hanging="426"/>
        <w:jc w:val="both"/>
        <w:rPr>
          <w:rFonts w:cs="Times New Roman"/>
          <w:noProof/>
        </w:rPr>
      </w:pPr>
      <w:r>
        <w:rPr>
          <w:noProof/>
        </w:rPr>
        <w:t xml:space="preserve">Poskytování pobídek příjemcům k používání předplacených karet k nákupu </w:t>
      </w:r>
      <w:r>
        <w:rPr>
          <w:noProof/>
        </w:rPr>
        <w:t xml:space="preserve">zboží a služeb </w:t>
      </w:r>
    </w:p>
    <w:p w14:paraId="708BA280" w14:textId="77777777" w:rsidR="00515398" w:rsidRDefault="006711E6">
      <w:pPr>
        <w:pStyle w:val="P68B1DB1-Normal4"/>
        <w:spacing w:before="120" w:after="120" w:line="240" w:lineRule="auto"/>
        <w:jc w:val="both"/>
        <w:rPr>
          <w:rFonts w:cs="Times New Roman"/>
          <w:noProof/>
        </w:rPr>
      </w:pPr>
      <w:r>
        <w:rPr>
          <w:noProof/>
        </w:rPr>
        <w:t>Provádění reformy se dokončí do 31. prosince 2025.</w:t>
      </w:r>
    </w:p>
    <w:p w14:paraId="37E5F825"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Povědomí o rozmanitosti (ID opatření: 16685)</w:t>
      </w:r>
    </w:p>
    <w:p w14:paraId="331A8513" w14:textId="4C1C4A73" w:rsidR="00515398" w:rsidRDefault="006711E6">
      <w:pPr>
        <w:pStyle w:val="P68B1DB1-Normal4"/>
        <w:spacing w:before="120" w:after="120" w:line="240" w:lineRule="auto"/>
        <w:jc w:val="both"/>
        <w:rPr>
          <w:noProof/>
        </w:rPr>
      </w:pPr>
      <w:r>
        <w:rPr>
          <w:noProof/>
        </w:rPr>
        <w:t>Investice sestává ze dvou vzájemně propojených dílčích projektů, jejichž cílem je zvýšit povědomí o rozmanitosti: a) rozvoj a realiza</w:t>
      </w:r>
      <w:r>
        <w:rPr>
          <w:noProof/>
        </w:rPr>
        <w:t>ce vzdělávacích programů zaměřených na rozmanitost pro zaměstnance v soukromém sektoru s cílem bojovat proti diskriminaci všech rozměrů rozmanitosti na pracovišti; a b) vytvoření konkrétního mechanismu pro shromažďování vhodných statistických údajů týkajíc</w:t>
      </w:r>
      <w:r>
        <w:rPr>
          <w:noProof/>
        </w:rPr>
        <w:t xml:space="preserve">ích se rovnosti a diskriminace. </w:t>
      </w:r>
    </w:p>
    <w:p w14:paraId="6D2239AC" w14:textId="4897C818" w:rsidR="00515398" w:rsidRDefault="006711E6">
      <w:pPr>
        <w:pStyle w:val="P68B1DB1-Normal4"/>
        <w:spacing w:before="120" w:after="120" w:line="240" w:lineRule="auto"/>
        <w:jc w:val="both"/>
        <w:rPr>
          <w:b/>
          <w:noProof/>
        </w:rPr>
      </w:pPr>
      <w:r>
        <w:rPr>
          <w:noProof/>
        </w:rPr>
        <w:t>Bude posílena úloha Střediska pro sledování rovnosti, což je operační složka ministerstva práce a sociálních věcí, aby bylo možné vypracovávat komplexní zprávy hodnotící stav rovných příležitostí. Kromě toho se vytvoří mech</w:t>
      </w:r>
      <w:r>
        <w:rPr>
          <w:noProof/>
        </w:rPr>
        <w:t>anismus pro certifikaci podniků/organizací podporujících dobré postupy v oblasti rozmanitosti a začleňování a systém jejich udělování. Provádění reformy a investice se dokončí do 31. března 2025.</w:t>
      </w:r>
    </w:p>
    <w:p w14:paraId="48DDA5A2"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Podpora integrace uprchlíků na trhu práce (opatře</w:t>
      </w:r>
      <w:r>
        <w:rPr>
          <w:noProof/>
        </w:rPr>
        <w:t>ní ID: 16688)</w:t>
      </w:r>
    </w:p>
    <w:p w14:paraId="7A28241F" w14:textId="417A62E0" w:rsidR="00515398" w:rsidRDefault="006711E6">
      <w:pPr>
        <w:pStyle w:val="P68B1DB1-Normal4"/>
        <w:spacing w:before="120" w:after="0" w:line="240" w:lineRule="auto"/>
        <w:jc w:val="both"/>
        <w:rPr>
          <w:rFonts w:cs="Times New Roman"/>
          <w:noProof/>
          <w:szCs w:val="24"/>
        </w:rPr>
      </w:pPr>
      <w:r>
        <w:rPr>
          <w:noProof/>
        </w:rPr>
        <w:t>Cílem investice je podpořit integraci uprchlíků na trhu práce. Toho bude dosaženo prováděním odborné přípravy a stáží, které pomohou uprchlíkům, konkrétním uprchlíkům, včetně uznaných uprchlíků (osob požívajících mezinárodní ochrany) pobývají</w:t>
      </w:r>
      <w:r>
        <w:rPr>
          <w:noProof/>
        </w:rPr>
        <w:t>cím buď v ubytovacích zařízeních ministerstva pro migraci a azyl, nebo v městské oblasti, osobám požívajícím dočasné ochrany, a tedy i Ukrajincům, osobám s legálním pobytem (legálním migrantům) a žadatelům o azyl v souvislosti s preintegrací, s jejich inte</w:t>
      </w:r>
      <w:r>
        <w:rPr>
          <w:noProof/>
        </w:rPr>
        <w:t>grací na trhu práce. Investice musí být provedena do 31. prosince 2025.</w:t>
      </w:r>
    </w:p>
    <w:p w14:paraId="70FEA528"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imigračního a azylového systému (ID opatření: 16763)</w:t>
      </w:r>
    </w:p>
    <w:p w14:paraId="7412DEF2" w14:textId="77777777" w:rsidR="00515398" w:rsidRDefault="006711E6">
      <w:pPr>
        <w:pStyle w:val="P68B1DB1-Normal4"/>
        <w:spacing w:before="120" w:after="120" w:line="240" w:lineRule="auto"/>
        <w:jc w:val="both"/>
        <w:rPr>
          <w:rFonts w:cs="Times New Roman"/>
          <w:noProof/>
        </w:rPr>
      </w:pPr>
      <w:r>
        <w:rPr>
          <w:noProof/>
        </w:rPr>
        <w:t>Provedení investice povede k výrazně lepší kvalitě služeb poskytovaných dotčeným příjemcům. Prost</w:t>
      </w:r>
      <w:r>
        <w:rPr>
          <w:noProof/>
        </w:rPr>
        <w:t>řednictvím digitalizace migračního a azylového systému se řeší tyto kritické otázky:</w:t>
      </w:r>
    </w:p>
    <w:p w14:paraId="12FFEE04" w14:textId="77777777" w:rsidR="00515398" w:rsidRDefault="006711E6">
      <w:pPr>
        <w:pStyle w:val="P68B1DB1-Normal4"/>
        <w:numPr>
          <w:ilvl w:val="0"/>
          <w:numId w:val="68"/>
        </w:numPr>
        <w:spacing w:before="120" w:after="120" w:line="240" w:lineRule="auto"/>
        <w:ind w:left="426" w:hanging="426"/>
        <w:jc w:val="both"/>
        <w:rPr>
          <w:rFonts w:cs="Times New Roman"/>
          <w:noProof/>
        </w:rPr>
      </w:pPr>
      <w:r>
        <w:rPr>
          <w:noProof/>
        </w:rPr>
        <w:t>Jednotné řízení celého životního cyklu řízení týkajících se uprchlických toků, od prvního přijetí po dokončení posouzení azylového případu,</w:t>
      </w:r>
    </w:p>
    <w:p w14:paraId="7F5ACBEB" w14:textId="77777777" w:rsidR="00515398" w:rsidRDefault="006711E6">
      <w:pPr>
        <w:pStyle w:val="P68B1DB1-Normal4"/>
        <w:numPr>
          <w:ilvl w:val="0"/>
          <w:numId w:val="68"/>
        </w:numPr>
        <w:spacing w:before="120" w:after="120" w:line="240" w:lineRule="auto"/>
        <w:ind w:left="426" w:hanging="426"/>
        <w:jc w:val="both"/>
        <w:rPr>
          <w:rFonts w:cs="Times New Roman"/>
          <w:noProof/>
        </w:rPr>
      </w:pPr>
      <w:r>
        <w:rPr>
          <w:noProof/>
        </w:rPr>
        <w:t>Integrované shromažďování infor</w:t>
      </w:r>
      <w:r>
        <w:rPr>
          <w:noProof/>
        </w:rPr>
        <w:t>mací v reálném čase všemi zúčastněnými orgány,</w:t>
      </w:r>
    </w:p>
    <w:p w14:paraId="594DE69D" w14:textId="0F2FF57B" w:rsidR="00515398" w:rsidRDefault="006711E6">
      <w:pPr>
        <w:pStyle w:val="P68B1DB1-Normal4"/>
        <w:numPr>
          <w:ilvl w:val="0"/>
          <w:numId w:val="68"/>
        </w:numPr>
        <w:spacing w:before="120" w:after="120" w:line="240" w:lineRule="auto"/>
        <w:ind w:left="426" w:hanging="426"/>
        <w:jc w:val="both"/>
        <w:rPr>
          <w:rFonts w:cs="Times New Roman"/>
          <w:noProof/>
        </w:rPr>
      </w:pPr>
      <w:r>
        <w:rPr>
          <w:noProof/>
        </w:rPr>
        <w:t xml:space="preserve">Bezpečné a platné zjišťování totožnosti osob vstupujících do země prostřednictvím postupů zahrnujících příjem biometrických údajů a vydání „inteligentního“ průkazu totožnosti, </w:t>
      </w:r>
    </w:p>
    <w:p w14:paraId="3BF65184" w14:textId="3DE93BD0" w:rsidR="00515398" w:rsidRDefault="006711E6">
      <w:pPr>
        <w:pStyle w:val="P68B1DB1-Normal4"/>
        <w:numPr>
          <w:ilvl w:val="0"/>
          <w:numId w:val="68"/>
        </w:numPr>
        <w:spacing w:before="120" w:after="120" w:line="240" w:lineRule="auto"/>
        <w:ind w:left="426" w:hanging="426"/>
        <w:jc w:val="both"/>
        <w:rPr>
          <w:rFonts w:cs="Times New Roman"/>
          <w:noProof/>
        </w:rPr>
      </w:pPr>
      <w:r>
        <w:rPr>
          <w:noProof/>
        </w:rPr>
        <w:t>Webovou a mobilní aplikaci pro i</w:t>
      </w:r>
      <w:r>
        <w:rPr>
          <w:noProof/>
        </w:rPr>
        <w:t xml:space="preserve">nterakci a komunikaci s uprchlíky a </w:t>
      </w:r>
    </w:p>
    <w:p w14:paraId="1E49ED8C" w14:textId="4A7D7911" w:rsidR="00515398" w:rsidRDefault="006711E6">
      <w:pPr>
        <w:pStyle w:val="P68B1DB1-Normal4"/>
        <w:numPr>
          <w:ilvl w:val="0"/>
          <w:numId w:val="68"/>
        </w:numPr>
        <w:spacing w:before="120" w:after="120" w:line="240" w:lineRule="auto"/>
        <w:ind w:left="426" w:hanging="426"/>
        <w:jc w:val="both"/>
        <w:rPr>
          <w:rFonts w:cs="Times New Roman"/>
          <w:noProof/>
        </w:rPr>
      </w:pPr>
      <w:r>
        <w:rPr>
          <w:noProof/>
        </w:rPr>
        <w:t xml:space="preserve"> Služby infrastruktury kybernetické bezpečnosti pro ochranu informačních infrastruktur ministerstva pro migraci a azyl</w:t>
      </w:r>
    </w:p>
    <w:p w14:paraId="19325253" w14:textId="77777777" w:rsidR="00515398" w:rsidRDefault="006711E6">
      <w:pPr>
        <w:pStyle w:val="P68B1DB1-Normal4"/>
        <w:jc w:val="both"/>
        <w:rPr>
          <w:rFonts w:cs="Times New Roman"/>
          <w:noProof/>
          <w:szCs w:val="24"/>
        </w:rPr>
      </w:pPr>
      <w:r>
        <w:rPr>
          <w:noProof/>
        </w:rPr>
        <w:t>Investice rovněž umožní vytvoření integrovaného systému detekce požáru a včasného varování v lesní o</w:t>
      </w:r>
      <w:r>
        <w:rPr>
          <w:noProof/>
        </w:rPr>
        <w:t xml:space="preserve">blasti Vastria na ostrově Lesbos, kde se nachází uprchlický tábor. </w:t>
      </w:r>
    </w:p>
    <w:p w14:paraId="3A8CFD10" w14:textId="77777777" w:rsidR="00515398" w:rsidRDefault="006711E6">
      <w:pPr>
        <w:pStyle w:val="P68B1DB1-Normal4"/>
        <w:spacing w:before="120" w:after="120" w:line="240" w:lineRule="auto"/>
        <w:jc w:val="both"/>
        <w:rPr>
          <w:noProof/>
        </w:rPr>
      </w:pPr>
      <w:r>
        <w:rPr>
          <w:noProof/>
        </w:rPr>
        <w:t>Investice se uskuteční do 31. prosince 2024.</w:t>
      </w:r>
    </w:p>
    <w:p w14:paraId="4DD53085" w14:textId="77777777" w:rsidR="00515398" w:rsidRDefault="00515398">
      <w:pPr>
        <w:spacing w:before="120" w:after="120" w:line="240" w:lineRule="auto"/>
        <w:jc w:val="both"/>
        <w:rPr>
          <w:rFonts w:ascii="Times New Roman" w:hAnsi="Times New Roman"/>
          <w:noProof/>
          <w:sz w:val="24"/>
        </w:rPr>
      </w:pPr>
    </w:p>
    <w:p w14:paraId="06B332C4" w14:textId="77777777" w:rsidR="00515398" w:rsidRDefault="006711E6">
      <w:pPr>
        <w:spacing w:before="120"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Reforma:</w:t>
      </w:r>
      <w:r>
        <w:rPr>
          <w:rFonts w:ascii="Times New Roman" w:hAnsi="Times New Roman" w:cs="Times New Roman"/>
          <w:noProof/>
          <w:color w:val="000000" w:themeColor="text1"/>
          <w:sz w:val="24"/>
          <w:szCs w:val="24"/>
        </w:rPr>
        <w:t xml:space="preserve"> </w:t>
      </w:r>
      <w:r>
        <w:rPr>
          <w:rStyle w:val="normaltextrun"/>
          <w:rFonts w:ascii="Times New Roman" w:eastAsiaTheme="minorHAnsi" w:hAnsi="Times New Roman" w:cs="Times New Roman"/>
          <w:noProof/>
          <w:color w:val="000000" w:themeColor="text1"/>
          <w:sz w:val="24"/>
          <w:szCs w:val="24"/>
          <w:bdr w:val="none" w:sz="0" w:space="0" w:color="auto" w:frame="1"/>
        </w:rPr>
        <w:t>Sociální</w:t>
      </w:r>
      <w:r>
        <w:rPr>
          <w:rFonts w:ascii="Times New Roman" w:hAnsi="Times New Roman" w:cs="Times New Roman"/>
          <w:noProof/>
          <w:color w:val="000000" w:themeColor="text1"/>
          <w:sz w:val="24"/>
          <w:szCs w:val="24"/>
        </w:rPr>
        <w:t xml:space="preserve"> a cenově dostupné bydlení (ID opatření: 16402)</w:t>
      </w:r>
    </w:p>
    <w:p w14:paraId="23AF3184" w14:textId="77777777" w:rsidR="00515398" w:rsidRDefault="006711E6">
      <w:pPr>
        <w:pStyle w:val="paragraph"/>
        <w:jc w:val="both"/>
        <w:textAlignment w:val="baseline"/>
        <w:rPr>
          <w:noProof/>
        </w:rPr>
      </w:pPr>
      <w:r>
        <w:rPr>
          <w:noProof/>
        </w:rPr>
        <w:t>Cílem reformy je zlepšit přístup k cenově dostupnému a kvalitnímu bydlení pro</w:t>
      </w:r>
      <w:r>
        <w:rPr>
          <w:noProof/>
        </w:rPr>
        <w:t xml:space="preserve"> domácnosti s nízkými příjmy a zvýšit dostupnost sociálního bydlení pro zranitelné skupiny. Reforma sestává ze dvou prvků, a to i) přijetí vnitrostátní strategie bydlení a ii) legislativních změn zákona 5006/2022. </w:t>
      </w:r>
    </w:p>
    <w:p w14:paraId="130B6428" w14:textId="37A86305" w:rsidR="00515398" w:rsidRDefault="006711E6">
      <w:pPr>
        <w:pStyle w:val="paragraph"/>
        <w:jc w:val="both"/>
        <w:textAlignment w:val="baseline"/>
        <w:rPr>
          <w:noProof/>
        </w:rPr>
      </w:pPr>
      <w:r>
        <w:rPr>
          <w:noProof/>
        </w:rPr>
        <w:t>První prvek spočívá v přijetí vnitrostátn</w:t>
      </w:r>
      <w:r>
        <w:rPr>
          <w:noProof/>
        </w:rPr>
        <w:t>í strategie bydlení, která zahrnuje analýzu fungování trhu s bydlením a podrobné mapování potřeb v oblasti bydlení podle skupin obyvatelstva (tj. skupin obyvatelstva s odlišnými charitativními rysy, jako je věk, disponibilní příjem, složení rodiny, na regi</w:t>
      </w:r>
      <w:r>
        <w:rPr>
          <w:noProof/>
        </w:rPr>
        <w:t xml:space="preserve">onální úrovni, ve venkovských nebo městských oblastech, v malých městech nebo velkých městech), včetně mladých lidí a rodin s dětmi. Přijetí strategie následuje po veřejné konzultaci. </w:t>
      </w:r>
    </w:p>
    <w:p w14:paraId="370E05C8" w14:textId="77777777" w:rsidR="00515398" w:rsidRDefault="006711E6">
      <w:pPr>
        <w:pStyle w:val="P68B1DB1-PlainText31"/>
        <w:jc w:val="both"/>
        <w:rPr>
          <w:noProof/>
          <w14:ligatures w14:val="none"/>
        </w:rPr>
      </w:pPr>
      <w:r>
        <w:rPr>
          <w:noProof/>
        </w:rPr>
        <w:t>Druhým prvkem je změna zákona č. 5006/2022. Cílem legislativních změn j</w:t>
      </w:r>
      <w:r>
        <w:rPr>
          <w:noProof/>
        </w:rPr>
        <w:t>e zefektivnit program vzájemné výměny veřejných statků („Kinoniki antiparochi“) a motivovat realitní developery ze soukromého sektoru, aby investovali do sociálního a cenově dostupného bydlení. Soukromí developeři nemovitostí jsou prostřednictvím transpare</w:t>
      </w:r>
      <w:r>
        <w:rPr>
          <w:noProof/>
        </w:rPr>
        <w:t xml:space="preserve">ntního a konkurenčního procesu vyzváni, aby provedli vývoj nebo renovaci státem vlastněných nemovitostí. </w:t>
      </w:r>
    </w:p>
    <w:p w14:paraId="3000ACCA" w14:textId="77777777" w:rsidR="00515398" w:rsidRDefault="00515398">
      <w:pPr>
        <w:pStyle w:val="PlainText"/>
        <w:jc w:val="both"/>
        <w:rPr>
          <w:rFonts w:ascii="Times New Roman" w:eastAsia="Times New Roman" w:hAnsi="Times New Roman" w:cs="Times New Roman"/>
          <w:noProof/>
          <w:sz w:val="24"/>
          <w:szCs w:val="24"/>
          <w14:ligatures w14:val="none"/>
        </w:rPr>
      </w:pPr>
    </w:p>
    <w:p w14:paraId="24F180C6" w14:textId="77777777" w:rsidR="00515398" w:rsidRDefault="006711E6">
      <w:pPr>
        <w:pStyle w:val="P68B1DB1-PlainText31"/>
        <w:jc w:val="both"/>
        <w:rPr>
          <w:noProof/>
        </w:rPr>
      </w:pPr>
      <w:r>
        <w:rPr>
          <w:noProof/>
        </w:rPr>
        <w:t>Reforma poskytne pobídky pro developery v soukromém sektoru, aby investovali do nové výstavby nebo renovace státem vlastněných nemovitostí tím, že př</w:t>
      </w:r>
      <w:r>
        <w:rPr>
          <w:noProof/>
        </w:rPr>
        <w:t>evedou vlastnictví části nemovitostí, které mají být postaveny, a budou je moci využívat, a to i pro komerční účely, a to při přeměně části nemovitostí na sociální a cenově dostupné bydlení. Provádění reformy se dokončí do 31. března 2026.</w:t>
      </w:r>
    </w:p>
    <w:p w14:paraId="5FE5F907" w14:textId="77777777" w:rsidR="00515398" w:rsidRDefault="00515398">
      <w:pPr>
        <w:spacing w:after="0" w:line="240" w:lineRule="auto"/>
        <w:rPr>
          <w:rFonts w:ascii="Times New Roman" w:eastAsiaTheme="minorHAnsi" w:hAnsi="Times New Roman" w:cs="Times New Roman"/>
          <w:noProof/>
          <w:sz w:val="24"/>
          <w:szCs w:val="24"/>
        </w:rPr>
        <w:sectPr w:rsidR="00515398" w:rsidSect="00FD006B">
          <w:headerReference w:type="even" r:id="rId187"/>
          <w:headerReference w:type="default" r:id="rId188"/>
          <w:footerReference w:type="even" r:id="rId189"/>
          <w:footerReference w:type="default" r:id="rId190"/>
          <w:headerReference w:type="first" r:id="rId191"/>
          <w:footerReference w:type="first" r:id="rId192"/>
          <w:pgSz w:w="11906" w:h="16838"/>
          <w:pgMar w:top="1417" w:right="1417" w:bottom="1417" w:left="1417" w:header="708" w:footer="708" w:gutter="0"/>
          <w:cols w:space="720"/>
        </w:sectPr>
      </w:pPr>
    </w:p>
    <w:p w14:paraId="6E898A49" w14:textId="77777777" w:rsidR="00515398" w:rsidRDefault="006711E6">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K.2. </w:t>
      </w:r>
      <w:r>
        <w:rPr>
          <w:noProof/>
        </w:rPr>
        <w:t xml:space="preserve"> </w:t>
      </w:r>
      <w:r>
        <w:rPr>
          <w:rFonts w:ascii="Times New Roman" w:hAnsi="Times New Roman"/>
          <w:b/>
          <w:noProof/>
          <w:sz w:val="24"/>
          <w:u w:val="single"/>
        </w:rPr>
        <w:t>Milníky, cíle, ukazatele a harmonogram monitorování a provádění nevratné finanční podpory</w:t>
      </w:r>
    </w:p>
    <w:p w14:paraId="2D8B0E3A" w14:textId="77777777" w:rsidR="00515398" w:rsidRDefault="006711E6">
      <w:pPr>
        <w:pStyle w:val="P68B1DB1-Normal6"/>
        <w:keepNext/>
        <w:keepLines/>
        <w:spacing w:before="120" w:after="0" w:line="240" w:lineRule="auto"/>
        <w:jc w:val="both"/>
        <w:outlineLvl w:val="4"/>
        <w:rPr>
          <w:rFonts w:eastAsia="Times New Roman"/>
          <w:noProof/>
        </w:rPr>
      </w:pPr>
      <w:r>
        <w:rPr>
          <w:noProof/>
        </w:rPr>
        <w:t>Skupina 15: Zlepšení přístupu k účinným a inkluzivním sociálním politikám</w:t>
      </w:r>
    </w:p>
    <w:p w14:paraId="4AAD9CB7" w14:textId="77777777" w:rsidR="00515398" w:rsidRDefault="006711E6">
      <w:pPr>
        <w:pStyle w:val="P68B1DB1-Normal4"/>
        <w:numPr>
          <w:ilvl w:val="0"/>
          <w:numId w:val="40"/>
        </w:numPr>
        <w:spacing w:before="120" w:after="0" w:line="240" w:lineRule="auto"/>
        <w:ind w:left="0"/>
        <w:jc w:val="both"/>
        <w:rPr>
          <w:rFonts w:cs="Times New Roman"/>
          <w:noProof/>
        </w:rPr>
      </w:pPr>
      <w:r>
        <w:rPr>
          <w:noProof/>
        </w:rPr>
        <w:t>Ochrana dětí (ID: 16919)</w:t>
      </w:r>
    </w:p>
    <w:p w14:paraId="0161E390" w14:textId="77777777" w:rsidR="00515398" w:rsidRDefault="006711E6">
      <w:pPr>
        <w:pStyle w:val="P68B1DB1-Normal4"/>
        <w:numPr>
          <w:ilvl w:val="0"/>
          <w:numId w:val="40"/>
        </w:numPr>
        <w:spacing w:before="120" w:after="0" w:line="240" w:lineRule="auto"/>
        <w:ind w:left="0" w:hanging="357"/>
        <w:jc w:val="both"/>
        <w:rPr>
          <w:rFonts w:cs="Times New Roman"/>
          <w:noProof/>
        </w:rPr>
      </w:pPr>
      <w:r>
        <w:rPr>
          <w:noProof/>
        </w:rPr>
        <w:t xml:space="preserve">Zdravotní postižení </w:t>
      </w:r>
      <w:r>
        <w:rPr>
          <w:noProof/>
        </w:rPr>
        <w:t>(ID: 16904)</w:t>
      </w:r>
    </w:p>
    <w:p w14:paraId="2363BEF1" w14:textId="77777777" w:rsidR="00515398" w:rsidRDefault="006711E6">
      <w:pPr>
        <w:pStyle w:val="P68B1DB1-Normal4"/>
        <w:numPr>
          <w:ilvl w:val="0"/>
          <w:numId w:val="40"/>
        </w:numPr>
        <w:spacing w:before="120" w:after="0" w:line="240" w:lineRule="auto"/>
        <w:ind w:left="0" w:hanging="357"/>
        <w:jc w:val="both"/>
        <w:rPr>
          <w:rFonts w:cs="Times New Roman"/>
          <w:noProof/>
        </w:rPr>
      </w:pPr>
      <w:r>
        <w:rPr>
          <w:noProof/>
        </w:rPr>
        <w:t>Optimalizace sociálních dávek (16726)</w:t>
      </w:r>
    </w:p>
    <w:p w14:paraId="44A0DCCC" w14:textId="77777777" w:rsidR="00515398" w:rsidRDefault="006711E6">
      <w:pPr>
        <w:pStyle w:val="P68B1DB1-Normal32"/>
        <w:numPr>
          <w:ilvl w:val="0"/>
          <w:numId w:val="40"/>
        </w:numPr>
        <w:spacing w:before="120" w:after="0" w:line="240" w:lineRule="auto"/>
        <w:ind w:left="0" w:hanging="357"/>
        <w:jc w:val="both"/>
        <w:rPr>
          <w:rFonts w:cs="Times New Roman"/>
          <w:noProof/>
        </w:rPr>
      </w:pPr>
      <w:r>
        <w:rPr>
          <w:noProof/>
        </w:rPr>
        <w:t>Sociální a cenově dostupné bydlení (16402)</w:t>
      </w:r>
    </w:p>
    <w:p w14:paraId="6A435AC2" w14:textId="77777777" w:rsidR="00515398" w:rsidRDefault="00515398">
      <w:pPr>
        <w:spacing w:before="120" w:after="0" w:line="240" w:lineRule="auto"/>
        <w:jc w:val="both"/>
        <w:rPr>
          <w:rFonts w:ascii="Times New Roman" w:hAnsi="Times New Roman" w:cs="Times New Roman"/>
          <w:noProof/>
          <w:sz w:val="24"/>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992"/>
        <w:gridCol w:w="1273"/>
        <w:gridCol w:w="1680"/>
        <w:gridCol w:w="1080"/>
        <w:gridCol w:w="960"/>
        <w:gridCol w:w="971"/>
        <w:gridCol w:w="1417"/>
        <w:gridCol w:w="709"/>
        <w:gridCol w:w="4384"/>
      </w:tblGrid>
      <w:tr w:rsidR="00515398" w14:paraId="6C377CB6" w14:textId="77777777">
        <w:trPr>
          <w:trHeight w:val="616"/>
          <w:tblHeader/>
          <w:jc w:val="center"/>
        </w:trPr>
        <w:tc>
          <w:tcPr>
            <w:tcW w:w="1134" w:type="dxa"/>
            <w:vMerge w:val="restart"/>
            <w:shd w:val="clear" w:color="auto" w:fill="BDD7EE"/>
            <w:vAlign w:val="center"/>
            <w:hideMark/>
          </w:tcPr>
          <w:p w14:paraId="34FDA223" w14:textId="77777777" w:rsidR="00515398" w:rsidRDefault="006711E6">
            <w:pPr>
              <w:pStyle w:val="P68B1DB1-Normal7"/>
              <w:spacing w:before="120" w:after="0" w:line="240" w:lineRule="auto"/>
              <w:jc w:val="center"/>
              <w:rPr>
                <w:rFonts w:eastAsia="Times New Roman" w:cs="Times New Roman"/>
                <w:bCs/>
                <w:noProof/>
                <w:szCs w:val="18"/>
              </w:rPr>
            </w:pPr>
            <w:r>
              <w:rPr>
                <w:noProof/>
              </w:rPr>
              <w:t>Pořadové číslo</w:t>
            </w:r>
          </w:p>
        </w:tc>
        <w:tc>
          <w:tcPr>
            <w:tcW w:w="1276" w:type="dxa"/>
            <w:vMerge w:val="restart"/>
            <w:shd w:val="clear" w:color="auto" w:fill="BDD7EE"/>
            <w:vAlign w:val="center"/>
            <w:hideMark/>
          </w:tcPr>
          <w:p w14:paraId="0141F482" w14:textId="77777777" w:rsidR="00515398" w:rsidRDefault="006711E6">
            <w:pPr>
              <w:pStyle w:val="P68B1DB1-Normal7"/>
              <w:spacing w:before="120" w:after="0" w:line="240" w:lineRule="auto"/>
              <w:jc w:val="center"/>
              <w:rPr>
                <w:rFonts w:eastAsia="Times New Roman" w:cs="Times New Roman"/>
                <w:bCs/>
                <w:noProof/>
                <w:szCs w:val="18"/>
              </w:rPr>
            </w:pPr>
            <w:r>
              <w:rPr>
                <w:noProof/>
              </w:rPr>
              <w:t>Související opatření (reforma nebo investice)</w:t>
            </w:r>
          </w:p>
        </w:tc>
        <w:tc>
          <w:tcPr>
            <w:tcW w:w="992" w:type="dxa"/>
            <w:vMerge w:val="restart"/>
            <w:shd w:val="clear" w:color="auto" w:fill="BDD7EE"/>
            <w:vAlign w:val="center"/>
            <w:hideMark/>
          </w:tcPr>
          <w:p w14:paraId="5A4DBFE5" w14:textId="77777777" w:rsidR="00515398" w:rsidRDefault="006711E6">
            <w:pPr>
              <w:pStyle w:val="P68B1DB1-Normal7"/>
              <w:spacing w:before="120" w:after="0" w:line="240" w:lineRule="auto"/>
              <w:jc w:val="center"/>
              <w:rPr>
                <w:rFonts w:eastAsia="Times New Roman" w:cs="Times New Roman"/>
                <w:bCs/>
                <w:noProof/>
                <w:szCs w:val="18"/>
              </w:rPr>
            </w:pPr>
            <w:r>
              <w:rPr>
                <w:noProof/>
              </w:rPr>
              <w:t>Milník/cíl</w:t>
            </w:r>
          </w:p>
        </w:tc>
        <w:tc>
          <w:tcPr>
            <w:tcW w:w="1273" w:type="dxa"/>
            <w:vMerge w:val="restart"/>
            <w:shd w:val="clear" w:color="auto" w:fill="BDD7EE"/>
            <w:vAlign w:val="center"/>
            <w:hideMark/>
          </w:tcPr>
          <w:p w14:paraId="73C79586" w14:textId="77777777" w:rsidR="00515398" w:rsidRDefault="006711E6">
            <w:pPr>
              <w:pStyle w:val="P68B1DB1-Normal7"/>
              <w:spacing w:before="120" w:after="0" w:line="240" w:lineRule="auto"/>
              <w:jc w:val="center"/>
              <w:rPr>
                <w:rFonts w:eastAsia="Times New Roman" w:cs="Times New Roman"/>
                <w:bCs/>
                <w:noProof/>
                <w:szCs w:val="18"/>
              </w:rPr>
            </w:pPr>
            <w:r>
              <w:rPr>
                <w:noProof/>
              </w:rPr>
              <w:t>Jméno</w:t>
            </w:r>
          </w:p>
        </w:tc>
        <w:tc>
          <w:tcPr>
            <w:tcW w:w="1680" w:type="dxa"/>
            <w:vMerge w:val="restart"/>
            <w:shd w:val="clear" w:color="auto" w:fill="BDD7EE"/>
            <w:vAlign w:val="center"/>
            <w:hideMark/>
          </w:tcPr>
          <w:p w14:paraId="4AC0191C" w14:textId="77777777" w:rsidR="00515398" w:rsidRDefault="006711E6">
            <w:pPr>
              <w:pStyle w:val="P68B1DB1-Normal7"/>
              <w:spacing w:before="120" w:after="0" w:line="240" w:lineRule="auto"/>
              <w:jc w:val="center"/>
              <w:rPr>
                <w:rFonts w:eastAsia="Times New Roman" w:cs="Times New Roman"/>
                <w:bCs/>
                <w:noProof/>
                <w:szCs w:val="18"/>
              </w:rPr>
            </w:pPr>
            <w:r>
              <w:rPr>
                <w:noProof/>
              </w:rPr>
              <w:t>Kvalitativní ukazatele (pro milníky)</w:t>
            </w:r>
          </w:p>
        </w:tc>
        <w:tc>
          <w:tcPr>
            <w:tcW w:w="3011" w:type="dxa"/>
            <w:gridSpan w:val="3"/>
            <w:shd w:val="clear" w:color="auto" w:fill="BDD7EE"/>
            <w:vAlign w:val="center"/>
            <w:hideMark/>
          </w:tcPr>
          <w:p w14:paraId="46902282" w14:textId="77777777" w:rsidR="00515398" w:rsidRDefault="006711E6">
            <w:pPr>
              <w:pStyle w:val="P68B1DB1-Normal7"/>
              <w:spacing w:before="120" w:after="0" w:line="240" w:lineRule="auto"/>
              <w:jc w:val="center"/>
              <w:rPr>
                <w:rFonts w:eastAsia="Times New Roman" w:cs="Times New Roman"/>
                <w:bCs/>
                <w:noProof/>
                <w:szCs w:val="18"/>
              </w:rPr>
            </w:pPr>
            <w:r>
              <w:rPr>
                <w:noProof/>
              </w:rPr>
              <w:t>Kvantitativní ukazatele (pro cíle)</w:t>
            </w:r>
          </w:p>
        </w:tc>
        <w:tc>
          <w:tcPr>
            <w:tcW w:w="2126" w:type="dxa"/>
            <w:gridSpan w:val="2"/>
            <w:shd w:val="clear" w:color="auto" w:fill="BDD7EE"/>
            <w:vAlign w:val="center"/>
            <w:hideMark/>
          </w:tcPr>
          <w:p w14:paraId="2288BF2D" w14:textId="77777777" w:rsidR="00515398" w:rsidRDefault="006711E6">
            <w:pPr>
              <w:pStyle w:val="P68B1DB1-Normal7"/>
              <w:spacing w:before="120" w:after="0" w:line="240" w:lineRule="auto"/>
              <w:jc w:val="center"/>
              <w:rPr>
                <w:rFonts w:eastAsia="Times New Roman" w:cs="Times New Roman"/>
                <w:bCs/>
                <w:noProof/>
                <w:szCs w:val="18"/>
              </w:rPr>
            </w:pPr>
            <w:r>
              <w:rPr>
                <w:noProof/>
              </w:rPr>
              <w:t xml:space="preserve">Orientační harmonogram pro dokončení </w:t>
            </w:r>
          </w:p>
        </w:tc>
        <w:tc>
          <w:tcPr>
            <w:tcW w:w="4384" w:type="dxa"/>
            <w:vMerge w:val="restart"/>
            <w:shd w:val="clear" w:color="auto" w:fill="BDD7EE"/>
            <w:vAlign w:val="center"/>
            <w:hideMark/>
          </w:tcPr>
          <w:p w14:paraId="731AF50A" w14:textId="77777777" w:rsidR="00515398" w:rsidRDefault="006711E6">
            <w:pPr>
              <w:pStyle w:val="P68B1DB1-Normal7"/>
              <w:spacing w:before="120" w:after="0" w:line="240" w:lineRule="auto"/>
              <w:jc w:val="center"/>
              <w:rPr>
                <w:rFonts w:eastAsia="Times New Roman" w:cs="Times New Roman"/>
                <w:bCs/>
                <w:noProof/>
                <w:szCs w:val="18"/>
              </w:rPr>
            </w:pPr>
            <w:r>
              <w:rPr>
                <w:noProof/>
              </w:rPr>
              <w:t>Popis každého milníku a cíle</w:t>
            </w:r>
          </w:p>
        </w:tc>
      </w:tr>
      <w:tr w:rsidR="00515398" w14:paraId="3C49FF37" w14:textId="77777777">
        <w:trPr>
          <w:trHeight w:val="658"/>
          <w:tblHeader/>
          <w:jc w:val="center"/>
        </w:trPr>
        <w:tc>
          <w:tcPr>
            <w:tcW w:w="1134" w:type="dxa"/>
            <w:vMerge/>
            <w:vAlign w:val="center"/>
            <w:hideMark/>
          </w:tcPr>
          <w:p w14:paraId="27B84A87" w14:textId="77777777" w:rsidR="00515398" w:rsidRDefault="00515398">
            <w:pPr>
              <w:spacing w:before="120" w:after="0" w:line="240" w:lineRule="auto"/>
              <w:rPr>
                <w:rFonts w:ascii="Times New Roman" w:eastAsia="Times New Roman" w:hAnsi="Times New Roman" w:cs="Times New Roman"/>
                <w:b/>
                <w:bCs/>
                <w:noProof/>
                <w:sz w:val="18"/>
                <w:szCs w:val="18"/>
              </w:rPr>
            </w:pPr>
          </w:p>
        </w:tc>
        <w:tc>
          <w:tcPr>
            <w:tcW w:w="1276" w:type="dxa"/>
            <w:vMerge/>
            <w:vAlign w:val="center"/>
            <w:hideMark/>
          </w:tcPr>
          <w:p w14:paraId="640FF2FC" w14:textId="77777777" w:rsidR="00515398" w:rsidRDefault="00515398">
            <w:pPr>
              <w:spacing w:before="120" w:after="0" w:line="240" w:lineRule="auto"/>
              <w:rPr>
                <w:rFonts w:ascii="Times New Roman" w:eastAsia="Times New Roman" w:hAnsi="Times New Roman" w:cs="Times New Roman"/>
                <w:b/>
                <w:bCs/>
                <w:noProof/>
                <w:sz w:val="18"/>
                <w:szCs w:val="18"/>
              </w:rPr>
            </w:pPr>
          </w:p>
        </w:tc>
        <w:tc>
          <w:tcPr>
            <w:tcW w:w="992" w:type="dxa"/>
            <w:vMerge/>
            <w:vAlign w:val="center"/>
            <w:hideMark/>
          </w:tcPr>
          <w:p w14:paraId="52E9947F" w14:textId="77777777" w:rsidR="00515398" w:rsidRDefault="00515398">
            <w:pPr>
              <w:spacing w:before="120" w:after="0" w:line="240" w:lineRule="auto"/>
              <w:rPr>
                <w:rFonts w:ascii="Times New Roman" w:eastAsia="Times New Roman" w:hAnsi="Times New Roman" w:cs="Times New Roman"/>
                <w:b/>
                <w:bCs/>
                <w:noProof/>
                <w:sz w:val="18"/>
                <w:szCs w:val="18"/>
              </w:rPr>
            </w:pPr>
          </w:p>
        </w:tc>
        <w:tc>
          <w:tcPr>
            <w:tcW w:w="1273" w:type="dxa"/>
            <w:vMerge/>
            <w:vAlign w:val="center"/>
            <w:hideMark/>
          </w:tcPr>
          <w:p w14:paraId="65F2BC01" w14:textId="77777777" w:rsidR="00515398" w:rsidRDefault="00515398">
            <w:pPr>
              <w:spacing w:before="120" w:after="0" w:line="240" w:lineRule="auto"/>
              <w:rPr>
                <w:rFonts w:ascii="Times New Roman" w:eastAsia="Times New Roman" w:hAnsi="Times New Roman" w:cs="Times New Roman"/>
                <w:b/>
                <w:bCs/>
                <w:noProof/>
                <w:sz w:val="18"/>
                <w:szCs w:val="18"/>
              </w:rPr>
            </w:pPr>
          </w:p>
        </w:tc>
        <w:tc>
          <w:tcPr>
            <w:tcW w:w="1680" w:type="dxa"/>
            <w:vMerge/>
            <w:vAlign w:val="center"/>
            <w:hideMark/>
          </w:tcPr>
          <w:p w14:paraId="2C235379" w14:textId="77777777" w:rsidR="00515398" w:rsidRDefault="00515398">
            <w:pPr>
              <w:spacing w:before="120" w:after="0" w:line="240" w:lineRule="auto"/>
              <w:rPr>
                <w:rFonts w:ascii="Times New Roman" w:eastAsia="Times New Roman" w:hAnsi="Times New Roman" w:cs="Times New Roman"/>
                <w:b/>
                <w:bCs/>
                <w:noProof/>
                <w:sz w:val="18"/>
                <w:szCs w:val="18"/>
              </w:rPr>
            </w:pPr>
          </w:p>
        </w:tc>
        <w:tc>
          <w:tcPr>
            <w:tcW w:w="1080" w:type="dxa"/>
            <w:shd w:val="clear" w:color="auto" w:fill="BDD7EE"/>
            <w:vAlign w:val="center"/>
            <w:hideMark/>
          </w:tcPr>
          <w:p w14:paraId="62460C04" w14:textId="77777777" w:rsidR="00515398" w:rsidRDefault="006711E6">
            <w:pPr>
              <w:pStyle w:val="P68B1DB1-Normal7"/>
              <w:spacing w:before="120" w:after="0" w:line="240" w:lineRule="auto"/>
              <w:jc w:val="center"/>
              <w:rPr>
                <w:rFonts w:eastAsia="Times New Roman" w:cs="Times New Roman"/>
                <w:bCs/>
                <w:noProof/>
                <w:szCs w:val="18"/>
              </w:rPr>
            </w:pPr>
            <w:r>
              <w:rPr>
                <w:noProof/>
              </w:rPr>
              <w:t>Jednotka měření</w:t>
            </w:r>
          </w:p>
        </w:tc>
        <w:tc>
          <w:tcPr>
            <w:tcW w:w="960" w:type="dxa"/>
            <w:shd w:val="clear" w:color="auto" w:fill="BDD7EE"/>
            <w:vAlign w:val="center"/>
            <w:hideMark/>
          </w:tcPr>
          <w:p w14:paraId="3447E519" w14:textId="77777777" w:rsidR="00515398" w:rsidRDefault="006711E6">
            <w:pPr>
              <w:pStyle w:val="P68B1DB1-Normal7"/>
              <w:spacing w:before="120" w:after="0" w:line="240" w:lineRule="auto"/>
              <w:jc w:val="center"/>
              <w:rPr>
                <w:rFonts w:eastAsia="Times New Roman" w:cs="Times New Roman"/>
                <w:bCs/>
                <w:noProof/>
                <w:szCs w:val="18"/>
              </w:rPr>
            </w:pPr>
            <w:r>
              <w:rPr>
                <w:noProof/>
              </w:rPr>
              <w:t xml:space="preserve">Výchozí stav </w:t>
            </w:r>
          </w:p>
        </w:tc>
        <w:tc>
          <w:tcPr>
            <w:tcW w:w="971" w:type="dxa"/>
            <w:shd w:val="clear" w:color="auto" w:fill="BDD7EE"/>
            <w:vAlign w:val="center"/>
            <w:hideMark/>
          </w:tcPr>
          <w:p w14:paraId="452CBC49" w14:textId="77777777" w:rsidR="00515398" w:rsidRDefault="006711E6">
            <w:pPr>
              <w:pStyle w:val="P68B1DB1-Normal7"/>
              <w:spacing w:before="120" w:after="0" w:line="240" w:lineRule="auto"/>
              <w:jc w:val="center"/>
              <w:rPr>
                <w:rFonts w:eastAsia="Times New Roman" w:cs="Times New Roman"/>
                <w:bCs/>
                <w:noProof/>
                <w:szCs w:val="18"/>
              </w:rPr>
            </w:pPr>
            <w:r>
              <w:rPr>
                <w:noProof/>
              </w:rPr>
              <w:t xml:space="preserve">Cíl </w:t>
            </w:r>
          </w:p>
        </w:tc>
        <w:tc>
          <w:tcPr>
            <w:tcW w:w="1417" w:type="dxa"/>
            <w:shd w:val="clear" w:color="auto" w:fill="BDD7EE"/>
            <w:vAlign w:val="center"/>
            <w:hideMark/>
          </w:tcPr>
          <w:p w14:paraId="60400BF1" w14:textId="77777777" w:rsidR="00515398" w:rsidRDefault="006711E6">
            <w:pPr>
              <w:pStyle w:val="P68B1DB1-Normal7"/>
              <w:spacing w:before="120" w:after="0" w:line="240" w:lineRule="auto"/>
              <w:jc w:val="center"/>
              <w:rPr>
                <w:rFonts w:eastAsia="Times New Roman" w:cs="Times New Roman"/>
                <w:bCs/>
                <w:noProof/>
                <w:szCs w:val="18"/>
              </w:rPr>
            </w:pPr>
            <w:r>
              <w:rPr>
                <w:noProof/>
              </w:rPr>
              <w:t>Čtvrtina</w:t>
            </w:r>
          </w:p>
        </w:tc>
        <w:tc>
          <w:tcPr>
            <w:tcW w:w="709" w:type="dxa"/>
            <w:shd w:val="clear" w:color="auto" w:fill="BDD7EE"/>
            <w:vAlign w:val="center"/>
            <w:hideMark/>
          </w:tcPr>
          <w:p w14:paraId="14170B13" w14:textId="77777777" w:rsidR="00515398" w:rsidRDefault="006711E6">
            <w:pPr>
              <w:pStyle w:val="P68B1DB1-Normal7"/>
              <w:spacing w:before="120" w:after="0" w:line="240" w:lineRule="auto"/>
              <w:jc w:val="center"/>
              <w:rPr>
                <w:rFonts w:eastAsia="Times New Roman" w:cs="Times New Roman"/>
                <w:bCs/>
                <w:noProof/>
                <w:szCs w:val="18"/>
              </w:rPr>
            </w:pPr>
            <w:r>
              <w:rPr>
                <w:noProof/>
              </w:rPr>
              <w:t>Rok</w:t>
            </w:r>
          </w:p>
        </w:tc>
        <w:tc>
          <w:tcPr>
            <w:tcW w:w="4384" w:type="dxa"/>
            <w:vMerge/>
            <w:vAlign w:val="center"/>
            <w:hideMark/>
          </w:tcPr>
          <w:p w14:paraId="5310884E" w14:textId="77777777" w:rsidR="00515398" w:rsidRDefault="00515398">
            <w:pPr>
              <w:spacing w:before="120" w:after="0" w:line="240" w:lineRule="auto"/>
              <w:rPr>
                <w:rFonts w:ascii="Times New Roman" w:eastAsia="Times New Roman" w:hAnsi="Times New Roman" w:cs="Times New Roman"/>
                <w:b/>
                <w:bCs/>
                <w:noProof/>
                <w:sz w:val="18"/>
                <w:szCs w:val="18"/>
              </w:rPr>
            </w:pPr>
          </w:p>
        </w:tc>
      </w:tr>
      <w:tr w:rsidR="00515398" w14:paraId="0F7D73D3" w14:textId="77777777">
        <w:trPr>
          <w:trHeight w:val="313"/>
          <w:jc w:val="center"/>
        </w:trPr>
        <w:tc>
          <w:tcPr>
            <w:tcW w:w="1134" w:type="dxa"/>
            <w:shd w:val="clear" w:color="auto" w:fill="C6EFCE"/>
            <w:noWrap/>
          </w:tcPr>
          <w:p w14:paraId="7DD0A383" w14:textId="77777777" w:rsidR="00515398" w:rsidRDefault="006711E6">
            <w:pPr>
              <w:pStyle w:val="P68B1DB1-Normal9"/>
              <w:spacing w:before="120" w:after="0" w:line="240" w:lineRule="auto"/>
              <w:rPr>
                <w:rFonts w:eastAsia="Times New Roman" w:cs="Calibri"/>
                <w:noProof/>
                <w:szCs w:val="18"/>
              </w:rPr>
            </w:pPr>
            <w:r>
              <w:rPr>
                <w:noProof/>
              </w:rPr>
              <w:t>174</w:t>
            </w:r>
          </w:p>
        </w:tc>
        <w:tc>
          <w:tcPr>
            <w:tcW w:w="1276" w:type="dxa"/>
            <w:shd w:val="clear" w:color="auto" w:fill="C6EFCE"/>
            <w:noWrap/>
          </w:tcPr>
          <w:p w14:paraId="481DE42E" w14:textId="61243941"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16904_disabi-lity</w:t>
            </w:r>
          </w:p>
        </w:tc>
        <w:tc>
          <w:tcPr>
            <w:tcW w:w="992" w:type="dxa"/>
            <w:shd w:val="clear" w:color="auto" w:fill="C6EFCE"/>
            <w:noWrap/>
          </w:tcPr>
          <w:p w14:paraId="3DC7A1D6"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1273" w:type="dxa"/>
            <w:shd w:val="clear" w:color="auto" w:fill="C6EFCE"/>
            <w:noWrap/>
          </w:tcPr>
          <w:p w14:paraId="2E986283" w14:textId="77777777" w:rsidR="00515398" w:rsidRDefault="006711E6">
            <w:pPr>
              <w:pStyle w:val="P68B1DB1-Normal9"/>
              <w:spacing w:before="120" w:after="0" w:line="240" w:lineRule="auto"/>
              <w:rPr>
                <w:rFonts w:eastAsia="Times New Roman" w:cs="Calibri"/>
                <w:noProof/>
                <w:szCs w:val="18"/>
              </w:rPr>
            </w:pPr>
            <w:r>
              <w:rPr>
                <w:noProof/>
              </w:rPr>
              <w:t>Právní předpisy v oblasti osobní</w:t>
            </w:r>
            <w:r>
              <w:rPr>
                <w:noProof/>
              </w:rPr>
              <w:t xml:space="preserve"> asistence pro osoby se zdravotním postižením a zavedení pilotního programu první fáze</w:t>
            </w:r>
          </w:p>
        </w:tc>
        <w:tc>
          <w:tcPr>
            <w:tcW w:w="1680" w:type="dxa"/>
            <w:shd w:val="clear" w:color="auto" w:fill="C6EFCE"/>
            <w:noWrap/>
          </w:tcPr>
          <w:p w14:paraId="27081847" w14:textId="77777777" w:rsidR="00515398" w:rsidRDefault="006711E6">
            <w:pPr>
              <w:pStyle w:val="P68B1DB1-Normal9"/>
              <w:spacing w:before="120" w:after="0" w:line="240" w:lineRule="auto"/>
              <w:rPr>
                <w:rFonts w:eastAsia="Times New Roman" w:cs="Calibri"/>
                <w:noProof/>
                <w:szCs w:val="18"/>
              </w:rPr>
            </w:pPr>
            <w:r>
              <w:rPr>
                <w:noProof/>
              </w:rPr>
              <w:t>Vstup v platnost primárních a sekundárních právních předpisů (odkaz na Úřední věstník) a zveřejnění oznámení o výzvě k podávání žádostí o program osobní pomoci.</w:t>
            </w:r>
          </w:p>
        </w:tc>
        <w:tc>
          <w:tcPr>
            <w:tcW w:w="1080" w:type="dxa"/>
            <w:shd w:val="clear" w:color="auto" w:fill="C6EFCE"/>
            <w:noWrap/>
          </w:tcPr>
          <w:p w14:paraId="7C9829B7" w14:textId="77777777" w:rsidR="00515398" w:rsidRDefault="00515398">
            <w:pPr>
              <w:spacing w:before="120" w:after="0" w:line="240" w:lineRule="auto"/>
              <w:rPr>
                <w:rFonts w:eastAsia="Times New Roman" w:cs="Calibri"/>
                <w:noProof/>
                <w:color w:val="006100"/>
                <w:sz w:val="18"/>
                <w:szCs w:val="18"/>
              </w:rPr>
            </w:pPr>
          </w:p>
        </w:tc>
        <w:tc>
          <w:tcPr>
            <w:tcW w:w="960" w:type="dxa"/>
            <w:shd w:val="clear" w:color="auto" w:fill="C6EFCE"/>
            <w:noWrap/>
          </w:tcPr>
          <w:p w14:paraId="74854E15" w14:textId="77777777" w:rsidR="00515398" w:rsidRDefault="00515398">
            <w:pPr>
              <w:spacing w:before="120" w:after="0" w:line="240" w:lineRule="auto"/>
              <w:rPr>
                <w:rFonts w:eastAsia="Times New Roman" w:cs="Calibri"/>
                <w:noProof/>
                <w:color w:val="006100"/>
                <w:sz w:val="18"/>
                <w:szCs w:val="18"/>
              </w:rPr>
            </w:pPr>
          </w:p>
        </w:tc>
        <w:tc>
          <w:tcPr>
            <w:tcW w:w="971" w:type="dxa"/>
            <w:shd w:val="clear" w:color="auto" w:fill="C6EFCE"/>
            <w:noWrap/>
          </w:tcPr>
          <w:p w14:paraId="39117E88" w14:textId="77777777" w:rsidR="00515398" w:rsidRDefault="00515398">
            <w:pPr>
              <w:spacing w:before="120" w:after="0" w:line="240" w:lineRule="auto"/>
              <w:rPr>
                <w:rFonts w:eastAsia="Times New Roman" w:cs="Calibri"/>
                <w:noProof/>
                <w:color w:val="006100"/>
                <w:sz w:val="18"/>
                <w:szCs w:val="18"/>
              </w:rPr>
            </w:pPr>
          </w:p>
        </w:tc>
        <w:tc>
          <w:tcPr>
            <w:tcW w:w="1417" w:type="dxa"/>
            <w:shd w:val="clear" w:color="auto" w:fill="C6EFCE"/>
            <w:noWrap/>
          </w:tcPr>
          <w:p w14:paraId="6F2FE778" w14:textId="77777777" w:rsidR="00515398" w:rsidRDefault="006711E6">
            <w:pPr>
              <w:pStyle w:val="P68B1DB1-Normal9"/>
              <w:spacing w:before="120" w:after="0" w:line="240" w:lineRule="auto"/>
              <w:rPr>
                <w:rFonts w:eastAsia="Times New Roman" w:cs="Calibri"/>
                <w:noProof/>
                <w:szCs w:val="18"/>
              </w:rPr>
            </w:pPr>
            <w:r>
              <w:rPr>
                <w:noProof/>
              </w:rPr>
              <w:t>ČTVRTLETÍ 1</w:t>
            </w:r>
          </w:p>
        </w:tc>
        <w:tc>
          <w:tcPr>
            <w:tcW w:w="709" w:type="dxa"/>
            <w:shd w:val="clear" w:color="auto" w:fill="C6EFCE"/>
            <w:noWrap/>
          </w:tcPr>
          <w:p w14:paraId="1BCFCC0D" w14:textId="77777777" w:rsidR="00515398" w:rsidRDefault="006711E6">
            <w:pPr>
              <w:pStyle w:val="P68B1DB1-Normal9"/>
              <w:spacing w:before="120" w:after="0" w:line="240" w:lineRule="auto"/>
              <w:rPr>
                <w:rFonts w:eastAsia="Times New Roman" w:cs="Calibri"/>
                <w:noProof/>
                <w:szCs w:val="18"/>
              </w:rPr>
            </w:pPr>
            <w:r>
              <w:rPr>
                <w:noProof/>
              </w:rPr>
              <w:t>2022</w:t>
            </w:r>
          </w:p>
        </w:tc>
        <w:tc>
          <w:tcPr>
            <w:tcW w:w="4384" w:type="dxa"/>
            <w:shd w:val="clear" w:color="auto" w:fill="C6EFCE"/>
            <w:noWrap/>
          </w:tcPr>
          <w:p w14:paraId="0DD3C01B" w14:textId="77777777" w:rsidR="00515398" w:rsidRDefault="006711E6">
            <w:pPr>
              <w:pStyle w:val="P68B1DB1-Normal9"/>
              <w:spacing w:before="120" w:after="0" w:line="240" w:lineRule="auto"/>
              <w:rPr>
                <w:rFonts w:eastAsia="Times New Roman" w:cs="Calibri"/>
                <w:noProof/>
                <w:szCs w:val="18"/>
              </w:rPr>
            </w:pPr>
            <w:r>
              <w:rPr>
                <w:noProof/>
              </w:rPr>
              <w:t>Osobní asistence: Vstup v platnost zákona umožňujícího deinstitucionalizaci péče o osoby se zdravotním postižením a výzva k podávání žádostí o účast v první fázi pilotního projektu zahrnujícího proces způsobilosti založený jak na lékařském</w:t>
            </w:r>
            <w:r>
              <w:rPr>
                <w:noProof/>
              </w:rPr>
              <w:t>, tak na funkčním posouzení zdravotního postižení ze strany multidisciplinární hodnotící komise</w:t>
            </w:r>
            <w:r>
              <w:rPr>
                <w:noProof/>
                <w:u w:val="single"/>
              </w:rPr>
              <w:t xml:space="preserve"> </w:t>
            </w:r>
            <w:r>
              <w:rPr>
                <w:noProof/>
              </w:rPr>
              <w:t xml:space="preserve"> </w:t>
            </w:r>
          </w:p>
        </w:tc>
      </w:tr>
      <w:tr w:rsidR="00515398" w14:paraId="38F6EE63" w14:textId="77777777">
        <w:trPr>
          <w:trHeight w:val="313"/>
          <w:jc w:val="center"/>
        </w:trPr>
        <w:tc>
          <w:tcPr>
            <w:tcW w:w="1134" w:type="dxa"/>
            <w:shd w:val="clear" w:color="auto" w:fill="C6EFCE"/>
            <w:noWrap/>
          </w:tcPr>
          <w:p w14:paraId="5AD118FA" w14:textId="77777777" w:rsidR="00515398" w:rsidRDefault="006711E6">
            <w:pPr>
              <w:pStyle w:val="P68B1DB1-Normal9"/>
              <w:spacing w:before="120" w:after="0" w:line="240" w:lineRule="auto"/>
              <w:rPr>
                <w:rFonts w:eastAsia="Times New Roman" w:cs="Calibri"/>
                <w:noProof/>
                <w:szCs w:val="18"/>
              </w:rPr>
            </w:pPr>
            <w:r>
              <w:rPr>
                <w:noProof/>
              </w:rPr>
              <w:t>174a</w:t>
            </w:r>
          </w:p>
        </w:tc>
        <w:tc>
          <w:tcPr>
            <w:tcW w:w="1276" w:type="dxa"/>
            <w:shd w:val="clear" w:color="auto" w:fill="C6EFCE"/>
            <w:noWrap/>
          </w:tcPr>
          <w:p w14:paraId="22B818EC" w14:textId="45B5567E"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16904_disabi-lity</w:t>
            </w:r>
          </w:p>
        </w:tc>
        <w:tc>
          <w:tcPr>
            <w:tcW w:w="992" w:type="dxa"/>
            <w:shd w:val="clear" w:color="auto" w:fill="C6EFCE"/>
            <w:noWrap/>
          </w:tcPr>
          <w:p w14:paraId="0BA0D102"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1273" w:type="dxa"/>
            <w:shd w:val="clear" w:color="auto" w:fill="C6EFCE"/>
            <w:noWrap/>
          </w:tcPr>
          <w:p w14:paraId="337EE0D7" w14:textId="5311061C" w:rsidR="00515398" w:rsidRDefault="006711E6">
            <w:pPr>
              <w:pStyle w:val="P68B1DB1-Normal9"/>
              <w:spacing w:before="120" w:after="0" w:line="240" w:lineRule="auto"/>
              <w:rPr>
                <w:noProof/>
              </w:rPr>
            </w:pPr>
            <w:r>
              <w:rPr>
                <w:noProof/>
              </w:rPr>
              <w:t xml:space="preserve">Přístupnost a podpůrná infrastruktura, intervence v </w:t>
            </w:r>
            <w:r>
              <w:rPr>
                <w:noProof/>
              </w:rPr>
              <w:t>raném dětství, vnitrostátní zavádění systému osob se zdravotním postižením</w:t>
            </w:r>
          </w:p>
        </w:tc>
        <w:tc>
          <w:tcPr>
            <w:tcW w:w="1680" w:type="dxa"/>
            <w:shd w:val="clear" w:color="auto" w:fill="C6EFCE"/>
            <w:noWrap/>
          </w:tcPr>
          <w:p w14:paraId="25846AE7" w14:textId="3E4D9A2E" w:rsidR="00515398" w:rsidRDefault="006711E6">
            <w:pPr>
              <w:pStyle w:val="P68B1DB1-Normal9"/>
              <w:spacing w:before="120" w:after="0" w:line="240" w:lineRule="auto"/>
              <w:rPr>
                <w:rFonts w:eastAsia="Times New Roman" w:cs="Calibri"/>
                <w:noProof/>
                <w:szCs w:val="18"/>
              </w:rPr>
            </w:pPr>
            <w:r>
              <w:rPr>
                <w:noProof/>
              </w:rPr>
              <w:t xml:space="preserve">1. Zpráva ministerstva pro sociální soudržnost a rodinu potvrzující dokončení projektů a a b; 2. Zveřejněná výzva pro příjemce vnitrostátního systému pro osoby se zdravotním </w:t>
            </w:r>
            <w:r>
              <w:rPr>
                <w:noProof/>
              </w:rPr>
              <w:t>postižením (program osobní asistence pro osoby se zdravotním postižením).</w:t>
            </w:r>
          </w:p>
        </w:tc>
        <w:tc>
          <w:tcPr>
            <w:tcW w:w="1080" w:type="dxa"/>
            <w:shd w:val="clear" w:color="auto" w:fill="C6EFCE"/>
            <w:noWrap/>
          </w:tcPr>
          <w:p w14:paraId="6405EEBE" w14:textId="77777777" w:rsidR="00515398" w:rsidRDefault="00515398">
            <w:pPr>
              <w:spacing w:before="120" w:after="0" w:line="240" w:lineRule="auto"/>
              <w:rPr>
                <w:rFonts w:eastAsia="Times New Roman" w:cs="Calibri"/>
                <w:noProof/>
                <w:color w:val="006100"/>
                <w:sz w:val="18"/>
                <w:szCs w:val="18"/>
              </w:rPr>
            </w:pPr>
          </w:p>
        </w:tc>
        <w:tc>
          <w:tcPr>
            <w:tcW w:w="960" w:type="dxa"/>
            <w:shd w:val="clear" w:color="auto" w:fill="C6EFCE"/>
            <w:noWrap/>
          </w:tcPr>
          <w:p w14:paraId="52A4CC29" w14:textId="77777777" w:rsidR="00515398" w:rsidRDefault="00515398">
            <w:pPr>
              <w:spacing w:before="120" w:after="0" w:line="240" w:lineRule="auto"/>
              <w:rPr>
                <w:rFonts w:eastAsia="Times New Roman" w:cs="Calibri"/>
                <w:noProof/>
                <w:color w:val="006100"/>
                <w:sz w:val="18"/>
                <w:szCs w:val="18"/>
              </w:rPr>
            </w:pPr>
          </w:p>
        </w:tc>
        <w:tc>
          <w:tcPr>
            <w:tcW w:w="971" w:type="dxa"/>
            <w:shd w:val="clear" w:color="auto" w:fill="C6EFCE"/>
            <w:noWrap/>
          </w:tcPr>
          <w:p w14:paraId="17391245" w14:textId="77777777" w:rsidR="00515398" w:rsidRDefault="00515398">
            <w:pPr>
              <w:spacing w:before="120" w:after="0" w:line="240" w:lineRule="auto"/>
              <w:rPr>
                <w:rFonts w:eastAsia="Times New Roman" w:cs="Calibri"/>
                <w:noProof/>
                <w:color w:val="006100"/>
                <w:sz w:val="18"/>
                <w:szCs w:val="18"/>
              </w:rPr>
            </w:pPr>
          </w:p>
        </w:tc>
        <w:tc>
          <w:tcPr>
            <w:tcW w:w="1417" w:type="dxa"/>
            <w:shd w:val="clear" w:color="auto" w:fill="C6EFCE"/>
            <w:noWrap/>
          </w:tcPr>
          <w:p w14:paraId="037E9E96"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09" w:type="dxa"/>
            <w:shd w:val="clear" w:color="auto" w:fill="C6EFCE"/>
            <w:noWrap/>
          </w:tcPr>
          <w:p w14:paraId="2B9698D7" w14:textId="77777777" w:rsidR="00515398" w:rsidRDefault="006711E6">
            <w:pPr>
              <w:pStyle w:val="P68B1DB1-Normal9"/>
              <w:spacing w:before="120" w:after="0" w:line="240" w:lineRule="auto"/>
              <w:rPr>
                <w:rFonts w:eastAsia="Times New Roman" w:cs="Calibri"/>
                <w:noProof/>
                <w:szCs w:val="18"/>
              </w:rPr>
            </w:pPr>
            <w:r>
              <w:rPr>
                <w:noProof/>
              </w:rPr>
              <w:t>2025</w:t>
            </w:r>
          </w:p>
        </w:tc>
        <w:tc>
          <w:tcPr>
            <w:tcW w:w="4384" w:type="dxa"/>
            <w:shd w:val="clear" w:color="auto" w:fill="C6EFCE"/>
            <w:noWrap/>
          </w:tcPr>
          <w:p w14:paraId="4B723A5C" w14:textId="1DF88C3E" w:rsidR="00515398" w:rsidRDefault="006711E6">
            <w:pPr>
              <w:pStyle w:val="P68B1DB1-Normal9"/>
              <w:spacing w:after="0" w:line="240" w:lineRule="auto"/>
              <w:textAlignment w:val="baseline"/>
              <w:rPr>
                <w:rFonts w:eastAsia="Times New Roman" w:cs="Calibri"/>
                <w:noProof/>
                <w:szCs w:val="18"/>
              </w:rPr>
            </w:pPr>
            <w:r>
              <w:rPr>
                <w:noProof/>
              </w:rPr>
              <w:t>1. Dokončení těchto projektů: </w:t>
            </w:r>
          </w:p>
          <w:p w14:paraId="7835B57C" w14:textId="77777777" w:rsidR="00515398" w:rsidRDefault="006711E6">
            <w:pPr>
              <w:pStyle w:val="P68B1DB1-Normal9"/>
              <w:spacing w:after="0" w:line="240" w:lineRule="auto"/>
              <w:textAlignment w:val="baseline"/>
              <w:rPr>
                <w:rFonts w:eastAsia="Times New Roman" w:cs="Calibri"/>
                <w:noProof/>
                <w:szCs w:val="18"/>
              </w:rPr>
            </w:pPr>
            <w:r>
              <w:rPr>
                <w:noProof/>
              </w:rPr>
              <w:t xml:space="preserve">přístupnost a podpůrná infrastruktura v soukromých domech, pracovištích a veřejných budovách vybraných prostřednictvím výzvy k </w:t>
            </w:r>
            <w:r>
              <w:rPr>
                <w:noProof/>
              </w:rPr>
              <w:t xml:space="preserve">usnadnění přístupu pro osoby s mobilitou a smyslovým postižením;  </w:t>
            </w:r>
          </w:p>
          <w:p w14:paraId="440EC295" w14:textId="7C8EF277" w:rsidR="00515398" w:rsidRDefault="006711E6">
            <w:pPr>
              <w:spacing w:after="0" w:line="240" w:lineRule="auto"/>
              <w:textAlignment w:val="baseline"/>
              <w:rPr>
                <w:rFonts w:ascii="Arial" w:hAnsi="Arial"/>
                <w:noProof/>
                <w:sz w:val="20"/>
                <w:szCs w:val="20"/>
              </w:rPr>
            </w:pPr>
            <w:r>
              <w:rPr>
                <w:noProof/>
                <w:color w:val="006100"/>
                <w:sz w:val="18"/>
                <w:szCs w:val="18"/>
              </w:rPr>
              <w:t>b) intervence v raném dětství (terapeutické/vzdělávací programy) pro děti, které budou vybrány prostřednictvím výzvy. </w:t>
            </w:r>
          </w:p>
          <w:p w14:paraId="2F848804" w14:textId="77777777" w:rsidR="00515398" w:rsidRDefault="00515398">
            <w:pPr>
              <w:spacing w:after="0" w:line="240" w:lineRule="auto"/>
              <w:textAlignment w:val="baseline"/>
              <w:rPr>
                <w:noProof/>
                <w:color w:val="006100"/>
                <w:sz w:val="18"/>
              </w:rPr>
            </w:pPr>
          </w:p>
          <w:p w14:paraId="35A2933A" w14:textId="093C6F32" w:rsidR="00515398" w:rsidRDefault="006711E6">
            <w:pPr>
              <w:pStyle w:val="P68B1DB1-Normal9"/>
              <w:spacing w:after="0" w:line="240" w:lineRule="auto"/>
              <w:textAlignment w:val="baseline"/>
              <w:rPr>
                <w:rFonts w:ascii="Arial" w:hAnsi="Arial"/>
                <w:noProof/>
                <w:sz w:val="20"/>
                <w:szCs w:val="20"/>
              </w:rPr>
            </w:pPr>
            <w:r>
              <w:rPr>
                <w:noProof/>
              </w:rPr>
              <w:t>2.Vydání výzvy příjemcům celostátního zavedení systému osobní asisten</w:t>
            </w:r>
            <w:r>
              <w:rPr>
                <w:noProof/>
              </w:rPr>
              <w:t>ce pro osoby se zdravotním postižením</w:t>
            </w:r>
          </w:p>
        </w:tc>
      </w:tr>
      <w:tr w:rsidR="00515398" w14:paraId="48E1F5AF" w14:textId="77777777">
        <w:trPr>
          <w:trHeight w:val="313"/>
          <w:jc w:val="center"/>
        </w:trPr>
        <w:tc>
          <w:tcPr>
            <w:tcW w:w="1134" w:type="dxa"/>
            <w:shd w:val="clear" w:color="auto" w:fill="C6EFCE"/>
            <w:noWrap/>
          </w:tcPr>
          <w:p w14:paraId="74242F64" w14:textId="77777777" w:rsidR="00515398" w:rsidRDefault="006711E6">
            <w:pPr>
              <w:pStyle w:val="P68B1DB1-Normal9"/>
              <w:spacing w:before="120" w:after="0" w:line="240" w:lineRule="auto"/>
              <w:rPr>
                <w:rFonts w:eastAsia="Times New Roman" w:cs="Calibri"/>
                <w:noProof/>
                <w:szCs w:val="18"/>
              </w:rPr>
            </w:pPr>
            <w:r>
              <w:rPr>
                <w:noProof/>
              </w:rPr>
              <w:t>175</w:t>
            </w:r>
          </w:p>
        </w:tc>
        <w:tc>
          <w:tcPr>
            <w:tcW w:w="1276" w:type="dxa"/>
            <w:shd w:val="clear" w:color="auto" w:fill="C6EFCE"/>
            <w:noWrap/>
          </w:tcPr>
          <w:p w14:paraId="2B3B10F5"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16726 optimalizace sociálních dávek</w:t>
            </w:r>
          </w:p>
        </w:tc>
        <w:tc>
          <w:tcPr>
            <w:tcW w:w="992" w:type="dxa"/>
            <w:shd w:val="clear" w:color="auto" w:fill="C6EFCE"/>
            <w:noWrap/>
          </w:tcPr>
          <w:p w14:paraId="140643C6"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1273" w:type="dxa"/>
            <w:shd w:val="clear" w:color="auto" w:fill="C6EFCE"/>
            <w:noWrap/>
          </w:tcPr>
          <w:p w14:paraId="4F62C252" w14:textId="77777777" w:rsidR="00515398" w:rsidRDefault="006711E6">
            <w:pPr>
              <w:pStyle w:val="P68B1DB1-Normal9"/>
              <w:spacing w:before="120" w:after="0" w:line="240" w:lineRule="auto"/>
              <w:rPr>
                <w:rFonts w:eastAsia="Times New Roman" w:cs="Calibri"/>
                <w:noProof/>
                <w:szCs w:val="18"/>
              </w:rPr>
            </w:pPr>
            <w:r>
              <w:rPr>
                <w:noProof/>
              </w:rPr>
              <w:t>Optimalizace sociálních dávek předplacených karet</w:t>
            </w:r>
          </w:p>
        </w:tc>
        <w:tc>
          <w:tcPr>
            <w:tcW w:w="1680" w:type="dxa"/>
            <w:shd w:val="clear" w:color="auto" w:fill="C6EFCE"/>
            <w:noWrap/>
          </w:tcPr>
          <w:p w14:paraId="1AC590E5" w14:textId="77777777" w:rsidR="00515398" w:rsidRDefault="006711E6">
            <w:pPr>
              <w:pStyle w:val="P68B1DB1-Normal9"/>
              <w:spacing w:before="120" w:after="0" w:line="240" w:lineRule="auto"/>
              <w:rPr>
                <w:rFonts w:eastAsia="Times New Roman" w:cs="Calibri"/>
                <w:noProof/>
                <w:szCs w:val="18"/>
              </w:rPr>
            </w:pPr>
            <w:r>
              <w:rPr>
                <w:noProof/>
              </w:rPr>
              <w:t>Zpráva OPEKA a DYPA potvrzující dokončení zavedení předplacených karet pro výplatu sociálních dávek poskytovaných těmito dvěma službami</w:t>
            </w:r>
          </w:p>
        </w:tc>
        <w:tc>
          <w:tcPr>
            <w:tcW w:w="1080" w:type="dxa"/>
            <w:shd w:val="clear" w:color="auto" w:fill="C6EFCE"/>
            <w:noWrap/>
          </w:tcPr>
          <w:p w14:paraId="28545126" w14:textId="77777777" w:rsidR="00515398" w:rsidRDefault="00515398">
            <w:pPr>
              <w:spacing w:before="120" w:after="0" w:line="240" w:lineRule="auto"/>
              <w:rPr>
                <w:rFonts w:eastAsia="Times New Roman" w:cs="Calibri"/>
                <w:noProof/>
                <w:color w:val="006100"/>
                <w:sz w:val="18"/>
                <w:szCs w:val="18"/>
              </w:rPr>
            </w:pPr>
          </w:p>
        </w:tc>
        <w:tc>
          <w:tcPr>
            <w:tcW w:w="960" w:type="dxa"/>
            <w:shd w:val="clear" w:color="auto" w:fill="C6EFCE"/>
            <w:noWrap/>
          </w:tcPr>
          <w:p w14:paraId="45B9DBDF" w14:textId="77777777" w:rsidR="00515398" w:rsidRDefault="00515398">
            <w:pPr>
              <w:spacing w:before="120" w:after="0" w:line="240" w:lineRule="auto"/>
              <w:rPr>
                <w:rFonts w:eastAsia="Times New Roman" w:cs="Calibri"/>
                <w:noProof/>
                <w:color w:val="006100"/>
                <w:sz w:val="18"/>
                <w:szCs w:val="18"/>
              </w:rPr>
            </w:pPr>
          </w:p>
        </w:tc>
        <w:tc>
          <w:tcPr>
            <w:tcW w:w="971" w:type="dxa"/>
            <w:shd w:val="clear" w:color="auto" w:fill="C6EFCE"/>
            <w:noWrap/>
          </w:tcPr>
          <w:p w14:paraId="0634D547" w14:textId="77777777" w:rsidR="00515398" w:rsidRDefault="00515398">
            <w:pPr>
              <w:spacing w:before="120" w:after="0" w:line="240" w:lineRule="auto"/>
              <w:rPr>
                <w:rFonts w:eastAsia="Times New Roman" w:cs="Calibri"/>
                <w:noProof/>
                <w:color w:val="006100"/>
                <w:sz w:val="18"/>
                <w:szCs w:val="18"/>
              </w:rPr>
            </w:pPr>
          </w:p>
        </w:tc>
        <w:tc>
          <w:tcPr>
            <w:tcW w:w="1417" w:type="dxa"/>
            <w:shd w:val="clear" w:color="auto" w:fill="C6EFCE"/>
            <w:noWrap/>
          </w:tcPr>
          <w:p w14:paraId="33E6C169" w14:textId="12F8CCB3" w:rsidR="00515398" w:rsidRDefault="006711E6">
            <w:pPr>
              <w:pStyle w:val="P68B1DB1-Normal10"/>
              <w:spacing w:before="120" w:after="0" w:line="240" w:lineRule="auto"/>
              <w:rPr>
                <w:rFonts w:eastAsia="Times New Roman" w:cs="Calibri"/>
                <w:noProof/>
              </w:rPr>
            </w:pPr>
            <w:r>
              <w:rPr>
                <w:noProof/>
              </w:rPr>
              <w:t>ČTVRTLETÍ ČTVRT</w:t>
            </w:r>
          </w:p>
        </w:tc>
        <w:tc>
          <w:tcPr>
            <w:tcW w:w="709" w:type="dxa"/>
            <w:shd w:val="clear" w:color="auto" w:fill="C6EFCE"/>
            <w:noWrap/>
          </w:tcPr>
          <w:p w14:paraId="3696B0F6" w14:textId="77777777" w:rsidR="00515398" w:rsidRDefault="006711E6">
            <w:pPr>
              <w:pStyle w:val="P68B1DB1-Normal9"/>
              <w:spacing w:before="120" w:after="0" w:line="240" w:lineRule="auto"/>
              <w:rPr>
                <w:rFonts w:eastAsia="Times New Roman" w:cs="Calibri"/>
                <w:noProof/>
                <w:szCs w:val="18"/>
              </w:rPr>
            </w:pPr>
            <w:r>
              <w:rPr>
                <w:noProof/>
              </w:rPr>
              <w:t>2024</w:t>
            </w:r>
          </w:p>
        </w:tc>
        <w:tc>
          <w:tcPr>
            <w:tcW w:w="4384" w:type="dxa"/>
            <w:shd w:val="clear" w:color="auto" w:fill="C6EFCE"/>
            <w:noWrap/>
          </w:tcPr>
          <w:p w14:paraId="4E0FA2B6" w14:textId="3A83D544" w:rsidR="00515398" w:rsidRDefault="006711E6">
            <w:pPr>
              <w:pStyle w:val="P68B1DB1-Normal9"/>
              <w:spacing w:before="120" w:after="0" w:line="240" w:lineRule="auto"/>
              <w:rPr>
                <w:rFonts w:eastAsia="Times New Roman" w:cs="Calibri"/>
                <w:noProof/>
                <w:szCs w:val="18"/>
              </w:rPr>
            </w:pPr>
            <w:r>
              <w:rPr>
                <w:noProof/>
              </w:rPr>
              <w:t>Dokončení zavádění předplacených karet pro výplatu většiny sociálních dávek poskytovaných Jednot</w:t>
            </w:r>
            <w:r>
              <w:rPr>
                <w:noProof/>
              </w:rPr>
              <w:t>ným úřadem pro platby sociálních dávek (OPEKA) a veřejnou službou zaměstnanosti (DYPA)</w:t>
            </w:r>
          </w:p>
        </w:tc>
      </w:tr>
      <w:tr w:rsidR="00515398" w14:paraId="53EF82FA" w14:textId="77777777">
        <w:trPr>
          <w:trHeight w:val="313"/>
          <w:jc w:val="center"/>
        </w:trPr>
        <w:tc>
          <w:tcPr>
            <w:tcW w:w="1134" w:type="dxa"/>
            <w:shd w:val="clear" w:color="auto" w:fill="C6EFCE"/>
            <w:noWrap/>
          </w:tcPr>
          <w:p w14:paraId="1F9B250D" w14:textId="77777777" w:rsidR="00515398" w:rsidRDefault="006711E6">
            <w:pPr>
              <w:pStyle w:val="P68B1DB1-Normal9"/>
              <w:spacing w:before="120" w:after="0" w:line="240" w:lineRule="auto"/>
              <w:rPr>
                <w:rFonts w:eastAsia="Times New Roman" w:cs="Calibri"/>
                <w:noProof/>
                <w:szCs w:val="18"/>
              </w:rPr>
            </w:pPr>
            <w:r>
              <w:rPr>
                <w:noProof/>
              </w:rPr>
              <w:t>175a</w:t>
            </w:r>
          </w:p>
          <w:p w14:paraId="1DE91B79" w14:textId="77777777" w:rsidR="00515398" w:rsidRDefault="00515398">
            <w:pPr>
              <w:spacing w:before="120" w:after="0" w:line="240" w:lineRule="auto"/>
              <w:rPr>
                <w:rFonts w:eastAsia="Times New Roman" w:cs="Calibri"/>
                <w:noProof/>
                <w:color w:val="006100"/>
                <w:sz w:val="18"/>
                <w:szCs w:val="18"/>
                <w:highlight w:val="cyan"/>
              </w:rPr>
            </w:pPr>
          </w:p>
        </w:tc>
        <w:tc>
          <w:tcPr>
            <w:tcW w:w="1276" w:type="dxa"/>
            <w:shd w:val="clear" w:color="auto" w:fill="C6EFCE"/>
            <w:noWrap/>
          </w:tcPr>
          <w:p w14:paraId="12CFA9D5"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16726 optimalizace sociálních dávek</w:t>
            </w:r>
          </w:p>
        </w:tc>
        <w:tc>
          <w:tcPr>
            <w:tcW w:w="992" w:type="dxa"/>
            <w:shd w:val="clear" w:color="auto" w:fill="C6EFCE"/>
            <w:noWrap/>
          </w:tcPr>
          <w:p w14:paraId="43B2FEAF"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1273" w:type="dxa"/>
            <w:shd w:val="clear" w:color="auto" w:fill="C6EFCE"/>
            <w:noWrap/>
          </w:tcPr>
          <w:p w14:paraId="44E16327" w14:textId="77777777" w:rsidR="00515398" w:rsidRDefault="006711E6">
            <w:pPr>
              <w:pStyle w:val="P68B1DB1-Normal9"/>
              <w:spacing w:before="120" w:after="0" w:line="240" w:lineRule="auto"/>
              <w:rPr>
                <w:rFonts w:eastAsia="Times New Roman" w:cs="Calibri"/>
                <w:noProof/>
                <w:szCs w:val="18"/>
              </w:rPr>
            </w:pPr>
            <w:r>
              <w:rPr>
                <w:noProof/>
              </w:rPr>
              <w:t>Optimalizace sociálních dávek předplacené karty</w:t>
            </w:r>
          </w:p>
        </w:tc>
        <w:tc>
          <w:tcPr>
            <w:tcW w:w="1680" w:type="dxa"/>
            <w:shd w:val="clear" w:color="auto" w:fill="C6EFCE"/>
            <w:noWrap/>
          </w:tcPr>
          <w:p w14:paraId="15A5B85F" w14:textId="77777777" w:rsidR="00515398" w:rsidRDefault="006711E6">
            <w:pPr>
              <w:pStyle w:val="P68B1DB1-Normal9"/>
              <w:spacing w:before="120" w:after="0" w:line="240" w:lineRule="auto"/>
              <w:rPr>
                <w:rFonts w:eastAsia="Times New Roman" w:cs="Calibri"/>
                <w:noProof/>
                <w:szCs w:val="18"/>
              </w:rPr>
            </w:pPr>
            <w:r>
              <w:rPr>
                <w:noProof/>
              </w:rPr>
              <w:t>Vstup právních předpisů v platnost</w:t>
            </w:r>
          </w:p>
        </w:tc>
        <w:tc>
          <w:tcPr>
            <w:tcW w:w="1080" w:type="dxa"/>
            <w:shd w:val="clear" w:color="auto" w:fill="C6EFCE"/>
            <w:noWrap/>
          </w:tcPr>
          <w:p w14:paraId="119EC8E4" w14:textId="77777777" w:rsidR="00515398" w:rsidRDefault="00515398">
            <w:pPr>
              <w:spacing w:before="120" w:after="0" w:line="240" w:lineRule="auto"/>
              <w:rPr>
                <w:rFonts w:eastAsia="Times New Roman" w:cs="Calibri"/>
                <w:noProof/>
                <w:color w:val="006100"/>
                <w:sz w:val="18"/>
                <w:szCs w:val="18"/>
              </w:rPr>
            </w:pPr>
          </w:p>
        </w:tc>
        <w:tc>
          <w:tcPr>
            <w:tcW w:w="960" w:type="dxa"/>
            <w:shd w:val="clear" w:color="auto" w:fill="C6EFCE"/>
            <w:noWrap/>
          </w:tcPr>
          <w:p w14:paraId="138D8508" w14:textId="77777777" w:rsidR="00515398" w:rsidRDefault="00515398">
            <w:pPr>
              <w:spacing w:before="120" w:after="0" w:line="240" w:lineRule="auto"/>
              <w:rPr>
                <w:rFonts w:eastAsia="Times New Roman" w:cs="Calibri"/>
                <w:noProof/>
                <w:color w:val="006100"/>
                <w:sz w:val="18"/>
                <w:szCs w:val="18"/>
              </w:rPr>
            </w:pPr>
          </w:p>
        </w:tc>
        <w:tc>
          <w:tcPr>
            <w:tcW w:w="971" w:type="dxa"/>
            <w:shd w:val="clear" w:color="auto" w:fill="C6EFCE"/>
            <w:noWrap/>
          </w:tcPr>
          <w:p w14:paraId="37355235" w14:textId="77777777" w:rsidR="00515398" w:rsidRDefault="00515398">
            <w:pPr>
              <w:spacing w:before="120" w:after="0" w:line="240" w:lineRule="auto"/>
              <w:rPr>
                <w:rFonts w:eastAsia="Times New Roman" w:cs="Calibri"/>
                <w:noProof/>
                <w:color w:val="006100"/>
                <w:sz w:val="18"/>
                <w:szCs w:val="18"/>
              </w:rPr>
            </w:pPr>
          </w:p>
        </w:tc>
        <w:tc>
          <w:tcPr>
            <w:tcW w:w="1417" w:type="dxa"/>
            <w:shd w:val="clear" w:color="auto" w:fill="C6EFCE"/>
            <w:noWrap/>
          </w:tcPr>
          <w:p w14:paraId="139F8DFA" w14:textId="6DD1A01A" w:rsidR="00515398" w:rsidRDefault="006711E6">
            <w:pPr>
              <w:pStyle w:val="P68B1DB1-Normal10"/>
              <w:spacing w:before="120" w:after="0" w:line="240" w:lineRule="auto"/>
              <w:rPr>
                <w:rFonts w:eastAsia="Times New Roman" w:cs="Calibri"/>
                <w:noProof/>
              </w:rPr>
            </w:pPr>
            <w:r>
              <w:rPr>
                <w:noProof/>
              </w:rPr>
              <w:t>ČTVRTLETÍ</w:t>
            </w:r>
          </w:p>
        </w:tc>
        <w:tc>
          <w:tcPr>
            <w:tcW w:w="709" w:type="dxa"/>
            <w:shd w:val="clear" w:color="auto" w:fill="C6EFCE"/>
            <w:noWrap/>
          </w:tcPr>
          <w:p w14:paraId="6B1677AD" w14:textId="77777777" w:rsidR="00515398" w:rsidRDefault="006711E6">
            <w:pPr>
              <w:pStyle w:val="P68B1DB1-Normal9"/>
              <w:spacing w:before="120" w:after="0" w:line="240" w:lineRule="auto"/>
              <w:rPr>
                <w:rFonts w:eastAsia="Times New Roman" w:cs="Calibri"/>
                <w:noProof/>
                <w:szCs w:val="18"/>
              </w:rPr>
            </w:pPr>
            <w:r>
              <w:rPr>
                <w:noProof/>
              </w:rPr>
              <w:t>2024</w:t>
            </w:r>
          </w:p>
          <w:p w14:paraId="57FA091A" w14:textId="77777777" w:rsidR="00515398" w:rsidRDefault="00515398">
            <w:pPr>
              <w:spacing w:before="120" w:after="0" w:line="240" w:lineRule="auto"/>
              <w:rPr>
                <w:rFonts w:eastAsia="Times New Roman" w:cs="Calibri"/>
                <w:noProof/>
                <w:color w:val="006100"/>
                <w:sz w:val="18"/>
                <w:szCs w:val="18"/>
              </w:rPr>
            </w:pPr>
          </w:p>
        </w:tc>
        <w:tc>
          <w:tcPr>
            <w:tcW w:w="4384" w:type="dxa"/>
            <w:shd w:val="clear" w:color="auto" w:fill="C6EFCE"/>
            <w:noWrap/>
          </w:tcPr>
          <w:p w14:paraId="2E3C21F5" w14:textId="1DF804AD" w:rsidR="00515398" w:rsidRDefault="006711E6">
            <w:pPr>
              <w:spacing w:before="120" w:after="0" w:line="240" w:lineRule="auto"/>
              <w:rPr>
                <w:rFonts w:eastAsia="Times New Roman" w:cs="Calibri"/>
                <w:noProof/>
                <w:color w:val="006100"/>
                <w:sz w:val="18"/>
                <w:szCs w:val="18"/>
              </w:rPr>
            </w:pPr>
            <w:r>
              <w:rPr>
                <w:noProof/>
                <w:color w:val="006100"/>
                <w:sz w:val="18"/>
              </w:rPr>
              <w:t>Vstup v platnost právních předpisů, které motivují příjemce k používání předplacených karet k nákupu zboží a služeb</w:t>
            </w:r>
            <w:r>
              <w:rPr>
                <w:rStyle w:val="eop"/>
                <w:noProof/>
                <w:color w:val="000000" w:themeColor="text1"/>
                <w:sz w:val="20"/>
              </w:rPr>
              <w:t>.</w:t>
            </w:r>
          </w:p>
        </w:tc>
      </w:tr>
      <w:tr w:rsidR="00515398" w14:paraId="2E19218F" w14:textId="77777777">
        <w:trPr>
          <w:trHeight w:val="313"/>
          <w:jc w:val="center"/>
        </w:trPr>
        <w:tc>
          <w:tcPr>
            <w:tcW w:w="1134" w:type="dxa"/>
            <w:shd w:val="clear" w:color="auto" w:fill="C6EFCE"/>
            <w:noWrap/>
          </w:tcPr>
          <w:p w14:paraId="26809BE5" w14:textId="77777777" w:rsidR="00515398" w:rsidRDefault="006711E6">
            <w:pPr>
              <w:pStyle w:val="P68B1DB1-Normal9"/>
              <w:spacing w:before="120" w:after="0" w:line="240" w:lineRule="auto"/>
              <w:rPr>
                <w:rFonts w:eastAsia="Times New Roman" w:cs="Calibri"/>
                <w:noProof/>
                <w:szCs w:val="18"/>
              </w:rPr>
            </w:pPr>
            <w:r>
              <w:rPr>
                <w:noProof/>
              </w:rPr>
              <w:t>176</w:t>
            </w:r>
          </w:p>
        </w:tc>
        <w:tc>
          <w:tcPr>
            <w:tcW w:w="1276" w:type="dxa"/>
            <w:shd w:val="clear" w:color="auto" w:fill="C6EFCE"/>
            <w:noWrap/>
          </w:tcPr>
          <w:p w14:paraId="2EE96953" w14:textId="58C3FE7B" w:rsidR="00515398" w:rsidRDefault="006711E6">
            <w:pPr>
              <w:pStyle w:val="P68B1DB1-Normal9"/>
              <w:spacing w:before="120" w:after="0" w:line="240" w:lineRule="auto"/>
              <w:rPr>
                <w:rFonts w:eastAsia="Times New Roman" w:cs="Calibri"/>
                <w:noProof/>
                <w:szCs w:val="18"/>
              </w:rPr>
            </w:pPr>
            <w:r>
              <w:rPr>
                <w:noProof/>
              </w:rPr>
              <w:t xml:space="preserve">11–3.4. Zlepšení přístupu k účinným a inkluzivním sociálním politikám – </w:t>
            </w:r>
            <w:r>
              <w:rPr>
                <w:noProof/>
              </w:rPr>
              <w:t>16904_disabi-lity</w:t>
            </w:r>
          </w:p>
        </w:tc>
        <w:tc>
          <w:tcPr>
            <w:tcW w:w="992" w:type="dxa"/>
            <w:shd w:val="clear" w:color="auto" w:fill="C6EFCE"/>
            <w:noWrap/>
          </w:tcPr>
          <w:p w14:paraId="4B7A536B"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1273" w:type="dxa"/>
            <w:shd w:val="clear" w:color="auto" w:fill="C6EFCE"/>
            <w:noWrap/>
          </w:tcPr>
          <w:p w14:paraId="2EDF078A" w14:textId="77777777" w:rsidR="00515398" w:rsidRDefault="006711E6">
            <w:pPr>
              <w:pStyle w:val="P68B1DB1-Normal9"/>
              <w:spacing w:before="120" w:after="0" w:line="240" w:lineRule="auto"/>
              <w:rPr>
                <w:rFonts w:eastAsia="Times New Roman" w:cs="Calibri"/>
                <w:noProof/>
                <w:szCs w:val="18"/>
              </w:rPr>
            </w:pPr>
            <w:r>
              <w:rPr>
                <w:noProof/>
              </w:rPr>
              <w:t>Dokončení druhé fáze posouzení zdravotního postižení osobní asistence</w:t>
            </w:r>
          </w:p>
        </w:tc>
        <w:tc>
          <w:tcPr>
            <w:tcW w:w="1680" w:type="dxa"/>
            <w:shd w:val="clear" w:color="auto" w:fill="C6EFCE"/>
            <w:noWrap/>
          </w:tcPr>
          <w:p w14:paraId="3D31008A" w14:textId="51EDC8FD" w:rsidR="00515398" w:rsidRDefault="006711E6">
            <w:pPr>
              <w:pStyle w:val="P68B1DB1-Normal10"/>
              <w:spacing w:before="120" w:after="0" w:line="240" w:lineRule="auto"/>
              <w:rPr>
                <w:rFonts w:eastAsia="Times New Roman" w:cs="Calibri"/>
                <w:noProof/>
              </w:rPr>
            </w:pPr>
            <w:r>
              <w:rPr>
                <w:noProof/>
              </w:rPr>
              <w:t>Zpráva o tom, že v rámci těchto dvou pilotních projektů byli přiděleni osobní asistenti nejméně 1500 příjemců.</w:t>
            </w:r>
          </w:p>
          <w:p w14:paraId="1BEE8BF2" w14:textId="2A4465D5" w:rsidR="00515398" w:rsidRDefault="00515398">
            <w:pPr>
              <w:spacing w:before="120" w:after="0" w:line="240" w:lineRule="auto"/>
              <w:rPr>
                <w:rFonts w:eastAsia="Times New Roman" w:cs="Calibri"/>
                <w:noProof/>
                <w:color w:val="006100"/>
                <w:sz w:val="18"/>
                <w:szCs w:val="18"/>
              </w:rPr>
            </w:pPr>
          </w:p>
        </w:tc>
        <w:tc>
          <w:tcPr>
            <w:tcW w:w="1080" w:type="dxa"/>
            <w:shd w:val="clear" w:color="auto" w:fill="C6EFCE"/>
            <w:noWrap/>
          </w:tcPr>
          <w:p w14:paraId="297B8647" w14:textId="77777777" w:rsidR="00515398" w:rsidRDefault="00515398">
            <w:pPr>
              <w:spacing w:before="120" w:after="0" w:line="240" w:lineRule="auto"/>
              <w:rPr>
                <w:rFonts w:eastAsia="Times New Roman" w:cs="Calibri"/>
                <w:noProof/>
                <w:color w:val="006100"/>
                <w:sz w:val="18"/>
                <w:szCs w:val="18"/>
              </w:rPr>
            </w:pPr>
          </w:p>
        </w:tc>
        <w:tc>
          <w:tcPr>
            <w:tcW w:w="960" w:type="dxa"/>
            <w:shd w:val="clear" w:color="auto" w:fill="C6EFCE"/>
            <w:noWrap/>
          </w:tcPr>
          <w:p w14:paraId="02DB1096" w14:textId="77777777" w:rsidR="00515398" w:rsidRDefault="00515398">
            <w:pPr>
              <w:spacing w:before="120" w:after="0" w:line="240" w:lineRule="auto"/>
              <w:rPr>
                <w:rFonts w:eastAsia="Times New Roman" w:cs="Calibri"/>
                <w:noProof/>
                <w:color w:val="006100"/>
                <w:sz w:val="18"/>
                <w:szCs w:val="18"/>
              </w:rPr>
            </w:pPr>
          </w:p>
        </w:tc>
        <w:tc>
          <w:tcPr>
            <w:tcW w:w="971" w:type="dxa"/>
            <w:shd w:val="clear" w:color="auto" w:fill="C6EFCE"/>
            <w:noWrap/>
          </w:tcPr>
          <w:p w14:paraId="29180636" w14:textId="77777777" w:rsidR="00515398" w:rsidRDefault="00515398">
            <w:pPr>
              <w:spacing w:before="120" w:after="0" w:line="240" w:lineRule="auto"/>
              <w:rPr>
                <w:rFonts w:eastAsia="Times New Roman" w:cs="Calibri"/>
                <w:noProof/>
                <w:color w:val="006100"/>
                <w:sz w:val="18"/>
                <w:szCs w:val="18"/>
              </w:rPr>
            </w:pPr>
          </w:p>
        </w:tc>
        <w:tc>
          <w:tcPr>
            <w:tcW w:w="1417" w:type="dxa"/>
            <w:shd w:val="clear" w:color="auto" w:fill="C6EFCE"/>
            <w:noWrap/>
          </w:tcPr>
          <w:p w14:paraId="19B3168B"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09" w:type="dxa"/>
            <w:shd w:val="clear" w:color="auto" w:fill="C6EFCE"/>
            <w:noWrap/>
          </w:tcPr>
          <w:p w14:paraId="0674A393" w14:textId="77777777" w:rsidR="00515398" w:rsidRDefault="006711E6">
            <w:pPr>
              <w:pStyle w:val="P68B1DB1-Normal9"/>
              <w:spacing w:before="120" w:after="0" w:line="240" w:lineRule="auto"/>
              <w:rPr>
                <w:rFonts w:eastAsia="Times New Roman" w:cs="Calibri"/>
                <w:noProof/>
                <w:szCs w:val="18"/>
              </w:rPr>
            </w:pPr>
            <w:r>
              <w:rPr>
                <w:noProof/>
              </w:rPr>
              <w:t>2024</w:t>
            </w:r>
          </w:p>
        </w:tc>
        <w:tc>
          <w:tcPr>
            <w:tcW w:w="4384" w:type="dxa"/>
            <w:shd w:val="clear" w:color="auto" w:fill="C6EFCE"/>
            <w:noWrap/>
          </w:tcPr>
          <w:p w14:paraId="66A6F530" w14:textId="75E8104B" w:rsidR="00515398" w:rsidRDefault="006711E6">
            <w:pPr>
              <w:pStyle w:val="P68B1DB1-Normal9"/>
              <w:spacing w:before="120" w:after="0" w:line="240" w:lineRule="auto"/>
              <w:rPr>
                <w:rFonts w:eastAsia="Times New Roman" w:cs="Calibri"/>
                <w:noProof/>
                <w:szCs w:val="18"/>
              </w:rPr>
            </w:pPr>
            <w:r>
              <w:rPr>
                <w:noProof/>
              </w:rPr>
              <w:t xml:space="preserve">Dokončení přidělení </w:t>
            </w:r>
            <w:r>
              <w:rPr>
                <w:noProof/>
              </w:rPr>
              <w:t>osobních asistentů do druhé fáze pilotního programu, včetně funkčního procesu hodnocení zdravotního postižení.</w:t>
            </w:r>
          </w:p>
        </w:tc>
      </w:tr>
      <w:tr w:rsidR="00515398" w14:paraId="0A543B8D" w14:textId="77777777">
        <w:trPr>
          <w:trHeight w:val="313"/>
          <w:jc w:val="center"/>
        </w:trPr>
        <w:tc>
          <w:tcPr>
            <w:tcW w:w="1134" w:type="dxa"/>
            <w:shd w:val="clear" w:color="auto" w:fill="C6EFCE"/>
            <w:noWrap/>
          </w:tcPr>
          <w:p w14:paraId="29CE26A1" w14:textId="77777777" w:rsidR="00515398" w:rsidRDefault="006711E6">
            <w:pPr>
              <w:pStyle w:val="P68B1DB1-Normal9"/>
              <w:spacing w:before="120" w:after="0" w:line="240" w:lineRule="auto"/>
              <w:rPr>
                <w:rFonts w:eastAsia="Times New Roman" w:cs="Calibri"/>
                <w:noProof/>
                <w:szCs w:val="18"/>
              </w:rPr>
            </w:pPr>
            <w:r>
              <w:rPr>
                <w:noProof/>
              </w:rPr>
              <w:t>178</w:t>
            </w:r>
          </w:p>
        </w:tc>
        <w:tc>
          <w:tcPr>
            <w:tcW w:w="1276" w:type="dxa"/>
            <w:shd w:val="clear" w:color="auto" w:fill="C6EFCE"/>
            <w:noWrap/>
          </w:tcPr>
          <w:p w14:paraId="64ACC40E"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16919_Ochrana dětí</w:t>
            </w:r>
          </w:p>
        </w:tc>
        <w:tc>
          <w:tcPr>
            <w:tcW w:w="992" w:type="dxa"/>
            <w:shd w:val="clear" w:color="auto" w:fill="C6EFCE"/>
            <w:noWrap/>
          </w:tcPr>
          <w:p w14:paraId="52EA378F" w14:textId="77777777" w:rsidR="00515398" w:rsidRDefault="006711E6">
            <w:pPr>
              <w:pStyle w:val="P68B1DB1-Normal9"/>
              <w:spacing w:before="120" w:after="0" w:line="240" w:lineRule="auto"/>
              <w:rPr>
                <w:rFonts w:eastAsia="Times New Roman" w:cs="Calibri"/>
                <w:noProof/>
                <w:szCs w:val="18"/>
              </w:rPr>
            </w:pPr>
            <w:r>
              <w:rPr>
                <w:noProof/>
              </w:rPr>
              <w:t>Cílová</w:t>
            </w:r>
          </w:p>
        </w:tc>
        <w:tc>
          <w:tcPr>
            <w:tcW w:w="1273" w:type="dxa"/>
            <w:shd w:val="clear" w:color="auto" w:fill="C6EFCE"/>
            <w:noWrap/>
          </w:tcPr>
          <w:p w14:paraId="7E62470E" w14:textId="7206A54C" w:rsidR="00515398" w:rsidRDefault="006711E6">
            <w:pPr>
              <w:pStyle w:val="P68B1DB1-Normal9"/>
              <w:spacing w:before="120" w:after="0" w:line="240" w:lineRule="auto"/>
              <w:rPr>
                <w:rFonts w:eastAsia="Times New Roman" w:cs="Calibri"/>
                <w:noProof/>
                <w:szCs w:val="18"/>
              </w:rPr>
            </w:pPr>
            <w:r>
              <w:rPr>
                <w:noProof/>
              </w:rPr>
              <w:t xml:space="preserve">Samostatně žijící byty za účelem deinstitucionalizace osob do 26 let věku </w:t>
            </w:r>
          </w:p>
        </w:tc>
        <w:tc>
          <w:tcPr>
            <w:tcW w:w="1680" w:type="dxa"/>
            <w:shd w:val="clear" w:color="auto" w:fill="C6EFCE"/>
            <w:noWrap/>
          </w:tcPr>
          <w:p w14:paraId="1B4CE9B0" w14:textId="77777777" w:rsidR="00515398" w:rsidRDefault="00515398">
            <w:pPr>
              <w:spacing w:before="120" w:after="0" w:line="240" w:lineRule="auto"/>
              <w:rPr>
                <w:rFonts w:eastAsia="Times New Roman" w:cs="Calibri"/>
                <w:noProof/>
                <w:color w:val="006100"/>
                <w:sz w:val="18"/>
                <w:szCs w:val="18"/>
              </w:rPr>
            </w:pPr>
          </w:p>
        </w:tc>
        <w:tc>
          <w:tcPr>
            <w:tcW w:w="1080" w:type="dxa"/>
            <w:shd w:val="clear" w:color="auto" w:fill="C6EFCE"/>
            <w:noWrap/>
          </w:tcPr>
          <w:p w14:paraId="70ADB351" w14:textId="0400550A" w:rsidR="00515398" w:rsidRDefault="006711E6">
            <w:pPr>
              <w:pStyle w:val="P68B1DB1-Normal9"/>
              <w:spacing w:before="120" w:after="0" w:line="240" w:lineRule="auto"/>
              <w:rPr>
                <w:rFonts w:eastAsia="Times New Roman" w:cs="Calibri"/>
                <w:noProof/>
                <w:szCs w:val="18"/>
              </w:rPr>
            </w:pPr>
            <w:r>
              <w:rPr>
                <w:noProof/>
              </w:rPr>
              <w:t xml:space="preserve">Počet osob ve věku do 26 let umístěných do částečně závislých obytných bytů </w:t>
            </w:r>
          </w:p>
        </w:tc>
        <w:tc>
          <w:tcPr>
            <w:tcW w:w="960" w:type="dxa"/>
            <w:shd w:val="clear" w:color="auto" w:fill="C6EFCE"/>
            <w:noWrap/>
          </w:tcPr>
          <w:p w14:paraId="52C514F9" w14:textId="77777777" w:rsidR="00515398" w:rsidRDefault="006711E6">
            <w:pPr>
              <w:pStyle w:val="P68B1DB1-Normal9"/>
              <w:spacing w:before="120" w:after="0" w:line="240" w:lineRule="auto"/>
              <w:rPr>
                <w:rFonts w:eastAsia="Times New Roman" w:cs="Calibri"/>
                <w:noProof/>
                <w:szCs w:val="18"/>
              </w:rPr>
            </w:pPr>
            <w:r>
              <w:rPr>
                <w:noProof/>
              </w:rPr>
              <w:t>0</w:t>
            </w:r>
          </w:p>
        </w:tc>
        <w:tc>
          <w:tcPr>
            <w:tcW w:w="971" w:type="dxa"/>
            <w:shd w:val="clear" w:color="auto" w:fill="C6EFCE"/>
            <w:noWrap/>
          </w:tcPr>
          <w:p w14:paraId="6DC279AF" w14:textId="77777777" w:rsidR="00515398" w:rsidRDefault="006711E6">
            <w:pPr>
              <w:pStyle w:val="P68B1DB1-Normal9"/>
              <w:spacing w:before="120" w:after="0" w:line="240" w:lineRule="auto"/>
              <w:rPr>
                <w:rFonts w:eastAsia="Times New Roman" w:cs="Calibri"/>
                <w:noProof/>
                <w:szCs w:val="18"/>
              </w:rPr>
            </w:pPr>
            <w:r>
              <w:rPr>
                <w:noProof/>
              </w:rPr>
              <w:t>200</w:t>
            </w:r>
          </w:p>
        </w:tc>
        <w:tc>
          <w:tcPr>
            <w:tcW w:w="1417" w:type="dxa"/>
            <w:shd w:val="clear" w:color="auto" w:fill="C6EFCE"/>
            <w:noWrap/>
          </w:tcPr>
          <w:p w14:paraId="58C3179F"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09" w:type="dxa"/>
            <w:shd w:val="clear" w:color="auto" w:fill="C6EFCE"/>
            <w:noWrap/>
          </w:tcPr>
          <w:p w14:paraId="4F6E2213" w14:textId="62C61025" w:rsidR="00515398" w:rsidRDefault="006711E6">
            <w:pPr>
              <w:pStyle w:val="P68B1DB1-Normal9"/>
              <w:spacing w:before="120" w:after="0" w:line="240" w:lineRule="auto"/>
              <w:rPr>
                <w:rFonts w:eastAsia="Times New Roman" w:cs="Calibri"/>
                <w:noProof/>
                <w:szCs w:val="18"/>
              </w:rPr>
            </w:pPr>
            <w:r>
              <w:rPr>
                <w:noProof/>
              </w:rPr>
              <w:t>2025</w:t>
            </w:r>
          </w:p>
        </w:tc>
        <w:tc>
          <w:tcPr>
            <w:tcW w:w="4384" w:type="dxa"/>
            <w:shd w:val="clear" w:color="auto" w:fill="C6EFCE"/>
            <w:noWrap/>
          </w:tcPr>
          <w:p w14:paraId="4F1E21A5" w14:textId="636641DE" w:rsidR="00515398" w:rsidRDefault="006711E6">
            <w:pPr>
              <w:pStyle w:val="P68B1DB1-Normal9"/>
              <w:spacing w:before="120" w:after="0" w:line="240" w:lineRule="auto"/>
              <w:rPr>
                <w:rFonts w:eastAsia="Times New Roman" w:cs="Calibri"/>
                <w:noProof/>
                <w:szCs w:val="18"/>
              </w:rPr>
            </w:pPr>
            <w:r>
              <w:rPr>
                <w:noProof/>
              </w:rPr>
              <w:t xml:space="preserve">Umístění 200 osob ve věku do 26 let, které v současné době pobývají v </w:t>
            </w:r>
            <w:r>
              <w:rPr>
                <w:noProof/>
              </w:rPr>
              <w:t>ústavech, v bytech a podporovaném bydlení.</w:t>
            </w:r>
          </w:p>
          <w:p w14:paraId="51FDA29D" w14:textId="64F9C719" w:rsidR="00515398" w:rsidRDefault="00515398">
            <w:pPr>
              <w:spacing w:before="120" w:after="0" w:line="240" w:lineRule="auto"/>
              <w:rPr>
                <w:rFonts w:eastAsia="Times New Roman" w:cs="Calibri"/>
                <w:noProof/>
                <w:color w:val="006100"/>
                <w:sz w:val="18"/>
                <w:szCs w:val="18"/>
              </w:rPr>
            </w:pPr>
          </w:p>
        </w:tc>
      </w:tr>
      <w:tr w:rsidR="00515398" w14:paraId="0FDE11E9" w14:textId="77777777">
        <w:trPr>
          <w:trHeight w:val="313"/>
          <w:jc w:val="center"/>
        </w:trPr>
        <w:tc>
          <w:tcPr>
            <w:tcW w:w="1134" w:type="dxa"/>
            <w:shd w:val="clear" w:color="auto" w:fill="C6EFCE"/>
            <w:noWrap/>
          </w:tcPr>
          <w:p w14:paraId="5C7D53E2" w14:textId="77777777" w:rsidR="00515398" w:rsidRDefault="006711E6">
            <w:pPr>
              <w:pStyle w:val="P68B1DB1-Normal9"/>
              <w:spacing w:before="120" w:after="0" w:line="240" w:lineRule="auto"/>
              <w:rPr>
                <w:rFonts w:eastAsia="Times New Roman" w:cs="Calibri"/>
                <w:noProof/>
                <w:szCs w:val="18"/>
              </w:rPr>
            </w:pPr>
            <w:r>
              <w:rPr>
                <w:noProof/>
              </w:rPr>
              <w:t>179</w:t>
            </w:r>
          </w:p>
        </w:tc>
        <w:tc>
          <w:tcPr>
            <w:tcW w:w="1276" w:type="dxa"/>
            <w:shd w:val="clear" w:color="auto" w:fill="C6EFCE"/>
            <w:noWrap/>
          </w:tcPr>
          <w:p w14:paraId="4F07DFC4" w14:textId="1BCB2100"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16904_disabi-lity</w:t>
            </w:r>
          </w:p>
        </w:tc>
        <w:tc>
          <w:tcPr>
            <w:tcW w:w="992" w:type="dxa"/>
            <w:shd w:val="clear" w:color="auto" w:fill="C6EFCE"/>
            <w:noWrap/>
          </w:tcPr>
          <w:p w14:paraId="7C2033CC"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1273" w:type="dxa"/>
            <w:shd w:val="clear" w:color="auto" w:fill="C6EFCE"/>
            <w:noWrap/>
          </w:tcPr>
          <w:p w14:paraId="7A7011E4" w14:textId="5D580809" w:rsidR="00515398" w:rsidRDefault="006711E6">
            <w:pPr>
              <w:pStyle w:val="P68B1DB1-Normal9"/>
              <w:spacing w:before="120" w:after="0" w:line="240" w:lineRule="auto"/>
              <w:rPr>
                <w:rFonts w:eastAsia="Times New Roman" w:cs="Calibri"/>
                <w:noProof/>
                <w:szCs w:val="18"/>
              </w:rPr>
            </w:pPr>
            <w:r>
              <w:rPr>
                <w:noProof/>
              </w:rPr>
              <w:t xml:space="preserve">Vnitrostátní zavedení systému osobní asistence pro osoby se zdravotním postižením a dokončení druhé fáze </w:t>
            </w:r>
            <w:r>
              <w:rPr>
                <w:noProof/>
              </w:rPr>
              <w:t>posouzení zdravotního postižení osobní asistence – hodnocení</w:t>
            </w:r>
          </w:p>
        </w:tc>
        <w:tc>
          <w:tcPr>
            <w:tcW w:w="1680" w:type="dxa"/>
            <w:shd w:val="clear" w:color="auto" w:fill="C6EFCE"/>
            <w:noWrap/>
          </w:tcPr>
          <w:p w14:paraId="386B508A" w14:textId="15392813" w:rsidR="00515398" w:rsidRDefault="006711E6">
            <w:pPr>
              <w:pStyle w:val="P68B1DB1-Normal9"/>
              <w:spacing w:before="120" w:after="0" w:line="240" w:lineRule="auto"/>
              <w:rPr>
                <w:rFonts w:eastAsia="Times New Roman" w:cs="Calibri"/>
                <w:noProof/>
                <w:szCs w:val="18"/>
              </w:rPr>
            </w:pPr>
            <w:r>
              <w:rPr>
                <w:noProof/>
              </w:rPr>
              <w:t xml:space="preserve">a) Vstup v platnost primárních a sekundárních právních předpisů pro vnitrostátní zavádění a b) hodnotící zpráva o pilotním projektu a hodnotícím systému se statistikami a doporučeními. </w:t>
            </w:r>
          </w:p>
        </w:tc>
        <w:tc>
          <w:tcPr>
            <w:tcW w:w="1080" w:type="dxa"/>
            <w:shd w:val="clear" w:color="auto" w:fill="C6EFCE"/>
            <w:noWrap/>
          </w:tcPr>
          <w:p w14:paraId="07FD8997" w14:textId="77777777" w:rsidR="00515398" w:rsidRDefault="00515398">
            <w:pPr>
              <w:spacing w:before="120" w:after="0" w:line="240" w:lineRule="auto"/>
              <w:rPr>
                <w:rFonts w:eastAsia="Times New Roman" w:cs="Calibri"/>
                <w:noProof/>
                <w:color w:val="006100"/>
                <w:sz w:val="18"/>
                <w:szCs w:val="18"/>
              </w:rPr>
            </w:pPr>
          </w:p>
        </w:tc>
        <w:tc>
          <w:tcPr>
            <w:tcW w:w="960" w:type="dxa"/>
            <w:shd w:val="clear" w:color="auto" w:fill="C6EFCE"/>
            <w:noWrap/>
          </w:tcPr>
          <w:p w14:paraId="249415F6" w14:textId="77777777" w:rsidR="00515398" w:rsidRDefault="00515398">
            <w:pPr>
              <w:spacing w:before="120" w:after="0" w:line="240" w:lineRule="auto"/>
              <w:rPr>
                <w:rFonts w:eastAsia="Times New Roman" w:cs="Calibri"/>
                <w:noProof/>
                <w:color w:val="006100"/>
                <w:sz w:val="18"/>
                <w:szCs w:val="18"/>
              </w:rPr>
            </w:pPr>
          </w:p>
        </w:tc>
        <w:tc>
          <w:tcPr>
            <w:tcW w:w="971" w:type="dxa"/>
            <w:shd w:val="clear" w:color="auto" w:fill="C6EFCE"/>
            <w:noWrap/>
          </w:tcPr>
          <w:p w14:paraId="601B495E" w14:textId="77777777" w:rsidR="00515398" w:rsidRDefault="00515398">
            <w:pPr>
              <w:spacing w:before="120" w:after="0" w:line="240" w:lineRule="auto"/>
              <w:rPr>
                <w:rFonts w:eastAsia="Times New Roman" w:cs="Calibri"/>
                <w:noProof/>
                <w:color w:val="006100"/>
                <w:sz w:val="18"/>
                <w:szCs w:val="18"/>
              </w:rPr>
            </w:pPr>
          </w:p>
        </w:tc>
        <w:tc>
          <w:tcPr>
            <w:tcW w:w="1417" w:type="dxa"/>
            <w:shd w:val="clear" w:color="auto" w:fill="C6EFCE"/>
            <w:noWrap/>
          </w:tcPr>
          <w:p w14:paraId="11DA9489" w14:textId="4CC31C78" w:rsidR="00515398" w:rsidRDefault="006711E6">
            <w:pPr>
              <w:pStyle w:val="P68B1DB1-Normal9"/>
              <w:spacing w:before="120" w:after="0" w:line="240" w:lineRule="auto"/>
              <w:rPr>
                <w:rFonts w:eastAsia="Times New Roman" w:cs="Calibri"/>
                <w:noProof/>
                <w:szCs w:val="18"/>
              </w:rPr>
            </w:pPr>
            <w:r>
              <w:rPr>
                <w:noProof/>
              </w:rPr>
              <w:t>ČTVRTLETÍ ČTVRT</w:t>
            </w:r>
          </w:p>
        </w:tc>
        <w:tc>
          <w:tcPr>
            <w:tcW w:w="709" w:type="dxa"/>
            <w:shd w:val="clear" w:color="auto" w:fill="C6EFCE"/>
            <w:noWrap/>
          </w:tcPr>
          <w:p w14:paraId="09810924" w14:textId="77777777" w:rsidR="00515398" w:rsidRDefault="006711E6">
            <w:pPr>
              <w:pStyle w:val="P68B1DB1-Normal9"/>
              <w:spacing w:before="120" w:after="0" w:line="240" w:lineRule="auto"/>
              <w:rPr>
                <w:rFonts w:eastAsia="Times New Roman" w:cs="Calibri"/>
                <w:noProof/>
                <w:szCs w:val="18"/>
              </w:rPr>
            </w:pPr>
            <w:r>
              <w:rPr>
                <w:noProof/>
              </w:rPr>
              <w:t>2025</w:t>
            </w:r>
          </w:p>
        </w:tc>
        <w:tc>
          <w:tcPr>
            <w:tcW w:w="4384" w:type="dxa"/>
            <w:shd w:val="clear" w:color="auto" w:fill="C6EFCE"/>
            <w:noWrap/>
          </w:tcPr>
          <w:p w14:paraId="3648547D" w14:textId="742810F1" w:rsidR="00515398" w:rsidRDefault="006711E6">
            <w:pPr>
              <w:pStyle w:val="P68B1DB1-Normal9"/>
              <w:spacing w:before="120" w:after="0" w:line="240" w:lineRule="auto"/>
              <w:rPr>
                <w:rFonts w:eastAsia="Times New Roman" w:cs="Calibri"/>
                <w:noProof/>
                <w:szCs w:val="18"/>
              </w:rPr>
            </w:pPr>
            <w:r>
              <w:rPr>
                <w:noProof/>
              </w:rPr>
              <w:t>Vstup v platnost právních předpisů, které umožní celostátní zavedení systému osob se zdravotním postižením asistence osobám se zdravotním postižením, včetně procesu lékařského a funkčního posouzení a dokončení hodnotící zprávy pilotníh</w:t>
            </w:r>
            <w:r>
              <w:rPr>
                <w:noProof/>
              </w:rPr>
              <w:t>o projektu a hodnotícího systému se statistikami a doporučeními.</w:t>
            </w:r>
          </w:p>
        </w:tc>
      </w:tr>
      <w:tr w:rsidR="00515398" w14:paraId="7E3E2402" w14:textId="77777777">
        <w:trPr>
          <w:trHeight w:val="313"/>
          <w:jc w:val="center"/>
        </w:trPr>
        <w:tc>
          <w:tcPr>
            <w:tcW w:w="1134" w:type="dxa"/>
            <w:shd w:val="clear" w:color="auto" w:fill="C6EFCE"/>
            <w:noWrap/>
          </w:tcPr>
          <w:p w14:paraId="40621045" w14:textId="77777777" w:rsidR="00515398" w:rsidRDefault="006711E6">
            <w:pPr>
              <w:pStyle w:val="P68B1DB1-Normal9"/>
              <w:spacing w:before="120" w:after="0" w:line="240" w:lineRule="auto"/>
              <w:rPr>
                <w:rFonts w:eastAsia="Times New Roman" w:cs="Calibri"/>
                <w:noProof/>
                <w:szCs w:val="18"/>
              </w:rPr>
            </w:pPr>
            <w:r>
              <w:rPr>
                <w:noProof/>
              </w:rPr>
              <w:t>180a</w:t>
            </w:r>
          </w:p>
        </w:tc>
        <w:tc>
          <w:tcPr>
            <w:tcW w:w="1276" w:type="dxa"/>
            <w:shd w:val="clear" w:color="auto" w:fill="C6EFCE"/>
            <w:noWrap/>
          </w:tcPr>
          <w:p w14:paraId="0D170A6D" w14:textId="77777777" w:rsidR="00515398" w:rsidRDefault="006711E6">
            <w:pPr>
              <w:pStyle w:val="P68B1DB1-Normal33"/>
              <w:spacing w:before="120" w:after="0" w:line="240" w:lineRule="auto"/>
              <w:rPr>
                <w:noProof/>
              </w:rPr>
            </w:pPr>
            <w:r>
              <w:rPr>
                <w:noProof/>
              </w:rPr>
              <w:t>11–3.4. Zlepšení přístupu k účinným a inkluzivním sociálním politikám – 16919_Ochrana dětí</w:t>
            </w:r>
          </w:p>
        </w:tc>
        <w:tc>
          <w:tcPr>
            <w:tcW w:w="992" w:type="dxa"/>
            <w:shd w:val="clear" w:color="auto" w:fill="C6EFCE"/>
            <w:noWrap/>
          </w:tcPr>
          <w:p w14:paraId="47F7A587" w14:textId="77777777" w:rsidR="00515398" w:rsidRDefault="006711E6">
            <w:pPr>
              <w:pStyle w:val="P68B1DB1-Normal33"/>
              <w:spacing w:before="120" w:after="0" w:line="240" w:lineRule="auto"/>
              <w:rPr>
                <w:noProof/>
              </w:rPr>
            </w:pPr>
            <w:r>
              <w:rPr>
                <w:noProof/>
              </w:rPr>
              <w:t>Milník</w:t>
            </w:r>
          </w:p>
        </w:tc>
        <w:tc>
          <w:tcPr>
            <w:tcW w:w="1273" w:type="dxa"/>
            <w:shd w:val="clear" w:color="auto" w:fill="C6EFCE"/>
            <w:noWrap/>
          </w:tcPr>
          <w:p w14:paraId="02961326" w14:textId="77777777" w:rsidR="00515398" w:rsidRDefault="006711E6">
            <w:pPr>
              <w:pStyle w:val="P68B1DB1-Normal33"/>
              <w:spacing w:before="120" w:after="0" w:line="240" w:lineRule="auto"/>
              <w:rPr>
                <w:noProof/>
              </w:rPr>
            </w:pPr>
            <w:r>
              <w:rPr>
                <w:noProof/>
              </w:rPr>
              <w:t>Reforma učebních osnov</w:t>
            </w:r>
          </w:p>
        </w:tc>
        <w:tc>
          <w:tcPr>
            <w:tcW w:w="1680" w:type="dxa"/>
            <w:shd w:val="clear" w:color="auto" w:fill="C6EFCE"/>
            <w:noWrap/>
          </w:tcPr>
          <w:p w14:paraId="526949E2" w14:textId="401ED63A" w:rsidR="00515398" w:rsidRDefault="006711E6">
            <w:pPr>
              <w:pStyle w:val="P68B1DB1-Normal33"/>
              <w:spacing w:before="120" w:after="0" w:line="240" w:lineRule="auto"/>
              <w:rPr>
                <w:noProof/>
              </w:rPr>
            </w:pPr>
            <w:r>
              <w:rPr>
                <w:noProof/>
              </w:rPr>
              <w:t>Zpráva Ministerstva pro sociální soudržnost a rodinu potvrzující</w:t>
            </w:r>
            <w:r>
              <w:rPr>
                <w:noProof/>
              </w:rPr>
              <w:t xml:space="preserve"> dokončení projektu</w:t>
            </w:r>
          </w:p>
        </w:tc>
        <w:tc>
          <w:tcPr>
            <w:tcW w:w="1080" w:type="dxa"/>
            <w:shd w:val="clear" w:color="auto" w:fill="C6EFCE"/>
            <w:noWrap/>
          </w:tcPr>
          <w:p w14:paraId="2C443BF8" w14:textId="77777777" w:rsidR="00515398" w:rsidRDefault="00515398">
            <w:pPr>
              <w:spacing w:before="120" w:after="0" w:line="240" w:lineRule="auto"/>
              <w:rPr>
                <w:rFonts w:asciiTheme="minorHAnsi" w:hAnsiTheme="minorHAnsi"/>
                <w:noProof/>
                <w:color w:val="006100"/>
                <w:sz w:val="18"/>
              </w:rPr>
            </w:pPr>
          </w:p>
        </w:tc>
        <w:tc>
          <w:tcPr>
            <w:tcW w:w="960" w:type="dxa"/>
            <w:shd w:val="clear" w:color="auto" w:fill="C6EFCE"/>
            <w:noWrap/>
          </w:tcPr>
          <w:p w14:paraId="50BD73E8" w14:textId="77777777" w:rsidR="00515398" w:rsidRDefault="00515398">
            <w:pPr>
              <w:spacing w:before="120" w:after="0" w:line="240" w:lineRule="auto"/>
              <w:rPr>
                <w:rFonts w:asciiTheme="minorHAnsi" w:hAnsiTheme="minorHAnsi"/>
                <w:noProof/>
                <w:color w:val="006100"/>
                <w:sz w:val="18"/>
              </w:rPr>
            </w:pPr>
          </w:p>
        </w:tc>
        <w:tc>
          <w:tcPr>
            <w:tcW w:w="971" w:type="dxa"/>
            <w:shd w:val="clear" w:color="auto" w:fill="C6EFCE"/>
            <w:noWrap/>
          </w:tcPr>
          <w:p w14:paraId="0F146AD1" w14:textId="77777777" w:rsidR="00515398" w:rsidRDefault="00515398">
            <w:pPr>
              <w:spacing w:before="120" w:after="0" w:line="240" w:lineRule="auto"/>
              <w:rPr>
                <w:rFonts w:asciiTheme="minorHAnsi" w:hAnsiTheme="minorHAnsi"/>
                <w:noProof/>
                <w:color w:val="006100"/>
                <w:sz w:val="18"/>
              </w:rPr>
            </w:pPr>
          </w:p>
        </w:tc>
        <w:tc>
          <w:tcPr>
            <w:tcW w:w="1417" w:type="dxa"/>
            <w:shd w:val="clear" w:color="auto" w:fill="C6EFCE"/>
            <w:noWrap/>
          </w:tcPr>
          <w:p w14:paraId="1D529E1B" w14:textId="77777777" w:rsidR="00515398" w:rsidRDefault="006711E6">
            <w:pPr>
              <w:pStyle w:val="P68B1DB1-Normal33"/>
              <w:spacing w:before="120" w:after="0" w:line="240" w:lineRule="auto"/>
              <w:rPr>
                <w:noProof/>
              </w:rPr>
            </w:pPr>
            <w:r>
              <w:rPr>
                <w:noProof/>
              </w:rPr>
              <w:t>ČTVRTLETÍ ČTVRT</w:t>
            </w:r>
          </w:p>
        </w:tc>
        <w:tc>
          <w:tcPr>
            <w:tcW w:w="709" w:type="dxa"/>
            <w:shd w:val="clear" w:color="auto" w:fill="C6EFCE"/>
            <w:noWrap/>
          </w:tcPr>
          <w:p w14:paraId="058844E8" w14:textId="77777777" w:rsidR="00515398" w:rsidRDefault="006711E6">
            <w:pPr>
              <w:pStyle w:val="P68B1DB1-Normal33"/>
              <w:spacing w:before="120" w:after="0" w:line="240" w:lineRule="auto"/>
              <w:rPr>
                <w:noProof/>
              </w:rPr>
            </w:pPr>
            <w:r>
              <w:rPr>
                <w:noProof/>
              </w:rPr>
              <w:t>2025</w:t>
            </w:r>
          </w:p>
        </w:tc>
        <w:tc>
          <w:tcPr>
            <w:tcW w:w="4384" w:type="dxa"/>
            <w:shd w:val="clear" w:color="auto" w:fill="C6EFCE"/>
            <w:noWrap/>
          </w:tcPr>
          <w:p w14:paraId="65EE3397" w14:textId="5B35C368" w:rsidR="00515398" w:rsidRDefault="006711E6">
            <w:pPr>
              <w:pStyle w:val="P68B1DB1-Normal33"/>
              <w:spacing w:after="0" w:line="240" w:lineRule="auto"/>
              <w:jc w:val="both"/>
              <w:textAlignment w:val="baseline"/>
              <w:rPr>
                <w:noProof/>
              </w:rPr>
            </w:pPr>
            <w:r>
              <w:rPr>
                <w:noProof/>
              </w:rPr>
              <w:t>Vytvoření 100 středisek tvůrčích činností v oblasti přírodních věd, technologií, inženýrství a matematiky (STEM) pro děti ve věku 12–15 let. </w:t>
            </w:r>
          </w:p>
        </w:tc>
      </w:tr>
      <w:tr w:rsidR="00515398" w14:paraId="62FDF896" w14:textId="77777777">
        <w:trPr>
          <w:trHeight w:val="313"/>
          <w:jc w:val="center"/>
        </w:trPr>
        <w:tc>
          <w:tcPr>
            <w:tcW w:w="1134" w:type="dxa"/>
            <w:shd w:val="clear" w:color="auto" w:fill="C6EFCE"/>
            <w:noWrap/>
          </w:tcPr>
          <w:p w14:paraId="30F8601B" w14:textId="77777777" w:rsidR="00515398" w:rsidRDefault="006711E6">
            <w:pPr>
              <w:pStyle w:val="P68B1DB1-Normal33"/>
              <w:spacing w:before="120" w:after="0" w:line="240" w:lineRule="auto"/>
              <w:rPr>
                <w:noProof/>
              </w:rPr>
            </w:pPr>
            <w:r>
              <w:rPr>
                <w:noProof/>
              </w:rPr>
              <w:t>181</w:t>
            </w:r>
          </w:p>
        </w:tc>
        <w:tc>
          <w:tcPr>
            <w:tcW w:w="1276" w:type="dxa"/>
            <w:shd w:val="clear" w:color="auto" w:fill="C6EFCE"/>
            <w:noWrap/>
          </w:tcPr>
          <w:p w14:paraId="438BBD8E" w14:textId="77777777" w:rsidR="00515398" w:rsidRDefault="006711E6">
            <w:pPr>
              <w:pStyle w:val="P68B1DB1-Normal33"/>
              <w:spacing w:before="120" w:after="0" w:line="240" w:lineRule="auto"/>
              <w:rPr>
                <w:noProof/>
              </w:rPr>
            </w:pPr>
            <w:r>
              <w:rPr>
                <w:noProof/>
              </w:rPr>
              <w:t xml:space="preserve">11–3.4 Zlepšení přístupu k účinným a inkluzivním sociálním </w:t>
            </w:r>
            <w:r>
              <w:rPr>
                <w:noProof/>
              </w:rPr>
              <w:t>politikám – 16402_Sociální a cenově dostupné bydlení</w:t>
            </w:r>
          </w:p>
        </w:tc>
        <w:tc>
          <w:tcPr>
            <w:tcW w:w="992" w:type="dxa"/>
            <w:shd w:val="clear" w:color="auto" w:fill="C6EFCE"/>
            <w:noWrap/>
          </w:tcPr>
          <w:p w14:paraId="62F3D0F1" w14:textId="77777777" w:rsidR="00515398" w:rsidRDefault="006711E6">
            <w:pPr>
              <w:pStyle w:val="P68B1DB1-Normal33"/>
              <w:spacing w:before="120" w:after="0" w:line="240" w:lineRule="auto"/>
              <w:rPr>
                <w:noProof/>
              </w:rPr>
            </w:pPr>
            <w:r>
              <w:rPr>
                <w:noProof/>
              </w:rPr>
              <w:t>Milník</w:t>
            </w:r>
          </w:p>
        </w:tc>
        <w:tc>
          <w:tcPr>
            <w:tcW w:w="1273" w:type="dxa"/>
            <w:shd w:val="clear" w:color="auto" w:fill="C6EFCE"/>
            <w:noWrap/>
          </w:tcPr>
          <w:p w14:paraId="3EA39E05" w14:textId="77777777" w:rsidR="00515398" w:rsidRDefault="006711E6">
            <w:pPr>
              <w:pStyle w:val="P68B1DB1-Normal33"/>
              <w:spacing w:before="120" w:after="0" w:line="240" w:lineRule="auto"/>
              <w:rPr>
                <w:noProof/>
              </w:rPr>
            </w:pPr>
            <w:r>
              <w:rPr>
                <w:noProof/>
              </w:rPr>
              <w:t xml:space="preserve">Národní bydlení STRARTEGIE </w:t>
            </w:r>
          </w:p>
        </w:tc>
        <w:tc>
          <w:tcPr>
            <w:tcW w:w="1680" w:type="dxa"/>
            <w:shd w:val="clear" w:color="auto" w:fill="C6EFCE"/>
            <w:noWrap/>
          </w:tcPr>
          <w:p w14:paraId="25F1F1F2" w14:textId="77777777" w:rsidR="00515398" w:rsidRDefault="006711E6">
            <w:pPr>
              <w:pStyle w:val="P68B1DB1-Normal33"/>
              <w:spacing w:before="120" w:after="0" w:line="240" w:lineRule="auto"/>
              <w:rPr>
                <w:noProof/>
              </w:rPr>
            </w:pPr>
            <w:r>
              <w:rPr>
                <w:noProof/>
              </w:rPr>
              <w:t>Schválení strategie bydlení kabinetem ministrů</w:t>
            </w:r>
          </w:p>
        </w:tc>
        <w:tc>
          <w:tcPr>
            <w:tcW w:w="1080" w:type="dxa"/>
            <w:shd w:val="clear" w:color="auto" w:fill="C6EFCE"/>
            <w:noWrap/>
          </w:tcPr>
          <w:p w14:paraId="4DDB995F" w14:textId="77777777" w:rsidR="00515398" w:rsidRDefault="00515398">
            <w:pPr>
              <w:spacing w:before="120" w:after="0" w:line="240" w:lineRule="auto"/>
              <w:rPr>
                <w:rFonts w:asciiTheme="minorHAnsi" w:hAnsiTheme="minorHAnsi"/>
                <w:noProof/>
                <w:color w:val="006100"/>
                <w:sz w:val="18"/>
              </w:rPr>
            </w:pPr>
          </w:p>
        </w:tc>
        <w:tc>
          <w:tcPr>
            <w:tcW w:w="960" w:type="dxa"/>
            <w:shd w:val="clear" w:color="auto" w:fill="C6EFCE"/>
            <w:noWrap/>
          </w:tcPr>
          <w:p w14:paraId="7C979DC9" w14:textId="77777777" w:rsidR="00515398" w:rsidRDefault="00515398">
            <w:pPr>
              <w:spacing w:before="120" w:after="0" w:line="240" w:lineRule="auto"/>
              <w:rPr>
                <w:rFonts w:asciiTheme="minorHAnsi" w:hAnsiTheme="minorHAnsi"/>
                <w:noProof/>
                <w:color w:val="006100"/>
                <w:sz w:val="18"/>
              </w:rPr>
            </w:pPr>
          </w:p>
        </w:tc>
        <w:tc>
          <w:tcPr>
            <w:tcW w:w="971" w:type="dxa"/>
            <w:shd w:val="clear" w:color="auto" w:fill="C6EFCE"/>
            <w:noWrap/>
          </w:tcPr>
          <w:p w14:paraId="5F8D24C6" w14:textId="77777777" w:rsidR="00515398" w:rsidRDefault="00515398">
            <w:pPr>
              <w:spacing w:before="120" w:after="0" w:line="240" w:lineRule="auto"/>
              <w:rPr>
                <w:rFonts w:asciiTheme="minorHAnsi" w:hAnsiTheme="minorHAnsi"/>
                <w:noProof/>
                <w:color w:val="006100"/>
                <w:sz w:val="18"/>
              </w:rPr>
            </w:pPr>
          </w:p>
        </w:tc>
        <w:tc>
          <w:tcPr>
            <w:tcW w:w="1417" w:type="dxa"/>
            <w:shd w:val="clear" w:color="auto" w:fill="C6EFCE"/>
            <w:noWrap/>
          </w:tcPr>
          <w:p w14:paraId="44C8AA67" w14:textId="77777777" w:rsidR="00515398" w:rsidRDefault="006711E6">
            <w:pPr>
              <w:pStyle w:val="P68B1DB1-Normal33"/>
              <w:spacing w:before="120" w:after="0" w:line="240" w:lineRule="auto"/>
              <w:rPr>
                <w:noProof/>
              </w:rPr>
            </w:pPr>
            <w:r>
              <w:rPr>
                <w:noProof/>
              </w:rPr>
              <w:t>ČTVRTLETÍ 1</w:t>
            </w:r>
          </w:p>
        </w:tc>
        <w:tc>
          <w:tcPr>
            <w:tcW w:w="709" w:type="dxa"/>
            <w:shd w:val="clear" w:color="auto" w:fill="C6EFCE"/>
            <w:noWrap/>
          </w:tcPr>
          <w:p w14:paraId="613E0F87" w14:textId="77777777" w:rsidR="00515398" w:rsidRDefault="006711E6">
            <w:pPr>
              <w:pStyle w:val="P68B1DB1-Normal33"/>
              <w:spacing w:before="120" w:after="0" w:line="240" w:lineRule="auto"/>
              <w:rPr>
                <w:noProof/>
              </w:rPr>
            </w:pPr>
            <w:r>
              <w:rPr>
                <w:noProof/>
              </w:rPr>
              <w:t>2026</w:t>
            </w:r>
          </w:p>
        </w:tc>
        <w:tc>
          <w:tcPr>
            <w:tcW w:w="4384" w:type="dxa"/>
            <w:shd w:val="clear" w:color="auto" w:fill="C6EFCE"/>
            <w:noWrap/>
          </w:tcPr>
          <w:p w14:paraId="24E68D47" w14:textId="77777777" w:rsidR="00515398" w:rsidRDefault="006711E6">
            <w:pPr>
              <w:pStyle w:val="P68B1DB1-Normal33"/>
              <w:spacing w:before="120" w:after="0" w:line="240" w:lineRule="auto"/>
              <w:rPr>
                <w:noProof/>
              </w:rPr>
            </w:pPr>
            <w:r>
              <w:rPr>
                <w:noProof/>
              </w:rPr>
              <w:t>Přijetí komplexní vnitrostátní strategie bydlení, která zahrnuje:</w:t>
            </w:r>
          </w:p>
          <w:p w14:paraId="3BC6B176" w14:textId="77777777" w:rsidR="00515398" w:rsidRDefault="006711E6">
            <w:pPr>
              <w:pStyle w:val="P68B1DB1-ListParagraph34"/>
              <w:numPr>
                <w:ilvl w:val="0"/>
                <w:numId w:val="92"/>
              </w:numPr>
              <w:spacing w:before="120" w:after="0" w:line="240" w:lineRule="auto"/>
              <w:ind w:left="414" w:hanging="357"/>
              <w:rPr>
                <w:noProof/>
              </w:rPr>
            </w:pPr>
            <w:r>
              <w:rPr>
                <w:noProof/>
              </w:rPr>
              <w:t>Analýzu fungování trhu s bydlením.</w:t>
            </w:r>
          </w:p>
          <w:p w14:paraId="5092DF72" w14:textId="77777777" w:rsidR="00515398" w:rsidRDefault="006711E6">
            <w:pPr>
              <w:pStyle w:val="P68B1DB1-ListParagraph34"/>
              <w:numPr>
                <w:ilvl w:val="0"/>
                <w:numId w:val="92"/>
              </w:numPr>
              <w:spacing w:before="120" w:after="0" w:line="240" w:lineRule="auto"/>
              <w:ind w:left="414" w:hanging="357"/>
              <w:rPr>
                <w:noProof/>
              </w:rPr>
            </w:pPr>
            <w:r>
              <w:rPr>
                <w:noProof/>
              </w:rPr>
              <w:t>Zmapování bytového fondu na regionální úrovni, včetně neobsazených soukromých nemovitostí a nemovitostí ve vlastnictví státu, které jsou nebo mohou být k dispozici pro účely sociálního bydlení, spolu s analýzou vývoje cen bydlení a jejich rozhodujících fak</w:t>
            </w:r>
            <w:r>
              <w:rPr>
                <w:noProof/>
              </w:rPr>
              <w:t>torů podložených statistickými údaji a ukazateli;</w:t>
            </w:r>
          </w:p>
          <w:p w14:paraId="2D93019D" w14:textId="77777777" w:rsidR="00515398" w:rsidRDefault="006711E6">
            <w:pPr>
              <w:pStyle w:val="P68B1DB1-ListParagraph34"/>
              <w:numPr>
                <w:ilvl w:val="0"/>
                <w:numId w:val="92"/>
              </w:numPr>
              <w:spacing w:before="120" w:after="0" w:line="240" w:lineRule="auto"/>
              <w:ind w:left="414" w:hanging="357"/>
              <w:rPr>
                <w:noProof/>
              </w:rPr>
            </w:pPr>
            <w:r>
              <w:rPr>
                <w:noProof/>
              </w:rPr>
              <w:t xml:space="preserve">Analýzu potřeb bydlení podle skupin obyvatelstva (tj. skupin obyvatelstva s odlišnými charakteristikami, jako je věk, disponibilní příjem, složení rodiny, na obecní a regionální úrovni, ve venkovských nebo </w:t>
            </w:r>
            <w:r>
              <w:rPr>
                <w:noProof/>
              </w:rPr>
              <w:t xml:space="preserve">městských oblastech, v malých městech nebo velkých městech); </w:t>
            </w:r>
          </w:p>
          <w:p w14:paraId="7BB1BEC5" w14:textId="77777777" w:rsidR="00515398" w:rsidRDefault="006711E6">
            <w:pPr>
              <w:pStyle w:val="P68B1DB1-ListParagraph34"/>
              <w:numPr>
                <w:ilvl w:val="0"/>
                <w:numId w:val="92"/>
              </w:numPr>
              <w:spacing w:before="120" w:after="0" w:line="240" w:lineRule="auto"/>
              <w:ind w:left="414" w:hanging="357"/>
              <w:rPr>
                <w:noProof/>
              </w:rPr>
            </w:pPr>
            <w:r>
              <w:rPr>
                <w:noProof/>
              </w:rPr>
              <w:t xml:space="preserve">Podrobnosti o různých prováděcích politických opatřeních, a to i pro každý odpovědný orgán, rozpočet a zdroj financování, stanovení priorit a očekávané příjemce; </w:t>
            </w:r>
          </w:p>
          <w:p w14:paraId="6CF08A7E" w14:textId="77777777" w:rsidR="00515398" w:rsidRDefault="006711E6">
            <w:pPr>
              <w:pStyle w:val="P68B1DB1-ListParagraph34"/>
              <w:numPr>
                <w:ilvl w:val="0"/>
                <w:numId w:val="92"/>
              </w:numPr>
              <w:spacing w:before="120" w:after="0" w:line="240" w:lineRule="auto"/>
              <w:ind w:left="414" w:hanging="357"/>
              <w:rPr>
                <w:noProof/>
              </w:rPr>
            </w:pPr>
            <w:r>
              <w:rPr>
                <w:noProof/>
              </w:rPr>
              <w:t>Popis struktury řízení, která b</w:t>
            </w:r>
            <w:r>
              <w:rPr>
                <w:noProof/>
              </w:rPr>
              <w:t>ude odpovědná za provádění a budoucí aktualizace strategie, a popis harmonogramu provádění.</w:t>
            </w:r>
          </w:p>
        </w:tc>
      </w:tr>
      <w:tr w:rsidR="00515398" w14:paraId="567C0EC7" w14:textId="77777777">
        <w:trPr>
          <w:trHeight w:val="313"/>
          <w:jc w:val="center"/>
        </w:trPr>
        <w:tc>
          <w:tcPr>
            <w:tcW w:w="1134" w:type="dxa"/>
            <w:shd w:val="clear" w:color="auto" w:fill="C6EFCE"/>
            <w:noWrap/>
          </w:tcPr>
          <w:p w14:paraId="4436733A" w14:textId="77777777" w:rsidR="00515398" w:rsidRDefault="006711E6">
            <w:pPr>
              <w:pStyle w:val="P68B1DB1-Normal9"/>
              <w:spacing w:before="120" w:after="0" w:line="240" w:lineRule="auto"/>
              <w:rPr>
                <w:noProof/>
              </w:rPr>
            </w:pPr>
            <w:r>
              <w:rPr>
                <w:noProof/>
              </w:rPr>
              <w:t>181a</w:t>
            </w:r>
          </w:p>
        </w:tc>
        <w:tc>
          <w:tcPr>
            <w:tcW w:w="1276" w:type="dxa"/>
            <w:shd w:val="clear" w:color="auto" w:fill="C6EFCE"/>
            <w:noWrap/>
          </w:tcPr>
          <w:p w14:paraId="77EF3EA6" w14:textId="77777777" w:rsidR="00515398" w:rsidRDefault="006711E6">
            <w:pPr>
              <w:pStyle w:val="P68B1DB1-Normal9"/>
              <w:spacing w:before="120" w:after="0" w:line="240" w:lineRule="auto"/>
              <w:rPr>
                <w:noProof/>
              </w:rPr>
            </w:pPr>
            <w:r>
              <w:rPr>
                <w:noProof/>
              </w:rPr>
              <w:t xml:space="preserve">11–3.4 Zlepšení přístupu k účinným a inkluzivním sociálním politikám – 16402_Sociální a cenově dostupné bydlení </w:t>
            </w:r>
          </w:p>
        </w:tc>
        <w:tc>
          <w:tcPr>
            <w:tcW w:w="992" w:type="dxa"/>
            <w:shd w:val="clear" w:color="auto" w:fill="C6EFCE"/>
            <w:noWrap/>
          </w:tcPr>
          <w:p w14:paraId="30436A8E" w14:textId="77777777" w:rsidR="00515398" w:rsidRDefault="006711E6">
            <w:pPr>
              <w:pStyle w:val="P68B1DB1-Normal9"/>
              <w:spacing w:before="120" w:after="0" w:line="240" w:lineRule="auto"/>
              <w:rPr>
                <w:noProof/>
              </w:rPr>
            </w:pPr>
            <w:r>
              <w:rPr>
                <w:noProof/>
              </w:rPr>
              <w:t>Milník</w:t>
            </w:r>
          </w:p>
        </w:tc>
        <w:tc>
          <w:tcPr>
            <w:tcW w:w="1273" w:type="dxa"/>
            <w:shd w:val="clear" w:color="auto" w:fill="C6EFCE"/>
            <w:noWrap/>
          </w:tcPr>
          <w:p w14:paraId="255B93FE" w14:textId="77777777" w:rsidR="00515398" w:rsidRDefault="006711E6">
            <w:pPr>
              <w:pStyle w:val="P68B1DB1-Normal9"/>
              <w:spacing w:before="120" w:after="0" w:line="240" w:lineRule="auto"/>
              <w:rPr>
                <w:noProof/>
              </w:rPr>
            </w:pPr>
            <w:r>
              <w:rPr>
                <w:noProof/>
              </w:rPr>
              <w:t>Změna zákona č. 5006/2022</w:t>
            </w:r>
          </w:p>
        </w:tc>
        <w:tc>
          <w:tcPr>
            <w:tcW w:w="1680" w:type="dxa"/>
            <w:shd w:val="clear" w:color="auto" w:fill="C6EFCE"/>
            <w:noWrap/>
          </w:tcPr>
          <w:p w14:paraId="454938E9" w14:textId="77777777" w:rsidR="00515398" w:rsidRDefault="006711E6">
            <w:pPr>
              <w:pStyle w:val="P68B1DB1-Normal9"/>
              <w:spacing w:before="120" w:after="0" w:line="240" w:lineRule="auto"/>
              <w:rPr>
                <w:noProof/>
              </w:rPr>
            </w:pPr>
            <w:r>
              <w:rPr>
                <w:noProof/>
              </w:rPr>
              <w:t xml:space="preserve">Vstup v platnost právních předpisů, kterými se mění zákon o bydlení 5006/2022 </w:t>
            </w:r>
          </w:p>
        </w:tc>
        <w:tc>
          <w:tcPr>
            <w:tcW w:w="1080" w:type="dxa"/>
            <w:shd w:val="clear" w:color="auto" w:fill="C6EFCE"/>
            <w:noWrap/>
          </w:tcPr>
          <w:p w14:paraId="251920FB" w14:textId="77777777" w:rsidR="00515398" w:rsidRDefault="00515398">
            <w:pPr>
              <w:spacing w:before="120" w:after="0" w:line="240" w:lineRule="auto"/>
              <w:rPr>
                <w:noProof/>
                <w:color w:val="006100"/>
                <w:sz w:val="18"/>
              </w:rPr>
            </w:pPr>
          </w:p>
        </w:tc>
        <w:tc>
          <w:tcPr>
            <w:tcW w:w="960" w:type="dxa"/>
            <w:shd w:val="clear" w:color="auto" w:fill="C6EFCE"/>
            <w:noWrap/>
          </w:tcPr>
          <w:p w14:paraId="50130AF5" w14:textId="77777777" w:rsidR="00515398" w:rsidRDefault="00515398">
            <w:pPr>
              <w:spacing w:before="120" w:after="0" w:line="240" w:lineRule="auto"/>
              <w:rPr>
                <w:noProof/>
                <w:color w:val="006100"/>
                <w:sz w:val="18"/>
              </w:rPr>
            </w:pPr>
          </w:p>
        </w:tc>
        <w:tc>
          <w:tcPr>
            <w:tcW w:w="971" w:type="dxa"/>
            <w:shd w:val="clear" w:color="auto" w:fill="C6EFCE"/>
            <w:noWrap/>
          </w:tcPr>
          <w:p w14:paraId="059847AD" w14:textId="77777777" w:rsidR="00515398" w:rsidRDefault="00515398">
            <w:pPr>
              <w:spacing w:before="120" w:after="0" w:line="240" w:lineRule="auto"/>
              <w:rPr>
                <w:noProof/>
                <w:color w:val="006100"/>
                <w:sz w:val="18"/>
              </w:rPr>
            </w:pPr>
          </w:p>
        </w:tc>
        <w:tc>
          <w:tcPr>
            <w:tcW w:w="1417" w:type="dxa"/>
            <w:shd w:val="clear" w:color="auto" w:fill="C6EFCE"/>
            <w:noWrap/>
          </w:tcPr>
          <w:p w14:paraId="3E027630" w14:textId="77777777" w:rsidR="00515398" w:rsidRDefault="006711E6">
            <w:pPr>
              <w:pStyle w:val="P68B1DB1-Normal9"/>
              <w:spacing w:before="120" w:after="0" w:line="240" w:lineRule="auto"/>
              <w:rPr>
                <w:noProof/>
              </w:rPr>
            </w:pPr>
            <w:r>
              <w:rPr>
                <w:noProof/>
              </w:rPr>
              <w:t>ČTVRTLETÍ 1</w:t>
            </w:r>
          </w:p>
        </w:tc>
        <w:tc>
          <w:tcPr>
            <w:tcW w:w="709" w:type="dxa"/>
            <w:shd w:val="clear" w:color="auto" w:fill="C6EFCE"/>
            <w:noWrap/>
          </w:tcPr>
          <w:p w14:paraId="7F7CEE12" w14:textId="77777777" w:rsidR="00515398" w:rsidRDefault="006711E6">
            <w:pPr>
              <w:pStyle w:val="P68B1DB1-Normal9"/>
              <w:spacing w:before="120" w:after="0" w:line="240" w:lineRule="auto"/>
              <w:rPr>
                <w:noProof/>
              </w:rPr>
            </w:pPr>
            <w:r>
              <w:rPr>
                <w:noProof/>
              </w:rPr>
              <w:t>2025</w:t>
            </w:r>
          </w:p>
        </w:tc>
        <w:tc>
          <w:tcPr>
            <w:tcW w:w="4384" w:type="dxa"/>
            <w:shd w:val="clear" w:color="auto" w:fill="C6EFCE"/>
            <w:noWrap/>
          </w:tcPr>
          <w:p w14:paraId="76C6122F" w14:textId="77777777" w:rsidR="00515398" w:rsidRDefault="006711E6">
            <w:pPr>
              <w:pStyle w:val="P68B1DB1-Normal9"/>
              <w:rPr>
                <w:noProof/>
              </w:rPr>
            </w:pPr>
            <w:r>
              <w:rPr>
                <w:noProof/>
              </w:rPr>
              <w:t>Vstup v platnost právních předpisů, kterými se mění zákon č. 5006/2022 s cílem poskytnout developerům ze soukromého sektoru, kteří investují do nové výstavby</w:t>
            </w:r>
            <w:r>
              <w:rPr>
                <w:noProof/>
              </w:rPr>
              <w:t xml:space="preserve"> nebo renovace státem vlastněných nemovitostí, možnost získat vlastnictví části nemovitosti a zároveň přeměnit část nemovitosti na sociální a cenově dostupné bydlení.</w:t>
            </w:r>
          </w:p>
          <w:p w14:paraId="27B499C6" w14:textId="77777777" w:rsidR="00515398" w:rsidRDefault="006711E6">
            <w:pPr>
              <w:pStyle w:val="P68B1DB1-Normal9"/>
              <w:spacing w:before="120" w:after="0" w:line="240" w:lineRule="auto"/>
              <w:rPr>
                <w:noProof/>
              </w:rPr>
            </w:pPr>
            <w:r>
              <w:rPr>
                <w:noProof/>
              </w:rPr>
              <w:t>Zákon stanoví úlohu ministerstva sociální soudržnosti a rodinných věcí jako ústředního or</w:t>
            </w:r>
            <w:r>
              <w:rPr>
                <w:noProof/>
              </w:rPr>
              <w:t>gánu pro správu recipročního výměnného programu veřejného majetku („Kinoniki antiparochi“).</w:t>
            </w:r>
          </w:p>
        </w:tc>
      </w:tr>
    </w:tbl>
    <w:p w14:paraId="704FDDEE" w14:textId="77777777" w:rsidR="00515398" w:rsidRDefault="00515398">
      <w:pPr>
        <w:spacing w:before="120" w:after="120" w:line="240" w:lineRule="auto"/>
        <w:jc w:val="both"/>
        <w:rPr>
          <w:rFonts w:ascii="Times New Roman" w:hAnsi="Times New Roman" w:cs="Times New Roman"/>
          <w:noProof/>
          <w:sz w:val="24"/>
          <w:szCs w:val="24"/>
        </w:rPr>
      </w:pPr>
    </w:p>
    <w:p w14:paraId="4301D40B" w14:textId="77777777" w:rsidR="00515398" w:rsidRDefault="006711E6">
      <w:pPr>
        <w:pStyle w:val="P68B1DB1-Normal6"/>
        <w:keepNext/>
        <w:keepLines/>
        <w:spacing w:before="120" w:after="0" w:line="240" w:lineRule="auto"/>
        <w:jc w:val="both"/>
        <w:outlineLvl w:val="4"/>
        <w:rPr>
          <w:rFonts w:eastAsia="Times New Roman"/>
          <w:noProof/>
        </w:rPr>
      </w:pPr>
      <w:r>
        <w:rPr>
          <w:noProof/>
        </w:rPr>
        <w:t>Skupina 16: Zlepšení přístupu k účinným a inkluzivním sociálním politikám – Migrace a azyl</w:t>
      </w:r>
    </w:p>
    <w:p w14:paraId="38308915" w14:textId="77777777" w:rsidR="00515398" w:rsidRDefault="006711E6">
      <w:pPr>
        <w:pStyle w:val="P68B1DB1-Normal4"/>
        <w:numPr>
          <w:ilvl w:val="0"/>
          <w:numId w:val="38"/>
        </w:numPr>
        <w:spacing w:before="120" w:after="0" w:line="240" w:lineRule="auto"/>
        <w:ind w:left="0"/>
        <w:jc w:val="both"/>
        <w:rPr>
          <w:rFonts w:cs="Times New Roman"/>
          <w:noProof/>
        </w:rPr>
      </w:pPr>
      <w:r>
        <w:rPr>
          <w:noProof/>
        </w:rPr>
        <w:t>Digitalizace migračního a azylového systému (ID: 16763)</w:t>
      </w:r>
    </w:p>
    <w:p w14:paraId="3907B15D" w14:textId="77777777" w:rsidR="00515398" w:rsidRDefault="006711E6">
      <w:pPr>
        <w:pStyle w:val="P68B1DB1-Normal4"/>
        <w:numPr>
          <w:ilvl w:val="0"/>
          <w:numId w:val="38"/>
        </w:numPr>
        <w:spacing w:before="120" w:after="0" w:line="240" w:lineRule="auto"/>
        <w:ind w:left="0"/>
        <w:jc w:val="both"/>
        <w:rPr>
          <w:rFonts w:cs="Times New Roman"/>
          <w:noProof/>
        </w:rPr>
      </w:pPr>
      <w:r>
        <w:rPr>
          <w:noProof/>
        </w:rPr>
        <w:t xml:space="preserve">Digitální </w:t>
      </w:r>
      <w:r>
        <w:rPr>
          <w:noProof/>
        </w:rPr>
        <w:t>transformace systému sociální podpory (ID: 16925)</w:t>
      </w:r>
    </w:p>
    <w:p w14:paraId="772C023E" w14:textId="77777777" w:rsidR="00515398" w:rsidRDefault="006711E6">
      <w:pPr>
        <w:pStyle w:val="P68B1DB1-Normal4"/>
        <w:numPr>
          <w:ilvl w:val="0"/>
          <w:numId w:val="38"/>
        </w:numPr>
        <w:spacing w:before="120" w:after="0" w:line="240" w:lineRule="auto"/>
        <w:ind w:left="0"/>
        <w:jc w:val="both"/>
        <w:rPr>
          <w:rFonts w:cs="Times New Roman"/>
          <w:noProof/>
        </w:rPr>
      </w:pPr>
      <w:r>
        <w:rPr>
          <w:noProof/>
        </w:rPr>
        <w:t>Povědomí o rozmanitosti (ID: 16685)</w:t>
      </w:r>
    </w:p>
    <w:p w14:paraId="6E5EECF9" w14:textId="77777777" w:rsidR="00515398" w:rsidRDefault="006711E6">
      <w:pPr>
        <w:pStyle w:val="P68B1DB1-Normal4"/>
        <w:numPr>
          <w:ilvl w:val="0"/>
          <w:numId w:val="38"/>
        </w:numPr>
        <w:spacing w:before="120" w:after="0" w:line="240" w:lineRule="auto"/>
        <w:ind w:left="0" w:hanging="357"/>
        <w:jc w:val="both"/>
        <w:rPr>
          <w:rFonts w:cs="Times New Roman"/>
          <w:noProof/>
        </w:rPr>
      </w:pPr>
      <w:r>
        <w:rPr>
          <w:noProof/>
        </w:rPr>
        <w:t>Sociální integrace (ID: 16922)</w:t>
      </w:r>
    </w:p>
    <w:p w14:paraId="4AB5EE63" w14:textId="77777777" w:rsidR="00515398" w:rsidRDefault="006711E6">
      <w:pPr>
        <w:pStyle w:val="P68B1DB1-Normal4"/>
        <w:numPr>
          <w:ilvl w:val="0"/>
          <w:numId w:val="38"/>
        </w:numPr>
        <w:spacing w:before="120" w:after="120" w:line="240" w:lineRule="auto"/>
        <w:ind w:left="0"/>
        <w:jc w:val="both"/>
        <w:rPr>
          <w:rFonts w:cs="Times New Roman"/>
          <w:noProof/>
        </w:rPr>
      </w:pPr>
      <w:r>
        <w:rPr>
          <w:noProof/>
        </w:rPr>
        <w:t>Podporovat integraci uprchlíků na trhu práce (ID: 16688)</w:t>
      </w:r>
    </w:p>
    <w:p w14:paraId="40873564" w14:textId="77777777" w:rsidR="00515398" w:rsidRDefault="00515398">
      <w:pPr>
        <w:spacing w:before="120" w:after="120" w:line="240" w:lineRule="auto"/>
        <w:jc w:val="both"/>
        <w:rPr>
          <w:rFonts w:ascii="Times New Roman" w:hAnsi="Times New Roman" w:cs="Times New Roman"/>
          <w:noProof/>
          <w:sz w:val="24"/>
        </w:rPr>
      </w:pPr>
    </w:p>
    <w:tbl>
      <w:tblPr>
        <w:tblW w:w="15730" w:type="dxa"/>
        <w:jc w:val="center"/>
        <w:tblLook w:val="04A0" w:firstRow="1" w:lastRow="0" w:firstColumn="1" w:lastColumn="0" w:noHBand="0" w:noVBand="1"/>
      </w:tblPr>
      <w:tblGrid>
        <w:gridCol w:w="1027"/>
        <w:gridCol w:w="1582"/>
        <w:gridCol w:w="967"/>
        <w:gridCol w:w="2107"/>
        <w:gridCol w:w="1840"/>
        <w:gridCol w:w="1404"/>
        <w:gridCol w:w="1035"/>
        <w:gridCol w:w="1097"/>
        <w:gridCol w:w="984"/>
        <w:gridCol w:w="783"/>
        <w:gridCol w:w="3117"/>
      </w:tblGrid>
      <w:tr w:rsidR="00515398" w14:paraId="27EF3995" w14:textId="77777777">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18069C" w14:textId="77777777" w:rsidR="00515398" w:rsidRDefault="006711E6">
            <w:pPr>
              <w:pStyle w:val="P68B1DB1-Normal7"/>
              <w:spacing w:before="120" w:after="0" w:line="240" w:lineRule="auto"/>
              <w:jc w:val="center"/>
              <w:rPr>
                <w:rFonts w:eastAsia="Times New Roman" w:cs="Times New Roman"/>
                <w:bCs/>
                <w:noProof/>
                <w:szCs w:val="18"/>
              </w:rPr>
            </w:pPr>
            <w:r>
              <w:rPr>
                <w:noProof/>
              </w:rPr>
              <w:t>Pořadové číslo</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C25AE0" w14:textId="77777777" w:rsidR="00515398" w:rsidRDefault="006711E6">
            <w:pPr>
              <w:pStyle w:val="P68B1DB1-Normal7"/>
              <w:spacing w:before="120" w:after="0" w:line="240" w:lineRule="auto"/>
              <w:jc w:val="center"/>
              <w:rPr>
                <w:rFonts w:eastAsia="Times New Roman" w:cs="Times New Roman"/>
                <w:bCs/>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2512CD" w14:textId="77777777" w:rsidR="00515398" w:rsidRDefault="006711E6">
            <w:pPr>
              <w:pStyle w:val="P68B1DB1-Normal7"/>
              <w:spacing w:before="120" w:after="0" w:line="240" w:lineRule="auto"/>
              <w:jc w:val="center"/>
              <w:rPr>
                <w:rFonts w:eastAsia="Times New Roman" w:cs="Times New Roman"/>
                <w:bCs/>
                <w:noProof/>
                <w:szCs w:val="18"/>
              </w:rPr>
            </w:pPr>
            <w:r>
              <w:rPr>
                <w:noProof/>
              </w:rPr>
              <w:t>Milník/cíl</w:t>
            </w:r>
          </w:p>
        </w:tc>
        <w:tc>
          <w:tcPr>
            <w:tcW w:w="210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4F0AA2" w14:textId="77777777" w:rsidR="00515398" w:rsidRDefault="006711E6">
            <w:pPr>
              <w:pStyle w:val="P68B1DB1-Normal7"/>
              <w:spacing w:before="120" w:after="0" w:line="240" w:lineRule="auto"/>
              <w:jc w:val="center"/>
              <w:rPr>
                <w:rFonts w:eastAsia="Times New Roman" w:cs="Times New Roman"/>
                <w:bCs/>
                <w:noProof/>
                <w:szCs w:val="18"/>
              </w:rPr>
            </w:pPr>
            <w:r>
              <w:rPr>
                <w:noProof/>
              </w:rPr>
              <w:t>Jméno</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579942" w14:textId="77777777" w:rsidR="00515398" w:rsidRDefault="006711E6">
            <w:pPr>
              <w:pStyle w:val="P68B1DB1-Normal7"/>
              <w:spacing w:before="120" w:after="0" w:line="240" w:lineRule="auto"/>
              <w:jc w:val="center"/>
              <w:rPr>
                <w:rFonts w:eastAsia="Times New Roman" w:cs="Times New Roman"/>
                <w:bCs/>
                <w:noProof/>
                <w:szCs w:val="18"/>
              </w:rPr>
            </w:pPr>
            <w:r>
              <w:rPr>
                <w:noProof/>
              </w:rPr>
              <w:t>Kva</w:t>
            </w:r>
            <w:r>
              <w:rPr>
                <w:noProof/>
              </w:rPr>
              <w:t>litativní ukazatele (pro milníky)</w:t>
            </w:r>
          </w:p>
        </w:tc>
        <w:tc>
          <w:tcPr>
            <w:tcW w:w="3536"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49F397F" w14:textId="77777777" w:rsidR="00515398" w:rsidRDefault="006711E6">
            <w:pPr>
              <w:pStyle w:val="P68B1DB1-Normal7"/>
              <w:spacing w:before="120" w:after="0" w:line="240" w:lineRule="auto"/>
              <w:jc w:val="center"/>
              <w:rPr>
                <w:rFonts w:eastAsia="Times New Roman" w:cs="Times New Roman"/>
                <w:bCs/>
                <w:noProof/>
                <w:szCs w:val="18"/>
              </w:rPr>
            </w:pPr>
            <w:r>
              <w:rPr>
                <w:noProof/>
              </w:rPr>
              <w:t>Kvantitativní ukazatele (pro cíle)</w:t>
            </w:r>
          </w:p>
        </w:tc>
        <w:tc>
          <w:tcPr>
            <w:tcW w:w="1629" w:type="dxa"/>
            <w:gridSpan w:val="2"/>
            <w:tcBorders>
              <w:top w:val="single" w:sz="4" w:space="0" w:color="auto"/>
              <w:left w:val="nil"/>
              <w:bottom w:val="single" w:sz="4" w:space="0" w:color="auto"/>
              <w:right w:val="single" w:sz="4" w:space="0" w:color="auto"/>
            </w:tcBorders>
            <w:shd w:val="clear" w:color="auto" w:fill="BDD7EE"/>
            <w:vAlign w:val="center"/>
            <w:hideMark/>
          </w:tcPr>
          <w:p w14:paraId="3B6D7050" w14:textId="77777777" w:rsidR="00515398" w:rsidRDefault="006711E6">
            <w:pPr>
              <w:pStyle w:val="P68B1DB1-Normal7"/>
              <w:spacing w:before="120" w:after="0" w:line="240" w:lineRule="auto"/>
              <w:jc w:val="center"/>
              <w:rPr>
                <w:rFonts w:eastAsia="Times New Roman" w:cs="Times New Roman"/>
                <w:bCs/>
                <w:noProof/>
                <w:szCs w:val="18"/>
              </w:rPr>
            </w:pPr>
            <w:r>
              <w:rPr>
                <w:noProof/>
              </w:rPr>
              <w:t xml:space="preserve">Orientační harmonogram pro dokončení </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7A8939" w14:textId="77777777" w:rsidR="00515398" w:rsidRDefault="006711E6">
            <w:pPr>
              <w:pStyle w:val="P68B1DB1-Normal7"/>
              <w:spacing w:before="120" w:after="0" w:line="240" w:lineRule="auto"/>
              <w:jc w:val="center"/>
              <w:rPr>
                <w:rFonts w:eastAsia="Times New Roman" w:cs="Times New Roman"/>
                <w:bCs/>
                <w:noProof/>
                <w:szCs w:val="18"/>
              </w:rPr>
            </w:pPr>
            <w:r>
              <w:rPr>
                <w:noProof/>
              </w:rPr>
              <w:t>Popis každého milníku a cíle</w:t>
            </w:r>
          </w:p>
        </w:tc>
      </w:tr>
      <w:tr w:rsidR="00515398" w14:paraId="160467AD" w14:textId="77777777">
        <w:trPr>
          <w:trHeight w:val="654"/>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F80D5EF" w14:textId="77777777" w:rsidR="00515398" w:rsidRDefault="00515398">
            <w:pPr>
              <w:spacing w:before="120" w:after="0" w:line="240" w:lineRule="auto"/>
              <w:rPr>
                <w:rFonts w:ascii="Times New Roman" w:eastAsia="Times New Roman" w:hAnsi="Times New Roman" w:cs="Times New Roman"/>
                <w:b/>
                <w:noProof/>
                <w:sz w:val="18"/>
                <w:szCs w:val="18"/>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2C9BEC45" w14:textId="77777777" w:rsidR="00515398" w:rsidRDefault="00515398">
            <w:pPr>
              <w:spacing w:before="120" w:after="0" w:line="240" w:lineRule="auto"/>
              <w:rPr>
                <w:rFonts w:ascii="Times New Roman" w:eastAsia="Times New Roman" w:hAnsi="Times New Roman" w:cs="Times New Roman"/>
                <w:b/>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74C3E09D" w14:textId="77777777" w:rsidR="00515398" w:rsidRDefault="00515398">
            <w:pPr>
              <w:spacing w:before="120" w:after="0" w:line="240" w:lineRule="auto"/>
              <w:rPr>
                <w:rFonts w:ascii="Times New Roman" w:eastAsia="Times New Roman" w:hAnsi="Times New Roman" w:cs="Times New Roman"/>
                <w:b/>
                <w:noProof/>
                <w:sz w:val="18"/>
                <w:szCs w:val="18"/>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98CE72A" w14:textId="77777777" w:rsidR="00515398" w:rsidRDefault="00515398">
            <w:pPr>
              <w:spacing w:before="120" w:after="0" w:line="240" w:lineRule="auto"/>
              <w:rPr>
                <w:rFonts w:ascii="Times New Roman" w:eastAsia="Times New Roman" w:hAnsi="Times New Roman" w:cs="Times New Roman"/>
                <w:b/>
                <w:noProof/>
                <w:sz w:val="18"/>
                <w:szCs w:val="18"/>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4D8D011C" w14:textId="77777777" w:rsidR="00515398" w:rsidRDefault="00515398">
            <w:pPr>
              <w:spacing w:before="120" w:after="0" w:line="240" w:lineRule="auto"/>
              <w:rPr>
                <w:rFonts w:ascii="Times New Roman" w:eastAsia="Times New Roman" w:hAnsi="Times New Roman" w:cs="Times New Roman"/>
                <w:b/>
                <w:noProof/>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5707A9F" w14:textId="77777777" w:rsidR="00515398" w:rsidRDefault="006711E6">
            <w:pPr>
              <w:pStyle w:val="P68B1DB1-Normal7"/>
              <w:spacing w:before="120" w:after="0" w:line="240" w:lineRule="auto"/>
              <w:jc w:val="center"/>
              <w:rPr>
                <w:rFonts w:eastAsia="Times New Roman" w:cs="Times New Roman"/>
                <w:bCs/>
                <w:noProof/>
                <w:szCs w:val="18"/>
              </w:rPr>
            </w:pPr>
            <w:r>
              <w:rPr>
                <w:noProof/>
              </w:rPr>
              <w:t>Jednotka měření</w:t>
            </w:r>
          </w:p>
        </w:tc>
        <w:tc>
          <w:tcPr>
            <w:tcW w:w="1035" w:type="dxa"/>
            <w:tcBorders>
              <w:top w:val="nil"/>
              <w:left w:val="nil"/>
              <w:bottom w:val="single" w:sz="4" w:space="0" w:color="auto"/>
              <w:right w:val="single" w:sz="4" w:space="0" w:color="auto"/>
            </w:tcBorders>
            <w:shd w:val="clear" w:color="auto" w:fill="BDD7EE"/>
            <w:vAlign w:val="center"/>
            <w:hideMark/>
          </w:tcPr>
          <w:p w14:paraId="371CEB5F" w14:textId="77777777" w:rsidR="00515398" w:rsidRDefault="006711E6">
            <w:pPr>
              <w:pStyle w:val="P68B1DB1-Normal7"/>
              <w:spacing w:before="120" w:after="0" w:line="240" w:lineRule="auto"/>
              <w:jc w:val="center"/>
              <w:rPr>
                <w:rFonts w:eastAsia="Times New Roman" w:cs="Times New Roman"/>
                <w:bCs/>
                <w:noProof/>
                <w:szCs w:val="18"/>
              </w:rPr>
            </w:pPr>
            <w:r>
              <w:rPr>
                <w:noProof/>
              </w:rPr>
              <w:t xml:space="preserve">Výchozí stav </w:t>
            </w:r>
          </w:p>
        </w:tc>
        <w:tc>
          <w:tcPr>
            <w:tcW w:w="1097" w:type="dxa"/>
            <w:tcBorders>
              <w:top w:val="nil"/>
              <w:left w:val="nil"/>
              <w:bottom w:val="single" w:sz="4" w:space="0" w:color="auto"/>
              <w:right w:val="single" w:sz="4" w:space="0" w:color="auto"/>
            </w:tcBorders>
            <w:shd w:val="clear" w:color="auto" w:fill="BDD7EE"/>
            <w:vAlign w:val="center"/>
            <w:hideMark/>
          </w:tcPr>
          <w:p w14:paraId="6B7E6B88" w14:textId="77777777" w:rsidR="00515398" w:rsidRDefault="006711E6">
            <w:pPr>
              <w:pStyle w:val="P68B1DB1-Normal7"/>
              <w:spacing w:before="120" w:after="0" w:line="240" w:lineRule="auto"/>
              <w:jc w:val="center"/>
              <w:rPr>
                <w:rFonts w:eastAsia="Times New Roman" w:cs="Times New Roman"/>
                <w:bCs/>
                <w:noProof/>
                <w:szCs w:val="18"/>
              </w:rPr>
            </w:pPr>
            <w:r>
              <w:rPr>
                <w:noProof/>
              </w:rPr>
              <w:t xml:space="preserve">Cíl </w:t>
            </w:r>
          </w:p>
        </w:tc>
        <w:tc>
          <w:tcPr>
            <w:tcW w:w="846" w:type="dxa"/>
            <w:tcBorders>
              <w:top w:val="nil"/>
              <w:left w:val="nil"/>
              <w:bottom w:val="single" w:sz="4" w:space="0" w:color="auto"/>
              <w:right w:val="single" w:sz="4" w:space="0" w:color="auto"/>
            </w:tcBorders>
            <w:shd w:val="clear" w:color="auto" w:fill="BDD7EE"/>
            <w:vAlign w:val="center"/>
            <w:hideMark/>
          </w:tcPr>
          <w:p w14:paraId="6BF0404E" w14:textId="77777777" w:rsidR="00515398" w:rsidRDefault="006711E6">
            <w:pPr>
              <w:pStyle w:val="P68B1DB1-Normal7"/>
              <w:spacing w:before="120" w:after="0" w:line="240" w:lineRule="auto"/>
              <w:jc w:val="center"/>
              <w:rPr>
                <w:rFonts w:eastAsia="Times New Roman" w:cs="Times New Roman"/>
                <w:bCs/>
                <w:noProof/>
                <w:szCs w:val="18"/>
              </w:rPr>
            </w:pPr>
            <w:r>
              <w:rPr>
                <w:noProof/>
              </w:rPr>
              <w:t>Čtvrtina</w:t>
            </w:r>
          </w:p>
        </w:tc>
        <w:tc>
          <w:tcPr>
            <w:tcW w:w="783" w:type="dxa"/>
            <w:tcBorders>
              <w:top w:val="nil"/>
              <w:left w:val="nil"/>
              <w:bottom w:val="single" w:sz="4" w:space="0" w:color="auto"/>
              <w:right w:val="single" w:sz="4" w:space="0" w:color="auto"/>
            </w:tcBorders>
            <w:shd w:val="clear" w:color="auto" w:fill="BDD7EE"/>
            <w:vAlign w:val="center"/>
            <w:hideMark/>
          </w:tcPr>
          <w:p w14:paraId="7ADFF2EF" w14:textId="77777777" w:rsidR="00515398" w:rsidRDefault="006711E6">
            <w:pPr>
              <w:pStyle w:val="P68B1DB1-Normal7"/>
              <w:spacing w:before="120" w:after="0" w:line="240" w:lineRule="auto"/>
              <w:jc w:val="center"/>
              <w:rPr>
                <w:rFonts w:eastAsia="Times New Roman" w:cs="Times New Roman"/>
                <w:bCs/>
                <w:noProof/>
                <w:szCs w:val="18"/>
              </w:rPr>
            </w:pPr>
            <w:r>
              <w:rPr>
                <w:noProof/>
              </w:rPr>
              <w:t>Rok</w:t>
            </w:r>
          </w:p>
        </w:tc>
        <w:tc>
          <w:tcPr>
            <w:tcW w:w="3117" w:type="dxa"/>
            <w:vMerge/>
            <w:tcBorders>
              <w:top w:val="single" w:sz="4" w:space="0" w:color="auto"/>
              <w:bottom w:val="single" w:sz="4" w:space="0" w:color="auto"/>
              <w:right w:val="single" w:sz="4" w:space="0" w:color="auto"/>
            </w:tcBorders>
            <w:vAlign w:val="center"/>
            <w:hideMark/>
          </w:tcPr>
          <w:p w14:paraId="7C77ABBD" w14:textId="77777777" w:rsidR="00515398" w:rsidRDefault="00515398">
            <w:pPr>
              <w:spacing w:before="120" w:after="0" w:line="240" w:lineRule="auto"/>
              <w:rPr>
                <w:rFonts w:ascii="Times New Roman" w:eastAsia="Times New Roman" w:hAnsi="Times New Roman" w:cs="Times New Roman"/>
                <w:b/>
                <w:noProof/>
                <w:sz w:val="18"/>
                <w:szCs w:val="18"/>
              </w:rPr>
            </w:pPr>
          </w:p>
        </w:tc>
      </w:tr>
      <w:tr w:rsidR="00515398" w14:paraId="392210F3"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20A0E9F" w14:textId="77777777" w:rsidR="00515398" w:rsidRDefault="006711E6">
            <w:pPr>
              <w:pStyle w:val="P68B1DB1-Normal9"/>
              <w:spacing w:before="120" w:after="0" w:line="240" w:lineRule="auto"/>
              <w:rPr>
                <w:rFonts w:eastAsia="Times New Roman" w:cs="Calibri"/>
                <w:noProof/>
                <w:szCs w:val="18"/>
              </w:rPr>
            </w:pPr>
            <w:r>
              <w:rPr>
                <w:noProof/>
              </w:rPr>
              <w:t>182</w:t>
            </w:r>
          </w:p>
        </w:tc>
        <w:tc>
          <w:tcPr>
            <w:tcW w:w="1582" w:type="dxa"/>
            <w:tcBorders>
              <w:top w:val="single" w:sz="4" w:space="0" w:color="auto"/>
              <w:left w:val="nil"/>
              <w:bottom w:val="single" w:sz="4" w:space="0" w:color="auto"/>
              <w:right w:val="single" w:sz="4" w:space="0" w:color="auto"/>
            </w:tcBorders>
            <w:shd w:val="clear" w:color="auto" w:fill="C6EFCE"/>
            <w:noWrap/>
          </w:tcPr>
          <w:p w14:paraId="16DFBB23" w14:textId="77777777" w:rsidR="00515398" w:rsidRDefault="006711E6">
            <w:pPr>
              <w:pStyle w:val="P68B1DB1-Normal9"/>
              <w:spacing w:before="120" w:after="0" w:line="240" w:lineRule="auto"/>
              <w:rPr>
                <w:rFonts w:eastAsia="Times New Roman" w:cs="Calibri"/>
                <w:noProof/>
                <w:szCs w:val="18"/>
              </w:rPr>
            </w:pPr>
            <w:r>
              <w:rPr>
                <w:noProof/>
              </w:rPr>
              <w:t xml:space="preserve">11–3.4. Zlepšení přístupu k účinným a inkluzivním sociálním </w:t>
            </w:r>
            <w:r>
              <w:rPr>
                <w:noProof/>
              </w:rPr>
              <w:t>politikám – 16925_Digitální transformace systému sociální podpory</w:t>
            </w:r>
          </w:p>
        </w:tc>
        <w:tc>
          <w:tcPr>
            <w:tcW w:w="966" w:type="dxa"/>
            <w:tcBorders>
              <w:top w:val="single" w:sz="4" w:space="0" w:color="auto"/>
              <w:left w:val="nil"/>
              <w:bottom w:val="single" w:sz="4" w:space="0" w:color="auto"/>
              <w:right w:val="single" w:sz="4" w:space="0" w:color="auto"/>
            </w:tcBorders>
            <w:shd w:val="clear" w:color="auto" w:fill="C6EFCE"/>
            <w:noWrap/>
          </w:tcPr>
          <w:p w14:paraId="201AEB3C" w14:textId="77777777" w:rsidR="00515398" w:rsidRDefault="006711E6">
            <w:pPr>
              <w:pStyle w:val="P68B1DB1-Normal9"/>
              <w:spacing w:before="120" w:after="0" w:line="240" w:lineRule="auto"/>
              <w:rPr>
                <w:rFonts w:eastAsia="Times New Roman" w:cs="Calibri"/>
                <w:noProof/>
                <w:szCs w:val="18"/>
              </w:rPr>
            </w:pPr>
            <w:r>
              <w:rPr>
                <w:noProof/>
              </w:rPr>
              <w:t>Cílová</w:t>
            </w:r>
          </w:p>
        </w:tc>
        <w:tc>
          <w:tcPr>
            <w:tcW w:w="2107" w:type="dxa"/>
            <w:tcBorders>
              <w:top w:val="single" w:sz="4" w:space="0" w:color="auto"/>
              <w:left w:val="nil"/>
              <w:bottom w:val="single" w:sz="4" w:space="0" w:color="auto"/>
              <w:right w:val="single" w:sz="4" w:space="0" w:color="auto"/>
            </w:tcBorders>
            <w:shd w:val="clear" w:color="auto" w:fill="C6EFCE"/>
            <w:noWrap/>
          </w:tcPr>
          <w:p w14:paraId="43BF1525" w14:textId="77777777" w:rsidR="00515398" w:rsidRDefault="006711E6">
            <w:pPr>
              <w:pStyle w:val="P68B1DB1-Normal9"/>
              <w:spacing w:before="120" w:after="0" w:line="240" w:lineRule="auto"/>
              <w:rPr>
                <w:rFonts w:eastAsia="Times New Roman"/>
                <w:noProof/>
                <w:szCs w:val="18"/>
              </w:rPr>
            </w:pPr>
            <w:r>
              <w:rPr>
                <w:noProof/>
              </w:rPr>
              <w:t>Dokončení dodání průkazů osob se zdravotním postižením ze strany řídícího orgánu</w:t>
            </w:r>
          </w:p>
        </w:tc>
        <w:tc>
          <w:tcPr>
            <w:tcW w:w="1766" w:type="dxa"/>
            <w:tcBorders>
              <w:top w:val="single" w:sz="4" w:space="0" w:color="auto"/>
              <w:left w:val="nil"/>
              <w:bottom w:val="single" w:sz="4" w:space="0" w:color="auto"/>
              <w:right w:val="single" w:sz="4" w:space="0" w:color="auto"/>
            </w:tcBorders>
            <w:shd w:val="clear" w:color="auto" w:fill="C6EFCE"/>
            <w:noWrap/>
          </w:tcPr>
          <w:p w14:paraId="149AF6B3" w14:textId="77777777" w:rsidR="00515398" w:rsidRDefault="00515398">
            <w:pPr>
              <w:spacing w:before="120" w:after="0" w:line="240" w:lineRule="auto"/>
              <w:rPr>
                <w:rFonts w:eastAsia="Times New Roman" w:cs="Calibri"/>
                <w:noProof/>
                <w:color w:val="006100"/>
                <w:sz w:val="18"/>
                <w:szCs w:val="18"/>
              </w:rPr>
            </w:pPr>
          </w:p>
        </w:tc>
        <w:tc>
          <w:tcPr>
            <w:tcW w:w="1404" w:type="dxa"/>
            <w:tcBorders>
              <w:top w:val="single" w:sz="4" w:space="0" w:color="auto"/>
              <w:left w:val="nil"/>
              <w:bottom w:val="single" w:sz="4" w:space="0" w:color="auto"/>
              <w:right w:val="single" w:sz="4" w:space="0" w:color="auto"/>
            </w:tcBorders>
            <w:shd w:val="clear" w:color="auto" w:fill="C6EFCE"/>
            <w:noWrap/>
          </w:tcPr>
          <w:p w14:paraId="17F6E4BB" w14:textId="77777777" w:rsidR="00515398" w:rsidRDefault="006711E6">
            <w:pPr>
              <w:pStyle w:val="P68B1DB1-Normal9"/>
              <w:spacing w:before="120" w:after="0" w:line="240" w:lineRule="auto"/>
              <w:rPr>
                <w:rFonts w:eastAsia="Times New Roman" w:cs="Calibri"/>
                <w:noProof/>
                <w:szCs w:val="18"/>
              </w:rPr>
            </w:pPr>
            <w:r>
              <w:rPr>
                <w:noProof/>
              </w:rPr>
              <w:t>Počet průkazů osob se zdravotním postižením dodaných oprávněným osobám</w:t>
            </w:r>
          </w:p>
        </w:tc>
        <w:tc>
          <w:tcPr>
            <w:tcW w:w="1035" w:type="dxa"/>
            <w:tcBorders>
              <w:top w:val="nil"/>
              <w:left w:val="nil"/>
              <w:bottom w:val="single" w:sz="4" w:space="0" w:color="auto"/>
              <w:right w:val="single" w:sz="4" w:space="0" w:color="auto"/>
            </w:tcBorders>
            <w:shd w:val="clear" w:color="auto" w:fill="C6EFCE"/>
            <w:noWrap/>
          </w:tcPr>
          <w:p w14:paraId="75B19A25" w14:textId="77777777" w:rsidR="00515398" w:rsidRDefault="006711E6">
            <w:pPr>
              <w:pStyle w:val="P68B1DB1-Normal9"/>
              <w:spacing w:before="120" w:after="0" w:line="240" w:lineRule="auto"/>
              <w:rPr>
                <w:rFonts w:eastAsia="Times New Roman" w:cs="Calibri"/>
                <w:noProof/>
                <w:szCs w:val="18"/>
              </w:rPr>
            </w:pPr>
            <w:r>
              <w:rPr>
                <w:noProof/>
              </w:rPr>
              <w:t>0</w:t>
            </w:r>
          </w:p>
        </w:tc>
        <w:tc>
          <w:tcPr>
            <w:tcW w:w="1097" w:type="dxa"/>
            <w:tcBorders>
              <w:top w:val="nil"/>
              <w:left w:val="nil"/>
              <w:bottom w:val="single" w:sz="4" w:space="0" w:color="auto"/>
              <w:right w:val="single" w:sz="4" w:space="0" w:color="auto"/>
            </w:tcBorders>
            <w:shd w:val="clear" w:color="auto" w:fill="C6EFCE"/>
            <w:noWrap/>
          </w:tcPr>
          <w:p w14:paraId="397370D5" w14:textId="77777777" w:rsidR="00515398" w:rsidRDefault="006711E6">
            <w:pPr>
              <w:pStyle w:val="P68B1DB1-Normal9"/>
              <w:spacing w:before="120" w:after="0" w:line="240" w:lineRule="auto"/>
              <w:rPr>
                <w:rFonts w:eastAsia="Times New Roman" w:cs="Calibri"/>
                <w:noProof/>
                <w:szCs w:val="18"/>
              </w:rPr>
            </w:pPr>
            <w:r>
              <w:rPr>
                <w:noProof/>
              </w:rPr>
              <w:t>80 000</w:t>
            </w:r>
          </w:p>
        </w:tc>
        <w:tc>
          <w:tcPr>
            <w:tcW w:w="846" w:type="dxa"/>
            <w:tcBorders>
              <w:top w:val="nil"/>
              <w:left w:val="nil"/>
              <w:bottom w:val="single" w:sz="4" w:space="0" w:color="auto"/>
              <w:right w:val="single" w:sz="4" w:space="0" w:color="auto"/>
            </w:tcBorders>
            <w:shd w:val="clear" w:color="auto" w:fill="C6EFCE"/>
            <w:noWrap/>
          </w:tcPr>
          <w:p w14:paraId="1CBC6ABB"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83" w:type="dxa"/>
            <w:tcBorders>
              <w:top w:val="nil"/>
              <w:left w:val="nil"/>
              <w:bottom w:val="single" w:sz="4" w:space="0" w:color="auto"/>
              <w:right w:val="single" w:sz="4" w:space="0" w:color="auto"/>
            </w:tcBorders>
            <w:shd w:val="clear" w:color="auto" w:fill="C6EFCE"/>
            <w:noWrap/>
          </w:tcPr>
          <w:p w14:paraId="03574920" w14:textId="77777777" w:rsidR="00515398" w:rsidRDefault="006711E6">
            <w:pPr>
              <w:pStyle w:val="P68B1DB1-Normal9"/>
              <w:spacing w:before="120" w:after="0" w:line="240" w:lineRule="auto"/>
              <w:rPr>
                <w:rFonts w:eastAsia="Times New Roman" w:cs="Calibri"/>
                <w:noProof/>
                <w:szCs w:val="18"/>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469D0526" w14:textId="38BC1477" w:rsidR="00515398" w:rsidRDefault="006711E6">
            <w:pPr>
              <w:pStyle w:val="P68B1DB1-Normal9"/>
              <w:spacing w:before="120" w:after="0" w:line="240" w:lineRule="auto"/>
              <w:rPr>
                <w:rFonts w:eastAsia="Times New Roman" w:cs="Calibri"/>
                <w:noProof/>
                <w:szCs w:val="18"/>
              </w:rPr>
            </w:pPr>
            <w:r>
              <w:rPr>
                <w:noProof/>
              </w:rPr>
              <w:t>Dokončení dodání 80000 průkazů osob se zdravotním postižením ze strany řídícího orgánu příjemcům.</w:t>
            </w:r>
          </w:p>
          <w:p w14:paraId="4C63C1C2" w14:textId="77777777" w:rsidR="00515398" w:rsidRDefault="006711E6">
            <w:pPr>
              <w:pStyle w:val="P68B1DB1-Normal9"/>
              <w:spacing w:before="120" w:after="0" w:line="240" w:lineRule="auto"/>
              <w:rPr>
                <w:rFonts w:eastAsia="Times New Roman" w:cs="Calibri"/>
                <w:noProof/>
                <w:szCs w:val="18"/>
              </w:rPr>
            </w:pPr>
            <w:r>
              <w:rPr>
                <w:noProof/>
              </w:rPr>
              <w:t xml:space="preserve">Průkazy osob se zdravotním postižením zahrnují zvláštní práva/dávky a usnadňují osobám se zdravotním postižením jejich každodenní život. </w:t>
            </w:r>
          </w:p>
          <w:p w14:paraId="5036E517" w14:textId="1AF484D1" w:rsidR="00515398" w:rsidRDefault="006711E6">
            <w:pPr>
              <w:pStyle w:val="P68B1DB1-Normal9"/>
              <w:spacing w:before="120" w:after="0" w:line="240" w:lineRule="auto"/>
              <w:rPr>
                <w:rFonts w:eastAsia="Times New Roman" w:cs="Calibri"/>
                <w:noProof/>
                <w:szCs w:val="18"/>
              </w:rPr>
            </w:pPr>
            <w:r>
              <w:rPr>
                <w:noProof/>
              </w:rPr>
              <w:t>Přijetí výstupů smlo</w:t>
            </w:r>
            <w:r>
              <w:rPr>
                <w:noProof/>
              </w:rPr>
              <w:t>uvy (vypracování průkazů osob se zdravotním postižením) vedoucím/zadavatelem a potvrzení řídícího orgánu o dodání 80000 průkazů osob se zdravotním postižením oprávněným osobám</w:t>
            </w:r>
          </w:p>
          <w:p w14:paraId="64FF81C3" w14:textId="77777777" w:rsidR="00515398" w:rsidRDefault="00515398">
            <w:pPr>
              <w:spacing w:before="120" w:after="0" w:line="240" w:lineRule="auto"/>
              <w:rPr>
                <w:rFonts w:eastAsia="Times New Roman" w:cs="Calibri"/>
                <w:noProof/>
                <w:color w:val="006100"/>
                <w:sz w:val="18"/>
                <w:szCs w:val="18"/>
              </w:rPr>
            </w:pPr>
          </w:p>
        </w:tc>
      </w:tr>
      <w:tr w:rsidR="00515398" w14:paraId="7EBEE75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6AF0FE76" w14:textId="77777777" w:rsidR="00515398" w:rsidRDefault="006711E6">
            <w:pPr>
              <w:pStyle w:val="P68B1DB1-Normal9"/>
              <w:spacing w:before="120" w:after="0" w:line="240" w:lineRule="auto"/>
              <w:rPr>
                <w:rFonts w:eastAsia="Times New Roman" w:cs="Calibri"/>
                <w:noProof/>
                <w:szCs w:val="18"/>
              </w:rPr>
            </w:pPr>
            <w:r>
              <w:rPr>
                <w:noProof/>
              </w:rPr>
              <w:t>182a</w:t>
            </w:r>
          </w:p>
        </w:tc>
        <w:tc>
          <w:tcPr>
            <w:tcW w:w="1582" w:type="dxa"/>
            <w:tcBorders>
              <w:top w:val="nil"/>
              <w:left w:val="nil"/>
              <w:bottom w:val="single" w:sz="4" w:space="0" w:color="auto"/>
              <w:right w:val="single" w:sz="4" w:space="0" w:color="auto"/>
            </w:tcBorders>
            <w:shd w:val="clear" w:color="auto" w:fill="C6EFCE"/>
            <w:noWrap/>
          </w:tcPr>
          <w:p w14:paraId="3A5ED9F2" w14:textId="77777777" w:rsidR="00515398" w:rsidRDefault="006711E6">
            <w:pPr>
              <w:pStyle w:val="P68B1DB1-Normal9"/>
              <w:spacing w:before="120" w:after="0" w:line="240" w:lineRule="auto"/>
              <w:rPr>
                <w:rFonts w:eastAsia="Times New Roman" w:cs="Calibri"/>
                <w:noProof/>
                <w:szCs w:val="18"/>
              </w:rPr>
            </w:pPr>
            <w:r>
              <w:rPr>
                <w:noProof/>
              </w:rPr>
              <w:t xml:space="preserve">11–3.4. Zlepšení přístupu k účinným a inkluzivním sociálním politikám – </w:t>
            </w:r>
            <w:r>
              <w:rPr>
                <w:noProof/>
              </w:rPr>
              <w:t>16925_Digitální transformace systému sociální podpory</w:t>
            </w:r>
          </w:p>
        </w:tc>
        <w:tc>
          <w:tcPr>
            <w:tcW w:w="966" w:type="dxa"/>
            <w:tcBorders>
              <w:top w:val="nil"/>
              <w:left w:val="nil"/>
              <w:bottom w:val="single" w:sz="4" w:space="0" w:color="auto"/>
              <w:right w:val="single" w:sz="4" w:space="0" w:color="auto"/>
            </w:tcBorders>
            <w:shd w:val="clear" w:color="auto" w:fill="C6EFCE"/>
            <w:noWrap/>
          </w:tcPr>
          <w:p w14:paraId="63DBF41A"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2107" w:type="dxa"/>
            <w:tcBorders>
              <w:top w:val="nil"/>
              <w:left w:val="nil"/>
              <w:bottom w:val="single" w:sz="4" w:space="0" w:color="auto"/>
              <w:right w:val="single" w:sz="4" w:space="0" w:color="auto"/>
            </w:tcBorders>
            <w:shd w:val="clear" w:color="auto" w:fill="C6EFCE"/>
            <w:noWrap/>
          </w:tcPr>
          <w:p w14:paraId="08306576" w14:textId="77777777" w:rsidR="00515398" w:rsidRDefault="006711E6">
            <w:pPr>
              <w:pStyle w:val="P68B1DB1-Normal9"/>
              <w:spacing w:before="120" w:after="0" w:line="240" w:lineRule="auto"/>
              <w:rPr>
                <w:rFonts w:eastAsia="Times New Roman" w:cs="Calibri"/>
                <w:noProof/>
                <w:szCs w:val="18"/>
              </w:rPr>
            </w:pPr>
            <w:r>
              <w:rPr>
                <w:noProof/>
              </w:rPr>
              <w:t>Jednotný portál pro digitální přístup, digitální odborná příprava, úplný soupis veřejných nemovitostí</w:t>
            </w:r>
          </w:p>
        </w:tc>
        <w:tc>
          <w:tcPr>
            <w:tcW w:w="1766" w:type="dxa"/>
            <w:tcBorders>
              <w:top w:val="nil"/>
              <w:left w:val="nil"/>
              <w:bottom w:val="single" w:sz="4" w:space="0" w:color="auto"/>
              <w:right w:val="single" w:sz="4" w:space="0" w:color="auto"/>
            </w:tcBorders>
            <w:shd w:val="clear" w:color="auto" w:fill="C6EFCE"/>
            <w:noWrap/>
          </w:tcPr>
          <w:p w14:paraId="43B11571" w14:textId="77777777" w:rsidR="00515398" w:rsidRDefault="006711E6">
            <w:pPr>
              <w:pStyle w:val="P68B1DB1-Normal9"/>
              <w:spacing w:before="120" w:after="0" w:line="240" w:lineRule="auto"/>
              <w:rPr>
                <w:rFonts w:eastAsia="Times New Roman" w:cs="Calibri"/>
                <w:noProof/>
                <w:szCs w:val="18"/>
              </w:rPr>
            </w:pPr>
            <w:r>
              <w:rPr>
                <w:noProof/>
              </w:rPr>
              <w:t>Zpráva ministerstva sociálních věcí a rodiny potvrzující dokončení projektů</w:t>
            </w:r>
          </w:p>
        </w:tc>
        <w:tc>
          <w:tcPr>
            <w:tcW w:w="1404" w:type="dxa"/>
            <w:tcBorders>
              <w:top w:val="nil"/>
              <w:left w:val="nil"/>
              <w:bottom w:val="single" w:sz="4" w:space="0" w:color="auto"/>
              <w:right w:val="single" w:sz="4" w:space="0" w:color="auto"/>
            </w:tcBorders>
            <w:shd w:val="clear" w:color="auto" w:fill="C6EFCE"/>
            <w:noWrap/>
          </w:tcPr>
          <w:p w14:paraId="7B906504" w14:textId="77777777" w:rsidR="00515398" w:rsidRDefault="00515398">
            <w:pPr>
              <w:spacing w:before="120" w:after="0" w:line="240" w:lineRule="auto"/>
              <w:rPr>
                <w:rFonts w:eastAsia="Times New Roman" w:cs="Calibri"/>
                <w:noProof/>
                <w:color w:val="006100"/>
                <w:sz w:val="18"/>
                <w:szCs w:val="18"/>
              </w:rPr>
            </w:pPr>
          </w:p>
        </w:tc>
        <w:tc>
          <w:tcPr>
            <w:tcW w:w="1035" w:type="dxa"/>
            <w:tcBorders>
              <w:top w:val="nil"/>
              <w:left w:val="nil"/>
              <w:bottom w:val="single" w:sz="4" w:space="0" w:color="auto"/>
              <w:right w:val="single" w:sz="4" w:space="0" w:color="auto"/>
            </w:tcBorders>
            <w:shd w:val="clear" w:color="auto" w:fill="C6EFCE"/>
            <w:noWrap/>
          </w:tcPr>
          <w:p w14:paraId="6D8049E7" w14:textId="77777777" w:rsidR="00515398" w:rsidRDefault="00515398">
            <w:pPr>
              <w:spacing w:before="120" w:after="0" w:line="240" w:lineRule="auto"/>
              <w:rPr>
                <w:rFonts w:eastAsia="Times New Roman" w:cs="Calibri"/>
                <w:noProof/>
                <w:color w:val="006100"/>
                <w:sz w:val="18"/>
                <w:szCs w:val="18"/>
              </w:rPr>
            </w:pPr>
          </w:p>
        </w:tc>
        <w:tc>
          <w:tcPr>
            <w:tcW w:w="1097" w:type="dxa"/>
            <w:tcBorders>
              <w:top w:val="nil"/>
              <w:left w:val="nil"/>
              <w:bottom w:val="single" w:sz="4" w:space="0" w:color="auto"/>
              <w:right w:val="single" w:sz="4" w:space="0" w:color="auto"/>
            </w:tcBorders>
            <w:shd w:val="clear" w:color="auto" w:fill="C6EFCE"/>
            <w:noWrap/>
          </w:tcPr>
          <w:p w14:paraId="6DA02212" w14:textId="77777777" w:rsidR="00515398" w:rsidRDefault="00515398">
            <w:pPr>
              <w:spacing w:before="120"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347EFD2" w14:textId="77777777" w:rsidR="00515398" w:rsidRDefault="006711E6">
            <w:pPr>
              <w:pStyle w:val="P68B1DB1-Normal9"/>
              <w:spacing w:before="120" w:after="0" w:line="240" w:lineRule="auto"/>
              <w:rPr>
                <w:rFonts w:eastAsia="Times New Roman" w:cs="Calibri"/>
                <w:noProof/>
                <w:szCs w:val="18"/>
              </w:rPr>
            </w:pPr>
            <w:r>
              <w:rPr>
                <w:noProof/>
              </w:rPr>
              <w:t>ČTVRTLETÍ ČTVR</w:t>
            </w:r>
            <w:r>
              <w:rPr>
                <w:noProof/>
              </w:rPr>
              <w:t>T</w:t>
            </w:r>
          </w:p>
        </w:tc>
        <w:tc>
          <w:tcPr>
            <w:tcW w:w="783" w:type="dxa"/>
            <w:tcBorders>
              <w:top w:val="nil"/>
              <w:left w:val="nil"/>
              <w:bottom w:val="single" w:sz="4" w:space="0" w:color="auto"/>
              <w:right w:val="single" w:sz="4" w:space="0" w:color="auto"/>
            </w:tcBorders>
            <w:shd w:val="clear" w:color="auto" w:fill="C6EFCE"/>
            <w:noWrap/>
          </w:tcPr>
          <w:p w14:paraId="69C818B0" w14:textId="77777777" w:rsidR="00515398" w:rsidRDefault="006711E6">
            <w:pPr>
              <w:pStyle w:val="P68B1DB1-Normal9"/>
              <w:spacing w:before="120" w:after="0" w:line="240" w:lineRule="auto"/>
              <w:rPr>
                <w:rFonts w:eastAsia="Times New Roman" w:cs="Calibri"/>
                <w:noProof/>
                <w:szCs w:val="18"/>
              </w:rPr>
            </w:pPr>
            <w:r>
              <w:rPr>
                <w:noProof/>
              </w:rPr>
              <w:t>2025</w:t>
            </w:r>
          </w:p>
        </w:tc>
        <w:tc>
          <w:tcPr>
            <w:tcW w:w="3117" w:type="dxa"/>
            <w:tcBorders>
              <w:top w:val="nil"/>
              <w:left w:val="nil"/>
              <w:bottom w:val="single" w:sz="4" w:space="0" w:color="auto"/>
              <w:right w:val="single" w:sz="4" w:space="0" w:color="auto"/>
            </w:tcBorders>
            <w:shd w:val="clear" w:color="auto" w:fill="C6EFCE"/>
            <w:noWrap/>
          </w:tcPr>
          <w:p w14:paraId="3C680A21" w14:textId="77777777" w:rsidR="00515398" w:rsidRDefault="006711E6">
            <w:pPr>
              <w:pStyle w:val="P68B1DB1-Normal9"/>
              <w:spacing w:after="0" w:line="240" w:lineRule="auto"/>
              <w:jc w:val="both"/>
              <w:textAlignment w:val="baseline"/>
              <w:rPr>
                <w:rFonts w:eastAsia="Times New Roman" w:cs="Calibri"/>
                <w:noProof/>
                <w:szCs w:val="18"/>
              </w:rPr>
            </w:pPr>
            <w:r>
              <w:rPr>
                <w:noProof/>
              </w:rPr>
              <w:t>Dokončení těchto opatření: </w:t>
            </w:r>
          </w:p>
          <w:p w14:paraId="7E5966EE" w14:textId="77777777" w:rsidR="00515398" w:rsidRDefault="006711E6">
            <w:pPr>
              <w:pStyle w:val="P68B1DB1-Normal9"/>
              <w:spacing w:after="0" w:line="240" w:lineRule="auto"/>
              <w:jc w:val="both"/>
              <w:textAlignment w:val="baseline"/>
              <w:rPr>
                <w:rFonts w:eastAsia="Times New Roman" w:cs="Calibri"/>
                <w:noProof/>
                <w:szCs w:val="18"/>
              </w:rPr>
            </w:pPr>
            <w:r>
              <w:rPr>
                <w:noProof/>
              </w:rPr>
              <w:t>a) zřízení jednotného digitálního přístupového portálu k sociální ochraně, který integruje stávající elektronické formuláře pro podávání žádostí o peněžité dávky sociální pomoci do jednotného digitálního portálu;  </w:t>
            </w:r>
          </w:p>
          <w:p w14:paraId="46CEBB96" w14:textId="77777777" w:rsidR="00515398" w:rsidRDefault="006711E6">
            <w:pPr>
              <w:pStyle w:val="P68B1DB1-Normal9"/>
              <w:spacing w:after="0" w:line="240" w:lineRule="auto"/>
              <w:jc w:val="both"/>
              <w:textAlignment w:val="baseline"/>
              <w:rPr>
                <w:rFonts w:eastAsia="Times New Roman" w:cs="Calibri"/>
                <w:noProof/>
                <w:szCs w:val="18"/>
              </w:rPr>
            </w:pPr>
            <w:r>
              <w:rPr>
                <w:noProof/>
              </w:rPr>
              <w:t>zřízen</w:t>
            </w:r>
            <w:r>
              <w:rPr>
                <w:noProof/>
              </w:rPr>
              <w:t>í jednotného kontaktního místa pro vnitrostátní portál dávek v invaliditě, který příjemcům umožní online přístup k osobním údajům a dávkám a vydávání osvědčení;  </w:t>
            </w:r>
          </w:p>
          <w:p w14:paraId="720EEDD3" w14:textId="3C1A79EA" w:rsidR="00515398" w:rsidRDefault="006711E6">
            <w:pPr>
              <w:pStyle w:val="P68B1DB1-Normal9"/>
              <w:spacing w:after="0" w:line="240" w:lineRule="auto"/>
              <w:jc w:val="both"/>
              <w:textAlignment w:val="baseline"/>
              <w:rPr>
                <w:rFonts w:eastAsia="Times New Roman" w:cs="Calibri"/>
                <w:noProof/>
                <w:szCs w:val="18"/>
              </w:rPr>
            </w:pPr>
            <w:r>
              <w:rPr>
                <w:noProof/>
              </w:rPr>
              <w:t>C) Vytvoření úplného soupisu veřejných nemovitostí souvisejících se službami sociální ochrany</w:t>
            </w:r>
            <w:r>
              <w:rPr>
                <w:noProof/>
              </w:rPr>
              <w:t>. </w:t>
            </w:r>
          </w:p>
          <w:p w14:paraId="41C6B29C" w14:textId="77777777" w:rsidR="00515398" w:rsidRDefault="00515398">
            <w:pPr>
              <w:spacing w:before="120" w:after="0" w:line="240" w:lineRule="auto"/>
              <w:rPr>
                <w:rFonts w:eastAsia="Times New Roman" w:cs="Calibri"/>
                <w:noProof/>
                <w:color w:val="006100"/>
                <w:sz w:val="18"/>
                <w:szCs w:val="18"/>
              </w:rPr>
            </w:pPr>
          </w:p>
        </w:tc>
      </w:tr>
      <w:tr w:rsidR="00515398" w14:paraId="61DA1960"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7CBE8258" w14:textId="77777777" w:rsidR="00515398" w:rsidRDefault="006711E6">
            <w:pPr>
              <w:pStyle w:val="P68B1DB1-Normal9"/>
              <w:spacing w:before="120" w:after="0" w:line="240" w:lineRule="auto"/>
              <w:rPr>
                <w:rFonts w:eastAsia="Times New Roman" w:cs="Calibri"/>
                <w:noProof/>
                <w:szCs w:val="18"/>
              </w:rPr>
            </w:pPr>
            <w:r>
              <w:rPr>
                <w:noProof/>
              </w:rPr>
              <w:t>183</w:t>
            </w:r>
          </w:p>
        </w:tc>
        <w:tc>
          <w:tcPr>
            <w:tcW w:w="1582" w:type="dxa"/>
            <w:tcBorders>
              <w:top w:val="nil"/>
              <w:left w:val="nil"/>
              <w:bottom w:val="single" w:sz="4" w:space="0" w:color="auto"/>
              <w:right w:val="single" w:sz="4" w:space="0" w:color="auto"/>
            </w:tcBorders>
            <w:shd w:val="clear" w:color="auto" w:fill="C6EFCE"/>
            <w:noWrap/>
          </w:tcPr>
          <w:p w14:paraId="339B6693"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16922_Sociální integrace</w:t>
            </w:r>
          </w:p>
        </w:tc>
        <w:tc>
          <w:tcPr>
            <w:tcW w:w="966" w:type="dxa"/>
            <w:tcBorders>
              <w:top w:val="nil"/>
              <w:left w:val="nil"/>
              <w:bottom w:val="single" w:sz="4" w:space="0" w:color="auto"/>
              <w:right w:val="single" w:sz="4" w:space="0" w:color="auto"/>
            </w:tcBorders>
            <w:shd w:val="clear" w:color="auto" w:fill="C6EFCE"/>
            <w:noWrap/>
          </w:tcPr>
          <w:p w14:paraId="6BBAF1F0" w14:textId="77777777" w:rsidR="00515398" w:rsidRDefault="006711E6">
            <w:pPr>
              <w:pStyle w:val="P68B1DB1-Normal9"/>
              <w:spacing w:before="120" w:after="0" w:line="240" w:lineRule="auto"/>
              <w:rPr>
                <w:rFonts w:eastAsia="Times New Roman" w:cs="Calibri"/>
                <w:noProof/>
                <w:szCs w:val="18"/>
              </w:rPr>
            </w:pPr>
            <w:r>
              <w:rPr>
                <w:noProof/>
              </w:rPr>
              <w:t>Cílová</w:t>
            </w:r>
          </w:p>
        </w:tc>
        <w:tc>
          <w:tcPr>
            <w:tcW w:w="2107" w:type="dxa"/>
            <w:tcBorders>
              <w:top w:val="nil"/>
              <w:left w:val="nil"/>
              <w:bottom w:val="single" w:sz="4" w:space="0" w:color="auto"/>
              <w:right w:val="single" w:sz="4" w:space="0" w:color="auto"/>
            </w:tcBorders>
            <w:shd w:val="clear" w:color="auto" w:fill="C6EFCE"/>
            <w:noWrap/>
          </w:tcPr>
          <w:p w14:paraId="7DE06A89" w14:textId="77777777" w:rsidR="00515398" w:rsidRDefault="006711E6">
            <w:pPr>
              <w:pStyle w:val="P68B1DB1-Normal9"/>
              <w:spacing w:before="120" w:after="0" w:line="240" w:lineRule="auto"/>
              <w:rPr>
                <w:rFonts w:eastAsia="Times New Roman" w:cs="Calibri"/>
                <w:noProof/>
                <w:szCs w:val="18"/>
              </w:rPr>
            </w:pPr>
            <w:r>
              <w:rPr>
                <w:noProof/>
              </w:rPr>
              <w:t xml:space="preserve">Sociální integrace – příjemci GMI bez domova </w:t>
            </w:r>
          </w:p>
          <w:p w14:paraId="25640EC5" w14:textId="77777777" w:rsidR="00515398" w:rsidRDefault="006711E6">
            <w:pPr>
              <w:pStyle w:val="P68B1DB1-Normal9"/>
              <w:spacing w:before="120" w:after="0" w:line="240" w:lineRule="auto"/>
              <w:rPr>
                <w:rFonts w:eastAsia="Times New Roman" w:cs="Calibri"/>
                <w:noProof/>
                <w:szCs w:val="18"/>
              </w:rPr>
            </w:pPr>
            <w:r>
              <w:rPr>
                <w:noProof/>
              </w:rPr>
              <w:t>dokončení</w:t>
            </w:r>
          </w:p>
        </w:tc>
        <w:tc>
          <w:tcPr>
            <w:tcW w:w="1766" w:type="dxa"/>
            <w:tcBorders>
              <w:top w:val="nil"/>
              <w:left w:val="nil"/>
              <w:bottom w:val="single" w:sz="4" w:space="0" w:color="auto"/>
              <w:right w:val="single" w:sz="4" w:space="0" w:color="auto"/>
            </w:tcBorders>
            <w:shd w:val="clear" w:color="auto" w:fill="C6EFCE"/>
            <w:noWrap/>
          </w:tcPr>
          <w:p w14:paraId="0A975EEE" w14:textId="77777777" w:rsidR="00515398" w:rsidRDefault="00515398">
            <w:pPr>
              <w:spacing w:before="120" w:after="0" w:line="240" w:lineRule="auto"/>
              <w:rPr>
                <w:rFonts w:eastAsia="Times New Roman" w:cs="Calibri"/>
                <w:noProof/>
                <w:color w:val="006100"/>
                <w:sz w:val="18"/>
                <w:szCs w:val="18"/>
              </w:rPr>
            </w:pPr>
          </w:p>
        </w:tc>
        <w:tc>
          <w:tcPr>
            <w:tcW w:w="1404" w:type="dxa"/>
            <w:tcBorders>
              <w:top w:val="nil"/>
              <w:left w:val="nil"/>
              <w:bottom w:val="single" w:sz="4" w:space="0" w:color="auto"/>
              <w:right w:val="single" w:sz="4" w:space="0" w:color="auto"/>
            </w:tcBorders>
            <w:shd w:val="clear" w:color="auto" w:fill="C6EFCE"/>
            <w:noWrap/>
          </w:tcPr>
          <w:p w14:paraId="6C218F40" w14:textId="77777777" w:rsidR="00515398" w:rsidRDefault="006711E6">
            <w:pPr>
              <w:pStyle w:val="P68B1DB1-Normal9"/>
              <w:spacing w:before="120" w:after="0" w:line="240" w:lineRule="auto"/>
              <w:rPr>
                <w:rFonts w:eastAsia="Times New Roman" w:cs="Calibri"/>
                <w:noProof/>
                <w:szCs w:val="18"/>
              </w:rPr>
            </w:pPr>
            <w:r>
              <w:rPr>
                <w:noProof/>
              </w:rPr>
              <w:t>Počet příjemců zaručeného minimálního příjmu a osob bez domova s certifikovanou účastí</w:t>
            </w:r>
          </w:p>
        </w:tc>
        <w:tc>
          <w:tcPr>
            <w:tcW w:w="1035" w:type="dxa"/>
            <w:tcBorders>
              <w:top w:val="nil"/>
              <w:left w:val="nil"/>
              <w:bottom w:val="single" w:sz="4" w:space="0" w:color="auto"/>
              <w:right w:val="single" w:sz="4" w:space="0" w:color="auto"/>
            </w:tcBorders>
            <w:shd w:val="clear" w:color="auto" w:fill="C6EFCE"/>
            <w:noWrap/>
          </w:tcPr>
          <w:p w14:paraId="5E816C54" w14:textId="77777777" w:rsidR="00515398" w:rsidRDefault="006711E6">
            <w:pPr>
              <w:pStyle w:val="P68B1DB1-Normal9"/>
              <w:spacing w:before="120" w:after="0" w:line="240" w:lineRule="auto"/>
              <w:rPr>
                <w:rFonts w:eastAsia="Times New Roman" w:cs="Calibri"/>
                <w:noProof/>
                <w:szCs w:val="18"/>
              </w:rPr>
            </w:pPr>
            <w:r>
              <w:rPr>
                <w:noProof/>
              </w:rPr>
              <w:t>0</w:t>
            </w:r>
          </w:p>
        </w:tc>
        <w:tc>
          <w:tcPr>
            <w:tcW w:w="1097" w:type="dxa"/>
            <w:tcBorders>
              <w:top w:val="nil"/>
              <w:left w:val="nil"/>
              <w:bottom w:val="single" w:sz="4" w:space="0" w:color="auto"/>
              <w:right w:val="single" w:sz="4" w:space="0" w:color="auto"/>
            </w:tcBorders>
            <w:shd w:val="clear" w:color="auto" w:fill="C6EFCE"/>
            <w:noWrap/>
          </w:tcPr>
          <w:p w14:paraId="2625C9E1" w14:textId="77777777" w:rsidR="00515398" w:rsidRDefault="006711E6">
            <w:pPr>
              <w:pStyle w:val="P68B1DB1-Normal9"/>
              <w:spacing w:before="120" w:after="0" w:line="240" w:lineRule="auto"/>
              <w:rPr>
                <w:rFonts w:eastAsia="Times New Roman" w:cs="Calibri"/>
                <w:noProof/>
                <w:szCs w:val="18"/>
              </w:rPr>
            </w:pPr>
            <w:r>
              <w:rPr>
                <w:noProof/>
              </w:rPr>
              <w:t>7 000</w:t>
            </w:r>
          </w:p>
        </w:tc>
        <w:tc>
          <w:tcPr>
            <w:tcW w:w="846" w:type="dxa"/>
            <w:tcBorders>
              <w:top w:val="nil"/>
              <w:left w:val="nil"/>
              <w:bottom w:val="single" w:sz="4" w:space="0" w:color="auto"/>
              <w:right w:val="single" w:sz="4" w:space="0" w:color="auto"/>
            </w:tcBorders>
            <w:shd w:val="clear" w:color="auto" w:fill="C6EFCE"/>
            <w:noWrap/>
          </w:tcPr>
          <w:p w14:paraId="12BE7DC7"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83" w:type="dxa"/>
            <w:tcBorders>
              <w:top w:val="nil"/>
              <w:left w:val="nil"/>
              <w:bottom w:val="single" w:sz="4" w:space="0" w:color="auto"/>
              <w:right w:val="single" w:sz="4" w:space="0" w:color="auto"/>
            </w:tcBorders>
            <w:shd w:val="clear" w:color="auto" w:fill="C6EFCE"/>
            <w:noWrap/>
          </w:tcPr>
          <w:p w14:paraId="30EC083F" w14:textId="77777777" w:rsidR="00515398" w:rsidRDefault="006711E6">
            <w:pPr>
              <w:pStyle w:val="P68B1DB1-Normal9"/>
              <w:spacing w:before="120" w:after="0" w:line="240" w:lineRule="auto"/>
              <w:rPr>
                <w:rFonts w:eastAsia="Times New Roman" w:cs="Calibri"/>
                <w:noProof/>
                <w:szCs w:val="18"/>
              </w:rPr>
            </w:pPr>
            <w:r>
              <w:rPr>
                <w:noProof/>
              </w:rPr>
              <w:t>2025</w:t>
            </w:r>
          </w:p>
        </w:tc>
        <w:tc>
          <w:tcPr>
            <w:tcW w:w="3117" w:type="dxa"/>
            <w:tcBorders>
              <w:top w:val="nil"/>
              <w:left w:val="nil"/>
              <w:bottom w:val="single" w:sz="4" w:space="0" w:color="auto"/>
              <w:right w:val="single" w:sz="4" w:space="0" w:color="auto"/>
            </w:tcBorders>
            <w:shd w:val="clear" w:color="auto" w:fill="C6EFCE"/>
            <w:noWrap/>
          </w:tcPr>
          <w:p w14:paraId="6A052144" w14:textId="5EC3D19C" w:rsidR="00515398" w:rsidRDefault="006711E6">
            <w:pPr>
              <w:pStyle w:val="P68B1DB1-Normal9"/>
              <w:spacing w:before="120" w:after="0" w:line="240" w:lineRule="auto"/>
              <w:rPr>
                <w:rFonts w:eastAsia="Times New Roman" w:cs="Calibri"/>
                <w:noProof/>
                <w:szCs w:val="18"/>
              </w:rPr>
            </w:pPr>
            <w:r>
              <w:rPr>
                <w:noProof/>
              </w:rPr>
              <w:t xml:space="preserve">Úspěšné dokončení odborné přípravy a zahájení programu na podporu zaměstnanosti 7000 příjemců zaručeného minimálního příjmu a osob bez domova a certifikace získaných dovedností ze strany národní organizace </w:t>
            </w:r>
          </w:p>
        </w:tc>
      </w:tr>
      <w:tr w:rsidR="00515398" w14:paraId="6F2A59AC"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070C5264" w14:textId="77777777" w:rsidR="00515398" w:rsidRDefault="006711E6">
            <w:pPr>
              <w:pStyle w:val="P68B1DB1-Normal9"/>
              <w:spacing w:before="120" w:after="0" w:line="240" w:lineRule="auto"/>
              <w:rPr>
                <w:rFonts w:eastAsia="Times New Roman" w:cs="Calibri"/>
                <w:noProof/>
                <w:szCs w:val="18"/>
              </w:rPr>
            </w:pPr>
            <w:r>
              <w:rPr>
                <w:noProof/>
              </w:rPr>
              <w:t>184</w:t>
            </w:r>
          </w:p>
        </w:tc>
        <w:tc>
          <w:tcPr>
            <w:tcW w:w="1582" w:type="dxa"/>
            <w:tcBorders>
              <w:top w:val="nil"/>
              <w:left w:val="nil"/>
              <w:bottom w:val="single" w:sz="4" w:space="0" w:color="auto"/>
              <w:right w:val="single" w:sz="4" w:space="0" w:color="auto"/>
            </w:tcBorders>
            <w:shd w:val="clear" w:color="auto" w:fill="C6EFCE"/>
            <w:noWrap/>
          </w:tcPr>
          <w:p w14:paraId="7EC189FC"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16685_Osvěta o rozmanitosti</w:t>
            </w:r>
          </w:p>
        </w:tc>
        <w:tc>
          <w:tcPr>
            <w:tcW w:w="966" w:type="dxa"/>
            <w:tcBorders>
              <w:top w:val="nil"/>
              <w:left w:val="nil"/>
              <w:bottom w:val="single" w:sz="4" w:space="0" w:color="auto"/>
              <w:right w:val="single" w:sz="4" w:space="0" w:color="auto"/>
            </w:tcBorders>
            <w:shd w:val="clear" w:color="auto" w:fill="C6EFCE"/>
            <w:noWrap/>
          </w:tcPr>
          <w:p w14:paraId="61D78992" w14:textId="77777777" w:rsidR="00515398" w:rsidRDefault="006711E6">
            <w:pPr>
              <w:pStyle w:val="P68B1DB1-Normal9"/>
              <w:spacing w:before="120" w:after="0" w:line="240" w:lineRule="auto"/>
              <w:rPr>
                <w:rFonts w:eastAsia="Times New Roman" w:cs="Calibri"/>
                <w:noProof/>
                <w:szCs w:val="18"/>
              </w:rPr>
            </w:pPr>
            <w:r>
              <w:rPr>
                <w:noProof/>
              </w:rPr>
              <w:t>Cílová</w:t>
            </w:r>
          </w:p>
        </w:tc>
        <w:tc>
          <w:tcPr>
            <w:tcW w:w="2107" w:type="dxa"/>
            <w:tcBorders>
              <w:top w:val="nil"/>
              <w:left w:val="nil"/>
              <w:bottom w:val="single" w:sz="4" w:space="0" w:color="auto"/>
              <w:right w:val="single" w:sz="4" w:space="0" w:color="auto"/>
            </w:tcBorders>
            <w:shd w:val="clear" w:color="auto" w:fill="C6EFCE"/>
            <w:noWrap/>
          </w:tcPr>
          <w:p w14:paraId="24C59E27" w14:textId="4186EC07" w:rsidR="00515398" w:rsidRDefault="006711E6">
            <w:pPr>
              <w:pStyle w:val="P68B1DB1-Normal9"/>
              <w:spacing w:before="120" w:after="0" w:line="240" w:lineRule="auto"/>
              <w:rPr>
                <w:rFonts w:eastAsia="Times New Roman" w:cs="Calibri"/>
                <w:noProof/>
                <w:szCs w:val="18"/>
              </w:rPr>
            </w:pPr>
            <w:r>
              <w:rPr>
                <w:noProof/>
              </w:rPr>
              <w:t xml:space="preserve">Dokončení odborné přípravy zaměřené na zvyšování povědomí o rozmanitosti pro zaměstnance podniků soukromého sektoru </w:t>
            </w:r>
          </w:p>
        </w:tc>
        <w:tc>
          <w:tcPr>
            <w:tcW w:w="1766" w:type="dxa"/>
            <w:tcBorders>
              <w:top w:val="nil"/>
              <w:left w:val="nil"/>
              <w:bottom w:val="single" w:sz="4" w:space="0" w:color="auto"/>
              <w:right w:val="single" w:sz="4" w:space="0" w:color="auto"/>
            </w:tcBorders>
            <w:shd w:val="clear" w:color="auto" w:fill="C6EFCE"/>
            <w:noWrap/>
          </w:tcPr>
          <w:p w14:paraId="4C50F829" w14:textId="77777777" w:rsidR="00515398" w:rsidRDefault="00515398">
            <w:pPr>
              <w:spacing w:before="120" w:after="0" w:line="240" w:lineRule="auto"/>
              <w:rPr>
                <w:rFonts w:eastAsia="Times New Roman" w:cs="Calibri"/>
                <w:noProof/>
                <w:color w:val="006100"/>
                <w:sz w:val="18"/>
                <w:szCs w:val="18"/>
              </w:rPr>
            </w:pPr>
          </w:p>
        </w:tc>
        <w:tc>
          <w:tcPr>
            <w:tcW w:w="1404" w:type="dxa"/>
            <w:tcBorders>
              <w:top w:val="nil"/>
              <w:left w:val="nil"/>
              <w:bottom w:val="single" w:sz="4" w:space="0" w:color="auto"/>
              <w:right w:val="single" w:sz="4" w:space="0" w:color="auto"/>
            </w:tcBorders>
            <w:shd w:val="clear" w:color="auto" w:fill="C6EFCE"/>
            <w:noWrap/>
          </w:tcPr>
          <w:p w14:paraId="594D2D5C" w14:textId="70199C4F" w:rsidR="00515398" w:rsidRDefault="006711E6">
            <w:pPr>
              <w:pStyle w:val="P68B1DB1-Normal9"/>
              <w:spacing w:before="120" w:after="0" w:line="240" w:lineRule="auto"/>
              <w:rPr>
                <w:rFonts w:eastAsia="Times New Roman" w:cs="Calibri"/>
                <w:noProof/>
                <w:szCs w:val="18"/>
              </w:rPr>
            </w:pPr>
            <w:r>
              <w:rPr>
                <w:noProof/>
              </w:rPr>
              <w:t>Počet zaměstnanců v podnicích soukromého sektoru s certifikovanou účastí na odborné přípravě</w:t>
            </w:r>
          </w:p>
        </w:tc>
        <w:tc>
          <w:tcPr>
            <w:tcW w:w="1035" w:type="dxa"/>
            <w:tcBorders>
              <w:top w:val="nil"/>
              <w:left w:val="nil"/>
              <w:bottom w:val="single" w:sz="4" w:space="0" w:color="auto"/>
              <w:right w:val="single" w:sz="4" w:space="0" w:color="auto"/>
            </w:tcBorders>
            <w:shd w:val="clear" w:color="auto" w:fill="C6EFCE"/>
            <w:noWrap/>
          </w:tcPr>
          <w:p w14:paraId="00D214EB" w14:textId="77777777" w:rsidR="00515398" w:rsidRDefault="006711E6">
            <w:pPr>
              <w:pStyle w:val="P68B1DB1-Normal9"/>
              <w:spacing w:before="120" w:after="0" w:line="240" w:lineRule="auto"/>
              <w:rPr>
                <w:rFonts w:eastAsia="Times New Roman" w:cs="Calibri"/>
                <w:noProof/>
                <w:szCs w:val="18"/>
              </w:rPr>
            </w:pPr>
            <w:r>
              <w:rPr>
                <w:noProof/>
              </w:rPr>
              <w:t>0</w:t>
            </w:r>
          </w:p>
        </w:tc>
        <w:tc>
          <w:tcPr>
            <w:tcW w:w="1097" w:type="dxa"/>
            <w:tcBorders>
              <w:top w:val="nil"/>
              <w:left w:val="nil"/>
              <w:bottom w:val="single" w:sz="4" w:space="0" w:color="auto"/>
              <w:right w:val="single" w:sz="4" w:space="0" w:color="auto"/>
            </w:tcBorders>
            <w:shd w:val="clear" w:color="auto" w:fill="C6EFCE"/>
            <w:noWrap/>
          </w:tcPr>
          <w:p w14:paraId="16791D77" w14:textId="77777777" w:rsidR="00515398" w:rsidRDefault="006711E6">
            <w:pPr>
              <w:pStyle w:val="P68B1DB1-Normal9"/>
              <w:spacing w:before="120" w:after="0" w:line="240" w:lineRule="auto"/>
              <w:rPr>
                <w:rFonts w:eastAsia="Times New Roman" w:cs="Calibri"/>
                <w:noProof/>
                <w:szCs w:val="18"/>
              </w:rPr>
            </w:pPr>
            <w:r>
              <w:rPr>
                <w:noProof/>
              </w:rPr>
              <w:t>80 000</w:t>
            </w:r>
          </w:p>
        </w:tc>
        <w:tc>
          <w:tcPr>
            <w:tcW w:w="846" w:type="dxa"/>
            <w:tcBorders>
              <w:top w:val="nil"/>
              <w:left w:val="nil"/>
              <w:bottom w:val="single" w:sz="4" w:space="0" w:color="auto"/>
              <w:right w:val="single" w:sz="4" w:space="0" w:color="auto"/>
            </w:tcBorders>
            <w:shd w:val="clear" w:color="auto" w:fill="C6EFCE"/>
            <w:noWrap/>
          </w:tcPr>
          <w:p w14:paraId="3F6C2A82" w14:textId="77777777" w:rsidR="00515398" w:rsidRDefault="006711E6">
            <w:pPr>
              <w:pStyle w:val="P68B1DB1-Normal9"/>
              <w:spacing w:before="120" w:after="0" w:line="240" w:lineRule="auto"/>
              <w:rPr>
                <w:rFonts w:eastAsia="Times New Roman" w:cs="Calibri"/>
                <w:noProof/>
                <w:szCs w:val="18"/>
              </w:rPr>
            </w:pPr>
            <w:r>
              <w:rPr>
                <w:noProof/>
              </w:rPr>
              <w:t>ČTVRTLETÍ 3</w:t>
            </w:r>
          </w:p>
        </w:tc>
        <w:tc>
          <w:tcPr>
            <w:tcW w:w="783" w:type="dxa"/>
            <w:tcBorders>
              <w:top w:val="nil"/>
              <w:left w:val="nil"/>
              <w:bottom w:val="single" w:sz="4" w:space="0" w:color="auto"/>
              <w:right w:val="single" w:sz="4" w:space="0" w:color="auto"/>
            </w:tcBorders>
            <w:shd w:val="clear" w:color="auto" w:fill="C6EFCE"/>
            <w:noWrap/>
          </w:tcPr>
          <w:p w14:paraId="33A79F1F" w14:textId="77777777" w:rsidR="00515398" w:rsidRDefault="006711E6">
            <w:pPr>
              <w:pStyle w:val="P68B1DB1-Normal9"/>
              <w:spacing w:before="120" w:after="0" w:line="240" w:lineRule="auto"/>
              <w:rPr>
                <w:rFonts w:eastAsia="Times New Roman" w:cs="Calibri"/>
                <w:noProof/>
                <w:szCs w:val="18"/>
              </w:rPr>
            </w:pPr>
            <w:r>
              <w:rPr>
                <w:noProof/>
              </w:rPr>
              <w:t>2024</w:t>
            </w:r>
          </w:p>
        </w:tc>
        <w:tc>
          <w:tcPr>
            <w:tcW w:w="3117" w:type="dxa"/>
            <w:tcBorders>
              <w:top w:val="nil"/>
              <w:left w:val="nil"/>
              <w:bottom w:val="single" w:sz="4" w:space="0" w:color="auto"/>
              <w:right w:val="single" w:sz="4" w:space="0" w:color="auto"/>
            </w:tcBorders>
            <w:shd w:val="clear" w:color="auto" w:fill="C6EFCE"/>
            <w:noWrap/>
          </w:tcPr>
          <w:p w14:paraId="40903AFC" w14:textId="73ADE4BF" w:rsidR="00515398" w:rsidRDefault="006711E6">
            <w:pPr>
              <w:pStyle w:val="P68B1DB1-Normal9"/>
              <w:spacing w:before="120" w:after="0" w:line="240" w:lineRule="auto"/>
              <w:rPr>
                <w:rFonts w:eastAsia="Times New Roman" w:cs="Calibri"/>
                <w:noProof/>
                <w:szCs w:val="18"/>
              </w:rPr>
            </w:pPr>
            <w:r>
              <w:rPr>
                <w:noProof/>
              </w:rPr>
              <w:t xml:space="preserve">Dokončení vzdělávacího programu o rozmanitosti pro 80000 zaměstnanců v podnicích soukromého sektoru a certifikace. </w:t>
            </w:r>
          </w:p>
          <w:p w14:paraId="78339D66" w14:textId="3539B042" w:rsidR="00515398" w:rsidRDefault="006711E6">
            <w:pPr>
              <w:pStyle w:val="P68B1DB1-Normal9"/>
              <w:spacing w:before="120" w:after="0" w:line="240" w:lineRule="auto"/>
              <w:rPr>
                <w:rFonts w:eastAsia="Times New Roman" w:cs="Calibri"/>
                <w:noProof/>
                <w:szCs w:val="18"/>
              </w:rPr>
            </w:pPr>
            <w:r>
              <w:rPr>
                <w:noProof/>
              </w:rPr>
              <w:t>Cílem vzdělávacího pr</w:t>
            </w:r>
            <w:r>
              <w:rPr>
                <w:noProof/>
              </w:rPr>
              <w:t xml:space="preserve">ogramu je zvýšit povědomí o různých rozměrech a přínosech rozmanitosti. </w:t>
            </w:r>
          </w:p>
        </w:tc>
      </w:tr>
      <w:tr w:rsidR="00515398" w14:paraId="4DA3D387"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6BF12FF" w14:textId="77777777" w:rsidR="00515398" w:rsidRDefault="006711E6">
            <w:pPr>
              <w:pStyle w:val="P68B1DB1-Normal9"/>
              <w:spacing w:before="120" w:after="0" w:line="240" w:lineRule="auto"/>
              <w:rPr>
                <w:rFonts w:eastAsia="Times New Roman" w:cs="Calibri"/>
                <w:noProof/>
                <w:szCs w:val="18"/>
              </w:rPr>
            </w:pPr>
            <w:r>
              <w:rPr>
                <w:noProof/>
              </w:rPr>
              <w:t>184a</w:t>
            </w:r>
          </w:p>
        </w:tc>
        <w:tc>
          <w:tcPr>
            <w:tcW w:w="1582" w:type="dxa"/>
            <w:tcBorders>
              <w:top w:val="nil"/>
              <w:left w:val="nil"/>
              <w:bottom w:val="single" w:sz="4" w:space="0" w:color="auto"/>
              <w:right w:val="single" w:sz="4" w:space="0" w:color="auto"/>
            </w:tcBorders>
            <w:shd w:val="clear" w:color="auto" w:fill="C6EFCE"/>
            <w:noWrap/>
          </w:tcPr>
          <w:p w14:paraId="2B488FB0"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16685_Osvěta o rozmanitosti</w:t>
            </w:r>
          </w:p>
        </w:tc>
        <w:tc>
          <w:tcPr>
            <w:tcW w:w="966" w:type="dxa"/>
            <w:tcBorders>
              <w:top w:val="nil"/>
              <w:left w:val="nil"/>
              <w:bottom w:val="single" w:sz="4" w:space="0" w:color="auto"/>
              <w:right w:val="single" w:sz="4" w:space="0" w:color="auto"/>
            </w:tcBorders>
            <w:shd w:val="clear" w:color="auto" w:fill="C6EFCE"/>
            <w:noWrap/>
          </w:tcPr>
          <w:p w14:paraId="19BD1E9E"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2107" w:type="dxa"/>
            <w:tcBorders>
              <w:top w:val="nil"/>
              <w:left w:val="nil"/>
              <w:bottom w:val="single" w:sz="4" w:space="0" w:color="auto"/>
              <w:right w:val="single" w:sz="4" w:space="0" w:color="auto"/>
            </w:tcBorders>
            <w:shd w:val="clear" w:color="auto" w:fill="C6EFCE"/>
            <w:noWrap/>
          </w:tcPr>
          <w:p w14:paraId="074C5869" w14:textId="77777777" w:rsidR="00515398" w:rsidRDefault="006711E6">
            <w:pPr>
              <w:pStyle w:val="P68B1DB1-Normal9"/>
              <w:spacing w:before="120" w:after="0" w:line="240" w:lineRule="auto"/>
              <w:rPr>
                <w:rFonts w:eastAsia="Times New Roman" w:cs="Calibri"/>
                <w:noProof/>
                <w:szCs w:val="18"/>
              </w:rPr>
            </w:pPr>
            <w:r>
              <w:rPr>
                <w:noProof/>
              </w:rPr>
              <w:t xml:space="preserve">Pracovní skupina pro rovnost a diskriminaci, Středisko pro sledování </w:t>
            </w:r>
            <w:r>
              <w:rPr>
                <w:noProof/>
              </w:rPr>
              <w:t>rovnosti, systém udělování</w:t>
            </w:r>
          </w:p>
        </w:tc>
        <w:tc>
          <w:tcPr>
            <w:tcW w:w="1766" w:type="dxa"/>
            <w:tcBorders>
              <w:top w:val="nil"/>
              <w:left w:val="nil"/>
              <w:bottom w:val="single" w:sz="4" w:space="0" w:color="auto"/>
              <w:right w:val="single" w:sz="4" w:space="0" w:color="auto"/>
            </w:tcBorders>
            <w:shd w:val="clear" w:color="auto" w:fill="C6EFCE"/>
            <w:noWrap/>
          </w:tcPr>
          <w:p w14:paraId="16E872CA" w14:textId="77777777" w:rsidR="00515398" w:rsidRDefault="006711E6">
            <w:pPr>
              <w:pStyle w:val="P68B1DB1-Normal9"/>
              <w:spacing w:before="120" w:after="0" w:line="240" w:lineRule="auto"/>
              <w:rPr>
                <w:rFonts w:eastAsia="Times New Roman" w:cs="Calibri"/>
                <w:noProof/>
                <w:szCs w:val="18"/>
              </w:rPr>
            </w:pPr>
            <w:r>
              <w:rPr>
                <w:noProof/>
              </w:rPr>
              <w:t>Zpráva ministerstva pro sociální soudržnost a rodinu potvrzující dokončení projektů</w:t>
            </w:r>
          </w:p>
        </w:tc>
        <w:tc>
          <w:tcPr>
            <w:tcW w:w="1404" w:type="dxa"/>
            <w:tcBorders>
              <w:top w:val="nil"/>
              <w:left w:val="nil"/>
              <w:bottom w:val="single" w:sz="4" w:space="0" w:color="auto"/>
              <w:right w:val="single" w:sz="4" w:space="0" w:color="auto"/>
            </w:tcBorders>
            <w:shd w:val="clear" w:color="auto" w:fill="C6EFCE"/>
            <w:noWrap/>
          </w:tcPr>
          <w:p w14:paraId="6E885D29" w14:textId="77777777" w:rsidR="00515398" w:rsidRDefault="00515398">
            <w:pPr>
              <w:spacing w:before="120" w:after="0" w:line="240" w:lineRule="auto"/>
              <w:rPr>
                <w:rFonts w:eastAsia="Times New Roman" w:cs="Calibri"/>
                <w:noProof/>
                <w:color w:val="006100"/>
                <w:sz w:val="18"/>
                <w:szCs w:val="18"/>
              </w:rPr>
            </w:pPr>
          </w:p>
        </w:tc>
        <w:tc>
          <w:tcPr>
            <w:tcW w:w="1035" w:type="dxa"/>
            <w:tcBorders>
              <w:top w:val="nil"/>
              <w:left w:val="nil"/>
              <w:bottom w:val="single" w:sz="4" w:space="0" w:color="auto"/>
              <w:right w:val="single" w:sz="4" w:space="0" w:color="auto"/>
            </w:tcBorders>
            <w:shd w:val="clear" w:color="auto" w:fill="C6EFCE"/>
            <w:noWrap/>
          </w:tcPr>
          <w:p w14:paraId="006AED6D" w14:textId="77777777" w:rsidR="00515398" w:rsidRDefault="00515398">
            <w:pPr>
              <w:spacing w:before="120" w:after="0" w:line="240" w:lineRule="auto"/>
              <w:rPr>
                <w:rFonts w:eastAsia="Times New Roman" w:cs="Calibri"/>
                <w:noProof/>
                <w:color w:val="006100"/>
                <w:sz w:val="18"/>
                <w:szCs w:val="18"/>
              </w:rPr>
            </w:pPr>
          </w:p>
        </w:tc>
        <w:tc>
          <w:tcPr>
            <w:tcW w:w="1097" w:type="dxa"/>
            <w:tcBorders>
              <w:top w:val="nil"/>
              <w:left w:val="nil"/>
              <w:bottom w:val="single" w:sz="4" w:space="0" w:color="auto"/>
              <w:right w:val="single" w:sz="4" w:space="0" w:color="auto"/>
            </w:tcBorders>
            <w:shd w:val="clear" w:color="auto" w:fill="C6EFCE"/>
            <w:noWrap/>
          </w:tcPr>
          <w:p w14:paraId="21232812" w14:textId="77777777" w:rsidR="00515398" w:rsidRDefault="00515398">
            <w:pPr>
              <w:spacing w:before="120"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CC4FA3A" w14:textId="77777777" w:rsidR="00515398" w:rsidRDefault="006711E6">
            <w:pPr>
              <w:pStyle w:val="P68B1DB1-Normal9"/>
              <w:spacing w:before="120" w:after="0" w:line="240" w:lineRule="auto"/>
              <w:rPr>
                <w:rFonts w:eastAsia="Times New Roman" w:cs="Calibri"/>
                <w:noProof/>
                <w:szCs w:val="18"/>
              </w:rPr>
            </w:pPr>
            <w:r>
              <w:rPr>
                <w:noProof/>
              </w:rPr>
              <w:t>ČTVRTLETÍ 1</w:t>
            </w:r>
          </w:p>
        </w:tc>
        <w:tc>
          <w:tcPr>
            <w:tcW w:w="783" w:type="dxa"/>
            <w:tcBorders>
              <w:top w:val="nil"/>
              <w:left w:val="nil"/>
              <w:bottom w:val="single" w:sz="4" w:space="0" w:color="auto"/>
              <w:right w:val="single" w:sz="4" w:space="0" w:color="auto"/>
            </w:tcBorders>
            <w:shd w:val="clear" w:color="auto" w:fill="C6EFCE"/>
            <w:noWrap/>
          </w:tcPr>
          <w:p w14:paraId="0BC0778D" w14:textId="77777777" w:rsidR="00515398" w:rsidRDefault="006711E6">
            <w:pPr>
              <w:pStyle w:val="P68B1DB1-Normal9"/>
              <w:spacing w:before="120" w:after="0" w:line="240" w:lineRule="auto"/>
              <w:rPr>
                <w:rFonts w:eastAsia="Times New Roman" w:cs="Calibri"/>
                <w:noProof/>
                <w:szCs w:val="18"/>
              </w:rPr>
            </w:pPr>
            <w:r>
              <w:rPr>
                <w:noProof/>
              </w:rPr>
              <w:t>2025</w:t>
            </w:r>
          </w:p>
        </w:tc>
        <w:tc>
          <w:tcPr>
            <w:tcW w:w="3117" w:type="dxa"/>
            <w:tcBorders>
              <w:top w:val="nil"/>
              <w:left w:val="nil"/>
              <w:bottom w:val="single" w:sz="4" w:space="0" w:color="auto"/>
              <w:right w:val="single" w:sz="4" w:space="0" w:color="auto"/>
            </w:tcBorders>
            <w:shd w:val="clear" w:color="auto" w:fill="C6EFCE"/>
            <w:noWrap/>
          </w:tcPr>
          <w:p w14:paraId="71B70A60" w14:textId="77777777" w:rsidR="00515398" w:rsidRDefault="006711E6">
            <w:pPr>
              <w:pStyle w:val="P68B1DB1-Normal9"/>
              <w:spacing w:before="120" w:after="0" w:line="240" w:lineRule="auto"/>
              <w:rPr>
                <w:rFonts w:eastAsia="Times New Roman" w:cs="Calibri"/>
                <w:noProof/>
                <w:szCs w:val="18"/>
              </w:rPr>
            </w:pPr>
            <w:r>
              <w:rPr>
                <w:noProof/>
              </w:rPr>
              <w:t>Zřízení pracovní skupiny pro shromažďování vhodných statistických údajů týkajících se rovnosti a diskriminace.  </w:t>
            </w:r>
          </w:p>
          <w:p w14:paraId="161600E2" w14:textId="77777777" w:rsidR="00515398" w:rsidRDefault="006711E6">
            <w:pPr>
              <w:pStyle w:val="P68B1DB1-Normal9"/>
              <w:spacing w:before="120" w:after="0" w:line="240" w:lineRule="auto"/>
              <w:rPr>
                <w:rFonts w:eastAsia="Times New Roman"/>
                <w:noProof/>
                <w:szCs w:val="18"/>
              </w:rPr>
            </w:pPr>
            <w:r>
              <w:rPr>
                <w:noProof/>
              </w:rPr>
              <w:t xml:space="preserve">Vstup v </w:t>
            </w:r>
            <w:r>
              <w:rPr>
                <w:noProof/>
              </w:rPr>
              <w:t xml:space="preserve">platnost právních předpisů na posílení úlohy Střediska pro sledování rovnosti. </w:t>
            </w:r>
          </w:p>
          <w:p w14:paraId="652CA941" w14:textId="77777777" w:rsidR="00515398" w:rsidRDefault="006711E6">
            <w:pPr>
              <w:pStyle w:val="P68B1DB1-Normal9"/>
              <w:spacing w:before="120" w:after="0" w:line="240" w:lineRule="auto"/>
              <w:rPr>
                <w:rFonts w:eastAsia="Times New Roman" w:cs="Calibri"/>
                <w:noProof/>
                <w:szCs w:val="18"/>
              </w:rPr>
            </w:pPr>
            <w:r>
              <w:rPr>
                <w:noProof/>
              </w:rPr>
              <w:t>Vytvoření mechanismu certifikace podniků/organizací podporujících dobrou rozmanitost a inkluzi a systému jejich udělování.</w:t>
            </w:r>
          </w:p>
          <w:p w14:paraId="7D660391" w14:textId="77777777" w:rsidR="00515398" w:rsidRDefault="00515398">
            <w:pPr>
              <w:spacing w:before="120" w:after="0" w:line="240" w:lineRule="auto"/>
              <w:rPr>
                <w:rFonts w:eastAsia="Times New Roman" w:cs="Calibri"/>
                <w:noProof/>
                <w:color w:val="006100"/>
                <w:sz w:val="18"/>
                <w:szCs w:val="18"/>
              </w:rPr>
            </w:pPr>
          </w:p>
        </w:tc>
      </w:tr>
      <w:tr w:rsidR="00515398" w14:paraId="190DB569"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20F6B3A4" w14:textId="77777777" w:rsidR="00515398" w:rsidRDefault="006711E6">
            <w:pPr>
              <w:pStyle w:val="P68B1DB1-Normal9"/>
              <w:spacing w:before="120" w:after="0" w:line="240" w:lineRule="auto"/>
              <w:rPr>
                <w:rFonts w:eastAsia="Times New Roman" w:cs="Calibri"/>
                <w:noProof/>
                <w:szCs w:val="18"/>
              </w:rPr>
            </w:pPr>
            <w:r>
              <w:rPr>
                <w:noProof/>
              </w:rPr>
              <w:t>185</w:t>
            </w:r>
          </w:p>
        </w:tc>
        <w:tc>
          <w:tcPr>
            <w:tcW w:w="1582" w:type="dxa"/>
            <w:tcBorders>
              <w:top w:val="nil"/>
              <w:left w:val="nil"/>
              <w:bottom w:val="single" w:sz="4" w:space="0" w:color="auto"/>
              <w:right w:val="single" w:sz="4" w:space="0" w:color="auto"/>
            </w:tcBorders>
            <w:shd w:val="clear" w:color="auto" w:fill="C6EFCE"/>
            <w:noWrap/>
          </w:tcPr>
          <w:p w14:paraId="33566D00"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16763_Digitální transformace imigračního a azylového systému</w:t>
            </w:r>
          </w:p>
        </w:tc>
        <w:tc>
          <w:tcPr>
            <w:tcW w:w="966" w:type="dxa"/>
            <w:tcBorders>
              <w:top w:val="nil"/>
              <w:left w:val="nil"/>
              <w:bottom w:val="single" w:sz="4" w:space="0" w:color="auto"/>
              <w:right w:val="single" w:sz="4" w:space="0" w:color="auto"/>
            </w:tcBorders>
            <w:shd w:val="clear" w:color="auto" w:fill="C6EFCE"/>
            <w:noWrap/>
          </w:tcPr>
          <w:p w14:paraId="15A06B59"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2107" w:type="dxa"/>
            <w:tcBorders>
              <w:top w:val="nil"/>
              <w:left w:val="nil"/>
              <w:bottom w:val="single" w:sz="4" w:space="0" w:color="auto"/>
              <w:right w:val="single" w:sz="4" w:space="0" w:color="auto"/>
            </w:tcBorders>
            <w:shd w:val="clear" w:color="auto" w:fill="C6EFCE"/>
            <w:noWrap/>
          </w:tcPr>
          <w:p w14:paraId="464300B6" w14:textId="77777777" w:rsidR="00515398" w:rsidRDefault="006711E6">
            <w:pPr>
              <w:pStyle w:val="P68B1DB1-Normal9"/>
              <w:spacing w:before="120" w:after="0" w:line="240" w:lineRule="auto"/>
              <w:rPr>
                <w:rFonts w:eastAsia="Times New Roman" w:cs="Calibri"/>
                <w:noProof/>
                <w:szCs w:val="18"/>
              </w:rPr>
            </w:pPr>
            <w:r>
              <w:rPr>
                <w:noProof/>
              </w:rPr>
              <w:t>Digitalizace – dokončení migračního azylového systému</w:t>
            </w:r>
          </w:p>
        </w:tc>
        <w:tc>
          <w:tcPr>
            <w:tcW w:w="1766" w:type="dxa"/>
            <w:tcBorders>
              <w:top w:val="nil"/>
              <w:left w:val="nil"/>
              <w:bottom w:val="single" w:sz="4" w:space="0" w:color="auto"/>
              <w:right w:val="single" w:sz="4" w:space="0" w:color="auto"/>
            </w:tcBorders>
            <w:shd w:val="clear" w:color="auto" w:fill="C6EFCE"/>
            <w:noWrap/>
          </w:tcPr>
          <w:p w14:paraId="137F159F" w14:textId="5DE84562" w:rsidR="00515398" w:rsidRDefault="006711E6">
            <w:pPr>
              <w:pStyle w:val="P68B1DB1-Normal10"/>
              <w:spacing w:before="120" w:after="0" w:line="240" w:lineRule="auto"/>
              <w:rPr>
                <w:rFonts w:eastAsia="Times New Roman" w:cs="Calibri"/>
                <w:noProof/>
              </w:rPr>
            </w:pPr>
            <w:r>
              <w:rPr>
                <w:noProof/>
              </w:rPr>
              <w:t xml:space="preserve">Potvrzení o přijetí výstupů různých projektů projektovým </w:t>
            </w:r>
            <w:r>
              <w:rPr>
                <w:noProof/>
              </w:rPr>
              <w:t>manažerem/veřejným zadavatelem</w:t>
            </w:r>
          </w:p>
        </w:tc>
        <w:tc>
          <w:tcPr>
            <w:tcW w:w="1404" w:type="dxa"/>
            <w:tcBorders>
              <w:top w:val="nil"/>
              <w:left w:val="nil"/>
              <w:bottom w:val="single" w:sz="4" w:space="0" w:color="auto"/>
              <w:right w:val="single" w:sz="4" w:space="0" w:color="auto"/>
            </w:tcBorders>
            <w:shd w:val="clear" w:color="auto" w:fill="C6EFCE"/>
            <w:noWrap/>
          </w:tcPr>
          <w:p w14:paraId="0D6D1D87" w14:textId="77777777" w:rsidR="00515398" w:rsidRDefault="00515398">
            <w:pPr>
              <w:spacing w:before="120" w:after="0" w:line="240" w:lineRule="auto"/>
              <w:rPr>
                <w:rFonts w:eastAsia="Times New Roman" w:cs="Calibri"/>
                <w:noProof/>
                <w:color w:val="006100"/>
                <w:sz w:val="18"/>
                <w:szCs w:val="18"/>
              </w:rPr>
            </w:pPr>
          </w:p>
        </w:tc>
        <w:tc>
          <w:tcPr>
            <w:tcW w:w="1035" w:type="dxa"/>
            <w:tcBorders>
              <w:top w:val="nil"/>
              <w:left w:val="nil"/>
              <w:bottom w:val="single" w:sz="4" w:space="0" w:color="auto"/>
              <w:right w:val="single" w:sz="4" w:space="0" w:color="auto"/>
            </w:tcBorders>
            <w:shd w:val="clear" w:color="auto" w:fill="C6EFCE"/>
            <w:noWrap/>
          </w:tcPr>
          <w:p w14:paraId="2E127054" w14:textId="77777777" w:rsidR="00515398" w:rsidRDefault="00515398">
            <w:pPr>
              <w:spacing w:before="120" w:after="0" w:line="240" w:lineRule="auto"/>
              <w:rPr>
                <w:rFonts w:eastAsia="Times New Roman" w:cs="Calibri"/>
                <w:noProof/>
                <w:color w:val="006100"/>
                <w:sz w:val="18"/>
                <w:szCs w:val="18"/>
              </w:rPr>
            </w:pPr>
          </w:p>
        </w:tc>
        <w:tc>
          <w:tcPr>
            <w:tcW w:w="1097" w:type="dxa"/>
            <w:tcBorders>
              <w:top w:val="nil"/>
              <w:left w:val="nil"/>
              <w:bottom w:val="single" w:sz="4" w:space="0" w:color="auto"/>
              <w:right w:val="single" w:sz="4" w:space="0" w:color="auto"/>
            </w:tcBorders>
            <w:shd w:val="clear" w:color="auto" w:fill="C6EFCE"/>
            <w:noWrap/>
          </w:tcPr>
          <w:p w14:paraId="146C0768" w14:textId="77777777" w:rsidR="00515398" w:rsidRDefault="00515398">
            <w:pPr>
              <w:spacing w:before="120"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F64DFCD"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83" w:type="dxa"/>
            <w:tcBorders>
              <w:top w:val="nil"/>
              <w:left w:val="nil"/>
              <w:bottom w:val="single" w:sz="4" w:space="0" w:color="auto"/>
              <w:right w:val="single" w:sz="4" w:space="0" w:color="auto"/>
            </w:tcBorders>
            <w:shd w:val="clear" w:color="auto" w:fill="C6EFCE"/>
            <w:noWrap/>
          </w:tcPr>
          <w:p w14:paraId="2BEA65BC" w14:textId="77777777" w:rsidR="00515398" w:rsidRDefault="006711E6">
            <w:pPr>
              <w:pStyle w:val="P68B1DB1-Normal9"/>
              <w:spacing w:before="120" w:after="0" w:line="240" w:lineRule="auto"/>
              <w:rPr>
                <w:rFonts w:eastAsia="Times New Roman" w:cs="Calibri"/>
                <w:noProof/>
                <w:szCs w:val="18"/>
              </w:rPr>
            </w:pPr>
            <w:r>
              <w:rPr>
                <w:noProof/>
              </w:rPr>
              <w:t>2024</w:t>
            </w:r>
          </w:p>
        </w:tc>
        <w:tc>
          <w:tcPr>
            <w:tcW w:w="3117" w:type="dxa"/>
            <w:tcBorders>
              <w:top w:val="nil"/>
              <w:left w:val="nil"/>
              <w:bottom w:val="single" w:sz="4" w:space="0" w:color="auto"/>
              <w:right w:val="single" w:sz="4" w:space="0" w:color="auto"/>
            </w:tcBorders>
            <w:shd w:val="clear" w:color="auto" w:fill="C6EFCE"/>
            <w:noWrap/>
          </w:tcPr>
          <w:p w14:paraId="1B018BA5" w14:textId="012B9565" w:rsidR="00515398" w:rsidRDefault="006711E6">
            <w:pPr>
              <w:pStyle w:val="P68B1DB1-Normal9"/>
              <w:spacing w:before="120" w:after="0" w:line="240" w:lineRule="auto"/>
              <w:rPr>
                <w:noProof/>
              </w:rPr>
            </w:pPr>
            <w:r>
              <w:rPr>
                <w:noProof/>
              </w:rPr>
              <w:t>Dokončení těchto projektů:</w:t>
            </w:r>
          </w:p>
          <w:p w14:paraId="66E3F543" w14:textId="73733250" w:rsidR="00515398" w:rsidRDefault="006711E6">
            <w:pPr>
              <w:pStyle w:val="P68B1DB1-Normal9"/>
              <w:spacing w:before="120" w:after="0" w:line="240" w:lineRule="auto"/>
              <w:rPr>
                <w:noProof/>
              </w:rPr>
            </w:pPr>
            <w:r>
              <w:rPr>
                <w:noProof/>
              </w:rPr>
              <w:t>1. Digitalizace a systém správy dokumentů o legální migraci Ministerstva pro migraci a azyl.</w:t>
            </w:r>
          </w:p>
          <w:p w14:paraId="5A4DA1DB" w14:textId="5C5306FA" w:rsidR="00515398" w:rsidRDefault="006711E6">
            <w:pPr>
              <w:pStyle w:val="P68B1DB1-Normal9"/>
              <w:spacing w:before="120" w:after="0" w:line="240" w:lineRule="auto"/>
              <w:rPr>
                <w:rFonts w:eastAsia="Times New Roman" w:cs="Calibri"/>
                <w:noProof/>
                <w:szCs w:val="18"/>
              </w:rPr>
            </w:pPr>
            <w:r>
              <w:rPr>
                <w:noProof/>
              </w:rPr>
              <w:t>2. Vytváření integrovaných služeb digitální migrace a služeb infrastruktury kyber</w:t>
            </w:r>
            <w:r>
              <w:rPr>
                <w:noProof/>
              </w:rPr>
              <w:t>netické bezpečnosti.</w:t>
            </w:r>
          </w:p>
          <w:p w14:paraId="59C77307" w14:textId="7CDD3C78" w:rsidR="00515398" w:rsidRDefault="006711E6">
            <w:pPr>
              <w:pStyle w:val="P68B1DB1-Normal9"/>
              <w:spacing w:before="120" w:after="0" w:line="240" w:lineRule="auto"/>
              <w:rPr>
                <w:noProof/>
              </w:rPr>
            </w:pPr>
            <w:r>
              <w:rPr>
                <w:noProof/>
              </w:rPr>
              <w:t xml:space="preserve">3. Vytvoření integrovaného systému detekce požárů a včasného varování v lesní oblasti Vastria na ostrově Lesbos, kde se nachází uprchlický tábor. </w:t>
            </w:r>
          </w:p>
          <w:p w14:paraId="1B5D7EB0" w14:textId="30755D07" w:rsidR="00515398" w:rsidRDefault="006711E6">
            <w:pPr>
              <w:pStyle w:val="P68B1DB1-Normal9"/>
              <w:spacing w:before="120" w:after="0" w:line="240" w:lineRule="auto"/>
              <w:rPr>
                <w:noProof/>
              </w:rPr>
            </w:pPr>
            <w:r>
              <w:rPr>
                <w:noProof/>
                <w:szCs w:val="18"/>
              </w:rPr>
              <w:t xml:space="preserve">4. </w:t>
            </w:r>
            <w:r>
              <w:rPr>
                <w:noProof/>
              </w:rPr>
              <w:t>Vytvoření systému řízení pro žadatele o azyl (Hyperion).</w:t>
            </w:r>
          </w:p>
          <w:p w14:paraId="2D0A76CC" w14:textId="2ECBDB59" w:rsidR="00515398" w:rsidRDefault="006711E6">
            <w:pPr>
              <w:pStyle w:val="P68B1DB1-Normal10"/>
              <w:spacing w:before="120" w:after="0" w:line="240" w:lineRule="auto"/>
              <w:rPr>
                <w:noProof/>
              </w:rPr>
            </w:pPr>
            <w:r>
              <w:rPr>
                <w:noProof/>
              </w:rPr>
              <w:t>5. Vytvoření integrovaného d</w:t>
            </w:r>
            <w:r>
              <w:rPr>
                <w:noProof/>
              </w:rPr>
              <w:t>igitálního elektronického a fyzického systému řízení bezpečnosti (KENTAVROS).</w:t>
            </w:r>
          </w:p>
          <w:p w14:paraId="6F47301D" w14:textId="5DAAB02F" w:rsidR="00515398" w:rsidRDefault="006711E6">
            <w:pPr>
              <w:pStyle w:val="P68B1DB1-Normal10"/>
              <w:spacing w:before="120" w:after="0" w:line="240" w:lineRule="auto"/>
              <w:rPr>
                <w:rFonts w:eastAsia="Times New Roman" w:cs="Calibri"/>
                <w:noProof/>
              </w:rPr>
            </w:pPr>
            <w:r>
              <w:rPr>
                <w:noProof/>
              </w:rPr>
              <w:t>6. Poskytování vysokorychlostního internetu dočasným ubytovacím zařízením (REA)</w:t>
            </w:r>
          </w:p>
        </w:tc>
      </w:tr>
      <w:tr w:rsidR="00515398" w14:paraId="0BCBFF2B"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DF52DC6" w14:textId="77777777" w:rsidR="00515398" w:rsidRDefault="006711E6">
            <w:pPr>
              <w:pStyle w:val="P68B1DB1-Normal9"/>
              <w:spacing w:before="120" w:after="0" w:line="240" w:lineRule="auto"/>
              <w:rPr>
                <w:rFonts w:eastAsia="Times New Roman" w:cs="Calibri"/>
                <w:noProof/>
                <w:szCs w:val="18"/>
              </w:rPr>
            </w:pPr>
            <w:r>
              <w:rPr>
                <w:noProof/>
              </w:rPr>
              <w:t>186</w:t>
            </w:r>
          </w:p>
        </w:tc>
        <w:tc>
          <w:tcPr>
            <w:tcW w:w="1582" w:type="dxa"/>
            <w:tcBorders>
              <w:top w:val="single" w:sz="4" w:space="0" w:color="auto"/>
              <w:left w:val="nil"/>
              <w:bottom w:val="single" w:sz="4" w:space="0" w:color="auto"/>
              <w:right w:val="single" w:sz="4" w:space="0" w:color="auto"/>
            </w:tcBorders>
            <w:shd w:val="clear" w:color="auto" w:fill="C6EFCE"/>
            <w:noWrap/>
          </w:tcPr>
          <w:p w14:paraId="01E9DA5A" w14:textId="77777777" w:rsidR="00515398" w:rsidRDefault="006711E6">
            <w:pPr>
              <w:pStyle w:val="P68B1DB1-Normal9"/>
              <w:spacing w:before="120" w:after="0" w:line="240" w:lineRule="auto"/>
              <w:rPr>
                <w:rFonts w:eastAsia="Times New Roman" w:cs="Calibri"/>
                <w:noProof/>
                <w:szCs w:val="18"/>
              </w:rPr>
            </w:pPr>
            <w:r>
              <w:rPr>
                <w:noProof/>
              </w:rPr>
              <w:t xml:space="preserve">11–3.4. Zlepšení přístupu k účinným a inkluzivním sociálním politikám – 16922_Sociální </w:t>
            </w:r>
            <w:r>
              <w:rPr>
                <w:noProof/>
              </w:rPr>
              <w:t>integrace</w:t>
            </w:r>
          </w:p>
        </w:tc>
        <w:tc>
          <w:tcPr>
            <w:tcW w:w="966" w:type="dxa"/>
            <w:tcBorders>
              <w:top w:val="single" w:sz="4" w:space="0" w:color="auto"/>
              <w:left w:val="nil"/>
              <w:bottom w:val="single" w:sz="4" w:space="0" w:color="auto"/>
              <w:right w:val="single" w:sz="4" w:space="0" w:color="auto"/>
            </w:tcBorders>
            <w:shd w:val="clear" w:color="auto" w:fill="C6EFCE"/>
            <w:noWrap/>
          </w:tcPr>
          <w:p w14:paraId="036A64DF" w14:textId="77777777" w:rsidR="00515398" w:rsidRDefault="006711E6">
            <w:pPr>
              <w:pStyle w:val="P68B1DB1-Normal9"/>
              <w:spacing w:before="120" w:after="0" w:line="240" w:lineRule="auto"/>
              <w:rPr>
                <w:rFonts w:eastAsia="Times New Roman" w:cs="Calibri"/>
                <w:noProof/>
                <w:szCs w:val="18"/>
              </w:rPr>
            </w:pPr>
            <w:r>
              <w:rPr>
                <w:noProof/>
              </w:rPr>
              <w:t>Cílová</w:t>
            </w:r>
          </w:p>
        </w:tc>
        <w:tc>
          <w:tcPr>
            <w:tcW w:w="2107" w:type="dxa"/>
            <w:tcBorders>
              <w:top w:val="single" w:sz="4" w:space="0" w:color="auto"/>
              <w:left w:val="nil"/>
              <w:bottom w:val="single" w:sz="4" w:space="0" w:color="auto"/>
              <w:right w:val="single" w:sz="4" w:space="0" w:color="auto"/>
            </w:tcBorders>
            <w:shd w:val="clear" w:color="auto" w:fill="C6EFCE"/>
            <w:noWrap/>
          </w:tcPr>
          <w:p w14:paraId="23AC7F01" w14:textId="77777777" w:rsidR="00515398" w:rsidRDefault="006711E6">
            <w:pPr>
              <w:pStyle w:val="P68B1DB1-Normal9"/>
              <w:spacing w:before="120" w:after="0" w:line="240" w:lineRule="auto"/>
              <w:rPr>
                <w:rFonts w:eastAsia="Times New Roman" w:cs="Calibri"/>
                <w:noProof/>
                <w:szCs w:val="18"/>
              </w:rPr>
            </w:pPr>
            <w:r>
              <w:rPr>
                <w:noProof/>
              </w:rPr>
              <w:t xml:space="preserve">Dokončení renovace sociálního bydlení </w:t>
            </w:r>
          </w:p>
        </w:tc>
        <w:tc>
          <w:tcPr>
            <w:tcW w:w="1766" w:type="dxa"/>
            <w:tcBorders>
              <w:top w:val="single" w:sz="4" w:space="0" w:color="auto"/>
              <w:left w:val="nil"/>
              <w:bottom w:val="single" w:sz="4" w:space="0" w:color="auto"/>
              <w:right w:val="single" w:sz="4" w:space="0" w:color="auto"/>
            </w:tcBorders>
            <w:shd w:val="clear" w:color="auto" w:fill="C6EFCE"/>
            <w:noWrap/>
          </w:tcPr>
          <w:p w14:paraId="2B91187B" w14:textId="77777777" w:rsidR="00515398" w:rsidRDefault="00515398">
            <w:pPr>
              <w:spacing w:before="120" w:after="0" w:line="240" w:lineRule="auto"/>
              <w:rPr>
                <w:rFonts w:eastAsia="Times New Roman" w:cs="Calibri"/>
                <w:noProof/>
                <w:color w:val="006100"/>
                <w:sz w:val="18"/>
                <w:szCs w:val="18"/>
              </w:rPr>
            </w:pPr>
          </w:p>
        </w:tc>
        <w:tc>
          <w:tcPr>
            <w:tcW w:w="1404" w:type="dxa"/>
            <w:tcBorders>
              <w:top w:val="single" w:sz="4" w:space="0" w:color="auto"/>
              <w:left w:val="nil"/>
              <w:bottom w:val="single" w:sz="4" w:space="0" w:color="auto"/>
              <w:right w:val="single" w:sz="4" w:space="0" w:color="auto"/>
            </w:tcBorders>
            <w:shd w:val="clear" w:color="auto" w:fill="C6EFCE"/>
            <w:noWrap/>
          </w:tcPr>
          <w:p w14:paraId="7864EA14" w14:textId="77777777" w:rsidR="00515398" w:rsidRDefault="006711E6">
            <w:pPr>
              <w:pStyle w:val="P68B1DB1-Normal9"/>
              <w:spacing w:before="120" w:after="0" w:line="240" w:lineRule="auto"/>
              <w:rPr>
                <w:rFonts w:eastAsia="Times New Roman" w:cs="Calibri"/>
                <w:noProof/>
                <w:szCs w:val="18"/>
              </w:rPr>
            </w:pPr>
            <w:r>
              <w:rPr>
                <w:noProof/>
              </w:rPr>
              <w:t>Počet renovovaných bytů připravených k poskytnutí příjemcům</w:t>
            </w:r>
          </w:p>
        </w:tc>
        <w:tc>
          <w:tcPr>
            <w:tcW w:w="1035" w:type="dxa"/>
            <w:tcBorders>
              <w:top w:val="single" w:sz="4" w:space="0" w:color="auto"/>
              <w:left w:val="nil"/>
              <w:bottom w:val="single" w:sz="4" w:space="0" w:color="auto"/>
              <w:right w:val="single" w:sz="4" w:space="0" w:color="auto"/>
            </w:tcBorders>
            <w:shd w:val="clear" w:color="auto" w:fill="C6EFCE"/>
            <w:noWrap/>
          </w:tcPr>
          <w:p w14:paraId="5274FD15" w14:textId="77777777" w:rsidR="00515398" w:rsidRDefault="006711E6">
            <w:pPr>
              <w:pStyle w:val="P68B1DB1-Normal9"/>
              <w:spacing w:before="120" w:after="0" w:line="240" w:lineRule="auto"/>
              <w:rPr>
                <w:rFonts w:eastAsia="Times New Roman" w:cs="Calibri"/>
                <w:noProof/>
                <w:szCs w:val="18"/>
              </w:rPr>
            </w:pPr>
            <w:r>
              <w:rPr>
                <w:noProof/>
              </w:rPr>
              <w:t>0</w:t>
            </w:r>
          </w:p>
        </w:tc>
        <w:tc>
          <w:tcPr>
            <w:tcW w:w="1097" w:type="dxa"/>
            <w:tcBorders>
              <w:top w:val="single" w:sz="4" w:space="0" w:color="auto"/>
              <w:left w:val="nil"/>
              <w:bottom w:val="single" w:sz="4" w:space="0" w:color="auto"/>
              <w:right w:val="single" w:sz="4" w:space="0" w:color="auto"/>
            </w:tcBorders>
            <w:shd w:val="clear" w:color="auto" w:fill="C6EFCE"/>
            <w:noWrap/>
          </w:tcPr>
          <w:p w14:paraId="6D1E01F1" w14:textId="7835E685" w:rsidR="00515398" w:rsidRDefault="006711E6">
            <w:pPr>
              <w:pStyle w:val="P68B1DB1-Normal9"/>
              <w:spacing w:before="120" w:after="0" w:line="240" w:lineRule="auto"/>
              <w:rPr>
                <w:rFonts w:eastAsia="Times New Roman" w:cs="Calibri"/>
                <w:noProof/>
                <w:szCs w:val="18"/>
              </w:rPr>
            </w:pPr>
            <w:r>
              <w:rPr>
                <w:noProof/>
              </w:rPr>
              <w:t>50</w:t>
            </w:r>
          </w:p>
          <w:p w14:paraId="333D694C" w14:textId="77777777" w:rsidR="00515398" w:rsidRDefault="00515398">
            <w:pPr>
              <w:spacing w:before="120"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5FD4E11" w14:textId="77777777" w:rsidR="00515398" w:rsidRDefault="006711E6">
            <w:pPr>
              <w:pStyle w:val="P68B1DB1-Normal9"/>
              <w:spacing w:before="120" w:after="0" w:line="240" w:lineRule="auto"/>
              <w:rPr>
                <w:noProof/>
              </w:rPr>
            </w:pPr>
            <w:r>
              <w:rPr>
                <w:noProof/>
              </w:rPr>
              <w:t>ČTVRTLETÍ</w:t>
            </w:r>
          </w:p>
        </w:tc>
        <w:tc>
          <w:tcPr>
            <w:tcW w:w="783" w:type="dxa"/>
            <w:tcBorders>
              <w:top w:val="single" w:sz="4" w:space="0" w:color="auto"/>
              <w:left w:val="nil"/>
              <w:bottom w:val="single" w:sz="4" w:space="0" w:color="auto"/>
              <w:right w:val="single" w:sz="4" w:space="0" w:color="auto"/>
            </w:tcBorders>
            <w:shd w:val="clear" w:color="auto" w:fill="C6EFCE"/>
            <w:noWrap/>
          </w:tcPr>
          <w:p w14:paraId="71A8CAA0" w14:textId="77777777" w:rsidR="00515398" w:rsidRDefault="006711E6">
            <w:pPr>
              <w:pStyle w:val="P68B1DB1-Normal9"/>
              <w:spacing w:before="120" w:after="0" w:line="240" w:lineRule="auto"/>
              <w:rPr>
                <w:noProof/>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73723DE7" w14:textId="397FB3B1" w:rsidR="00515398" w:rsidRDefault="006711E6">
            <w:pPr>
              <w:pStyle w:val="P68B1DB1-Normal9"/>
              <w:spacing w:before="120" w:after="0" w:line="240" w:lineRule="auto"/>
              <w:rPr>
                <w:rFonts w:eastAsia="Times New Roman" w:cs="Calibri"/>
                <w:noProof/>
                <w:szCs w:val="18"/>
              </w:rPr>
            </w:pPr>
            <w:r>
              <w:rPr>
                <w:noProof/>
              </w:rPr>
              <w:t xml:space="preserve">Dokončení programu renovace 50 bytů pro 175 příjemců. </w:t>
            </w:r>
          </w:p>
          <w:p w14:paraId="00BDC8C6" w14:textId="77777777" w:rsidR="00515398" w:rsidRDefault="006711E6">
            <w:pPr>
              <w:pStyle w:val="P68B1DB1-Normal9"/>
              <w:spacing w:before="120" w:after="0" w:line="240" w:lineRule="auto"/>
              <w:rPr>
                <w:rFonts w:eastAsia="Times New Roman" w:cs="Calibri"/>
                <w:noProof/>
                <w:szCs w:val="18"/>
              </w:rPr>
            </w:pPr>
            <w:r>
              <w:rPr>
                <w:noProof/>
              </w:rPr>
              <w:t xml:space="preserve">Cílem opatření je poskytnout podporu bydlení nejzranitelnějším </w:t>
            </w:r>
            <w:r>
              <w:rPr>
                <w:noProof/>
              </w:rPr>
              <w:t>skupinám, které jsou ohroženy bezdomovectvím nebo které čelí bezdomovectví.</w:t>
            </w:r>
          </w:p>
        </w:tc>
      </w:tr>
      <w:tr w:rsidR="00515398" w14:paraId="523A9EA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C08C0AF" w14:textId="77777777" w:rsidR="00515398" w:rsidRDefault="006711E6">
            <w:pPr>
              <w:pStyle w:val="P68B1DB1-Normal9"/>
              <w:spacing w:before="120" w:after="0" w:line="240" w:lineRule="auto"/>
              <w:rPr>
                <w:rFonts w:eastAsia="Times New Roman" w:cs="Calibri"/>
                <w:noProof/>
                <w:szCs w:val="18"/>
              </w:rPr>
            </w:pPr>
            <w:r>
              <w:rPr>
                <w:noProof/>
              </w:rPr>
              <w:t>186a</w:t>
            </w:r>
          </w:p>
        </w:tc>
        <w:tc>
          <w:tcPr>
            <w:tcW w:w="1582" w:type="dxa"/>
            <w:tcBorders>
              <w:top w:val="single" w:sz="4" w:space="0" w:color="auto"/>
              <w:left w:val="nil"/>
              <w:bottom w:val="single" w:sz="4" w:space="0" w:color="auto"/>
              <w:right w:val="single" w:sz="4" w:space="0" w:color="auto"/>
            </w:tcBorders>
            <w:shd w:val="clear" w:color="auto" w:fill="C6EFCE"/>
            <w:noWrap/>
          </w:tcPr>
          <w:p w14:paraId="66D4B10E" w14:textId="77777777" w:rsidR="00515398" w:rsidRDefault="006711E6">
            <w:pPr>
              <w:pStyle w:val="P68B1DB1-Normal9"/>
              <w:spacing w:before="120" w:after="0" w:line="240" w:lineRule="auto"/>
              <w:rPr>
                <w:rFonts w:eastAsia="Times New Roman" w:cs="Calibri"/>
                <w:noProof/>
                <w:szCs w:val="18"/>
              </w:rPr>
            </w:pPr>
            <w:r>
              <w:rPr>
                <w:noProof/>
              </w:rPr>
              <w:t>11–3.4. Zlepšení přístupu k účinným a inkluzivním sociálním politikám – 16922_Sociální integrace</w:t>
            </w:r>
          </w:p>
        </w:tc>
        <w:tc>
          <w:tcPr>
            <w:tcW w:w="966" w:type="dxa"/>
            <w:tcBorders>
              <w:top w:val="single" w:sz="4" w:space="0" w:color="auto"/>
              <w:left w:val="nil"/>
              <w:bottom w:val="single" w:sz="4" w:space="0" w:color="auto"/>
              <w:right w:val="single" w:sz="4" w:space="0" w:color="auto"/>
            </w:tcBorders>
            <w:shd w:val="clear" w:color="auto" w:fill="C6EFCE"/>
            <w:noWrap/>
          </w:tcPr>
          <w:p w14:paraId="0899667B" w14:textId="77777777" w:rsidR="00515398" w:rsidRDefault="006711E6">
            <w:pPr>
              <w:pStyle w:val="P68B1DB1-Normal9"/>
              <w:spacing w:before="120" w:after="0" w:line="240" w:lineRule="auto"/>
              <w:rPr>
                <w:rFonts w:eastAsia="Times New Roman" w:cs="Calibri"/>
                <w:noProof/>
                <w:szCs w:val="18"/>
              </w:rPr>
            </w:pPr>
            <w:r>
              <w:rPr>
                <w:noProof/>
              </w:rPr>
              <w:t>Milník</w:t>
            </w:r>
          </w:p>
        </w:tc>
        <w:tc>
          <w:tcPr>
            <w:tcW w:w="2107" w:type="dxa"/>
            <w:tcBorders>
              <w:top w:val="single" w:sz="4" w:space="0" w:color="auto"/>
              <w:left w:val="nil"/>
              <w:bottom w:val="single" w:sz="4" w:space="0" w:color="auto"/>
              <w:right w:val="single" w:sz="4" w:space="0" w:color="auto"/>
            </w:tcBorders>
            <w:shd w:val="clear" w:color="auto" w:fill="C6EFCE"/>
            <w:noWrap/>
          </w:tcPr>
          <w:p w14:paraId="7FFD2631" w14:textId="77777777" w:rsidR="00515398" w:rsidRDefault="006711E6">
            <w:pPr>
              <w:pStyle w:val="P68B1DB1-Normal9"/>
              <w:spacing w:before="120" w:after="0" w:line="240" w:lineRule="auto"/>
              <w:rPr>
                <w:rFonts w:eastAsia="Times New Roman" w:cs="Calibri"/>
                <w:noProof/>
                <w:szCs w:val="18"/>
              </w:rPr>
            </w:pPr>
            <w:r>
              <w:rPr>
                <w:noProof/>
              </w:rPr>
              <w:t>Sociální integrace zranitelných skupin, digitální odborná příprava</w:t>
            </w:r>
          </w:p>
        </w:tc>
        <w:tc>
          <w:tcPr>
            <w:tcW w:w="1766" w:type="dxa"/>
            <w:tcBorders>
              <w:top w:val="single" w:sz="4" w:space="0" w:color="auto"/>
              <w:left w:val="nil"/>
              <w:bottom w:val="single" w:sz="4" w:space="0" w:color="auto"/>
              <w:right w:val="single" w:sz="4" w:space="0" w:color="auto"/>
            </w:tcBorders>
            <w:shd w:val="clear" w:color="auto" w:fill="C6EFCE"/>
            <w:noWrap/>
          </w:tcPr>
          <w:p w14:paraId="2DAF17C5" w14:textId="49C5A4DB" w:rsidR="00515398" w:rsidRDefault="006711E6">
            <w:pPr>
              <w:pStyle w:val="P68B1DB1-Normal9"/>
              <w:spacing w:before="120" w:after="0" w:line="240" w:lineRule="auto"/>
              <w:rPr>
                <w:rFonts w:eastAsia="Times New Roman" w:cs="Calibri"/>
                <w:noProof/>
                <w:szCs w:val="18"/>
              </w:rPr>
            </w:pPr>
            <w:r>
              <w:rPr>
                <w:noProof/>
              </w:rPr>
              <w:t>Zpráva ministerstva pro sociální soudržnost a rodinu potvrzující dokončení projektu</w:t>
            </w:r>
          </w:p>
        </w:tc>
        <w:tc>
          <w:tcPr>
            <w:tcW w:w="1404" w:type="dxa"/>
            <w:tcBorders>
              <w:top w:val="single" w:sz="4" w:space="0" w:color="auto"/>
              <w:left w:val="nil"/>
              <w:bottom w:val="single" w:sz="4" w:space="0" w:color="auto"/>
              <w:right w:val="single" w:sz="4" w:space="0" w:color="auto"/>
            </w:tcBorders>
            <w:shd w:val="clear" w:color="auto" w:fill="C6EFCE"/>
            <w:noWrap/>
          </w:tcPr>
          <w:p w14:paraId="312F9EAF" w14:textId="77777777" w:rsidR="00515398" w:rsidRDefault="00515398">
            <w:pPr>
              <w:spacing w:before="120" w:after="0" w:line="240" w:lineRule="auto"/>
              <w:rPr>
                <w:rFonts w:eastAsia="Times New Roman" w:cs="Calibri"/>
                <w:noProof/>
                <w:color w:val="006100"/>
                <w:sz w:val="18"/>
                <w:szCs w:val="18"/>
              </w:rPr>
            </w:pPr>
          </w:p>
        </w:tc>
        <w:tc>
          <w:tcPr>
            <w:tcW w:w="1035" w:type="dxa"/>
            <w:tcBorders>
              <w:top w:val="single" w:sz="4" w:space="0" w:color="auto"/>
              <w:left w:val="nil"/>
              <w:bottom w:val="single" w:sz="4" w:space="0" w:color="auto"/>
              <w:right w:val="single" w:sz="4" w:space="0" w:color="auto"/>
            </w:tcBorders>
            <w:shd w:val="clear" w:color="auto" w:fill="C6EFCE"/>
            <w:noWrap/>
          </w:tcPr>
          <w:p w14:paraId="0AE7694F" w14:textId="77777777" w:rsidR="00515398" w:rsidRDefault="00515398">
            <w:pPr>
              <w:spacing w:before="120" w:after="0" w:line="240" w:lineRule="auto"/>
              <w:rPr>
                <w:rFonts w:eastAsia="Times New Roman" w:cs="Calibri"/>
                <w:noProof/>
                <w:color w:val="006100"/>
                <w:sz w:val="18"/>
                <w:szCs w:val="18"/>
              </w:rPr>
            </w:pPr>
          </w:p>
        </w:tc>
        <w:tc>
          <w:tcPr>
            <w:tcW w:w="1097" w:type="dxa"/>
            <w:tcBorders>
              <w:top w:val="single" w:sz="4" w:space="0" w:color="auto"/>
              <w:left w:val="nil"/>
              <w:bottom w:val="single" w:sz="4" w:space="0" w:color="auto"/>
              <w:right w:val="single" w:sz="4" w:space="0" w:color="auto"/>
            </w:tcBorders>
            <w:shd w:val="clear" w:color="auto" w:fill="C6EFCE"/>
            <w:noWrap/>
          </w:tcPr>
          <w:p w14:paraId="6ABFA4FC" w14:textId="77777777" w:rsidR="00515398" w:rsidRDefault="00515398">
            <w:pPr>
              <w:spacing w:before="120"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529349B"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28D40F14" w14:textId="77777777" w:rsidR="00515398" w:rsidRDefault="006711E6">
            <w:pPr>
              <w:pStyle w:val="P68B1DB1-Normal33"/>
              <w:spacing w:before="120" w:after="0" w:line="240" w:lineRule="auto"/>
              <w:rPr>
                <w:rFonts w:eastAsia="Times New Roman" w:cstheme="minorHAnsi"/>
                <w:noProof/>
                <w:szCs w:val="18"/>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7CB8A263" w14:textId="29C878E9" w:rsidR="00515398" w:rsidRDefault="006711E6">
            <w:pPr>
              <w:pStyle w:val="P68B1DB1-Normal35"/>
              <w:spacing w:before="120" w:after="0" w:line="240" w:lineRule="auto"/>
              <w:rPr>
                <w:rFonts w:asciiTheme="minorHAnsi" w:eastAsia="Times New Roman" w:hAnsiTheme="minorHAnsi" w:cstheme="minorBidi"/>
                <w:noProof/>
                <w:color w:val="006100"/>
                <w:szCs w:val="18"/>
              </w:rPr>
            </w:pPr>
            <w:r>
              <w:rPr>
                <w:noProof/>
                <w:color w:val="006100"/>
              </w:rPr>
              <w:t>Dokončení digitální odborné přípravy pro 3000 starších osob a 2400 osob se zdravotním postižením.</w:t>
            </w:r>
            <w:r>
              <w:rPr>
                <w:rFonts w:asciiTheme="minorHAnsi" w:hAnsiTheme="minorHAnsi"/>
                <w:noProof/>
                <w:color w:val="881798"/>
              </w:rPr>
              <w:t xml:space="preserve"> </w:t>
            </w:r>
          </w:p>
        </w:tc>
      </w:tr>
      <w:tr w:rsidR="00515398" w14:paraId="26CD558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DE491A2" w14:textId="77777777" w:rsidR="00515398" w:rsidRDefault="006711E6">
            <w:pPr>
              <w:pStyle w:val="P68B1DB1-Normal9"/>
              <w:spacing w:before="120" w:after="0" w:line="240" w:lineRule="auto"/>
              <w:rPr>
                <w:rFonts w:eastAsia="Times New Roman" w:cs="Calibri"/>
                <w:noProof/>
                <w:szCs w:val="18"/>
              </w:rPr>
            </w:pPr>
            <w:r>
              <w:rPr>
                <w:noProof/>
              </w:rPr>
              <w:t>187</w:t>
            </w:r>
          </w:p>
        </w:tc>
        <w:tc>
          <w:tcPr>
            <w:tcW w:w="1582" w:type="dxa"/>
            <w:tcBorders>
              <w:top w:val="single" w:sz="4" w:space="0" w:color="auto"/>
              <w:left w:val="nil"/>
              <w:bottom w:val="single" w:sz="4" w:space="0" w:color="auto"/>
              <w:right w:val="single" w:sz="4" w:space="0" w:color="auto"/>
            </w:tcBorders>
            <w:shd w:val="clear" w:color="auto" w:fill="C6EFCE"/>
            <w:noWrap/>
          </w:tcPr>
          <w:p w14:paraId="34B3B318" w14:textId="77777777" w:rsidR="00515398" w:rsidRDefault="006711E6">
            <w:pPr>
              <w:pStyle w:val="P68B1DB1-Normal9"/>
              <w:spacing w:before="120" w:after="120" w:line="240" w:lineRule="auto"/>
              <w:rPr>
                <w:rFonts w:eastAsia="Times New Roman" w:cs="Calibri"/>
                <w:noProof/>
                <w:szCs w:val="18"/>
              </w:rPr>
            </w:pPr>
            <w:r>
              <w:rPr>
                <w:noProof/>
              </w:rPr>
              <w:t xml:space="preserve">11–3.4. Zlepšení přístupu k účinným a </w:t>
            </w:r>
            <w:r>
              <w:rPr>
                <w:noProof/>
              </w:rPr>
              <w:t>inkluzivním sociálním politikám – 16688: Podpora integrace uprchlíků na trhu práce </w:t>
            </w:r>
          </w:p>
          <w:p w14:paraId="6CEA5EE2" w14:textId="77777777" w:rsidR="00515398" w:rsidRDefault="00515398">
            <w:pPr>
              <w:spacing w:before="120" w:after="0" w:line="240" w:lineRule="auto"/>
              <w:rPr>
                <w:rFonts w:eastAsia="Times New Roman" w:cs="Calibri"/>
                <w:noProof/>
                <w:color w:val="006100"/>
                <w:sz w:val="18"/>
                <w:szCs w:val="18"/>
              </w:rPr>
            </w:pPr>
          </w:p>
        </w:tc>
        <w:tc>
          <w:tcPr>
            <w:tcW w:w="966" w:type="dxa"/>
            <w:tcBorders>
              <w:top w:val="single" w:sz="4" w:space="0" w:color="auto"/>
              <w:left w:val="nil"/>
              <w:bottom w:val="single" w:sz="4" w:space="0" w:color="auto"/>
              <w:right w:val="single" w:sz="4" w:space="0" w:color="auto"/>
            </w:tcBorders>
            <w:shd w:val="clear" w:color="auto" w:fill="C6EFCE"/>
            <w:noWrap/>
          </w:tcPr>
          <w:p w14:paraId="7646E2A8" w14:textId="77777777" w:rsidR="00515398" w:rsidRDefault="006711E6">
            <w:pPr>
              <w:pStyle w:val="P68B1DB1-Normal9"/>
              <w:spacing w:before="120" w:after="0" w:line="240" w:lineRule="auto"/>
              <w:rPr>
                <w:rFonts w:eastAsia="Times New Roman" w:cs="Calibri"/>
                <w:noProof/>
                <w:szCs w:val="18"/>
              </w:rPr>
            </w:pPr>
            <w:r>
              <w:rPr>
                <w:noProof/>
              </w:rPr>
              <w:t>Cílová</w:t>
            </w:r>
          </w:p>
        </w:tc>
        <w:tc>
          <w:tcPr>
            <w:tcW w:w="2107" w:type="dxa"/>
            <w:tcBorders>
              <w:top w:val="single" w:sz="4" w:space="0" w:color="auto"/>
              <w:left w:val="nil"/>
              <w:bottom w:val="single" w:sz="4" w:space="0" w:color="auto"/>
              <w:right w:val="single" w:sz="4" w:space="0" w:color="auto"/>
            </w:tcBorders>
            <w:shd w:val="clear" w:color="auto" w:fill="C6EFCE"/>
            <w:noWrap/>
          </w:tcPr>
          <w:p w14:paraId="1872503A" w14:textId="77777777" w:rsidR="00515398" w:rsidRDefault="006711E6">
            <w:pPr>
              <w:pStyle w:val="P68B1DB1-Normal9"/>
              <w:spacing w:before="120" w:after="0" w:line="240" w:lineRule="auto"/>
              <w:rPr>
                <w:rFonts w:eastAsia="Times New Roman" w:cs="Calibri"/>
                <w:noProof/>
                <w:szCs w:val="18"/>
              </w:rPr>
            </w:pPr>
            <w:r>
              <w:rPr>
                <w:noProof/>
              </w:rPr>
              <w:t>Integrace uprchlíků na trhu práce</w:t>
            </w:r>
          </w:p>
        </w:tc>
        <w:tc>
          <w:tcPr>
            <w:tcW w:w="1766" w:type="dxa"/>
            <w:tcBorders>
              <w:top w:val="single" w:sz="4" w:space="0" w:color="auto"/>
              <w:left w:val="nil"/>
              <w:bottom w:val="single" w:sz="4" w:space="0" w:color="auto"/>
              <w:right w:val="single" w:sz="4" w:space="0" w:color="auto"/>
            </w:tcBorders>
            <w:shd w:val="clear" w:color="auto" w:fill="C6EFCE"/>
            <w:noWrap/>
          </w:tcPr>
          <w:p w14:paraId="747C8B06" w14:textId="77777777" w:rsidR="00515398" w:rsidRDefault="00515398">
            <w:pPr>
              <w:spacing w:before="120" w:after="0" w:line="240" w:lineRule="auto"/>
              <w:rPr>
                <w:rFonts w:eastAsia="Times New Roman" w:cs="Calibri"/>
                <w:noProof/>
                <w:color w:val="006100"/>
                <w:sz w:val="18"/>
                <w:szCs w:val="18"/>
              </w:rPr>
            </w:pPr>
          </w:p>
        </w:tc>
        <w:tc>
          <w:tcPr>
            <w:tcW w:w="1404" w:type="dxa"/>
            <w:tcBorders>
              <w:top w:val="single" w:sz="4" w:space="0" w:color="auto"/>
              <w:left w:val="nil"/>
              <w:bottom w:val="single" w:sz="4" w:space="0" w:color="auto"/>
              <w:right w:val="single" w:sz="4" w:space="0" w:color="auto"/>
            </w:tcBorders>
            <w:shd w:val="clear" w:color="auto" w:fill="C6EFCE"/>
            <w:noWrap/>
          </w:tcPr>
          <w:p w14:paraId="68EE49BB" w14:textId="0AD35E6F" w:rsidR="00515398" w:rsidRDefault="006711E6">
            <w:pPr>
              <w:pStyle w:val="P68B1DB1-Normal9"/>
              <w:spacing w:before="120" w:after="0" w:line="240" w:lineRule="auto"/>
              <w:rPr>
                <w:rFonts w:eastAsia="Times New Roman" w:cs="Calibri"/>
                <w:noProof/>
                <w:szCs w:val="18"/>
              </w:rPr>
            </w:pPr>
            <w:r>
              <w:rPr>
                <w:noProof/>
              </w:rPr>
              <w:t>Počet uprchlíků a specifikovaných uprchlíků, včetně uznaných uprchlíků (osob požívajících mezinárodní ochrany) pobývajících buď v</w:t>
            </w:r>
            <w:r>
              <w:rPr>
                <w:noProof/>
              </w:rPr>
              <w:t xml:space="preserve"> ubytovacích zařízeních ministerstva pro migraci a azyl, nebo v městské oblasti, osob požívajících dočasné ochrany, a tedy i Ukrajinců, osob s legálním pobytem (legálních migrantů) a žadatelů o azyl v souvislosti s preintegrací, kteří absolvovali odbornou </w:t>
            </w:r>
            <w:r>
              <w:rPr>
                <w:noProof/>
              </w:rPr>
              <w:t xml:space="preserve">přípravu a stáže </w:t>
            </w:r>
          </w:p>
        </w:tc>
        <w:tc>
          <w:tcPr>
            <w:tcW w:w="1035" w:type="dxa"/>
            <w:tcBorders>
              <w:top w:val="single" w:sz="4" w:space="0" w:color="auto"/>
              <w:left w:val="nil"/>
              <w:bottom w:val="single" w:sz="4" w:space="0" w:color="auto"/>
              <w:right w:val="single" w:sz="4" w:space="0" w:color="auto"/>
            </w:tcBorders>
            <w:shd w:val="clear" w:color="auto" w:fill="C6EFCE"/>
            <w:noWrap/>
          </w:tcPr>
          <w:p w14:paraId="188F8226" w14:textId="77777777" w:rsidR="00515398" w:rsidRDefault="006711E6">
            <w:pPr>
              <w:pStyle w:val="P68B1DB1-Normal9"/>
              <w:spacing w:before="120" w:after="0" w:line="240" w:lineRule="auto"/>
              <w:rPr>
                <w:rFonts w:eastAsia="Times New Roman" w:cs="Calibri"/>
                <w:noProof/>
                <w:szCs w:val="18"/>
              </w:rPr>
            </w:pPr>
            <w:r>
              <w:rPr>
                <w:noProof/>
              </w:rPr>
              <w:t>0</w:t>
            </w:r>
          </w:p>
        </w:tc>
        <w:tc>
          <w:tcPr>
            <w:tcW w:w="1097" w:type="dxa"/>
            <w:tcBorders>
              <w:top w:val="single" w:sz="4" w:space="0" w:color="auto"/>
              <w:left w:val="nil"/>
              <w:bottom w:val="single" w:sz="4" w:space="0" w:color="auto"/>
              <w:right w:val="single" w:sz="4" w:space="0" w:color="auto"/>
            </w:tcBorders>
            <w:shd w:val="clear" w:color="auto" w:fill="C6EFCE"/>
            <w:noWrap/>
          </w:tcPr>
          <w:p w14:paraId="54809EE8" w14:textId="0C830F4C" w:rsidR="00515398" w:rsidRDefault="006711E6">
            <w:pPr>
              <w:pStyle w:val="P68B1DB1-Normal9"/>
              <w:spacing w:before="120" w:after="0" w:line="240" w:lineRule="auto"/>
              <w:rPr>
                <w:rFonts w:eastAsia="Times New Roman" w:cs="Calibri"/>
                <w:noProof/>
                <w:szCs w:val="18"/>
              </w:rPr>
            </w:pPr>
            <w:r>
              <w:rPr>
                <w:noProof/>
              </w:rPr>
              <w:t>3600</w:t>
            </w:r>
          </w:p>
        </w:tc>
        <w:tc>
          <w:tcPr>
            <w:tcW w:w="846" w:type="dxa"/>
            <w:tcBorders>
              <w:top w:val="single" w:sz="4" w:space="0" w:color="auto"/>
              <w:left w:val="nil"/>
              <w:bottom w:val="single" w:sz="4" w:space="0" w:color="auto"/>
              <w:right w:val="single" w:sz="4" w:space="0" w:color="auto"/>
            </w:tcBorders>
            <w:shd w:val="clear" w:color="auto" w:fill="C6EFCE"/>
            <w:noWrap/>
          </w:tcPr>
          <w:p w14:paraId="655CFF79" w14:textId="77777777" w:rsidR="00515398" w:rsidRDefault="006711E6">
            <w:pPr>
              <w:pStyle w:val="P68B1DB1-Normal9"/>
              <w:spacing w:before="120" w:after="0" w:line="240" w:lineRule="auto"/>
              <w:rPr>
                <w:rFonts w:eastAsia="Times New Roman" w:cs="Calibri"/>
                <w:noProof/>
                <w:szCs w:val="18"/>
              </w:rPr>
            </w:pPr>
            <w:r>
              <w:rPr>
                <w:noProof/>
              </w:rPr>
              <w:t>ČTVRTLETÍ ČTVRT</w:t>
            </w:r>
          </w:p>
        </w:tc>
        <w:tc>
          <w:tcPr>
            <w:tcW w:w="783" w:type="dxa"/>
            <w:tcBorders>
              <w:top w:val="single" w:sz="4" w:space="0" w:color="auto"/>
              <w:left w:val="nil"/>
              <w:bottom w:val="single" w:sz="4" w:space="0" w:color="auto"/>
              <w:right w:val="single" w:sz="4" w:space="0" w:color="auto"/>
            </w:tcBorders>
            <w:shd w:val="clear" w:color="auto" w:fill="C6EFCE"/>
            <w:noWrap/>
          </w:tcPr>
          <w:p w14:paraId="3BC1B2F4" w14:textId="77777777" w:rsidR="00515398" w:rsidRDefault="006711E6">
            <w:pPr>
              <w:pStyle w:val="P68B1DB1-Normal9"/>
              <w:spacing w:before="120" w:after="0" w:line="240" w:lineRule="auto"/>
              <w:rPr>
                <w:rFonts w:eastAsia="Times New Roman" w:cs="Calibri"/>
                <w:noProof/>
                <w:szCs w:val="18"/>
              </w:rPr>
            </w:pPr>
            <w:r>
              <w:rPr>
                <w:noProof/>
              </w:rPr>
              <w:t>2025</w:t>
            </w:r>
          </w:p>
        </w:tc>
        <w:tc>
          <w:tcPr>
            <w:tcW w:w="3117" w:type="dxa"/>
            <w:tcBorders>
              <w:top w:val="single" w:sz="4" w:space="0" w:color="auto"/>
              <w:left w:val="nil"/>
              <w:bottom w:val="single" w:sz="4" w:space="0" w:color="auto"/>
              <w:right w:val="single" w:sz="4" w:space="0" w:color="auto"/>
            </w:tcBorders>
            <w:shd w:val="clear" w:color="auto" w:fill="C6EFCE"/>
            <w:noWrap/>
          </w:tcPr>
          <w:p w14:paraId="10FB06FF" w14:textId="21EC3E3F" w:rsidR="00515398" w:rsidRDefault="006711E6">
            <w:pPr>
              <w:pStyle w:val="P68B1DB1-Normal9"/>
              <w:spacing w:before="120" w:after="0" w:line="240" w:lineRule="auto"/>
              <w:rPr>
                <w:rFonts w:eastAsia="Times New Roman" w:cs="Calibri"/>
                <w:noProof/>
                <w:szCs w:val="18"/>
              </w:rPr>
            </w:pPr>
            <w:r>
              <w:rPr>
                <w:noProof/>
              </w:rPr>
              <w:t>Dokončení programů odborné přípravy pro nejméně 3600 uprchlíků a konkrétních uprchlíků, včetně uznaných uprchlíků (osob požívajících mezinárodní ochrany) pobývajících buď v ubytovacích zařízeních ministerstva p</w:t>
            </w:r>
            <w:r>
              <w:rPr>
                <w:noProof/>
              </w:rPr>
              <w:t>ro migraci a azyl, nebo v městské oblasti, osob požívajících dočasné ochrany, a tedy i Ukrajinců, legálních migrantů (legálních migrantů) a žadatelů o azyl v souvislosti s preintegrací a 1800 účastníků absolvuje stáž.</w:t>
            </w:r>
          </w:p>
          <w:p w14:paraId="09481BA3" w14:textId="77777777" w:rsidR="00515398" w:rsidRDefault="006711E6">
            <w:pPr>
              <w:pStyle w:val="P68B1DB1-Normal9"/>
              <w:spacing w:before="120" w:after="0" w:line="240" w:lineRule="auto"/>
              <w:rPr>
                <w:rFonts w:eastAsia="Times New Roman" w:cs="Calibri"/>
                <w:noProof/>
                <w:szCs w:val="18"/>
              </w:rPr>
            </w:pPr>
            <w:r>
              <w:rPr>
                <w:noProof/>
              </w:rPr>
              <w:t>Zpráva Mezinárodní organizace pro migr</w:t>
            </w:r>
            <w:r>
              <w:rPr>
                <w:noProof/>
              </w:rPr>
              <w:t>aci (IOM) a ministerstva pro migraci a azyl potvrzující úspěšné dokončení projektu pro výše uvedený počet uprchlíků.</w:t>
            </w:r>
          </w:p>
          <w:p w14:paraId="2E58FC21" w14:textId="7F1CCAA7" w:rsidR="00515398" w:rsidRDefault="00515398">
            <w:pPr>
              <w:spacing w:before="120" w:after="0" w:line="240" w:lineRule="auto"/>
              <w:rPr>
                <w:rFonts w:eastAsia="Times New Roman" w:cs="Calibri"/>
                <w:noProof/>
                <w:color w:val="006100"/>
                <w:sz w:val="18"/>
                <w:szCs w:val="18"/>
              </w:rPr>
            </w:pPr>
          </w:p>
        </w:tc>
      </w:tr>
    </w:tbl>
    <w:p w14:paraId="6D7945FC" w14:textId="77777777" w:rsidR="00515398" w:rsidRDefault="00515398">
      <w:pPr>
        <w:tabs>
          <w:tab w:val="left" w:pos="3423"/>
        </w:tabs>
        <w:spacing w:before="120" w:after="120" w:line="240" w:lineRule="auto"/>
        <w:jc w:val="both"/>
        <w:rPr>
          <w:rFonts w:ascii="Times New Roman" w:hAnsi="Times New Roman" w:cs="Times New Roman"/>
          <w:noProof/>
          <w:sz w:val="24"/>
        </w:rPr>
        <w:sectPr w:rsidR="00515398" w:rsidSect="00271D33">
          <w:headerReference w:type="even" r:id="rId193"/>
          <w:headerReference w:type="default" r:id="rId194"/>
          <w:footerReference w:type="even" r:id="rId195"/>
          <w:footerReference w:type="default" r:id="rId196"/>
          <w:headerReference w:type="first" r:id="rId197"/>
          <w:footerReference w:type="first" r:id="rId198"/>
          <w:pgSz w:w="16839" w:h="11907" w:orient="landscape"/>
          <w:pgMar w:top="720" w:right="720" w:bottom="720" w:left="720" w:header="709" w:footer="75" w:gutter="0"/>
          <w:cols w:space="720"/>
          <w:docGrid w:linePitch="360"/>
        </w:sectPr>
      </w:pPr>
    </w:p>
    <w:p w14:paraId="607ED7E5" w14:textId="77777777" w:rsidR="00515398" w:rsidRDefault="00515398">
      <w:pPr>
        <w:spacing w:before="120" w:after="120" w:line="240" w:lineRule="auto"/>
        <w:ind w:left="709"/>
        <w:jc w:val="both"/>
        <w:rPr>
          <w:rFonts w:ascii="Times New Roman" w:hAnsi="Times New Roman" w:cs="Times New Roman"/>
          <w:noProof/>
          <w:sz w:val="24"/>
        </w:rPr>
      </w:pPr>
    </w:p>
    <w:p w14:paraId="7D2D5610" w14:textId="77777777" w:rsidR="00515398" w:rsidRDefault="006711E6">
      <w:pPr>
        <w:spacing w:before="120" w:after="120" w:line="240" w:lineRule="auto"/>
        <w:jc w:val="both"/>
        <w:rPr>
          <w:rFonts w:ascii="Times New Roman" w:hAnsi="Times New Roman" w:cs="Times New Roman"/>
          <w:b/>
          <w:bCs/>
          <w:i/>
          <w:iCs/>
          <w:noProof/>
          <w:color w:val="4F81BD"/>
          <w:sz w:val="24"/>
          <w:szCs w:val="24"/>
        </w:rPr>
      </w:pPr>
      <w:r>
        <w:rPr>
          <w:rFonts w:ascii="Times New Roman" w:hAnsi="Times New Roman"/>
          <w:b/>
          <w:noProof/>
          <w:sz w:val="24"/>
          <w:szCs w:val="24"/>
          <w:u w:val="single"/>
        </w:rPr>
        <w:t xml:space="preserve">K.3. </w:t>
      </w:r>
      <w:r>
        <w:rPr>
          <w:noProof/>
        </w:rPr>
        <w:t xml:space="preserve"> </w:t>
      </w:r>
      <w:r>
        <w:rPr>
          <w:rFonts w:ascii="Times New Roman" w:hAnsi="Times New Roman"/>
          <w:b/>
          <w:noProof/>
          <w:sz w:val="24"/>
          <w:szCs w:val="24"/>
          <w:u w:val="single"/>
        </w:rPr>
        <w:t xml:space="preserve">Popis reforem a investic pro půjčky </w:t>
      </w:r>
    </w:p>
    <w:p w14:paraId="70935D10" w14:textId="5299F726" w:rsidR="00515398" w:rsidRDefault="006711E6">
      <w:pPr>
        <w:pStyle w:val="P68B1DB1-Normal4"/>
        <w:spacing w:before="120" w:after="120" w:line="240" w:lineRule="auto"/>
        <w:jc w:val="both"/>
        <w:rPr>
          <w:rFonts w:cs="Times New Roman"/>
          <w:noProof/>
        </w:rPr>
      </w:pPr>
      <w:r>
        <w:rPr>
          <w:b/>
          <w:noProof/>
        </w:rPr>
        <w:t>Investice:</w:t>
      </w:r>
      <w:r>
        <w:rPr>
          <w:noProof/>
        </w:rPr>
        <w:t xml:space="preserve"> Program cenově dostupného bydlení „Můj domov II“ (opatření ID 16400)</w:t>
      </w:r>
    </w:p>
    <w:p w14:paraId="606624AC" w14:textId="011F2347" w:rsidR="00515398" w:rsidRDefault="006711E6">
      <w:pPr>
        <w:pStyle w:val="P68B1DB1-Normal11"/>
        <w:spacing w:line="240" w:lineRule="auto"/>
        <w:jc w:val="both"/>
        <w:rPr>
          <w:rFonts w:ascii="Times New Roman" w:hAnsi="Times New Roman" w:cs="Times New Roman"/>
          <w:noProof/>
          <w:szCs w:val="24"/>
        </w:rPr>
      </w:pPr>
      <w:r>
        <w:rPr>
          <w:rFonts w:ascii="Times New Roman" w:hAnsi="Times New Roman" w:cs="Times New Roman"/>
          <w:noProof/>
          <w:szCs w:val="24"/>
        </w:rPr>
        <w:t>Toto opatření sestává z veřejných investic do nástroje „</w:t>
      </w:r>
      <w:r>
        <w:rPr>
          <w:rFonts w:ascii="Times New Roman" w:hAnsi="Times New Roman"/>
          <w:noProof/>
        </w:rPr>
        <w:t>Můj domov II</w:t>
      </w:r>
      <w:r>
        <w:rPr>
          <w:rFonts w:ascii="Times New Roman" w:hAnsi="Times New Roman" w:cs="Times New Roman"/>
          <w:noProof/>
          <w:szCs w:val="24"/>
        </w:rPr>
        <w:t>“ s cílem stimulovat soukromé investice a zlepšit přístup k financování v odvětví bydlení v Řecku. Nástroj funguje tak</w:t>
      </w:r>
      <w:r>
        <w:rPr>
          <w:rFonts w:ascii="Times New Roman" w:hAnsi="Times New Roman" w:cs="Times New Roman"/>
          <w:noProof/>
          <w:szCs w:val="24"/>
        </w:rPr>
        <w:t>, že poskytuje úvěry přímo soukromému sektoru. Na základě investice z Nástroje pro oživení a odolnost má facilita „</w:t>
      </w:r>
      <w:r>
        <w:rPr>
          <w:rFonts w:ascii="Times New Roman" w:hAnsi="Times New Roman"/>
          <w:noProof/>
        </w:rPr>
        <w:t>Můj domov II“ zpočátku poskytnout financování ve výši nejméně 1 000 milionů EUR.</w:t>
      </w:r>
    </w:p>
    <w:p w14:paraId="4999D00C" w14:textId="5DC40801" w:rsidR="00515398" w:rsidRDefault="006711E6">
      <w:pPr>
        <w:pStyle w:val="P68B1DB1-Normal11"/>
        <w:spacing w:line="240" w:lineRule="auto"/>
        <w:jc w:val="both"/>
        <w:rPr>
          <w:rFonts w:ascii="Times New Roman" w:hAnsi="Times New Roman" w:cs="Times New Roman"/>
          <w:noProof/>
          <w:szCs w:val="24"/>
        </w:rPr>
      </w:pPr>
      <w:r>
        <w:rPr>
          <w:rFonts w:ascii="Times New Roman" w:hAnsi="Times New Roman" w:cs="Times New Roman"/>
          <w:noProof/>
          <w:szCs w:val="24"/>
        </w:rPr>
        <w:t>Nástroj „</w:t>
      </w:r>
      <w:r>
        <w:rPr>
          <w:rFonts w:ascii="Times New Roman" w:hAnsi="Times New Roman"/>
          <w:noProof/>
        </w:rPr>
        <w:t>Můj domov</w:t>
      </w:r>
      <w:r>
        <w:rPr>
          <w:rFonts w:ascii="Times New Roman" w:hAnsi="Times New Roman" w:cs="Times New Roman"/>
          <w:noProof/>
          <w:szCs w:val="24"/>
        </w:rPr>
        <w:t xml:space="preserve">II“ spravuje jako prováděcí partner Řecká </w:t>
      </w:r>
      <w:r>
        <w:rPr>
          <w:rFonts w:ascii="Times New Roman" w:hAnsi="Times New Roman" w:cs="Times New Roman"/>
          <w:noProof/>
          <w:szCs w:val="24"/>
        </w:rPr>
        <w:t xml:space="preserve">rozvojová banka. Nástroj zahrnuje tuto produktovou řadu: </w:t>
      </w:r>
    </w:p>
    <w:p w14:paraId="2CCF35FA" w14:textId="1232E50F" w:rsidR="00515398" w:rsidRDefault="006711E6">
      <w:pPr>
        <w:pStyle w:val="P68B1DB1-LegalNumPar212"/>
        <w:numPr>
          <w:ilvl w:val="1"/>
          <w:numId w:val="95"/>
        </w:numPr>
        <w:jc w:val="both"/>
        <w:rPr>
          <w:noProof/>
        </w:rPr>
      </w:pPr>
      <w:r>
        <w:rPr>
          <w:noProof/>
        </w:rPr>
        <w:t>Řecká rozvojová banka vybere komerční banky jako finanční zprostředkovatele pro účast v nástroji otevřeným, transparentním a nediskriminačním způsobem prostřednictvím otevřeného výběrového řízení. K</w:t>
      </w:r>
      <w:r>
        <w:rPr>
          <w:noProof/>
        </w:rPr>
        <w:t xml:space="preserve">omerční banky spolufinancují úvěry poskytnuté v rámci nástroje. Tyto půjčky budou poskytnuty jednotlivcům na pořízení hlavního bydliště. Úvěrová struktura zajistí 50 % bezúročné financování z nástroje „My Home II“ a 50 % financování od zúčastněných bank s </w:t>
      </w:r>
      <w:r>
        <w:rPr>
          <w:noProof/>
        </w:rPr>
        <w:t>tržními sazbami.</w:t>
      </w:r>
    </w:p>
    <w:p w14:paraId="5F2F3C82" w14:textId="4ACCEE0B" w:rsidR="00515398" w:rsidRDefault="006711E6">
      <w:pPr>
        <w:pStyle w:val="P68B1DB1-Normal11"/>
        <w:spacing w:line="240" w:lineRule="auto"/>
        <w:jc w:val="both"/>
        <w:rPr>
          <w:rFonts w:ascii="Times New Roman" w:hAnsi="Times New Roman" w:cs="Times New Roman"/>
          <w:noProof/>
          <w:szCs w:val="24"/>
        </w:rPr>
      </w:pPr>
      <w:r>
        <w:rPr>
          <w:rFonts w:ascii="Times New Roman" w:hAnsi="Times New Roman" w:cs="Times New Roman"/>
          <w:noProof/>
          <w:szCs w:val="24"/>
        </w:rPr>
        <w:t>Za účelem provedení investice do nástroje „</w:t>
      </w:r>
      <w:r>
        <w:rPr>
          <w:rFonts w:ascii="Times New Roman" w:hAnsi="Times New Roman"/>
          <w:noProof/>
        </w:rPr>
        <w:t>Můj domov</w:t>
      </w:r>
      <w:r>
        <w:rPr>
          <w:rFonts w:ascii="Times New Roman" w:hAnsi="Times New Roman" w:cs="Times New Roman"/>
          <w:noProof/>
          <w:szCs w:val="24"/>
        </w:rPr>
        <w:t>II“ podepíší Řecko a Řecká rozvojová banka prováděcí dohodu. Prováděcí dohoda obsahuje tento obsah:</w:t>
      </w:r>
    </w:p>
    <w:p w14:paraId="3231227E" w14:textId="340752AE" w:rsidR="00515398" w:rsidRDefault="006711E6">
      <w:pPr>
        <w:pStyle w:val="P68B1DB1-LegalNumPar36"/>
        <w:numPr>
          <w:ilvl w:val="0"/>
          <w:numId w:val="97"/>
        </w:numPr>
        <w:jc w:val="both"/>
        <w:rPr>
          <w:rFonts w:ascii="Times New Roman" w:eastAsia="Times New Roman" w:hAnsi="Times New Roman" w:cs="Times New Roman"/>
          <w:noProof/>
          <w:szCs w:val="24"/>
        </w:rPr>
      </w:pPr>
      <w:r>
        <w:rPr>
          <w:rFonts w:ascii="Times New Roman" w:hAnsi="Times New Roman" w:cs="Times New Roman"/>
          <w:noProof/>
          <w:szCs w:val="24"/>
        </w:rPr>
        <w:t>Popis rozhodovacího procesu nástroje „Můj domov</w:t>
      </w:r>
      <w:r>
        <w:rPr>
          <w:rFonts w:ascii="Times New Roman" w:hAnsi="Times New Roman"/>
          <w:noProof/>
        </w:rPr>
        <w:t>II</w:t>
      </w:r>
      <w:r>
        <w:rPr>
          <w:rFonts w:ascii="Times New Roman" w:hAnsi="Times New Roman" w:cs="Times New Roman"/>
          <w:noProof/>
          <w:szCs w:val="24"/>
        </w:rPr>
        <w:t>“. Konečné rozhodnutí o investicích ná</w:t>
      </w:r>
      <w:r>
        <w:rPr>
          <w:rFonts w:ascii="Times New Roman" w:hAnsi="Times New Roman" w:cs="Times New Roman"/>
          <w:noProof/>
          <w:szCs w:val="24"/>
        </w:rPr>
        <w:t>stroje přijímá investiční výbor nebo jiný příslušný rovnocenný řídící orgán a schvaluje je většina hlasů členů, kteří jsou nezávislí na vládě.</w:t>
      </w:r>
    </w:p>
    <w:p w14:paraId="2204F865" w14:textId="25BEC80C" w:rsidR="00515398" w:rsidRDefault="006711E6">
      <w:pPr>
        <w:pStyle w:val="P68B1DB1-LegalNumPar13"/>
        <w:jc w:val="both"/>
        <w:rPr>
          <w:noProof/>
        </w:rPr>
      </w:pPr>
      <w:r>
        <w:rPr>
          <w:noProof/>
        </w:rPr>
        <w:t>Klíčové požadavky na finanční produkty,</w:t>
      </w:r>
      <w:r>
        <w:rPr>
          <w:b/>
          <w:noProof/>
        </w:rPr>
        <w:t xml:space="preserve"> </w:t>
      </w:r>
      <w:r>
        <w:rPr>
          <w:noProof/>
        </w:rPr>
        <w:t>které zahrnují:</w:t>
      </w:r>
    </w:p>
    <w:p w14:paraId="33B9EC25" w14:textId="77777777" w:rsidR="00515398" w:rsidRDefault="006711E6">
      <w:pPr>
        <w:pStyle w:val="P68B1DB1-LegalNumPar212"/>
        <w:jc w:val="both"/>
        <w:rPr>
          <w:noProof/>
        </w:rPr>
      </w:pPr>
      <w:r>
        <w:rPr>
          <w:noProof/>
        </w:rPr>
        <w:t>Popis finančních produktů a způsobilých konečných příjemc</w:t>
      </w:r>
      <w:r>
        <w:rPr>
          <w:noProof/>
        </w:rPr>
        <w:t>ů.</w:t>
      </w:r>
    </w:p>
    <w:p w14:paraId="7EA51CC8" w14:textId="77777777" w:rsidR="00515398" w:rsidRDefault="006711E6">
      <w:pPr>
        <w:pStyle w:val="P68B1DB1-LegalNumPar212"/>
        <w:jc w:val="both"/>
        <w:rPr>
          <w:noProof/>
        </w:rPr>
      </w:pPr>
      <w:r>
        <w:rPr>
          <w:noProof/>
        </w:rPr>
        <w:t>Požadavek, aby všechny podporované investice byly ekonomicky životaschopné</w:t>
      </w:r>
      <w:r>
        <w:rPr>
          <w:b/>
          <w:noProof/>
        </w:rPr>
        <w:t>.</w:t>
      </w:r>
    </w:p>
    <w:p w14:paraId="1F4E2097" w14:textId="77777777" w:rsidR="00515398" w:rsidRDefault="006711E6">
      <w:pPr>
        <w:pStyle w:val="P68B1DB1-LegalNumPar212"/>
        <w:jc w:val="both"/>
        <w:rPr>
          <w:noProof/>
        </w:rPr>
      </w:pPr>
      <w:r>
        <w:rPr>
          <w:noProof/>
        </w:rPr>
        <w:t>Požadavek, aby koneční příjemci nástroje neobdrželi podporu z jiných nástrojů Unie na pokrytí stejných nákladů.</w:t>
      </w:r>
    </w:p>
    <w:p w14:paraId="1345051E" w14:textId="29A32DF1" w:rsidR="00515398" w:rsidRDefault="006711E6">
      <w:pPr>
        <w:pStyle w:val="P68B1DB1-LegalNumPar14"/>
        <w:jc w:val="both"/>
        <w:rPr>
          <w:rFonts w:ascii="Times New Roman" w:hAnsi="Times New Roman" w:cs="Times New Roman"/>
          <w:noProof/>
        </w:rPr>
      </w:pPr>
      <w:r>
        <w:rPr>
          <w:rFonts w:ascii="Times New Roman" w:hAnsi="Times New Roman" w:cs="Times New Roman"/>
          <w:noProof/>
        </w:rPr>
        <w:t>Částku, na kterou se vztahuje prováděcí dohoda, strukturu poplatk</w:t>
      </w:r>
      <w:r>
        <w:rPr>
          <w:rFonts w:ascii="Times New Roman" w:hAnsi="Times New Roman" w:cs="Times New Roman"/>
          <w:noProof/>
        </w:rPr>
        <w:t xml:space="preserve">ů pro prováděcího partnera a finanční zprostředkovatele a </w:t>
      </w:r>
      <w:r>
        <w:rPr>
          <w:rFonts w:ascii="Times New Roman" w:eastAsia="Times New Roman" w:hAnsi="Times New Roman" w:cs="Times New Roman"/>
          <w:noProof/>
          <w:color w:val="000000" w:themeColor="text1"/>
        </w:rPr>
        <w:t>požadavek reinvestovat veškeré zpětné toky v souladu s investiční politikou facility, pokud nejsou použity na splácení úvěrů v rámci Nástroje pro oživení a odolnost</w:t>
      </w:r>
      <w:r>
        <w:rPr>
          <w:rFonts w:ascii="Times New Roman" w:hAnsi="Times New Roman" w:cs="Times New Roman"/>
          <w:noProof/>
        </w:rPr>
        <w:t>.</w:t>
      </w:r>
    </w:p>
    <w:p w14:paraId="59E21595" w14:textId="5C226EDD" w:rsidR="00515398" w:rsidRDefault="006711E6">
      <w:pPr>
        <w:pStyle w:val="P68B1DB1-LegalNumPar13"/>
        <w:jc w:val="both"/>
        <w:rPr>
          <w:noProof/>
        </w:rPr>
      </w:pPr>
      <w:r>
        <w:rPr>
          <w:noProof/>
        </w:rPr>
        <w:t>Požadavky na monitorování, audit</w:t>
      </w:r>
      <w:r>
        <w:rPr>
          <w:noProof/>
        </w:rPr>
        <w:t xml:space="preserve"> a kontrolu, včetně popisu postupů prováděcího partnera, které zajistí prevenci, odhalování a nápravu podvodů, korupce a střetů zájmů.</w:t>
      </w:r>
    </w:p>
    <w:p w14:paraId="3003F279" w14:textId="77777777" w:rsidR="00515398" w:rsidRDefault="006711E6">
      <w:pPr>
        <w:pStyle w:val="NormalWeb"/>
        <w:rPr>
          <w:rFonts w:eastAsiaTheme="minorHAnsi"/>
          <w:noProof/>
        </w:rPr>
      </w:pPr>
      <w:r>
        <w:rPr>
          <w:noProof/>
        </w:rPr>
        <w:br w:type="page"/>
      </w:r>
    </w:p>
    <w:p w14:paraId="5162CC1F" w14:textId="77777777" w:rsidR="00515398" w:rsidRDefault="006711E6">
      <w:pPr>
        <w:pStyle w:val="P68B1DB1-LegalNumPar13"/>
        <w:jc w:val="both"/>
        <w:rPr>
          <w:noProof/>
        </w:rPr>
      </w:pPr>
      <w:r>
        <w:rPr>
          <w:noProof/>
        </w:rPr>
        <w:t>Řecká rozvojová banka podepíše s finančními zprostředkovateli dohody o financování v souladu s klíčovými požadavky, které budou poskytnuty jako příloha prováděcí dohody. Klíčové požadavky dohod o financování zahrnují všechny požadavky, na jejichž základě n</w:t>
      </w:r>
      <w:r>
        <w:rPr>
          <w:noProof/>
        </w:rPr>
        <w:t>ástroj funguje, včetně: </w:t>
      </w:r>
    </w:p>
    <w:p w14:paraId="563D96AE" w14:textId="77777777" w:rsidR="00515398" w:rsidRDefault="006711E6">
      <w:pPr>
        <w:pStyle w:val="P68B1DB1-LegalNumPar212"/>
        <w:numPr>
          <w:ilvl w:val="1"/>
          <w:numId w:val="95"/>
        </w:numPr>
        <w:jc w:val="both"/>
        <w:rPr>
          <w:noProof/>
        </w:rPr>
      </w:pPr>
      <w:r>
        <w:rPr>
          <w:noProof/>
        </w:rPr>
        <w:t>Konečné rozhodnutí o emisích úvěrů přijímají finanční zprostředkovatelé v souladu se svými politikami a postupy nezávisle na vládě.</w:t>
      </w:r>
    </w:p>
    <w:p w14:paraId="13CA6DC0" w14:textId="77777777" w:rsidR="00515398" w:rsidRDefault="006711E6">
      <w:pPr>
        <w:pStyle w:val="P68B1DB1-LegalNumPar212"/>
        <w:numPr>
          <w:ilvl w:val="1"/>
          <w:numId w:val="95"/>
        </w:numPr>
        <w:jc w:val="both"/>
        <w:rPr>
          <w:noProof/>
        </w:rPr>
      </w:pPr>
      <w:r>
        <w:rPr>
          <w:noProof/>
        </w:rPr>
        <w:t xml:space="preserve">Povinnost finančních zprostředkovatelů přijímat rozhodnutí </w:t>
      </w:r>
      <w:r>
        <w:rPr>
          <w:i/>
          <w:noProof/>
        </w:rPr>
        <w:t>obdobně</w:t>
      </w:r>
      <w:r>
        <w:rPr>
          <w:noProof/>
        </w:rPr>
        <w:t xml:space="preserve"> v souladu s výše uvedenými požad</w:t>
      </w:r>
      <w:r>
        <w:rPr>
          <w:noProof/>
        </w:rPr>
        <w:t>avky investiční politiky. </w:t>
      </w:r>
    </w:p>
    <w:p w14:paraId="57E11EBD" w14:textId="7B0A533E" w:rsidR="00515398" w:rsidRDefault="006711E6">
      <w:pPr>
        <w:pStyle w:val="P68B1DB1-LegalNumPar212"/>
        <w:numPr>
          <w:ilvl w:val="1"/>
          <w:numId w:val="95"/>
        </w:numPr>
        <w:jc w:val="both"/>
        <w:rPr>
          <w:noProof/>
        </w:rPr>
      </w:pPr>
      <w:r>
        <w:rPr>
          <w:noProof/>
        </w:rPr>
        <w:t>Požadavky na monitorování, audit a kontrolu finančních zprostředkovatelů, včetně:</w:t>
      </w:r>
    </w:p>
    <w:p w14:paraId="72651724" w14:textId="77777777" w:rsidR="00515398" w:rsidRDefault="006711E6">
      <w:pPr>
        <w:pStyle w:val="P68B1DB1-LegalNumPar212"/>
        <w:numPr>
          <w:ilvl w:val="2"/>
          <w:numId w:val="96"/>
        </w:numPr>
        <w:jc w:val="both"/>
        <w:rPr>
          <w:noProof/>
        </w:rPr>
      </w:pPr>
      <w:r>
        <w:rPr>
          <w:noProof/>
        </w:rPr>
        <w:t>Popis monitorovacího systému finančních zprostředkovatelů pro podávání zpráv o mobilizovaných investicích.</w:t>
      </w:r>
    </w:p>
    <w:p w14:paraId="2B35C228" w14:textId="77777777" w:rsidR="00515398" w:rsidRDefault="006711E6">
      <w:pPr>
        <w:pStyle w:val="P68B1DB1-LegalNumPar212"/>
        <w:numPr>
          <w:ilvl w:val="2"/>
          <w:numId w:val="96"/>
        </w:numPr>
        <w:jc w:val="both"/>
        <w:rPr>
          <w:noProof/>
        </w:rPr>
      </w:pPr>
      <w:r>
        <w:rPr>
          <w:noProof/>
        </w:rPr>
        <w:t>Popis postupů finančních zprostředkovate</w:t>
      </w:r>
      <w:r>
        <w:rPr>
          <w:noProof/>
        </w:rPr>
        <w:t xml:space="preserve">lů, které zajistí prevenci, odhalování a nápravu podvodů, korupce a střetů zájmů. </w:t>
      </w:r>
    </w:p>
    <w:p w14:paraId="48663898" w14:textId="6BE519E9" w:rsidR="00515398" w:rsidRDefault="006711E6">
      <w:pPr>
        <w:pStyle w:val="P68B1DB1-LegalNumPar212"/>
        <w:numPr>
          <w:ilvl w:val="2"/>
          <w:numId w:val="96"/>
        </w:numPr>
        <w:jc w:val="both"/>
        <w:rPr>
          <w:noProof/>
        </w:rPr>
      </w:pPr>
      <w:r>
        <w:rPr>
          <w:noProof/>
        </w:rPr>
        <w:t>Povinnost ověřit způsobilost každé operace v souladu s požadavky stanovenými v prováděcí dohodě před přijetím závazku k financování operace.</w:t>
      </w:r>
    </w:p>
    <w:p w14:paraId="149604AD" w14:textId="1F8E09BD" w:rsidR="00515398" w:rsidRDefault="006711E6">
      <w:pPr>
        <w:pStyle w:val="P68B1DB1-LegalNumPar212"/>
        <w:numPr>
          <w:ilvl w:val="2"/>
          <w:numId w:val="96"/>
        </w:numPr>
        <w:jc w:val="both"/>
        <w:rPr>
          <w:noProof/>
        </w:rPr>
      </w:pPr>
      <w:r>
        <w:rPr>
          <w:noProof/>
        </w:rPr>
        <w:t>Povinnost provádět audity ex pos</w:t>
      </w:r>
      <w:r>
        <w:rPr>
          <w:noProof/>
        </w:rPr>
        <w:t>t založené na posouzení rizik v souladu s plánem auditů finančních zprostředkovatelů. Tyto audity ověří: i) účinnost kontrolních systémů, včetně odhalování podvodů, korupce a střetu zájmů; a ii) že je splněn požadavek, aby koneční příjemci nástroje neobdrž</w:t>
      </w:r>
      <w:r>
        <w:rPr>
          <w:noProof/>
        </w:rPr>
        <w:t xml:space="preserve">eli podporu z jiných nástrojů Unie na pokrytí stejných nákladů. Audity rovněž ověří zákonnost transakcí a dodržování podmínek platných dohod. </w:t>
      </w:r>
    </w:p>
    <w:p w14:paraId="1A4849B5" w14:textId="77777777" w:rsidR="00515398" w:rsidRDefault="006711E6">
      <w:pPr>
        <w:pStyle w:val="P68B1DB1-Normal15"/>
        <w:spacing w:before="120" w:after="120" w:line="240" w:lineRule="auto"/>
        <w:jc w:val="both"/>
        <w:rPr>
          <w:b/>
          <w:noProof/>
        </w:rPr>
      </w:pPr>
      <w:r>
        <w:rPr>
          <w:noProof/>
        </w:rPr>
        <w:t>Provádění opatření bude dokončeno do 31. srpna 2026.</w:t>
      </w:r>
    </w:p>
    <w:p w14:paraId="57EA0A07" w14:textId="77777777" w:rsidR="00515398" w:rsidRDefault="006711E6">
      <w:pPr>
        <w:pStyle w:val="P68B1DB1-Normal4"/>
        <w:spacing w:before="120" w:after="120" w:line="240" w:lineRule="auto"/>
        <w:ind w:firstLine="6"/>
        <w:jc w:val="both"/>
        <w:outlineLvl w:val="3"/>
        <w:rPr>
          <w:b/>
          <w:noProof/>
        </w:rPr>
      </w:pPr>
      <w:r>
        <w:rPr>
          <w:noProof/>
        </w:rPr>
        <w:t xml:space="preserve"> </w:t>
      </w:r>
    </w:p>
    <w:p w14:paraId="488F8310" w14:textId="77777777" w:rsidR="00515398" w:rsidRDefault="00515398">
      <w:pPr>
        <w:spacing w:before="120" w:after="120" w:line="240" w:lineRule="auto"/>
        <w:ind w:firstLine="6"/>
        <w:jc w:val="both"/>
        <w:outlineLvl w:val="3"/>
        <w:rPr>
          <w:rFonts w:ascii="Times New Roman" w:hAnsi="Times New Roman"/>
          <w:b/>
          <w:noProof/>
          <w:sz w:val="24"/>
        </w:rPr>
      </w:pPr>
    </w:p>
    <w:p w14:paraId="44A3D275" w14:textId="77777777" w:rsidR="00515398" w:rsidRDefault="00515398">
      <w:pPr>
        <w:spacing w:before="120" w:after="120" w:line="240" w:lineRule="auto"/>
        <w:jc w:val="both"/>
        <w:rPr>
          <w:rFonts w:ascii="Times New Roman" w:hAnsi="Times New Roman" w:cs="Times New Roman"/>
          <w:i/>
          <w:noProof/>
          <w:sz w:val="24"/>
          <w:u w:val="single"/>
        </w:rPr>
      </w:pPr>
    </w:p>
    <w:p w14:paraId="5BCD9D95" w14:textId="77777777" w:rsidR="00515398" w:rsidRDefault="00515398">
      <w:pPr>
        <w:spacing w:after="160" w:line="259" w:lineRule="auto"/>
        <w:ind w:left="709"/>
        <w:contextualSpacing/>
        <w:jc w:val="both"/>
        <w:rPr>
          <w:noProof/>
        </w:rPr>
      </w:pPr>
    </w:p>
    <w:p w14:paraId="42E3E486" w14:textId="77777777" w:rsidR="00515398" w:rsidRDefault="00515398">
      <w:pPr>
        <w:spacing w:after="160" w:line="259" w:lineRule="auto"/>
        <w:ind w:left="709"/>
        <w:contextualSpacing/>
        <w:jc w:val="both"/>
        <w:rPr>
          <w:noProof/>
        </w:rPr>
        <w:sectPr w:rsidR="00515398" w:rsidSect="004E363A">
          <w:headerReference w:type="even" r:id="rId199"/>
          <w:headerReference w:type="default" r:id="rId200"/>
          <w:footerReference w:type="even" r:id="rId201"/>
          <w:footerReference w:type="default" r:id="rId202"/>
          <w:headerReference w:type="first" r:id="rId203"/>
          <w:footerReference w:type="first" r:id="rId204"/>
          <w:pgSz w:w="11907" w:h="16839"/>
          <w:pgMar w:top="1134" w:right="1417" w:bottom="1134" w:left="1417" w:header="709" w:footer="326" w:gutter="0"/>
          <w:cols w:space="720"/>
          <w:docGrid w:linePitch="360"/>
        </w:sectPr>
      </w:pPr>
    </w:p>
    <w:p w14:paraId="3BC2AE40"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B.4. </w:t>
      </w:r>
      <w:r>
        <w:rPr>
          <w:noProof/>
        </w:rPr>
        <w:t xml:space="preserve"> </w:t>
      </w:r>
      <w:r>
        <w:rPr>
          <w:rFonts w:ascii="Times New Roman" w:hAnsi="Times New Roman"/>
          <w:b/>
          <w:noProof/>
          <w:sz w:val="24"/>
          <w:u w:val="single"/>
        </w:rPr>
        <w:t xml:space="preserve">Milníky, cíle, ukazatele a harmonogram monitorování a provádění půjčky </w:t>
      </w:r>
    </w:p>
    <w:p w14:paraId="36A3AD02" w14:textId="77777777" w:rsidR="00515398" w:rsidRDefault="006711E6">
      <w:pPr>
        <w:pStyle w:val="P68B1DB1-Normal6"/>
        <w:keepNext/>
        <w:keepLines/>
        <w:spacing w:before="40" w:after="240" w:line="240" w:lineRule="auto"/>
        <w:jc w:val="both"/>
        <w:outlineLvl w:val="4"/>
        <w:rPr>
          <w:rFonts w:eastAsia="Times New Roman"/>
          <w:noProof/>
        </w:rPr>
      </w:pPr>
      <w:r>
        <w:rPr>
          <w:noProof/>
        </w:rPr>
        <w:t>Program cenově dostupného bydlení „Můj domov II“ (16400)</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070"/>
        <w:gridCol w:w="1320"/>
        <w:gridCol w:w="1440"/>
        <w:gridCol w:w="1080"/>
        <w:gridCol w:w="1200"/>
        <w:gridCol w:w="840"/>
        <w:gridCol w:w="1080"/>
        <w:gridCol w:w="840"/>
        <w:gridCol w:w="4608"/>
      </w:tblGrid>
      <w:tr w:rsidR="00515398" w14:paraId="364DAC77" w14:textId="77777777">
        <w:trPr>
          <w:trHeight w:val="810"/>
          <w:tblHeader/>
          <w:jc w:val="center"/>
        </w:trPr>
        <w:tc>
          <w:tcPr>
            <w:tcW w:w="704" w:type="dxa"/>
            <w:vMerge w:val="restart"/>
            <w:shd w:val="clear" w:color="auto" w:fill="BDD7EE"/>
            <w:vAlign w:val="center"/>
            <w:hideMark/>
          </w:tcPr>
          <w:p w14:paraId="403104D0" w14:textId="77777777" w:rsidR="00515398" w:rsidRDefault="006711E6">
            <w:pPr>
              <w:pStyle w:val="P68B1DB1-Normal16"/>
              <w:spacing w:after="0" w:line="240" w:lineRule="auto"/>
              <w:jc w:val="center"/>
              <w:rPr>
                <w:rFonts w:eastAsia="Times New Roman" w:cs="Times New Roman"/>
                <w:noProof/>
                <w:szCs w:val="20"/>
              </w:rPr>
            </w:pPr>
            <w:r>
              <w:rPr>
                <w:noProof/>
              </w:rPr>
              <w:t>Pořadové číslo</w:t>
            </w:r>
          </w:p>
        </w:tc>
        <w:tc>
          <w:tcPr>
            <w:tcW w:w="1701" w:type="dxa"/>
            <w:vMerge w:val="restart"/>
            <w:shd w:val="clear" w:color="auto" w:fill="BDD7EE"/>
            <w:vAlign w:val="center"/>
            <w:hideMark/>
          </w:tcPr>
          <w:p w14:paraId="3392664C" w14:textId="77777777" w:rsidR="00515398" w:rsidRDefault="006711E6">
            <w:pPr>
              <w:pStyle w:val="P68B1DB1-Normal16"/>
              <w:spacing w:after="0" w:line="240" w:lineRule="auto"/>
              <w:jc w:val="center"/>
              <w:rPr>
                <w:rFonts w:eastAsia="Times New Roman" w:cs="Times New Roman"/>
                <w:noProof/>
                <w:szCs w:val="20"/>
              </w:rPr>
            </w:pPr>
            <w:r>
              <w:rPr>
                <w:noProof/>
              </w:rPr>
              <w:t>Související opatření (reforma nebo investice)</w:t>
            </w:r>
          </w:p>
        </w:tc>
        <w:tc>
          <w:tcPr>
            <w:tcW w:w="1070" w:type="dxa"/>
            <w:vMerge w:val="restart"/>
            <w:shd w:val="clear" w:color="auto" w:fill="BDD7EE"/>
            <w:vAlign w:val="center"/>
            <w:hideMark/>
          </w:tcPr>
          <w:p w14:paraId="126B3712" w14:textId="77777777" w:rsidR="00515398" w:rsidRDefault="006711E6">
            <w:pPr>
              <w:pStyle w:val="P68B1DB1-Normal16"/>
              <w:spacing w:after="0" w:line="240" w:lineRule="auto"/>
              <w:jc w:val="center"/>
              <w:rPr>
                <w:rFonts w:eastAsia="Times New Roman" w:cs="Times New Roman"/>
                <w:noProof/>
                <w:szCs w:val="20"/>
              </w:rPr>
            </w:pPr>
            <w:r>
              <w:rPr>
                <w:noProof/>
              </w:rPr>
              <w:t>Milník/cíl</w:t>
            </w:r>
          </w:p>
        </w:tc>
        <w:tc>
          <w:tcPr>
            <w:tcW w:w="1320" w:type="dxa"/>
            <w:vMerge w:val="restart"/>
            <w:shd w:val="clear" w:color="auto" w:fill="BDD7EE"/>
            <w:vAlign w:val="center"/>
            <w:hideMark/>
          </w:tcPr>
          <w:p w14:paraId="362C6FA0" w14:textId="77777777" w:rsidR="00515398" w:rsidRDefault="006711E6">
            <w:pPr>
              <w:pStyle w:val="P68B1DB1-Normal16"/>
              <w:spacing w:after="0" w:line="240" w:lineRule="auto"/>
              <w:jc w:val="center"/>
              <w:rPr>
                <w:rFonts w:eastAsia="Times New Roman" w:cs="Times New Roman"/>
                <w:noProof/>
                <w:szCs w:val="20"/>
              </w:rPr>
            </w:pPr>
            <w:r>
              <w:rPr>
                <w:noProof/>
              </w:rPr>
              <w:t>Jméno</w:t>
            </w:r>
          </w:p>
        </w:tc>
        <w:tc>
          <w:tcPr>
            <w:tcW w:w="1440" w:type="dxa"/>
            <w:vMerge w:val="restart"/>
            <w:shd w:val="clear" w:color="auto" w:fill="BDD7EE"/>
            <w:vAlign w:val="center"/>
            <w:hideMark/>
          </w:tcPr>
          <w:p w14:paraId="61C32EE8" w14:textId="77777777" w:rsidR="00515398" w:rsidRDefault="006711E6">
            <w:pPr>
              <w:pStyle w:val="P68B1DB1-Normal16"/>
              <w:spacing w:after="0" w:line="240" w:lineRule="auto"/>
              <w:jc w:val="center"/>
              <w:rPr>
                <w:rFonts w:eastAsia="Times New Roman" w:cs="Times New Roman"/>
                <w:noProof/>
                <w:szCs w:val="20"/>
              </w:rPr>
            </w:pPr>
            <w:r>
              <w:rPr>
                <w:noProof/>
              </w:rPr>
              <w:t xml:space="preserve">Kvalitativní </w:t>
            </w:r>
            <w:r>
              <w:rPr>
                <w:noProof/>
              </w:rPr>
              <w:t>ukazatele (pro milníky)</w:t>
            </w:r>
          </w:p>
        </w:tc>
        <w:tc>
          <w:tcPr>
            <w:tcW w:w="3120" w:type="dxa"/>
            <w:gridSpan w:val="3"/>
            <w:shd w:val="clear" w:color="auto" w:fill="BDD7EE"/>
            <w:vAlign w:val="center"/>
            <w:hideMark/>
          </w:tcPr>
          <w:p w14:paraId="17EB55B2" w14:textId="75398ACA" w:rsidR="00515398" w:rsidRDefault="006711E6">
            <w:pPr>
              <w:pStyle w:val="P68B1DB1-Normal16"/>
              <w:spacing w:after="0" w:line="240" w:lineRule="auto"/>
              <w:jc w:val="center"/>
              <w:rPr>
                <w:rFonts w:eastAsia="Times New Roman" w:cs="Times New Roman"/>
                <w:noProof/>
                <w:szCs w:val="20"/>
              </w:rPr>
            </w:pPr>
            <w:r>
              <w:rPr>
                <w:noProof/>
              </w:rPr>
              <w:t>Kvantitativní ukazatele (pro cíle)</w:t>
            </w:r>
          </w:p>
        </w:tc>
        <w:tc>
          <w:tcPr>
            <w:tcW w:w="1920" w:type="dxa"/>
            <w:gridSpan w:val="2"/>
            <w:shd w:val="clear" w:color="auto" w:fill="BDD7EE"/>
            <w:vAlign w:val="center"/>
            <w:hideMark/>
          </w:tcPr>
          <w:p w14:paraId="3A435838" w14:textId="77777777" w:rsidR="00515398" w:rsidRDefault="006711E6">
            <w:pPr>
              <w:pStyle w:val="P68B1DB1-Normal16"/>
              <w:spacing w:after="0" w:line="240" w:lineRule="auto"/>
              <w:jc w:val="center"/>
              <w:rPr>
                <w:rFonts w:eastAsia="Times New Roman" w:cs="Times New Roman"/>
                <w:noProof/>
                <w:szCs w:val="20"/>
              </w:rPr>
            </w:pPr>
            <w:r>
              <w:rPr>
                <w:noProof/>
              </w:rPr>
              <w:t>Orientační harmonogram pro dokončení</w:t>
            </w:r>
          </w:p>
        </w:tc>
        <w:tc>
          <w:tcPr>
            <w:tcW w:w="4608" w:type="dxa"/>
            <w:vMerge w:val="restart"/>
            <w:shd w:val="clear" w:color="auto" w:fill="BDD7EE"/>
            <w:vAlign w:val="center"/>
            <w:hideMark/>
          </w:tcPr>
          <w:p w14:paraId="449C2BEB" w14:textId="77777777" w:rsidR="00515398" w:rsidRDefault="006711E6">
            <w:pPr>
              <w:pStyle w:val="P68B1DB1-Normal16"/>
              <w:spacing w:after="0" w:line="240" w:lineRule="auto"/>
              <w:jc w:val="center"/>
              <w:rPr>
                <w:rFonts w:eastAsia="Times New Roman" w:cs="Times New Roman"/>
                <w:noProof/>
                <w:szCs w:val="20"/>
              </w:rPr>
            </w:pPr>
            <w:r>
              <w:rPr>
                <w:noProof/>
              </w:rPr>
              <w:t>Popis každého milníku a cíle</w:t>
            </w:r>
          </w:p>
        </w:tc>
      </w:tr>
      <w:tr w:rsidR="00515398" w14:paraId="5DEB8C31" w14:textId="77777777">
        <w:trPr>
          <w:trHeight w:val="581"/>
          <w:tblHeader/>
          <w:jc w:val="center"/>
        </w:trPr>
        <w:tc>
          <w:tcPr>
            <w:tcW w:w="704" w:type="dxa"/>
            <w:vMerge/>
            <w:vAlign w:val="center"/>
            <w:hideMark/>
          </w:tcPr>
          <w:p w14:paraId="5CDE1FC1" w14:textId="77777777" w:rsidR="00515398" w:rsidRDefault="00515398">
            <w:pPr>
              <w:spacing w:after="0" w:line="240" w:lineRule="auto"/>
              <w:rPr>
                <w:rFonts w:ascii="Times New Roman" w:eastAsia="Times New Roman" w:hAnsi="Times New Roman" w:cs="Times New Roman"/>
                <w:b/>
                <w:bCs/>
                <w:noProof/>
                <w:sz w:val="24"/>
                <w:szCs w:val="24"/>
              </w:rPr>
            </w:pPr>
          </w:p>
        </w:tc>
        <w:tc>
          <w:tcPr>
            <w:tcW w:w="1701" w:type="dxa"/>
            <w:vMerge/>
            <w:vAlign w:val="center"/>
            <w:hideMark/>
          </w:tcPr>
          <w:p w14:paraId="507516BD" w14:textId="77777777" w:rsidR="00515398" w:rsidRDefault="00515398">
            <w:pPr>
              <w:spacing w:after="0" w:line="240" w:lineRule="auto"/>
              <w:rPr>
                <w:rFonts w:ascii="Times New Roman" w:eastAsia="Times New Roman" w:hAnsi="Times New Roman" w:cs="Times New Roman"/>
                <w:b/>
                <w:bCs/>
                <w:noProof/>
                <w:sz w:val="24"/>
                <w:szCs w:val="24"/>
              </w:rPr>
            </w:pPr>
          </w:p>
        </w:tc>
        <w:tc>
          <w:tcPr>
            <w:tcW w:w="1070" w:type="dxa"/>
            <w:vMerge/>
            <w:vAlign w:val="center"/>
            <w:hideMark/>
          </w:tcPr>
          <w:p w14:paraId="36F63284" w14:textId="77777777" w:rsidR="00515398" w:rsidRDefault="00515398">
            <w:pPr>
              <w:spacing w:after="0" w:line="240" w:lineRule="auto"/>
              <w:rPr>
                <w:rFonts w:ascii="Times New Roman" w:eastAsia="Times New Roman" w:hAnsi="Times New Roman" w:cs="Times New Roman"/>
                <w:b/>
                <w:bCs/>
                <w:noProof/>
                <w:sz w:val="24"/>
                <w:szCs w:val="24"/>
              </w:rPr>
            </w:pPr>
          </w:p>
        </w:tc>
        <w:tc>
          <w:tcPr>
            <w:tcW w:w="1320" w:type="dxa"/>
            <w:vMerge/>
            <w:vAlign w:val="center"/>
            <w:hideMark/>
          </w:tcPr>
          <w:p w14:paraId="1DFCD456" w14:textId="77777777" w:rsidR="00515398" w:rsidRDefault="00515398">
            <w:pPr>
              <w:spacing w:after="0" w:line="240" w:lineRule="auto"/>
              <w:rPr>
                <w:rFonts w:ascii="Times New Roman" w:eastAsia="Times New Roman" w:hAnsi="Times New Roman" w:cs="Times New Roman"/>
                <w:b/>
                <w:bCs/>
                <w:noProof/>
                <w:sz w:val="24"/>
                <w:szCs w:val="24"/>
              </w:rPr>
            </w:pPr>
          </w:p>
        </w:tc>
        <w:tc>
          <w:tcPr>
            <w:tcW w:w="1440" w:type="dxa"/>
            <w:vMerge/>
            <w:vAlign w:val="center"/>
            <w:hideMark/>
          </w:tcPr>
          <w:p w14:paraId="076AADAE" w14:textId="77777777" w:rsidR="00515398" w:rsidRDefault="00515398">
            <w:pPr>
              <w:spacing w:after="0" w:line="240" w:lineRule="auto"/>
              <w:rPr>
                <w:rFonts w:ascii="Times New Roman" w:eastAsia="Times New Roman" w:hAnsi="Times New Roman" w:cs="Times New Roman"/>
                <w:b/>
                <w:bCs/>
                <w:noProof/>
                <w:sz w:val="24"/>
                <w:szCs w:val="24"/>
              </w:rPr>
            </w:pPr>
          </w:p>
        </w:tc>
        <w:tc>
          <w:tcPr>
            <w:tcW w:w="1080" w:type="dxa"/>
            <w:shd w:val="clear" w:color="auto" w:fill="BDD7EE"/>
            <w:vAlign w:val="center"/>
            <w:hideMark/>
          </w:tcPr>
          <w:p w14:paraId="229595CC"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1200" w:type="dxa"/>
            <w:shd w:val="clear" w:color="auto" w:fill="BDD7EE"/>
            <w:vAlign w:val="center"/>
            <w:hideMark/>
          </w:tcPr>
          <w:p w14:paraId="5FA085AE" w14:textId="77777777" w:rsidR="00515398" w:rsidRDefault="006711E6">
            <w:pPr>
              <w:pStyle w:val="P68B1DB1-Normal7"/>
              <w:spacing w:after="0" w:line="240" w:lineRule="auto"/>
              <w:jc w:val="center"/>
              <w:rPr>
                <w:rFonts w:eastAsia="Times New Roman" w:cs="Times New Roman"/>
                <w:noProof/>
                <w:szCs w:val="18"/>
              </w:rPr>
            </w:pPr>
            <w:r>
              <w:rPr>
                <w:noProof/>
              </w:rPr>
              <w:t>Výchozí stav</w:t>
            </w:r>
          </w:p>
        </w:tc>
        <w:tc>
          <w:tcPr>
            <w:tcW w:w="840" w:type="dxa"/>
            <w:shd w:val="clear" w:color="auto" w:fill="BDD7EE"/>
            <w:vAlign w:val="center"/>
            <w:hideMark/>
          </w:tcPr>
          <w:p w14:paraId="2C35447F" w14:textId="77777777" w:rsidR="00515398" w:rsidRDefault="006711E6">
            <w:pPr>
              <w:pStyle w:val="P68B1DB1-Normal7"/>
              <w:spacing w:after="0" w:line="240" w:lineRule="auto"/>
              <w:jc w:val="center"/>
              <w:rPr>
                <w:rFonts w:eastAsia="Times New Roman" w:cs="Times New Roman"/>
                <w:noProof/>
                <w:szCs w:val="18"/>
              </w:rPr>
            </w:pPr>
            <w:r>
              <w:rPr>
                <w:noProof/>
              </w:rPr>
              <w:t>Cíl</w:t>
            </w:r>
          </w:p>
        </w:tc>
        <w:tc>
          <w:tcPr>
            <w:tcW w:w="1080" w:type="dxa"/>
            <w:shd w:val="clear" w:color="auto" w:fill="BDD7EE"/>
            <w:vAlign w:val="center"/>
            <w:hideMark/>
          </w:tcPr>
          <w:p w14:paraId="12917F47"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840" w:type="dxa"/>
            <w:shd w:val="clear" w:color="auto" w:fill="BDD7EE"/>
            <w:vAlign w:val="center"/>
            <w:hideMark/>
          </w:tcPr>
          <w:p w14:paraId="72CC70AD"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4608" w:type="dxa"/>
            <w:vMerge/>
            <w:vAlign w:val="center"/>
            <w:hideMark/>
          </w:tcPr>
          <w:p w14:paraId="280B8B4B" w14:textId="77777777" w:rsidR="00515398" w:rsidRDefault="00515398">
            <w:pPr>
              <w:spacing w:after="0" w:line="240" w:lineRule="auto"/>
              <w:rPr>
                <w:rFonts w:ascii="Times New Roman" w:eastAsia="Times New Roman" w:hAnsi="Times New Roman" w:cs="Times New Roman"/>
                <w:b/>
                <w:bCs/>
                <w:noProof/>
                <w:sz w:val="24"/>
                <w:szCs w:val="24"/>
              </w:rPr>
            </w:pPr>
          </w:p>
        </w:tc>
      </w:tr>
      <w:tr w:rsidR="00515398" w14:paraId="141CA8E2" w14:textId="77777777">
        <w:trPr>
          <w:trHeight w:val="314"/>
          <w:jc w:val="center"/>
        </w:trPr>
        <w:tc>
          <w:tcPr>
            <w:tcW w:w="704" w:type="dxa"/>
            <w:shd w:val="clear" w:color="auto" w:fill="C6EFCE"/>
            <w:noWrap/>
          </w:tcPr>
          <w:p w14:paraId="40B95CB2" w14:textId="5733907A" w:rsidR="00515398" w:rsidRDefault="006711E6">
            <w:pPr>
              <w:pStyle w:val="P68B1DB1-Normal9"/>
              <w:spacing w:after="0" w:line="240" w:lineRule="auto"/>
              <w:rPr>
                <w:noProof/>
              </w:rPr>
            </w:pPr>
            <w:r>
              <w:rPr>
                <w:noProof/>
              </w:rPr>
              <w:t>378</w:t>
            </w:r>
          </w:p>
        </w:tc>
        <w:tc>
          <w:tcPr>
            <w:tcW w:w="1701" w:type="dxa"/>
            <w:shd w:val="clear" w:color="auto" w:fill="C6EFCE"/>
            <w:noWrap/>
          </w:tcPr>
          <w:p w14:paraId="2225E910" w14:textId="77777777" w:rsidR="00515398" w:rsidRDefault="006711E6">
            <w:pPr>
              <w:pStyle w:val="P68B1DB1-Normal9"/>
              <w:spacing w:after="0" w:line="240" w:lineRule="auto"/>
              <w:rPr>
                <w:rFonts w:eastAsia="Times New Roman" w:cs="Calibri"/>
                <w:noProof/>
                <w:szCs w:val="18"/>
              </w:rPr>
            </w:pPr>
            <w:r>
              <w:rPr>
                <w:noProof/>
              </w:rPr>
              <w:t xml:space="preserve">11–3.4. Zlepšení přístupu k účinným a inkluzivním sociálním politikám – </w:t>
            </w:r>
            <w:r>
              <w:rPr>
                <w:noProof/>
              </w:rPr>
              <w:t>16400 – Program cenově dostupného bydlení „Můj domov II“</w:t>
            </w:r>
          </w:p>
        </w:tc>
        <w:tc>
          <w:tcPr>
            <w:tcW w:w="1070" w:type="dxa"/>
            <w:shd w:val="clear" w:color="auto" w:fill="C6EFCE"/>
            <w:noWrap/>
          </w:tcPr>
          <w:p w14:paraId="236AE0D5" w14:textId="77777777" w:rsidR="00515398" w:rsidRDefault="006711E6">
            <w:pPr>
              <w:pStyle w:val="P68B1DB1-Normal9"/>
              <w:spacing w:after="0" w:line="240" w:lineRule="auto"/>
              <w:rPr>
                <w:rFonts w:eastAsia="Times New Roman" w:cs="Calibri"/>
                <w:noProof/>
                <w:szCs w:val="18"/>
              </w:rPr>
            </w:pPr>
            <w:r>
              <w:rPr>
                <w:noProof/>
              </w:rPr>
              <w:t>Milník</w:t>
            </w:r>
          </w:p>
        </w:tc>
        <w:tc>
          <w:tcPr>
            <w:tcW w:w="1320" w:type="dxa"/>
            <w:shd w:val="clear" w:color="auto" w:fill="C6EFCE"/>
            <w:noWrap/>
          </w:tcPr>
          <w:p w14:paraId="564012EF" w14:textId="54F4A577" w:rsidR="00515398" w:rsidRDefault="006711E6">
            <w:pPr>
              <w:pStyle w:val="P68B1DB1-Normal9"/>
              <w:spacing w:after="0" w:line="240" w:lineRule="auto"/>
              <w:rPr>
                <w:rFonts w:eastAsia="Times New Roman" w:cs="Calibri"/>
                <w:noProof/>
                <w:szCs w:val="18"/>
              </w:rPr>
            </w:pPr>
            <w:r>
              <w:rPr>
                <w:noProof/>
              </w:rPr>
              <w:t>Moje domov II – Prováděcí dohoda mezi řeckou rozvojovou bankou a ministerstvem financí</w:t>
            </w:r>
          </w:p>
        </w:tc>
        <w:tc>
          <w:tcPr>
            <w:tcW w:w="1440" w:type="dxa"/>
            <w:shd w:val="clear" w:color="auto" w:fill="C6EFCE"/>
            <w:noWrap/>
          </w:tcPr>
          <w:p w14:paraId="73234691" w14:textId="63323F73" w:rsidR="00515398" w:rsidRDefault="006711E6">
            <w:pPr>
              <w:pStyle w:val="P68B1DB1-Normal9"/>
              <w:spacing w:after="0" w:line="240" w:lineRule="auto"/>
              <w:rPr>
                <w:rFonts w:eastAsia="Times New Roman" w:cs="Calibri"/>
                <w:noProof/>
                <w:szCs w:val="18"/>
              </w:rPr>
            </w:pPr>
            <w:r>
              <w:rPr>
                <w:noProof/>
              </w:rPr>
              <w:t>Vstup prováděcí dohody v platnost</w:t>
            </w:r>
          </w:p>
        </w:tc>
        <w:tc>
          <w:tcPr>
            <w:tcW w:w="1080" w:type="dxa"/>
            <w:shd w:val="clear" w:color="auto" w:fill="C6EFCE"/>
            <w:noWrap/>
          </w:tcPr>
          <w:p w14:paraId="2B573086" w14:textId="77777777" w:rsidR="00515398" w:rsidRDefault="00515398">
            <w:pPr>
              <w:spacing w:after="0" w:line="240" w:lineRule="auto"/>
              <w:rPr>
                <w:rFonts w:eastAsia="Times New Roman" w:cs="Calibri"/>
                <w:noProof/>
                <w:color w:val="006100"/>
                <w:sz w:val="18"/>
                <w:szCs w:val="18"/>
              </w:rPr>
            </w:pPr>
          </w:p>
        </w:tc>
        <w:tc>
          <w:tcPr>
            <w:tcW w:w="1200" w:type="dxa"/>
            <w:shd w:val="clear" w:color="auto" w:fill="C6EFCE"/>
            <w:noWrap/>
          </w:tcPr>
          <w:p w14:paraId="4AED444B" w14:textId="77777777" w:rsidR="00515398" w:rsidRDefault="00515398">
            <w:pPr>
              <w:spacing w:after="0" w:line="240" w:lineRule="auto"/>
              <w:rPr>
                <w:rFonts w:eastAsia="Times New Roman" w:cs="Calibri"/>
                <w:noProof/>
                <w:color w:val="006100"/>
                <w:sz w:val="18"/>
                <w:szCs w:val="18"/>
              </w:rPr>
            </w:pPr>
          </w:p>
        </w:tc>
        <w:tc>
          <w:tcPr>
            <w:tcW w:w="840" w:type="dxa"/>
            <w:shd w:val="clear" w:color="auto" w:fill="C6EFCE"/>
            <w:noWrap/>
          </w:tcPr>
          <w:p w14:paraId="0B61D341" w14:textId="77777777" w:rsidR="00515398" w:rsidRDefault="00515398">
            <w:pPr>
              <w:spacing w:after="0" w:line="240" w:lineRule="auto"/>
              <w:rPr>
                <w:rFonts w:eastAsia="Times New Roman" w:cs="Calibri"/>
                <w:noProof/>
                <w:color w:val="006100"/>
                <w:sz w:val="18"/>
                <w:szCs w:val="18"/>
              </w:rPr>
            </w:pPr>
          </w:p>
        </w:tc>
        <w:tc>
          <w:tcPr>
            <w:tcW w:w="1080" w:type="dxa"/>
            <w:shd w:val="clear" w:color="auto" w:fill="C6EFCE"/>
            <w:noWrap/>
          </w:tcPr>
          <w:p w14:paraId="42F22E9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shd w:val="clear" w:color="auto" w:fill="C6EFCE"/>
            <w:noWrap/>
          </w:tcPr>
          <w:p w14:paraId="5FF1553A" w14:textId="77777777" w:rsidR="00515398" w:rsidRDefault="006711E6">
            <w:pPr>
              <w:pStyle w:val="P68B1DB1-Normal9"/>
              <w:spacing w:after="0" w:line="240" w:lineRule="auto"/>
              <w:rPr>
                <w:rFonts w:eastAsia="Times New Roman" w:cs="Calibri"/>
                <w:noProof/>
                <w:szCs w:val="18"/>
              </w:rPr>
            </w:pPr>
            <w:r>
              <w:rPr>
                <w:noProof/>
              </w:rPr>
              <w:t>2024</w:t>
            </w:r>
          </w:p>
        </w:tc>
        <w:tc>
          <w:tcPr>
            <w:tcW w:w="4608" w:type="dxa"/>
            <w:shd w:val="clear" w:color="auto" w:fill="C6EFCE"/>
            <w:noWrap/>
          </w:tcPr>
          <w:p w14:paraId="485F8922" w14:textId="7590D727" w:rsidR="00515398" w:rsidRDefault="006711E6">
            <w:pPr>
              <w:pStyle w:val="P68B1DB1-Normal9"/>
              <w:spacing w:after="0" w:line="240" w:lineRule="auto"/>
              <w:rPr>
                <w:rFonts w:eastAsia="Times New Roman" w:cs="Calibri"/>
                <w:noProof/>
                <w:szCs w:val="18"/>
              </w:rPr>
            </w:pPr>
            <w:r>
              <w:rPr>
                <w:noProof/>
              </w:rPr>
              <w:t>Vstup prováděcí dohody v platnost.</w:t>
            </w:r>
          </w:p>
        </w:tc>
      </w:tr>
      <w:tr w:rsidR="00515398" w14:paraId="56B7C5D2" w14:textId="77777777">
        <w:trPr>
          <w:trHeight w:val="314"/>
          <w:jc w:val="center"/>
        </w:trPr>
        <w:tc>
          <w:tcPr>
            <w:tcW w:w="704" w:type="dxa"/>
            <w:shd w:val="clear" w:color="auto" w:fill="C6EFCE"/>
            <w:noWrap/>
            <w:hideMark/>
          </w:tcPr>
          <w:p w14:paraId="009EB831" w14:textId="5CE7C07B" w:rsidR="00515398" w:rsidRDefault="006711E6">
            <w:pPr>
              <w:pStyle w:val="P68B1DB1-Normal9"/>
              <w:spacing w:after="0" w:line="240" w:lineRule="auto"/>
              <w:rPr>
                <w:noProof/>
              </w:rPr>
            </w:pPr>
            <w:r>
              <w:rPr>
                <w:noProof/>
              </w:rPr>
              <w:t>379</w:t>
            </w:r>
          </w:p>
        </w:tc>
        <w:tc>
          <w:tcPr>
            <w:tcW w:w="1701" w:type="dxa"/>
            <w:shd w:val="clear" w:color="auto" w:fill="C6EFCE"/>
            <w:noWrap/>
            <w:hideMark/>
          </w:tcPr>
          <w:p w14:paraId="640CE0CD" w14:textId="77777777" w:rsidR="00515398" w:rsidRDefault="006711E6">
            <w:pPr>
              <w:pStyle w:val="P68B1DB1-Normal9"/>
              <w:spacing w:after="0" w:line="240" w:lineRule="auto"/>
              <w:rPr>
                <w:rFonts w:eastAsia="Times New Roman" w:cs="Calibri"/>
                <w:noProof/>
                <w:szCs w:val="18"/>
              </w:rPr>
            </w:pPr>
            <w:r>
              <w:rPr>
                <w:noProof/>
              </w:rPr>
              <w:t>11–3.4.</w:t>
            </w:r>
            <w:r>
              <w:rPr>
                <w:noProof/>
              </w:rPr>
              <w:t xml:space="preserve"> Zlepšení přístupu k účinným a inkluzivním sociálním politikám – 16400 – Program cenově dostupného bydlení „Můj domov II“</w:t>
            </w:r>
          </w:p>
        </w:tc>
        <w:tc>
          <w:tcPr>
            <w:tcW w:w="1070" w:type="dxa"/>
            <w:shd w:val="clear" w:color="auto" w:fill="C6EFCE"/>
            <w:noWrap/>
          </w:tcPr>
          <w:p w14:paraId="5D1910BB" w14:textId="77777777" w:rsidR="00515398" w:rsidRDefault="006711E6">
            <w:pPr>
              <w:pStyle w:val="P68B1DB1-Normal17"/>
              <w:spacing w:after="0" w:line="240" w:lineRule="auto"/>
              <w:rPr>
                <w:noProof/>
              </w:rPr>
            </w:pPr>
            <w:r>
              <w:rPr>
                <w:noProof/>
              </w:rPr>
              <w:t>Cílová</w:t>
            </w:r>
          </w:p>
        </w:tc>
        <w:tc>
          <w:tcPr>
            <w:tcW w:w="1320" w:type="dxa"/>
            <w:shd w:val="clear" w:color="auto" w:fill="C6EFCE"/>
            <w:noWrap/>
          </w:tcPr>
          <w:p w14:paraId="25A3CFB2" w14:textId="3D8768BC" w:rsidR="00515398" w:rsidRDefault="006711E6">
            <w:pPr>
              <w:pStyle w:val="P68B1DB1-Normal9"/>
              <w:spacing w:after="0" w:line="240" w:lineRule="auto"/>
              <w:rPr>
                <w:rFonts w:eastAsia="Times New Roman" w:cs="Calibri"/>
                <w:noProof/>
                <w:szCs w:val="18"/>
              </w:rPr>
            </w:pPr>
            <w:r>
              <w:rPr>
                <w:noProof/>
              </w:rPr>
              <w:t xml:space="preserve">Můj domov II – </w:t>
            </w:r>
            <w:r>
              <w:rPr>
                <w:rFonts w:eastAsia="Times New Roman" w:cs="Calibri"/>
                <w:noProof/>
                <w:szCs w:val="18"/>
              </w:rPr>
              <w:t>právní dohody podepsané s konečnými příjemci – 50 %</w:t>
            </w:r>
          </w:p>
        </w:tc>
        <w:tc>
          <w:tcPr>
            <w:tcW w:w="1440" w:type="dxa"/>
            <w:shd w:val="clear" w:color="auto" w:fill="C6EFCE"/>
            <w:noWrap/>
          </w:tcPr>
          <w:p w14:paraId="18639983" w14:textId="77777777" w:rsidR="00515398" w:rsidRDefault="00515398">
            <w:pPr>
              <w:spacing w:after="0" w:line="240" w:lineRule="auto"/>
              <w:rPr>
                <w:rFonts w:eastAsia="Times New Roman" w:cs="Calibri"/>
                <w:noProof/>
                <w:color w:val="006100"/>
                <w:sz w:val="18"/>
                <w:szCs w:val="18"/>
              </w:rPr>
            </w:pPr>
          </w:p>
        </w:tc>
        <w:tc>
          <w:tcPr>
            <w:tcW w:w="1080" w:type="dxa"/>
            <w:shd w:val="clear" w:color="auto" w:fill="C6EFCE"/>
            <w:noWrap/>
          </w:tcPr>
          <w:p w14:paraId="4004F2C2" w14:textId="77777777" w:rsidR="00515398" w:rsidRDefault="006711E6">
            <w:pPr>
              <w:pStyle w:val="P68B1DB1-Normal9"/>
              <w:spacing w:after="0" w:line="240" w:lineRule="auto"/>
              <w:rPr>
                <w:rFonts w:eastAsia="Times New Roman" w:cs="Calibri"/>
                <w:noProof/>
                <w:szCs w:val="18"/>
              </w:rPr>
            </w:pPr>
            <w:r>
              <w:rPr>
                <w:noProof/>
              </w:rPr>
              <w:t>Procentní podíl (%)</w:t>
            </w:r>
          </w:p>
        </w:tc>
        <w:tc>
          <w:tcPr>
            <w:tcW w:w="1200" w:type="dxa"/>
            <w:shd w:val="clear" w:color="auto" w:fill="C6EFCE"/>
            <w:noWrap/>
          </w:tcPr>
          <w:p w14:paraId="18E1D0D9" w14:textId="77777777" w:rsidR="00515398" w:rsidRDefault="006711E6">
            <w:pPr>
              <w:pStyle w:val="P68B1DB1-Normal9"/>
              <w:spacing w:after="0" w:line="240" w:lineRule="auto"/>
              <w:rPr>
                <w:rFonts w:eastAsia="Times New Roman" w:cs="Calibri"/>
                <w:noProof/>
                <w:szCs w:val="18"/>
              </w:rPr>
            </w:pPr>
            <w:r>
              <w:rPr>
                <w:noProof/>
              </w:rPr>
              <w:t>0 %</w:t>
            </w:r>
          </w:p>
        </w:tc>
        <w:tc>
          <w:tcPr>
            <w:tcW w:w="840" w:type="dxa"/>
            <w:shd w:val="clear" w:color="auto" w:fill="C6EFCE"/>
            <w:noWrap/>
          </w:tcPr>
          <w:p w14:paraId="2A15DC8A" w14:textId="77777777" w:rsidR="00515398" w:rsidRDefault="006711E6">
            <w:pPr>
              <w:pStyle w:val="P68B1DB1-Normal9"/>
              <w:spacing w:after="0" w:line="240" w:lineRule="auto"/>
              <w:rPr>
                <w:rFonts w:eastAsia="Times New Roman" w:cs="Calibri"/>
                <w:noProof/>
                <w:szCs w:val="18"/>
              </w:rPr>
            </w:pPr>
            <w:r>
              <w:rPr>
                <w:noProof/>
              </w:rPr>
              <w:t>50 %</w:t>
            </w:r>
          </w:p>
        </w:tc>
        <w:tc>
          <w:tcPr>
            <w:tcW w:w="1080" w:type="dxa"/>
            <w:shd w:val="clear" w:color="auto" w:fill="C6EFCE"/>
            <w:noWrap/>
          </w:tcPr>
          <w:p w14:paraId="23BA6D75"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shd w:val="clear" w:color="auto" w:fill="C6EFCE"/>
            <w:noWrap/>
          </w:tcPr>
          <w:p w14:paraId="4205D461" w14:textId="77777777" w:rsidR="00515398" w:rsidRDefault="006711E6">
            <w:pPr>
              <w:pStyle w:val="P68B1DB1-Normal9"/>
              <w:spacing w:after="0" w:line="240" w:lineRule="auto"/>
              <w:rPr>
                <w:rFonts w:eastAsia="Times New Roman" w:cs="Calibri"/>
                <w:noProof/>
                <w:szCs w:val="18"/>
              </w:rPr>
            </w:pPr>
            <w:r>
              <w:rPr>
                <w:noProof/>
              </w:rPr>
              <w:t>2025</w:t>
            </w:r>
          </w:p>
        </w:tc>
        <w:tc>
          <w:tcPr>
            <w:tcW w:w="4608" w:type="dxa"/>
            <w:shd w:val="clear" w:color="auto" w:fill="C6EFCE"/>
            <w:noWrap/>
          </w:tcPr>
          <w:p w14:paraId="74B173E3" w14:textId="71F60BB8" w:rsidR="00515398" w:rsidRDefault="006711E6">
            <w:pPr>
              <w:pStyle w:val="P68B1DB1-Normal9"/>
              <w:spacing w:after="0" w:line="240" w:lineRule="auto"/>
              <w:rPr>
                <w:rFonts w:eastAsia="Times New Roman" w:cs="Calibri"/>
                <w:noProof/>
                <w:szCs w:val="18"/>
              </w:rPr>
            </w:pPr>
            <w:r>
              <w:rPr>
                <w:noProof/>
              </w:rPr>
              <w:t xml:space="preserve">Finanční </w:t>
            </w:r>
            <w:r>
              <w:rPr>
                <w:noProof/>
              </w:rPr>
              <w:t>zprostředkovatelé uzavřou s konečnými příjemci právní dohody o financování na částku nezbytnou k využití alespoň 50 % investic z Nástroje pro oživení a odolnost do nástroje „Můj domov II“ (s přihlédnutím k poplatkům za správu).</w:t>
            </w:r>
          </w:p>
        </w:tc>
      </w:tr>
      <w:tr w:rsidR="00515398" w14:paraId="5EFFD68F" w14:textId="77777777">
        <w:trPr>
          <w:trHeight w:val="314"/>
          <w:jc w:val="center"/>
        </w:trPr>
        <w:tc>
          <w:tcPr>
            <w:tcW w:w="704" w:type="dxa"/>
            <w:shd w:val="clear" w:color="auto" w:fill="C6EFCE"/>
            <w:noWrap/>
          </w:tcPr>
          <w:p w14:paraId="632CFAF4" w14:textId="5B4EB790" w:rsidR="00515398" w:rsidRDefault="006711E6">
            <w:pPr>
              <w:pStyle w:val="P68B1DB1-Normal9"/>
              <w:spacing w:after="0" w:line="240" w:lineRule="auto"/>
              <w:rPr>
                <w:noProof/>
              </w:rPr>
            </w:pPr>
            <w:r>
              <w:rPr>
                <w:noProof/>
              </w:rPr>
              <w:t>380</w:t>
            </w:r>
          </w:p>
        </w:tc>
        <w:tc>
          <w:tcPr>
            <w:tcW w:w="1701" w:type="dxa"/>
            <w:shd w:val="clear" w:color="auto" w:fill="C6EFCE"/>
            <w:noWrap/>
          </w:tcPr>
          <w:p w14:paraId="4FA45189" w14:textId="77777777" w:rsidR="00515398" w:rsidRDefault="006711E6">
            <w:pPr>
              <w:pStyle w:val="P68B1DB1-Normal9"/>
              <w:spacing w:after="0" w:line="240" w:lineRule="auto"/>
              <w:rPr>
                <w:noProof/>
              </w:rPr>
            </w:pPr>
            <w:r>
              <w:rPr>
                <w:noProof/>
              </w:rPr>
              <w:t xml:space="preserve">11–3.4. Zlepšení </w:t>
            </w:r>
            <w:r>
              <w:rPr>
                <w:noProof/>
              </w:rPr>
              <w:t>přístupu k účinným a inkluzivním sociálním politikám – 16400 – Program cenově dostupného bydlení „Můj domov II“</w:t>
            </w:r>
          </w:p>
        </w:tc>
        <w:tc>
          <w:tcPr>
            <w:tcW w:w="1070" w:type="dxa"/>
            <w:shd w:val="clear" w:color="auto" w:fill="C6EFCE"/>
            <w:noWrap/>
          </w:tcPr>
          <w:p w14:paraId="6DD8C803" w14:textId="77777777" w:rsidR="00515398" w:rsidRDefault="006711E6">
            <w:pPr>
              <w:pStyle w:val="P68B1DB1-Normal17"/>
              <w:spacing w:after="0" w:line="240" w:lineRule="auto"/>
              <w:rPr>
                <w:noProof/>
              </w:rPr>
            </w:pPr>
            <w:r>
              <w:rPr>
                <w:noProof/>
              </w:rPr>
              <w:t>Cílová</w:t>
            </w:r>
          </w:p>
        </w:tc>
        <w:tc>
          <w:tcPr>
            <w:tcW w:w="1320" w:type="dxa"/>
            <w:shd w:val="clear" w:color="auto" w:fill="C6EFCE"/>
            <w:noWrap/>
          </w:tcPr>
          <w:p w14:paraId="307E13BA" w14:textId="77777777" w:rsidR="00515398" w:rsidRDefault="006711E6">
            <w:pPr>
              <w:pStyle w:val="P68B1DB1-Normal9"/>
              <w:spacing w:after="0" w:line="240" w:lineRule="auto"/>
              <w:rPr>
                <w:rFonts w:eastAsia="Times New Roman" w:cs="Calibri"/>
                <w:noProof/>
                <w:szCs w:val="18"/>
              </w:rPr>
            </w:pPr>
            <w:r>
              <w:rPr>
                <w:noProof/>
              </w:rPr>
              <w:t xml:space="preserve">Můj domov II – </w:t>
            </w:r>
            <w:r>
              <w:rPr>
                <w:rFonts w:eastAsia="Times New Roman" w:cs="Calibri"/>
                <w:noProof/>
                <w:szCs w:val="18"/>
              </w:rPr>
              <w:t>právní dohody podepsané s konečnými příjemci – 100 %</w:t>
            </w:r>
          </w:p>
        </w:tc>
        <w:tc>
          <w:tcPr>
            <w:tcW w:w="1440" w:type="dxa"/>
            <w:shd w:val="clear" w:color="auto" w:fill="C6EFCE"/>
            <w:noWrap/>
          </w:tcPr>
          <w:p w14:paraId="6FC78B21" w14:textId="77777777" w:rsidR="00515398" w:rsidRDefault="00515398">
            <w:pPr>
              <w:spacing w:after="0" w:line="240" w:lineRule="auto"/>
              <w:rPr>
                <w:rFonts w:eastAsia="Times New Roman" w:cs="Calibri"/>
                <w:noProof/>
                <w:color w:val="006100"/>
                <w:sz w:val="18"/>
                <w:szCs w:val="18"/>
              </w:rPr>
            </w:pPr>
          </w:p>
        </w:tc>
        <w:tc>
          <w:tcPr>
            <w:tcW w:w="1080" w:type="dxa"/>
            <w:shd w:val="clear" w:color="auto" w:fill="C6EFCE"/>
            <w:noWrap/>
          </w:tcPr>
          <w:p w14:paraId="5531528B" w14:textId="77777777" w:rsidR="00515398" w:rsidRDefault="006711E6">
            <w:pPr>
              <w:pStyle w:val="P68B1DB1-Normal9"/>
              <w:spacing w:after="0" w:line="240" w:lineRule="auto"/>
              <w:rPr>
                <w:rFonts w:eastAsia="Times New Roman" w:cs="Calibri"/>
                <w:noProof/>
                <w:szCs w:val="18"/>
              </w:rPr>
            </w:pPr>
            <w:r>
              <w:rPr>
                <w:noProof/>
              </w:rPr>
              <w:t>Procentní podíl (%)</w:t>
            </w:r>
          </w:p>
        </w:tc>
        <w:tc>
          <w:tcPr>
            <w:tcW w:w="1200" w:type="dxa"/>
            <w:shd w:val="clear" w:color="auto" w:fill="C6EFCE"/>
            <w:noWrap/>
          </w:tcPr>
          <w:p w14:paraId="60388B84" w14:textId="77777777" w:rsidR="00515398" w:rsidRDefault="006711E6">
            <w:pPr>
              <w:pStyle w:val="P68B1DB1-Normal9"/>
              <w:spacing w:after="0" w:line="240" w:lineRule="auto"/>
              <w:rPr>
                <w:rFonts w:eastAsia="Times New Roman" w:cs="Calibri"/>
                <w:noProof/>
                <w:szCs w:val="18"/>
              </w:rPr>
            </w:pPr>
            <w:r>
              <w:rPr>
                <w:noProof/>
              </w:rPr>
              <w:t>50 %</w:t>
            </w:r>
          </w:p>
        </w:tc>
        <w:tc>
          <w:tcPr>
            <w:tcW w:w="840" w:type="dxa"/>
            <w:shd w:val="clear" w:color="auto" w:fill="C6EFCE"/>
            <w:noWrap/>
          </w:tcPr>
          <w:p w14:paraId="744D2BCE" w14:textId="77777777" w:rsidR="00515398" w:rsidRDefault="006711E6">
            <w:pPr>
              <w:pStyle w:val="P68B1DB1-Normal9"/>
              <w:spacing w:after="0" w:line="240" w:lineRule="auto"/>
              <w:rPr>
                <w:rFonts w:eastAsia="Times New Roman" w:cs="Calibri"/>
                <w:noProof/>
                <w:szCs w:val="18"/>
              </w:rPr>
            </w:pPr>
            <w:r>
              <w:rPr>
                <w:noProof/>
              </w:rPr>
              <w:t>100 %</w:t>
            </w:r>
          </w:p>
        </w:tc>
        <w:tc>
          <w:tcPr>
            <w:tcW w:w="1080" w:type="dxa"/>
            <w:shd w:val="clear" w:color="auto" w:fill="C6EFCE"/>
            <w:noWrap/>
          </w:tcPr>
          <w:p w14:paraId="4F966A68"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shd w:val="clear" w:color="auto" w:fill="C6EFCE"/>
            <w:noWrap/>
          </w:tcPr>
          <w:p w14:paraId="587CF943" w14:textId="77777777" w:rsidR="00515398" w:rsidRDefault="006711E6">
            <w:pPr>
              <w:pStyle w:val="P68B1DB1-Normal9"/>
              <w:spacing w:after="0" w:line="240" w:lineRule="auto"/>
              <w:rPr>
                <w:rFonts w:eastAsia="Times New Roman" w:cs="Calibri"/>
                <w:noProof/>
                <w:szCs w:val="18"/>
              </w:rPr>
            </w:pPr>
            <w:r>
              <w:rPr>
                <w:noProof/>
              </w:rPr>
              <w:t>2026</w:t>
            </w:r>
          </w:p>
        </w:tc>
        <w:tc>
          <w:tcPr>
            <w:tcW w:w="4608" w:type="dxa"/>
            <w:shd w:val="clear" w:color="auto" w:fill="C6EFCE"/>
            <w:noWrap/>
          </w:tcPr>
          <w:p w14:paraId="4D73653E" w14:textId="6513994F" w:rsidR="00515398" w:rsidRDefault="006711E6">
            <w:pPr>
              <w:pStyle w:val="P68B1DB1-Normal9"/>
              <w:spacing w:after="0" w:line="240" w:lineRule="auto"/>
              <w:rPr>
                <w:rFonts w:eastAsia="Times New Roman" w:cs="Calibri"/>
                <w:noProof/>
                <w:szCs w:val="18"/>
              </w:rPr>
            </w:pPr>
            <w:r>
              <w:rPr>
                <w:noProof/>
              </w:rPr>
              <w:t xml:space="preserve">Finanční </w:t>
            </w:r>
            <w:r>
              <w:rPr>
                <w:noProof/>
              </w:rPr>
              <w:t>zprostředkovatelé uzavřou s konečnými příjemci právní dohody o financování na částku nezbytnou k využití 100 % investice z Nástroje pro oživení a odolnost do nástroje „Můj domov II“ (s přihlédnutím k poplatkům za správu).</w:t>
            </w:r>
          </w:p>
        </w:tc>
      </w:tr>
      <w:tr w:rsidR="00515398" w14:paraId="157787D8" w14:textId="77777777">
        <w:trPr>
          <w:trHeight w:val="314"/>
          <w:jc w:val="center"/>
        </w:trPr>
        <w:tc>
          <w:tcPr>
            <w:tcW w:w="704" w:type="dxa"/>
            <w:shd w:val="clear" w:color="auto" w:fill="C6EFCE"/>
            <w:noWrap/>
          </w:tcPr>
          <w:p w14:paraId="17D72064" w14:textId="10A7C5F7" w:rsidR="00515398" w:rsidRDefault="006711E6">
            <w:pPr>
              <w:pStyle w:val="P68B1DB1-Normal9"/>
              <w:spacing w:after="0" w:line="240" w:lineRule="auto"/>
              <w:rPr>
                <w:rFonts w:eastAsia="Times New Roman" w:cs="Calibri"/>
                <w:noProof/>
              </w:rPr>
            </w:pPr>
            <w:r>
              <w:rPr>
                <w:noProof/>
              </w:rPr>
              <w:t>381</w:t>
            </w:r>
          </w:p>
        </w:tc>
        <w:tc>
          <w:tcPr>
            <w:tcW w:w="1701" w:type="dxa"/>
            <w:shd w:val="clear" w:color="auto" w:fill="C6EFCE"/>
            <w:noWrap/>
          </w:tcPr>
          <w:p w14:paraId="33025A25" w14:textId="77777777" w:rsidR="00515398" w:rsidRDefault="006711E6">
            <w:pPr>
              <w:pStyle w:val="P68B1DB1-Normal9"/>
              <w:spacing w:after="0" w:line="240" w:lineRule="auto"/>
              <w:rPr>
                <w:noProof/>
              </w:rPr>
            </w:pPr>
            <w:r>
              <w:rPr>
                <w:noProof/>
              </w:rPr>
              <w:t xml:space="preserve">11–3.4. Zlepšení přístupu k </w:t>
            </w:r>
            <w:r>
              <w:rPr>
                <w:noProof/>
              </w:rPr>
              <w:t>účinným a inkluzivním sociálním politikám – 16400 – Program cenově dostupného bydlení „Můj domov II“</w:t>
            </w:r>
          </w:p>
        </w:tc>
        <w:tc>
          <w:tcPr>
            <w:tcW w:w="1070" w:type="dxa"/>
            <w:shd w:val="clear" w:color="auto" w:fill="C6EFCE"/>
            <w:noWrap/>
          </w:tcPr>
          <w:p w14:paraId="7C4911A8" w14:textId="77777777" w:rsidR="00515398" w:rsidRDefault="006711E6">
            <w:pPr>
              <w:pStyle w:val="P68B1DB1-Normal9"/>
              <w:spacing w:after="0" w:line="240" w:lineRule="auto"/>
              <w:rPr>
                <w:rFonts w:eastAsia="Times New Roman" w:cs="Calibri"/>
                <w:noProof/>
                <w:szCs w:val="18"/>
              </w:rPr>
            </w:pPr>
            <w:r>
              <w:rPr>
                <w:noProof/>
              </w:rPr>
              <w:t>Milník</w:t>
            </w:r>
          </w:p>
        </w:tc>
        <w:tc>
          <w:tcPr>
            <w:tcW w:w="1320" w:type="dxa"/>
            <w:shd w:val="clear" w:color="auto" w:fill="C6EFCE"/>
            <w:noWrap/>
          </w:tcPr>
          <w:p w14:paraId="1A376088" w14:textId="77777777" w:rsidR="00515398" w:rsidRDefault="006711E6">
            <w:pPr>
              <w:pStyle w:val="P68B1DB1-Normal9"/>
              <w:spacing w:after="0" w:line="240" w:lineRule="auto"/>
              <w:rPr>
                <w:rFonts w:eastAsia="Times New Roman" w:cs="Calibri"/>
                <w:noProof/>
                <w:szCs w:val="18"/>
              </w:rPr>
            </w:pPr>
            <w:r>
              <w:rPr>
                <w:noProof/>
              </w:rPr>
              <w:t>Můj domov II – Ministerstvo financí dokončilo investici</w:t>
            </w:r>
          </w:p>
        </w:tc>
        <w:tc>
          <w:tcPr>
            <w:tcW w:w="1440" w:type="dxa"/>
            <w:shd w:val="clear" w:color="auto" w:fill="C6EFCE"/>
            <w:noWrap/>
          </w:tcPr>
          <w:p w14:paraId="597EF6AE" w14:textId="77777777" w:rsidR="00515398" w:rsidRDefault="006711E6">
            <w:pPr>
              <w:pStyle w:val="P68B1DB1-Normal9"/>
              <w:spacing w:after="0" w:line="240" w:lineRule="auto"/>
              <w:rPr>
                <w:rFonts w:eastAsia="Times New Roman" w:cs="Calibri"/>
                <w:noProof/>
                <w:szCs w:val="18"/>
              </w:rPr>
            </w:pPr>
            <w:r>
              <w:rPr>
                <w:noProof/>
              </w:rPr>
              <w:t xml:space="preserve">Potvrzení o převodu </w:t>
            </w:r>
          </w:p>
        </w:tc>
        <w:tc>
          <w:tcPr>
            <w:tcW w:w="1080" w:type="dxa"/>
            <w:shd w:val="clear" w:color="auto" w:fill="C6EFCE"/>
            <w:noWrap/>
          </w:tcPr>
          <w:p w14:paraId="76CA50AB" w14:textId="77777777" w:rsidR="00515398" w:rsidRDefault="00515398">
            <w:pPr>
              <w:spacing w:after="0" w:line="240" w:lineRule="auto"/>
              <w:rPr>
                <w:rFonts w:eastAsia="Times New Roman" w:cs="Calibri"/>
                <w:noProof/>
                <w:color w:val="006100"/>
                <w:sz w:val="18"/>
                <w:szCs w:val="18"/>
              </w:rPr>
            </w:pPr>
          </w:p>
        </w:tc>
        <w:tc>
          <w:tcPr>
            <w:tcW w:w="1200" w:type="dxa"/>
            <w:shd w:val="clear" w:color="auto" w:fill="C6EFCE"/>
            <w:noWrap/>
          </w:tcPr>
          <w:p w14:paraId="4A8599B2" w14:textId="77777777" w:rsidR="00515398" w:rsidRDefault="00515398">
            <w:pPr>
              <w:spacing w:after="0" w:line="240" w:lineRule="auto"/>
              <w:rPr>
                <w:rFonts w:eastAsia="Times New Roman" w:cs="Calibri"/>
                <w:noProof/>
                <w:color w:val="006100"/>
                <w:sz w:val="18"/>
                <w:szCs w:val="18"/>
              </w:rPr>
            </w:pPr>
          </w:p>
        </w:tc>
        <w:tc>
          <w:tcPr>
            <w:tcW w:w="840" w:type="dxa"/>
            <w:shd w:val="clear" w:color="auto" w:fill="C6EFCE"/>
            <w:noWrap/>
          </w:tcPr>
          <w:p w14:paraId="026618F6" w14:textId="77777777" w:rsidR="00515398" w:rsidRDefault="00515398">
            <w:pPr>
              <w:spacing w:after="0" w:line="240" w:lineRule="auto"/>
              <w:rPr>
                <w:rFonts w:eastAsia="Times New Roman" w:cs="Calibri"/>
                <w:noProof/>
                <w:color w:val="006100"/>
                <w:sz w:val="18"/>
                <w:szCs w:val="18"/>
              </w:rPr>
            </w:pPr>
          </w:p>
        </w:tc>
        <w:tc>
          <w:tcPr>
            <w:tcW w:w="1080" w:type="dxa"/>
            <w:shd w:val="clear" w:color="auto" w:fill="C6EFCE"/>
            <w:noWrap/>
          </w:tcPr>
          <w:p w14:paraId="21D839EF"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shd w:val="clear" w:color="auto" w:fill="C6EFCE"/>
            <w:noWrap/>
          </w:tcPr>
          <w:p w14:paraId="7F3351E0" w14:textId="77777777" w:rsidR="00515398" w:rsidRDefault="006711E6">
            <w:pPr>
              <w:pStyle w:val="P68B1DB1-Normal9"/>
              <w:spacing w:after="0" w:line="240" w:lineRule="auto"/>
              <w:rPr>
                <w:rFonts w:eastAsia="Times New Roman" w:cs="Calibri"/>
                <w:noProof/>
                <w:szCs w:val="18"/>
              </w:rPr>
            </w:pPr>
            <w:r>
              <w:rPr>
                <w:noProof/>
              </w:rPr>
              <w:t>2026</w:t>
            </w:r>
          </w:p>
        </w:tc>
        <w:tc>
          <w:tcPr>
            <w:tcW w:w="4608" w:type="dxa"/>
            <w:shd w:val="clear" w:color="auto" w:fill="C6EFCE"/>
            <w:noWrap/>
          </w:tcPr>
          <w:p w14:paraId="6ED8FD3A" w14:textId="77777777" w:rsidR="00515398" w:rsidRDefault="006711E6">
            <w:pPr>
              <w:pStyle w:val="P68B1DB1-Normal9"/>
              <w:spacing w:after="0" w:line="240" w:lineRule="auto"/>
              <w:rPr>
                <w:rFonts w:eastAsia="Times New Roman" w:cs="Calibri"/>
                <w:noProof/>
                <w:szCs w:val="18"/>
              </w:rPr>
            </w:pPr>
            <w:r>
              <w:rPr>
                <w:noProof/>
              </w:rPr>
              <w:t xml:space="preserve">Řecko převede na tento nástroj částku 1 000 milionů </w:t>
            </w:r>
            <w:r>
              <w:rPr>
                <w:noProof/>
              </w:rPr>
              <w:t>EUR Řecké rozvojové bance.</w:t>
            </w:r>
          </w:p>
        </w:tc>
      </w:tr>
    </w:tbl>
    <w:p w14:paraId="7C787F88" w14:textId="77777777" w:rsidR="00515398" w:rsidRDefault="00515398">
      <w:pPr>
        <w:spacing w:before="120" w:after="120" w:line="240" w:lineRule="auto"/>
        <w:jc w:val="both"/>
        <w:rPr>
          <w:rFonts w:ascii="Times New Roman" w:hAnsi="Times New Roman" w:cs="Times New Roman"/>
          <w:noProof/>
          <w:sz w:val="24"/>
        </w:rPr>
        <w:sectPr w:rsidR="00515398" w:rsidSect="004E363A">
          <w:headerReference w:type="even" r:id="rId205"/>
          <w:headerReference w:type="default" r:id="rId206"/>
          <w:footerReference w:type="even" r:id="rId207"/>
          <w:footerReference w:type="default" r:id="rId208"/>
          <w:headerReference w:type="first" r:id="rId209"/>
          <w:footerReference w:type="first" r:id="rId210"/>
          <w:pgSz w:w="16839" w:h="11907" w:orient="landscape"/>
          <w:pgMar w:top="720" w:right="720" w:bottom="720" w:left="720" w:header="709" w:footer="75" w:gutter="0"/>
          <w:cols w:space="720"/>
          <w:docGrid w:linePitch="360"/>
        </w:sectPr>
      </w:pPr>
    </w:p>
    <w:p w14:paraId="35C18A87" w14:textId="77777777" w:rsidR="00515398" w:rsidRDefault="006711E6">
      <w:pPr>
        <w:pStyle w:val="P68B1DB1-Normal2"/>
        <w:spacing w:before="120" w:after="120" w:line="240" w:lineRule="auto"/>
        <w:ind w:firstLine="6"/>
        <w:jc w:val="both"/>
        <w:outlineLvl w:val="3"/>
        <w:rPr>
          <w:rFonts w:cs="Times New Roman"/>
          <w:noProof/>
          <w:szCs w:val="24"/>
        </w:rPr>
      </w:pPr>
      <w:r>
        <w:rPr>
          <w:noProof/>
        </w:rPr>
        <w:t>L. SLOŽKA 4.1: UČINIT DANĚ PŘÍZNIVĚJŠÍ PRO RŮST A ZLEPŠIT DAŇOVOU SPRÁVU A VÝBĚR DANÍ</w:t>
      </w:r>
    </w:p>
    <w:p w14:paraId="5CEC3C46" w14:textId="77777777" w:rsidR="00515398" w:rsidRDefault="006711E6">
      <w:pPr>
        <w:pStyle w:val="P68B1DB1-Normal4"/>
        <w:spacing w:before="120" w:after="120" w:line="240" w:lineRule="auto"/>
        <w:jc w:val="both"/>
        <w:rPr>
          <w:rFonts w:cs="Times New Roman"/>
          <w:noProof/>
        </w:rPr>
      </w:pPr>
      <w:r>
        <w:rPr>
          <w:noProof/>
        </w:rPr>
        <w:t xml:space="preserve">Tato složka řeckého plánu pro oživení a odolnost zahrnuje cílené reformy a </w:t>
      </w:r>
      <w:r>
        <w:rPr>
          <w:noProof/>
        </w:rPr>
        <w:t>investice s cílem dále zlepšovat fungování správy veřejných příjmů a bojovat proti daňovým únikům. Za prvé, tato složka zahrnuje reformy daňové politiky s cílem usnadnit kodifikaci daňových právních předpisů, jakož i zavést pobídky ke zlepšení elektronický</w:t>
      </w:r>
      <w:r>
        <w:rPr>
          <w:noProof/>
        </w:rPr>
        <w:t xml:space="preserve">ch transakcí, podpořit zelené a digitální soukromé investice a zvýšit velikost podniků. Za druhé, složka obsahuje reformy a investice zaměřené na transformaci správy veřejných příjmů prostřednictvím digitalizace procesů a zavedení legislativních iniciativ </w:t>
      </w:r>
      <w:r>
        <w:rPr>
          <w:noProof/>
        </w:rPr>
        <w:t>pro boj proti pašování a podporu urychlení vracení DPH.</w:t>
      </w:r>
    </w:p>
    <w:p w14:paraId="6DD14476" w14:textId="77777777" w:rsidR="00515398" w:rsidRDefault="006711E6">
      <w:pPr>
        <w:pStyle w:val="P68B1DB1-Normal4"/>
        <w:spacing w:before="120" w:after="120" w:line="240" w:lineRule="auto"/>
        <w:jc w:val="both"/>
        <w:rPr>
          <w:rFonts w:cs="Times New Roman"/>
          <w:noProof/>
        </w:rPr>
      </w:pPr>
      <w:r>
        <w:rPr>
          <w:noProof/>
        </w:rPr>
        <w:t>Složka přispívá k digitální transformaci nahrazením a modernizací hlavních digitálních systémů Nezávislého orgánu pro veřejné příjmy (IAPR), zavedením automatizovaných kancelářských a pracovních proce</w:t>
      </w:r>
      <w:r>
        <w:rPr>
          <w:noProof/>
        </w:rPr>
        <w:t>sů, digitalizací auditů a kontrol, jakož i aktualizací a zlepšením elektronických služeb pro daňové poplatníky.</w:t>
      </w:r>
    </w:p>
    <w:p w14:paraId="103C4673" w14:textId="77777777" w:rsidR="00515398" w:rsidRDefault="00515398">
      <w:pPr>
        <w:spacing w:before="120" w:after="120" w:line="240" w:lineRule="auto"/>
        <w:jc w:val="both"/>
        <w:rPr>
          <w:rFonts w:ascii="Times New Roman" w:hAnsi="Times New Roman" w:cs="Times New Roman"/>
          <w:noProof/>
          <w:sz w:val="24"/>
        </w:rPr>
      </w:pPr>
    </w:p>
    <w:p w14:paraId="73676CAF" w14:textId="77777777" w:rsidR="00515398" w:rsidRDefault="006711E6">
      <w:pPr>
        <w:pStyle w:val="P68B1DB1-Normal4"/>
        <w:spacing w:before="120" w:after="120" w:line="240" w:lineRule="auto"/>
        <w:jc w:val="both"/>
        <w:rPr>
          <w:rFonts w:cs="Times New Roman"/>
          <w:noProof/>
          <w:szCs w:val="24"/>
        </w:rPr>
      </w:pPr>
      <w:r>
        <w:rPr>
          <w:noProof/>
        </w:rPr>
        <w:t xml:space="preserve">Tato složka podporuje plnění doporučení pro jednotlivé země týkajících se veřejných a soukromých investic (doporučení pro jednotlivé země č. 3 </w:t>
      </w:r>
      <w:r>
        <w:rPr>
          <w:noProof/>
        </w:rPr>
        <w:t>z roku 2020), strukturálních reforem ke zlepšení fungování hospodářství (doporučení pro jednotlivé země č. 4 z roku 2020) a doporučení pro daňovou politiku a daňovou správu (doporučení pro jednotlivé země č. 1 2022 a doporučení pro jednotlivé země č. 1 202</w:t>
      </w:r>
      <w:r>
        <w:rPr>
          <w:noProof/>
        </w:rPr>
        <w:t>3). Očekává se, že žádné opatření v této složce významně nepoškozuje environmentální cíle ve smyslu článku 17 nařízení (EU) 2020/852, s přihlédnutím k popisu opatření a zmírňujícím krokům stanoveným v plánu pro oživení a odolnost v souladu s technickými po</w:t>
      </w:r>
      <w:r>
        <w:rPr>
          <w:noProof/>
        </w:rPr>
        <w:t>kyny „významně nepoškozovat“ (2021/C58/01).</w:t>
      </w:r>
    </w:p>
    <w:p w14:paraId="61C17DA4"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L.1. </w:t>
      </w:r>
      <w:r>
        <w:rPr>
          <w:noProof/>
        </w:rPr>
        <w:t xml:space="preserve"> </w:t>
      </w:r>
      <w:r>
        <w:rPr>
          <w:rFonts w:ascii="Times New Roman" w:hAnsi="Times New Roman"/>
          <w:b/>
          <w:noProof/>
          <w:sz w:val="24"/>
          <w:u w:val="single"/>
        </w:rPr>
        <w:t>Popis reforem a investic pro nevratnou finanční podporu</w:t>
      </w:r>
    </w:p>
    <w:p w14:paraId="56FDF762" w14:textId="77777777" w:rsidR="00515398" w:rsidRDefault="006711E6">
      <w:pPr>
        <w:pStyle w:val="P68B1DB1-Normal5"/>
        <w:spacing w:before="120" w:after="120" w:line="240" w:lineRule="auto"/>
        <w:jc w:val="both"/>
        <w:rPr>
          <w:rFonts w:cs="Times New Roman"/>
          <w:noProof/>
        </w:rPr>
      </w:pPr>
      <w:r>
        <w:rPr>
          <w:b/>
          <w:noProof/>
        </w:rPr>
        <w:t>Investice:</w:t>
      </w:r>
      <w:r>
        <w:rPr>
          <w:noProof/>
        </w:rPr>
        <w:t xml:space="preserve"> Digitální transformace daňových auditů (opatření ID 16611)</w:t>
      </w:r>
    </w:p>
    <w:p w14:paraId="68085FA3" w14:textId="77777777" w:rsidR="00515398" w:rsidRDefault="006711E6">
      <w:pPr>
        <w:pStyle w:val="P68B1DB1-Normal22"/>
        <w:spacing w:before="120" w:after="120" w:line="240" w:lineRule="auto"/>
        <w:jc w:val="both"/>
        <w:rPr>
          <w:rFonts w:ascii="Times New Roman" w:hAnsi="Times New Roman" w:cs="Times New Roman"/>
          <w:noProof/>
        </w:rPr>
      </w:pPr>
      <w:r>
        <w:rPr>
          <w:rFonts w:ascii="Times New Roman" w:hAnsi="Times New Roman"/>
          <w:noProof/>
        </w:rPr>
        <w:t>Cílem investice je i) usnadnit automatické vyplňování daňových přiznání, ii) zvý</w:t>
      </w:r>
      <w:r>
        <w:rPr>
          <w:rFonts w:ascii="Times New Roman" w:hAnsi="Times New Roman"/>
          <w:noProof/>
        </w:rPr>
        <w:t>šit účinnost daňových auditů, iii) zlepšit výběr veřejných příjmů a iv) zvýšit účinnost daňových auditů a bojovat proti převaděčství.</w:t>
      </w:r>
      <w:r>
        <w:rPr>
          <w:rFonts w:asciiTheme="minorHAnsi" w:eastAsiaTheme="minorEastAsia" w:hAnsiTheme="minorHAnsi" w:cstheme="minorBidi"/>
          <w:noProof/>
        </w:rPr>
        <w:t xml:space="preserve"> </w:t>
      </w:r>
      <w:r>
        <w:rPr>
          <w:rFonts w:ascii="Times New Roman" w:hAnsi="Times New Roman"/>
          <w:noProof/>
        </w:rPr>
        <w:t>IAPR využívá nástroj myDATA pro elektronickou účetní evidenci, elektronickou fakturaci a propojení všech daňových registra</w:t>
      </w:r>
      <w:r>
        <w:rPr>
          <w:rFonts w:ascii="Times New Roman" w:hAnsi="Times New Roman"/>
          <w:noProof/>
        </w:rPr>
        <w:t>čních pokladen se svými informačními systémy. IAPR rovněž modernizuje využívání svých interních údajů a zavádí nástroje umělé inteligence.  Projekt spočívá v přijetí silné datové architektury, vývoji společného úložiště metadat, poskytování vhodných softwa</w:t>
      </w:r>
      <w:r>
        <w:rPr>
          <w:rFonts w:ascii="Times New Roman" w:hAnsi="Times New Roman"/>
          <w:noProof/>
        </w:rPr>
        <w:t>rových řešení, vývoji technik a nástrojů umělé inteligence a využívání strojového učení k vytěžování dat velkého objemu. Investice musí být provedena do 31. prosince 2025.</w:t>
      </w:r>
    </w:p>
    <w:p w14:paraId="2449E5C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Kodifikace a zjednodušení daňových právních předpisů (opatření ID 16643)</w:t>
      </w:r>
    </w:p>
    <w:p w14:paraId="358C21A9" w14:textId="77777777" w:rsidR="00515398" w:rsidRDefault="006711E6">
      <w:pPr>
        <w:pStyle w:val="P68B1DB1-Normal4"/>
        <w:spacing w:before="120" w:after="120" w:line="240" w:lineRule="auto"/>
        <w:jc w:val="both"/>
        <w:rPr>
          <w:noProof/>
        </w:rPr>
      </w:pPr>
      <w:r>
        <w:rPr>
          <w:noProof/>
        </w:rPr>
        <w:t>Ministerstvo financí a IAPR zjednoduší a aktualizuje právní předpisy týkající se hlavních daňových zákoníků, celního kodexu a všech příslušných sekundárních právních předpisů v souladu s osvědčenými postupy EU. V souladu se základním zákonem IAPR č. 4389/2</w:t>
      </w:r>
      <w:r>
        <w:rPr>
          <w:noProof/>
        </w:rPr>
        <w:t xml:space="preserve">016 přebírá IAPR </w:t>
      </w:r>
      <w:r>
        <w:rPr>
          <w:noProof/>
          <w:color w:val="000000"/>
        </w:rPr>
        <w:t>odpovědnost za</w:t>
      </w:r>
      <w:r>
        <w:rPr>
          <w:noProof/>
        </w:rPr>
        <w:t xml:space="preserve"> aktualizaci a modernizaci daňového řádu, rozhodnutí guvernéra a oběžníků daňové správy, včetně přípravy změn nezbytných pro digitalizaci a zjednodušení daňové správy. </w:t>
      </w:r>
    </w:p>
    <w:p w14:paraId="3CC9623A" w14:textId="77777777" w:rsidR="00515398" w:rsidRDefault="006711E6">
      <w:pPr>
        <w:pStyle w:val="P68B1DB1-Normal4"/>
        <w:rPr>
          <w:noProof/>
        </w:rPr>
      </w:pPr>
      <w:r>
        <w:rPr>
          <w:noProof/>
        </w:rPr>
        <w:br w:type="page"/>
      </w:r>
    </w:p>
    <w:p w14:paraId="4200DCE8" w14:textId="0E976BB9" w:rsidR="00515398" w:rsidRDefault="006711E6">
      <w:pPr>
        <w:pStyle w:val="P68B1DB1-Normal4"/>
        <w:spacing w:before="120" w:after="120" w:line="240" w:lineRule="auto"/>
        <w:jc w:val="both"/>
        <w:rPr>
          <w:rFonts w:cs="Times New Roman"/>
          <w:noProof/>
        </w:rPr>
      </w:pPr>
      <w:r>
        <w:rPr>
          <w:noProof/>
        </w:rPr>
        <w:t>Ministerstvo financí a IAPR rovněž zajistí systém sprá</w:t>
      </w:r>
      <w:r>
        <w:rPr>
          <w:noProof/>
        </w:rPr>
        <w:t>vy obsahu a specializované internetové stránky pro informace o daňových poplatníkůch, čímž posílí transparentnost, právní jistotu, dodržování daňových předpisů a podnikatelské prostředí. Provádění reformy se dokončí do 31. prosince 2025.</w:t>
      </w:r>
    </w:p>
    <w:p w14:paraId="3627936A"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Podpora u</w:t>
      </w:r>
      <w:r>
        <w:rPr>
          <w:noProof/>
        </w:rPr>
        <w:t>rychlení vracení DPH (opatření ID 16610)</w:t>
      </w:r>
    </w:p>
    <w:p w14:paraId="274F08E6" w14:textId="77777777" w:rsidR="00515398" w:rsidRDefault="006711E6">
      <w:pPr>
        <w:pStyle w:val="P68B1DB1-Normal5"/>
        <w:spacing w:before="120" w:after="120" w:line="240" w:lineRule="auto"/>
        <w:jc w:val="both"/>
        <w:rPr>
          <w:rFonts w:ascii="card" w:hAnsi="card" w:cs="Times New Roman"/>
          <w:noProof/>
        </w:rPr>
      </w:pPr>
      <w:r>
        <w:rPr>
          <w:noProof/>
        </w:rPr>
        <w:t>IAPR zjednoduší administrativní postupy vracení DPH pro podniky zavedením automatizovaných postupů vracení DPH, elektronickým podáváním a usnadněním procesu analýzy rizik u žádostí o vrácení daně. Cílem nového proce</w:t>
      </w:r>
      <w:r>
        <w:rPr>
          <w:noProof/>
        </w:rPr>
        <w:t>su je omezit lidský zásah prostřednictvím digitálních transakcí a řešit zpoždění v oblasti vracení DPH. Reforma musí být v souladu se směrnicí o vracení DPH (směrnice Rady 2008/9/ES). Provádění reformy se dokončí do 31. prosince 2023.</w:t>
      </w:r>
    </w:p>
    <w:p w14:paraId="1E152CA9"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Přijetí opat</w:t>
      </w:r>
      <w:r>
        <w:rPr>
          <w:noProof/>
        </w:rPr>
        <w:t>ření a pobídek ke zvýšení počtu elektronických transakcí (opatření ID 16616)</w:t>
      </w:r>
    </w:p>
    <w:p w14:paraId="2D5EFF5A" w14:textId="77777777" w:rsidR="00515398" w:rsidRDefault="006711E6">
      <w:pPr>
        <w:pStyle w:val="P68B1DB1-Normal4"/>
        <w:spacing w:before="120" w:after="120" w:line="240" w:lineRule="auto"/>
        <w:jc w:val="both"/>
        <w:rPr>
          <w:rFonts w:cs="Times New Roman"/>
          <w:noProof/>
        </w:rPr>
      </w:pPr>
      <w:r>
        <w:rPr>
          <w:noProof/>
        </w:rPr>
        <w:t>Cílem reformy je snížit administrativní zátěž podniků a zlepšit dodržování daňových předpisů podporou elektronických transakcí. IAPR využívá nástroj myDATA pro elektronické vedení</w:t>
      </w:r>
      <w:r>
        <w:rPr>
          <w:noProof/>
        </w:rPr>
        <w:t xml:space="preserve"> účetnictví, elektronickou fakturaci a propojení všech daňových registračních pokladen se svými informačními systémy s cílem usnadnit automatické vyplňování daňových přiznání a zvýšit účinnost daňových kontrol. Provádění daňových pobídek reformy bude dokon</w:t>
      </w:r>
      <w:r>
        <w:rPr>
          <w:noProof/>
        </w:rPr>
        <w:t>čeno do 31. prosince 2023.</w:t>
      </w:r>
    </w:p>
    <w:p w14:paraId="3076DCC3"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Superodpočet výdajů malých a středních podniků na zelenou ekonomiku, energetiku a digitální transformaci (opatření ID 16863)</w:t>
      </w:r>
    </w:p>
    <w:p w14:paraId="5B00001A" w14:textId="77777777" w:rsidR="00515398" w:rsidRDefault="006711E6">
      <w:pPr>
        <w:pStyle w:val="P68B1DB1-Normal4"/>
        <w:spacing w:before="120" w:after="120" w:line="240" w:lineRule="auto"/>
        <w:jc w:val="both"/>
        <w:rPr>
          <w:rFonts w:cs="Times New Roman"/>
          <w:noProof/>
        </w:rPr>
      </w:pPr>
      <w:r>
        <w:rPr>
          <w:noProof/>
        </w:rPr>
        <w:t>Reforma spočívá v daňových pobídkách pro superodpočet výdajů s cílem posílit investice malých a</w:t>
      </w:r>
      <w:r>
        <w:rPr>
          <w:noProof/>
        </w:rPr>
        <w:t xml:space="preserve"> středních podniků do vybavení souvisejícího s přizpůsobováním se změně klimatu, podporou oběhového hospodářství a digitalizací. Musí být plně v souladu s pravidly EU pro státní podporu. Provádění daňových pobídek reformy bude dokončeno do 31. prosince 202</w:t>
      </w:r>
      <w:r>
        <w:rPr>
          <w:noProof/>
        </w:rPr>
        <w:t>4.</w:t>
      </w:r>
    </w:p>
    <w:p w14:paraId="2A10C86D"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Nový rámec pro boj proti pašování, zejména u výrobků podléhajících spotřební dani (tabák, alkohol a energie) (opatření ID 16656)</w:t>
      </w:r>
    </w:p>
    <w:p w14:paraId="60E5D569" w14:textId="77777777" w:rsidR="00515398" w:rsidRDefault="006711E6">
      <w:pPr>
        <w:pStyle w:val="P68B1DB1-Normal4"/>
        <w:spacing w:before="120" w:after="120" w:line="240" w:lineRule="auto"/>
        <w:jc w:val="both"/>
        <w:rPr>
          <w:rFonts w:cs="Times New Roman"/>
          <w:noProof/>
        </w:rPr>
      </w:pPr>
      <w:r>
        <w:rPr>
          <w:noProof/>
        </w:rPr>
        <w:t xml:space="preserve">Cílem reformy je podpořit boj proti pašování, zejména u výrobků podléhajících spotřebním daním (tabák, alkohol, </w:t>
      </w:r>
      <w:r>
        <w:rPr>
          <w:noProof/>
        </w:rPr>
        <w:t>energie), a to modernizací systémů sledování, auditních procesů a vybavení celních orgánů s cílem zvýšit účinnost auditů nákladu. To rovněž vyžaduje modernizaci informačních systémů IAPR, které jsou nezbytné pro získávání informací z evropských a vnitrostá</w:t>
      </w:r>
      <w:r>
        <w:rPr>
          <w:noProof/>
        </w:rPr>
        <w:t>tních databází. Provádění reformy se dokončí do 31. prosince 2025.</w:t>
      </w:r>
    </w:p>
    <w:p w14:paraId="6C3918D9" w14:textId="77777777" w:rsidR="00515398" w:rsidRDefault="006711E6">
      <w:pPr>
        <w:pStyle w:val="P68B1DB1-Normal4"/>
        <w:spacing w:before="120" w:after="120" w:line="240" w:lineRule="auto"/>
        <w:jc w:val="both"/>
        <w:rPr>
          <w:rFonts w:cs="Times New Roman"/>
          <w:noProof/>
        </w:rPr>
      </w:pPr>
      <w:r>
        <w:rPr>
          <w:b/>
          <w:noProof/>
        </w:rPr>
        <w:t xml:space="preserve">Reforma: </w:t>
      </w:r>
      <w:r>
        <w:rPr>
          <w:noProof/>
        </w:rPr>
        <w:t>On-line registrační pokladny a POS (identifikační číslo opatření 16614)</w:t>
      </w:r>
    </w:p>
    <w:p w14:paraId="657B38C3" w14:textId="620C3FD8" w:rsidR="00515398" w:rsidRDefault="006711E6">
      <w:pPr>
        <w:pStyle w:val="P68B1DB1-Normal5"/>
        <w:spacing w:before="120" w:after="120" w:line="240" w:lineRule="auto"/>
        <w:jc w:val="both"/>
        <w:rPr>
          <w:rFonts w:cs="Times New Roman"/>
          <w:noProof/>
        </w:rPr>
      </w:pPr>
      <w:r>
        <w:rPr>
          <w:noProof/>
        </w:rPr>
        <w:t>IAPR vypracuje rámec pro usnadnění propojení registračních pokladen s terminály místa prodeje (POS) a jejich</w:t>
      </w:r>
      <w:r>
        <w:rPr>
          <w:noProof/>
        </w:rPr>
        <w:t xml:space="preserve"> informačními systémy. Součástí projektu je: i) stanovení specifikací pro propojení registračních pokladen s terminály POS s cílem osvědčovat, že každá transakce POS musí být zaznamenána v pokladně a získané údaje se v téměř reálném čase předávají IAPR; a </w:t>
      </w:r>
      <w:r>
        <w:rPr>
          <w:noProof/>
        </w:rPr>
        <w:t>ii) rozvoj infrastruktury a aplikací pro sledování transakcí v pokladně a podporu kontrolního mechanismu. Po svém dokončení je cílem opatření omezit potenciál daňových úniků a v konečném důsledku snížit výpadek příjmů z DPH. Provádění reformy se dokončí do</w:t>
      </w:r>
      <w:r>
        <w:rPr>
          <w:noProof/>
        </w:rPr>
        <w:t xml:space="preserve"> 30. června 2024.</w:t>
      </w:r>
    </w:p>
    <w:p w14:paraId="433D7B77"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daňové a celní správy (opatření ID 16291)</w:t>
      </w:r>
    </w:p>
    <w:p w14:paraId="28B649EA" w14:textId="342BFE03" w:rsidR="00515398" w:rsidRDefault="006711E6">
      <w:pPr>
        <w:pStyle w:val="P68B1DB1-Normal5"/>
        <w:spacing w:before="120" w:after="120" w:line="240" w:lineRule="auto"/>
        <w:jc w:val="both"/>
        <w:rPr>
          <w:rFonts w:cs="Times New Roman"/>
          <w:noProof/>
        </w:rPr>
      </w:pPr>
      <w:r>
        <w:rPr>
          <w:noProof/>
        </w:rPr>
        <w:t>Cílem investice je dosáhnout digitální transformace správy příjmů a služeb s cílem posílit schopnost IAPR plnit své povinnosti jako plně nezávislý orgán (v soulad</w:t>
      </w:r>
      <w:r>
        <w:rPr>
          <w:noProof/>
        </w:rPr>
        <w:t>u se zmocňovacím zákonem č. 4389/2016 o IAPR) a zlepšit jeho celkovou výkonnost Zlepšením kvality služeb poskytovaných jednotlivcům a podnikům. Tato investice konsoliduje 13 dílčích projektů digitální infrastruktury, které mají být realizovány v rámci IAPR</w:t>
      </w:r>
      <w:r>
        <w:rPr>
          <w:noProof/>
        </w:rPr>
        <w:t xml:space="preserve"> a které jsou rozděleny do čtyř oblastí intervence:</w:t>
      </w:r>
    </w:p>
    <w:p w14:paraId="743E6CFF" w14:textId="77777777" w:rsidR="00515398" w:rsidRDefault="006711E6">
      <w:pPr>
        <w:pStyle w:val="P68B1DB1-ListParagraph19"/>
        <w:numPr>
          <w:ilvl w:val="0"/>
          <w:numId w:val="57"/>
        </w:numPr>
        <w:spacing w:before="120" w:after="120" w:line="240" w:lineRule="auto"/>
        <w:ind w:left="426" w:hanging="426"/>
        <w:jc w:val="both"/>
        <w:rPr>
          <w:rFonts w:cs="Times New Roman"/>
          <w:noProof/>
        </w:rPr>
      </w:pPr>
      <w:r>
        <w:rPr>
          <w:noProof/>
        </w:rPr>
        <w:t>Nahrazení základních digitálních systémů a rozšíření funkčnosti poskytování služeb, včetně zavedení mechanismů interoperability informačních systémů IAPR s bankovními datovými systémy;</w:t>
      </w:r>
    </w:p>
    <w:p w14:paraId="19E86E6C" w14:textId="77777777" w:rsidR="00515398" w:rsidRDefault="006711E6">
      <w:pPr>
        <w:pStyle w:val="P68B1DB1-ListParagraph19"/>
        <w:numPr>
          <w:ilvl w:val="0"/>
          <w:numId w:val="57"/>
        </w:numPr>
        <w:spacing w:before="120" w:after="120" w:line="240" w:lineRule="auto"/>
        <w:ind w:left="426" w:hanging="426"/>
        <w:jc w:val="both"/>
        <w:rPr>
          <w:rFonts w:cs="Times New Roman"/>
          <w:noProof/>
        </w:rPr>
      </w:pPr>
      <w:r>
        <w:rPr>
          <w:noProof/>
        </w:rPr>
        <w:t>Automatizace kancel</w:t>
      </w:r>
      <w:r>
        <w:rPr>
          <w:noProof/>
        </w:rPr>
        <w:t>ářských a pracovních procesů;</w:t>
      </w:r>
    </w:p>
    <w:p w14:paraId="04E0DB69" w14:textId="77777777" w:rsidR="00515398" w:rsidRDefault="006711E6">
      <w:pPr>
        <w:pStyle w:val="P68B1DB1-ListParagraph19"/>
        <w:numPr>
          <w:ilvl w:val="0"/>
          <w:numId w:val="57"/>
        </w:numPr>
        <w:spacing w:before="120" w:after="120" w:line="240" w:lineRule="auto"/>
        <w:ind w:left="426" w:hanging="426"/>
        <w:jc w:val="both"/>
        <w:rPr>
          <w:rFonts w:cs="Times New Roman"/>
          <w:noProof/>
        </w:rPr>
      </w:pPr>
      <w:r>
        <w:rPr>
          <w:noProof/>
        </w:rPr>
        <w:t>Digitalizace auditů a kontrol; a pokud</w:t>
      </w:r>
    </w:p>
    <w:p w14:paraId="414E0B22" w14:textId="77777777" w:rsidR="00515398" w:rsidRDefault="006711E6">
      <w:pPr>
        <w:pStyle w:val="P68B1DB1-ListParagraph19"/>
        <w:numPr>
          <w:ilvl w:val="0"/>
          <w:numId w:val="57"/>
        </w:numPr>
        <w:spacing w:before="120" w:after="120" w:line="240" w:lineRule="auto"/>
        <w:ind w:left="426" w:hanging="426"/>
        <w:jc w:val="both"/>
        <w:rPr>
          <w:rFonts w:cs="Times New Roman"/>
          <w:noProof/>
        </w:rPr>
      </w:pPr>
      <w:r>
        <w:rPr>
          <w:noProof/>
        </w:rPr>
        <w:t>Modernizace služeb daňových poplatníků.</w:t>
      </w:r>
    </w:p>
    <w:p w14:paraId="6A0DF5D5" w14:textId="77777777" w:rsidR="00515398" w:rsidRDefault="006711E6">
      <w:pPr>
        <w:pStyle w:val="P68B1DB1-Normal4"/>
        <w:spacing w:before="120" w:after="120" w:line="240" w:lineRule="auto"/>
        <w:jc w:val="both"/>
        <w:rPr>
          <w:rFonts w:cs="Times New Roman"/>
          <w:noProof/>
        </w:rPr>
      </w:pPr>
      <w:r>
        <w:rPr>
          <w:noProof/>
        </w:rPr>
        <w:t>Investice musí být provedena do 31. prosince 2025.</w:t>
      </w:r>
    </w:p>
    <w:p w14:paraId="349CEE75" w14:textId="77777777" w:rsidR="00515398" w:rsidRDefault="006711E6">
      <w:pPr>
        <w:pStyle w:val="P68B1DB1-Normal4"/>
        <w:spacing w:before="120" w:after="120" w:line="240" w:lineRule="auto"/>
        <w:jc w:val="both"/>
        <w:rPr>
          <w:rFonts w:cs="Times New Roman"/>
          <w:noProof/>
          <w:szCs w:val="24"/>
        </w:rPr>
      </w:pPr>
      <w:r>
        <w:rPr>
          <w:b/>
          <w:noProof/>
        </w:rPr>
        <w:t>Reforma:</w:t>
      </w:r>
      <w:r>
        <w:rPr>
          <w:noProof/>
        </w:rPr>
        <w:t xml:space="preserve"> Změny řeckého rámce daňové politiky (ID opatření: 16985)</w:t>
      </w:r>
    </w:p>
    <w:p w14:paraId="0374BE92" w14:textId="77777777" w:rsidR="00515398" w:rsidRDefault="006711E6">
      <w:pPr>
        <w:pStyle w:val="P68B1DB1-Normal4"/>
        <w:spacing w:before="120" w:after="120" w:line="240" w:lineRule="auto"/>
        <w:jc w:val="both"/>
        <w:rPr>
          <w:rFonts w:cs="Times New Roman"/>
          <w:noProof/>
          <w:szCs w:val="24"/>
        </w:rPr>
      </w:pPr>
      <w:r>
        <w:rPr>
          <w:noProof/>
        </w:rPr>
        <w:t>Cílem reformy je bojovat proti</w:t>
      </w:r>
      <w:r>
        <w:rPr>
          <w:noProof/>
        </w:rPr>
        <w:t xml:space="preserve"> daňovým únikům a zlepšit pobídky prostřednictvím podpory elektronických plateb a zlepšení struktury daní pro osoby samostatně výdělečně činné, jakož i posílit provozní autonomii daňové správy. Tato reforma zejména: i) reformovat zdanění osob samostatně vý</w:t>
      </w:r>
      <w:r>
        <w:rPr>
          <w:noProof/>
        </w:rPr>
        <w:t>dělečně činných a kolkovné; II) bojovat proti daňovým únikům rozšířením povinného přijímání elektronických plateb; III) stanovit nové požadavky na podávání zpráv o údajích předávaných daňové správě a umožnit použití těchto údajů pro účely DPH a daně z příj</w:t>
      </w:r>
      <w:r>
        <w:rPr>
          <w:noProof/>
        </w:rPr>
        <w:t>mu; a iv) posílit provozní autonomii, odolnost a úroveň zákaznických služeb Nezávislého úřadu pro veřejné příjmy (IAPR).</w:t>
      </w:r>
    </w:p>
    <w:p w14:paraId="30BFA621" w14:textId="77777777" w:rsidR="00515398" w:rsidRDefault="006711E6">
      <w:pPr>
        <w:pStyle w:val="P68B1DB1-Normal4"/>
        <w:spacing w:before="120" w:after="120" w:line="240" w:lineRule="auto"/>
        <w:jc w:val="both"/>
        <w:rPr>
          <w:rFonts w:cs="Times New Roman"/>
          <w:noProof/>
        </w:rPr>
      </w:pPr>
      <w:r>
        <w:rPr>
          <w:noProof/>
        </w:rPr>
        <w:t>Provádění reformy se dokončí do 31. prosince 2024.</w:t>
      </w:r>
    </w:p>
    <w:p w14:paraId="43551794" w14:textId="77777777" w:rsidR="00515398" w:rsidRDefault="00515398">
      <w:pPr>
        <w:spacing w:before="120" w:after="120" w:line="240" w:lineRule="auto"/>
        <w:ind w:left="709"/>
        <w:jc w:val="both"/>
        <w:rPr>
          <w:rFonts w:ascii="Times New Roman" w:hAnsi="Times New Roman" w:cs="Times New Roman"/>
          <w:i/>
          <w:iCs/>
          <w:noProof/>
          <w:color w:val="4F81BD"/>
          <w:sz w:val="24"/>
        </w:rPr>
      </w:pPr>
    </w:p>
    <w:p w14:paraId="32766F92" w14:textId="77777777" w:rsidR="00515398" w:rsidRDefault="00515398">
      <w:pPr>
        <w:spacing w:before="120" w:after="120" w:line="240" w:lineRule="auto"/>
        <w:ind w:left="709"/>
        <w:jc w:val="both"/>
        <w:rPr>
          <w:rFonts w:ascii="Times New Roman" w:hAnsi="Times New Roman" w:cs="Times New Roman"/>
          <w:noProof/>
          <w:sz w:val="24"/>
        </w:rPr>
      </w:pPr>
    </w:p>
    <w:p w14:paraId="11303511"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11"/>
          <w:headerReference w:type="default" r:id="rId212"/>
          <w:footerReference w:type="even" r:id="rId213"/>
          <w:footerReference w:type="default" r:id="rId214"/>
          <w:headerReference w:type="first" r:id="rId215"/>
          <w:footerReference w:type="first" r:id="rId216"/>
          <w:pgSz w:w="11907" w:h="16839"/>
          <w:pgMar w:top="1134" w:right="1417" w:bottom="1134" w:left="1417" w:header="709" w:footer="468" w:gutter="0"/>
          <w:cols w:space="720"/>
          <w:docGrid w:linePitch="360"/>
        </w:sectPr>
      </w:pPr>
    </w:p>
    <w:p w14:paraId="01708A65" w14:textId="45A37E29" w:rsidR="00515398" w:rsidRDefault="006711E6">
      <w:pPr>
        <w:pStyle w:val="P68B1DB1-Normal25"/>
        <w:spacing w:before="120" w:after="120" w:line="240" w:lineRule="auto"/>
        <w:ind w:left="709"/>
        <w:jc w:val="both"/>
        <w:rPr>
          <w:rFonts w:cs="Times New Roman"/>
          <w:bCs/>
          <w:noProof/>
        </w:rPr>
      </w:pPr>
      <w:r>
        <w:rPr>
          <w:noProof/>
        </w:rPr>
        <w:t xml:space="preserve">L.2. Milníky, cíle, </w:t>
      </w:r>
      <w:r>
        <w:rPr>
          <w:noProof/>
        </w:rPr>
        <w:t>ukazatele a harmonogram monitorování a provádění nevratné finanční podpory</w:t>
      </w:r>
    </w:p>
    <w:p w14:paraId="557A0787" w14:textId="77777777" w:rsidR="00515398" w:rsidRDefault="00515398">
      <w:pPr>
        <w:spacing w:before="120" w:after="120" w:line="240" w:lineRule="auto"/>
        <w:ind w:left="709"/>
        <w:jc w:val="both"/>
        <w:rPr>
          <w:rFonts w:ascii="Times New Roman" w:hAnsi="Times New Roman" w:cs="Times New Roman"/>
          <w:noProof/>
          <w:sz w:val="24"/>
          <w:szCs w:val="24"/>
        </w:rPr>
      </w:pPr>
    </w:p>
    <w:p w14:paraId="457FA0C8" w14:textId="77777777" w:rsidR="00515398" w:rsidRDefault="006711E6">
      <w:pPr>
        <w:pStyle w:val="P68B1DB1-Normal6"/>
        <w:keepNext/>
        <w:keepLines/>
        <w:spacing w:before="40" w:after="0" w:line="240" w:lineRule="auto"/>
        <w:jc w:val="both"/>
        <w:outlineLvl w:val="4"/>
        <w:rPr>
          <w:noProof/>
        </w:rPr>
      </w:pPr>
      <w:r>
        <w:rPr>
          <w:noProof/>
        </w:rPr>
        <w:t>Klíčová reforma 8: On-line registrační pokladny a POS</w:t>
      </w:r>
    </w:p>
    <w:p w14:paraId="4C47FCAF"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289"/>
        <w:gridCol w:w="967"/>
        <w:gridCol w:w="1550"/>
        <w:gridCol w:w="2363"/>
        <w:gridCol w:w="1200"/>
        <w:gridCol w:w="1200"/>
        <w:gridCol w:w="960"/>
        <w:gridCol w:w="1080"/>
        <w:gridCol w:w="840"/>
        <w:gridCol w:w="3396"/>
      </w:tblGrid>
      <w:tr w:rsidR="00515398" w14:paraId="08D2C208" w14:textId="77777777">
        <w:trPr>
          <w:trHeight w:val="798"/>
          <w:tblHeader/>
          <w:jc w:val="center"/>
        </w:trPr>
        <w:tc>
          <w:tcPr>
            <w:tcW w:w="1027" w:type="dxa"/>
            <w:vMerge w:val="restart"/>
            <w:shd w:val="clear" w:color="auto" w:fill="BDD7EE"/>
            <w:vAlign w:val="center"/>
            <w:hideMark/>
          </w:tcPr>
          <w:p w14:paraId="00B5B239"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289" w:type="dxa"/>
            <w:vMerge w:val="restart"/>
            <w:shd w:val="clear" w:color="auto" w:fill="BDD7EE"/>
            <w:vAlign w:val="center"/>
            <w:hideMark/>
          </w:tcPr>
          <w:p w14:paraId="5582F6B8"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shd w:val="clear" w:color="auto" w:fill="BDD7EE"/>
            <w:vAlign w:val="center"/>
            <w:hideMark/>
          </w:tcPr>
          <w:p w14:paraId="1C3FCBA9"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550" w:type="dxa"/>
            <w:vMerge w:val="restart"/>
            <w:shd w:val="clear" w:color="auto" w:fill="BDD7EE"/>
            <w:vAlign w:val="center"/>
            <w:hideMark/>
          </w:tcPr>
          <w:p w14:paraId="5674D707"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2363" w:type="dxa"/>
            <w:vMerge w:val="restart"/>
            <w:shd w:val="clear" w:color="auto" w:fill="BDD7EE"/>
            <w:vAlign w:val="center"/>
            <w:hideMark/>
          </w:tcPr>
          <w:p w14:paraId="5B6A1011"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3360" w:type="dxa"/>
            <w:gridSpan w:val="3"/>
            <w:shd w:val="clear" w:color="auto" w:fill="BDD7EE"/>
            <w:vAlign w:val="center"/>
            <w:hideMark/>
          </w:tcPr>
          <w:p w14:paraId="0EF744EE"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Kvantitat</w:t>
            </w:r>
            <w:r>
              <w:rPr>
                <w:b/>
                <w:noProof/>
                <w:sz w:val="18"/>
              </w:rPr>
              <w:t xml:space="preserve">ivní ukazatele </w:t>
            </w:r>
            <w:r>
              <w:rPr>
                <w:noProof/>
                <w:sz w:val="24"/>
              </w:rPr>
              <w:t xml:space="preserve"> </w:t>
            </w:r>
            <w:r>
              <w:rPr>
                <w:b/>
                <w:noProof/>
                <w:sz w:val="18"/>
              </w:rPr>
              <w:t>(pro cíle)</w:t>
            </w:r>
          </w:p>
        </w:tc>
        <w:tc>
          <w:tcPr>
            <w:tcW w:w="1920" w:type="dxa"/>
            <w:gridSpan w:val="2"/>
            <w:shd w:val="clear" w:color="auto" w:fill="BDD7EE"/>
            <w:vAlign w:val="center"/>
            <w:hideMark/>
          </w:tcPr>
          <w:p w14:paraId="3F1C0F64"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396" w:type="dxa"/>
            <w:vMerge w:val="restart"/>
            <w:shd w:val="clear" w:color="auto" w:fill="BDD7EE"/>
            <w:vAlign w:val="center"/>
            <w:hideMark/>
          </w:tcPr>
          <w:p w14:paraId="32873A42"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7708BAD7" w14:textId="77777777">
        <w:trPr>
          <w:trHeight w:val="441"/>
          <w:jc w:val="center"/>
        </w:trPr>
        <w:tc>
          <w:tcPr>
            <w:tcW w:w="1027" w:type="dxa"/>
            <w:vMerge/>
            <w:vAlign w:val="center"/>
            <w:hideMark/>
          </w:tcPr>
          <w:p w14:paraId="186A6E65" w14:textId="77777777" w:rsidR="00515398" w:rsidRDefault="00515398">
            <w:pPr>
              <w:spacing w:after="0" w:line="240" w:lineRule="auto"/>
              <w:rPr>
                <w:rFonts w:ascii="Times New Roman" w:eastAsia="Times New Roman" w:hAnsi="Times New Roman" w:cs="Times New Roman"/>
                <w:b/>
                <w:noProof/>
                <w:sz w:val="18"/>
                <w:szCs w:val="18"/>
              </w:rPr>
            </w:pPr>
          </w:p>
        </w:tc>
        <w:tc>
          <w:tcPr>
            <w:tcW w:w="1289" w:type="dxa"/>
            <w:vMerge/>
            <w:vAlign w:val="center"/>
            <w:hideMark/>
          </w:tcPr>
          <w:p w14:paraId="4619E917" w14:textId="77777777" w:rsidR="00515398" w:rsidRDefault="00515398">
            <w:pPr>
              <w:spacing w:after="0" w:line="240" w:lineRule="auto"/>
              <w:rPr>
                <w:rFonts w:ascii="Times New Roman" w:eastAsia="Times New Roman" w:hAnsi="Times New Roman" w:cs="Times New Roman"/>
                <w:b/>
                <w:noProof/>
                <w:sz w:val="18"/>
                <w:szCs w:val="18"/>
              </w:rPr>
            </w:pPr>
          </w:p>
        </w:tc>
        <w:tc>
          <w:tcPr>
            <w:tcW w:w="966" w:type="dxa"/>
            <w:vMerge/>
            <w:vAlign w:val="center"/>
            <w:hideMark/>
          </w:tcPr>
          <w:p w14:paraId="6B0FED5F" w14:textId="77777777" w:rsidR="00515398" w:rsidRDefault="00515398">
            <w:pPr>
              <w:spacing w:after="0" w:line="240" w:lineRule="auto"/>
              <w:rPr>
                <w:rFonts w:ascii="Times New Roman" w:eastAsia="Times New Roman" w:hAnsi="Times New Roman" w:cs="Times New Roman"/>
                <w:b/>
                <w:noProof/>
                <w:sz w:val="18"/>
                <w:szCs w:val="18"/>
              </w:rPr>
            </w:pPr>
          </w:p>
        </w:tc>
        <w:tc>
          <w:tcPr>
            <w:tcW w:w="1550" w:type="dxa"/>
            <w:vMerge/>
            <w:vAlign w:val="center"/>
            <w:hideMark/>
          </w:tcPr>
          <w:p w14:paraId="5D12436E" w14:textId="77777777" w:rsidR="00515398" w:rsidRDefault="00515398">
            <w:pPr>
              <w:spacing w:after="0" w:line="240" w:lineRule="auto"/>
              <w:rPr>
                <w:rFonts w:ascii="Times New Roman" w:eastAsia="Times New Roman" w:hAnsi="Times New Roman" w:cs="Times New Roman"/>
                <w:b/>
                <w:noProof/>
                <w:sz w:val="18"/>
                <w:szCs w:val="18"/>
              </w:rPr>
            </w:pPr>
          </w:p>
        </w:tc>
        <w:tc>
          <w:tcPr>
            <w:tcW w:w="2363" w:type="dxa"/>
            <w:vMerge/>
            <w:vAlign w:val="center"/>
            <w:hideMark/>
          </w:tcPr>
          <w:p w14:paraId="20B1BEC9" w14:textId="77777777" w:rsidR="00515398" w:rsidRDefault="00515398">
            <w:pPr>
              <w:spacing w:after="0" w:line="240" w:lineRule="auto"/>
              <w:rPr>
                <w:rFonts w:ascii="Times New Roman" w:eastAsia="Times New Roman" w:hAnsi="Times New Roman" w:cs="Times New Roman"/>
                <w:b/>
                <w:noProof/>
                <w:sz w:val="18"/>
                <w:szCs w:val="18"/>
              </w:rPr>
            </w:pPr>
          </w:p>
        </w:tc>
        <w:tc>
          <w:tcPr>
            <w:tcW w:w="1200" w:type="dxa"/>
            <w:shd w:val="clear" w:color="auto" w:fill="BDD7EE"/>
            <w:vAlign w:val="center"/>
            <w:hideMark/>
          </w:tcPr>
          <w:p w14:paraId="5DF0E71B"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1200" w:type="dxa"/>
            <w:shd w:val="clear" w:color="auto" w:fill="BDD7EE"/>
            <w:vAlign w:val="center"/>
            <w:hideMark/>
          </w:tcPr>
          <w:p w14:paraId="7DDED896"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960" w:type="dxa"/>
            <w:shd w:val="clear" w:color="auto" w:fill="BDD7EE"/>
            <w:vAlign w:val="center"/>
            <w:hideMark/>
          </w:tcPr>
          <w:p w14:paraId="6927F444"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1080" w:type="dxa"/>
            <w:shd w:val="clear" w:color="auto" w:fill="BDD7EE"/>
            <w:vAlign w:val="center"/>
            <w:hideMark/>
          </w:tcPr>
          <w:p w14:paraId="3CD2C59F"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840" w:type="dxa"/>
            <w:shd w:val="clear" w:color="auto" w:fill="BDD7EE"/>
            <w:vAlign w:val="center"/>
            <w:hideMark/>
          </w:tcPr>
          <w:p w14:paraId="7CF43455"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396" w:type="dxa"/>
            <w:vMerge/>
            <w:vAlign w:val="center"/>
            <w:hideMark/>
          </w:tcPr>
          <w:p w14:paraId="3F889D56" w14:textId="77777777" w:rsidR="00515398" w:rsidRDefault="00515398">
            <w:pPr>
              <w:spacing w:after="0" w:line="240" w:lineRule="auto"/>
              <w:rPr>
                <w:rFonts w:ascii="Times New Roman" w:eastAsia="Times New Roman" w:hAnsi="Times New Roman" w:cs="Times New Roman"/>
                <w:b/>
                <w:noProof/>
                <w:sz w:val="18"/>
                <w:szCs w:val="18"/>
              </w:rPr>
            </w:pPr>
          </w:p>
        </w:tc>
      </w:tr>
      <w:tr w:rsidR="00515398" w14:paraId="280646F3" w14:textId="77777777">
        <w:trPr>
          <w:trHeight w:val="309"/>
          <w:jc w:val="center"/>
        </w:trPr>
        <w:tc>
          <w:tcPr>
            <w:tcW w:w="1027" w:type="dxa"/>
            <w:shd w:val="clear" w:color="auto" w:fill="C6EFCE"/>
            <w:noWrap/>
          </w:tcPr>
          <w:p w14:paraId="24F4B8B4" w14:textId="77777777" w:rsidR="00515398" w:rsidRDefault="006711E6">
            <w:pPr>
              <w:pStyle w:val="P68B1DB1-Normal9"/>
              <w:spacing w:after="0" w:line="240" w:lineRule="auto"/>
              <w:rPr>
                <w:rFonts w:eastAsia="Times New Roman" w:cs="Calibri"/>
                <w:noProof/>
                <w:szCs w:val="18"/>
              </w:rPr>
            </w:pPr>
            <w:r>
              <w:rPr>
                <w:noProof/>
              </w:rPr>
              <w:t>188</w:t>
            </w:r>
          </w:p>
        </w:tc>
        <w:tc>
          <w:tcPr>
            <w:tcW w:w="1289" w:type="dxa"/>
            <w:shd w:val="clear" w:color="auto" w:fill="C6EFCE"/>
            <w:noWrap/>
          </w:tcPr>
          <w:p w14:paraId="5B5E88C3"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příznivějšími pro růst a zlepšit daňovou správu a výběr daní – 16614_Online </w:t>
            </w:r>
            <w:r>
              <w:rPr>
                <w:noProof/>
              </w:rPr>
              <w:t>registrační pokladny a POS (reforma)</w:t>
            </w:r>
          </w:p>
        </w:tc>
        <w:tc>
          <w:tcPr>
            <w:tcW w:w="966" w:type="dxa"/>
            <w:shd w:val="clear" w:color="auto" w:fill="C6EFCE"/>
            <w:noWrap/>
          </w:tcPr>
          <w:p w14:paraId="54B18398" w14:textId="77777777" w:rsidR="00515398" w:rsidRDefault="006711E6">
            <w:pPr>
              <w:pStyle w:val="P68B1DB1-Normal9"/>
              <w:spacing w:after="0" w:line="240" w:lineRule="auto"/>
              <w:rPr>
                <w:rFonts w:eastAsia="Times New Roman" w:cs="Calibri"/>
                <w:noProof/>
                <w:szCs w:val="18"/>
              </w:rPr>
            </w:pPr>
            <w:r>
              <w:rPr>
                <w:noProof/>
              </w:rPr>
              <w:t>Milník</w:t>
            </w:r>
          </w:p>
        </w:tc>
        <w:tc>
          <w:tcPr>
            <w:tcW w:w="1550" w:type="dxa"/>
            <w:shd w:val="clear" w:color="auto" w:fill="C6EFCE"/>
            <w:noWrap/>
          </w:tcPr>
          <w:p w14:paraId="3912477E" w14:textId="77777777" w:rsidR="00515398" w:rsidRDefault="006711E6">
            <w:pPr>
              <w:pStyle w:val="P68B1DB1-Normal9"/>
              <w:spacing w:after="0" w:line="240" w:lineRule="auto"/>
              <w:rPr>
                <w:rFonts w:eastAsia="Times New Roman" w:cs="Calibri"/>
                <w:noProof/>
                <w:szCs w:val="18"/>
              </w:rPr>
            </w:pPr>
            <w:r>
              <w:rPr>
                <w:noProof/>
              </w:rPr>
              <w:t>Nezávislý úřad pro veřejné příjmy (IAPR): On-line registrační pokladny a prodejní místa – vstup právního rámce v platnost</w:t>
            </w:r>
          </w:p>
        </w:tc>
        <w:tc>
          <w:tcPr>
            <w:tcW w:w="2363" w:type="dxa"/>
            <w:shd w:val="clear" w:color="auto" w:fill="C6EFCE"/>
            <w:noWrap/>
          </w:tcPr>
          <w:p w14:paraId="0D4D8E7C" w14:textId="77777777" w:rsidR="00515398" w:rsidRDefault="006711E6">
            <w:pPr>
              <w:pStyle w:val="P68B1DB1-Normal9"/>
              <w:spacing w:after="0" w:line="240" w:lineRule="auto"/>
              <w:rPr>
                <w:rFonts w:eastAsia="Times New Roman" w:cs="Calibri"/>
                <w:noProof/>
                <w:szCs w:val="18"/>
              </w:rPr>
            </w:pPr>
            <w:r>
              <w:rPr>
                <w:noProof/>
              </w:rPr>
              <w:t>Vstup zákona v platnost</w:t>
            </w:r>
          </w:p>
        </w:tc>
        <w:tc>
          <w:tcPr>
            <w:tcW w:w="1200" w:type="dxa"/>
            <w:shd w:val="clear" w:color="auto" w:fill="C6EFCE"/>
            <w:noWrap/>
          </w:tcPr>
          <w:p w14:paraId="735FD920" w14:textId="77777777" w:rsidR="00515398" w:rsidRDefault="00515398">
            <w:pPr>
              <w:spacing w:after="0" w:line="240" w:lineRule="auto"/>
              <w:rPr>
                <w:rFonts w:eastAsia="Times New Roman" w:cs="Calibri"/>
                <w:noProof/>
                <w:color w:val="006100"/>
                <w:sz w:val="18"/>
                <w:szCs w:val="18"/>
              </w:rPr>
            </w:pPr>
          </w:p>
        </w:tc>
        <w:tc>
          <w:tcPr>
            <w:tcW w:w="1200" w:type="dxa"/>
            <w:shd w:val="clear" w:color="auto" w:fill="C6EFCE"/>
            <w:noWrap/>
          </w:tcPr>
          <w:p w14:paraId="3F1995AA" w14:textId="77777777" w:rsidR="00515398" w:rsidRDefault="00515398">
            <w:pPr>
              <w:spacing w:after="0" w:line="240" w:lineRule="auto"/>
              <w:rPr>
                <w:rFonts w:eastAsia="Times New Roman" w:cs="Calibri"/>
                <w:noProof/>
                <w:color w:val="006100"/>
                <w:sz w:val="18"/>
                <w:szCs w:val="18"/>
              </w:rPr>
            </w:pPr>
          </w:p>
        </w:tc>
        <w:tc>
          <w:tcPr>
            <w:tcW w:w="960" w:type="dxa"/>
            <w:shd w:val="clear" w:color="auto" w:fill="C6EFCE"/>
            <w:noWrap/>
          </w:tcPr>
          <w:p w14:paraId="538F6A1B" w14:textId="77777777" w:rsidR="00515398" w:rsidRDefault="00515398">
            <w:pPr>
              <w:spacing w:after="0" w:line="240" w:lineRule="auto"/>
              <w:rPr>
                <w:rFonts w:eastAsia="Times New Roman" w:cs="Calibri"/>
                <w:noProof/>
                <w:color w:val="006100"/>
                <w:sz w:val="18"/>
                <w:szCs w:val="18"/>
              </w:rPr>
            </w:pPr>
          </w:p>
        </w:tc>
        <w:tc>
          <w:tcPr>
            <w:tcW w:w="1080" w:type="dxa"/>
            <w:shd w:val="clear" w:color="auto" w:fill="C6EFCE"/>
            <w:noWrap/>
          </w:tcPr>
          <w:p w14:paraId="3FE6755C" w14:textId="77777777" w:rsidR="00515398" w:rsidRDefault="006711E6">
            <w:pPr>
              <w:pStyle w:val="P68B1DB1-Normal9"/>
              <w:spacing w:after="0" w:line="240" w:lineRule="auto"/>
              <w:rPr>
                <w:rFonts w:eastAsia="Times New Roman" w:cs="Calibri"/>
                <w:noProof/>
                <w:szCs w:val="18"/>
              </w:rPr>
            </w:pPr>
            <w:r>
              <w:rPr>
                <w:noProof/>
              </w:rPr>
              <w:t>ČTVRTLETÍ 1</w:t>
            </w:r>
          </w:p>
        </w:tc>
        <w:tc>
          <w:tcPr>
            <w:tcW w:w="840" w:type="dxa"/>
            <w:shd w:val="clear" w:color="auto" w:fill="C6EFCE"/>
            <w:noWrap/>
          </w:tcPr>
          <w:p w14:paraId="07312550" w14:textId="77777777" w:rsidR="00515398" w:rsidRDefault="006711E6">
            <w:pPr>
              <w:pStyle w:val="P68B1DB1-Normal9"/>
              <w:spacing w:after="0" w:line="240" w:lineRule="auto"/>
              <w:rPr>
                <w:rFonts w:eastAsia="Times New Roman" w:cs="Calibri"/>
                <w:noProof/>
                <w:szCs w:val="18"/>
              </w:rPr>
            </w:pPr>
            <w:r>
              <w:rPr>
                <w:noProof/>
              </w:rPr>
              <w:t>2022</w:t>
            </w:r>
          </w:p>
        </w:tc>
        <w:tc>
          <w:tcPr>
            <w:tcW w:w="3396" w:type="dxa"/>
            <w:shd w:val="clear" w:color="auto" w:fill="C6EFCE"/>
            <w:noWrap/>
          </w:tcPr>
          <w:p w14:paraId="03712E35" w14:textId="77777777" w:rsidR="00515398" w:rsidRDefault="006711E6">
            <w:pPr>
              <w:pStyle w:val="P68B1DB1-Normal9"/>
              <w:spacing w:after="0" w:line="240" w:lineRule="auto"/>
              <w:rPr>
                <w:rFonts w:eastAsia="Times New Roman" w:cs="Calibri"/>
                <w:noProof/>
                <w:szCs w:val="18"/>
              </w:rPr>
            </w:pPr>
            <w:r>
              <w:rPr>
                <w:noProof/>
              </w:rPr>
              <w:t>Vstup v platnost rozhodnutí nezávislého orgánu</w:t>
            </w:r>
            <w:r>
              <w:rPr>
                <w:noProof/>
              </w:rPr>
              <w:t xml:space="preserve"> pro veřejné příjmy o technických požadavcích (na základě článku 12 zákona č. 4308/2014) a společného ministerského rozhodnutí o elektronickém předávání údajů Nezávislému orgánu pro veřejné příjmy (na základě článku 15 zákona č. 4174/2013), které stanoví k</w:t>
            </w:r>
            <w:r>
              <w:rPr>
                <w:noProof/>
              </w:rPr>
              <w:t>líčové prvky nezbytné pro propojení online registračních pokladen a systémů prodeje (POS) s Nezávislým orgánem pro veřejné příjmy, včetně přehodnocení sankcí pro pokladny (článek 54 zákona 4174/2013).</w:t>
            </w:r>
          </w:p>
        </w:tc>
      </w:tr>
      <w:tr w:rsidR="00515398" w14:paraId="54D5016D" w14:textId="77777777">
        <w:trPr>
          <w:trHeight w:val="309"/>
          <w:jc w:val="center"/>
        </w:trPr>
        <w:tc>
          <w:tcPr>
            <w:tcW w:w="1027" w:type="dxa"/>
            <w:shd w:val="clear" w:color="auto" w:fill="C6EFCE"/>
            <w:noWrap/>
          </w:tcPr>
          <w:p w14:paraId="13DCABC0" w14:textId="77777777" w:rsidR="00515398" w:rsidRDefault="006711E6">
            <w:pPr>
              <w:pStyle w:val="P68B1DB1-Normal9"/>
              <w:spacing w:after="0" w:line="240" w:lineRule="auto"/>
              <w:rPr>
                <w:rFonts w:eastAsia="Times New Roman" w:cs="Calibri"/>
                <w:noProof/>
                <w:szCs w:val="18"/>
              </w:rPr>
            </w:pPr>
            <w:r>
              <w:rPr>
                <w:noProof/>
              </w:rPr>
              <w:t>189</w:t>
            </w:r>
          </w:p>
        </w:tc>
        <w:tc>
          <w:tcPr>
            <w:tcW w:w="1289" w:type="dxa"/>
            <w:shd w:val="clear" w:color="auto" w:fill="C6EFCE"/>
            <w:noWrap/>
          </w:tcPr>
          <w:p w14:paraId="13B5A591"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příznivějšími pro růst a </w:t>
            </w:r>
            <w:r>
              <w:rPr>
                <w:noProof/>
              </w:rPr>
              <w:t>zlepšit daňovou správu a výběr daní – 16614_Online registrační pokladny a POS (reforma)</w:t>
            </w:r>
          </w:p>
        </w:tc>
        <w:tc>
          <w:tcPr>
            <w:tcW w:w="966" w:type="dxa"/>
            <w:shd w:val="clear" w:color="auto" w:fill="C6EFCE"/>
            <w:noWrap/>
          </w:tcPr>
          <w:p w14:paraId="3A9D63B9" w14:textId="77777777" w:rsidR="00515398" w:rsidRDefault="006711E6">
            <w:pPr>
              <w:pStyle w:val="P68B1DB1-Normal9"/>
              <w:spacing w:after="0" w:line="240" w:lineRule="auto"/>
              <w:rPr>
                <w:rFonts w:eastAsia="Times New Roman" w:cs="Calibri"/>
                <w:noProof/>
                <w:szCs w:val="18"/>
              </w:rPr>
            </w:pPr>
            <w:r>
              <w:rPr>
                <w:noProof/>
              </w:rPr>
              <w:t>Cílová</w:t>
            </w:r>
          </w:p>
        </w:tc>
        <w:tc>
          <w:tcPr>
            <w:tcW w:w="1550" w:type="dxa"/>
            <w:shd w:val="clear" w:color="auto" w:fill="C6EFCE"/>
            <w:noWrap/>
          </w:tcPr>
          <w:p w14:paraId="430784F3" w14:textId="16BC83A5" w:rsidR="00515398" w:rsidRDefault="006711E6">
            <w:pPr>
              <w:pStyle w:val="P68B1DB1-Normal10"/>
              <w:spacing w:after="0" w:line="240" w:lineRule="auto"/>
              <w:rPr>
                <w:rFonts w:eastAsia="Times New Roman" w:cs="Calibri"/>
                <w:noProof/>
              </w:rPr>
            </w:pPr>
            <w:r>
              <w:rPr>
                <w:noProof/>
              </w:rPr>
              <w:t xml:space="preserve">Nezávislý úřad pro veřejné příjmy: On-line registrační pokladny a prodejní místa – integrace a propojení </w:t>
            </w:r>
          </w:p>
        </w:tc>
        <w:tc>
          <w:tcPr>
            <w:tcW w:w="2363" w:type="dxa"/>
            <w:shd w:val="clear" w:color="auto" w:fill="C6EFCE"/>
            <w:noWrap/>
          </w:tcPr>
          <w:p w14:paraId="128448D4" w14:textId="77777777" w:rsidR="00515398" w:rsidRDefault="00515398">
            <w:pPr>
              <w:spacing w:after="0" w:line="240" w:lineRule="auto"/>
              <w:rPr>
                <w:rFonts w:eastAsia="Times New Roman" w:cs="Calibri"/>
                <w:noProof/>
                <w:color w:val="006100"/>
                <w:sz w:val="18"/>
                <w:szCs w:val="18"/>
                <w:highlight w:val="yellow"/>
              </w:rPr>
            </w:pPr>
          </w:p>
        </w:tc>
        <w:tc>
          <w:tcPr>
            <w:tcW w:w="1200" w:type="dxa"/>
            <w:shd w:val="clear" w:color="auto" w:fill="C6EFCE"/>
            <w:noWrap/>
          </w:tcPr>
          <w:p w14:paraId="77EAABBA" w14:textId="77777777" w:rsidR="00515398" w:rsidRDefault="006711E6">
            <w:pPr>
              <w:pStyle w:val="P68B1DB1-Normal9"/>
              <w:spacing w:after="0" w:line="240" w:lineRule="auto"/>
              <w:rPr>
                <w:rFonts w:eastAsia="Times New Roman" w:cs="Calibri"/>
                <w:noProof/>
                <w:szCs w:val="18"/>
              </w:rPr>
            </w:pPr>
            <w:r>
              <w:rPr>
                <w:noProof/>
              </w:rPr>
              <w:t>Počet registračních pokladen</w:t>
            </w:r>
          </w:p>
        </w:tc>
        <w:tc>
          <w:tcPr>
            <w:tcW w:w="1200" w:type="dxa"/>
            <w:shd w:val="clear" w:color="auto" w:fill="C6EFCE"/>
            <w:noWrap/>
          </w:tcPr>
          <w:p w14:paraId="00CB000D" w14:textId="77777777" w:rsidR="00515398" w:rsidRDefault="006711E6">
            <w:pPr>
              <w:pStyle w:val="P68B1DB1-Normal9"/>
              <w:spacing w:after="0" w:line="240" w:lineRule="auto"/>
              <w:rPr>
                <w:rFonts w:eastAsia="Times New Roman" w:cs="Calibri"/>
                <w:noProof/>
                <w:szCs w:val="18"/>
              </w:rPr>
            </w:pPr>
            <w:r>
              <w:rPr>
                <w:noProof/>
              </w:rPr>
              <w:t>0</w:t>
            </w:r>
          </w:p>
        </w:tc>
        <w:tc>
          <w:tcPr>
            <w:tcW w:w="960" w:type="dxa"/>
            <w:shd w:val="clear" w:color="auto" w:fill="C6EFCE"/>
            <w:noWrap/>
          </w:tcPr>
          <w:p w14:paraId="06CDA168" w14:textId="77777777" w:rsidR="00515398" w:rsidRDefault="006711E6">
            <w:pPr>
              <w:pStyle w:val="P68B1DB1-Normal9"/>
              <w:spacing w:after="0" w:line="240" w:lineRule="auto"/>
              <w:rPr>
                <w:rFonts w:eastAsia="Times New Roman" w:cs="Calibri"/>
                <w:noProof/>
                <w:szCs w:val="18"/>
              </w:rPr>
            </w:pPr>
            <w:r>
              <w:rPr>
                <w:noProof/>
              </w:rPr>
              <w:t>400 000</w:t>
            </w:r>
          </w:p>
        </w:tc>
        <w:tc>
          <w:tcPr>
            <w:tcW w:w="1080" w:type="dxa"/>
            <w:shd w:val="clear" w:color="auto" w:fill="C6EFCE"/>
            <w:noWrap/>
          </w:tcPr>
          <w:p w14:paraId="19B5CC7B"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shd w:val="clear" w:color="auto" w:fill="C6EFCE"/>
            <w:noWrap/>
          </w:tcPr>
          <w:p w14:paraId="6E72446A" w14:textId="77777777" w:rsidR="00515398" w:rsidRDefault="006711E6">
            <w:pPr>
              <w:pStyle w:val="P68B1DB1-Normal9"/>
              <w:spacing w:after="0" w:line="240" w:lineRule="auto"/>
              <w:rPr>
                <w:rFonts w:eastAsia="Times New Roman" w:cs="Calibri"/>
                <w:noProof/>
                <w:szCs w:val="18"/>
              </w:rPr>
            </w:pPr>
            <w:r>
              <w:rPr>
                <w:noProof/>
              </w:rPr>
              <w:t>2024</w:t>
            </w:r>
          </w:p>
        </w:tc>
        <w:tc>
          <w:tcPr>
            <w:tcW w:w="3396" w:type="dxa"/>
            <w:shd w:val="clear" w:color="auto" w:fill="C6EFCE"/>
            <w:noWrap/>
          </w:tcPr>
          <w:p w14:paraId="30B781C5" w14:textId="3C0020E3" w:rsidR="00515398" w:rsidRDefault="006711E6">
            <w:pPr>
              <w:pStyle w:val="P68B1DB1-Normal10"/>
              <w:spacing w:after="0" w:line="240" w:lineRule="auto"/>
              <w:rPr>
                <w:rFonts w:eastAsia="Times New Roman" w:cs="Calibri"/>
                <w:noProof/>
              </w:rPr>
            </w:pPr>
            <w:r>
              <w:rPr>
                <w:noProof/>
              </w:rPr>
              <w:t xml:space="preserve">Integrace příslušného informačního systému a databáze do platformy myDATA – všechny podniky podle právního rámce propojily své on-line registrační pokladny se systémy prodeje s Nezávislým úřadem pro veřejné příjmy. </w:t>
            </w:r>
          </w:p>
          <w:p w14:paraId="0AFA29FA" w14:textId="77777777" w:rsidR="00515398" w:rsidRDefault="00515398">
            <w:pPr>
              <w:spacing w:after="0" w:line="240" w:lineRule="auto"/>
              <w:rPr>
                <w:rFonts w:eastAsia="Times New Roman" w:cs="Calibri"/>
                <w:noProof/>
                <w:color w:val="006100"/>
                <w:sz w:val="18"/>
                <w:szCs w:val="18"/>
              </w:rPr>
            </w:pPr>
          </w:p>
          <w:p w14:paraId="3A291345" w14:textId="77777777" w:rsidR="00515398" w:rsidRDefault="006711E6">
            <w:pPr>
              <w:pStyle w:val="P68B1DB1-Normal9"/>
              <w:spacing w:after="0" w:line="240" w:lineRule="auto"/>
              <w:rPr>
                <w:rFonts w:eastAsia="Times New Roman" w:cs="Calibri"/>
                <w:noProof/>
                <w:szCs w:val="18"/>
              </w:rPr>
            </w:pPr>
            <w:r>
              <w:rPr>
                <w:noProof/>
              </w:rPr>
              <w:t>Zprávu nezávislého úřadu pro veřejné př</w:t>
            </w:r>
            <w:r>
              <w:rPr>
                <w:noProof/>
              </w:rPr>
              <w:t>íjmy potvrzující dokončení reformy a uvádějící celkový počet online registračních pokladen, které propojily své systémy prodeje s Nezávislým úřadem pro veřejné příjmy. Počet způsobilých registračních pokladen je nejméně 400000.</w:t>
            </w:r>
          </w:p>
        </w:tc>
      </w:tr>
    </w:tbl>
    <w:p w14:paraId="0AA497C1" w14:textId="77777777" w:rsidR="00515398" w:rsidRDefault="00515398">
      <w:pPr>
        <w:spacing w:before="120" w:after="120" w:line="240" w:lineRule="auto"/>
        <w:ind w:left="709"/>
        <w:jc w:val="both"/>
        <w:rPr>
          <w:rFonts w:ascii="Times New Roman" w:hAnsi="Times New Roman" w:cs="Times New Roman"/>
          <w:noProof/>
          <w:sz w:val="24"/>
          <w:szCs w:val="24"/>
        </w:rPr>
      </w:pPr>
    </w:p>
    <w:p w14:paraId="675E82D4" w14:textId="77777777" w:rsidR="00515398" w:rsidRDefault="006711E6">
      <w:pPr>
        <w:pStyle w:val="P68B1DB1-Normal6"/>
        <w:keepNext/>
        <w:keepLines/>
        <w:spacing w:before="40" w:after="0" w:line="240" w:lineRule="auto"/>
        <w:jc w:val="both"/>
        <w:outlineLvl w:val="4"/>
        <w:rPr>
          <w:rFonts w:eastAsia="Times New Roman"/>
          <w:noProof/>
        </w:rPr>
      </w:pPr>
      <w:r>
        <w:rPr>
          <w:noProof/>
        </w:rPr>
        <w:t xml:space="preserve">Skupina 17: Opatření </w:t>
      </w:r>
      <w:r>
        <w:rPr>
          <w:noProof/>
        </w:rPr>
        <w:t>daňové správy</w:t>
      </w:r>
    </w:p>
    <w:p w14:paraId="2FCDF64E" w14:textId="77777777" w:rsidR="00515398" w:rsidRDefault="006711E6">
      <w:pPr>
        <w:pStyle w:val="P68B1DB1-Normal4"/>
        <w:numPr>
          <w:ilvl w:val="0"/>
          <w:numId w:val="37"/>
        </w:numPr>
        <w:spacing w:before="120" w:after="0" w:line="240" w:lineRule="auto"/>
        <w:jc w:val="both"/>
        <w:rPr>
          <w:rFonts w:cs="Times New Roman"/>
          <w:noProof/>
        </w:rPr>
      </w:pPr>
      <w:r>
        <w:rPr>
          <w:noProof/>
        </w:rPr>
        <w:t>Digitální transformace daňových auditů (ID: 16611)</w:t>
      </w:r>
    </w:p>
    <w:p w14:paraId="0B6EC869" w14:textId="77777777" w:rsidR="00515398" w:rsidRDefault="006711E6">
      <w:pPr>
        <w:pStyle w:val="P68B1DB1-Normal4"/>
        <w:numPr>
          <w:ilvl w:val="0"/>
          <w:numId w:val="37"/>
        </w:numPr>
        <w:spacing w:before="120" w:after="0" w:line="240" w:lineRule="auto"/>
        <w:jc w:val="both"/>
        <w:rPr>
          <w:rFonts w:cs="Times New Roman"/>
          <w:noProof/>
        </w:rPr>
      </w:pPr>
      <w:r>
        <w:rPr>
          <w:noProof/>
        </w:rPr>
        <w:t>Podpora urychlení vracení DPH (ID: 16610)</w:t>
      </w:r>
    </w:p>
    <w:p w14:paraId="340B0EDB" w14:textId="77777777" w:rsidR="00515398" w:rsidRDefault="006711E6">
      <w:pPr>
        <w:pStyle w:val="P68B1DB1-Normal4"/>
        <w:numPr>
          <w:ilvl w:val="0"/>
          <w:numId w:val="37"/>
        </w:numPr>
        <w:spacing w:before="120" w:after="0" w:line="240" w:lineRule="auto"/>
        <w:jc w:val="both"/>
        <w:rPr>
          <w:rFonts w:cs="Times New Roman"/>
          <w:noProof/>
        </w:rPr>
      </w:pPr>
      <w:r>
        <w:rPr>
          <w:noProof/>
        </w:rPr>
        <w:t>Nový rámec pro boj proti pašování, zejména u výrobků podléhajících spotřební dani (tabák, alkohol a energie) (ID: 16656)</w:t>
      </w:r>
    </w:p>
    <w:p w14:paraId="2745AF91" w14:textId="77777777" w:rsidR="00515398" w:rsidRDefault="006711E6">
      <w:pPr>
        <w:pStyle w:val="P68B1DB1-Normal4"/>
        <w:numPr>
          <w:ilvl w:val="0"/>
          <w:numId w:val="37"/>
        </w:numPr>
        <w:spacing w:before="120" w:after="120" w:line="240" w:lineRule="auto"/>
        <w:jc w:val="both"/>
        <w:rPr>
          <w:rFonts w:cs="Times New Roman"/>
          <w:noProof/>
        </w:rPr>
      </w:pPr>
      <w:r>
        <w:rPr>
          <w:noProof/>
        </w:rPr>
        <w:t xml:space="preserve">Digitální transformace </w:t>
      </w:r>
      <w:r>
        <w:rPr>
          <w:noProof/>
        </w:rPr>
        <w:t>daňové a celní správy (ID: 16291)</w:t>
      </w:r>
    </w:p>
    <w:p w14:paraId="376D1682" w14:textId="77777777" w:rsidR="00515398" w:rsidRDefault="00515398">
      <w:pPr>
        <w:spacing w:before="120" w:after="120" w:line="240" w:lineRule="auto"/>
        <w:ind w:left="709"/>
        <w:jc w:val="both"/>
        <w:rPr>
          <w:rFonts w:ascii="Times New Roman" w:hAnsi="Times New Roman" w:cs="Times New Roman"/>
          <w:noProof/>
          <w:sz w:val="24"/>
          <w:szCs w:val="24"/>
        </w:rPr>
      </w:pPr>
    </w:p>
    <w:tbl>
      <w:tblPr>
        <w:tblW w:w="15800" w:type="dxa"/>
        <w:jc w:val="center"/>
        <w:tblLook w:val="04A0" w:firstRow="1" w:lastRow="0" w:firstColumn="1" w:lastColumn="0" w:noHBand="0" w:noVBand="1"/>
      </w:tblPr>
      <w:tblGrid>
        <w:gridCol w:w="1027"/>
        <w:gridCol w:w="1533"/>
        <w:gridCol w:w="969"/>
        <w:gridCol w:w="1402"/>
        <w:gridCol w:w="1824"/>
        <w:gridCol w:w="927"/>
        <w:gridCol w:w="957"/>
        <w:gridCol w:w="587"/>
        <w:gridCol w:w="984"/>
        <w:gridCol w:w="694"/>
        <w:gridCol w:w="5173"/>
      </w:tblGrid>
      <w:tr w:rsidR="00515398" w14:paraId="751C80CB" w14:textId="77777777">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0541FB"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C12256"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4F034E"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3E7470"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05FA3A"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241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05D618E"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Kvantitativní ukazatele </w:t>
            </w:r>
            <w:r>
              <w:rPr>
                <w:noProof/>
                <w:sz w:val="24"/>
              </w:rPr>
              <w:t xml:space="preserve"> </w:t>
            </w:r>
            <w:r>
              <w:rPr>
                <w:b/>
                <w:noProof/>
                <w:sz w:val="18"/>
              </w:rPr>
              <w:t>(pro cíle)</w:t>
            </w:r>
          </w:p>
        </w:tc>
        <w:tc>
          <w:tcPr>
            <w:tcW w:w="1540" w:type="dxa"/>
            <w:gridSpan w:val="2"/>
            <w:tcBorders>
              <w:top w:val="single" w:sz="4" w:space="0" w:color="auto"/>
              <w:left w:val="nil"/>
              <w:bottom w:val="single" w:sz="4" w:space="0" w:color="auto"/>
              <w:right w:val="single" w:sz="4" w:space="0" w:color="auto"/>
            </w:tcBorders>
            <w:shd w:val="clear" w:color="auto" w:fill="BDD7EE"/>
            <w:vAlign w:val="center"/>
            <w:hideMark/>
          </w:tcPr>
          <w:p w14:paraId="7974604C"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51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9F2A0A"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42605750" w14:textId="77777777">
        <w:trPr>
          <w:trHeight w:val="674"/>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185F0AB" w14:textId="77777777" w:rsidR="00515398" w:rsidRDefault="00515398">
            <w:pPr>
              <w:spacing w:after="0" w:line="240" w:lineRule="auto"/>
              <w:rPr>
                <w:rFonts w:ascii="Times New Roman" w:eastAsia="Times New Roman" w:hAnsi="Times New Roman" w:cs="Times New Roman"/>
                <w:b/>
                <w:bCs/>
                <w:noProof/>
                <w:sz w:val="18"/>
                <w:szCs w:val="18"/>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6A6EBE57" w14:textId="77777777" w:rsidR="00515398" w:rsidRDefault="00515398">
            <w:pPr>
              <w:spacing w:after="0" w:line="240" w:lineRule="auto"/>
              <w:rPr>
                <w:rFonts w:ascii="Times New Roman" w:eastAsia="Times New Roman" w:hAnsi="Times New Roman" w:cs="Times New Roman"/>
                <w:b/>
                <w:bCs/>
                <w:noProof/>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588F0DD" w14:textId="77777777" w:rsidR="00515398" w:rsidRDefault="00515398">
            <w:pPr>
              <w:spacing w:after="0" w:line="240" w:lineRule="auto"/>
              <w:rPr>
                <w:rFonts w:ascii="Times New Roman" w:eastAsia="Times New Roman" w:hAnsi="Times New Roman" w:cs="Times New Roman"/>
                <w:b/>
                <w:bCs/>
                <w:noProof/>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18D1F48" w14:textId="77777777" w:rsidR="00515398" w:rsidRDefault="00515398">
            <w:pPr>
              <w:spacing w:after="0" w:line="240" w:lineRule="auto"/>
              <w:rPr>
                <w:rFonts w:ascii="Times New Roman" w:eastAsia="Times New Roman" w:hAnsi="Times New Roman" w:cs="Times New Roman"/>
                <w:b/>
                <w:bCs/>
                <w:noProof/>
                <w:sz w:val="18"/>
                <w:szCs w:val="18"/>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7DF5F48E" w14:textId="77777777" w:rsidR="00515398" w:rsidRDefault="00515398">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B3DEE6"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57" w:type="dxa"/>
            <w:tcBorders>
              <w:top w:val="single" w:sz="4" w:space="0" w:color="auto"/>
              <w:left w:val="nil"/>
              <w:bottom w:val="single" w:sz="4" w:space="0" w:color="auto"/>
              <w:right w:val="single" w:sz="4" w:space="0" w:color="auto"/>
            </w:tcBorders>
            <w:shd w:val="clear" w:color="auto" w:fill="BDD7EE"/>
            <w:vAlign w:val="center"/>
            <w:hideMark/>
          </w:tcPr>
          <w:p w14:paraId="127B0C60"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14:paraId="15968B28"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4B652D8F"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694" w:type="dxa"/>
            <w:tcBorders>
              <w:top w:val="single" w:sz="4" w:space="0" w:color="auto"/>
              <w:left w:val="nil"/>
              <w:bottom w:val="single" w:sz="4" w:space="0" w:color="auto"/>
              <w:right w:val="single" w:sz="4" w:space="0" w:color="auto"/>
            </w:tcBorders>
            <w:shd w:val="clear" w:color="auto" w:fill="BDD7EE"/>
            <w:vAlign w:val="center"/>
            <w:hideMark/>
          </w:tcPr>
          <w:p w14:paraId="0391B15A"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5173" w:type="dxa"/>
            <w:vMerge/>
            <w:tcBorders>
              <w:top w:val="single" w:sz="4" w:space="0" w:color="auto"/>
              <w:bottom w:val="single" w:sz="4" w:space="0" w:color="auto"/>
              <w:right w:val="single" w:sz="4" w:space="0" w:color="auto"/>
            </w:tcBorders>
            <w:vAlign w:val="center"/>
            <w:hideMark/>
          </w:tcPr>
          <w:p w14:paraId="074D7A7A"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7246D48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5026C5C" w14:textId="77777777" w:rsidR="00515398" w:rsidRDefault="006711E6">
            <w:pPr>
              <w:pStyle w:val="P68B1DB1-Normal9"/>
              <w:spacing w:after="0" w:line="240" w:lineRule="auto"/>
              <w:rPr>
                <w:rFonts w:eastAsia="Times New Roman" w:cs="Calibri"/>
                <w:noProof/>
                <w:szCs w:val="18"/>
              </w:rPr>
            </w:pPr>
            <w:r>
              <w:rPr>
                <w:noProof/>
              </w:rPr>
              <w:t>190</w:t>
            </w:r>
          </w:p>
        </w:tc>
        <w:tc>
          <w:tcPr>
            <w:tcW w:w="1533" w:type="dxa"/>
            <w:tcBorders>
              <w:top w:val="single" w:sz="4" w:space="0" w:color="auto"/>
              <w:left w:val="nil"/>
              <w:bottom w:val="single" w:sz="4" w:space="0" w:color="auto"/>
              <w:right w:val="single" w:sz="4" w:space="0" w:color="auto"/>
            </w:tcBorders>
            <w:shd w:val="clear" w:color="auto" w:fill="C6EFCE"/>
            <w:noWrap/>
          </w:tcPr>
          <w:p w14:paraId="4903C629" w14:textId="77777777" w:rsidR="00515398" w:rsidRDefault="006711E6">
            <w:pPr>
              <w:pStyle w:val="P68B1DB1-Normal9"/>
              <w:spacing w:after="0" w:line="240" w:lineRule="auto"/>
              <w:rPr>
                <w:rFonts w:eastAsia="Times New Roman" w:cs="Calibri"/>
                <w:noProof/>
                <w:szCs w:val="18"/>
              </w:rPr>
            </w:pPr>
            <w:r>
              <w:rPr>
                <w:noProof/>
              </w:rPr>
              <w:t>12–4.1. Učinit daně příznivější pro růst a zlepšit daňovou správu a výběr daní – 16656_Nový rámec pro boj proti pašování, zejména u výrobků podléhajících spotřebním daním (tabák, alkohol a energie)</w:t>
            </w:r>
          </w:p>
        </w:tc>
        <w:tc>
          <w:tcPr>
            <w:tcW w:w="969" w:type="dxa"/>
            <w:tcBorders>
              <w:top w:val="single" w:sz="4" w:space="0" w:color="auto"/>
              <w:left w:val="nil"/>
              <w:bottom w:val="single" w:sz="4" w:space="0" w:color="auto"/>
              <w:right w:val="single" w:sz="4" w:space="0" w:color="auto"/>
            </w:tcBorders>
            <w:shd w:val="clear" w:color="auto" w:fill="C6EFCE"/>
            <w:noWrap/>
          </w:tcPr>
          <w:p w14:paraId="30D5EA56"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single" w:sz="4" w:space="0" w:color="auto"/>
              <w:left w:val="nil"/>
              <w:bottom w:val="single" w:sz="4" w:space="0" w:color="auto"/>
              <w:right w:val="single" w:sz="4" w:space="0" w:color="auto"/>
            </w:tcBorders>
            <w:shd w:val="clear" w:color="auto" w:fill="C6EFCE"/>
            <w:noWrap/>
          </w:tcPr>
          <w:p w14:paraId="198BBE1C" w14:textId="77777777" w:rsidR="00515398" w:rsidRDefault="006711E6">
            <w:pPr>
              <w:pStyle w:val="P68B1DB1-Normal9"/>
              <w:spacing w:after="0" w:line="240" w:lineRule="auto"/>
              <w:rPr>
                <w:rFonts w:eastAsia="Times New Roman" w:cs="Calibri"/>
                <w:noProof/>
                <w:szCs w:val="18"/>
              </w:rPr>
            </w:pPr>
            <w:r>
              <w:rPr>
                <w:noProof/>
              </w:rPr>
              <w:t>Boj proti pašování – plán regulačních rozhodnutí</w:t>
            </w:r>
          </w:p>
        </w:tc>
        <w:tc>
          <w:tcPr>
            <w:tcW w:w="1824" w:type="dxa"/>
            <w:tcBorders>
              <w:top w:val="single" w:sz="4" w:space="0" w:color="auto"/>
              <w:left w:val="nil"/>
              <w:bottom w:val="single" w:sz="4" w:space="0" w:color="auto"/>
              <w:right w:val="single" w:sz="4" w:space="0" w:color="auto"/>
            </w:tcBorders>
            <w:shd w:val="clear" w:color="auto" w:fill="C6EFCE"/>
            <w:noWrap/>
          </w:tcPr>
          <w:p w14:paraId="2108FBFC" w14:textId="77777777" w:rsidR="00515398" w:rsidRDefault="006711E6">
            <w:pPr>
              <w:pStyle w:val="P68B1DB1-Normal9"/>
              <w:spacing w:after="0" w:line="240" w:lineRule="auto"/>
              <w:rPr>
                <w:rFonts w:eastAsia="Times New Roman" w:cs="Calibri"/>
                <w:noProof/>
                <w:szCs w:val="18"/>
              </w:rPr>
            </w:pPr>
            <w:r>
              <w:rPr>
                <w:noProof/>
              </w:rPr>
              <w:t>Zpráva Nezávislého úřadu pro veřejné příjmy obsahující plán rozhodnutí/oběžníků souvisejících s bojem proti pašování.</w:t>
            </w:r>
          </w:p>
        </w:tc>
        <w:tc>
          <w:tcPr>
            <w:tcW w:w="866" w:type="dxa"/>
            <w:tcBorders>
              <w:top w:val="single" w:sz="4" w:space="0" w:color="auto"/>
              <w:left w:val="nil"/>
              <w:bottom w:val="single" w:sz="4" w:space="0" w:color="auto"/>
              <w:right w:val="single" w:sz="4" w:space="0" w:color="auto"/>
            </w:tcBorders>
            <w:shd w:val="clear" w:color="auto" w:fill="C6EFCE"/>
            <w:noWrap/>
          </w:tcPr>
          <w:p w14:paraId="70B7B4C8" w14:textId="77777777" w:rsidR="00515398" w:rsidRDefault="00515398">
            <w:pPr>
              <w:spacing w:after="0" w:line="240" w:lineRule="auto"/>
              <w:rPr>
                <w:rFonts w:eastAsia="Times New Roman" w:cs="Calibri"/>
                <w:noProof/>
                <w:color w:val="006100"/>
                <w:sz w:val="18"/>
                <w:szCs w:val="18"/>
              </w:rPr>
            </w:pPr>
          </w:p>
        </w:tc>
        <w:tc>
          <w:tcPr>
            <w:tcW w:w="957" w:type="dxa"/>
            <w:tcBorders>
              <w:top w:val="nil"/>
              <w:left w:val="nil"/>
              <w:bottom w:val="single" w:sz="4" w:space="0" w:color="auto"/>
              <w:right w:val="single" w:sz="4" w:space="0" w:color="auto"/>
            </w:tcBorders>
            <w:shd w:val="clear" w:color="auto" w:fill="C6EFCE"/>
            <w:noWrap/>
          </w:tcPr>
          <w:p w14:paraId="529F4C60"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441D21F"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2C26C189" w14:textId="77777777" w:rsidR="00515398" w:rsidRDefault="006711E6">
            <w:pPr>
              <w:pStyle w:val="P68B1DB1-Normal9"/>
              <w:spacing w:after="0" w:line="240" w:lineRule="auto"/>
              <w:rPr>
                <w:rFonts w:eastAsia="Times New Roman" w:cs="Calibri"/>
                <w:noProof/>
                <w:szCs w:val="18"/>
              </w:rPr>
            </w:pPr>
            <w:r>
              <w:rPr>
                <w:noProof/>
              </w:rPr>
              <w:t>ČTVRTLETÍ 1</w:t>
            </w:r>
          </w:p>
        </w:tc>
        <w:tc>
          <w:tcPr>
            <w:tcW w:w="694" w:type="dxa"/>
            <w:tcBorders>
              <w:top w:val="nil"/>
              <w:left w:val="nil"/>
              <w:bottom w:val="single" w:sz="4" w:space="0" w:color="auto"/>
              <w:right w:val="single" w:sz="4" w:space="0" w:color="auto"/>
            </w:tcBorders>
            <w:shd w:val="clear" w:color="auto" w:fill="C6EFCE"/>
            <w:noWrap/>
          </w:tcPr>
          <w:p w14:paraId="65DB692D" w14:textId="77777777" w:rsidR="00515398" w:rsidRDefault="006711E6">
            <w:pPr>
              <w:pStyle w:val="P68B1DB1-Normal9"/>
              <w:spacing w:after="0" w:line="240" w:lineRule="auto"/>
              <w:rPr>
                <w:rFonts w:eastAsia="Times New Roman" w:cs="Calibri"/>
                <w:noProof/>
                <w:szCs w:val="18"/>
              </w:rPr>
            </w:pPr>
            <w:r>
              <w:rPr>
                <w:noProof/>
              </w:rPr>
              <w:t>2022</w:t>
            </w:r>
          </w:p>
        </w:tc>
        <w:tc>
          <w:tcPr>
            <w:tcW w:w="5173" w:type="dxa"/>
            <w:tcBorders>
              <w:top w:val="single" w:sz="4" w:space="0" w:color="auto"/>
              <w:left w:val="single" w:sz="4" w:space="0" w:color="auto"/>
              <w:bottom w:val="single" w:sz="4" w:space="0" w:color="auto"/>
              <w:right w:val="single" w:sz="4" w:space="0" w:color="auto"/>
            </w:tcBorders>
            <w:shd w:val="clear" w:color="auto" w:fill="C6EFCE"/>
            <w:noWrap/>
          </w:tcPr>
          <w:p w14:paraId="2D5EDD55" w14:textId="77777777" w:rsidR="00515398" w:rsidRDefault="006711E6">
            <w:pPr>
              <w:pStyle w:val="P68B1DB1-Normal9"/>
              <w:spacing w:after="0" w:line="240" w:lineRule="auto"/>
              <w:rPr>
                <w:rFonts w:eastAsia="Times New Roman" w:cs="Calibri"/>
                <w:noProof/>
                <w:szCs w:val="18"/>
              </w:rPr>
            </w:pPr>
            <w:r>
              <w:rPr>
                <w:noProof/>
              </w:rPr>
              <w:t xml:space="preserve">Nezávislý orgán pro veřejné příjmy přijme plán (včetně </w:t>
            </w:r>
            <w:r>
              <w:rPr>
                <w:noProof/>
              </w:rPr>
              <w:t>harmonogramu) pro vydávání rozhodnutí/oběžníků souvisejících s reformou právního rámce pro boj proti převaděčství.</w:t>
            </w:r>
          </w:p>
          <w:p w14:paraId="2B5DD4A1" w14:textId="77777777" w:rsidR="00515398" w:rsidRDefault="00515398">
            <w:pPr>
              <w:spacing w:after="0" w:line="240" w:lineRule="auto"/>
              <w:rPr>
                <w:rFonts w:eastAsia="Times New Roman" w:cs="Calibri"/>
                <w:noProof/>
                <w:color w:val="006100"/>
                <w:sz w:val="18"/>
                <w:szCs w:val="18"/>
              </w:rPr>
            </w:pPr>
          </w:p>
          <w:p w14:paraId="49B2FAA8" w14:textId="77777777" w:rsidR="00515398" w:rsidRDefault="006711E6">
            <w:pPr>
              <w:pStyle w:val="P68B1DB1-Normal9"/>
              <w:spacing w:after="0" w:line="240" w:lineRule="auto"/>
              <w:rPr>
                <w:rFonts w:eastAsia="Times New Roman" w:cs="Calibri"/>
                <w:noProof/>
                <w:szCs w:val="18"/>
              </w:rPr>
            </w:pPr>
            <w:r>
              <w:rPr>
                <w:noProof/>
              </w:rPr>
              <w:t>Nezávislý orgán pro veřejné příjmy vydá zprávu o plánu vydávání rozhodnutí/oběžníků, v níž podrobně uvede kroky potřebné pro přepracování op</w:t>
            </w:r>
            <w:r>
              <w:rPr>
                <w:noProof/>
              </w:rPr>
              <w:t>eračních informačních systémů ICISNET a ELENXIS s cílem účinně stanovit priority rizik nesouladu s předpisy a vytvořit nejlepší možné profily auditu s využitím informací z databází Evropské unie a vnitrostátních databází.</w:t>
            </w:r>
          </w:p>
        </w:tc>
      </w:tr>
      <w:tr w:rsidR="00515398" w14:paraId="77D4A3FB"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253FC30" w14:textId="77777777" w:rsidR="00515398" w:rsidRDefault="006711E6">
            <w:pPr>
              <w:pStyle w:val="P68B1DB1-Normal9"/>
              <w:spacing w:after="0" w:line="240" w:lineRule="auto"/>
              <w:rPr>
                <w:rFonts w:eastAsia="Times New Roman" w:cs="Calibri"/>
                <w:noProof/>
                <w:szCs w:val="18"/>
              </w:rPr>
            </w:pPr>
            <w:r>
              <w:rPr>
                <w:noProof/>
              </w:rPr>
              <w:t>191</w:t>
            </w:r>
          </w:p>
        </w:tc>
        <w:tc>
          <w:tcPr>
            <w:tcW w:w="1533" w:type="dxa"/>
            <w:tcBorders>
              <w:top w:val="nil"/>
              <w:left w:val="nil"/>
              <w:bottom w:val="single" w:sz="4" w:space="0" w:color="auto"/>
              <w:right w:val="single" w:sz="4" w:space="0" w:color="auto"/>
            </w:tcBorders>
            <w:shd w:val="clear" w:color="auto" w:fill="C6EFCE"/>
            <w:noWrap/>
          </w:tcPr>
          <w:p w14:paraId="0AFE794F" w14:textId="77777777" w:rsidR="00515398" w:rsidRDefault="006711E6">
            <w:pPr>
              <w:pStyle w:val="P68B1DB1-Normal9"/>
              <w:spacing w:after="0" w:line="240" w:lineRule="auto"/>
              <w:rPr>
                <w:rFonts w:eastAsia="Times New Roman" w:cs="Calibri"/>
                <w:noProof/>
                <w:szCs w:val="18"/>
              </w:rPr>
            </w:pPr>
            <w:r>
              <w:rPr>
                <w:noProof/>
              </w:rPr>
              <w:t xml:space="preserve">12–4.1. Učinit daně </w:t>
            </w:r>
            <w:r>
              <w:rPr>
                <w:noProof/>
              </w:rPr>
              <w:t>příznivější pro růst a zlepšit daňovou správu a výběr daní – 16656_Nový rámec pro boj proti pašování, zejména u výrobků podléhajících spotřebním daním (tabák, alkohol a energie)</w:t>
            </w:r>
          </w:p>
        </w:tc>
        <w:tc>
          <w:tcPr>
            <w:tcW w:w="969" w:type="dxa"/>
            <w:tcBorders>
              <w:top w:val="nil"/>
              <w:left w:val="nil"/>
              <w:bottom w:val="single" w:sz="4" w:space="0" w:color="auto"/>
              <w:right w:val="single" w:sz="4" w:space="0" w:color="auto"/>
            </w:tcBorders>
            <w:shd w:val="clear" w:color="auto" w:fill="C6EFCE"/>
            <w:noWrap/>
          </w:tcPr>
          <w:p w14:paraId="5F808432"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nil"/>
              <w:left w:val="nil"/>
              <w:bottom w:val="single" w:sz="4" w:space="0" w:color="auto"/>
              <w:right w:val="single" w:sz="4" w:space="0" w:color="auto"/>
            </w:tcBorders>
            <w:shd w:val="clear" w:color="auto" w:fill="C6EFCE"/>
            <w:noWrap/>
          </w:tcPr>
          <w:p w14:paraId="605C4A5A" w14:textId="77777777" w:rsidR="00515398" w:rsidRDefault="006711E6">
            <w:pPr>
              <w:pStyle w:val="P68B1DB1-Normal9"/>
              <w:spacing w:after="0" w:line="240" w:lineRule="auto"/>
              <w:rPr>
                <w:rFonts w:eastAsia="Times New Roman" w:cs="Calibri"/>
                <w:noProof/>
                <w:szCs w:val="18"/>
              </w:rPr>
            </w:pPr>
            <w:r>
              <w:rPr>
                <w:noProof/>
              </w:rPr>
              <w:t>Boj proti převaděčství – vstup regulačních rozhodnutí v platnost</w:t>
            </w:r>
          </w:p>
        </w:tc>
        <w:tc>
          <w:tcPr>
            <w:tcW w:w="1824" w:type="dxa"/>
            <w:tcBorders>
              <w:top w:val="nil"/>
              <w:left w:val="nil"/>
              <w:bottom w:val="single" w:sz="4" w:space="0" w:color="auto"/>
              <w:right w:val="single" w:sz="4" w:space="0" w:color="auto"/>
            </w:tcBorders>
            <w:shd w:val="clear" w:color="auto" w:fill="C6EFCE"/>
            <w:noWrap/>
          </w:tcPr>
          <w:p w14:paraId="4F9D56E1" w14:textId="77777777" w:rsidR="00515398" w:rsidRDefault="006711E6">
            <w:pPr>
              <w:pStyle w:val="P68B1DB1-Normal9"/>
              <w:spacing w:after="0" w:line="240" w:lineRule="auto"/>
              <w:rPr>
                <w:rFonts w:eastAsia="Times New Roman" w:cs="Calibri"/>
                <w:noProof/>
                <w:szCs w:val="18"/>
              </w:rPr>
            </w:pPr>
            <w:r>
              <w:rPr>
                <w:noProof/>
              </w:rPr>
              <w:t>Vstoup</w:t>
            </w:r>
            <w:r>
              <w:rPr>
                <w:noProof/>
              </w:rPr>
              <w:t>ila v platnost regulační rozhodnutí/oběžníky.</w:t>
            </w:r>
          </w:p>
        </w:tc>
        <w:tc>
          <w:tcPr>
            <w:tcW w:w="866" w:type="dxa"/>
            <w:tcBorders>
              <w:top w:val="nil"/>
              <w:left w:val="nil"/>
              <w:bottom w:val="single" w:sz="4" w:space="0" w:color="auto"/>
              <w:right w:val="single" w:sz="4" w:space="0" w:color="auto"/>
            </w:tcBorders>
            <w:shd w:val="clear" w:color="auto" w:fill="C6EFCE"/>
            <w:noWrap/>
          </w:tcPr>
          <w:p w14:paraId="621ADD10" w14:textId="77777777" w:rsidR="00515398" w:rsidRDefault="00515398">
            <w:pPr>
              <w:spacing w:after="0" w:line="240" w:lineRule="auto"/>
              <w:rPr>
                <w:rFonts w:eastAsia="Times New Roman" w:cs="Calibri"/>
                <w:noProof/>
                <w:color w:val="006100"/>
                <w:sz w:val="18"/>
                <w:szCs w:val="18"/>
              </w:rPr>
            </w:pPr>
          </w:p>
        </w:tc>
        <w:tc>
          <w:tcPr>
            <w:tcW w:w="957" w:type="dxa"/>
            <w:tcBorders>
              <w:top w:val="nil"/>
              <w:left w:val="nil"/>
              <w:bottom w:val="single" w:sz="4" w:space="0" w:color="auto"/>
              <w:right w:val="single" w:sz="4" w:space="0" w:color="auto"/>
            </w:tcBorders>
            <w:shd w:val="clear" w:color="auto" w:fill="C6EFCE"/>
            <w:noWrap/>
          </w:tcPr>
          <w:p w14:paraId="3B9F9B29"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5104065"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B834DFE" w14:textId="77777777" w:rsidR="00515398" w:rsidRDefault="006711E6">
            <w:pPr>
              <w:pStyle w:val="P68B1DB1-Normal9"/>
              <w:spacing w:after="0" w:line="240" w:lineRule="auto"/>
              <w:rPr>
                <w:rFonts w:eastAsia="Times New Roman" w:cs="Calibri"/>
                <w:noProof/>
                <w:szCs w:val="18"/>
              </w:rPr>
            </w:pPr>
            <w:r>
              <w:rPr>
                <w:noProof/>
              </w:rPr>
              <w:t>ČTVRTLETÍ 3</w:t>
            </w:r>
          </w:p>
        </w:tc>
        <w:tc>
          <w:tcPr>
            <w:tcW w:w="694" w:type="dxa"/>
            <w:tcBorders>
              <w:top w:val="nil"/>
              <w:left w:val="nil"/>
              <w:bottom w:val="single" w:sz="4" w:space="0" w:color="auto"/>
              <w:right w:val="single" w:sz="4" w:space="0" w:color="auto"/>
            </w:tcBorders>
            <w:shd w:val="clear" w:color="auto" w:fill="C6EFCE"/>
            <w:noWrap/>
          </w:tcPr>
          <w:p w14:paraId="4753C0F2" w14:textId="77777777" w:rsidR="00515398" w:rsidRDefault="006711E6">
            <w:pPr>
              <w:pStyle w:val="P68B1DB1-Normal9"/>
              <w:spacing w:after="0" w:line="240" w:lineRule="auto"/>
              <w:rPr>
                <w:rFonts w:eastAsia="Times New Roman" w:cs="Calibri"/>
                <w:noProof/>
                <w:szCs w:val="18"/>
              </w:rPr>
            </w:pPr>
            <w:r>
              <w:rPr>
                <w:noProof/>
              </w:rPr>
              <w:t>2022</w:t>
            </w:r>
          </w:p>
        </w:tc>
        <w:tc>
          <w:tcPr>
            <w:tcW w:w="5173" w:type="dxa"/>
            <w:tcBorders>
              <w:top w:val="single" w:sz="4" w:space="0" w:color="auto"/>
              <w:left w:val="nil"/>
              <w:bottom w:val="single" w:sz="4" w:space="0" w:color="auto"/>
              <w:right w:val="single" w:sz="4" w:space="0" w:color="auto"/>
            </w:tcBorders>
            <w:shd w:val="clear" w:color="auto" w:fill="C6EFCE"/>
            <w:noWrap/>
          </w:tcPr>
          <w:p w14:paraId="731DDC2D" w14:textId="77777777" w:rsidR="00515398" w:rsidRDefault="006711E6">
            <w:pPr>
              <w:pStyle w:val="P68B1DB1-Normal9"/>
              <w:spacing w:after="0" w:line="240" w:lineRule="auto"/>
              <w:rPr>
                <w:rFonts w:eastAsia="Times New Roman" w:cs="Calibri"/>
                <w:noProof/>
                <w:szCs w:val="18"/>
              </w:rPr>
            </w:pPr>
            <w:r>
              <w:rPr>
                <w:noProof/>
              </w:rPr>
              <w:t>Vstup v platnost 15 regulačních rozhodnutí/oběžníků přijatých Nezávislým úřadem pro veřejné příjmy o návrhu nového integrovaného systému pro boj proti pašování.</w:t>
            </w:r>
          </w:p>
          <w:p w14:paraId="5B94A980" w14:textId="77777777" w:rsidR="00515398" w:rsidRDefault="00515398">
            <w:pPr>
              <w:spacing w:after="0" w:line="240" w:lineRule="auto"/>
              <w:rPr>
                <w:rFonts w:eastAsia="Times New Roman" w:cs="Calibri"/>
                <w:noProof/>
                <w:color w:val="006100"/>
                <w:sz w:val="18"/>
                <w:szCs w:val="18"/>
              </w:rPr>
            </w:pPr>
          </w:p>
          <w:p w14:paraId="713776C7" w14:textId="77777777" w:rsidR="00515398" w:rsidRDefault="006711E6">
            <w:pPr>
              <w:pStyle w:val="P68B1DB1-Normal9"/>
              <w:spacing w:after="0" w:line="240" w:lineRule="auto"/>
              <w:rPr>
                <w:rFonts w:eastAsia="Times New Roman" w:cs="Calibri"/>
                <w:noProof/>
                <w:szCs w:val="18"/>
              </w:rPr>
            </w:pPr>
            <w:r>
              <w:rPr>
                <w:noProof/>
              </w:rPr>
              <w:t>V souladu s plánem stanovený</w:t>
            </w:r>
            <w:r>
              <w:rPr>
                <w:noProof/>
              </w:rPr>
              <w:t>m do 31. března 2022 se rozhodnutí/oběžníky, které vstoupily v platnost, týkají přípravy nového integrovaného systému, který podpoří proces auditu sledováním celních transakcí a postupů v reálném čase. Tento systém funguje tak, že usiluje o lepší a rychlej</w:t>
            </w:r>
            <w:r>
              <w:rPr>
                <w:noProof/>
              </w:rPr>
              <w:t>ší zacílení celních služeb činných v trestním řízení pod centrálním dohledem a v místech vysokého zájmu.</w:t>
            </w:r>
          </w:p>
        </w:tc>
      </w:tr>
      <w:tr w:rsidR="00515398" w14:paraId="48CAC185"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33A3BF68" w14:textId="77777777" w:rsidR="00515398" w:rsidRDefault="006711E6">
            <w:pPr>
              <w:pStyle w:val="P68B1DB1-Normal9"/>
              <w:spacing w:after="0" w:line="240" w:lineRule="auto"/>
              <w:rPr>
                <w:rFonts w:eastAsia="Times New Roman" w:cs="Calibri"/>
                <w:noProof/>
                <w:szCs w:val="18"/>
              </w:rPr>
            </w:pPr>
            <w:r>
              <w:rPr>
                <w:noProof/>
              </w:rPr>
              <w:t>192</w:t>
            </w:r>
          </w:p>
        </w:tc>
        <w:tc>
          <w:tcPr>
            <w:tcW w:w="1533" w:type="dxa"/>
            <w:tcBorders>
              <w:top w:val="nil"/>
              <w:left w:val="nil"/>
              <w:bottom w:val="single" w:sz="4" w:space="0" w:color="auto"/>
              <w:right w:val="single" w:sz="4" w:space="0" w:color="auto"/>
            </w:tcBorders>
            <w:shd w:val="clear" w:color="auto" w:fill="C6EFCE"/>
            <w:noWrap/>
          </w:tcPr>
          <w:p w14:paraId="2BF2CFED" w14:textId="77777777" w:rsidR="00515398" w:rsidRDefault="006711E6">
            <w:pPr>
              <w:pStyle w:val="P68B1DB1-Normal9"/>
              <w:spacing w:after="0" w:line="240" w:lineRule="auto"/>
              <w:rPr>
                <w:rFonts w:eastAsia="Times New Roman"/>
                <w:noProof/>
                <w:szCs w:val="18"/>
                <w:highlight w:val="yellow"/>
              </w:rPr>
            </w:pPr>
            <w:r>
              <w:rPr>
                <w:noProof/>
              </w:rPr>
              <w:t>12–4.1. Učinit daně příznivější pro růst a zlepšit daňovou správu a výběr daní – 16611_Digitální transformace daňových auditů</w:t>
            </w:r>
          </w:p>
          <w:p w14:paraId="1D1F7417" w14:textId="77777777" w:rsidR="00515398" w:rsidRDefault="00515398">
            <w:pPr>
              <w:spacing w:after="0" w:line="240" w:lineRule="auto"/>
              <w:rPr>
                <w:rFonts w:eastAsia="Times New Roman" w:cs="Calibri"/>
                <w:noProof/>
                <w:color w:val="006100"/>
                <w:sz w:val="18"/>
                <w:szCs w:val="18"/>
              </w:rPr>
            </w:pPr>
          </w:p>
        </w:tc>
        <w:tc>
          <w:tcPr>
            <w:tcW w:w="969" w:type="dxa"/>
            <w:tcBorders>
              <w:top w:val="nil"/>
              <w:left w:val="nil"/>
              <w:bottom w:val="single" w:sz="4" w:space="0" w:color="auto"/>
              <w:right w:val="single" w:sz="4" w:space="0" w:color="auto"/>
            </w:tcBorders>
            <w:shd w:val="clear" w:color="auto" w:fill="C6EFCE"/>
            <w:noWrap/>
          </w:tcPr>
          <w:p w14:paraId="5AB56AA6"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nil"/>
              <w:left w:val="nil"/>
              <w:bottom w:val="single" w:sz="4" w:space="0" w:color="auto"/>
              <w:right w:val="single" w:sz="4" w:space="0" w:color="auto"/>
            </w:tcBorders>
            <w:shd w:val="clear" w:color="auto" w:fill="C6EFCE"/>
            <w:noWrap/>
          </w:tcPr>
          <w:p w14:paraId="7CC94967" w14:textId="77777777" w:rsidR="00515398" w:rsidRDefault="006711E6">
            <w:pPr>
              <w:pStyle w:val="P68B1DB1-Normal9"/>
              <w:spacing w:after="0" w:line="240" w:lineRule="auto"/>
              <w:rPr>
                <w:rFonts w:eastAsia="Times New Roman" w:cs="Calibri"/>
                <w:noProof/>
                <w:szCs w:val="18"/>
              </w:rPr>
            </w:pPr>
            <w:r>
              <w:rPr>
                <w:noProof/>
              </w:rPr>
              <w:t xml:space="preserve">Daňové </w:t>
            </w:r>
            <w:r>
              <w:rPr>
                <w:noProof/>
              </w:rPr>
              <w:t>audity – Moje údaje a bankovní informace</w:t>
            </w:r>
          </w:p>
        </w:tc>
        <w:tc>
          <w:tcPr>
            <w:tcW w:w="1824" w:type="dxa"/>
            <w:tcBorders>
              <w:top w:val="nil"/>
              <w:left w:val="nil"/>
              <w:bottom w:val="single" w:sz="4" w:space="0" w:color="auto"/>
              <w:right w:val="single" w:sz="4" w:space="0" w:color="auto"/>
            </w:tcBorders>
            <w:shd w:val="clear" w:color="auto" w:fill="C6EFCE"/>
            <w:noWrap/>
          </w:tcPr>
          <w:p w14:paraId="5111F239" w14:textId="77777777" w:rsidR="00515398" w:rsidRDefault="006711E6">
            <w:pPr>
              <w:pStyle w:val="P68B1DB1-Normal9"/>
              <w:spacing w:after="0" w:line="240" w:lineRule="auto"/>
              <w:rPr>
                <w:rFonts w:eastAsia="Times New Roman" w:cs="Calibri"/>
                <w:noProof/>
                <w:szCs w:val="18"/>
              </w:rPr>
            </w:pPr>
            <w:r>
              <w:rPr>
                <w:noProof/>
              </w:rPr>
              <w:t>Zpráva Nezávislého úřadu pro veřejné příjmy potvrzující:</w:t>
            </w:r>
          </w:p>
          <w:p w14:paraId="38864DA6" w14:textId="77777777" w:rsidR="00515398" w:rsidRDefault="006711E6">
            <w:pPr>
              <w:pStyle w:val="P68B1DB1-Normal9"/>
              <w:spacing w:after="0" w:line="240" w:lineRule="auto"/>
              <w:rPr>
                <w:rFonts w:eastAsia="Times New Roman" w:cs="Calibri"/>
                <w:noProof/>
                <w:szCs w:val="18"/>
              </w:rPr>
            </w:pPr>
            <w:r>
              <w:rPr>
                <w:noProof/>
              </w:rPr>
              <w:t>a) plná aktivace systému Mydata.</w:t>
            </w:r>
          </w:p>
          <w:p w14:paraId="135DA416" w14:textId="77777777" w:rsidR="00515398" w:rsidRDefault="006711E6">
            <w:pPr>
              <w:pStyle w:val="P68B1DB1-Normal9"/>
              <w:spacing w:after="0" w:line="240" w:lineRule="auto"/>
              <w:rPr>
                <w:rFonts w:eastAsia="Times New Roman" w:cs="Calibri"/>
                <w:noProof/>
                <w:szCs w:val="18"/>
              </w:rPr>
            </w:pPr>
            <w:r>
              <w:rPr>
                <w:noProof/>
              </w:rPr>
              <w:t>dokončení projektu propojení a využívání bankovních informací třetích stran Nezávislým úřadem pro veřejné příjmy.</w:t>
            </w:r>
          </w:p>
        </w:tc>
        <w:tc>
          <w:tcPr>
            <w:tcW w:w="866" w:type="dxa"/>
            <w:tcBorders>
              <w:top w:val="nil"/>
              <w:left w:val="nil"/>
              <w:bottom w:val="single" w:sz="4" w:space="0" w:color="auto"/>
              <w:right w:val="single" w:sz="4" w:space="0" w:color="auto"/>
            </w:tcBorders>
            <w:shd w:val="clear" w:color="auto" w:fill="C6EFCE"/>
            <w:noWrap/>
          </w:tcPr>
          <w:p w14:paraId="0A6C9E1D" w14:textId="77777777" w:rsidR="00515398" w:rsidRDefault="00515398">
            <w:pPr>
              <w:spacing w:after="0" w:line="240" w:lineRule="auto"/>
              <w:rPr>
                <w:rFonts w:eastAsia="Times New Roman" w:cs="Calibri"/>
                <w:noProof/>
                <w:color w:val="006100"/>
                <w:sz w:val="18"/>
                <w:szCs w:val="18"/>
              </w:rPr>
            </w:pPr>
          </w:p>
        </w:tc>
        <w:tc>
          <w:tcPr>
            <w:tcW w:w="957" w:type="dxa"/>
            <w:tcBorders>
              <w:top w:val="nil"/>
              <w:left w:val="nil"/>
              <w:bottom w:val="single" w:sz="4" w:space="0" w:color="auto"/>
              <w:right w:val="single" w:sz="4" w:space="0" w:color="auto"/>
            </w:tcBorders>
            <w:shd w:val="clear" w:color="auto" w:fill="C6EFCE"/>
            <w:noWrap/>
          </w:tcPr>
          <w:p w14:paraId="03FA61E8"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78AAA91"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DBE59BC" w14:textId="77777777" w:rsidR="00515398" w:rsidRDefault="006711E6">
            <w:pPr>
              <w:pStyle w:val="P68B1DB1-Normal9"/>
              <w:spacing w:after="0" w:line="240" w:lineRule="auto"/>
              <w:rPr>
                <w:rFonts w:eastAsia="Times New Roman" w:cs="Calibri"/>
                <w:noProof/>
                <w:szCs w:val="18"/>
              </w:rPr>
            </w:pPr>
            <w:r>
              <w:rPr>
                <w:noProof/>
              </w:rPr>
              <w:t>ČTVRTLET</w:t>
            </w:r>
            <w:r>
              <w:rPr>
                <w:noProof/>
              </w:rPr>
              <w:t>Í ČTVRT</w:t>
            </w:r>
          </w:p>
        </w:tc>
        <w:tc>
          <w:tcPr>
            <w:tcW w:w="694" w:type="dxa"/>
            <w:tcBorders>
              <w:top w:val="nil"/>
              <w:left w:val="nil"/>
              <w:bottom w:val="single" w:sz="4" w:space="0" w:color="auto"/>
              <w:right w:val="single" w:sz="4" w:space="0" w:color="auto"/>
            </w:tcBorders>
            <w:shd w:val="clear" w:color="auto" w:fill="C6EFCE"/>
            <w:noWrap/>
          </w:tcPr>
          <w:p w14:paraId="6A857210" w14:textId="77777777" w:rsidR="00515398" w:rsidRDefault="006711E6">
            <w:pPr>
              <w:pStyle w:val="P68B1DB1-Normal9"/>
              <w:spacing w:after="0" w:line="240" w:lineRule="auto"/>
              <w:rPr>
                <w:rFonts w:eastAsia="Times New Roman" w:cs="Calibri"/>
                <w:noProof/>
                <w:szCs w:val="18"/>
              </w:rPr>
            </w:pPr>
            <w:r>
              <w:rPr>
                <w:noProof/>
              </w:rPr>
              <w:t>2023</w:t>
            </w:r>
          </w:p>
        </w:tc>
        <w:tc>
          <w:tcPr>
            <w:tcW w:w="5173" w:type="dxa"/>
            <w:tcBorders>
              <w:top w:val="nil"/>
              <w:left w:val="nil"/>
              <w:bottom w:val="single" w:sz="4" w:space="0" w:color="auto"/>
              <w:right w:val="single" w:sz="4" w:space="0" w:color="auto"/>
            </w:tcBorders>
            <w:shd w:val="clear" w:color="auto" w:fill="C6EFCE"/>
            <w:noWrap/>
          </w:tcPr>
          <w:p w14:paraId="1C75B7D1" w14:textId="77777777" w:rsidR="00515398" w:rsidRDefault="006711E6">
            <w:pPr>
              <w:pStyle w:val="P68B1DB1-Normal9"/>
              <w:spacing w:after="0" w:line="240" w:lineRule="auto"/>
              <w:rPr>
                <w:rFonts w:eastAsia="Times New Roman" w:cs="Calibri"/>
                <w:noProof/>
                <w:szCs w:val="18"/>
              </w:rPr>
            </w:pPr>
            <w:r>
              <w:rPr>
                <w:noProof/>
              </w:rPr>
              <w:t xml:space="preserve">Aktivace </w:t>
            </w:r>
          </w:p>
          <w:p w14:paraId="6B1984E5" w14:textId="77777777" w:rsidR="00515398" w:rsidRDefault="006711E6">
            <w:pPr>
              <w:pStyle w:val="P68B1DB1-ListParagraph20"/>
              <w:numPr>
                <w:ilvl w:val="0"/>
                <w:numId w:val="82"/>
              </w:numPr>
              <w:spacing w:after="0" w:line="240" w:lineRule="auto"/>
              <w:ind w:left="169" w:hanging="142"/>
              <w:rPr>
                <w:rFonts w:eastAsia="Times New Roman" w:cs="Calibri"/>
                <w:noProof/>
                <w:szCs w:val="18"/>
              </w:rPr>
            </w:pPr>
            <w:r>
              <w:rPr>
                <w:noProof/>
              </w:rPr>
              <w:t xml:space="preserve">Systém myDATA a jeho propojení a využívání bankovních informací třetích stran s cílem zlepšit dodržování daňových pravidel ze strany podniků, usnadnit automatické vyplňování daňových přiznání a zvýšit účinnost daňových kontrol. </w:t>
            </w:r>
          </w:p>
          <w:p w14:paraId="4D0C3954" w14:textId="77777777" w:rsidR="00515398" w:rsidRDefault="006711E6">
            <w:pPr>
              <w:pStyle w:val="P68B1DB1-ListParagraph20"/>
              <w:numPr>
                <w:ilvl w:val="0"/>
                <w:numId w:val="82"/>
              </w:numPr>
              <w:spacing w:after="0" w:line="240" w:lineRule="auto"/>
              <w:ind w:left="169" w:hanging="142"/>
              <w:rPr>
                <w:rFonts w:eastAsia="Times New Roman" w:cs="Calibri"/>
                <w:noProof/>
                <w:szCs w:val="18"/>
              </w:rPr>
            </w:pPr>
            <w:r>
              <w:rPr>
                <w:noProof/>
              </w:rPr>
              <w:t>Syst</w:t>
            </w:r>
            <w:r>
              <w:rPr>
                <w:noProof/>
              </w:rPr>
              <w:t xml:space="preserve">ém myDATA pro elektronické vedení účetnictví, elektronickou fakturaci a propojení všech daňových registračních pokladen s jeho informačními systémy. . </w:t>
            </w:r>
          </w:p>
          <w:p w14:paraId="69003A55" w14:textId="77777777" w:rsidR="00515398" w:rsidRDefault="00515398">
            <w:pPr>
              <w:spacing w:after="0" w:line="240" w:lineRule="auto"/>
              <w:ind w:left="27"/>
              <w:rPr>
                <w:rFonts w:eastAsia="Times New Roman" w:cs="Calibri"/>
                <w:noProof/>
                <w:color w:val="006100"/>
                <w:sz w:val="18"/>
                <w:szCs w:val="18"/>
              </w:rPr>
            </w:pPr>
          </w:p>
        </w:tc>
      </w:tr>
      <w:tr w:rsidR="00515398" w14:paraId="4B314D9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56EE1B6" w14:textId="77777777" w:rsidR="00515398" w:rsidRDefault="006711E6">
            <w:pPr>
              <w:pStyle w:val="P68B1DB1-Normal9"/>
              <w:spacing w:after="0" w:line="240" w:lineRule="auto"/>
              <w:rPr>
                <w:rFonts w:eastAsia="Times New Roman" w:cs="Calibri"/>
                <w:noProof/>
                <w:szCs w:val="18"/>
              </w:rPr>
            </w:pPr>
            <w:r>
              <w:rPr>
                <w:noProof/>
              </w:rPr>
              <w:t>193</w:t>
            </w:r>
          </w:p>
        </w:tc>
        <w:tc>
          <w:tcPr>
            <w:tcW w:w="1533" w:type="dxa"/>
            <w:tcBorders>
              <w:top w:val="single" w:sz="4" w:space="0" w:color="auto"/>
              <w:left w:val="nil"/>
              <w:bottom w:val="single" w:sz="4" w:space="0" w:color="auto"/>
              <w:right w:val="single" w:sz="4" w:space="0" w:color="auto"/>
            </w:tcBorders>
            <w:shd w:val="clear" w:color="auto" w:fill="C6EFCE"/>
            <w:noWrap/>
          </w:tcPr>
          <w:p w14:paraId="29D5C727"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pro růst a zlepšit daňovou správu a výběr daní – 16610_Podpora </w:t>
            </w:r>
            <w:r>
              <w:rPr>
                <w:noProof/>
              </w:rPr>
              <w:t>urychlení vracení DPH</w:t>
            </w:r>
          </w:p>
        </w:tc>
        <w:tc>
          <w:tcPr>
            <w:tcW w:w="969" w:type="dxa"/>
            <w:tcBorders>
              <w:top w:val="single" w:sz="4" w:space="0" w:color="auto"/>
              <w:left w:val="nil"/>
              <w:bottom w:val="single" w:sz="4" w:space="0" w:color="auto"/>
              <w:right w:val="single" w:sz="4" w:space="0" w:color="auto"/>
            </w:tcBorders>
            <w:shd w:val="clear" w:color="auto" w:fill="C6EFCE"/>
            <w:noWrap/>
          </w:tcPr>
          <w:p w14:paraId="0945FA50"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single" w:sz="4" w:space="0" w:color="auto"/>
              <w:left w:val="nil"/>
              <w:bottom w:val="single" w:sz="4" w:space="0" w:color="auto"/>
              <w:right w:val="single" w:sz="4" w:space="0" w:color="auto"/>
            </w:tcBorders>
            <w:shd w:val="clear" w:color="auto" w:fill="C6EFCE"/>
            <w:noWrap/>
          </w:tcPr>
          <w:p w14:paraId="5CA08C0D" w14:textId="77777777" w:rsidR="00515398" w:rsidRDefault="006711E6">
            <w:pPr>
              <w:pStyle w:val="P68B1DB1-Normal9"/>
              <w:spacing w:after="0" w:line="240" w:lineRule="auto"/>
              <w:rPr>
                <w:rFonts w:eastAsia="Times New Roman" w:cs="Calibri"/>
                <w:noProof/>
                <w:szCs w:val="18"/>
              </w:rPr>
            </w:pPr>
            <w:r>
              <w:rPr>
                <w:noProof/>
              </w:rPr>
              <w:t>Plně automatizované vracení DPH – spuštění informačního systému</w:t>
            </w:r>
          </w:p>
        </w:tc>
        <w:tc>
          <w:tcPr>
            <w:tcW w:w="1824" w:type="dxa"/>
            <w:tcBorders>
              <w:top w:val="single" w:sz="4" w:space="0" w:color="auto"/>
              <w:left w:val="nil"/>
              <w:bottom w:val="single" w:sz="4" w:space="0" w:color="auto"/>
              <w:right w:val="single" w:sz="4" w:space="0" w:color="auto"/>
            </w:tcBorders>
            <w:shd w:val="clear" w:color="auto" w:fill="C6EFCE"/>
            <w:noWrap/>
          </w:tcPr>
          <w:p w14:paraId="1629C962" w14:textId="77777777" w:rsidR="00515398" w:rsidRDefault="006711E6">
            <w:pPr>
              <w:pStyle w:val="P68B1DB1-Normal9"/>
              <w:spacing w:after="0" w:line="240" w:lineRule="auto"/>
              <w:rPr>
                <w:rFonts w:eastAsia="Times New Roman" w:cs="Calibri"/>
                <w:noProof/>
                <w:szCs w:val="18"/>
              </w:rPr>
            </w:pPr>
            <w:r>
              <w:rPr>
                <w:noProof/>
              </w:rPr>
              <w:t>Zpráva Nezávislého úřadu pro veřejné příjmy potvrzující spuštění nového informačního systému.</w:t>
            </w:r>
          </w:p>
        </w:tc>
        <w:tc>
          <w:tcPr>
            <w:tcW w:w="866" w:type="dxa"/>
            <w:tcBorders>
              <w:top w:val="single" w:sz="4" w:space="0" w:color="auto"/>
              <w:left w:val="nil"/>
              <w:bottom w:val="single" w:sz="4" w:space="0" w:color="auto"/>
              <w:right w:val="single" w:sz="4" w:space="0" w:color="auto"/>
            </w:tcBorders>
            <w:shd w:val="clear" w:color="auto" w:fill="C6EFCE"/>
            <w:noWrap/>
          </w:tcPr>
          <w:p w14:paraId="5C1F7557" w14:textId="77777777" w:rsidR="00515398" w:rsidRDefault="00515398">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3DE5620C"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3EF3F3A"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C5957E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94" w:type="dxa"/>
            <w:tcBorders>
              <w:top w:val="single" w:sz="4" w:space="0" w:color="auto"/>
              <w:left w:val="nil"/>
              <w:bottom w:val="single" w:sz="4" w:space="0" w:color="auto"/>
              <w:right w:val="single" w:sz="4" w:space="0" w:color="auto"/>
            </w:tcBorders>
            <w:shd w:val="clear" w:color="auto" w:fill="C6EFCE"/>
            <w:noWrap/>
          </w:tcPr>
          <w:p w14:paraId="7A8D3B56" w14:textId="77777777" w:rsidR="00515398" w:rsidRDefault="006711E6">
            <w:pPr>
              <w:pStyle w:val="P68B1DB1-Normal9"/>
              <w:spacing w:after="0" w:line="240" w:lineRule="auto"/>
              <w:rPr>
                <w:rFonts w:eastAsia="Times New Roman" w:cs="Calibri"/>
                <w:noProof/>
                <w:szCs w:val="18"/>
              </w:rPr>
            </w:pPr>
            <w:r>
              <w:rPr>
                <w:noProof/>
              </w:rPr>
              <w:t>2023</w:t>
            </w:r>
          </w:p>
        </w:tc>
        <w:tc>
          <w:tcPr>
            <w:tcW w:w="5173" w:type="dxa"/>
            <w:tcBorders>
              <w:top w:val="single" w:sz="4" w:space="0" w:color="auto"/>
              <w:left w:val="nil"/>
              <w:bottom w:val="single" w:sz="4" w:space="0" w:color="auto"/>
              <w:right w:val="single" w:sz="4" w:space="0" w:color="auto"/>
            </w:tcBorders>
            <w:shd w:val="clear" w:color="auto" w:fill="C6EFCE"/>
            <w:noWrap/>
          </w:tcPr>
          <w:p w14:paraId="172A41F7" w14:textId="77777777" w:rsidR="00515398" w:rsidRDefault="006711E6">
            <w:pPr>
              <w:pStyle w:val="P68B1DB1-Normal9"/>
              <w:spacing w:after="0" w:line="240" w:lineRule="auto"/>
              <w:rPr>
                <w:rFonts w:eastAsia="Times New Roman" w:cs="Calibri"/>
                <w:noProof/>
                <w:szCs w:val="18"/>
              </w:rPr>
            </w:pPr>
            <w:r>
              <w:rPr>
                <w:noProof/>
              </w:rPr>
              <w:t xml:space="preserve">Zavedení plně automatizovaného postupu </w:t>
            </w:r>
            <w:r>
              <w:rPr>
                <w:noProof/>
              </w:rPr>
              <w:t>vracení DPH a platformy IT, která umožní vyplnit všechny žádosti o vrácení daně elektronicky, pokud nespadají do auditního vzorku prostřednictvím procesu analýzy rizik (alespoň 90 % všech žádostí ročně).</w:t>
            </w:r>
          </w:p>
        </w:tc>
      </w:tr>
      <w:tr w:rsidR="00515398" w14:paraId="132705E0"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D7B524F" w14:textId="77777777" w:rsidR="00515398" w:rsidRDefault="006711E6">
            <w:pPr>
              <w:pStyle w:val="P68B1DB1-Normal9"/>
              <w:spacing w:after="0" w:line="240" w:lineRule="auto"/>
              <w:rPr>
                <w:rFonts w:eastAsia="Times New Roman" w:cs="Calibri"/>
                <w:noProof/>
                <w:szCs w:val="18"/>
              </w:rPr>
            </w:pPr>
            <w:r>
              <w:rPr>
                <w:noProof/>
              </w:rPr>
              <w:t>195a</w:t>
            </w:r>
          </w:p>
        </w:tc>
        <w:tc>
          <w:tcPr>
            <w:tcW w:w="1533" w:type="dxa"/>
            <w:tcBorders>
              <w:top w:val="single" w:sz="4" w:space="0" w:color="auto"/>
              <w:left w:val="nil"/>
              <w:bottom w:val="single" w:sz="4" w:space="0" w:color="auto"/>
              <w:right w:val="single" w:sz="4" w:space="0" w:color="auto"/>
            </w:tcBorders>
            <w:shd w:val="clear" w:color="auto" w:fill="C6EFCE"/>
            <w:noWrap/>
          </w:tcPr>
          <w:p w14:paraId="3F11651C"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pro růst a zlepšit daňovou správu a výběr daní </w:t>
            </w:r>
          </w:p>
          <w:p w14:paraId="1960B6CB" w14:textId="77777777" w:rsidR="00515398" w:rsidRDefault="006711E6">
            <w:pPr>
              <w:pStyle w:val="P68B1DB1-Normal9"/>
              <w:spacing w:after="0" w:line="240" w:lineRule="auto"/>
              <w:rPr>
                <w:rFonts w:eastAsia="Times New Roman" w:cs="Calibri"/>
                <w:noProof/>
                <w:szCs w:val="18"/>
              </w:rPr>
            </w:pPr>
            <w:r>
              <w:rPr>
                <w:noProof/>
              </w:rPr>
              <w:t>— 16291_Digitální transformace daňové a celní správy</w:t>
            </w:r>
          </w:p>
        </w:tc>
        <w:tc>
          <w:tcPr>
            <w:tcW w:w="969" w:type="dxa"/>
            <w:tcBorders>
              <w:top w:val="single" w:sz="4" w:space="0" w:color="auto"/>
              <w:left w:val="nil"/>
              <w:bottom w:val="single" w:sz="4" w:space="0" w:color="auto"/>
              <w:right w:val="single" w:sz="4" w:space="0" w:color="auto"/>
            </w:tcBorders>
            <w:shd w:val="clear" w:color="auto" w:fill="C6EFCE"/>
            <w:noWrap/>
          </w:tcPr>
          <w:p w14:paraId="2E51587F"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single" w:sz="4" w:space="0" w:color="auto"/>
              <w:left w:val="nil"/>
              <w:bottom w:val="single" w:sz="4" w:space="0" w:color="auto"/>
              <w:right w:val="single" w:sz="4" w:space="0" w:color="auto"/>
            </w:tcBorders>
            <w:shd w:val="clear" w:color="auto" w:fill="C6EFCE"/>
            <w:noWrap/>
          </w:tcPr>
          <w:p w14:paraId="01BCD64F" w14:textId="77777777" w:rsidR="00515398" w:rsidRDefault="006711E6">
            <w:pPr>
              <w:pStyle w:val="P68B1DB1-Normal9"/>
              <w:spacing w:after="0" w:line="240" w:lineRule="auto"/>
              <w:rPr>
                <w:rFonts w:eastAsia="Times New Roman" w:cs="Calibri"/>
                <w:noProof/>
                <w:szCs w:val="18"/>
              </w:rPr>
            </w:pPr>
            <w:r>
              <w:rPr>
                <w:noProof/>
              </w:rPr>
              <w:t>Provádění dílčích projektů</w:t>
            </w:r>
          </w:p>
        </w:tc>
        <w:tc>
          <w:tcPr>
            <w:tcW w:w="1824" w:type="dxa"/>
            <w:tcBorders>
              <w:top w:val="single" w:sz="4" w:space="0" w:color="auto"/>
              <w:left w:val="nil"/>
              <w:bottom w:val="single" w:sz="4" w:space="0" w:color="auto"/>
              <w:right w:val="single" w:sz="4" w:space="0" w:color="auto"/>
            </w:tcBorders>
            <w:shd w:val="clear" w:color="auto" w:fill="C6EFCE"/>
            <w:noWrap/>
          </w:tcPr>
          <w:p w14:paraId="447643D4" w14:textId="77777777" w:rsidR="00515398" w:rsidRDefault="006711E6">
            <w:pPr>
              <w:pStyle w:val="P68B1DB1-Normal9"/>
              <w:spacing w:after="0" w:line="240" w:lineRule="auto"/>
              <w:rPr>
                <w:rFonts w:eastAsia="Times New Roman" w:cs="Calibri"/>
                <w:noProof/>
                <w:szCs w:val="18"/>
              </w:rPr>
            </w:pPr>
            <w:r>
              <w:rPr>
                <w:noProof/>
              </w:rPr>
              <w:t>Zpráva Nezávislého úřadu pro veřejné příjmy potvrzující realizaci obou dílčích projektů.</w:t>
            </w:r>
          </w:p>
        </w:tc>
        <w:tc>
          <w:tcPr>
            <w:tcW w:w="866" w:type="dxa"/>
            <w:tcBorders>
              <w:top w:val="single" w:sz="4" w:space="0" w:color="auto"/>
              <w:left w:val="nil"/>
              <w:bottom w:val="single" w:sz="4" w:space="0" w:color="auto"/>
              <w:right w:val="single" w:sz="4" w:space="0" w:color="auto"/>
            </w:tcBorders>
            <w:shd w:val="clear" w:color="auto" w:fill="C6EFCE"/>
            <w:noWrap/>
          </w:tcPr>
          <w:p w14:paraId="0814FF87" w14:textId="77777777" w:rsidR="00515398" w:rsidRDefault="00515398">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289B8A8D"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721F1903"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E0F877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94" w:type="dxa"/>
            <w:tcBorders>
              <w:top w:val="single" w:sz="4" w:space="0" w:color="auto"/>
              <w:left w:val="nil"/>
              <w:bottom w:val="single" w:sz="4" w:space="0" w:color="auto"/>
              <w:right w:val="single" w:sz="4" w:space="0" w:color="auto"/>
            </w:tcBorders>
            <w:shd w:val="clear" w:color="auto" w:fill="C6EFCE"/>
            <w:noWrap/>
          </w:tcPr>
          <w:p w14:paraId="24CCD858" w14:textId="77777777" w:rsidR="00515398" w:rsidRDefault="006711E6">
            <w:pPr>
              <w:pStyle w:val="P68B1DB1-Normal9"/>
              <w:spacing w:after="0" w:line="240" w:lineRule="auto"/>
              <w:rPr>
                <w:rFonts w:eastAsia="Times New Roman" w:cs="Calibri"/>
                <w:noProof/>
                <w:szCs w:val="18"/>
              </w:rPr>
            </w:pPr>
            <w:r>
              <w:rPr>
                <w:noProof/>
              </w:rPr>
              <w:t>2024</w:t>
            </w:r>
          </w:p>
        </w:tc>
        <w:tc>
          <w:tcPr>
            <w:tcW w:w="5173" w:type="dxa"/>
            <w:tcBorders>
              <w:top w:val="single" w:sz="4" w:space="0" w:color="auto"/>
              <w:left w:val="nil"/>
              <w:bottom w:val="single" w:sz="4" w:space="0" w:color="auto"/>
              <w:right w:val="single" w:sz="4" w:space="0" w:color="auto"/>
            </w:tcBorders>
            <w:shd w:val="clear" w:color="auto" w:fill="C6EFCE"/>
            <w:noWrap/>
          </w:tcPr>
          <w:p w14:paraId="619461F6" w14:textId="6BFA65BA" w:rsidR="00515398" w:rsidRDefault="006711E6">
            <w:pPr>
              <w:pStyle w:val="P68B1DB1-Normal9"/>
              <w:spacing w:after="0" w:line="240" w:lineRule="auto"/>
              <w:rPr>
                <w:rFonts w:eastAsia="Times New Roman" w:cs="Calibri"/>
                <w:noProof/>
                <w:szCs w:val="18"/>
              </w:rPr>
            </w:pPr>
            <w:r>
              <w:rPr>
                <w:noProof/>
              </w:rPr>
              <w:t xml:space="preserve">Dokončí se tyto dílčí </w:t>
            </w:r>
            <w:r>
              <w:rPr>
                <w:noProof/>
                <w:szCs w:val="18"/>
              </w:rPr>
              <w:t>projekty</w:t>
            </w:r>
            <w:r>
              <w:rPr>
                <w:noProof/>
              </w:rPr>
              <w:t>:</w:t>
            </w:r>
          </w:p>
          <w:p w14:paraId="147F0AD6" w14:textId="77777777" w:rsidR="00515398" w:rsidRDefault="00515398">
            <w:pPr>
              <w:spacing w:after="0" w:line="240" w:lineRule="auto"/>
              <w:rPr>
                <w:rFonts w:eastAsia="Times New Roman" w:cs="Calibri"/>
                <w:noProof/>
                <w:color w:val="006100"/>
                <w:sz w:val="18"/>
                <w:szCs w:val="18"/>
              </w:rPr>
            </w:pPr>
          </w:p>
          <w:p w14:paraId="68CF7FDE" w14:textId="001D726E" w:rsidR="00515398" w:rsidRDefault="006711E6">
            <w:pPr>
              <w:pStyle w:val="P68B1DB1-ListParagraph20"/>
              <w:numPr>
                <w:ilvl w:val="0"/>
                <w:numId w:val="81"/>
              </w:numPr>
              <w:spacing w:after="0" w:line="240" w:lineRule="auto"/>
              <w:rPr>
                <w:rFonts w:eastAsia="Times New Roman" w:cs="Calibri"/>
                <w:noProof/>
                <w:szCs w:val="18"/>
              </w:rPr>
            </w:pPr>
            <w:r>
              <w:rPr>
                <w:noProof/>
              </w:rPr>
              <w:t>V rámci oblasti intervence „Nahrazení základních digitálních systémů, obnova zastaralé infrastruktury a rozšíření funkčnosti poskytování služeb“: Integrovaný informační systém pro generální ředitelst</w:t>
            </w:r>
            <w:r>
              <w:rPr>
                <w:noProof/>
              </w:rPr>
              <w:t>ví pro finanční služby IAPR je funkční.</w:t>
            </w:r>
          </w:p>
          <w:p w14:paraId="7B695677" w14:textId="04BBA222" w:rsidR="00515398" w:rsidRDefault="006711E6">
            <w:pPr>
              <w:pStyle w:val="P68B1DB1-ListParagraph38"/>
              <w:numPr>
                <w:ilvl w:val="0"/>
                <w:numId w:val="81"/>
              </w:numPr>
              <w:spacing w:after="0" w:line="240" w:lineRule="auto"/>
              <w:rPr>
                <w:rFonts w:eastAsia="Times New Roman" w:cs="Calibri"/>
                <w:noProof/>
              </w:rPr>
            </w:pPr>
            <w:r>
              <w:rPr>
                <w:noProof/>
              </w:rPr>
              <w:t>V oblasti intervence „Automatizace kancelářských a pracovních procesů“: Služby řízení kanceláří/poskytování zařízení pro IAPR musí být funkční.</w:t>
            </w:r>
          </w:p>
        </w:tc>
      </w:tr>
      <w:tr w:rsidR="00515398" w14:paraId="4F383C2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B19128D" w14:textId="77777777" w:rsidR="00515398" w:rsidRDefault="006711E6">
            <w:pPr>
              <w:pStyle w:val="P68B1DB1-Normal9"/>
              <w:spacing w:after="0" w:line="240" w:lineRule="auto"/>
              <w:rPr>
                <w:rFonts w:eastAsia="Times New Roman" w:cs="Calibri"/>
                <w:noProof/>
                <w:szCs w:val="18"/>
              </w:rPr>
            </w:pPr>
            <w:r>
              <w:rPr>
                <w:noProof/>
              </w:rPr>
              <w:t>194</w:t>
            </w:r>
          </w:p>
        </w:tc>
        <w:tc>
          <w:tcPr>
            <w:tcW w:w="1533" w:type="dxa"/>
            <w:tcBorders>
              <w:top w:val="single" w:sz="4" w:space="0" w:color="auto"/>
              <w:left w:val="nil"/>
              <w:bottom w:val="single" w:sz="4" w:space="0" w:color="auto"/>
              <w:right w:val="single" w:sz="4" w:space="0" w:color="auto"/>
            </w:tcBorders>
            <w:shd w:val="clear" w:color="auto" w:fill="C6EFCE"/>
            <w:noWrap/>
          </w:tcPr>
          <w:p w14:paraId="6BE9A38E"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w:t>
            </w:r>
            <w:r>
              <w:rPr>
                <w:noProof/>
              </w:rPr>
              <w:t xml:space="preserve">pro růst a zlepšit daňovou správu a výběr daní </w:t>
            </w:r>
          </w:p>
          <w:p w14:paraId="7D3473D8" w14:textId="77777777" w:rsidR="00515398" w:rsidRDefault="006711E6">
            <w:pPr>
              <w:pStyle w:val="P68B1DB1-Normal9"/>
              <w:spacing w:after="0" w:line="240" w:lineRule="auto"/>
              <w:rPr>
                <w:rFonts w:eastAsia="Times New Roman" w:cs="Calibri"/>
                <w:noProof/>
                <w:szCs w:val="18"/>
              </w:rPr>
            </w:pPr>
            <w:r>
              <w:rPr>
                <w:noProof/>
              </w:rPr>
              <w:t>— 16611_Digitální transformace daňových auditů</w:t>
            </w:r>
          </w:p>
        </w:tc>
        <w:tc>
          <w:tcPr>
            <w:tcW w:w="969" w:type="dxa"/>
            <w:tcBorders>
              <w:top w:val="single" w:sz="4" w:space="0" w:color="auto"/>
              <w:left w:val="nil"/>
              <w:bottom w:val="single" w:sz="4" w:space="0" w:color="auto"/>
              <w:right w:val="single" w:sz="4" w:space="0" w:color="auto"/>
            </w:tcBorders>
            <w:shd w:val="clear" w:color="auto" w:fill="C6EFCE"/>
            <w:noWrap/>
          </w:tcPr>
          <w:p w14:paraId="604D3002"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single" w:sz="4" w:space="0" w:color="auto"/>
              <w:left w:val="nil"/>
              <w:bottom w:val="single" w:sz="4" w:space="0" w:color="auto"/>
              <w:right w:val="single" w:sz="4" w:space="0" w:color="auto"/>
            </w:tcBorders>
            <w:shd w:val="clear" w:color="auto" w:fill="C6EFCE"/>
            <w:noWrap/>
          </w:tcPr>
          <w:p w14:paraId="0C37B763" w14:textId="77777777" w:rsidR="00515398" w:rsidRDefault="006711E6">
            <w:pPr>
              <w:pStyle w:val="P68B1DB1-Normal9"/>
              <w:spacing w:after="0" w:line="240" w:lineRule="auto"/>
              <w:rPr>
                <w:rFonts w:eastAsia="Times New Roman" w:cs="Calibri"/>
                <w:noProof/>
                <w:szCs w:val="18"/>
              </w:rPr>
            </w:pPr>
            <w:r>
              <w:rPr>
                <w:noProof/>
              </w:rPr>
              <w:t>Dokončení digitální transformace daňových auditů</w:t>
            </w:r>
          </w:p>
        </w:tc>
        <w:tc>
          <w:tcPr>
            <w:tcW w:w="1824" w:type="dxa"/>
            <w:tcBorders>
              <w:top w:val="single" w:sz="4" w:space="0" w:color="auto"/>
              <w:left w:val="nil"/>
              <w:bottom w:val="single" w:sz="4" w:space="0" w:color="auto"/>
              <w:right w:val="single" w:sz="4" w:space="0" w:color="auto"/>
            </w:tcBorders>
            <w:shd w:val="clear" w:color="auto" w:fill="C6EFCE"/>
            <w:noWrap/>
          </w:tcPr>
          <w:p w14:paraId="508311B4" w14:textId="77777777" w:rsidR="00515398" w:rsidRDefault="006711E6">
            <w:pPr>
              <w:pStyle w:val="P68B1DB1-Normal9"/>
              <w:spacing w:after="0" w:line="240" w:lineRule="auto"/>
              <w:rPr>
                <w:rFonts w:eastAsia="Times New Roman" w:cs="Calibri"/>
                <w:noProof/>
                <w:szCs w:val="18"/>
              </w:rPr>
            </w:pPr>
            <w:r>
              <w:rPr>
                <w:noProof/>
              </w:rPr>
              <w:t xml:space="preserve">Zpráva Nezávislého úřadu pro veřejné příjmy potvrzující zprovoznění obchodního zpravodajského </w:t>
            </w:r>
            <w:r>
              <w:rPr>
                <w:noProof/>
              </w:rPr>
              <w:t>systému/systému analýzy dat a systému „ELEGXOSlive“.</w:t>
            </w:r>
          </w:p>
          <w:p w14:paraId="4F4AFDD5" w14:textId="77777777" w:rsidR="00515398" w:rsidRDefault="00515398">
            <w:pPr>
              <w:spacing w:after="0" w:line="240" w:lineRule="auto"/>
              <w:rPr>
                <w:rFonts w:eastAsia="Times New Roman" w:cs="Calibri"/>
                <w:noProof/>
                <w:color w:val="006100"/>
                <w:sz w:val="18"/>
                <w:szCs w:val="18"/>
              </w:rPr>
            </w:pPr>
          </w:p>
        </w:tc>
        <w:tc>
          <w:tcPr>
            <w:tcW w:w="866" w:type="dxa"/>
            <w:tcBorders>
              <w:top w:val="single" w:sz="4" w:space="0" w:color="auto"/>
              <w:left w:val="nil"/>
              <w:bottom w:val="single" w:sz="4" w:space="0" w:color="auto"/>
              <w:right w:val="single" w:sz="4" w:space="0" w:color="auto"/>
            </w:tcBorders>
            <w:shd w:val="clear" w:color="auto" w:fill="C6EFCE"/>
            <w:noWrap/>
          </w:tcPr>
          <w:p w14:paraId="0AF8AD3F" w14:textId="77777777" w:rsidR="00515398" w:rsidRDefault="00515398">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011B0DB3"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05E94E45"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26C500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94" w:type="dxa"/>
            <w:tcBorders>
              <w:top w:val="single" w:sz="4" w:space="0" w:color="auto"/>
              <w:left w:val="nil"/>
              <w:bottom w:val="single" w:sz="4" w:space="0" w:color="auto"/>
              <w:right w:val="single" w:sz="4" w:space="0" w:color="auto"/>
            </w:tcBorders>
            <w:shd w:val="clear" w:color="auto" w:fill="C6EFCE"/>
            <w:noWrap/>
          </w:tcPr>
          <w:p w14:paraId="70482E1D" w14:textId="77777777" w:rsidR="00515398" w:rsidRDefault="006711E6">
            <w:pPr>
              <w:pStyle w:val="P68B1DB1-Normal9"/>
              <w:spacing w:after="0" w:line="240" w:lineRule="auto"/>
              <w:rPr>
                <w:rFonts w:eastAsia="Times New Roman" w:cs="Calibri"/>
                <w:noProof/>
                <w:szCs w:val="18"/>
              </w:rPr>
            </w:pPr>
            <w:r>
              <w:rPr>
                <w:noProof/>
              </w:rPr>
              <w:t>2025</w:t>
            </w:r>
          </w:p>
        </w:tc>
        <w:tc>
          <w:tcPr>
            <w:tcW w:w="5173" w:type="dxa"/>
            <w:tcBorders>
              <w:top w:val="single" w:sz="4" w:space="0" w:color="auto"/>
              <w:left w:val="nil"/>
              <w:bottom w:val="single" w:sz="4" w:space="0" w:color="auto"/>
              <w:right w:val="single" w:sz="4" w:space="0" w:color="auto"/>
            </w:tcBorders>
            <w:shd w:val="clear" w:color="auto" w:fill="C6EFCE"/>
            <w:noWrap/>
          </w:tcPr>
          <w:p w14:paraId="1C1E073F" w14:textId="2D47A05C" w:rsidR="00515398" w:rsidRDefault="006711E6">
            <w:pPr>
              <w:pStyle w:val="P68B1DB1-Normal10"/>
              <w:spacing w:after="0" w:line="240" w:lineRule="auto"/>
              <w:rPr>
                <w:rFonts w:eastAsia="Times New Roman" w:cs="Calibri"/>
                <w:noProof/>
              </w:rPr>
            </w:pPr>
            <w:r>
              <w:rPr>
                <w:noProof/>
              </w:rPr>
              <w:t xml:space="preserve">V provozu jsou tyto systémy týkající se digitální transformace daňových auditů: </w:t>
            </w:r>
          </w:p>
          <w:p w14:paraId="4708C757" w14:textId="77777777" w:rsidR="00515398" w:rsidRDefault="00515398">
            <w:pPr>
              <w:spacing w:after="0" w:line="240" w:lineRule="auto"/>
              <w:rPr>
                <w:rFonts w:eastAsia="Times New Roman" w:cs="Calibri"/>
                <w:noProof/>
                <w:color w:val="006100"/>
                <w:sz w:val="18"/>
                <w:szCs w:val="18"/>
              </w:rPr>
            </w:pPr>
          </w:p>
          <w:p w14:paraId="36D42B13" w14:textId="77777777" w:rsidR="00515398" w:rsidRDefault="006711E6">
            <w:pPr>
              <w:pStyle w:val="P68B1DB1-Normal9"/>
              <w:spacing w:after="0" w:line="240" w:lineRule="auto"/>
              <w:rPr>
                <w:rFonts w:eastAsia="Times New Roman" w:cs="Calibri"/>
                <w:noProof/>
                <w:szCs w:val="18"/>
              </w:rPr>
            </w:pPr>
            <w:r>
              <w:rPr>
                <w:noProof/>
              </w:rPr>
              <w:t>a) instalace, propojení se zdroji údajů a aktivace systému obchodního zpravodajství/analýzy dat,</w:t>
            </w:r>
            <w:r>
              <w:rPr>
                <w:noProof/>
              </w:rPr>
              <w:t xml:space="preserve"> včetně i) odhalování podezřelých daňových úniků a případů pašování v reálném čase; II) profilování daňových poplatníků a profilování podobnosti daňových poplatníků; III) posouzení a hodnocení rizik; a iv) prognózování příjmů a dluhu; a pokud </w:t>
            </w:r>
          </w:p>
          <w:p w14:paraId="048542E9" w14:textId="77777777" w:rsidR="00515398" w:rsidRDefault="00515398">
            <w:pPr>
              <w:spacing w:after="0" w:line="240" w:lineRule="auto"/>
              <w:rPr>
                <w:rFonts w:eastAsia="Times New Roman" w:cs="Calibri"/>
                <w:noProof/>
                <w:color w:val="006100"/>
                <w:sz w:val="18"/>
                <w:szCs w:val="18"/>
              </w:rPr>
            </w:pPr>
          </w:p>
          <w:p w14:paraId="0764914E" w14:textId="2FDFBF80" w:rsidR="00515398" w:rsidRDefault="006711E6">
            <w:pPr>
              <w:pStyle w:val="P68B1DB1-Normal10"/>
              <w:spacing w:after="0" w:line="240" w:lineRule="auto"/>
              <w:rPr>
                <w:rFonts w:eastAsia="Times New Roman" w:cs="Calibri"/>
                <w:noProof/>
              </w:rPr>
            </w:pPr>
            <w:r>
              <w:rPr>
                <w:noProof/>
              </w:rPr>
              <w:t>b) aktivace</w:t>
            </w:r>
            <w:r>
              <w:rPr>
                <w:noProof/>
              </w:rPr>
              <w:t xml:space="preserve"> systému Elenxis Live („ELEGXOSlive“). </w:t>
            </w:r>
          </w:p>
          <w:p w14:paraId="38271AB4" w14:textId="77777777" w:rsidR="00515398" w:rsidRDefault="00515398">
            <w:pPr>
              <w:spacing w:after="0" w:line="240" w:lineRule="auto"/>
              <w:rPr>
                <w:rFonts w:eastAsia="Times New Roman" w:cs="Calibri"/>
                <w:noProof/>
                <w:color w:val="006100"/>
                <w:sz w:val="18"/>
                <w:szCs w:val="18"/>
              </w:rPr>
            </w:pPr>
          </w:p>
        </w:tc>
      </w:tr>
      <w:tr w:rsidR="00515398" w14:paraId="5D3C3B5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B68E9C1" w14:textId="77777777" w:rsidR="00515398" w:rsidRDefault="006711E6">
            <w:pPr>
              <w:pStyle w:val="P68B1DB1-Normal9"/>
              <w:spacing w:after="0" w:line="240" w:lineRule="auto"/>
              <w:rPr>
                <w:rFonts w:eastAsia="Times New Roman" w:cs="Calibri"/>
                <w:noProof/>
                <w:szCs w:val="18"/>
              </w:rPr>
            </w:pPr>
            <w:r>
              <w:rPr>
                <w:noProof/>
              </w:rPr>
              <w:t>195</w:t>
            </w:r>
          </w:p>
        </w:tc>
        <w:tc>
          <w:tcPr>
            <w:tcW w:w="1533" w:type="dxa"/>
            <w:tcBorders>
              <w:top w:val="single" w:sz="4" w:space="0" w:color="auto"/>
              <w:left w:val="nil"/>
              <w:bottom w:val="single" w:sz="4" w:space="0" w:color="auto"/>
              <w:right w:val="single" w:sz="4" w:space="0" w:color="auto"/>
            </w:tcBorders>
            <w:shd w:val="clear" w:color="auto" w:fill="C6EFCE"/>
            <w:noWrap/>
          </w:tcPr>
          <w:p w14:paraId="42DC6A6E"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pro růst a zlepšit daňovou správu a výběr daní </w:t>
            </w:r>
          </w:p>
          <w:p w14:paraId="1CEBC538" w14:textId="77777777" w:rsidR="00515398" w:rsidRDefault="006711E6">
            <w:pPr>
              <w:pStyle w:val="P68B1DB1-Normal9"/>
              <w:spacing w:after="0" w:line="240" w:lineRule="auto"/>
              <w:rPr>
                <w:rFonts w:eastAsia="Times New Roman" w:cs="Calibri"/>
                <w:noProof/>
                <w:szCs w:val="18"/>
              </w:rPr>
            </w:pPr>
            <w:r>
              <w:rPr>
                <w:noProof/>
              </w:rPr>
              <w:t>— 16291_Digitální transformace daňové a celní správy</w:t>
            </w:r>
          </w:p>
        </w:tc>
        <w:tc>
          <w:tcPr>
            <w:tcW w:w="969" w:type="dxa"/>
            <w:tcBorders>
              <w:top w:val="single" w:sz="4" w:space="0" w:color="auto"/>
              <w:left w:val="nil"/>
              <w:bottom w:val="single" w:sz="4" w:space="0" w:color="auto"/>
              <w:right w:val="single" w:sz="4" w:space="0" w:color="auto"/>
            </w:tcBorders>
            <w:shd w:val="clear" w:color="auto" w:fill="C6EFCE"/>
            <w:noWrap/>
          </w:tcPr>
          <w:p w14:paraId="1BF9C538"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single" w:sz="4" w:space="0" w:color="auto"/>
              <w:left w:val="nil"/>
              <w:bottom w:val="single" w:sz="4" w:space="0" w:color="auto"/>
              <w:right w:val="single" w:sz="4" w:space="0" w:color="auto"/>
            </w:tcBorders>
            <w:shd w:val="clear" w:color="auto" w:fill="C6EFCE"/>
            <w:noWrap/>
          </w:tcPr>
          <w:p w14:paraId="580FC0F2" w14:textId="77777777" w:rsidR="00515398" w:rsidRDefault="006711E6">
            <w:pPr>
              <w:pStyle w:val="P68B1DB1-Normal9"/>
              <w:spacing w:after="0" w:line="240" w:lineRule="auto"/>
              <w:rPr>
                <w:rFonts w:eastAsia="Times New Roman" w:cs="Calibri"/>
                <w:noProof/>
                <w:szCs w:val="18"/>
              </w:rPr>
            </w:pPr>
            <w:r>
              <w:rPr>
                <w:noProof/>
              </w:rPr>
              <w:t xml:space="preserve">Dokončení první fáze výstupů integrovaného daňového a auditního IT </w:t>
            </w:r>
            <w:r>
              <w:rPr>
                <w:noProof/>
              </w:rPr>
              <w:t>prostředí Nezávislého úřadu pro veřejné příjmy v rámci jeho digitální transformace</w:t>
            </w:r>
          </w:p>
          <w:p w14:paraId="6F69E851" w14:textId="77777777" w:rsidR="00515398" w:rsidRDefault="00515398">
            <w:pPr>
              <w:spacing w:after="0" w:line="240" w:lineRule="auto"/>
              <w:rPr>
                <w:rFonts w:eastAsia="Times New Roman" w:cs="Calibri"/>
                <w:noProof/>
                <w:color w:val="006100"/>
                <w:sz w:val="18"/>
                <w:szCs w:val="18"/>
              </w:rPr>
            </w:pPr>
          </w:p>
          <w:p w14:paraId="4D02548D" w14:textId="77777777" w:rsidR="00515398" w:rsidRDefault="006711E6">
            <w:pPr>
              <w:pStyle w:val="P68B1DB1-Normal9"/>
              <w:spacing w:after="0" w:line="240" w:lineRule="auto"/>
              <w:rPr>
                <w:rFonts w:eastAsia="Times New Roman" w:cs="Calibri"/>
                <w:noProof/>
                <w:szCs w:val="18"/>
              </w:rPr>
            </w:pPr>
            <w:r>
              <w:rPr>
                <w:noProof/>
              </w:rPr>
              <w:t xml:space="preserve">Provádění dílčích projektů </w:t>
            </w:r>
          </w:p>
        </w:tc>
        <w:tc>
          <w:tcPr>
            <w:tcW w:w="1824" w:type="dxa"/>
            <w:tcBorders>
              <w:top w:val="single" w:sz="4" w:space="0" w:color="auto"/>
              <w:left w:val="nil"/>
              <w:bottom w:val="single" w:sz="4" w:space="0" w:color="auto"/>
              <w:right w:val="single" w:sz="4" w:space="0" w:color="auto"/>
            </w:tcBorders>
            <w:shd w:val="clear" w:color="auto" w:fill="C6EFCE"/>
            <w:noWrap/>
          </w:tcPr>
          <w:p w14:paraId="6D727911" w14:textId="77777777" w:rsidR="00515398" w:rsidRDefault="006711E6">
            <w:pPr>
              <w:pStyle w:val="P68B1DB1-Normal9"/>
              <w:spacing w:after="0" w:line="240" w:lineRule="auto"/>
              <w:rPr>
                <w:rFonts w:eastAsia="Times New Roman" w:cs="Calibri"/>
                <w:noProof/>
                <w:szCs w:val="18"/>
              </w:rPr>
            </w:pPr>
            <w:r>
              <w:rPr>
                <w:noProof/>
              </w:rPr>
              <w:t xml:space="preserve">Zpráva Nezávislého úřadu pro veřejné příjmy potvrzující dokončení první fáze výstupů integrovaného IT prostředí. </w:t>
            </w:r>
          </w:p>
        </w:tc>
        <w:tc>
          <w:tcPr>
            <w:tcW w:w="866" w:type="dxa"/>
            <w:tcBorders>
              <w:top w:val="single" w:sz="4" w:space="0" w:color="auto"/>
              <w:left w:val="nil"/>
              <w:bottom w:val="single" w:sz="4" w:space="0" w:color="auto"/>
              <w:right w:val="single" w:sz="4" w:space="0" w:color="auto"/>
            </w:tcBorders>
            <w:shd w:val="clear" w:color="auto" w:fill="C6EFCE"/>
            <w:noWrap/>
          </w:tcPr>
          <w:p w14:paraId="5B9B64D4" w14:textId="77777777" w:rsidR="00515398" w:rsidRDefault="00515398">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73780955"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F0AE66E"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037012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94" w:type="dxa"/>
            <w:tcBorders>
              <w:top w:val="single" w:sz="4" w:space="0" w:color="auto"/>
              <w:left w:val="nil"/>
              <w:bottom w:val="single" w:sz="4" w:space="0" w:color="auto"/>
              <w:right w:val="single" w:sz="4" w:space="0" w:color="auto"/>
            </w:tcBorders>
            <w:shd w:val="clear" w:color="auto" w:fill="C6EFCE"/>
            <w:noWrap/>
          </w:tcPr>
          <w:p w14:paraId="1934CE74" w14:textId="77777777" w:rsidR="00515398" w:rsidRDefault="006711E6">
            <w:pPr>
              <w:pStyle w:val="P68B1DB1-Normal9"/>
              <w:spacing w:after="0" w:line="240" w:lineRule="auto"/>
              <w:rPr>
                <w:rFonts w:eastAsia="Times New Roman" w:cs="Calibri"/>
                <w:noProof/>
                <w:szCs w:val="18"/>
              </w:rPr>
            </w:pPr>
            <w:r>
              <w:rPr>
                <w:noProof/>
              </w:rPr>
              <w:t>2025</w:t>
            </w:r>
          </w:p>
        </w:tc>
        <w:tc>
          <w:tcPr>
            <w:tcW w:w="5173" w:type="dxa"/>
            <w:tcBorders>
              <w:top w:val="single" w:sz="4" w:space="0" w:color="auto"/>
              <w:left w:val="nil"/>
              <w:bottom w:val="single" w:sz="4" w:space="0" w:color="auto"/>
              <w:right w:val="single" w:sz="4" w:space="0" w:color="auto"/>
            </w:tcBorders>
            <w:shd w:val="clear" w:color="auto" w:fill="C6EFCE"/>
            <w:noWrap/>
          </w:tcPr>
          <w:p w14:paraId="6409A616" w14:textId="45E70414" w:rsidR="00515398" w:rsidRDefault="006711E6">
            <w:pPr>
              <w:pStyle w:val="P68B1DB1-Normal10"/>
              <w:spacing w:after="0" w:line="240" w:lineRule="auto"/>
              <w:rPr>
                <w:rFonts w:eastAsia="Times New Roman" w:cs="Calibri"/>
                <w:noProof/>
              </w:rPr>
            </w:pPr>
            <w:r>
              <w:rPr>
                <w:noProof/>
              </w:rPr>
              <w:t>Dokončení první fáze výstupů integrovaného IT prostředí (nahrazující TAXIS, TAXISnet a Elenxis). Tyto výstupy sestávají ze všech požadovaných projektových studií, kompletního přepracování a realizace databáze, poskytování datových rozhraní a zavádění subsy</w:t>
            </w:r>
            <w:r>
              <w:rPr>
                <w:noProof/>
              </w:rPr>
              <w:t xml:space="preserve">stémů první fáze (včetně daňového rejstříku, účetnictví). </w:t>
            </w:r>
          </w:p>
          <w:p w14:paraId="61358CB5" w14:textId="4A943F9E" w:rsidR="00515398" w:rsidRDefault="006711E6">
            <w:pPr>
              <w:pStyle w:val="P68B1DB1-Normal9"/>
              <w:spacing w:after="0" w:line="240" w:lineRule="auto"/>
              <w:rPr>
                <w:rFonts w:eastAsia="Times New Roman" w:cs="Calibri"/>
                <w:noProof/>
                <w:szCs w:val="18"/>
              </w:rPr>
            </w:pPr>
            <w:r>
              <w:rPr>
                <w:noProof/>
              </w:rPr>
              <w:t>Dokončí se tyto dílčí projekty:</w:t>
            </w:r>
          </w:p>
          <w:p w14:paraId="5E63D91D" w14:textId="77777777" w:rsidR="00515398" w:rsidRDefault="00515398">
            <w:pPr>
              <w:spacing w:after="0" w:line="240" w:lineRule="auto"/>
              <w:rPr>
                <w:rFonts w:eastAsia="Times New Roman" w:cs="Calibri"/>
                <w:noProof/>
                <w:color w:val="006100"/>
                <w:sz w:val="18"/>
                <w:szCs w:val="18"/>
              </w:rPr>
            </w:pPr>
          </w:p>
          <w:p w14:paraId="378D13D0" w14:textId="77777777" w:rsidR="00515398" w:rsidRDefault="006711E6">
            <w:pPr>
              <w:pStyle w:val="P68B1DB1-Normal9"/>
              <w:spacing w:after="0" w:line="240" w:lineRule="auto"/>
              <w:rPr>
                <w:rFonts w:eastAsia="Times New Roman" w:cs="Calibri"/>
                <w:noProof/>
                <w:szCs w:val="18"/>
              </w:rPr>
            </w:pPr>
            <w:r>
              <w:rPr>
                <w:noProof/>
              </w:rPr>
              <w:t>1. V rámci oblasti intervence „Nahrazení základních digitálních systémů, obnova zastaralé infrastruktury a rozšíření funkčnosti poskytování služeb“:</w:t>
            </w:r>
          </w:p>
          <w:p w14:paraId="7449E119" w14:textId="65D491C0" w:rsidR="00515398" w:rsidRDefault="006711E6">
            <w:pPr>
              <w:pStyle w:val="P68B1DB1-Normal10"/>
              <w:spacing w:after="0" w:line="240" w:lineRule="auto"/>
              <w:rPr>
                <w:rFonts w:eastAsia="Times New Roman" w:cs="Calibri"/>
                <w:noProof/>
              </w:rPr>
            </w:pPr>
            <w:r>
              <w:rPr>
                <w:noProof/>
              </w:rPr>
              <w:t>Bude zprovozněn</w:t>
            </w:r>
            <w:r>
              <w:rPr>
                <w:noProof/>
              </w:rPr>
              <w:t xml:space="preserve"> nový integrovaný informační systém pro státní chemickou laboratoř Řecka;</w:t>
            </w:r>
          </w:p>
          <w:p w14:paraId="514D6222" w14:textId="26E870A2" w:rsidR="00515398" w:rsidRDefault="006711E6">
            <w:pPr>
              <w:pStyle w:val="P68B1DB1-Normal10"/>
              <w:spacing w:after="0" w:line="240" w:lineRule="auto"/>
              <w:rPr>
                <w:rFonts w:eastAsia="Times New Roman" w:cs="Calibri"/>
                <w:noProof/>
              </w:rPr>
            </w:pPr>
            <w:r>
              <w:rPr>
                <w:noProof/>
              </w:rPr>
              <w:t>Systém řízení lidských zdrojů pro IAPR musí být funkční; a pokud</w:t>
            </w:r>
          </w:p>
          <w:p w14:paraId="20BA9B7A" w14:textId="3E35B052" w:rsidR="00515398" w:rsidRDefault="006711E6">
            <w:pPr>
              <w:pStyle w:val="P68B1DB1-Normal10"/>
              <w:spacing w:after="0" w:line="240" w:lineRule="auto"/>
              <w:rPr>
                <w:rFonts w:eastAsia="Times New Roman" w:cs="Calibri"/>
                <w:noProof/>
              </w:rPr>
            </w:pPr>
            <w:r>
              <w:rPr>
                <w:noProof/>
              </w:rPr>
              <w:t>Musí být v provozu modernizace a údržba informačních systémů IAPR;</w:t>
            </w:r>
          </w:p>
          <w:p w14:paraId="31EB6B17" w14:textId="77777777" w:rsidR="00515398" w:rsidRDefault="00515398">
            <w:pPr>
              <w:spacing w:after="0" w:line="240" w:lineRule="auto"/>
              <w:rPr>
                <w:rFonts w:eastAsia="Times New Roman" w:cs="Calibri"/>
                <w:noProof/>
                <w:color w:val="006100"/>
                <w:sz w:val="18"/>
                <w:szCs w:val="18"/>
              </w:rPr>
            </w:pPr>
          </w:p>
          <w:p w14:paraId="2F782E0B" w14:textId="77777777" w:rsidR="00515398" w:rsidRDefault="006711E6">
            <w:pPr>
              <w:pStyle w:val="P68B1DB1-Normal9"/>
              <w:spacing w:after="0" w:line="240" w:lineRule="auto"/>
              <w:rPr>
                <w:rFonts w:eastAsia="Times New Roman" w:cs="Calibri"/>
                <w:noProof/>
                <w:szCs w:val="18"/>
              </w:rPr>
            </w:pPr>
            <w:r>
              <w:rPr>
                <w:noProof/>
              </w:rPr>
              <w:t>2. V části „Aktualizace kancelářských a pracovníc</w:t>
            </w:r>
            <w:r>
              <w:rPr>
                <w:noProof/>
              </w:rPr>
              <w:t>h procesů“:</w:t>
            </w:r>
          </w:p>
          <w:p w14:paraId="308B29EC" w14:textId="2CBA1FD8" w:rsidR="00515398" w:rsidRDefault="006711E6">
            <w:pPr>
              <w:pStyle w:val="P68B1DB1-Normal10"/>
              <w:spacing w:after="0" w:line="240" w:lineRule="auto"/>
              <w:rPr>
                <w:rFonts w:eastAsia="Times New Roman" w:cs="Calibri"/>
                <w:noProof/>
              </w:rPr>
            </w:pPr>
            <w:r>
              <w:rPr>
                <w:noProof/>
              </w:rPr>
              <w:t>—Služby řízení kanceláří a software pro IAPR musí být funkční,</w:t>
            </w:r>
          </w:p>
          <w:p w14:paraId="65D418FA" w14:textId="7B646414" w:rsidR="00515398" w:rsidRDefault="006711E6">
            <w:pPr>
              <w:pStyle w:val="P68B1DB1-Normal10"/>
              <w:spacing w:after="0" w:line="240" w:lineRule="auto"/>
              <w:rPr>
                <w:rFonts w:eastAsia="Times New Roman" w:cs="Calibri"/>
                <w:noProof/>
              </w:rPr>
            </w:pPr>
            <w:r>
              <w:rPr>
                <w:noProof/>
              </w:rPr>
              <w:t>—Služby správy kanceláří a software pro IAPR – digitalizace archivů musí být funkční,</w:t>
            </w:r>
          </w:p>
          <w:p w14:paraId="14CF0B49" w14:textId="77777777" w:rsidR="00515398" w:rsidRDefault="006711E6">
            <w:pPr>
              <w:pStyle w:val="P68B1DB1-Normal9"/>
              <w:spacing w:after="0" w:line="240" w:lineRule="auto"/>
              <w:rPr>
                <w:rFonts w:eastAsia="Times New Roman" w:cs="Calibri"/>
                <w:noProof/>
                <w:szCs w:val="18"/>
              </w:rPr>
            </w:pPr>
            <w:r>
              <w:rPr>
                <w:noProof/>
              </w:rPr>
              <w:t>— Nástroje pro řízení IT služeb musí být plně funkční, a pokud</w:t>
            </w:r>
          </w:p>
          <w:p w14:paraId="65F0A88A" w14:textId="55603F76" w:rsidR="00515398" w:rsidRDefault="006711E6">
            <w:pPr>
              <w:pStyle w:val="P68B1DB1-Normal10"/>
              <w:spacing w:after="0" w:line="240" w:lineRule="auto"/>
              <w:rPr>
                <w:rFonts w:eastAsia="Times New Roman" w:cs="Calibri"/>
                <w:noProof/>
              </w:rPr>
            </w:pPr>
            <w:r>
              <w:rPr>
                <w:noProof/>
              </w:rPr>
              <w:t xml:space="preserve">—V provozu musí být modernizace </w:t>
            </w:r>
            <w:r>
              <w:rPr>
                <w:noProof/>
              </w:rPr>
              <w:t>digitálních služeb pro správu veřejných aktiv – konfiskovaná vozidla.</w:t>
            </w:r>
          </w:p>
          <w:p w14:paraId="5C7E98BD" w14:textId="77777777" w:rsidR="00515398" w:rsidRDefault="00515398">
            <w:pPr>
              <w:spacing w:after="0" w:line="240" w:lineRule="auto"/>
              <w:rPr>
                <w:rFonts w:eastAsia="Times New Roman" w:cs="Calibri"/>
                <w:noProof/>
                <w:color w:val="006100"/>
                <w:sz w:val="18"/>
                <w:szCs w:val="18"/>
              </w:rPr>
            </w:pPr>
          </w:p>
          <w:p w14:paraId="1373D197" w14:textId="172D3D4A" w:rsidR="00515398" w:rsidRDefault="006711E6">
            <w:pPr>
              <w:pStyle w:val="P68B1DB1-Normal9"/>
              <w:spacing w:after="0" w:line="240" w:lineRule="auto"/>
              <w:rPr>
                <w:rFonts w:eastAsia="Times New Roman" w:cs="Calibri"/>
                <w:noProof/>
                <w:szCs w:val="18"/>
              </w:rPr>
            </w:pPr>
            <w:r>
              <w:rPr>
                <w:noProof/>
                <w:szCs w:val="18"/>
              </w:rPr>
              <w:t>3. V rámci oblasti intervence „Zlepšování služeb pro daňové poplatníky“ – Rozšíření-modernizace služeb Centra a call center pro daňové poplatníky; a</w:t>
            </w:r>
            <w:r>
              <w:rPr>
                <w:noProof/>
              </w:rPr>
              <w:t>- Bezpečnost údajů.</w:t>
            </w:r>
          </w:p>
        </w:tc>
      </w:tr>
      <w:tr w:rsidR="00515398" w14:paraId="2A152007" w14:textId="77777777">
        <w:trPr>
          <w:trHeight w:val="73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ABD35E5" w14:textId="77777777" w:rsidR="00515398" w:rsidRDefault="006711E6">
            <w:pPr>
              <w:pStyle w:val="P68B1DB1-Normal9"/>
              <w:spacing w:after="0" w:line="240" w:lineRule="auto"/>
              <w:rPr>
                <w:rFonts w:eastAsia="Times New Roman" w:cs="Calibri"/>
                <w:noProof/>
                <w:szCs w:val="18"/>
              </w:rPr>
            </w:pPr>
            <w:r>
              <w:rPr>
                <w:noProof/>
              </w:rPr>
              <w:t>196</w:t>
            </w:r>
          </w:p>
        </w:tc>
        <w:tc>
          <w:tcPr>
            <w:tcW w:w="1533" w:type="dxa"/>
            <w:tcBorders>
              <w:top w:val="single" w:sz="4" w:space="0" w:color="auto"/>
              <w:left w:val="nil"/>
              <w:bottom w:val="single" w:sz="4" w:space="0" w:color="auto"/>
              <w:right w:val="single" w:sz="4" w:space="0" w:color="auto"/>
            </w:tcBorders>
            <w:shd w:val="clear" w:color="auto" w:fill="C6EFCE"/>
            <w:noWrap/>
          </w:tcPr>
          <w:p w14:paraId="77C9825B"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pro růst a zlepšit daňovou správu a výběr daní </w:t>
            </w:r>
          </w:p>
          <w:p w14:paraId="089ADA0B" w14:textId="77777777" w:rsidR="00515398" w:rsidRDefault="006711E6">
            <w:pPr>
              <w:pStyle w:val="P68B1DB1-Normal9"/>
              <w:spacing w:after="0" w:line="240" w:lineRule="auto"/>
              <w:rPr>
                <w:rFonts w:eastAsia="Times New Roman" w:cs="Calibri"/>
                <w:noProof/>
                <w:szCs w:val="18"/>
              </w:rPr>
            </w:pPr>
            <w:r>
              <w:rPr>
                <w:noProof/>
              </w:rPr>
              <w:t>— 16291_Digitální transformace daňové a celní správy</w:t>
            </w:r>
          </w:p>
        </w:tc>
        <w:tc>
          <w:tcPr>
            <w:tcW w:w="969" w:type="dxa"/>
            <w:tcBorders>
              <w:top w:val="single" w:sz="4" w:space="0" w:color="auto"/>
              <w:left w:val="nil"/>
              <w:bottom w:val="single" w:sz="4" w:space="0" w:color="auto"/>
              <w:right w:val="single" w:sz="4" w:space="0" w:color="auto"/>
            </w:tcBorders>
            <w:shd w:val="clear" w:color="auto" w:fill="C6EFCE"/>
            <w:noWrap/>
          </w:tcPr>
          <w:p w14:paraId="37AB8A93" w14:textId="77777777" w:rsidR="00515398" w:rsidRDefault="006711E6">
            <w:pPr>
              <w:pStyle w:val="P68B1DB1-Normal9"/>
              <w:spacing w:after="0" w:line="240" w:lineRule="auto"/>
              <w:rPr>
                <w:rFonts w:eastAsia="Times New Roman" w:cs="Calibri"/>
                <w:noProof/>
                <w:szCs w:val="18"/>
              </w:rPr>
            </w:pPr>
            <w:r>
              <w:rPr>
                <w:noProof/>
              </w:rPr>
              <w:t>Milník</w:t>
            </w:r>
          </w:p>
        </w:tc>
        <w:tc>
          <w:tcPr>
            <w:tcW w:w="1324" w:type="dxa"/>
            <w:tcBorders>
              <w:top w:val="single" w:sz="4" w:space="0" w:color="auto"/>
              <w:left w:val="nil"/>
              <w:bottom w:val="single" w:sz="4" w:space="0" w:color="auto"/>
              <w:right w:val="single" w:sz="4" w:space="0" w:color="auto"/>
            </w:tcBorders>
            <w:shd w:val="clear" w:color="auto" w:fill="C6EFCE"/>
            <w:noWrap/>
          </w:tcPr>
          <w:p w14:paraId="4AEFF42E" w14:textId="77777777" w:rsidR="00515398" w:rsidRDefault="006711E6">
            <w:pPr>
              <w:pStyle w:val="P68B1DB1-Normal9"/>
              <w:spacing w:after="0" w:line="240" w:lineRule="auto"/>
              <w:rPr>
                <w:rFonts w:eastAsia="Times New Roman" w:cs="Calibri"/>
                <w:noProof/>
                <w:szCs w:val="18"/>
              </w:rPr>
            </w:pPr>
            <w:r>
              <w:rPr>
                <w:noProof/>
              </w:rPr>
              <w:t>Spuštění systému sledování užitkových vozidel a kontejnerů</w:t>
            </w:r>
          </w:p>
          <w:p w14:paraId="72776D30" w14:textId="77777777" w:rsidR="00515398" w:rsidRDefault="00515398">
            <w:pPr>
              <w:spacing w:after="0" w:line="240" w:lineRule="auto"/>
              <w:rPr>
                <w:rFonts w:eastAsia="Times New Roman" w:cs="Calibri"/>
                <w:noProof/>
                <w:color w:val="006100"/>
                <w:sz w:val="18"/>
                <w:szCs w:val="18"/>
              </w:rPr>
            </w:pPr>
          </w:p>
          <w:p w14:paraId="6AA4BA87" w14:textId="77777777" w:rsidR="00515398" w:rsidRDefault="006711E6">
            <w:pPr>
              <w:pStyle w:val="P68B1DB1-Normal9"/>
              <w:spacing w:after="0" w:line="240" w:lineRule="auto"/>
              <w:rPr>
                <w:rFonts w:eastAsia="Times New Roman" w:cs="Calibri"/>
                <w:noProof/>
                <w:szCs w:val="18"/>
              </w:rPr>
            </w:pPr>
            <w:r>
              <w:rPr>
                <w:noProof/>
              </w:rPr>
              <w:t>Realizace dílčího projektu</w:t>
            </w:r>
          </w:p>
        </w:tc>
        <w:tc>
          <w:tcPr>
            <w:tcW w:w="1824" w:type="dxa"/>
            <w:tcBorders>
              <w:top w:val="single" w:sz="4" w:space="0" w:color="auto"/>
              <w:left w:val="nil"/>
              <w:bottom w:val="single" w:sz="4" w:space="0" w:color="auto"/>
              <w:right w:val="single" w:sz="4" w:space="0" w:color="auto"/>
            </w:tcBorders>
            <w:shd w:val="clear" w:color="auto" w:fill="C6EFCE"/>
            <w:noWrap/>
          </w:tcPr>
          <w:p w14:paraId="4C94C30E" w14:textId="77777777" w:rsidR="00515398" w:rsidRDefault="006711E6">
            <w:pPr>
              <w:pStyle w:val="P68B1DB1-Normal9"/>
              <w:spacing w:after="0" w:line="240" w:lineRule="auto"/>
              <w:rPr>
                <w:rFonts w:eastAsia="Times New Roman" w:cs="Calibri"/>
                <w:noProof/>
                <w:szCs w:val="18"/>
              </w:rPr>
            </w:pPr>
            <w:r>
              <w:rPr>
                <w:noProof/>
              </w:rPr>
              <w:t xml:space="preserve">Zpráva Nezávislého úřadu pro veřejné příjmy potvrzující </w:t>
            </w:r>
          </w:p>
          <w:p w14:paraId="020BCD27" w14:textId="77777777" w:rsidR="00515398" w:rsidRDefault="006711E6">
            <w:pPr>
              <w:pStyle w:val="P68B1DB1-Normal9"/>
              <w:spacing w:after="0" w:line="240" w:lineRule="auto"/>
              <w:rPr>
                <w:rFonts w:eastAsia="Times New Roman" w:cs="Calibri"/>
                <w:noProof/>
                <w:szCs w:val="18"/>
              </w:rPr>
            </w:pPr>
            <w:r>
              <w:rPr>
                <w:noProof/>
              </w:rPr>
              <w:t>spuštění systému sledování užitkových vozidel a kontejnerů.</w:t>
            </w:r>
          </w:p>
        </w:tc>
        <w:tc>
          <w:tcPr>
            <w:tcW w:w="866" w:type="dxa"/>
            <w:tcBorders>
              <w:top w:val="single" w:sz="4" w:space="0" w:color="auto"/>
              <w:left w:val="nil"/>
              <w:bottom w:val="single" w:sz="4" w:space="0" w:color="auto"/>
              <w:right w:val="single" w:sz="4" w:space="0" w:color="auto"/>
            </w:tcBorders>
            <w:shd w:val="clear" w:color="auto" w:fill="C6EFCE"/>
            <w:noWrap/>
          </w:tcPr>
          <w:p w14:paraId="19C9F536" w14:textId="77777777" w:rsidR="00515398" w:rsidRDefault="00515398">
            <w:pPr>
              <w:spacing w:after="0" w:line="240" w:lineRule="auto"/>
              <w:rPr>
                <w:rFonts w:eastAsia="Times New Roman" w:cs="Calibri"/>
                <w:noProof/>
                <w:color w:val="006100"/>
                <w:sz w:val="18"/>
                <w:szCs w:val="18"/>
              </w:rPr>
            </w:pPr>
          </w:p>
        </w:tc>
        <w:tc>
          <w:tcPr>
            <w:tcW w:w="957" w:type="dxa"/>
            <w:tcBorders>
              <w:top w:val="single" w:sz="4" w:space="0" w:color="auto"/>
              <w:left w:val="nil"/>
              <w:bottom w:val="single" w:sz="4" w:space="0" w:color="auto"/>
              <w:right w:val="single" w:sz="4" w:space="0" w:color="auto"/>
            </w:tcBorders>
            <w:shd w:val="clear" w:color="auto" w:fill="C6EFCE"/>
            <w:noWrap/>
          </w:tcPr>
          <w:p w14:paraId="73D0DA41"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E51E4F4"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6C9298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94" w:type="dxa"/>
            <w:tcBorders>
              <w:top w:val="single" w:sz="4" w:space="0" w:color="auto"/>
              <w:left w:val="nil"/>
              <w:bottom w:val="single" w:sz="4" w:space="0" w:color="auto"/>
              <w:right w:val="single" w:sz="4" w:space="0" w:color="auto"/>
            </w:tcBorders>
            <w:shd w:val="clear" w:color="auto" w:fill="C6EFCE"/>
            <w:noWrap/>
          </w:tcPr>
          <w:p w14:paraId="3E49EA91" w14:textId="77777777" w:rsidR="00515398" w:rsidRDefault="006711E6">
            <w:pPr>
              <w:pStyle w:val="P68B1DB1-Normal9"/>
              <w:spacing w:after="0" w:line="240" w:lineRule="auto"/>
              <w:rPr>
                <w:rFonts w:eastAsia="Times New Roman" w:cs="Calibri"/>
                <w:noProof/>
                <w:szCs w:val="18"/>
              </w:rPr>
            </w:pPr>
            <w:r>
              <w:rPr>
                <w:noProof/>
              </w:rPr>
              <w:t>2025</w:t>
            </w:r>
          </w:p>
        </w:tc>
        <w:tc>
          <w:tcPr>
            <w:tcW w:w="5173" w:type="dxa"/>
            <w:tcBorders>
              <w:top w:val="single" w:sz="4" w:space="0" w:color="auto"/>
              <w:left w:val="nil"/>
              <w:bottom w:val="single" w:sz="4" w:space="0" w:color="auto"/>
              <w:right w:val="single" w:sz="4" w:space="0" w:color="auto"/>
            </w:tcBorders>
            <w:shd w:val="clear" w:color="auto" w:fill="C6EFCE"/>
            <w:noWrap/>
          </w:tcPr>
          <w:p w14:paraId="34B89910" w14:textId="64C045B9" w:rsidR="00515398" w:rsidRDefault="006711E6">
            <w:pPr>
              <w:pStyle w:val="P68B1DB1-Normal10"/>
              <w:spacing w:after="0" w:line="240" w:lineRule="auto"/>
              <w:rPr>
                <w:rFonts w:eastAsia="Times New Roman" w:cs="Calibri"/>
                <w:noProof/>
              </w:rPr>
            </w:pPr>
            <w:r>
              <w:rPr>
                <w:noProof/>
              </w:rPr>
              <w:t>Dokončení zavedení systému sledování užitkových vozidel a kontejnerů založeného na sledovacím řešení GPS na interne</w:t>
            </w:r>
            <w:r>
              <w:rPr>
                <w:noProof/>
              </w:rPr>
              <w:t xml:space="preserve">tu (IoT) pro provádění sledovacích operací podporujících digitální transformaci Nezávislého úřadu pro veřejné příjmy, a to spuštěním systému sledování užitkových vozidel a kontejnerů. </w:t>
            </w:r>
          </w:p>
          <w:p w14:paraId="28D4D33B" w14:textId="77777777" w:rsidR="00515398" w:rsidRDefault="00515398">
            <w:pPr>
              <w:spacing w:after="0" w:line="240" w:lineRule="auto"/>
              <w:rPr>
                <w:rFonts w:eastAsia="Times New Roman" w:cs="Calibri"/>
                <w:noProof/>
                <w:color w:val="006100"/>
                <w:sz w:val="18"/>
                <w:szCs w:val="18"/>
              </w:rPr>
            </w:pPr>
          </w:p>
          <w:p w14:paraId="07B83ECD" w14:textId="3F3FB3C8" w:rsidR="00515398" w:rsidRDefault="006711E6">
            <w:pPr>
              <w:pStyle w:val="P68B1DB1-Normal9"/>
              <w:spacing w:after="0" w:line="240" w:lineRule="auto"/>
              <w:rPr>
                <w:rFonts w:eastAsia="Times New Roman" w:cs="Calibri"/>
                <w:noProof/>
                <w:szCs w:val="18"/>
              </w:rPr>
            </w:pPr>
            <w:r>
              <w:rPr>
                <w:noProof/>
              </w:rPr>
              <w:t xml:space="preserve">V rámci oblasti intervence „Digitalizace auditů a kontrol“ se </w:t>
            </w:r>
            <w:r>
              <w:rPr>
                <w:noProof/>
                <w:szCs w:val="18"/>
              </w:rPr>
              <w:t xml:space="preserve">dokončí </w:t>
            </w:r>
            <w:r>
              <w:rPr>
                <w:noProof/>
                <w:szCs w:val="18"/>
              </w:rPr>
              <w:t>tento dílčí projekt</w:t>
            </w:r>
            <w:r>
              <w:rPr>
                <w:noProof/>
              </w:rPr>
              <w:t>:</w:t>
            </w:r>
          </w:p>
          <w:p w14:paraId="424DF313" w14:textId="77777777" w:rsidR="00515398" w:rsidRDefault="00515398">
            <w:pPr>
              <w:spacing w:after="0" w:line="240" w:lineRule="auto"/>
              <w:rPr>
                <w:rFonts w:eastAsia="Times New Roman" w:cs="Calibri"/>
                <w:noProof/>
                <w:color w:val="006100"/>
                <w:sz w:val="18"/>
                <w:szCs w:val="18"/>
              </w:rPr>
            </w:pPr>
          </w:p>
          <w:p w14:paraId="4372E702" w14:textId="09E0D6E0" w:rsidR="00515398" w:rsidRDefault="006711E6">
            <w:pPr>
              <w:pStyle w:val="P68B1DB1-Normal10"/>
              <w:spacing w:after="0" w:line="240" w:lineRule="auto"/>
              <w:rPr>
                <w:rFonts w:eastAsia="Times New Roman" w:cs="Calibri"/>
                <w:noProof/>
              </w:rPr>
            </w:pPr>
            <w:r>
              <w:rPr>
                <w:noProof/>
              </w:rPr>
              <w:t>— Musí být v provozu systém řízení podnikových rizik a plán kontinuity činností pro IAPR.</w:t>
            </w:r>
          </w:p>
        </w:tc>
      </w:tr>
    </w:tbl>
    <w:p w14:paraId="2D90A432"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18: Daňová politika</w:t>
      </w:r>
    </w:p>
    <w:p w14:paraId="20F7EB55" w14:textId="77777777" w:rsidR="00515398" w:rsidRDefault="006711E6">
      <w:pPr>
        <w:pStyle w:val="P68B1DB1-Normal4"/>
        <w:numPr>
          <w:ilvl w:val="0"/>
          <w:numId w:val="36"/>
        </w:numPr>
        <w:spacing w:before="120" w:after="0" w:line="240" w:lineRule="auto"/>
        <w:jc w:val="both"/>
        <w:rPr>
          <w:rFonts w:cs="Times New Roman"/>
          <w:noProof/>
        </w:rPr>
      </w:pPr>
      <w:r>
        <w:rPr>
          <w:noProof/>
        </w:rPr>
        <w:t>Kodifikace a zjednodušení daňových právních předpisů, pravidel a postupů (ID: 16643)</w:t>
      </w:r>
    </w:p>
    <w:p w14:paraId="620BD533" w14:textId="11A01357" w:rsidR="00515398" w:rsidRDefault="006711E6">
      <w:pPr>
        <w:pStyle w:val="P68B1DB1-Normal4"/>
        <w:numPr>
          <w:ilvl w:val="0"/>
          <w:numId w:val="36"/>
        </w:numPr>
        <w:spacing w:before="120" w:after="0" w:line="240" w:lineRule="auto"/>
        <w:jc w:val="both"/>
        <w:rPr>
          <w:rFonts w:cs="Times New Roman"/>
          <w:noProof/>
        </w:rPr>
      </w:pPr>
      <w:r>
        <w:rPr>
          <w:noProof/>
        </w:rPr>
        <w:t xml:space="preserve">Přijetí opatření a pobídek ke </w:t>
      </w:r>
      <w:r>
        <w:rPr>
          <w:noProof/>
        </w:rPr>
        <w:t>zvýšení počtu elektronických transakcí (ID: 16616)</w:t>
      </w:r>
    </w:p>
    <w:p w14:paraId="7AFEDDA4" w14:textId="77777777" w:rsidR="00515398" w:rsidRDefault="006711E6">
      <w:pPr>
        <w:pStyle w:val="P68B1DB1-Normal4"/>
        <w:numPr>
          <w:ilvl w:val="0"/>
          <w:numId w:val="36"/>
        </w:numPr>
        <w:spacing w:before="120" w:after="0" w:line="240" w:lineRule="auto"/>
        <w:jc w:val="both"/>
        <w:rPr>
          <w:rFonts w:cs="Times New Roman"/>
          <w:noProof/>
        </w:rPr>
      </w:pPr>
      <w:r>
        <w:rPr>
          <w:noProof/>
        </w:rPr>
        <w:t>Super – odpočet výdajů malých a středních podniků na zelenou ekonomiku, energetiku a digitalizaci (ID: 16863)</w:t>
      </w:r>
    </w:p>
    <w:p w14:paraId="1E89CDCC" w14:textId="77777777" w:rsidR="00515398" w:rsidRDefault="006711E6">
      <w:pPr>
        <w:pStyle w:val="P68B1DB1-Normal4"/>
        <w:numPr>
          <w:ilvl w:val="0"/>
          <w:numId w:val="36"/>
        </w:numPr>
        <w:spacing w:before="120" w:after="120" w:line="240" w:lineRule="auto"/>
        <w:jc w:val="both"/>
        <w:rPr>
          <w:rFonts w:cs="Times New Roman"/>
          <w:noProof/>
        </w:rPr>
      </w:pPr>
      <w:r>
        <w:rPr>
          <w:noProof/>
        </w:rPr>
        <w:t>Režim pobídek pro produktivitu a extroverzi podniků (zvýšení velikosti podniků) (ID: 16598)</w:t>
      </w:r>
    </w:p>
    <w:p w14:paraId="27A8D045" w14:textId="29AF9315" w:rsidR="00515398" w:rsidRDefault="006711E6">
      <w:pPr>
        <w:pStyle w:val="P68B1DB1-Normal4"/>
        <w:numPr>
          <w:ilvl w:val="0"/>
          <w:numId w:val="36"/>
        </w:numPr>
        <w:spacing w:before="120" w:after="120" w:line="240" w:lineRule="auto"/>
        <w:jc w:val="both"/>
        <w:rPr>
          <w:rFonts w:cs="Times New Roman"/>
          <w:noProof/>
        </w:rPr>
      </w:pPr>
      <w:r>
        <w:rPr>
          <w:noProof/>
        </w:rPr>
        <w:t>Změny řeckého rámce daňové politiky (ID opatření: 16985</w:t>
      </w:r>
    </w:p>
    <w:tbl>
      <w:tblPr>
        <w:tblW w:w="15910" w:type="dxa"/>
        <w:jc w:val="center"/>
        <w:tblLook w:val="04A0" w:firstRow="1" w:lastRow="0" w:firstColumn="1" w:lastColumn="0" w:noHBand="0" w:noVBand="1"/>
      </w:tblPr>
      <w:tblGrid>
        <w:gridCol w:w="1027"/>
        <w:gridCol w:w="1869"/>
        <w:gridCol w:w="967"/>
        <w:gridCol w:w="1283"/>
        <w:gridCol w:w="1984"/>
        <w:gridCol w:w="927"/>
        <w:gridCol w:w="857"/>
        <w:gridCol w:w="668"/>
        <w:gridCol w:w="993"/>
        <w:gridCol w:w="708"/>
        <w:gridCol w:w="4830"/>
      </w:tblGrid>
      <w:tr w:rsidR="00515398" w14:paraId="5427E5CF" w14:textId="77777777">
        <w:trPr>
          <w:trHeight w:val="773"/>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DA8CD8"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5A1463"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CCCC3E"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C43BCA"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36A959"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239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10B8390"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Kvantitativní ukazatele </w:t>
            </w:r>
            <w:r>
              <w:rPr>
                <w:noProof/>
                <w:sz w:val="24"/>
              </w:rPr>
              <w:t xml:space="preserve"> </w:t>
            </w:r>
            <w:r>
              <w:rPr>
                <w:b/>
                <w:noProof/>
                <w:sz w:val="18"/>
              </w:rPr>
              <w:t>(pro cíle)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21C3090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8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D3D22A" w14:textId="77777777" w:rsidR="00515398" w:rsidRDefault="006711E6">
            <w:pPr>
              <w:pStyle w:val="P68B1DB1-Normal7"/>
              <w:spacing w:after="0" w:line="240" w:lineRule="auto"/>
              <w:jc w:val="center"/>
              <w:rPr>
                <w:noProof/>
              </w:rPr>
            </w:pPr>
            <w:r>
              <w:rPr>
                <w:noProof/>
              </w:rPr>
              <w:t>Popis každ</w:t>
            </w:r>
            <w:r>
              <w:rPr>
                <w:noProof/>
              </w:rPr>
              <w:t>ého milníku a cíle</w:t>
            </w:r>
          </w:p>
          <w:p w14:paraId="4F3DC5F5" w14:textId="77777777" w:rsidR="00515398" w:rsidRDefault="00515398">
            <w:pPr>
              <w:rPr>
                <w:rFonts w:ascii="Times New Roman" w:hAnsi="Times New Roman"/>
                <w:b/>
                <w:noProof/>
                <w:sz w:val="18"/>
              </w:rPr>
            </w:pPr>
          </w:p>
          <w:p w14:paraId="523EF41D" w14:textId="77777777" w:rsidR="00515398" w:rsidRDefault="00515398">
            <w:pPr>
              <w:rPr>
                <w:rFonts w:ascii="Times New Roman" w:eastAsia="Times New Roman" w:hAnsi="Times New Roman" w:cs="Times New Roman"/>
                <w:noProof/>
                <w:sz w:val="18"/>
                <w:szCs w:val="18"/>
              </w:rPr>
            </w:pPr>
          </w:p>
        </w:tc>
      </w:tr>
      <w:tr w:rsidR="00515398" w14:paraId="38722A83" w14:textId="77777777">
        <w:trPr>
          <w:trHeight w:val="532"/>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9A817E9" w14:textId="77777777" w:rsidR="00515398" w:rsidRDefault="00515398">
            <w:pPr>
              <w:spacing w:after="0" w:line="240" w:lineRule="auto"/>
              <w:rPr>
                <w:rFonts w:ascii="Times New Roman" w:eastAsia="Times New Roman" w:hAnsi="Times New Roman" w:cs="Times New Roman"/>
                <w:b/>
                <w:bCs/>
                <w:noProof/>
                <w:sz w:val="18"/>
                <w:szCs w:val="18"/>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60A9F3B9"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72F7F53E" w14:textId="77777777" w:rsidR="00515398" w:rsidRDefault="00515398">
            <w:pPr>
              <w:spacing w:after="0" w:line="240" w:lineRule="auto"/>
              <w:rPr>
                <w:rFonts w:ascii="Times New Roman" w:eastAsia="Times New Roman" w:hAnsi="Times New Roman" w:cs="Times New Roman"/>
                <w:b/>
                <w:bCs/>
                <w:noProof/>
                <w:sz w:val="18"/>
                <w:szCs w:val="18"/>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D884116" w14:textId="77777777" w:rsidR="00515398" w:rsidRDefault="00515398">
            <w:pPr>
              <w:spacing w:after="0" w:line="240" w:lineRule="auto"/>
              <w:rPr>
                <w:rFonts w:ascii="Times New Roman" w:eastAsia="Times New Roman" w:hAnsi="Times New Roman" w:cs="Times New Roman"/>
                <w:b/>
                <w:bCs/>
                <w:noProof/>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F35C2AE" w14:textId="77777777" w:rsidR="00515398" w:rsidRDefault="00515398">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7A7750"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3FF354"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66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D66D15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9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7A6301"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34FA1F"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830" w:type="dxa"/>
            <w:vMerge/>
            <w:tcBorders>
              <w:top w:val="single" w:sz="4" w:space="0" w:color="auto"/>
              <w:bottom w:val="single" w:sz="4" w:space="0" w:color="auto"/>
              <w:right w:val="single" w:sz="4" w:space="0" w:color="auto"/>
            </w:tcBorders>
            <w:vAlign w:val="center"/>
            <w:hideMark/>
          </w:tcPr>
          <w:p w14:paraId="016C7286"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F86B6A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ED5C766" w14:textId="77777777" w:rsidR="00515398" w:rsidRDefault="006711E6">
            <w:pPr>
              <w:pStyle w:val="P68B1DB1-Normal9"/>
              <w:spacing w:after="0" w:line="240" w:lineRule="auto"/>
              <w:rPr>
                <w:rFonts w:eastAsia="Times New Roman" w:cs="Calibri"/>
                <w:noProof/>
                <w:szCs w:val="18"/>
              </w:rPr>
            </w:pPr>
            <w:r>
              <w:rPr>
                <w:noProof/>
              </w:rPr>
              <w:t>197</w:t>
            </w:r>
          </w:p>
          <w:p w14:paraId="3A4F50E6" w14:textId="77777777" w:rsidR="00515398" w:rsidRDefault="00515398">
            <w:pPr>
              <w:spacing w:after="0" w:line="240" w:lineRule="auto"/>
              <w:rPr>
                <w:rFonts w:eastAsia="Times New Roman" w:cs="Calibri"/>
                <w:noProof/>
                <w:color w:val="006100"/>
                <w:sz w:val="18"/>
                <w:szCs w:val="18"/>
              </w:rPr>
            </w:pPr>
          </w:p>
        </w:tc>
        <w:tc>
          <w:tcPr>
            <w:tcW w:w="1835" w:type="dxa"/>
            <w:tcBorders>
              <w:top w:val="single" w:sz="4" w:space="0" w:color="auto"/>
              <w:left w:val="nil"/>
              <w:bottom w:val="single" w:sz="4" w:space="0" w:color="auto"/>
              <w:right w:val="single" w:sz="4" w:space="0" w:color="auto"/>
            </w:tcBorders>
            <w:shd w:val="clear" w:color="auto" w:fill="C6EFCE"/>
            <w:noWrap/>
          </w:tcPr>
          <w:p w14:paraId="0FDF4DEA" w14:textId="77777777" w:rsidR="00515398" w:rsidRDefault="006711E6">
            <w:pPr>
              <w:pStyle w:val="P68B1DB1-Normal9"/>
              <w:spacing w:after="0" w:line="240" w:lineRule="auto"/>
              <w:rPr>
                <w:rFonts w:eastAsia="Times New Roman" w:cs="Calibri"/>
                <w:noProof/>
                <w:szCs w:val="18"/>
              </w:rPr>
            </w:pPr>
            <w:r>
              <w:rPr>
                <w:noProof/>
              </w:rPr>
              <w:t>12–4.1. Učinit daně příznivější pro růst a zlepšit daňovou správu a výběr daní – 16863_Super – odpočet výdajů na zelenou ekonomiku, energetiku a digitální transformaci</w:t>
            </w:r>
          </w:p>
        </w:tc>
        <w:tc>
          <w:tcPr>
            <w:tcW w:w="966" w:type="dxa"/>
            <w:tcBorders>
              <w:top w:val="single" w:sz="4" w:space="0" w:color="auto"/>
              <w:left w:val="nil"/>
              <w:bottom w:val="single" w:sz="4" w:space="0" w:color="auto"/>
              <w:right w:val="single" w:sz="4" w:space="0" w:color="auto"/>
            </w:tcBorders>
            <w:shd w:val="clear" w:color="auto" w:fill="C6EFCE"/>
            <w:noWrap/>
          </w:tcPr>
          <w:p w14:paraId="04BCD2FE"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5AF70A9A" w14:textId="77777777" w:rsidR="00515398" w:rsidRDefault="006711E6">
            <w:pPr>
              <w:pStyle w:val="P68B1DB1-Normal9"/>
              <w:spacing w:after="0" w:line="240" w:lineRule="auto"/>
              <w:rPr>
                <w:rFonts w:eastAsia="Times New Roman" w:cs="Calibri"/>
                <w:noProof/>
                <w:szCs w:val="18"/>
              </w:rPr>
            </w:pPr>
            <w:r>
              <w:rPr>
                <w:noProof/>
              </w:rPr>
              <w:t>Superodpočet pro zelené a digitální investice malých a středních podniků</w:t>
            </w:r>
          </w:p>
        </w:tc>
        <w:tc>
          <w:tcPr>
            <w:tcW w:w="1984" w:type="dxa"/>
            <w:tcBorders>
              <w:top w:val="single" w:sz="4" w:space="0" w:color="auto"/>
              <w:left w:val="nil"/>
              <w:bottom w:val="single" w:sz="4" w:space="0" w:color="auto"/>
              <w:right w:val="single" w:sz="4" w:space="0" w:color="auto"/>
            </w:tcBorders>
            <w:shd w:val="clear" w:color="auto" w:fill="C6EFCE"/>
            <w:noWrap/>
          </w:tcPr>
          <w:p w14:paraId="525E95DA" w14:textId="77777777" w:rsidR="00515398" w:rsidRDefault="006711E6">
            <w:pPr>
              <w:pStyle w:val="P68B1DB1-Normal9"/>
              <w:spacing w:after="0" w:line="240" w:lineRule="auto"/>
              <w:rPr>
                <w:rFonts w:eastAsia="Times New Roman" w:cs="Calibri"/>
                <w:noProof/>
                <w:szCs w:val="18"/>
              </w:rPr>
            </w:pPr>
            <w:r>
              <w:rPr>
                <w:noProof/>
              </w:rPr>
              <w:t>Vstup v platnost primárních a sekundárních právních předpisů pro superodpočet zelených a digitálních investic malých a středních podniků</w:t>
            </w:r>
          </w:p>
        </w:tc>
        <w:tc>
          <w:tcPr>
            <w:tcW w:w="866" w:type="dxa"/>
            <w:tcBorders>
              <w:top w:val="single" w:sz="4" w:space="0" w:color="auto"/>
              <w:left w:val="nil"/>
              <w:bottom w:val="single" w:sz="4" w:space="0" w:color="auto"/>
              <w:right w:val="single" w:sz="4" w:space="0" w:color="auto"/>
            </w:tcBorders>
            <w:shd w:val="clear" w:color="auto" w:fill="C6EFCE"/>
            <w:noWrap/>
          </w:tcPr>
          <w:p w14:paraId="11A7B938"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A7957D5"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4C2B72F3"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39E5B5A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8" w:type="dxa"/>
            <w:tcBorders>
              <w:top w:val="single" w:sz="4" w:space="0" w:color="auto"/>
              <w:left w:val="nil"/>
              <w:bottom w:val="single" w:sz="4" w:space="0" w:color="auto"/>
              <w:right w:val="single" w:sz="4" w:space="0" w:color="auto"/>
            </w:tcBorders>
            <w:shd w:val="clear" w:color="auto" w:fill="C6EFCE"/>
            <w:noWrap/>
          </w:tcPr>
          <w:p w14:paraId="3C77D982" w14:textId="77777777" w:rsidR="00515398" w:rsidRDefault="006711E6">
            <w:pPr>
              <w:pStyle w:val="P68B1DB1-Normal9"/>
              <w:spacing w:after="0" w:line="240" w:lineRule="auto"/>
              <w:rPr>
                <w:rFonts w:eastAsia="Times New Roman" w:cs="Calibri"/>
                <w:noProof/>
                <w:szCs w:val="18"/>
              </w:rPr>
            </w:pPr>
            <w:r>
              <w:rPr>
                <w:noProof/>
              </w:rPr>
              <w:t>2021</w:t>
            </w:r>
          </w:p>
        </w:tc>
        <w:tc>
          <w:tcPr>
            <w:tcW w:w="4830" w:type="dxa"/>
            <w:tcBorders>
              <w:top w:val="single" w:sz="4" w:space="0" w:color="auto"/>
              <w:left w:val="nil"/>
              <w:bottom w:val="single" w:sz="4" w:space="0" w:color="auto"/>
              <w:right w:val="single" w:sz="4" w:space="0" w:color="auto"/>
            </w:tcBorders>
            <w:shd w:val="clear" w:color="auto" w:fill="C6EFCE"/>
            <w:noWrap/>
          </w:tcPr>
          <w:p w14:paraId="5CE02F62" w14:textId="77777777" w:rsidR="00515398" w:rsidRDefault="006711E6">
            <w:pPr>
              <w:pStyle w:val="P68B1DB1-Normal9"/>
              <w:spacing w:after="0" w:line="240" w:lineRule="auto"/>
              <w:rPr>
                <w:rFonts w:eastAsia="Times New Roman" w:cs="Calibri"/>
                <w:noProof/>
                <w:szCs w:val="18"/>
              </w:rPr>
            </w:pPr>
            <w:r>
              <w:rPr>
                <w:noProof/>
              </w:rPr>
              <w:t>Vstup v platnost prim</w:t>
            </w:r>
            <w:r>
              <w:rPr>
                <w:noProof/>
              </w:rPr>
              <w:t xml:space="preserve">árních právních předpisů a sekundárních právních předpisů pro zavedení superodpočtu pro daňové účely u způsobilých výdajů malých a středních podniků na investice do zelené ekonomiky a digitalizace </w:t>
            </w:r>
          </w:p>
        </w:tc>
      </w:tr>
      <w:tr w:rsidR="00515398" w14:paraId="6A6E5D5C"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0E1A7F76" w14:textId="77777777" w:rsidR="00515398" w:rsidRDefault="006711E6">
            <w:pPr>
              <w:pStyle w:val="P68B1DB1-Normal9"/>
              <w:spacing w:after="0" w:line="240" w:lineRule="auto"/>
              <w:rPr>
                <w:rFonts w:eastAsia="Times New Roman" w:cs="Calibri"/>
                <w:noProof/>
                <w:szCs w:val="18"/>
              </w:rPr>
            </w:pPr>
            <w:r>
              <w:rPr>
                <w:noProof/>
              </w:rPr>
              <w:t>198</w:t>
            </w:r>
          </w:p>
        </w:tc>
        <w:tc>
          <w:tcPr>
            <w:tcW w:w="1835" w:type="dxa"/>
            <w:tcBorders>
              <w:top w:val="nil"/>
              <w:left w:val="nil"/>
              <w:bottom w:val="single" w:sz="4" w:space="0" w:color="auto"/>
              <w:right w:val="single" w:sz="4" w:space="0" w:color="auto"/>
            </w:tcBorders>
            <w:shd w:val="clear" w:color="auto" w:fill="C6EFCE"/>
            <w:noWrap/>
          </w:tcPr>
          <w:p w14:paraId="29989455"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pro růst a zlepšit </w:t>
            </w:r>
            <w:r>
              <w:rPr>
                <w:noProof/>
              </w:rPr>
              <w:t>daňovou správu a výběr daní – 16616_Přijetí opatření a pobídek ke zvýšení počtu elektronických transakcí</w:t>
            </w:r>
          </w:p>
        </w:tc>
        <w:tc>
          <w:tcPr>
            <w:tcW w:w="966" w:type="dxa"/>
            <w:tcBorders>
              <w:top w:val="nil"/>
              <w:left w:val="nil"/>
              <w:bottom w:val="single" w:sz="4" w:space="0" w:color="auto"/>
              <w:right w:val="single" w:sz="4" w:space="0" w:color="auto"/>
            </w:tcBorders>
            <w:shd w:val="clear" w:color="auto" w:fill="C6EFCE"/>
            <w:noWrap/>
          </w:tcPr>
          <w:p w14:paraId="5D7F38C6"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nil"/>
              <w:left w:val="nil"/>
              <w:bottom w:val="single" w:sz="4" w:space="0" w:color="auto"/>
              <w:right w:val="single" w:sz="4" w:space="0" w:color="auto"/>
            </w:tcBorders>
            <w:shd w:val="clear" w:color="auto" w:fill="C6EFCE"/>
            <w:noWrap/>
          </w:tcPr>
          <w:p w14:paraId="74B1F119" w14:textId="77777777" w:rsidR="00515398" w:rsidRDefault="006711E6">
            <w:pPr>
              <w:pStyle w:val="P68B1DB1-Normal9"/>
              <w:spacing w:after="0" w:line="240" w:lineRule="auto"/>
              <w:rPr>
                <w:rFonts w:eastAsia="Times New Roman" w:cs="Calibri"/>
                <w:noProof/>
                <w:szCs w:val="18"/>
              </w:rPr>
            </w:pPr>
            <w:r>
              <w:rPr>
                <w:noProof/>
              </w:rPr>
              <w:t>Právní předpisy na podporu elektronických transakcí</w:t>
            </w:r>
          </w:p>
        </w:tc>
        <w:tc>
          <w:tcPr>
            <w:tcW w:w="1984" w:type="dxa"/>
            <w:tcBorders>
              <w:top w:val="nil"/>
              <w:left w:val="nil"/>
              <w:bottom w:val="single" w:sz="4" w:space="0" w:color="auto"/>
              <w:right w:val="single" w:sz="4" w:space="0" w:color="auto"/>
            </w:tcBorders>
            <w:shd w:val="clear" w:color="auto" w:fill="C6EFCE"/>
            <w:noWrap/>
          </w:tcPr>
          <w:p w14:paraId="697B3EDF" w14:textId="77777777" w:rsidR="00515398" w:rsidRDefault="006711E6">
            <w:pPr>
              <w:pStyle w:val="P68B1DB1-Normal9"/>
              <w:spacing w:after="0" w:line="240" w:lineRule="auto"/>
              <w:rPr>
                <w:rFonts w:eastAsia="Times New Roman" w:cs="Calibri"/>
                <w:noProof/>
                <w:szCs w:val="18"/>
              </w:rPr>
            </w:pPr>
            <w:r>
              <w:rPr>
                <w:noProof/>
              </w:rPr>
              <w:t>Vstup v platnost primárních a sekundárních právních předpisů, které poskytují pobídky pro zl</w:t>
            </w:r>
            <w:r>
              <w:rPr>
                <w:noProof/>
              </w:rPr>
              <w:t xml:space="preserve">epšení elektronických transakcí </w:t>
            </w:r>
          </w:p>
        </w:tc>
        <w:tc>
          <w:tcPr>
            <w:tcW w:w="866" w:type="dxa"/>
            <w:tcBorders>
              <w:top w:val="nil"/>
              <w:left w:val="nil"/>
              <w:bottom w:val="single" w:sz="4" w:space="0" w:color="auto"/>
              <w:right w:val="single" w:sz="4" w:space="0" w:color="auto"/>
            </w:tcBorders>
            <w:shd w:val="clear" w:color="auto" w:fill="C6EFCE"/>
            <w:noWrap/>
          </w:tcPr>
          <w:p w14:paraId="3827D557"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B304CC2" w14:textId="77777777" w:rsidR="00515398" w:rsidRDefault="00515398">
            <w:pPr>
              <w:spacing w:after="0" w:line="240" w:lineRule="auto"/>
              <w:rPr>
                <w:rFonts w:eastAsia="Times New Roman" w:cs="Calibri"/>
                <w:noProof/>
                <w:color w:val="006100"/>
                <w:sz w:val="18"/>
                <w:szCs w:val="18"/>
              </w:rPr>
            </w:pPr>
          </w:p>
        </w:tc>
        <w:tc>
          <w:tcPr>
            <w:tcW w:w="668" w:type="dxa"/>
            <w:tcBorders>
              <w:top w:val="nil"/>
              <w:left w:val="nil"/>
              <w:bottom w:val="single" w:sz="4" w:space="0" w:color="auto"/>
              <w:right w:val="single" w:sz="4" w:space="0" w:color="auto"/>
            </w:tcBorders>
            <w:shd w:val="clear" w:color="auto" w:fill="C6EFCE"/>
            <w:noWrap/>
          </w:tcPr>
          <w:p w14:paraId="36FDACBB" w14:textId="77777777" w:rsidR="00515398" w:rsidRDefault="00515398">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3CD85E5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8" w:type="dxa"/>
            <w:tcBorders>
              <w:top w:val="nil"/>
              <w:left w:val="nil"/>
              <w:bottom w:val="single" w:sz="4" w:space="0" w:color="auto"/>
              <w:right w:val="single" w:sz="4" w:space="0" w:color="auto"/>
            </w:tcBorders>
            <w:shd w:val="clear" w:color="auto" w:fill="C6EFCE"/>
            <w:noWrap/>
          </w:tcPr>
          <w:p w14:paraId="53A74834" w14:textId="77777777" w:rsidR="00515398" w:rsidRDefault="006711E6">
            <w:pPr>
              <w:pStyle w:val="P68B1DB1-Normal9"/>
              <w:spacing w:after="0" w:line="240" w:lineRule="auto"/>
              <w:rPr>
                <w:rFonts w:eastAsia="Times New Roman" w:cs="Calibri"/>
                <w:noProof/>
                <w:szCs w:val="18"/>
              </w:rPr>
            </w:pPr>
            <w:r>
              <w:rPr>
                <w:noProof/>
              </w:rPr>
              <w:t>2021</w:t>
            </w:r>
          </w:p>
        </w:tc>
        <w:tc>
          <w:tcPr>
            <w:tcW w:w="4830" w:type="dxa"/>
            <w:tcBorders>
              <w:top w:val="nil"/>
              <w:left w:val="nil"/>
              <w:bottom w:val="single" w:sz="4" w:space="0" w:color="auto"/>
              <w:right w:val="single" w:sz="4" w:space="0" w:color="auto"/>
            </w:tcBorders>
            <w:shd w:val="clear" w:color="auto" w:fill="C6EFCE"/>
            <w:noWrap/>
          </w:tcPr>
          <w:p w14:paraId="5389D99E" w14:textId="77777777" w:rsidR="00515398" w:rsidRDefault="006711E6">
            <w:pPr>
              <w:pStyle w:val="P68B1DB1-Normal9"/>
              <w:spacing w:after="0" w:line="240" w:lineRule="auto"/>
              <w:rPr>
                <w:rFonts w:eastAsia="Times New Roman" w:cs="Calibri"/>
                <w:noProof/>
                <w:szCs w:val="18"/>
              </w:rPr>
            </w:pPr>
            <w:r>
              <w:rPr>
                <w:noProof/>
              </w:rPr>
              <w:t xml:space="preserve">Vstup v platnost změny primárního a sekundárního právního rámce poskytující zvláštní pobídky pro zlepšení elektronických transakcí </w:t>
            </w:r>
          </w:p>
        </w:tc>
      </w:tr>
      <w:tr w:rsidR="00515398" w14:paraId="14ED6130"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7007FE5" w14:textId="77777777" w:rsidR="00515398" w:rsidRDefault="006711E6">
            <w:pPr>
              <w:pStyle w:val="P68B1DB1-Normal9"/>
              <w:spacing w:after="0" w:line="240" w:lineRule="auto"/>
              <w:rPr>
                <w:rFonts w:eastAsia="Times New Roman" w:cs="Calibri"/>
                <w:noProof/>
                <w:szCs w:val="18"/>
              </w:rPr>
            </w:pPr>
            <w:r>
              <w:rPr>
                <w:noProof/>
              </w:rPr>
              <w:t>199</w:t>
            </w:r>
          </w:p>
        </w:tc>
        <w:tc>
          <w:tcPr>
            <w:tcW w:w="1835" w:type="dxa"/>
            <w:tcBorders>
              <w:top w:val="nil"/>
              <w:left w:val="nil"/>
              <w:bottom w:val="single" w:sz="4" w:space="0" w:color="auto"/>
              <w:right w:val="single" w:sz="4" w:space="0" w:color="auto"/>
            </w:tcBorders>
            <w:shd w:val="clear" w:color="auto" w:fill="C6EFCE"/>
            <w:noWrap/>
          </w:tcPr>
          <w:p w14:paraId="59373621"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pro růst a zlepšit daňovou </w:t>
            </w:r>
            <w:r>
              <w:rPr>
                <w:noProof/>
              </w:rPr>
              <w:t>správu a výběr daní – 16643_Kodifikace a zjednodušení daňových právních předpisů</w:t>
            </w:r>
          </w:p>
        </w:tc>
        <w:tc>
          <w:tcPr>
            <w:tcW w:w="966" w:type="dxa"/>
            <w:tcBorders>
              <w:top w:val="nil"/>
              <w:left w:val="nil"/>
              <w:bottom w:val="single" w:sz="4" w:space="0" w:color="auto"/>
              <w:right w:val="single" w:sz="4" w:space="0" w:color="auto"/>
            </w:tcBorders>
            <w:shd w:val="clear" w:color="auto" w:fill="C6EFCE"/>
            <w:noWrap/>
          </w:tcPr>
          <w:p w14:paraId="362463D5"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nil"/>
              <w:left w:val="nil"/>
              <w:bottom w:val="single" w:sz="4" w:space="0" w:color="auto"/>
              <w:right w:val="single" w:sz="4" w:space="0" w:color="auto"/>
            </w:tcBorders>
            <w:shd w:val="clear" w:color="auto" w:fill="C6EFCE"/>
            <w:noWrap/>
          </w:tcPr>
          <w:p w14:paraId="2D16C609" w14:textId="77777777" w:rsidR="00515398" w:rsidRDefault="006711E6">
            <w:pPr>
              <w:pStyle w:val="P68B1DB1-Normal9"/>
              <w:spacing w:after="0" w:line="240" w:lineRule="auto"/>
              <w:rPr>
                <w:rFonts w:eastAsia="Times New Roman" w:cs="Calibri"/>
                <w:noProof/>
                <w:szCs w:val="18"/>
              </w:rPr>
            </w:pPr>
            <w:r>
              <w:rPr>
                <w:noProof/>
              </w:rPr>
              <w:t>Sazebník pro daňovou kodifikaci</w:t>
            </w:r>
          </w:p>
        </w:tc>
        <w:tc>
          <w:tcPr>
            <w:tcW w:w="1984" w:type="dxa"/>
            <w:tcBorders>
              <w:top w:val="nil"/>
              <w:left w:val="nil"/>
              <w:bottom w:val="single" w:sz="4" w:space="0" w:color="auto"/>
              <w:right w:val="single" w:sz="4" w:space="0" w:color="auto"/>
            </w:tcBorders>
            <w:shd w:val="clear" w:color="auto" w:fill="C6EFCE"/>
            <w:noWrap/>
          </w:tcPr>
          <w:p w14:paraId="5DB81113" w14:textId="77777777" w:rsidR="00515398" w:rsidRDefault="006711E6">
            <w:pPr>
              <w:pStyle w:val="P68B1DB1-Normal9"/>
              <w:spacing w:after="0" w:line="240" w:lineRule="auto"/>
              <w:rPr>
                <w:rFonts w:eastAsia="Times New Roman" w:cs="Calibri"/>
                <w:noProof/>
                <w:szCs w:val="18"/>
              </w:rPr>
            </w:pPr>
            <w:r>
              <w:rPr>
                <w:noProof/>
              </w:rPr>
              <w:t>Zveřejnění sekundárních právních předpisů se zřízením výborů a časovým rozvrhem pro daňovou kodifikaci.</w:t>
            </w:r>
          </w:p>
          <w:p w14:paraId="7973DC84" w14:textId="77777777" w:rsidR="00515398" w:rsidRDefault="00515398">
            <w:pPr>
              <w:spacing w:after="0" w:line="240" w:lineRule="auto"/>
              <w:rPr>
                <w:rFonts w:eastAsia="Times New Roman" w:cs="Calibri"/>
                <w:noProof/>
                <w:color w:val="006100"/>
                <w:sz w:val="18"/>
                <w:szCs w:val="18"/>
              </w:rPr>
            </w:pPr>
          </w:p>
        </w:tc>
        <w:tc>
          <w:tcPr>
            <w:tcW w:w="866" w:type="dxa"/>
            <w:tcBorders>
              <w:top w:val="nil"/>
              <w:left w:val="nil"/>
              <w:bottom w:val="single" w:sz="4" w:space="0" w:color="auto"/>
              <w:right w:val="single" w:sz="4" w:space="0" w:color="auto"/>
            </w:tcBorders>
            <w:shd w:val="clear" w:color="auto" w:fill="C6EFCE"/>
            <w:noWrap/>
          </w:tcPr>
          <w:p w14:paraId="6CDFB341"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CECB5D4" w14:textId="77777777" w:rsidR="00515398" w:rsidRDefault="00515398">
            <w:pPr>
              <w:spacing w:after="0" w:line="240" w:lineRule="auto"/>
              <w:rPr>
                <w:rFonts w:eastAsia="Times New Roman" w:cs="Calibri"/>
                <w:noProof/>
                <w:color w:val="006100"/>
                <w:sz w:val="18"/>
                <w:szCs w:val="18"/>
              </w:rPr>
            </w:pPr>
          </w:p>
        </w:tc>
        <w:tc>
          <w:tcPr>
            <w:tcW w:w="668" w:type="dxa"/>
            <w:tcBorders>
              <w:top w:val="nil"/>
              <w:left w:val="nil"/>
              <w:bottom w:val="single" w:sz="4" w:space="0" w:color="auto"/>
              <w:right w:val="single" w:sz="4" w:space="0" w:color="auto"/>
            </w:tcBorders>
            <w:shd w:val="clear" w:color="auto" w:fill="C6EFCE"/>
            <w:noWrap/>
          </w:tcPr>
          <w:p w14:paraId="0008718B" w14:textId="77777777" w:rsidR="00515398" w:rsidRDefault="00515398">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5EF887B5" w14:textId="77777777" w:rsidR="00515398" w:rsidRDefault="006711E6">
            <w:pPr>
              <w:pStyle w:val="P68B1DB1-Normal9"/>
              <w:spacing w:after="0" w:line="240" w:lineRule="auto"/>
              <w:rPr>
                <w:rFonts w:eastAsia="Times New Roman" w:cs="Calibri"/>
                <w:noProof/>
                <w:szCs w:val="18"/>
              </w:rPr>
            </w:pPr>
            <w:r>
              <w:rPr>
                <w:noProof/>
              </w:rPr>
              <w:t>ČTVRTLETÍ 3</w:t>
            </w:r>
          </w:p>
        </w:tc>
        <w:tc>
          <w:tcPr>
            <w:tcW w:w="708" w:type="dxa"/>
            <w:tcBorders>
              <w:top w:val="nil"/>
              <w:left w:val="nil"/>
              <w:bottom w:val="single" w:sz="4" w:space="0" w:color="auto"/>
              <w:right w:val="single" w:sz="4" w:space="0" w:color="auto"/>
            </w:tcBorders>
            <w:shd w:val="clear" w:color="auto" w:fill="C6EFCE"/>
            <w:noWrap/>
          </w:tcPr>
          <w:p w14:paraId="7F7B1D04" w14:textId="77777777" w:rsidR="00515398" w:rsidRDefault="006711E6">
            <w:pPr>
              <w:pStyle w:val="P68B1DB1-Normal9"/>
              <w:spacing w:after="0" w:line="240" w:lineRule="auto"/>
              <w:rPr>
                <w:rFonts w:eastAsia="Times New Roman" w:cs="Calibri"/>
                <w:noProof/>
                <w:szCs w:val="18"/>
              </w:rPr>
            </w:pPr>
            <w:r>
              <w:rPr>
                <w:noProof/>
              </w:rPr>
              <w:t>2021</w:t>
            </w:r>
          </w:p>
        </w:tc>
        <w:tc>
          <w:tcPr>
            <w:tcW w:w="4830" w:type="dxa"/>
            <w:tcBorders>
              <w:top w:val="nil"/>
              <w:left w:val="nil"/>
              <w:bottom w:val="single" w:sz="4" w:space="0" w:color="auto"/>
              <w:right w:val="single" w:sz="4" w:space="0" w:color="auto"/>
            </w:tcBorders>
            <w:shd w:val="clear" w:color="auto" w:fill="C6EFCE"/>
            <w:noWrap/>
          </w:tcPr>
          <w:p w14:paraId="3115305E" w14:textId="77777777" w:rsidR="00515398" w:rsidRDefault="006711E6">
            <w:pPr>
              <w:pStyle w:val="P68B1DB1-Normal9"/>
              <w:spacing w:after="0" w:line="240" w:lineRule="auto"/>
              <w:rPr>
                <w:rFonts w:eastAsia="Times New Roman" w:cs="Calibri"/>
                <w:noProof/>
                <w:szCs w:val="18"/>
              </w:rPr>
            </w:pPr>
            <w:r>
              <w:rPr>
                <w:noProof/>
              </w:rPr>
              <w:t xml:space="preserve">Komplexní harmonogram plnění daňových kodifikací, včetně zřízení příslušných výborů, podrobný harmonogram ministerstva financí a IAPR pro kodifikaci daňových právních předpisů a opatření pro konzultace. </w:t>
            </w:r>
          </w:p>
        </w:tc>
      </w:tr>
      <w:tr w:rsidR="00515398" w14:paraId="2DC6F0FB"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71B63C83" w14:textId="77777777" w:rsidR="00515398" w:rsidRDefault="006711E6">
            <w:pPr>
              <w:pStyle w:val="P68B1DB1-Normal9"/>
              <w:spacing w:after="0" w:line="240" w:lineRule="auto"/>
              <w:rPr>
                <w:rFonts w:eastAsia="Times New Roman" w:cs="Calibri"/>
                <w:noProof/>
                <w:szCs w:val="18"/>
              </w:rPr>
            </w:pPr>
            <w:r>
              <w:rPr>
                <w:noProof/>
              </w:rPr>
              <w:t>200</w:t>
            </w:r>
          </w:p>
        </w:tc>
        <w:tc>
          <w:tcPr>
            <w:tcW w:w="1835" w:type="dxa"/>
            <w:tcBorders>
              <w:top w:val="nil"/>
              <w:left w:val="nil"/>
              <w:bottom w:val="single" w:sz="4" w:space="0" w:color="auto"/>
              <w:right w:val="single" w:sz="4" w:space="0" w:color="auto"/>
            </w:tcBorders>
            <w:shd w:val="clear" w:color="auto" w:fill="C6EFCE"/>
            <w:noWrap/>
          </w:tcPr>
          <w:p w14:paraId="773C51C4" w14:textId="77777777" w:rsidR="00515398" w:rsidRDefault="006711E6">
            <w:pPr>
              <w:pStyle w:val="P68B1DB1-Normal9"/>
              <w:spacing w:after="0" w:line="240" w:lineRule="auto"/>
              <w:rPr>
                <w:rFonts w:eastAsia="Times New Roman" w:cs="Calibri"/>
                <w:noProof/>
                <w:szCs w:val="18"/>
              </w:rPr>
            </w:pPr>
            <w:r>
              <w:rPr>
                <w:noProof/>
              </w:rPr>
              <w:t>18–4.7. Zlepšení konkurenceschopnosti a podpora</w:t>
            </w:r>
            <w:r>
              <w:rPr>
                <w:noProof/>
              </w:rPr>
              <w:t xml:space="preserve"> soukromých investic a obchodu – 16598_Režim pobídek pro produktivitu a extroverzi podniků (zvýšení velikosti podniků)</w:t>
            </w:r>
          </w:p>
        </w:tc>
        <w:tc>
          <w:tcPr>
            <w:tcW w:w="966" w:type="dxa"/>
            <w:tcBorders>
              <w:top w:val="nil"/>
              <w:left w:val="nil"/>
              <w:bottom w:val="single" w:sz="4" w:space="0" w:color="auto"/>
              <w:right w:val="single" w:sz="4" w:space="0" w:color="auto"/>
            </w:tcBorders>
            <w:shd w:val="clear" w:color="auto" w:fill="C6EFCE"/>
            <w:noWrap/>
          </w:tcPr>
          <w:p w14:paraId="6019C6DC"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nil"/>
              <w:left w:val="nil"/>
              <w:bottom w:val="single" w:sz="4" w:space="0" w:color="auto"/>
              <w:right w:val="single" w:sz="4" w:space="0" w:color="auto"/>
            </w:tcBorders>
            <w:shd w:val="clear" w:color="auto" w:fill="C6EFCE"/>
            <w:noWrap/>
          </w:tcPr>
          <w:p w14:paraId="57EECD19" w14:textId="77777777" w:rsidR="00515398" w:rsidRDefault="006711E6">
            <w:pPr>
              <w:pStyle w:val="P68B1DB1-Normal9"/>
              <w:spacing w:after="0" w:line="240" w:lineRule="auto"/>
              <w:rPr>
                <w:rFonts w:eastAsia="Times New Roman" w:cs="Calibri"/>
                <w:noProof/>
                <w:szCs w:val="18"/>
              </w:rPr>
            </w:pPr>
            <w:r>
              <w:rPr>
                <w:noProof/>
              </w:rPr>
              <w:t>Návrh právního předpisu na podporu vytlačování podniků</w:t>
            </w:r>
          </w:p>
        </w:tc>
        <w:tc>
          <w:tcPr>
            <w:tcW w:w="1984" w:type="dxa"/>
            <w:tcBorders>
              <w:top w:val="nil"/>
              <w:left w:val="nil"/>
              <w:bottom w:val="single" w:sz="4" w:space="0" w:color="auto"/>
              <w:right w:val="single" w:sz="4" w:space="0" w:color="auto"/>
            </w:tcBorders>
            <w:shd w:val="clear" w:color="auto" w:fill="C6EFCE"/>
            <w:noWrap/>
          </w:tcPr>
          <w:p w14:paraId="7F3F167D" w14:textId="77777777" w:rsidR="00515398" w:rsidRDefault="006711E6">
            <w:pPr>
              <w:pStyle w:val="P68B1DB1-Normal9"/>
              <w:spacing w:after="0" w:line="240" w:lineRule="auto"/>
              <w:rPr>
                <w:rFonts w:eastAsia="Times New Roman" w:cs="Calibri"/>
                <w:noProof/>
                <w:szCs w:val="18"/>
              </w:rPr>
            </w:pPr>
            <w:r>
              <w:rPr>
                <w:noProof/>
              </w:rPr>
              <w:t xml:space="preserve">Návrhy primárních a sekundárních právních předpisů na podporu vytlačování podniků. </w:t>
            </w:r>
          </w:p>
        </w:tc>
        <w:tc>
          <w:tcPr>
            <w:tcW w:w="866" w:type="dxa"/>
            <w:tcBorders>
              <w:top w:val="nil"/>
              <w:left w:val="nil"/>
              <w:bottom w:val="single" w:sz="4" w:space="0" w:color="auto"/>
              <w:right w:val="single" w:sz="4" w:space="0" w:color="auto"/>
            </w:tcBorders>
            <w:shd w:val="clear" w:color="auto" w:fill="C6EFCE"/>
            <w:noWrap/>
          </w:tcPr>
          <w:p w14:paraId="324EB485"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0701694" w14:textId="77777777" w:rsidR="00515398" w:rsidRDefault="00515398">
            <w:pPr>
              <w:spacing w:after="0" w:line="240" w:lineRule="auto"/>
              <w:rPr>
                <w:rFonts w:eastAsia="Times New Roman" w:cs="Calibri"/>
                <w:noProof/>
                <w:color w:val="006100"/>
                <w:sz w:val="18"/>
                <w:szCs w:val="18"/>
              </w:rPr>
            </w:pPr>
          </w:p>
        </w:tc>
        <w:tc>
          <w:tcPr>
            <w:tcW w:w="668" w:type="dxa"/>
            <w:tcBorders>
              <w:top w:val="nil"/>
              <w:left w:val="nil"/>
              <w:bottom w:val="single" w:sz="4" w:space="0" w:color="auto"/>
              <w:right w:val="single" w:sz="4" w:space="0" w:color="auto"/>
            </w:tcBorders>
            <w:shd w:val="clear" w:color="auto" w:fill="C6EFCE"/>
            <w:noWrap/>
          </w:tcPr>
          <w:p w14:paraId="371EF173" w14:textId="77777777" w:rsidR="00515398" w:rsidRDefault="00515398">
            <w:pPr>
              <w:spacing w:after="0" w:line="240" w:lineRule="auto"/>
              <w:rPr>
                <w:rFonts w:eastAsia="Times New Roman" w:cs="Calibri"/>
                <w:noProof/>
                <w:color w:val="006100"/>
                <w:sz w:val="18"/>
                <w:szCs w:val="18"/>
              </w:rPr>
            </w:pPr>
          </w:p>
        </w:tc>
        <w:tc>
          <w:tcPr>
            <w:tcW w:w="993" w:type="dxa"/>
            <w:tcBorders>
              <w:top w:val="nil"/>
              <w:left w:val="nil"/>
              <w:bottom w:val="single" w:sz="4" w:space="0" w:color="auto"/>
              <w:right w:val="single" w:sz="4" w:space="0" w:color="auto"/>
            </w:tcBorders>
            <w:shd w:val="clear" w:color="auto" w:fill="C6EFCE"/>
            <w:noWrap/>
          </w:tcPr>
          <w:p w14:paraId="39219FC5" w14:textId="77777777" w:rsidR="00515398" w:rsidRDefault="006711E6">
            <w:pPr>
              <w:pStyle w:val="P68B1DB1-Normal9"/>
              <w:spacing w:after="0" w:line="240" w:lineRule="auto"/>
              <w:rPr>
                <w:rFonts w:eastAsia="Times New Roman" w:cs="Calibri"/>
                <w:noProof/>
                <w:szCs w:val="18"/>
              </w:rPr>
            </w:pPr>
            <w:r>
              <w:rPr>
                <w:noProof/>
              </w:rPr>
              <w:t>ČTVRTLETÍ 3</w:t>
            </w:r>
          </w:p>
        </w:tc>
        <w:tc>
          <w:tcPr>
            <w:tcW w:w="708" w:type="dxa"/>
            <w:tcBorders>
              <w:top w:val="nil"/>
              <w:left w:val="nil"/>
              <w:bottom w:val="single" w:sz="4" w:space="0" w:color="auto"/>
              <w:right w:val="single" w:sz="4" w:space="0" w:color="auto"/>
            </w:tcBorders>
            <w:shd w:val="clear" w:color="auto" w:fill="C6EFCE"/>
            <w:noWrap/>
          </w:tcPr>
          <w:p w14:paraId="59FB1DFC" w14:textId="77777777" w:rsidR="00515398" w:rsidRDefault="006711E6">
            <w:pPr>
              <w:pStyle w:val="P68B1DB1-Normal9"/>
              <w:spacing w:after="0" w:line="240" w:lineRule="auto"/>
              <w:rPr>
                <w:rFonts w:eastAsia="Times New Roman" w:cs="Calibri"/>
                <w:noProof/>
                <w:szCs w:val="18"/>
              </w:rPr>
            </w:pPr>
            <w:r>
              <w:rPr>
                <w:noProof/>
              </w:rPr>
              <w:t>2021</w:t>
            </w:r>
          </w:p>
        </w:tc>
        <w:tc>
          <w:tcPr>
            <w:tcW w:w="4830" w:type="dxa"/>
            <w:tcBorders>
              <w:top w:val="nil"/>
              <w:left w:val="nil"/>
              <w:bottom w:val="single" w:sz="4" w:space="0" w:color="auto"/>
              <w:right w:val="single" w:sz="4" w:space="0" w:color="auto"/>
            </w:tcBorders>
            <w:shd w:val="clear" w:color="auto" w:fill="C6EFCE"/>
            <w:noWrap/>
          </w:tcPr>
          <w:p w14:paraId="11BA2916" w14:textId="77777777" w:rsidR="00515398" w:rsidRDefault="006711E6">
            <w:pPr>
              <w:pStyle w:val="P68B1DB1-Normal9"/>
              <w:spacing w:after="0" w:line="240" w:lineRule="auto"/>
              <w:rPr>
                <w:rFonts w:eastAsia="Times New Roman" w:cs="Calibri"/>
                <w:noProof/>
                <w:szCs w:val="18"/>
              </w:rPr>
            </w:pPr>
            <w:r>
              <w:rPr>
                <w:noProof/>
              </w:rPr>
              <w:t>Návrhy primárních a sekundárních právních předpisů pro účely konzultace, které stanoví zlepšení právního rámce v oblasti daní, financí a licencí a pobíd</w:t>
            </w:r>
            <w:r>
              <w:rPr>
                <w:noProof/>
              </w:rPr>
              <w:t>ky pro fúze, přeměny a akvizice</w:t>
            </w:r>
          </w:p>
        </w:tc>
      </w:tr>
      <w:tr w:rsidR="00515398" w14:paraId="21B03AF7"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417ABAB" w14:textId="77777777" w:rsidR="00515398" w:rsidRDefault="006711E6">
            <w:pPr>
              <w:pStyle w:val="P68B1DB1-Normal9"/>
              <w:spacing w:after="0" w:line="240" w:lineRule="auto"/>
              <w:rPr>
                <w:rFonts w:eastAsia="Times New Roman" w:cs="Calibri"/>
                <w:noProof/>
                <w:szCs w:val="18"/>
              </w:rPr>
            </w:pPr>
            <w:r>
              <w:rPr>
                <w:noProof/>
              </w:rPr>
              <w:t>201</w:t>
            </w:r>
          </w:p>
        </w:tc>
        <w:tc>
          <w:tcPr>
            <w:tcW w:w="1835" w:type="dxa"/>
            <w:tcBorders>
              <w:top w:val="single" w:sz="4" w:space="0" w:color="auto"/>
              <w:left w:val="nil"/>
              <w:bottom w:val="single" w:sz="4" w:space="0" w:color="auto"/>
              <w:right w:val="single" w:sz="4" w:space="0" w:color="auto"/>
            </w:tcBorders>
            <w:shd w:val="clear" w:color="auto" w:fill="C6EFCE"/>
            <w:noWrap/>
          </w:tcPr>
          <w:p w14:paraId="5B219AD5" w14:textId="77777777" w:rsidR="00515398" w:rsidRDefault="006711E6">
            <w:pPr>
              <w:pStyle w:val="P68B1DB1-Normal9"/>
              <w:spacing w:after="0" w:line="240" w:lineRule="auto"/>
              <w:rPr>
                <w:rFonts w:eastAsia="Times New Roman" w:cs="Calibri"/>
                <w:noProof/>
                <w:szCs w:val="18"/>
              </w:rPr>
            </w:pPr>
            <w:r>
              <w:rPr>
                <w:noProof/>
              </w:rPr>
              <w:t>18–4.7. Zlepšení konkurenceschopnosti a podpora soukromých investic a obchodu – 16598_Režim pobídek pro produktivitu a extroverzi podniků (zvýšení velikosti podniků)</w:t>
            </w:r>
          </w:p>
        </w:tc>
        <w:tc>
          <w:tcPr>
            <w:tcW w:w="966" w:type="dxa"/>
            <w:tcBorders>
              <w:top w:val="single" w:sz="4" w:space="0" w:color="auto"/>
              <w:left w:val="nil"/>
              <w:bottom w:val="single" w:sz="4" w:space="0" w:color="auto"/>
              <w:right w:val="single" w:sz="4" w:space="0" w:color="auto"/>
            </w:tcBorders>
            <w:shd w:val="clear" w:color="auto" w:fill="C6EFCE"/>
            <w:noWrap/>
          </w:tcPr>
          <w:p w14:paraId="333DC3CF"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638D9B49" w14:textId="77777777" w:rsidR="00515398" w:rsidRDefault="006711E6">
            <w:pPr>
              <w:pStyle w:val="P68B1DB1-Normal9"/>
              <w:spacing w:after="0" w:line="240" w:lineRule="auto"/>
              <w:rPr>
                <w:rFonts w:eastAsia="Times New Roman" w:cs="Calibri"/>
                <w:noProof/>
                <w:szCs w:val="18"/>
              </w:rPr>
            </w:pPr>
            <w:r>
              <w:rPr>
                <w:noProof/>
              </w:rPr>
              <w:t>Právní předpisy na podporu vytlačování podniků</w:t>
            </w:r>
          </w:p>
        </w:tc>
        <w:tc>
          <w:tcPr>
            <w:tcW w:w="1984" w:type="dxa"/>
            <w:tcBorders>
              <w:top w:val="single" w:sz="4" w:space="0" w:color="auto"/>
              <w:left w:val="nil"/>
              <w:bottom w:val="single" w:sz="4" w:space="0" w:color="auto"/>
              <w:right w:val="single" w:sz="4" w:space="0" w:color="auto"/>
            </w:tcBorders>
            <w:shd w:val="clear" w:color="auto" w:fill="C6EFCE"/>
            <w:noWrap/>
          </w:tcPr>
          <w:p w14:paraId="4A8B3D79" w14:textId="77777777" w:rsidR="00515398" w:rsidRDefault="006711E6">
            <w:pPr>
              <w:pStyle w:val="P68B1DB1-Normal9"/>
              <w:spacing w:after="0" w:line="240" w:lineRule="auto"/>
              <w:rPr>
                <w:rFonts w:eastAsia="Times New Roman" w:cs="Calibri"/>
                <w:noProof/>
                <w:szCs w:val="18"/>
              </w:rPr>
            </w:pPr>
            <w:r>
              <w:rPr>
                <w:noProof/>
              </w:rPr>
              <w:t>Vstup v platnost právních předpisů na podporu vytlačování podniků</w:t>
            </w:r>
          </w:p>
        </w:tc>
        <w:tc>
          <w:tcPr>
            <w:tcW w:w="866" w:type="dxa"/>
            <w:tcBorders>
              <w:top w:val="single" w:sz="4" w:space="0" w:color="auto"/>
              <w:left w:val="nil"/>
              <w:bottom w:val="single" w:sz="4" w:space="0" w:color="auto"/>
              <w:right w:val="single" w:sz="4" w:space="0" w:color="auto"/>
            </w:tcBorders>
            <w:shd w:val="clear" w:color="auto" w:fill="C6EFCE"/>
            <w:noWrap/>
          </w:tcPr>
          <w:p w14:paraId="5AC231C2"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6FBC168"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63379C21"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76D86A9" w14:textId="77777777" w:rsidR="00515398" w:rsidRDefault="006711E6">
            <w:pPr>
              <w:pStyle w:val="P68B1DB1-Normal9"/>
              <w:spacing w:after="0" w:line="240" w:lineRule="auto"/>
              <w:rPr>
                <w:rFonts w:eastAsia="Times New Roman" w:cs="Calibri"/>
                <w:noProof/>
                <w:szCs w:val="18"/>
              </w:rPr>
            </w:pPr>
            <w:r>
              <w:rPr>
                <w:noProof/>
              </w:rPr>
              <w:t>ČTVRTLETÍ 1</w:t>
            </w:r>
          </w:p>
        </w:tc>
        <w:tc>
          <w:tcPr>
            <w:tcW w:w="708" w:type="dxa"/>
            <w:tcBorders>
              <w:top w:val="single" w:sz="4" w:space="0" w:color="auto"/>
              <w:left w:val="nil"/>
              <w:bottom w:val="single" w:sz="4" w:space="0" w:color="auto"/>
              <w:right w:val="single" w:sz="4" w:space="0" w:color="auto"/>
            </w:tcBorders>
            <w:shd w:val="clear" w:color="auto" w:fill="C6EFCE"/>
            <w:noWrap/>
          </w:tcPr>
          <w:p w14:paraId="6FD3F814" w14:textId="77777777" w:rsidR="00515398" w:rsidRDefault="006711E6">
            <w:pPr>
              <w:pStyle w:val="P68B1DB1-Normal9"/>
              <w:spacing w:after="0" w:line="240" w:lineRule="auto"/>
              <w:rPr>
                <w:rFonts w:eastAsia="Times New Roman" w:cs="Calibri"/>
                <w:noProof/>
                <w:szCs w:val="18"/>
              </w:rPr>
            </w:pPr>
            <w:r>
              <w:rPr>
                <w:noProof/>
              </w:rPr>
              <w:t>2022</w:t>
            </w:r>
          </w:p>
        </w:tc>
        <w:tc>
          <w:tcPr>
            <w:tcW w:w="4830" w:type="dxa"/>
            <w:tcBorders>
              <w:top w:val="single" w:sz="4" w:space="0" w:color="auto"/>
              <w:left w:val="nil"/>
              <w:bottom w:val="single" w:sz="4" w:space="0" w:color="auto"/>
              <w:right w:val="single" w:sz="4" w:space="0" w:color="auto"/>
            </w:tcBorders>
            <w:shd w:val="clear" w:color="auto" w:fill="C6EFCE"/>
            <w:noWrap/>
          </w:tcPr>
          <w:p w14:paraId="31E10CAE" w14:textId="77777777" w:rsidR="00515398" w:rsidRDefault="006711E6">
            <w:pPr>
              <w:pStyle w:val="P68B1DB1-Normal9"/>
              <w:spacing w:after="0" w:line="240" w:lineRule="auto"/>
              <w:rPr>
                <w:rFonts w:eastAsia="Times New Roman" w:cs="Calibri"/>
                <w:noProof/>
                <w:szCs w:val="18"/>
              </w:rPr>
            </w:pPr>
            <w:r>
              <w:rPr>
                <w:noProof/>
              </w:rPr>
              <w:t>Vstup v platnost příslušných změn zajišťujících zlepšení právního rámce v oblasti daní, financí a licencí a pobídek pro fúze, přeměny a akvizice</w:t>
            </w:r>
          </w:p>
        </w:tc>
      </w:tr>
      <w:tr w:rsidR="00515398" w14:paraId="7A13112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0D2E1B6" w14:textId="77777777" w:rsidR="00515398" w:rsidRDefault="006711E6">
            <w:pPr>
              <w:pStyle w:val="P68B1DB1-Normal9"/>
              <w:spacing w:after="0" w:line="240" w:lineRule="auto"/>
              <w:rPr>
                <w:rFonts w:eastAsia="Times New Roman" w:cs="Calibri"/>
                <w:noProof/>
                <w:szCs w:val="18"/>
              </w:rPr>
            </w:pPr>
            <w:r>
              <w:rPr>
                <w:noProof/>
              </w:rPr>
              <w:t>202</w:t>
            </w:r>
          </w:p>
        </w:tc>
        <w:tc>
          <w:tcPr>
            <w:tcW w:w="1835" w:type="dxa"/>
            <w:tcBorders>
              <w:top w:val="single" w:sz="4" w:space="0" w:color="auto"/>
              <w:left w:val="nil"/>
              <w:bottom w:val="single" w:sz="4" w:space="0" w:color="auto"/>
              <w:right w:val="single" w:sz="4" w:space="0" w:color="auto"/>
            </w:tcBorders>
            <w:shd w:val="clear" w:color="auto" w:fill="C6EFCE"/>
            <w:noWrap/>
          </w:tcPr>
          <w:p w14:paraId="3529BDA3" w14:textId="77777777" w:rsidR="00515398" w:rsidRDefault="006711E6">
            <w:pPr>
              <w:pStyle w:val="P68B1DB1-Normal9"/>
              <w:spacing w:after="0" w:line="240" w:lineRule="auto"/>
              <w:rPr>
                <w:rFonts w:eastAsia="Times New Roman" w:cs="Calibri"/>
                <w:noProof/>
                <w:szCs w:val="18"/>
              </w:rPr>
            </w:pPr>
            <w:r>
              <w:rPr>
                <w:noProof/>
              </w:rPr>
              <w:t xml:space="preserve"> 4.1. Učinit daně příznivější pro růst a zlepšit daňovou správu a výběr daní – 16643_Kodifikace a zjednodušení daňových právních předpisů</w:t>
            </w:r>
          </w:p>
        </w:tc>
        <w:tc>
          <w:tcPr>
            <w:tcW w:w="966" w:type="dxa"/>
            <w:tcBorders>
              <w:top w:val="single" w:sz="4" w:space="0" w:color="auto"/>
              <w:left w:val="nil"/>
              <w:bottom w:val="single" w:sz="4" w:space="0" w:color="auto"/>
              <w:right w:val="single" w:sz="4" w:space="0" w:color="auto"/>
            </w:tcBorders>
            <w:shd w:val="clear" w:color="auto" w:fill="C6EFCE"/>
            <w:noWrap/>
          </w:tcPr>
          <w:p w14:paraId="1D5CEABD"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10A60F72" w14:textId="77777777" w:rsidR="00515398" w:rsidRDefault="006711E6">
            <w:pPr>
              <w:pStyle w:val="P68B1DB1-Normal9"/>
              <w:spacing w:after="0" w:line="240" w:lineRule="auto"/>
              <w:rPr>
                <w:rFonts w:eastAsia="Times New Roman" w:cs="Calibri"/>
                <w:noProof/>
                <w:szCs w:val="18"/>
              </w:rPr>
            </w:pPr>
            <w:r>
              <w:rPr>
                <w:noProof/>
              </w:rPr>
              <w:t>Zvýšení kapacity pro daňovou kodifikaci</w:t>
            </w:r>
          </w:p>
        </w:tc>
        <w:tc>
          <w:tcPr>
            <w:tcW w:w="1984" w:type="dxa"/>
            <w:tcBorders>
              <w:top w:val="single" w:sz="4" w:space="0" w:color="auto"/>
              <w:left w:val="nil"/>
              <w:bottom w:val="single" w:sz="4" w:space="0" w:color="auto"/>
              <w:right w:val="single" w:sz="4" w:space="0" w:color="auto"/>
            </w:tcBorders>
            <w:shd w:val="clear" w:color="auto" w:fill="C6EFCE"/>
            <w:noWrap/>
          </w:tcPr>
          <w:p w14:paraId="4DAB3BC7" w14:textId="77777777" w:rsidR="00515398" w:rsidRDefault="006711E6">
            <w:pPr>
              <w:pStyle w:val="P68B1DB1-Normal9"/>
              <w:spacing w:after="0" w:line="240" w:lineRule="auto"/>
              <w:rPr>
                <w:rFonts w:eastAsia="Times New Roman" w:cs="Calibri"/>
                <w:noProof/>
                <w:szCs w:val="18"/>
              </w:rPr>
            </w:pPr>
            <w:r>
              <w:rPr>
                <w:noProof/>
              </w:rPr>
              <w:t>Zveřejnění sekundárních právních předpisů pro zřízení oddělení pro daňo</w:t>
            </w:r>
            <w:r>
              <w:rPr>
                <w:noProof/>
              </w:rPr>
              <w:t>vou kodifikaci na Ředitelství pro finance a poskytování služeb v IAPR.</w:t>
            </w:r>
          </w:p>
        </w:tc>
        <w:tc>
          <w:tcPr>
            <w:tcW w:w="866" w:type="dxa"/>
            <w:tcBorders>
              <w:top w:val="single" w:sz="4" w:space="0" w:color="auto"/>
              <w:left w:val="nil"/>
              <w:bottom w:val="single" w:sz="4" w:space="0" w:color="auto"/>
              <w:right w:val="single" w:sz="4" w:space="0" w:color="auto"/>
            </w:tcBorders>
            <w:shd w:val="clear" w:color="auto" w:fill="C6EFCE"/>
            <w:noWrap/>
          </w:tcPr>
          <w:p w14:paraId="3D211BB2"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A304817"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694A7EAF"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9EAE1BA" w14:textId="77777777"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single" w:sz="4" w:space="0" w:color="auto"/>
              <w:left w:val="nil"/>
              <w:bottom w:val="single" w:sz="4" w:space="0" w:color="auto"/>
              <w:right w:val="single" w:sz="4" w:space="0" w:color="auto"/>
            </w:tcBorders>
            <w:shd w:val="clear" w:color="auto" w:fill="C6EFCE"/>
            <w:noWrap/>
          </w:tcPr>
          <w:p w14:paraId="72E29AD2" w14:textId="77777777" w:rsidR="00515398" w:rsidRDefault="006711E6">
            <w:pPr>
              <w:pStyle w:val="P68B1DB1-Normal9"/>
              <w:spacing w:after="0" w:line="240" w:lineRule="auto"/>
              <w:rPr>
                <w:rFonts w:eastAsia="Times New Roman" w:cs="Calibri"/>
                <w:noProof/>
                <w:szCs w:val="18"/>
              </w:rPr>
            </w:pPr>
            <w:r>
              <w:rPr>
                <w:noProof/>
              </w:rPr>
              <w:t>2022</w:t>
            </w:r>
          </w:p>
        </w:tc>
        <w:tc>
          <w:tcPr>
            <w:tcW w:w="4830" w:type="dxa"/>
            <w:tcBorders>
              <w:top w:val="single" w:sz="4" w:space="0" w:color="auto"/>
              <w:left w:val="nil"/>
              <w:bottom w:val="single" w:sz="4" w:space="0" w:color="auto"/>
              <w:right w:val="single" w:sz="4" w:space="0" w:color="auto"/>
            </w:tcBorders>
            <w:shd w:val="clear" w:color="auto" w:fill="C6EFCE"/>
            <w:noWrap/>
          </w:tcPr>
          <w:p w14:paraId="7A5A6CF6" w14:textId="77777777" w:rsidR="00515398" w:rsidRDefault="006711E6">
            <w:pPr>
              <w:pStyle w:val="P68B1DB1-Normal9"/>
              <w:spacing w:after="0" w:line="240" w:lineRule="auto"/>
              <w:rPr>
                <w:rFonts w:eastAsia="Times New Roman" w:cs="Calibri"/>
                <w:noProof/>
                <w:szCs w:val="18"/>
              </w:rPr>
            </w:pPr>
            <w:r>
              <w:rPr>
                <w:noProof/>
              </w:rPr>
              <w:t xml:space="preserve">Zřízení specializované daňové jednotky ministerstva financí odpovědné za konsolidaci a soudržnost primárních daňových právních předpisů a ministerských rozhodnutí; </w:t>
            </w:r>
            <w:r>
              <w:rPr>
                <w:noProof/>
              </w:rPr>
              <w:t>Zřízení ředitelství pro poskytování služeb v IAPR, které bude mimo jiné pověřeno konsolidací sekundárních právních předpisů, koordinací pravomocí IAPR v oblasti daňového řádu a aktualizací a vedením veřejné daňové databáze</w:t>
            </w:r>
          </w:p>
        </w:tc>
      </w:tr>
      <w:tr w:rsidR="00515398" w14:paraId="57E7743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886D645" w14:textId="77777777" w:rsidR="00515398" w:rsidRDefault="006711E6">
            <w:pPr>
              <w:pStyle w:val="P68B1DB1-Normal9"/>
              <w:spacing w:after="0" w:line="240" w:lineRule="auto"/>
              <w:rPr>
                <w:rFonts w:eastAsia="Times New Roman" w:cs="Calibri"/>
                <w:noProof/>
                <w:szCs w:val="18"/>
              </w:rPr>
            </w:pPr>
            <w:r>
              <w:rPr>
                <w:noProof/>
              </w:rPr>
              <w:t>203</w:t>
            </w:r>
          </w:p>
        </w:tc>
        <w:tc>
          <w:tcPr>
            <w:tcW w:w="1835" w:type="dxa"/>
            <w:tcBorders>
              <w:top w:val="single" w:sz="4" w:space="0" w:color="auto"/>
              <w:left w:val="nil"/>
              <w:bottom w:val="single" w:sz="4" w:space="0" w:color="auto"/>
              <w:right w:val="single" w:sz="4" w:space="0" w:color="auto"/>
            </w:tcBorders>
            <w:shd w:val="clear" w:color="auto" w:fill="C6EFCE"/>
            <w:noWrap/>
          </w:tcPr>
          <w:p w14:paraId="77D6F6B2" w14:textId="77777777" w:rsidR="00515398" w:rsidRDefault="006711E6">
            <w:pPr>
              <w:pStyle w:val="P68B1DB1-Normal9"/>
              <w:spacing w:after="0" w:line="240" w:lineRule="auto"/>
              <w:rPr>
                <w:rFonts w:eastAsia="Times New Roman" w:cs="Calibri"/>
                <w:noProof/>
                <w:szCs w:val="18"/>
              </w:rPr>
            </w:pPr>
            <w:r>
              <w:rPr>
                <w:noProof/>
              </w:rPr>
              <w:t xml:space="preserve">12–4.1. Učinit daně </w:t>
            </w:r>
            <w:r>
              <w:rPr>
                <w:noProof/>
              </w:rPr>
              <w:t>příznivější pro růst a zlepšit daňovou správu a výběr daní – 16643_Kodifikace a zjednodušení daňových právních předpisů</w:t>
            </w:r>
          </w:p>
        </w:tc>
        <w:tc>
          <w:tcPr>
            <w:tcW w:w="966" w:type="dxa"/>
            <w:tcBorders>
              <w:top w:val="single" w:sz="4" w:space="0" w:color="auto"/>
              <w:left w:val="nil"/>
              <w:bottom w:val="single" w:sz="4" w:space="0" w:color="auto"/>
              <w:right w:val="single" w:sz="4" w:space="0" w:color="auto"/>
            </w:tcBorders>
            <w:shd w:val="clear" w:color="auto" w:fill="C6EFCE"/>
            <w:noWrap/>
          </w:tcPr>
          <w:p w14:paraId="0CC2FE82"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2FAA6DCF" w14:textId="77777777" w:rsidR="00515398" w:rsidRDefault="006711E6">
            <w:pPr>
              <w:pStyle w:val="P68B1DB1-Normal9"/>
              <w:spacing w:after="0" w:line="240" w:lineRule="auto"/>
              <w:rPr>
                <w:rFonts w:eastAsia="Times New Roman" w:cs="Calibri"/>
                <w:noProof/>
                <w:szCs w:val="18"/>
              </w:rPr>
            </w:pPr>
            <w:r>
              <w:rPr>
                <w:noProof/>
              </w:rPr>
              <w:t>Přepisování kódů daně z příjmu a daňových postupů</w:t>
            </w:r>
          </w:p>
        </w:tc>
        <w:tc>
          <w:tcPr>
            <w:tcW w:w="1984" w:type="dxa"/>
            <w:tcBorders>
              <w:top w:val="single" w:sz="4" w:space="0" w:color="auto"/>
              <w:left w:val="nil"/>
              <w:bottom w:val="single" w:sz="4" w:space="0" w:color="auto"/>
              <w:right w:val="single" w:sz="4" w:space="0" w:color="auto"/>
            </w:tcBorders>
            <w:shd w:val="clear" w:color="auto" w:fill="C6EFCE"/>
            <w:noWrap/>
          </w:tcPr>
          <w:p w14:paraId="38437AF6" w14:textId="77777777" w:rsidR="00515398" w:rsidRDefault="006711E6">
            <w:pPr>
              <w:pStyle w:val="P68B1DB1-Normal9"/>
              <w:spacing w:after="0" w:line="240" w:lineRule="auto"/>
              <w:rPr>
                <w:rFonts w:eastAsia="Times New Roman" w:cs="Calibri"/>
                <w:noProof/>
                <w:szCs w:val="18"/>
              </w:rPr>
            </w:pPr>
            <w:r>
              <w:rPr>
                <w:noProof/>
              </w:rPr>
              <w:t>Vstup v platnost kodifikovaných primárních a sekundárních daňových předpisů pro</w:t>
            </w:r>
            <w:r>
              <w:rPr>
                <w:noProof/>
              </w:rPr>
              <w:t xml:space="preserve"> zákon o daních z příjmů a zákon o správě daní</w:t>
            </w:r>
          </w:p>
        </w:tc>
        <w:tc>
          <w:tcPr>
            <w:tcW w:w="866" w:type="dxa"/>
            <w:tcBorders>
              <w:top w:val="single" w:sz="4" w:space="0" w:color="auto"/>
              <w:left w:val="nil"/>
              <w:bottom w:val="single" w:sz="4" w:space="0" w:color="auto"/>
              <w:right w:val="single" w:sz="4" w:space="0" w:color="auto"/>
            </w:tcBorders>
            <w:shd w:val="clear" w:color="auto" w:fill="C6EFCE"/>
            <w:noWrap/>
          </w:tcPr>
          <w:p w14:paraId="0FD10444"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09D5076"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0E249BB5"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2D762441" w14:textId="77777777"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single" w:sz="4" w:space="0" w:color="auto"/>
              <w:left w:val="nil"/>
              <w:bottom w:val="single" w:sz="4" w:space="0" w:color="auto"/>
              <w:right w:val="single" w:sz="4" w:space="0" w:color="auto"/>
            </w:tcBorders>
            <w:shd w:val="clear" w:color="auto" w:fill="C6EFCE"/>
            <w:noWrap/>
          </w:tcPr>
          <w:p w14:paraId="28599F9E" w14:textId="77777777" w:rsidR="00515398" w:rsidRDefault="006711E6">
            <w:pPr>
              <w:pStyle w:val="P68B1DB1-Normal9"/>
              <w:spacing w:after="0" w:line="240" w:lineRule="auto"/>
              <w:rPr>
                <w:rFonts w:eastAsia="Times New Roman" w:cs="Calibri"/>
                <w:noProof/>
                <w:szCs w:val="18"/>
              </w:rPr>
            </w:pPr>
            <w:r>
              <w:rPr>
                <w:noProof/>
              </w:rPr>
              <w:t>2023</w:t>
            </w:r>
          </w:p>
        </w:tc>
        <w:tc>
          <w:tcPr>
            <w:tcW w:w="4830" w:type="dxa"/>
            <w:tcBorders>
              <w:top w:val="single" w:sz="4" w:space="0" w:color="auto"/>
              <w:left w:val="nil"/>
              <w:bottom w:val="single" w:sz="4" w:space="0" w:color="auto"/>
              <w:right w:val="single" w:sz="4" w:space="0" w:color="auto"/>
            </w:tcBorders>
            <w:shd w:val="clear" w:color="auto" w:fill="C6EFCE"/>
            <w:noWrap/>
          </w:tcPr>
          <w:p w14:paraId="114D2740" w14:textId="77777777" w:rsidR="00515398" w:rsidRDefault="006711E6">
            <w:pPr>
              <w:pStyle w:val="P68B1DB1-Normal9"/>
              <w:spacing w:after="0" w:line="240" w:lineRule="auto"/>
              <w:rPr>
                <w:rFonts w:eastAsia="Times New Roman" w:cs="Calibri"/>
                <w:noProof/>
                <w:szCs w:val="18"/>
              </w:rPr>
            </w:pPr>
            <w:r>
              <w:rPr>
                <w:noProof/>
              </w:rPr>
              <w:t xml:space="preserve">Vstup v platnost kodifikovaného zákoníku o dani z příjmu a kodexu daňové správy (primární a sekundární právní předpisy) za účelem zjednodušení a aktualizace právních předpisů s ohledem na </w:t>
            </w:r>
            <w:r>
              <w:rPr>
                <w:noProof/>
              </w:rPr>
              <w:t>digitalizaci a osvědčené postupy EU</w:t>
            </w:r>
          </w:p>
        </w:tc>
      </w:tr>
      <w:tr w:rsidR="00515398" w14:paraId="159BDF17"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562B4D4" w14:textId="77777777" w:rsidR="00515398" w:rsidRDefault="006711E6">
            <w:pPr>
              <w:pStyle w:val="P68B1DB1-Normal9"/>
              <w:spacing w:after="0" w:line="240" w:lineRule="auto"/>
              <w:rPr>
                <w:rFonts w:eastAsia="Times New Roman" w:cs="Calibri"/>
                <w:noProof/>
                <w:szCs w:val="18"/>
              </w:rPr>
            </w:pPr>
            <w:r>
              <w:rPr>
                <w:noProof/>
              </w:rPr>
              <w:t>204</w:t>
            </w:r>
          </w:p>
        </w:tc>
        <w:tc>
          <w:tcPr>
            <w:tcW w:w="1835" w:type="dxa"/>
            <w:tcBorders>
              <w:top w:val="single" w:sz="4" w:space="0" w:color="auto"/>
              <w:left w:val="nil"/>
              <w:bottom w:val="single" w:sz="4" w:space="0" w:color="auto"/>
              <w:right w:val="single" w:sz="4" w:space="0" w:color="auto"/>
            </w:tcBorders>
            <w:shd w:val="clear" w:color="auto" w:fill="C6EFCE"/>
            <w:noWrap/>
          </w:tcPr>
          <w:p w14:paraId="16C0081A" w14:textId="77777777" w:rsidR="00515398" w:rsidRDefault="006711E6">
            <w:pPr>
              <w:pStyle w:val="P68B1DB1-Normal9"/>
              <w:spacing w:after="0" w:line="240" w:lineRule="auto"/>
              <w:rPr>
                <w:rFonts w:eastAsia="Times New Roman" w:cs="Calibri"/>
                <w:noProof/>
                <w:szCs w:val="18"/>
              </w:rPr>
            </w:pPr>
            <w:r>
              <w:rPr>
                <w:noProof/>
              </w:rPr>
              <w:t>12–4.1. Učinit daně příznivější pro růst a zlepšit daňovou správu a výběr daní – 16643_Kodifikace a zjednodušení daňových právních předpisů</w:t>
            </w:r>
          </w:p>
        </w:tc>
        <w:tc>
          <w:tcPr>
            <w:tcW w:w="966" w:type="dxa"/>
            <w:tcBorders>
              <w:top w:val="single" w:sz="4" w:space="0" w:color="auto"/>
              <w:left w:val="nil"/>
              <w:bottom w:val="single" w:sz="4" w:space="0" w:color="auto"/>
              <w:right w:val="single" w:sz="4" w:space="0" w:color="auto"/>
            </w:tcBorders>
            <w:shd w:val="clear" w:color="auto" w:fill="C6EFCE"/>
            <w:noWrap/>
          </w:tcPr>
          <w:p w14:paraId="6003942D"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04586E2C" w14:textId="77777777" w:rsidR="00515398" w:rsidRDefault="006711E6">
            <w:pPr>
              <w:pStyle w:val="P68B1DB1-Normal9"/>
              <w:spacing w:after="0" w:line="240" w:lineRule="auto"/>
              <w:rPr>
                <w:rFonts w:eastAsia="Times New Roman" w:cs="Calibri"/>
                <w:noProof/>
                <w:szCs w:val="18"/>
              </w:rPr>
            </w:pPr>
            <w:r>
              <w:rPr>
                <w:noProof/>
              </w:rPr>
              <w:t xml:space="preserve">Dokončení počáteční kodifikace daní a informačního systému pro </w:t>
            </w:r>
            <w:r>
              <w:rPr>
                <w:noProof/>
              </w:rPr>
              <w:t>daňové poplatníky</w:t>
            </w:r>
          </w:p>
        </w:tc>
        <w:tc>
          <w:tcPr>
            <w:tcW w:w="1984" w:type="dxa"/>
            <w:tcBorders>
              <w:top w:val="single" w:sz="4" w:space="0" w:color="auto"/>
              <w:left w:val="nil"/>
              <w:bottom w:val="single" w:sz="4" w:space="0" w:color="auto"/>
              <w:right w:val="single" w:sz="4" w:space="0" w:color="auto"/>
            </w:tcBorders>
            <w:shd w:val="clear" w:color="auto" w:fill="C6EFCE"/>
            <w:noWrap/>
          </w:tcPr>
          <w:p w14:paraId="4F875012" w14:textId="75BABBFB" w:rsidR="00515398" w:rsidRDefault="006711E6">
            <w:pPr>
              <w:pStyle w:val="P68B1DB1-Normal9"/>
              <w:spacing w:after="0" w:line="240" w:lineRule="auto"/>
              <w:rPr>
                <w:rFonts w:eastAsia="Times New Roman" w:cs="Calibri"/>
                <w:noProof/>
                <w:szCs w:val="18"/>
              </w:rPr>
            </w:pPr>
            <w:r>
              <w:rPr>
                <w:noProof/>
              </w:rPr>
              <w:t>a</w:t>
            </w:r>
            <w:r>
              <w:rPr>
                <w:i/>
                <w:noProof/>
              </w:rPr>
              <w:t>:</w:t>
            </w:r>
            <w:r>
              <w:rPr>
                <w:noProof/>
              </w:rPr>
              <w:t xml:space="preserve"> Vstup kodifikovaných primárních a sekundárních daňových právních předpisů v platnost</w:t>
            </w:r>
          </w:p>
          <w:p w14:paraId="1517A453" w14:textId="77777777" w:rsidR="00515398" w:rsidRDefault="00515398">
            <w:pPr>
              <w:spacing w:after="0" w:line="240" w:lineRule="auto"/>
              <w:rPr>
                <w:rFonts w:eastAsia="Times New Roman" w:cs="Calibri"/>
                <w:noProof/>
                <w:color w:val="006100"/>
                <w:sz w:val="18"/>
                <w:szCs w:val="18"/>
              </w:rPr>
            </w:pPr>
          </w:p>
          <w:p w14:paraId="0E58CA73" w14:textId="59B3FB0C" w:rsidR="00515398" w:rsidRDefault="006711E6">
            <w:pPr>
              <w:pStyle w:val="P68B1DB1-Normal9"/>
              <w:spacing w:after="0" w:line="240" w:lineRule="auto"/>
              <w:rPr>
                <w:rFonts w:eastAsia="Times New Roman" w:cs="Calibri"/>
                <w:noProof/>
                <w:szCs w:val="18"/>
              </w:rPr>
            </w:pPr>
            <w:r>
              <w:rPr>
                <w:noProof/>
              </w:rPr>
              <w:t>b: Doklady o přijetí výstupů týkajících se nastavení systému správy obsahu a zvláštních internetových stránek pro informace o daňových poplatníkůch.</w:t>
            </w:r>
          </w:p>
        </w:tc>
        <w:tc>
          <w:tcPr>
            <w:tcW w:w="866" w:type="dxa"/>
            <w:tcBorders>
              <w:top w:val="single" w:sz="4" w:space="0" w:color="auto"/>
              <w:left w:val="nil"/>
              <w:bottom w:val="single" w:sz="4" w:space="0" w:color="auto"/>
              <w:right w:val="single" w:sz="4" w:space="0" w:color="auto"/>
            </w:tcBorders>
            <w:shd w:val="clear" w:color="auto" w:fill="C6EFCE"/>
            <w:noWrap/>
          </w:tcPr>
          <w:p w14:paraId="7F5B46FC"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BBF2E00"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2054AAF7"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6B2F8E09" w14:textId="77777777"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single" w:sz="4" w:space="0" w:color="auto"/>
              <w:left w:val="nil"/>
              <w:bottom w:val="single" w:sz="4" w:space="0" w:color="auto"/>
              <w:right w:val="single" w:sz="4" w:space="0" w:color="auto"/>
            </w:tcBorders>
            <w:shd w:val="clear" w:color="auto" w:fill="C6EFCE"/>
            <w:noWrap/>
          </w:tcPr>
          <w:p w14:paraId="1A68D3FA" w14:textId="77777777" w:rsidR="00515398" w:rsidRDefault="006711E6">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4298D617" w14:textId="68B2E1B6" w:rsidR="00515398" w:rsidRDefault="006711E6">
            <w:pPr>
              <w:pStyle w:val="P68B1DB1-Normal9"/>
              <w:spacing w:after="0" w:line="240" w:lineRule="auto"/>
              <w:rPr>
                <w:rFonts w:eastAsia="Times New Roman" w:cs="Calibri"/>
                <w:noProof/>
                <w:szCs w:val="18"/>
              </w:rPr>
            </w:pPr>
            <w:r>
              <w:rPr>
                <w:noProof/>
              </w:rPr>
              <w:t>a.Vstup v platnost kodifikace primárních a sekundárních právních předpisů s cílem zjednodušit a aktualizovat právní předpisy s ohledem na digitalizaci a osvědčené postupy EU, včetně:</w:t>
            </w:r>
          </w:p>
          <w:p w14:paraId="7C5A1A00" w14:textId="77777777" w:rsidR="00515398" w:rsidRDefault="006711E6">
            <w:pPr>
              <w:pStyle w:val="P68B1DB1-Normal9"/>
              <w:numPr>
                <w:ilvl w:val="0"/>
                <w:numId w:val="45"/>
              </w:numPr>
              <w:spacing w:before="120" w:after="0" w:line="259" w:lineRule="auto"/>
              <w:contextualSpacing/>
              <w:jc w:val="both"/>
              <w:rPr>
                <w:rFonts w:eastAsia="Times New Roman" w:cs="Calibri"/>
                <w:noProof/>
                <w:szCs w:val="18"/>
              </w:rPr>
            </w:pPr>
            <w:r>
              <w:rPr>
                <w:noProof/>
              </w:rPr>
              <w:t>Kód DPH</w:t>
            </w:r>
          </w:p>
          <w:p w14:paraId="27A4768D" w14:textId="77777777" w:rsidR="00515398" w:rsidRDefault="006711E6">
            <w:pPr>
              <w:pStyle w:val="P68B1DB1-Normal9"/>
              <w:numPr>
                <w:ilvl w:val="0"/>
                <w:numId w:val="45"/>
              </w:numPr>
              <w:spacing w:before="120" w:after="0" w:line="259" w:lineRule="auto"/>
              <w:contextualSpacing/>
              <w:jc w:val="both"/>
              <w:rPr>
                <w:rFonts w:eastAsia="Times New Roman" w:cs="Calibri"/>
                <w:noProof/>
                <w:szCs w:val="18"/>
              </w:rPr>
            </w:pPr>
            <w:r>
              <w:rPr>
                <w:noProof/>
              </w:rPr>
              <w:t>Kolkovné</w:t>
            </w:r>
          </w:p>
          <w:p w14:paraId="6B64BF22" w14:textId="77777777" w:rsidR="00515398" w:rsidRDefault="006711E6">
            <w:pPr>
              <w:pStyle w:val="P68B1DB1-Normal9"/>
              <w:numPr>
                <w:ilvl w:val="0"/>
                <w:numId w:val="45"/>
              </w:numPr>
              <w:spacing w:before="120" w:after="0" w:line="259" w:lineRule="auto"/>
              <w:contextualSpacing/>
              <w:jc w:val="both"/>
              <w:rPr>
                <w:rFonts w:eastAsia="Times New Roman" w:cs="Calibri"/>
                <w:noProof/>
                <w:szCs w:val="18"/>
              </w:rPr>
            </w:pPr>
            <w:r>
              <w:rPr>
                <w:noProof/>
              </w:rPr>
              <w:t>Daně z nemovitostí</w:t>
            </w:r>
          </w:p>
          <w:p w14:paraId="1305793C" w14:textId="77777777" w:rsidR="00515398" w:rsidRDefault="006711E6">
            <w:pPr>
              <w:pStyle w:val="P68B1DB1-Normal9"/>
              <w:numPr>
                <w:ilvl w:val="0"/>
                <w:numId w:val="45"/>
              </w:numPr>
              <w:spacing w:before="120" w:after="0" w:line="259" w:lineRule="auto"/>
              <w:contextualSpacing/>
              <w:jc w:val="both"/>
              <w:rPr>
                <w:rFonts w:eastAsia="Times New Roman" w:cs="Calibri"/>
                <w:noProof/>
                <w:szCs w:val="18"/>
              </w:rPr>
            </w:pPr>
            <w:r>
              <w:rPr>
                <w:noProof/>
              </w:rPr>
              <w:t>Výběr státního dluh</w:t>
            </w:r>
            <w:r>
              <w:rPr>
                <w:noProof/>
              </w:rPr>
              <w:t>u (KEDE)</w:t>
            </w:r>
          </w:p>
          <w:p w14:paraId="5408AC44" w14:textId="77777777" w:rsidR="00515398" w:rsidRDefault="006711E6">
            <w:pPr>
              <w:pStyle w:val="P68B1DB1-Normal9"/>
              <w:numPr>
                <w:ilvl w:val="0"/>
                <w:numId w:val="45"/>
              </w:numPr>
              <w:spacing w:before="120" w:after="0" w:line="259" w:lineRule="auto"/>
              <w:contextualSpacing/>
              <w:jc w:val="both"/>
              <w:rPr>
                <w:rFonts w:eastAsia="Times New Roman" w:cs="Calibri"/>
                <w:noProof/>
                <w:szCs w:val="18"/>
              </w:rPr>
            </w:pPr>
            <w:r>
              <w:rPr>
                <w:noProof/>
              </w:rPr>
              <w:t>Vnitrostátní celní kodex</w:t>
            </w:r>
          </w:p>
          <w:p w14:paraId="6BC592C1" w14:textId="77777777" w:rsidR="00515398" w:rsidRDefault="006711E6">
            <w:pPr>
              <w:pStyle w:val="P68B1DB1-Normal9"/>
              <w:spacing w:after="0" w:line="240" w:lineRule="auto"/>
              <w:rPr>
                <w:rFonts w:eastAsia="Times New Roman" w:cs="Calibri"/>
                <w:noProof/>
                <w:szCs w:val="18"/>
              </w:rPr>
            </w:pPr>
            <w:r>
              <w:rPr>
                <w:noProof/>
              </w:rPr>
              <w:t>b. Vytvoření systému správy obsahu a zvláštních internetových stránek pro informace o daňových poplatníkůch.</w:t>
            </w:r>
          </w:p>
        </w:tc>
      </w:tr>
      <w:tr w:rsidR="00515398" w14:paraId="6480D29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90FEF08" w14:textId="14FB8F32" w:rsidR="00515398" w:rsidRDefault="006711E6">
            <w:pPr>
              <w:pStyle w:val="P68B1DB1-Normal9"/>
              <w:spacing w:after="0" w:line="240" w:lineRule="auto"/>
              <w:rPr>
                <w:noProof/>
              </w:rPr>
            </w:pPr>
            <w:r>
              <w:rPr>
                <w:noProof/>
              </w:rPr>
              <w:t>204a</w:t>
            </w:r>
          </w:p>
        </w:tc>
        <w:tc>
          <w:tcPr>
            <w:tcW w:w="1835" w:type="dxa"/>
            <w:tcBorders>
              <w:top w:val="single" w:sz="4" w:space="0" w:color="auto"/>
              <w:left w:val="nil"/>
              <w:bottom w:val="single" w:sz="4" w:space="0" w:color="auto"/>
              <w:right w:val="single" w:sz="4" w:space="0" w:color="auto"/>
            </w:tcBorders>
            <w:shd w:val="clear" w:color="auto" w:fill="C6EFCE"/>
            <w:noWrap/>
          </w:tcPr>
          <w:p w14:paraId="2351F7CD" w14:textId="48A93D7E" w:rsidR="00515398" w:rsidRDefault="006711E6">
            <w:pPr>
              <w:pStyle w:val="P68B1DB1-Normal9"/>
              <w:spacing w:after="0" w:line="240" w:lineRule="auto"/>
              <w:rPr>
                <w:noProof/>
              </w:rPr>
            </w:pPr>
            <w:r>
              <w:rPr>
                <w:noProof/>
              </w:rPr>
              <w:t xml:space="preserve">12–4.1. Učinit daně příznivější pro růst a zlepšit daňovou správu a výběr daní – 16643_Kodifikace a </w:t>
            </w:r>
            <w:r>
              <w:rPr>
                <w:noProof/>
              </w:rPr>
              <w:t>zjednodušení daňových právních předpisů</w:t>
            </w:r>
          </w:p>
        </w:tc>
        <w:tc>
          <w:tcPr>
            <w:tcW w:w="966" w:type="dxa"/>
            <w:tcBorders>
              <w:top w:val="single" w:sz="4" w:space="0" w:color="auto"/>
              <w:left w:val="nil"/>
              <w:bottom w:val="single" w:sz="4" w:space="0" w:color="auto"/>
              <w:right w:val="single" w:sz="4" w:space="0" w:color="auto"/>
            </w:tcBorders>
            <w:shd w:val="clear" w:color="auto" w:fill="C6EFCE"/>
            <w:noWrap/>
          </w:tcPr>
          <w:p w14:paraId="1A9C2A8C" w14:textId="0FF7DADC" w:rsidR="00515398" w:rsidRDefault="006711E6">
            <w:pPr>
              <w:pStyle w:val="P68B1DB1-Normal9"/>
              <w:spacing w:after="0" w:line="240" w:lineRule="auto"/>
              <w:rPr>
                <w:noProof/>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741903BD" w14:textId="5CD2833B" w:rsidR="00515398" w:rsidRDefault="006711E6">
            <w:pPr>
              <w:pStyle w:val="P68B1DB1-Normal9"/>
              <w:spacing w:after="0" w:line="240" w:lineRule="auto"/>
              <w:rPr>
                <w:noProof/>
              </w:rPr>
            </w:pPr>
            <w:r>
              <w:rPr>
                <w:noProof/>
              </w:rPr>
              <w:t>Dokončení informačního systému daňových poplatníků</w:t>
            </w:r>
          </w:p>
        </w:tc>
        <w:tc>
          <w:tcPr>
            <w:tcW w:w="1984" w:type="dxa"/>
            <w:tcBorders>
              <w:top w:val="single" w:sz="4" w:space="0" w:color="auto"/>
              <w:left w:val="nil"/>
              <w:bottom w:val="single" w:sz="4" w:space="0" w:color="auto"/>
              <w:right w:val="single" w:sz="4" w:space="0" w:color="auto"/>
            </w:tcBorders>
            <w:shd w:val="clear" w:color="auto" w:fill="C6EFCE"/>
            <w:noWrap/>
          </w:tcPr>
          <w:p w14:paraId="7EB1636A" w14:textId="2A7CA7E5" w:rsidR="00515398" w:rsidRDefault="006711E6">
            <w:pPr>
              <w:pStyle w:val="P68B1DB1-Normal9"/>
              <w:spacing w:after="0" w:line="240" w:lineRule="auto"/>
              <w:rPr>
                <w:noProof/>
              </w:rPr>
            </w:pPr>
            <w:r>
              <w:rPr>
                <w:noProof/>
              </w:rPr>
              <w:t>a. Zveřejnění sekundárních právních předpisů a komplexní příručka s odkazy na systém správy obsahu a internetové stránky daňových poplatníků pro používání spe</w:t>
            </w:r>
            <w:r>
              <w:rPr>
                <w:noProof/>
              </w:rPr>
              <w:t>cializovaných internetových stránek daňových poplatníků.</w:t>
            </w:r>
          </w:p>
        </w:tc>
        <w:tc>
          <w:tcPr>
            <w:tcW w:w="866" w:type="dxa"/>
            <w:tcBorders>
              <w:top w:val="single" w:sz="4" w:space="0" w:color="auto"/>
              <w:left w:val="nil"/>
              <w:bottom w:val="single" w:sz="4" w:space="0" w:color="auto"/>
              <w:right w:val="single" w:sz="4" w:space="0" w:color="auto"/>
            </w:tcBorders>
            <w:shd w:val="clear" w:color="auto" w:fill="C6EFCE"/>
            <w:noWrap/>
          </w:tcPr>
          <w:p w14:paraId="763FE027"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B8721BF"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5A264D50"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0A70E75C" w14:textId="756BA1FE" w:rsidR="00515398" w:rsidRDefault="006711E6">
            <w:pPr>
              <w:pStyle w:val="P68B1DB1-Normal9"/>
              <w:spacing w:after="0" w:line="240" w:lineRule="auto"/>
              <w:rPr>
                <w:noProof/>
              </w:rPr>
            </w:pPr>
            <w:r>
              <w:rPr>
                <w:noProof/>
              </w:rPr>
              <w:t>ČTVRTLETÍ ČTVRT</w:t>
            </w:r>
          </w:p>
        </w:tc>
        <w:tc>
          <w:tcPr>
            <w:tcW w:w="708" w:type="dxa"/>
            <w:tcBorders>
              <w:top w:val="single" w:sz="4" w:space="0" w:color="auto"/>
              <w:left w:val="nil"/>
              <w:bottom w:val="single" w:sz="4" w:space="0" w:color="auto"/>
              <w:right w:val="single" w:sz="4" w:space="0" w:color="auto"/>
            </w:tcBorders>
            <w:shd w:val="clear" w:color="auto" w:fill="C6EFCE"/>
            <w:noWrap/>
          </w:tcPr>
          <w:p w14:paraId="28685A1D" w14:textId="696C0A38" w:rsidR="00515398" w:rsidRDefault="006711E6">
            <w:pPr>
              <w:pStyle w:val="P68B1DB1-Normal9"/>
              <w:spacing w:after="0" w:line="240" w:lineRule="auto"/>
              <w:rPr>
                <w:noProof/>
              </w:rPr>
            </w:pPr>
            <w:r>
              <w:rPr>
                <w:noProof/>
              </w:rPr>
              <w:t>2025</w:t>
            </w:r>
          </w:p>
        </w:tc>
        <w:tc>
          <w:tcPr>
            <w:tcW w:w="4830" w:type="dxa"/>
            <w:tcBorders>
              <w:top w:val="single" w:sz="4" w:space="0" w:color="auto"/>
              <w:left w:val="nil"/>
              <w:bottom w:val="single" w:sz="4" w:space="0" w:color="auto"/>
              <w:right w:val="single" w:sz="4" w:space="0" w:color="auto"/>
            </w:tcBorders>
            <w:shd w:val="clear" w:color="auto" w:fill="C6EFCE"/>
            <w:noWrap/>
          </w:tcPr>
          <w:p w14:paraId="4655CC06" w14:textId="328281D7" w:rsidR="00515398" w:rsidRDefault="006711E6">
            <w:pPr>
              <w:pStyle w:val="P68B1DB1-Normal9"/>
              <w:spacing w:after="0" w:line="240" w:lineRule="auto"/>
              <w:rPr>
                <w:noProof/>
                <w:szCs w:val="18"/>
              </w:rPr>
            </w:pPr>
            <w:r>
              <w:rPr>
                <w:noProof/>
              </w:rPr>
              <w:t xml:space="preserve">Nahrávání primárních a sekundárních daňových předpisů pro daňový řád, zákon o daních z příjmů, zákon o DPH, kolkovné, daně z nemovitostí, výběr státního dluhu (KEDE) a </w:t>
            </w:r>
            <w:r>
              <w:rPr>
                <w:noProof/>
              </w:rPr>
              <w:t>vnitrostátní celní kodex do systému správy obsahu a jeho zveřejnění na internetových stránkách určených k poskytování informací daňovým poplatníkům. Vytvoří se komplexní příručka s odkazy na systém správy obsahu a internetové stránky daňových poplatníků, a</w:t>
            </w:r>
            <w:r>
              <w:rPr>
                <w:noProof/>
              </w:rPr>
              <w:t>by daňoví poplatníci mohli používat specializované internetové stránky.</w:t>
            </w:r>
          </w:p>
        </w:tc>
      </w:tr>
      <w:tr w:rsidR="00515398" w14:paraId="7DF38A18"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7CA3B44" w14:textId="77777777" w:rsidR="00515398" w:rsidRDefault="006711E6">
            <w:pPr>
              <w:pStyle w:val="P68B1DB1-Normal9"/>
              <w:spacing w:after="0" w:line="240" w:lineRule="auto"/>
              <w:rPr>
                <w:rFonts w:eastAsia="Times New Roman" w:cs="Calibri"/>
                <w:noProof/>
                <w:szCs w:val="18"/>
              </w:rPr>
            </w:pPr>
            <w:r>
              <w:rPr>
                <w:noProof/>
              </w:rPr>
              <w:t>337</w:t>
            </w:r>
          </w:p>
        </w:tc>
        <w:tc>
          <w:tcPr>
            <w:tcW w:w="1835" w:type="dxa"/>
            <w:tcBorders>
              <w:top w:val="single" w:sz="4" w:space="0" w:color="auto"/>
              <w:left w:val="nil"/>
              <w:bottom w:val="single" w:sz="4" w:space="0" w:color="auto"/>
              <w:right w:val="single" w:sz="4" w:space="0" w:color="auto"/>
            </w:tcBorders>
            <w:shd w:val="clear" w:color="auto" w:fill="C6EFCE"/>
            <w:noWrap/>
          </w:tcPr>
          <w:p w14:paraId="4450653D" w14:textId="77777777" w:rsidR="00515398" w:rsidRDefault="006711E6">
            <w:pPr>
              <w:pStyle w:val="P68B1DB1-Normal9"/>
              <w:spacing w:after="0" w:line="240" w:lineRule="auto"/>
              <w:rPr>
                <w:rFonts w:eastAsia="Times New Roman" w:cs="Calibri"/>
                <w:noProof/>
                <w:szCs w:val="18"/>
              </w:rPr>
            </w:pPr>
            <w:r>
              <w:rPr>
                <w:noProof/>
              </w:rPr>
              <w:t>12–4.1. Učinit daně příznivější pro růst a zlepšit daňovou správu a výběr daní – 16985_Změny řeckého rámce daňové politiky</w:t>
            </w:r>
          </w:p>
        </w:tc>
        <w:tc>
          <w:tcPr>
            <w:tcW w:w="966" w:type="dxa"/>
            <w:tcBorders>
              <w:top w:val="single" w:sz="4" w:space="0" w:color="auto"/>
              <w:left w:val="nil"/>
              <w:bottom w:val="single" w:sz="4" w:space="0" w:color="auto"/>
              <w:right w:val="single" w:sz="4" w:space="0" w:color="auto"/>
            </w:tcBorders>
            <w:shd w:val="clear" w:color="auto" w:fill="C6EFCE"/>
            <w:noWrap/>
          </w:tcPr>
          <w:p w14:paraId="5B489E37"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0BEA81A5" w14:textId="77777777" w:rsidR="00515398" w:rsidRDefault="006711E6">
            <w:pPr>
              <w:pStyle w:val="P68B1DB1-Normal9"/>
              <w:spacing w:after="0" w:line="240" w:lineRule="auto"/>
              <w:rPr>
                <w:rFonts w:eastAsia="Times New Roman" w:cs="Calibri"/>
                <w:noProof/>
                <w:szCs w:val="18"/>
              </w:rPr>
            </w:pPr>
            <w:r>
              <w:rPr>
                <w:noProof/>
              </w:rPr>
              <w:t xml:space="preserve">Bojovat proti daňovým únikům a podporovat </w:t>
            </w:r>
            <w:r>
              <w:rPr>
                <w:noProof/>
              </w:rPr>
              <w:t>elektronické platby.</w:t>
            </w:r>
          </w:p>
        </w:tc>
        <w:tc>
          <w:tcPr>
            <w:tcW w:w="1984" w:type="dxa"/>
            <w:tcBorders>
              <w:top w:val="single" w:sz="4" w:space="0" w:color="auto"/>
              <w:left w:val="nil"/>
              <w:bottom w:val="single" w:sz="4" w:space="0" w:color="auto"/>
              <w:right w:val="single" w:sz="4" w:space="0" w:color="auto"/>
            </w:tcBorders>
            <w:shd w:val="clear" w:color="auto" w:fill="C6EFCE"/>
            <w:noWrap/>
          </w:tcPr>
          <w:p w14:paraId="3E7C4C5E" w14:textId="77777777" w:rsidR="00515398" w:rsidRDefault="006711E6">
            <w:pPr>
              <w:pStyle w:val="P68B1DB1-Normal9"/>
              <w:spacing w:after="0" w:line="240" w:lineRule="auto"/>
              <w:rPr>
                <w:rFonts w:eastAsia="Times New Roman" w:cs="Calibri"/>
                <w:noProof/>
                <w:szCs w:val="18"/>
              </w:rPr>
            </w:pPr>
            <w:r>
              <w:rPr>
                <w:noProof/>
              </w:rPr>
              <w:t xml:space="preserve">Revidovaný právní rámec přijatý s cílem podpořit elektronické platby, posílit a stanovit nové požadavky na podávání zpráv myDATA a umožnit využívání myDATA pro účely DPH. </w:t>
            </w:r>
          </w:p>
          <w:p w14:paraId="418A792E" w14:textId="77777777" w:rsidR="00515398" w:rsidRDefault="006711E6">
            <w:pPr>
              <w:pStyle w:val="P68B1DB1-Normal9"/>
              <w:spacing w:after="0" w:line="240" w:lineRule="auto"/>
              <w:rPr>
                <w:rFonts w:eastAsia="Times New Roman" w:cs="Calibri"/>
                <w:noProof/>
                <w:szCs w:val="18"/>
              </w:rPr>
            </w:pPr>
            <w:r>
              <w:rPr>
                <w:noProof/>
              </w:rPr>
              <w:t xml:space="preserve">Kopie zprávy o možnostech reformy zdanění osob samostatně </w:t>
            </w:r>
            <w:r>
              <w:rPr>
                <w:noProof/>
              </w:rPr>
              <w:t>výdělečně činných.</w:t>
            </w:r>
          </w:p>
        </w:tc>
        <w:tc>
          <w:tcPr>
            <w:tcW w:w="866" w:type="dxa"/>
            <w:tcBorders>
              <w:top w:val="single" w:sz="4" w:space="0" w:color="auto"/>
              <w:left w:val="nil"/>
              <w:bottom w:val="single" w:sz="4" w:space="0" w:color="auto"/>
              <w:right w:val="single" w:sz="4" w:space="0" w:color="auto"/>
            </w:tcBorders>
            <w:shd w:val="clear" w:color="auto" w:fill="C6EFCE"/>
            <w:noWrap/>
          </w:tcPr>
          <w:p w14:paraId="7857BB0A"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8AF6CF6"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5CF3FCCC"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1735F96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8" w:type="dxa"/>
            <w:tcBorders>
              <w:top w:val="single" w:sz="4" w:space="0" w:color="auto"/>
              <w:left w:val="nil"/>
              <w:bottom w:val="single" w:sz="4" w:space="0" w:color="auto"/>
              <w:right w:val="single" w:sz="4" w:space="0" w:color="auto"/>
            </w:tcBorders>
            <w:shd w:val="clear" w:color="auto" w:fill="C6EFCE"/>
            <w:noWrap/>
          </w:tcPr>
          <w:p w14:paraId="0CAC947F" w14:textId="77777777" w:rsidR="00515398" w:rsidRDefault="006711E6">
            <w:pPr>
              <w:pStyle w:val="P68B1DB1-Normal9"/>
              <w:spacing w:after="0" w:line="240" w:lineRule="auto"/>
              <w:rPr>
                <w:rFonts w:eastAsia="Times New Roman" w:cs="Calibri"/>
                <w:noProof/>
                <w:szCs w:val="18"/>
              </w:rPr>
            </w:pPr>
            <w:r>
              <w:rPr>
                <w:noProof/>
              </w:rPr>
              <w:t>2023</w:t>
            </w:r>
          </w:p>
        </w:tc>
        <w:tc>
          <w:tcPr>
            <w:tcW w:w="4830" w:type="dxa"/>
            <w:tcBorders>
              <w:top w:val="single" w:sz="4" w:space="0" w:color="auto"/>
              <w:left w:val="nil"/>
              <w:bottom w:val="single" w:sz="4" w:space="0" w:color="auto"/>
              <w:right w:val="single" w:sz="4" w:space="0" w:color="auto"/>
            </w:tcBorders>
            <w:shd w:val="clear" w:color="auto" w:fill="C6EFCE"/>
            <w:noWrap/>
          </w:tcPr>
          <w:p w14:paraId="53C97D97" w14:textId="51341A7C" w:rsidR="00515398" w:rsidRDefault="006711E6">
            <w:pPr>
              <w:pStyle w:val="P68B1DB1-Normal10"/>
              <w:spacing w:after="0" w:line="240" w:lineRule="auto"/>
              <w:rPr>
                <w:rFonts w:eastAsia="Times New Roman" w:cs="Calibri"/>
                <w:noProof/>
              </w:rPr>
            </w:pPr>
            <w:r>
              <w:rPr>
                <w:noProof/>
              </w:rPr>
              <w:t xml:space="preserve">Vstup v platnost primárních a sekundárních právních předpisů </w:t>
            </w:r>
          </w:p>
          <w:p w14:paraId="73E3DF32" w14:textId="77777777" w:rsidR="00515398" w:rsidRDefault="006711E6">
            <w:pPr>
              <w:pStyle w:val="P68B1DB1-Normal9"/>
              <w:spacing w:after="0" w:line="240" w:lineRule="auto"/>
              <w:rPr>
                <w:noProof/>
              </w:rPr>
            </w:pPr>
            <w:r>
              <w:rPr>
                <w:noProof/>
              </w:rPr>
              <w:t xml:space="preserve">rozšířit povinné přijímání přímých elektronických plateb na maloobchodním trhu; </w:t>
            </w:r>
          </w:p>
          <w:p w14:paraId="07F67D19" w14:textId="4FAA63B2" w:rsidR="00515398" w:rsidRDefault="006711E6">
            <w:pPr>
              <w:pStyle w:val="P68B1DB1-Normal10"/>
              <w:spacing w:after="0" w:line="240" w:lineRule="auto"/>
              <w:rPr>
                <w:noProof/>
              </w:rPr>
            </w:pPr>
            <w:r>
              <w:rPr>
                <w:noProof/>
              </w:rPr>
              <w:t>II) sladit požadavky na sdílení informací pro poskytovatele platebních</w:t>
            </w:r>
            <w:r>
              <w:rPr>
                <w:noProof/>
              </w:rPr>
              <w:t xml:space="preserve"> služeb s definicemi řecké centrální banky; </w:t>
            </w:r>
          </w:p>
          <w:p w14:paraId="1629EC58" w14:textId="77777777" w:rsidR="00515398" w:rsidRDefault="006711E6">
            <w:pPr>
              <w:pStyle w:val="P68B1DB1-Normal9"/>
              <w:spacing w:after="0" w:line="240" w:lineRule="auto"/>
              <w:rPr>
                <w:noProof/>
              </w:rPr>
            </w:pPr>
            <w:r>
              <w:rPr>
                <w:noProof/>
              </w:rPr>
              <w:t>III) stanovit nové oznamovací povinnosti podle myDATA pro podniky (včetně osob samostatně výdělečně činných), které se budou vztahovat na přiznání k DPH; a pokud</w:t>
            </w:r>
          </w:p>
          <w:p w14:paraId="615CB1A6" w14:textId="77777777" w:rsidR="00515398" w:rsidRDefault="006711E6">
            <w:pPr>
              <w:pStyle w:val="P68B1DB1-Normal9"/>
              <w:spacing w:after="0" w:line="240" w:lineRule="auto"/>
              <w:rPr>
                <w:noProof/>
              </w:rPr>
            </w:pPr>
            <w:r>
              <w:rPr>
                <w:noProof/>
              </w:rPr>
              <w:t>IV) Dokončení zprávy o možnostech reformy zdanění</w:t>
            </w:r>
            <w:r>
              <w:rPr>
                <w:noProof/>
              </w:rPr>
              <w:t xml:space="preserve"> osob samostatně výdělečně činných.</w:t>
            </w:r>
          </w:p>
          <w:p w14:paraId="3C182AA9" w14:textId="77777777" w:rsidR="00515398" w:rsidRDefault="00515398">
            <w:pPr>
              <w:spacing w:after="0" w:line="240" w:lineRule="auto"/>
              <w:rPr>
                <w:rFonts w:eastAsia="Times New Roman" w:cs="Calibri"/>
                <w:noProof/>
                <w:color w:val="006100"/>
                <w:sz w:val="18"/>
                <w:szCs w:val="18"/>
              </w:rPr>
            </w:pPr>
          </w:p>
          <w:p w14:paraId="06296AD1" w14:textId="77777777" w:rsidR="00515398" w:rsidRDefault="00515398">
            <w:pPr>
              <w:spacing w:after="0" w:line="240" w:lineRule="auto"/>
              <w:rPr>
                <w:rFonts w:eastAsia="Times New Roman" w:cs="Calibri"/>
                <w:noProof/>
                <w:color w:val="006100"/>
                <w:sz w:val="18"/>
                <w:szCs w:val="18"/>
              </w:rPr>
            </w:pPr>
          </w:p>
        </w:tc>
      </w:tr>
      <w:tr w:rsidR="00515398" w14:paraId="4415C7F1"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305C770" w14:textId="77777777" w:rsidR="00515398" w:rsidRDefault="006711E6">
            <w:pPr>
              <w:pStyle w:val="P68B1DB1-Normal9"/>
              <w:spacing w:after="0" w:line="240" w:lineRule="auto"/>
              <w:rPr>
                <w:rFonts w:eastAsia="Times New Roman" w:cs="Calibri"/>
                <w:noProof/>
                <w:szCs w:val="18"/>
              </w:rPr>
            </w:pPr>
            <w:r>
              <w:rPr>
                <w:noProof/>
              </w:rPr>
              <w:t>338</w:t>
            </w:r>
          </w:p>
        </w:tc>
        <w:tc>
          <w:tcPr>
            <w:tcW w:w="1835" w:type="dxa"/>
            <w:tcBorders>
              <w:top w:val="single" w:sz="4" w:space="0" w:color="auto"/>
              <w:left w:val="nil"/>
              <w:bottom w:val="single" w:sz="4" w:space="0" w:color="auto"/>
              <w:right w:val="single" w:sz="4" w:space="0" w:color="auto"/>
            </w:tcBorders>
            <w:shd w:val="clear" w:color="auto" w:fill="C6EFCE"/>
            <w:noWrap/>
          </w:tcPr>
          <w:p w14:paraId="0FC0CBF6" w14:textId="77777777" w:rsidR="00515398" w:rsidRDefault="006711E6">
            <w:pPr>
              <w:pStyle w:val="P68B1DB1-Normal9"/>
              <w:spacing w:after="0" w:line="240" w:lineRule="auto"/>
              <w:rPr>
                <w:rFonts w:eastAsia="Times New Roman" w:cs="Calibri"/>
                <w:noProof/>
                <w:szCs w:val="18"/>
              </w:rPr>
            </w:pPr>
            <w:r>
              <w:rPr>
                <w:noProof/>
              </w:rPr>
              <w:t>12–4.1. Učinit daně příznivější pro růst a zlepšit daňovou správu a výběr daní – 16985_Změny řeckého rámce daňové politiky</w:t>
            </w:r>
          </w:p>
        </w:tc>
        <w:tc>
          <w:tcPr>
            <w:tcW w:w="966" w:type="dxa"/>
            <w:tcBorders>
              <w:top w:val="single" w:sz="4" w:space="0" w:color="auto"/>
              <w:left w:val="nil"/>
              <w:bottom w:val="single" w:sz="4" w:space="0" w:color="auto"/>
              <w:right w:val="single" w:sz="4" w:space="0" w:color="auto"/>
            </w:tcBorders>
            <w:shd w:val="clear" w:color="auto" w:fill="C6EFCE"/>
            <w:noWrap/>
          </w:tcPr>
          <w:p w14:paraId="725D5FA7"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032B7EDC" w14:textId="77777777" w:rsidR="00515398" w:rsidRDefault="006711E6">
            <w:pPr>
              <w:pStyle w:val="P68B1DB1-Normal9"/>
              <w:spacing w:after="0" w:line="240" w:lineRule="auto"/>
              <w:rPr>
                <w:rFonts w:eastAsia="Times New Roman" w:cs="Calibri"/>
                <w:noProof/>
                <w:szCs w:val="18"/>
              </w:rPr>
            </w:pPr>
            <w:r>
              <w:rPr>
                <w:noProof/>
              </w:rPr>
              <w:t>Reformovat zdanění osob samostatně výdělečně činných a kolkovné.</w:t>
            </w:r>
          </w:p>
        </w:tc>
        <w:tc>
          <w:tcPr>
            <w:tcW w:w="1984" w:type="dxa"/>
            <w:tcBorders>
              <w:top w:val="single" w:sz="4" w:space="0" w:color="auto"/>
              <w:left w:val="nil"/>
              <w:bottom w:val="single" w:sz="4" w:space="0" w:color="auto"/>
              <w:right w:val="single" w:sz="4" w:space="0" w:color="auto"/>
            </w:tcBorders>
            <w:shd w:val="clear" w:color="auto" w:fill="C6EFCE"/>
            <w:noWrap/>
          </w:tcPr>
          <w:p w14:paraId="36AE74B2" w14:textId="77777777" w:rsidR="00515398" w:rsidRDefault="006711E6">
            <w:pPr>
              <w:pStyle w:val="P68B1DB1-Normal9"/>
              <w:spacing w:after="0" w:line="240" w:lineRule="auto"/>
              <w:rPr>
                <w:rFonts w:eastAsia="Times New Roman" w:cs="Calibri"/>
                <w:noProof/>
                <w:szCs w:val="18"/>
              </w:rPr>
            </w:pPr>
            <w:r>
              <w:rPr>
                <w:noProof/>
              </w:rPr>
              <w:t xml:space="preserve">Byl přijat </w:t>
            </w:r>
            <w:r>
              <w:rPr>
                <w:noProof/>
              </w:rPr>
              <w:t>revidovaný právní rámec týkající se zdanění osob samostatně výdělečně činných a nahrazení kolkovného digitální daní.</w:t>
            </w:r>
          </w:p>
        </w:tc>
        <w:tc>
          <w:tcPr>
            <w:tcW w:w="866" w:type="dxa"/>
            <w:tcBorders>
              <w:top w:val="single" w:sz="4" w:space="0" w:color="auto"/>
              <w:left w:val="nil"/>
              <w:bottom w:val="single" w:sz="4" w:space="0" w:color="auto"/>
              <w:right w:val="single" w:sz="4" w:space="0" w:color="auto"/>
            </w:tcBorders>
            <w:shd w:val="clear" w:color="auto" w:fill="C6EFCE"/>
            <w:noWrap/>
          </w:tcPr>
          <w:p w14:paraId="5DBFA209"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BB82E28"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03CF63D1"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4634EDA4" w14:textId="77777777"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single" w:sz="4" w:space="0" w:color="auto"/>
              <w:left w:val="nil"/>
              <w:bottom w:val="single" w:sz="4" w:space="0" w:color="auto"/>
              <w:right w:val="single" w:sz="4" w:space="0" w:color="auto"/>
            </w:tcBorders>
            <w:shd w:val="clear" w:color="auto" w:fill="C6EFCE"/>
            <w:noWrap/>
          </w:tcPr>
          <w:p w14:paraId="778D8690" w14:textId="77777777" w:rsidR="00515398" w:rsidRDefault="006711E6">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0B70484A" w14:textId="77777777" w:rsidR="00515398" w:rsidRDefault="006711E6">
            <w:pPr>
              <w:pStyle w:val="P68B1DB1-Normal9"/>
              <w:spacing w:after="0" w:line="240" w:lineRule="auto"/>
              <w:rPr>
                <w:rFonts w:eastAsia="Times New Roman" w:cs="Calibri"/>
                <w:noProof/>
                <w:szCs w:val="18"/>
              </w:rPr>
            </w:pPr>
            <w:r>
              <w:rPr>
                <w:noProof/>
              </w:rPr>
              <w:t>Vstup v platnost primárních a sekundárních právních předpisů s cílem reformovat zdanění osob samostatně výdělečně činných</w:t>
            </w:r>
            <w:r>
              <w:rPr>
                <w:noProof/>
              </w:rPr>
              <w:t xml:space="preserve"> a umožnit postupné snižování daně z režijních nákladů pro samostatně výdělečně činné osoby (τИλος επιτηδεύματος). To zahrnuje stanovení nových povinných požadavků na podávání zpráv o tom, jak jsou výdaje a příjmy vykazovány prostřednictvím systému myDATA.</w:t>
            </w:r>
          </w:p>
          <w:p w14:paraId="6D91E9AA" w14:textId="77777777" w:rsidR="00515398" w:rsidRDefault="00515398">
            <w:pPr>
              <w:spacing w:after="0" w:line="240" w:lineRule="auto"/>
              <w:rPr>
                <w:rFonts w:eastAsia="Times New Roman" w:cs="Calibri"/>
                <w:noProof/>
                <w:color w:val="006100"/>
                <w:sz w:val="18"/>
                <w:szCs w:val="18"/>
              </w:rPr>
            </w:pPr>
          </w:p>
          <w:p w14:paraId="11BE1419" w14:textId="77777777" w:rsidR="00515398" w:rsidRDefault="006711E6">
            <w:pPr>
              <w:pStyle w:val="P68B1DB1-Normal9"/>
              <w:spacing w:after="0" w:line="240" w:lineRule="auto"/>
              <w:rPr>
                <w:rFonts w:eastAsia="Times New Roman" w:cs="Calibri"/>
                <w:noProof/>
                <w:szCs w:val="18"/>
              </w:rPr>
            </w:pPr>
            <w:r>
              <w:rPr>
                <w:noProof/>
              </w:rPr>
              <w:t>Vstup v platnost primárních a sekundárních právních předpisů s cílem nahradit stávající kolkovné novou digitální daní.</w:t>
            </w:r>
          </w:p>
        </w:tc>
      </w:tr>
      <w:tr w:rsidR="00515398" w14:paraId="39897E1F"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2A43F9F" w14:textId="2287EAB6" w:rsidR="00515398" w:rsidRDefault="006711E6">
            <w:pPr>
              <w:pStyle w:val="P68B1DB1-Normal10"/>
              <w:spacing w:after="0" w:line="240" w:lineRule="auto"/>
              <w:rPr>
                <w:rFonts w:eastAsia="Times New Roman" w:cs="Calibri"/>
                <w:noProof/>
              </w:rPr>
            </w:pPr>
            <w:r>
              <w:rPr>
                <w:noProof/>
              </w:rPr>
              <w:t>339</w:t>
            </w:r>
          </w:p>
        </w:tc>
        <w:tc>
          <w:tcPr>
            <w:tcW w:w="1835" w:type="dxa"/>
            <w:tcBorders>
              <w:top w:val="single" w:sz="4" w:space="0" w:color="auto"/>
              <w:left w:val="nil"/>
              <w:bottom w:val="single" w:sz="4" w:space="0" w:color="auto"/>
              <w:right w:val="single" w:sz="4" w:space="0" w:color="auto"/>
            </w:tcBorders>
            <w:shd w:val="clear" w:color="auto" w:fill="C6EFCE"/>
            <w:noWrap/>
          </w:tcPr>
          <w:p w14:paraId="42296CC9" w14:textId="77777777" w:rsidR="00515398" w:rsidRDefault="006711E6">
            <w:pPr>
              <w:pStyle w:val="P68B1DB1-Normal9"/>
              <w:spacing w:after="0" w:line="240" w:lineRule="auto"/>
              <w:rPr>
                <w:rFonts w:eastAsia="Times New Roman" w:cs="Calibri"/>
                <w:noProof/>
                <w:szCs w:val="18"/>
              </w:rPr>
            </w:pPr>
            <w:r>
              <w:rPr>
                <w:noProof/>
              </w:rPr>
              <w:t>12–4.1. Učinit daně příznivější pro růst a zlepšit daňovou správu a výběr daní – 16985_Změny řeckého rámce daňové politiky</w:t>
            </w:r>
          </w:p>
        </w:tc>
        <w:tc>
          <w:tcPr>
            <w:tcW w:w="966" w:type="dxa"/>
            <w:tcBorders>
              <w:top w:val="single" w:sz="4" w:space="0" w:color="auto"/>
              <w:left w:val="nil"/>
              <w:bottom w:val="single" w:sz="4" w:space="0" w:color="auto"/>
              <w:right w:val="single" w:sz="4" w:space="0" w:color="auto"/>
            </w:tcBorders>
            <w:shd w:val="clear" w:color="auto" w:fill="C6EFCE"/>
            <w:noWrap/>
          </w:tcPr>
          <w:p w14:paraId="4A3F336F"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75A5100C" w14:textId="77777777" w:rsidR="00515398" w:rsidRDefault="006711E6">
            <w:pPr>
              <w:pStyle w:val="P68B1DB1-Normal9"/>
              <w:spacing w:after="0" w:line="240" w:lineRule="auto"/>
              <w:rPr>
                <w:rFonts w:eastAsia="Times New Roman" w:cs="Calibri"/>
                <w:noProof/>
                <w:szCs w:val="18"/>
              </w:rPr>
            </w:pPr>
            <w:r>
              <w:rPr>
                <w:noProof/>
              </w:rPr>
              <w:t>Posílit provozní autonomii Nezávislého úřadu pro veřejné příjmy (IAPR)</w:t>
            </w:r>
          </w:p>
        </w:tc>
        <w:tc>
          <w:tcPr>
            <w:tcW w:w="1984" w:type="dxa"/>
            <w:tcBorders>
              <w:top w:val="single" w:sz="4" w:space="0" w:color="auto"/>
              <w:left w:val="nil"/>
              <w:bottom w:val="single" w:sz="4" w:space="0" w:color="auto"/>
              <w:right w:val="single" w:sz="4" w:space="0" w:color="auto"/>
            </w:tcBorders>
            <w:shd w:val="clear" w:color="auto" w:fill="C6EFCE"/>
            <w:noWrap/>
          </w:tcPr>
          <w:p w14:paraId="58659DAF" w14:textId="77777777" w:rsidR="00515398" w:rsidRDefault="006711E6">
            <w:pPr>
              <w:pStyle w:val="P68B1DB1-Normal9"/>
              <w:spacing w:after="0" w:line="240" w:lineRule="auto"/>
              <w:rPr>
                <w:rFonts w:eastAsia="Times New Roman" w:cs="Calibri"/>
                <w:noProof/>
                <w:szCs w:val="18"/>
              </w:rPr>
            </w:pPr>
            <w:r>
              <w:rPr>
                <w:noProof/>
              </w:rPr>
              <w:t>Revidovaný právní rámec s cílem vyjasnit pravomoci IAPR a ministerstva pro digitální správu.</w:t>
            </w:r>
          </w:p>
          <w:p w14:paraId="4D5F3032" w14:textId="77777777" w:rsidR="00515398" w:rsidRDefault="00515398">
            <w:pPr>
              <w:spacing w:after="0" w:line="240" w:lineRule="auto"/>
              <w:rPr>
                <w:rFonts w:eastAsia="Times New Roman" w:cs="Calibri"/>
                <w:noProof/>
                <w:color w:val="006100"/>
                <w:sz w:val="18"/>
                <w:szCs w:val="18"/>
              </w:rPr>
            </w:pPr>
          </w:p>
          <w:p w14:paraId="57C8BE09" w14:textId="77777777" w:rsidR="00515398" w:rsidRDefault="006711E6">
            <w:pPr>
              <w:pStyle w:val="P68B1DB1-Normal9"/>
              <w:spacing w:after="0" w:line="240" w:lineRule="auto"/>
              <w:rPr>
                <w:rFonts w:eastAsia="Times New Roman" w:cs="Calibri"/>
                <w:noProof/>
                <w:szCs w:val="18"/>
              </w:rPr>
            </w:pPr>
            <w:r>
              <w:rPr>
                <w:noProof/>
              </w:rPr>
              <w:t>Rozhodnutí IAPR, kterým se stanoví nové klíčové ukazatele výkonnosti pro IAPR.</w:t>
            </w:r>
          </w:p>
          <w:p w14:paraId="4B2F513C" w14:textId="77777777" w:rsidR="00515398" w:rsidRDefault="00515398">
            <w:pPr>
              <w:spacing w:after="0" w:line="240" w:lineRule="auto"/>
              <w:rPr>
                <w:rFonts w:eastAsia="Times New Roman" w:cs="Calibri"/>
                <w:noProof/>
                <w:color w:val="006100"/>
                <w:sz w:val="18"/>
                <w:szCs w:val="18"/>
              </w:rPr>
            </w:pPr>
          </w:p>
          <w:p w14:paraId="714C4F33" w14:textId="11A0ACA9" w:rsidR="00515398" w:rsidRDefault="006711E6">
            <w:pPr>
              <w:pStyle w:val="P68B1DB1-Normal10"/>
              <w:spacing w:after="0" w:line="240" w:lineRule="auto"/>
              <w:rPr>
                <w:noProof/>
              </w:rPr>
            </w:pPr>
            <w:r>
              <w:rPr>
                <w:noProof/>
              </w:rPr>
              <w:t>Podpis doho</w:t>
            </w:r>
            <w:r>
              <w:rPr>
                <w:noProof/>
              </w:rPr>
              <w:t xml:space="preserve">dy o úrovni služeb, včetně povinnosti vypracovat výroční zprávu o provádění počínaje následujícím rokem. </w:t>
            </w:r>
          </w:p>
        </w:tc>
        <w:tc>
          <w:tcPr>
            <w:tcW w:w="866" w:type="dxa"/>
            <w:tcBorders>
              <w:top w:val="single" w:sz="4" w:space="0" w:color="auto"/>
              <w:left w:val="nil"/>
              <w:bottom w:val="single" w:sz="4" w:space="0" w:color="auto"/>
              <w:right w:val="single" w:sz="4" w:space="0" w:color="auto"/>
            </w:tcBorders>
            <w:shd w:val="clear" w:color="auto" w:fill="C6EFCE"/>
            <w:noWrap/>
          </w:tcPr>
          <w:p w14:paraId="178740A8"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AC81A83"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29ADF73F"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11F2F5B2" w14:textId="77777777"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single" w:sz="4" w:space="0" w:color="auto"/>
              <w:left w:val="nil"/>
              <w:bottom w:val="single" w:sz="4" w:space="0" w:color="auto"/>
              <w:right w:val="single" w:sz="4" w:space="0" w:color="auto"/>
            </w:tcBorders>
            <w:shd w:val="clear" w:color="auto" w:fill="C6EFCE"/>
            <w:noWrap/>
          </w:tcPr>
          <w:p w14:paraId="30C85DEB" w14:textId="77777777" w:rsidR="00515398" w:rsidRDefault="006711E6">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11C7D950" w14:textId="68E860F4" w:rsidR="00515398" w:rsidRDefault="006711E6">
            <w:pPr>
              <w:pStyle w:val="P68B1DB1-Normal10"/>
              <w:spacing w:after="0" w:line="240" w:lineRule="auto"/>
              <w:rPr>
                <w:noProof/>
              </w:rPr>
            </w:pPr>
            <w:r>
              <w:rPr>
                <w:noProof/>
              </w:rPr>
              <w:t>Vstup v platnost zmocňovacích právních předpisů a podpis komplexní dohody o úrovni služeb, která potvrzuje odpovědnost a rozdělení z</w:t>
            </w:r>
            <w:r>
              <w:rPr>
                <w:noProof/>
              </w:rPr>
              <w:t>drojů mezi IAPR a ministerstvem pro digitální správu, pokud jde o licence na výpočetní a paměťové software, internetové služby a správu databází. Dohoda o úrovni služeb obsahuje ustanovení, aby oba orgány společně vypracovaly výroční zprávu o provádění poč</w:t>
            </w:r>
            <w:r>
              <w:rPr>
                <w:noProof/>
              </w:rPr>
              <w:t>ínaje následujícím rokem.</w:t>
            </w:r>
          </w:p>
          <w:p w14:paraId="3AE89CD7" w14:textId="77777777" w:rsidR="00515398" w:rsidRDefault="00515398">
            <w:pPr>
              <w:spacing w:after="0" w:line="240" w:lineRule="auto"/>
              <w:rPr>
                <w:rFonts w:eastAsia="Times New Roman" w:cs="Calibri"/>
                <w:noProof/>
                <w:color w:val="006100"/>
                <w:sz w:val="18"/>
                <w:szCs w:val="18"/>
              </w:rPr>
            </w:pPr>
          </w:p>
          <w:p w14:paraId="2F7F165B" w14:textId="5C2035BF" w:rsidR="00515398" w:rsidRDefault="006711E6">
            <w:pPr>
              <w:pStyle w:val="P68B1DB1-Normal10"/>
              <w:spacing w:after="0" w:line="240" w:lineRule="auto"/>
              <w:rPr>
                <w:rFonts w:eastAsia="Times New Roman" w:cs="Calibri"/>
                <w:noProof/>
              </w:rPr>
            </w:pPr>
            <w:r>
              <w:rPr>
                <w:noProof/>
              </w:rPr>
              <w:t>Rozhodnutí IAPR, kterým se stanoví nové klíčové ukazatele výkonnosti, včetně ukazatelů účinnosti auditu, pro IAPR; a ii) zavést každoroční průzkumy spokojenosti zákazníků.</w:t>
            </w:r>
          </w:p>
        </w:tc>
      </w:tr>
      <w:tr w:rsidR="00515398" w14:paraId="0DA0987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AB835AA" w14:textId="77777777" w:rsidR="00515398" w:rsidRDefault="006711E6">
            <w:pPr>
              <w:pStyle w:val="P68B1DB1-Normal9"/>
              <w:spacing w:after="0" w:line="240" w:lineRule="auto"/>
              <w:rPr>
                <w:rFonts w:eastAsia="Times New Roman" w:cs="Calibri"/>
                <w:noProof/>
                <w:szCs w:val="18"/>
              </w:rPr>
            </w:pPr>
            <w:r>
              <w:rPr>
                <w:noProof/>
              </w:rPr>
              <w:t>340</w:t>
            </w:r>
          </w:p>
        </w:tc>
        <w:tc>
          <w:tcPr>
            <w:tcW w:w="1835" w:type="dxa"/>
            <w:tcBorders>
              <w:top w:val="single" w:sz="4" w:space="0" w:color="auto"/>
              <w:left w:val="nil"/>
              <w:bottom w:val="single" w:sz="4" w:space="0" w:color="auto"/>
              <w:right w:val="single" w:sz="4" w:space="0" w:color="auto"/>
            </w:tcBorders>
            <w:shd w:val="clear" w:color="auto" w:fill="C6EFCE"/>
            <w:noWrap/>
          </w:tcPr>
          <w:p w14:paraId="37EFA2C2" w14:textId="77777777" w:rsidR="00515398" w:rsidRDefault="006711E6">
            <w:pPr>
              <w:pStyle w:val="P68B1DB1-Normal9"/>
              <w:spacing w:after="0" w:line="240" w:lineRule="auto"/>
              <w:rPr>
                <w:rFonts w:eastAsia="Times New Roman" w:cs="Calibri"/>
                <w:noProof/>
                <w:szCs w:val="18"/>
              </w:rPr>
            </w:pPr>
            <w:r>
              <w:rPr>
                <w:noProof/>
              </w:rPr>
              <w:t xml:space="preserve">12–4.1. Učinit daně příznivější pro růst a zlepšit </w:t>
            </w:r>
            <w:r>
              <w:rPr>
                <w:noProof/>
              </w:rPr>
              <w:t>daňovou správu a výběr daní – 16985_Změny řeckého rámce daňové politiky</w:t>
            </w:r>
          </w:p>
        </w:tc>
        <w:tc>
          <w:tcPr>
            <w:tcW w:w="966" w:type="dxa"/>
            <w:tcBorders>
              <w:top w:val="single" w:sz="4" w:space="0" w:color="auto"/>
              <w:left w:val="nil"/>
              <w:bottom w:val="single" w:sz="4" w:space="0" w:color="auto"/>
              <w:right w:val="single" w:sz="4" w:space="0" w:color="auto"/>
            </w:tcBorders>
            <w:shd w:val="clear" w:color="auto" w:fill="C6EFCE"/>
            <w:noWrap/>
          </w:tcPr>
          <w:p w14:paraId="7F43CACF" w14:textId="77777777" w:rsidR="00515398" w:rsidRDefault="006711E6">
            <w:pPr>
              <w:pStyle w:val="P68B1DB1-Normal9"/>
              <w:spacing w:after="0" w:line="240" w:lineRule="auto"/>
              <w:rPr>
                <w:rFonts w:eastAsia="Times New Roman" w:cs="Calibri"/>
                <w:noProof/>
                <w:szCs w:val="18"/>
              </w:rPr>
            </w:pPr>
            <w:r>
              <w:rPr>
                <w:noProof/>
              </w:rPr>
              <w:t>Milník</w:t>
            </w:r>
          </w:p>
        </w:tc>
        <w:tc>
          <w:tcPr>
            <w:tcW w:w="1176" w:type="dxa"/>
            <w:tcBorders>
              <w:top w:val="single" w:sz="4" w:space="0" w:color="auto"/>
              <w:left w:val="nil"/>
              <w:bottom w:val="single" w:sz="4" w:space="0" w:color="auto"/>
              <w:right w:val="single" w:sz="4" w:space="0" w:color="auto"/>
            </w:tcBorders>
            <w:shd w:val="clear" w:color="auto" w:fill="C6EFCE"/>
            <w:noWrap/>
          </w:tcPr>
          <w:p w14:paraId="66C85B56" w14:textId="77777777" w:rsidR="00515398" w:rsidRDefault="006711E6">
            <w:pPr>
              <w:pStyle w:val="P68B1DB1-Normal9"/>
              <w:spacing w:after="0" w:line="240" w:lineRule="auto"/>
              <w:rPr>
                <w:rFonts w:eastAsia="Times New Roman" w:cs="Calibri"/>
                <w:noProof/>
                <w:szCs w:val="18"/>
              </w:rPr>
            </w:pPr>
            <w:r>
              <w:rPr>
                <w:noProof/>
              </w:rPr>
              <w:t xml:space="preserve">Bojovat proti daňovým únikům využíváním myDATA pro účely daně z příjmů. </w:t>
            </w:r>
          </w:p>
        </w:tc>
        <w:tc>
          <w:tcPr>
            <w:tcW w:w="1984" w:type="dxa"/>
            <w:tcBorders>
              <w:top w:val="single" w:sz="4" w:space="0" w:color="auto"/>
              <w:left w:val="nil"/>
              <w:bottom w:val="single" w:sz="4" w:space="0" w:color="auto"/>
              <w:right w:val="single" w:sz="4" w:space="0" w:color="auto"/>
            </w:tcBorders>
            <w:shd w:val="clear" w:color="auto" w:fill="C6EFCE"/>
            <w:noWrap/>
          </w:tcPr>
          <w:p w14:paraId="2F64E110" w14:textId="5ABAC9BC" w:rsidR="00515398" w:rsidRDefault="006711E6">
            <w:pPr>
              <w:pStyle w:val="P68B1DB1-Normal9"/>
              <w:spacing w:after="0" w:line="240" w:lineRule="auto"/>
              <w:rPr>
                <w:rFonts w:eastAsia="Times New Roman" w:cs="Calibri"/>
                <w:noProof/>
                <w:szCs w:val="18"/>
              </w:rPr>
            </w:pPr>
            <w:r>
              <w:rPr>
                <w:noProof/>
              </w:rPr>
              <w:t>Byl přijat revidovaný právní rámec s cílem stanovit nové požadavky na podávání zpráv myDATA a umožnit je</w:t>
            </w:r>
            <w:r>
              <w:rPr>
                <w:noProof/>
              </w:rPr>
              <w:t>ho používání pro účely daně z příjmu.</w:t>
            </w:r>
          </w:p>
        </w:tc>
        <w:tc>
          <w:tcPr>
            <w:tcW w:w="866" w:type="dxa"/>
            <w:tcBorders>
              <w:top w:val="single" w:sz="4" w:space="0" w:color="auto"/>
              <w:left w:val="nil"/>
              <w:bottom w:val="single" w:sz="4" w:space="0" w:color="auto"/>
              <w:right w:val="single" w:sz="4" w:space="0" w:color="auto"/>
            </w:tcBorders>
            <w:shd w:val="clear" w:color="auto" w:fill="C6EFCE"/>
            <w:noWrap/>
          </w:tcPr>
          <w:p w14:paraId="4C1AEF17"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0531BC0" w14:textId="77777777" w:rsidR="00515398" w:rsidRDefault="00515398">
            <w:pPr>
              <w:spacing w:after="0" w:line="240" w:lineRule="auto"/>
              <w:rPr>
                <w:rFonts w:eastAsia="Times New Roman" w:cs="Calibri"/>
                <w:noProof/>
                <w:color w:val="006100"/>
                <w:sz w:val="18"/>
                <w:szCs w:val="18"/>
              </w:rPr>
            </w:pPr>
          </w:p>
        </w:tc>
        <w:tc>
          <w:tcPr>
            <w:tcW w:w="668" w:type="dxa"/>
            <w:tcBorders>
              <w:top w:val="single" w:sz="4" w:space="0" w:color="auto"/>
              <w:left w:val="nil"/>
              <w:bottom w:val="single" w:sz="4" w:space="0" w:color="auto"/>
              <w:right w:val="single" w:sz="4" w:space="0" w:color="auto"/>
            </w:tcBorders>
            <w:shd w:val="clear" w:color="auto" w:fill="C6EFCE"/>
            <w:noWrap/>
          </w:tcPr>
          <w:p w14:paraId="4F5C58C9"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24C6EE2A" w14:textId="4ADA19F9"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single" w:sz="4" w:space="0" w:color="auto"/>
              <w:left w:val="nil"/>
              <w:bottom w:val="single" w:sz="4" w:space="0" w:color="auto"/>
              <w:right w:val="single" w:sz="4" w:space="0" w:color="auto"/>
            </w:tcBorders>
            <w:shd w:val="clear" w:color="auto" w:fill="C6EFCE"/>
            <w:noWrap/>
          </w:tcPr>
          <w:p w14:paraId="7EAB7E3F" w14:textId="77777777" w:rsidR="00515398" w:rsidRDefault="006711E6">
            <w:pPr>
              <w:pStyle w:val="P68B1DB1-Normal9"/>
              <w:spacing w:after="0" w:line="240" w:lineRule="auto"/>
              <w:rPr>
                <w:rFonts w:eastAsia="Times New Roman" w:cs="Calibri"/>
                <w:noProof/>
                <w:szCs w:val="18"/>
              </w:rPr>
            </w:pPr>
            <w:r>
              <w:rPr>
                <w:noProof/>
              </w:rPr>
              <w:t>2024</w:t>
            </w:r>
          </w:p>
        </w:tc>
        <w:tc>
          <w:tcPr>
            <w:tcW w:w="4830" w:type="dxa"/>
            <w:tcBorders>
              <w:top w:val="single" w:sz="4" w:space="0" w:color="auto"/>
              <w:left w:val="nil"/>
              <w:bottom w:val="single" w:sz="4" w:space="0" w:color="auto"/>
              <w:right w:val="single" w:sz="4" w:space="0" w:color="auto"/>
            </w:tcBorders>
            <w:shd w:val="clear" w:color="auto" w:fill="C6EFCE"/>
            <w:noWrap/>
          </w:tcPr>
          <w:p w14:paraId="1417318C" w14:textId="77777777" w:rsidR="00515398" w:rsidRDefault="006711E6">
            <w:pPr>
              <w:pStyle w:val="P68B1DB1-Normal9"/>
              <w:spacing w:after="0" w:line="240" w:lineRule="auto"/>
              <w:rPr>
                <w:rFonts w:eastAsia="Times New Roman" w:cs="Calibri"/>
                <w:noProof/>
                <w:szCs w:val="18"/>
              </w:rPr>
            </w:pPr>
            <w:r>
              <w:rPr>
                <w:noProof/>
              </w:rPr>
              <w:t xml:space="preserve">Vstup primárního a sekundárního práva v platnost </w:t>
            </w:r>
          </w:p>
          <w:p w14:paraId="58D488AC" w14:textId="0401D36F" w:rsidR="00515398" w:rsidRDefault="006711E6">
            <w:pPr>
              <w:pStyle w:val="P68B1DB1-Normal9"/>
              <w:spacing w:after="0" w:line="240" w:lineRule="auto"/>
              <w:rPr>
                <w:rFonts w:eastAsia="Times New Roman" w:cs="Calibri"/>
                <w:noProof/>
                <w:szCs w:val="18"/>
              </w:rPr>
            </w:pPr>
            <w:r>
              <w:rPr>
                <w:noProof/>
              </w:rPr>
              <w:t xml:space="preserve">umožnit využívání zpráv myDATA o podnicích (včetně osob samostatně výdělečně činných) pro přiznání k dani z příjmu. </w:t>
            </w:r>
          </w:p>
          <w:p w14:paraId="6C8C0CE4" w14:textId="3D47B7E2" w:rsidR="00515398" w:rsidRDefault="006711E6">
            <w:pPr>
              <w:pStyle w:val="P68B1DB1-Normal9"/>
              <w:spacing w:after="0" w:line="240" w:lineRule="auto"/>
              <w:rPr>
                <w:rFonts w:eastAsia="Times New Roman" w:cs="Calibri"/>
                <w:noProof/>
                <w:szCs w:val="18"/>
              </w:rPr>
            </w:pPr>
            <w:r>
              <w:rPr>
                <w:noProof/>
              </w:rPr>
              <w:t>.</w:t>
            </w:r>
          </w:p>
          <w:p w14:paraId="53D781EF" w14:textId="77777777" w:rsidR="00515398" w:rsidRDefault="00515398">
            <w:pPr>
              <w:spacing w:after="0" w:line="240" w:lineRule="auto"/>
              <w:rPr>
                <w:rFonts w:eastAsia="Times New Roman" w:cs="Calibri"/>
                <w:noProof/>
                <w:color w:val="006100"/>
                <w:sz w:val="18"/>
                <w:szCs w:val="18"/>
              </w:rPr>
            </w:pPr>
          </w:p>
        </w:tc>
      </w:tr>
    </w:tbl>
    <w:p w14:paraId="084D627C"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17"/>
          <w:headerReference w:type="default" r:id="rId218"/>
          <w:footerReference w:type="even" r:id="rId219"/>
          <w:footerReference w:type="default" r:id="rId220"/>
          <w:headerReference w:type="first" r:id="rId221"/>
          <w:footerReference w:type="first" r:id="rId222"/>
          <w:pgSz w:w="16839" w:h="11907" w:orient="landscape"/>
          <w:pgMar w:top="720" w:right="720" w:bottom="720" w:left="720" w:header="709" w:footer="75" w:gutter="0"/>
          <w:cols w:space="720"/>
          <w:docGrid w:linePitch="360"/>
        </w:sectPr>
      </w:pPr>
    </w:p>
    <w:p w14:paraId="1BC7EF6A" w14:textId="77777777" w:rsidR="00515398" w:rsidRDefault="006711E6">
      <w:pPr>
        <w:pStyle w:val="P68B1DB1-Normal2"/>
        <w:spacing w:before="120" w:after="120" w:line="240" w:lineRule="auto"/>
        <w:ind w:firstLine="6"/>
        <w:jc w:val="both"/>
        <w:outlineLvl w:val="3"/>
        <w:rPr>
          <w:rFonts w:cs="Times New Roman"/>
          <w:bCs/>
          <w:noProof/>
        </w:rPr>
      </w:pPr>
      <w:r>
        <w:rPr>
          <w:noProof/>
        </w:rPr>
        <w:t>M. SLOŽKA 4.2: MODERNIZOVAT VEŘEJNOU SPRÁVU, MIMO JINÉ URYCHLENÍM PROVÁDĚNÍ VEŘEJNÝCH INVESTIC, ZLEPŠENÍM RÁMCE PRO ZADÁVÁNÍ VEŘEJNÝCH ZAKÁZEK, OPATŘENÍMI NA BUDOVÁNÍ KAPACIT A BOJEM PROTI KORUPCI</w:t>
      </w:r>
    </w:p>
    <w:p w14:paraId="60386A1B" w14:textId="77777777" w:rsidR="00515398" w:rsidRDefault="006711E6">
      <w:pPr>
        <w:pStyle w:val="P68B1DB1-Normal4"/>
        <w:spacing w:before="120" w:after="120" w:line="240" w:lineRule="auto"/>
        <w:jc w:val="both"/>
        <w:rPr>
          <w:rFonts w:cs="Times New Roman"/>
          <w:noProof/>
        </w:rPr>
      </w:pPr>
      <w:r>
        <w:rPr>
          <w:noProof/>
        </w:rPr>
        <w:t xml:space="preserve">Tato složka řeckého plánu </w:t>
      </w:r>
      <w:r>
        <w:rPr>
          <w:noProof/>
        </w:rPr>
        <w:t>pro oživení a odolnost zahrnuje soubor rozsáhlých reforem, jakož i investice do fungování veřejné správy s cílem zlepšit koncepci a provádění politik. Složka zahrnuje opatření na modernizaci veřejné správy prostřednictvím konkrétních opatření na posílení p</w:t>
      </w:r>
      <w:r>
        <w:rPr>
          <w:noProof/>
        </w:rPr>
        <w:t>lánování a koordinace politik a řízení lidských zdrojů a rovněž na dokončení vnitrostátního katastru, který by měl zajistit účinný katastrální systém a poskytnout právní jistotu v oblasti vlastnických práv. Cílem dalších opatření je řešit nedostatečnou pří</w:t>
      </w:r>
      <w:r>
        <w:rPr>
          <w:noProof/>
        </w:rPr>
        <w:t>pravu projektů na veřejné investice (včetně korupce) a dále posílit oblast správy veřejných financí. Tyto reformy a investice podporují řešení výzev spojených s a) digitální veřejnou správou. Tato složka podporuje plnění doporučení pro jednotlivé země týka</w:t>
      </w:r>
      <w:r>
        <w:rPr>
          <w:noProof/>
        </w:rPr>
        <w:t>jících se veřejných a soukromých investic (doporučení pro jednotlivé země č. 3 z roku 2020), strukturálních reforem ke zlepšení fungování hospodářství (doporučení pro jednotlivé země č. 4 z roku 2020) a dokončení zbývající reformy týkající se katastru, kte</w:t>
      </w:r>
      <w:r>
        <w:rPr>
          <w:noProof/>
        </w:rPr>
        <w:t>rá byla provedena v rámci posíleného dohledu (doporučení pro jednotlivé země č. 3 z roku 2022 a doporučení pro jednotlivé země č. 3 z roku 2023). Očekává se, že žádné opatření v této složce významně nepoškozuje environmentální cíle ve smyslu článku 17 naří</w:t>
      </w:r>
      <w:r>
        <w:rPr>
          <w:noProof/>
        </w:rPr>
        <w:t>zení (EU) 2020/852, s přihlédnutím k popisu opatření a zmírňujícím krokům stanoveným v plánu pro oživení a odolnost v souladu s technickými pokyny „významně nepoškozovat“ (2021/C58/01).</w:t>
      </w:r>
    </w:p>
    <w:p w14:paraId="6F4B7B47"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M.1. </w:t>
      </w:r>
      <w:r>
        <w:rPr>
          <w:noProof/>
        </w:rPr>
        <w:t xml:space="preserve"> </w:t>
      </w:r>
      <w:r>
        <w:rPr>
          <w:rFonts w:ascii="Times New Roman" w:hAnsi="Times New Roman"/>
          <w:b/>
          <w:noProof/>
          <w:sz w:val="24"/>
          <w:u w:val="single"/>
        </w:rPr>
        <w:t>Popis reforem a investic pro nevratnou finanční podporu</w:t>
      </w:r>
    </w:p>
    <w:p w14:paraId="3DC53B1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Reforma veřejné správy (opatření ID 16972)</w:t>
      </w:r>
    </w:p>
    <w:p w14:paraId="5278DB90" w14:textId="77777777" w:rsidR="00515398" w:rsidRDefault="006711E6">
      <w:pPr>
        <w:pStyle w:val="P68B1DB1-Normal4"/>
        <w:spacing w:before="120" w:after="120" w:line="240" w:lineRule="auto"/>
        <w:jc w:val="both"/>
        <w:rPr>
          <w:rFonts w:cs="Times New Roman"/>
          <w:noProof/>
        </w:rPr>
      </w:pPr>
      <w:r>
        <w:rPr>
          <w:noProof/>
        </w:rPr>
        <w:t>Cílem této reformy je pokračovat v úsilí o modernizaci veřejné správy a investovat do jejích lidských zdrojů prováděním těchto opatření:</w:t>
      </w:r>
    </w:p>
    <w:p w14:paraId="018C06F9" w14:textId="77777777" w:rsidR="00515398" w:rsidRDefault="006711E6">
      <w:pPr>
        <w:pStyle w:val="P68B1DB1-Normal4"/>
        <w:numPr>
          <w:ilvl w:val="0"/>
          <w:numId w:val="58"/>
        </w:numPr>
        <w:spacing w:before="120" w:after="120" w:line="240" w:lineRule="auto"/>
        <w:ind w:left="360"/>
        <w:jc w:val="both"/>
        <w:rPr>
          <w:rFonts w:cs="Times New Roman"/>
          <w:noProof/>
        </w:rPr>
      </w:pPr>
      <w:r>
        <w:rPr>
          <w:noProof/>
        </w:rPr>
        <w:t>Vstup revidovaného legislativního rámce v platnost s cílem zefektivnit rozd</w:t>
      </w:r>
      <w:r>
        <w:rPr>
          <w:noProof/>
        </w:rPr>
        <w:t xml:space="preserve">ělení odpovědností mezi ústřední, regionální a místní úroveň a příslušné správní rámce; </w:t>
      </w:r>
    </w:p>
    <w:p w14:paraId="73F421E5" w14:textId="6E960967" w:rsidR="00515398" w:rsidRDefault="006711E6">
      <w:pPr>
        <w:pStyle w:val="P68B1DB1-Normal4"/>
        <w:numPr>
          <w:ilvl w:val="0"/>
          <w:numId w:val="58"/>
        </w:numPr>
        <w:spacing w:before="120" w:after="120" w:line="240" w:lineRule="auto"/>
        <w:ind w:left="360"/>
        <w:jc w:val="both"/>
        <w:rPr>
          <w:rFonts w:cs="Times New Roman"/>
          <w:noProof/>
        </w:rPr>
      </w:pPr>
      <w:r>
        <w:rPr>
          <w:noProof/>
        </w:rPr>
        <w:t xml:space="preserve">Zprovoznění informačního systému, který podporuje strategický rámec pro plánování pracovních sil s využitím umělé inteligence; </w:t>
      </w:r>
    </w:p>
    <w:p w14:paraId="77C54B2B" w14:textId="0FBFB7E3" w:rsidR="00515398" w:rsidRDefault="006711E6">
      <w:pPr>
        <w:pStyle w:val="P68B1DB1-Normal4"/>
        <w:numPr>
          <w:ilvl w:val="0"/>
          <w:numId w:val="58"/>
        </w:numPr>
        <w:spacing w:before="120" w:after="120" w:line="240" w:lineRule="auto"/>
        <w:ind w:left="360"/>
        <w:jc w:val="both"/>
        <w:rPr>
          <w:rFonts w:cs="Times New Roman"/>
          <w:noProof/>
        </w:rPr>
      </w:pPr>
      <w:r>
        <w:rPr>
          <w:noProof/>
        </w:rPr>
        <w:t>Legislativní iniciativa pro urychlení n</w:t>
      </w:r>
      <w:r>
        <w:rPr>
          <w:noProof/>
        </w:rPr>
        <w:t>áborových řízení ve veřejném sektoru na základě zákona č. 4765/2021 a zprovoznění nového integrovaného informačního systému pro Nejvyšší radu pro výběr personálu (ASEP), aby bylo možné provádět digitální výběrová řízení;</w:t>
      </w:r>
    </w:p>
    <w:p w14:paraId="66E1BB76" w14:textId="48FE4466" w:rsidR="00515398" w:rsidRDefault="006711E6">
      <w:pPr>
        <w:pStyle w:val="P68B1DB1-Normal4"/>
        <w:numPr>
          <w:ilvl w:val="0"/>
          <w:numId w:val="58"/>
        </w:numPr>
        <w:spacing w:before="120" w:after="120" w:line="240" w:lineRule="auto"/>
        <w:ind w:left="360"/>
        <w:jc w:val="both"/>
        <w:rPr>
          <w:rFonts w:cs="Times New Roman"/>
          <w:noProof/>
        </w:rPr>
      </w:pPr>
      <w:r>
        <w:rPr>
          <w:noProof/>
        </w:rPr>
        <w:t>Prohlubování dovedností/změna kvali</w:t>
      </w:r>
      <w:r>
        <w:rPr>
          <w:noProof/>
        </w:rPr>
        <w:t xml:space="preserve">fikace ve veřejné správě dokončením odborné přípravy pro úředníky s nejméně 225000 účastníky; </w:t>
      </w:r>
    </w:p>
    <w:p w14:paraId="7CE18E08" w14:textId="77777777" w:rsidR="00515398" w:rsidRDefault="006711E6">
      <w:pPr>
        <w:pStyle w:val="P68B1DB1-Normal4"/>
        <w:numPr>
          <w:ilvl w:val="0"/>
          <w:numId w:val="58"/>
        </w:numPr>
        <w:spacing w:before="120" w:after="120" w:line="240" w:lineRule="auto"/>
        <w:ind w:left="360"/>
        <w:jc w:val="both"/>
        <w:rPr>
          <w:rFonts w:cs="Times New Roman"/>
          <w:noProof/>
        </w:rPr>
      </w:pPr>
      <w:r>
        <w:rPr>
          <w:noProof/>
        </w:rPr>
        <w:t>Zavedení systému odměn pro úředníky spojeného se systémem řízení cílů, který bude plně v souladu s jednotnou mzdovou tabulkou (zákon 4354/2015), aniž by byla sta</w:t>
      </w:r>
      <w:r>
        <w:rPr>
          <w:noProof/>
        </w:rPr>
        <w:t>novena jakákoli výjimka. Výsledky pilotního programu zaměřeného na až 6000 státních zaměstnanců přispějí k rozsáhlejší studii s cílem poskytnout pokyny pro zavedení systému odměňování, který má být zaveden do 31. prosince 2023.</w:t>
      </w:r>
    </w:p>
    <w:p w14:paraId="7412C5E2" w14:textId="77777777" w:rsidR="00515398" w:rsidRDefault="006711E6">
      <w:pPr>
        <w:pStyle w:val="P68B1DB1-Normal4"/>
        <w:spacing w:before="120" w:after="120" w:line="240" w:lineRule="auto"/>
        <w:jc w:val="both"/>
        <w:rPr>
          <w:rFonts w:cs="Times New Roman"/>
          <w:noProof/>
        </w:rPr>
      </w:pPr>
      <w:r>
        <w:rPr>
          <w:noProof/>
        </w:rPr>
        <w:t>Provádění reformy se dokončí</w:t>
      </w:r>
      <w:r>
        <w:rPr>
          <w:noProof/>
        </w:rPr>
        <w:t xml:space="preserve"> do 31. prosince 2025.</w:t>
      </w:r>
    </w:p>
    <w:p w14:paraId="0F3E6E6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Boj proti nezákonnému obchodu a ochrana duševního vlastnictví (opatření ID 16703)</w:t>
      </w:r>
    </w:p>
    <w:p w14:paraId="691E56A2" w14:textId="77777777" w:rsidR="00515398" w:rsidRDefault="006711E6">
      <w:pPr>
        <w:pStyle w:val="P68B1DB1-Normal4"/>
        <w:spacing w:before="120" w:after="120" w:line="240" w:lineRule="auto"/>
        <w:jc w:val="both"/>
        <w:rPr>
          <w:rFonts w:cs="Times New Roman"/>
          <w:noProof/>
        </w:rPr>
      </w:pPr>
      <w:r>
        <w:rPr>
          <w:noProof/>
        </w:rPr>
        <w:t>Cílem reformy je posílit reakci na nezákonný obchod posílením meziagenturního oddělení pro kontrolu trhu (DIMEA) prostřednictvím odborné přípr</w:t>
      </w:r>
      <w:r>
        <w:rPr>
          <w:noProof/>
        </w:rPr>
        <w:t>avy zaměstnanců, vhodných systémů IT a vybavení. Provádění reformy se dokončí do 31. prosince 2025.</w:t>
      </w:r>
    </w:p>
    <w:p w14:paraId="4BEE704C"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Posílení vnitrostátního protikorupčního rámce (opatření ID 16952)</w:t>
      </w:r>
    </w:p>
    <w:p w14:paraId="1556FF95" w14:textId="410FDD9B" w:rsidR="00515398" w:rsidRDefault="006711E6">
      <w:pPr>
        <w:pStyle w:val="P68B1DB1-Normal4"/>
        <w:spacing w:before="120" w:after="120" w:line="240" w:lineRule="auto"/>
        <w:jc w:val="both"/>
        <w:rPr>
          <w:rFonts w:cs="Times New Roman"/>
          <w:noProof/>
        </w:rPr>
      </w:pPr>
      <w:r>
        <w:rPr>
          <w:noProof/>
        </w:rPr>
        <w:t>Cílem této reformy je odhalovat korupci a předcházet jí a sestává z následujících</w:t>
      </w:r>
      <w:r>
        <w:rPr>
          <w:noProof/>
        </w:rPr>
        <w:t xml:space="preserve"> opatření, která má provést vnitrostátní orgán pro transparentnost: i) posílení auditního rámce pro odhalování podvodů a korupce; II) regulační zásahy v klíčových oblastech politiky, konkrétně ochrana oznamovatelů, lobbování a střety zájmů; III) posílení s</w:t>
      </w:r>
      <w:r>
        <w:rPr>
          <w:noProof/>
        </w:rPr>
        <w:t>ystému vnitřní kontroly a zřízení vnitrostátní sítě poradců pro otázky integrity ve veřejné správě; IV) vypracování etických a deontologických kodexů a revize disciplinárních postupů; v) iniciativy ke zvýšení povědomí o podvodech a korupci; VI) přijetí nár</w:t>
      </w:r>
      <w:r>
        <w:rPr>
          <w:noProof/>
        </w:rPr>
        <w:t>odního protikorupčního akčního plánu na období 2022–2025; a vii) projekty na financování digitálních a infrastrukturních kapacit agentury. Provádění reformy se dokončí do 31. prosince 2025.</w:t>
      </w:r>
    </w:p>
    <w:p w14:paraId="4597C727"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Posílit síť státní podpory (opatření ID 16701)</w:t>
      </w:r>
    </w:p>
    <w:p w14:paraId="6ABFFCB4" w14:textId="77777777" w:rsidR="00515398" w:rsidRDefault="006711E6">
      <w:pPr>
        <w:pStyle w:val="P68B1DB1-Normal4"/>
        <w:spacing w:before="120" w:after="120" w:line="240" w:lineRule="auto"/>
        <w:jc w:val="both"/>
        <w:rPr>
          <w:rFonts w:cs="Times New Roman"/>
          <w:noProof/>
        </w:rPr>
      </w:pPr>
      <w:r>
        <w:rPr>
          <w:noProof/>
        </w:rPr>
        <w:t>Tato refor</w:t>
      </w:r>
      <w:r>
        <w:rPr>
          <w:noProof/>
        </w:rPr>
        <w:t>ma reviduje řecký právní rámec státní podpory a posílí kapacitu sítě jednotek státní podpory napříč ministerstvy, a to především prostřednictvím modernizace centrálního informačního systému státní podpory, kterým se zřizuje digitální knihovna případů státn</w:t>
      </w:r>
      <w:r>
        <w:rPr>
          <w:noProof/>
        </w:rPr>
        <w:t>í podpory, intranetová komunikační platforma a nástroje pro analýzu dat. Provádění reformy se dokončí do 31. prosince 2024.</w:t>
      </w:r>
    </w:p>
    <w:p w14:paraId="624E87EA"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Posílení rámce pro boj proti praní peněz a financování terorismu (opatření ID 16702)</w:t>
      </w:r>
    </w:p>
    <w:p w14:paraId="79C105E1" w14:textId="755EE16D" w:rsidR="00515398" w:rsidRDefault="006711E6">
      <w:pPr>
        <w:pStyle w:val="P68B1DB1-Normal4"/>
        <w:spacing w:before="120" w:after="120" w:line="240" w:lineRule="auto"/>
        <w:jc w:val="both"/>
        <w:rPr>
          <w:rFonts w:cs="Times New Roman"/>
          <w:noProof/>
        </w:rPr>
      </w:pPr>
      <w:r>
        <w:rPr>
          <w:noProof/>
        </w:rPr>
        <w:t xml:space="preserve">Reforma se týká zřízení digitální </w:t>
      </w:r>
      <w:r>
        <w:rPr>
          <w:noProof/>
        </w:rPr>
        <w:t>platformy pro shromažďování statistických údajů v držení soudních, dohledových a donucovacích orgánů a zlepšení centrálního registru skutečných majitelů s cílem usnadnit příslušným orgánům přímý přístup k informacím o skutečných majitelích. Provádění refor</w:t>
      </w:r>
      <w:r>
        <w:rPr>
          <w:noProof/>
        </w:rPr>
        <w:t>my se dokončí do 30. června 2024.</w:t>
      </w:r>
    </w:p>
    <w:p w14:paraId="7D0B7BD3"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Reforma účetnictví (opatření ID 16974)</w:t>
      </w:r>
    </w:p>
    <w:p w14:paraId="3C9A4DDB" w14:textId="77777777" w:rsidR="00515398" w:rsidRDefault="006711E6">
      <w:pPr>
        <w:pStyle w:val="P68B1DB1-Normal4"/>
        <w:spacing w:before="120" w:after="120" w:line="240" w:lineRule="auto"/>
        <w:jc w:val="both"/>
        <w:rPr>
          <w:rFonts w:cs="Times New Roman"/>
          <w:noProof/>
        </w:rPr>
      </w:pPr>
      <w:r>
        <w:rPr>
          <w:noProof/>
        </w:rPr>
        <w:t>Reforma zavádí postupný přechod od modifikované hotovosti k akruálnímu účetnictví a konsolidovanému účetnímu výkaznictví v rámci vládních institucí. Zahrnuje přijetí zásad ak</w:t>
      </w:r>
      <w:r>
        <w:rPr>
          <w:noProof/>
        </w:rPr>
        <w:t>ruálního účetnictví, školení příslušných pracovníků a návrh a zavedení vládního plánování podnikových zdrojů (GOV-ERP). Cílem nového informačního systému je rozšíření a technologická modernizace stávajícího integrovaného informačního systému fiskální polit</w:t>
      </w:r>
      <w:r>
        <w:rPr>
          <w:noProof/>
        </w:rPr>
        <w:t>iky (OPSDP) s cílem uspokojit potřeby správy veřejných financí v ústřední správě. Výsledkem je nový integrovaný informační systém pro finanční řízení (GOV-ERP). Provádění reformy se dokončí do 31. prosince 2025.</w:t>
      </w:r>
    </w:p>
    <w:p w14:paraId="06A99C4F"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Moderní institucionální rámec pro s</w:t>
      </w:r>
      <w:r>
        <w:rPr>
          <w:noProof/>
        </w:rPr>
        <w:t>tátní podniky (opatření ID 16657)</w:t>
      </w:r>
    </w:p>
    <w:p w14:paraId="33DE3CB2" w14:textId="77777777" w:rsidR="00515398" w:rsidRDefault="006711E6">
      <w:pPr>
        <w:pStyle w:val="P68B1DB1-Normal4"/>
        <w:spacing w:before="120" w:after="120" w:line="240" w:lineRule="auto"/>
        <w:jc w:val="both"/>
        <w:rPr>
          <w:rFonts w:cs="Times New Roman"/>
          <w:noProof/>
        </w:rPr>
      </w:pPr>
      <w:r>
        <w:rPr>
          <w:noProof/>
        </w:rPr>
        <w:t>Tato reforma zavádí moderní právní rámec pro provoz a řízení veřejných podniků a organizací. Stanoví pokyny pro správu a řízení společností a zvláštní pravidla pro řízení státních podniků, jako je jmenování předsedy, gener</w:t>
      </w:r>
      <w:r>
        <w:rPr>
          <w:noProof/>
        </w:rPr>
        <w:t>álních ředitelů a výkonných ředitelů představenstvem, a ustanovení o zřízení výborů pro interní audit s cílem zajistit transparentnost. Reforma rovněž zřídí digitální rejstřík pro evidenci všech podniků, organizací a všech dalších právnických osob, jichž s</w:t>
      </w:r>
      <w:r>
        <w:rPr>
          <w:noProof/>
        </w:rPr>
        <w:t>e stát účastní, a podpoří účinné sledování a kontrolu účasti státu. Provádění reformy se dokončí do 31. prosince 2022.</w:t>
      </w:r>
    </w:p>
    <w:p w14:paraId="6FCB42C4"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Účinný boj proti korupci (opatření ID 16978)</w:t>
      </w:r>
    </w:p>
    <w:p w14:paraId="63CD4BB1" w14:textId="77777777" w:rsidR="00515398" w:rsidRDefault="006711E6">
      <w:pPr>
        <w:pStyle w:val="P68B1DB1-Normal4"/>
        <w:spacing w:before="120" w:after="120" w:line="240" w:lineRule="auto"/>
        <w:jc w:val="both"/>
        <w:rPr>
          <w:rFonts w:cs="Times New Roman"/>
          <w:noProof/>
        </w:rPr>
      </w:pPr>
      <w:r>
        <w:rPr>
          <w:noProof/>
        </w:rPr>
        <w:t>Reforma provede řadu změn právního rámce Řecka s cílem zlepšit právní reakci na kor</w:t>
      </w:r>
      <w:r>
        <w:rPr>
          <w:noProof/>
        </w:rPr>
        <w:t xml:space="preserve">upci. Konkrétně se vztahuje na čtyři oblasti: i) majetková přiznání; II) ochrana osob, které oznamují porušení práva Unie; III) Trestní zákoník a trestní řád; a iv) </w:t>
      </w:r>
      <w:r>
        <w:rPr>
          <w:noProof/>
          <w:color w:val="000000"/>
        </w:rPr>
        <w:t>kodifikace právních předpisů týkajících se politických stran</w:t>
      </w:r>
      <w:r>
        <w:rPr>
          <w:noProof/>
        </w:rPr>
        <w:t>. Provádění reformy bude dokonč</w:t>
      </w:r>
      <w:r>
        <w:rPr>
          <w:noProof/>
        </w:rPr>
        <w:t>eno do 30. září 2022.</w:t>
      </w:r>
    </w:p>
    <w:p w14:paraId="55DDB41E"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Transformace fiskálního řízení a dohledu v oblasti správy a elektronické fakturace (opatření ID 16705)</w:t>
      </w:r>
    </w:p>
    <w:p w14:paraId="3553D58A" w14:textId="2B49FD21" w:rsidR="00515398" w:rsidRDefault="006711E6">
      <w:pPr>
        <w:pStyle w:val="P68B1DB1-Normal4"/>
        <w:spacing w:before="120" w:after="120" w:line="240" w:lineRule="auto"/>
        <w:jc w:val="both"/>
        <w:rPr>
          <w:rFonts w:cs="Times New Roman"/>
          <w:noProof/>
        </w:rPr>
      </w:pPr>
      <w:r>
        <w:rPr>
          <w:noProof/>
        </w:rPr>
        <w:t>Investice zlepší účinnost řízení veřejných financí tím, že a) vytvoří nejmodernější a funkční vládní systém plánování po</w:t>
      </w:r>
      <w:r>
        <w:rPr>
          <w:noProof/>
        </w:rPr>
        <w:t>dnikových zdrojů (ERP) pro ústřední správu; b) urychlení zavádění elektronické fakturace v procesech po zadání veřejné zakázky. Investice musí být provedena do 31. prosince 2025.</w:t>
      </w:r>
    </w:p>
    <w:p w14:paraId="6C33E586"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Modernizace Řeckého fondu pro vklady a půjčky (opatření ID 16940)</w:t>
      </w:r>
    </w:p>
    <w:p w14:paraId="1DF93015" w14:textId="77777777" w:rsidR="00515398" w:rsidRDefault="006711E6">
      <w:pPr>
        <w:pStyle w:val="P68B1DB1-Normal4"/>
        <w:spacing w:before="120" w:after="120" w:line="240" w:lineRule="auto"/>
        <w:jc w:val="both"/>
        <w:rPr>
          <w:rFonts w:cs="Times New Roman"/>
          <w:noProof/>
        </w:rPr>
      </w:pPr>
      <w:r>
        <w:rPr>
          <w:noProof/>
        </w:rPr>
        <w:t>Investice zvýší provozní účinnost Řeckého fondu pro vkladové a úvěrové vklady (CDLF) posílením jeho digitálních kapacit, zejména dokončením těchto dílčích projektů: i) digitalizaci půjček a souvisejících spisů a archivů a začlenění do nového systému správy</w:t>
      </w:r>
      <w:r>
        <w:rPr>
          <w:noProof/>
        </w:rPr>
        <w:t xml:space="preserve"> dokumentů; II) zavedení integrovaného informačního systému (IIS), iii) poskytování informačního systému plánování podnikových zdrojů (ERP); IV) poskytování řízených tiskařských služeb; a v) systému řízení lidských zdrojů (HRMS). Provádění reformy se dokon</w:t>
      </w:r>
      <w:r>
        <w:rPr>
          <w:noProof/>
        </w:rPr>
        <w:t>čí do 30. června 2025.</w:t>
      </w:r>
    </w:p>
    <w:p w14:paraId="7BB64667"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Profesionalizace oblasti zadávání veřejných zakázek (opatření ID 16711)</w:t>
      </w:r>
    </w:p>
    <w:p w14:paraId="1AB7E724" w14:textId="5080B6C6" w:rsidR="00515398" w:rsidRDefault="006711E6">
      <w:pPr>
        <w:pStyle w:val="P68B1DB1-Normal5"/>
        <w:spacing w:before="120" w:after="120" w:line="240" w:lineRule="auto"/>
        <w:jc w:val="both"/>
        <w:rPr>
          <w:rFonts w:cs="Times New Roman"/>
          <w:noProof/>
        </w:rPr>
      </w:pPr>
      <w:r>
        <w:rPr>
          <w:noProof/>
        </w:rPr>
        <w:t>Cílem reformy je zlepšit rámec pro zadávání veřejných zakázek v Řecku a podpořit řešení stávajících nedostatků. Reforma spočívá v provádění všech čtyř p</w:t>
      </w:r>
      <w:r>
        <w:rPr>
          <w:noProof/>
        </w:rPr>
        <w:t>ilířů národní strategie pro zadávání veřejných zakázek na období 2021–2025: i) reforma regulačního rámce pro zadávání veřejných zakázek, včetně vstupu v platnost sekundárních právních předpisů s cílem plně uvést nový právní rámec pro zadávání veřejných zak</w:t>
      </w:r>
      <w:r>
        <w:rPr>
          <w:noProof/>
        </w:rPr>
        <w:t>ázek do praxe, opatření k dalšímu zjednodušení a zlepšení regulačního rámce a zajištění účinného provádění a odolnosti systému zadávání veřejných zakázek; II) digitální transformace oblasti zadávání veřejných zakázek a komplexního elektronického zadávání v</w:t>
      </w:r>
      <w:r>
        <w:rPr>
          <w:noProof/>
        </w:rPr>
        <w:t>eřejných zakázek, včetně hodnocení a přepracování informačních systémů, analýzy dat a synergií mezi veřejným a soukromým sektorem (podporované akcemi v rámci opatření „16736 Nové systémy pro zadávání veřejných zakázek“); III) širší strategické cíle a polit</w:t>
      </w:r>
      <w:r>
        <w:rPr>
          <w:noProof/>
        </w:rPr>
        <w:t>ické iniciativy, například ekologické zadávání veřejných zakázek, zadávání veřejných zakázek2innovace, modernizace infrastruktury, přístup malých a středních podniků k veřejným zakázkám, zadávání veřejných zakázek jako pákový nástroj, účinné využívání zdro</w:t>
      </w:r>
      <w:r>
        <w:rPr>
          <w:noProof/>
        </w:rPr>
        <w:t>jů a sociální zadávání veřejných zakázek); IV) rámec řízení pro zadávání veřejných zakázek (dohled, monitorování provádění, audit a profesionalizace zaměstnanců zapojených do zadávání veřejných zakázek).</w:t>
      </w:r>
    </w:p>
    <w:p w14:paraId="38653992" w14:textId="3301FB3E" w:rsidR="00515398" w:rsidRDefault="006711E6">
      <w:pPr>
        <w:pStyle w:val="P68B1DB1-Normal4"/>
        <w:spacing w:before="120" w:after="120" w:line="240" w:lineRule="auto"/>
        <w:jc w:val="both"/>
        <w:rPr>
          <w:rFonts w:cs="Times New Roman"/>
          <w:noProof/>
        </w:rPr>
      </w:pPr>
      <w:r>
        <w:rPr>
          <w:noProof/>
        </w:rPr>
        <w:t>To bude dále podpořeno poskytováním odborné přípravy</w:t>
      </w:r>
      <w:r>
        <w:rPr>
          <w:noProof/>
        </w:rPr>
        <w:t xml:space="preserve"> a pokynů pro úředníky zapojené do zadávání veřejných zakázek, přijetím certifikačních postupů pro tyto odborníky, vytvořením odlišných profesních oblastí práce a přijetím balíčku pobídek, kvalifikací a kariérních postupů pro tyto pracovníky; a dokončení h</w:t>
      </w:r>
      <w:r>
        <w:rPr>
          <w:noProof/>
        </w:rPr>
        <w:t>loubkové studie o reorganizaci struktur a povinností Generálního ředitelství pro zadávání veřejných zakázek ministerstva pro rozvoj, které je odpovědné za provádění centralizovaných zadávacích řízení na vnitrostátní úrovni. Systém pobídek musí být plně v s</w:t>
      </w:r>
      <w:r>
        <w:rPr>
          <w:noProof/>
        </w:rPr>
        <w:t>ouladu s jednotnou mzdovou tabulkou (zákon 4354/2015), aniž by stanovil jakoukoli výjimku. Provádění reformy se dokončí do 31. prosince 2025.</w:t>
      </w:r>
    </w:p>
    <w:p w14:paraId="7749792E"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Zlepšení plánování a koordinace politik (opatření ID 16981)</w:t>
      </w:r>
    </w:p>
    <w:p w14:paraId="58BAD651" w14:textId="77777777" w:rsidR="00515398" w:rsidRDefault="006711E6">
      <w:pPr>
        <w:pStyle w:val="P68B1DB1-Normal4"/>
        <w:spacing w:before="120" w:after="120" w:line="240" w:lineRule="auto"/>
        <w:jc w:val="both"/>
        <w:rPr>
          <w:rFonts w:cs="Times New Roman"/>
          <w:noProof/>
        </w:rPr>
      </w:pPr>
      <w:r>
        <w:rPr>
          <w:noProof/>
        </w:rPr>
        <w:t>Reforma posílí koordinaci, plánování a rozvoj</w:t>
      </w:r>
      <w:r>
        <w:rPr>
          <w:noProof/>
        </w:rPr>
        <w:t xml:space="preserve"> politiky ústřední správy. Konkrétními opatřeními, která mají být provedena, je i) vytvoření monitorovacího mechanismu pro sledování pokroku, zda byly přijaty sekundární právní předpisy, jak je stanoveno v primárním právu; II) zřízení elektronické platform</w:t>
      </w:r>
      <w:r>
        <w:rPr>
          <w:noProof/>
        </w:rPr>
        <w:t>y, která usnadní dokončení posouzení dopadů doplňujícího každý návrh zákona; a iii) zahájení vzdělávacího programu a souvisejícího akreditačního postupu zaměřeného na úředníky s cílem zlepšit kvalitu připravovaných posouzení dopadů. Program odborné příprav</w:t>
      </w:r>
      <w:r>
        <w:rPr>
          <w:noProof/>
        </w:rPr>
        <w:t>y musí mít pro zahájení, které se uskuteční ve čtvrtém čtvrtletí roku 2022, zapsáno alespoň 100 státních zaměstnanců. Provádění reformy se dokončí do 30. června 2023.</w:t>
      </w:r>
    </w:p>
    <w:p w14:paraId="12BCBDF7"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Dokončení národního katastru (ID opatření: 16986)</w:t>
      </w:r>
    </w:p>
    <w:p w14:paraId="6DD06CB7" w14:textId="7DB5E80F" w:rsidR="00515398" w:rsidRDefault="006711E6">
      <w:pPr>
        <w:pStyle w:val="P68B1DB1-Normal4"/>
        <w:spacing w:before="120" w:after="120" w:line="240" w:lineRule="auto"/>
        <w:jc w:val="both"/>
        <w:rPr>
          <w:rFonts w:cs="Times New Roman"/>
          <w:noProof/>
          <w:szCs w:val="24"/>
        </w:rPr>
      </w:pPr>
      <w:r>
        <w:rPr>
          <w:noProof/>
        </w:rPr>
        <w:t>Reforma dokončí národní katast</w:t>
      </w:r>
      <w:r>
        <w:rPr>
          <w:noProof/>
        </w:rPr>
        <w:t>r s cílem zlepšit podnikatelské prostředí Řecka zvýšením účinnosti transakcí s nemovitostmi a posílením právní jistoty, pokud jde o vlastnická práva. K říjnu 2023 bylo v Řecku zmapováno 76,93 % vlastnických práv. Reforma konkrétně dokončí katastrální mapov</w:t>
      </w:r>
      <w:r>
        <w:rPr>
          <w:noProof/>
        </w:rPr>
        <w:t>ání v celém Řecku, zejména prostřednictvím nahrávání vlastnických práv, která jsou předmětem sběru nebo zpracování, pro veřejné zobrazení. Reforma navíc povede k úplnému přechodu od starého systému registrace nemovitostí prostřednictvím staré struktury hyp</w:t>
      </w:r>
      <w:r>
        <w:rPr>
          <w:noProof/>
        </w:rPr>
        <w:t>otečních úřadů k nové agentuře „Hellenic Cadastre“. Do 31. října 2023 bylo uzavřeno 165 starých hypotečních úřadů a do 1. listopadu 2023 bylo otevřeno a zprovozněno 14 regionálních katastrálních úřadů a 57 poboček. Prostřednictvím reformy bude otevřeno a z</w:t>
      </w:r>
      <w:r>
        <w:rPr>
          <w:noProof/>
        </w:rPr>
        <w:t>provozněno všech 17 regionálních katastrálních úřadů a 75 poboček v Řecku v souladu se zákonem č. 4512/2018 a bude uzavřeno všech 388 starých hypotečních úřadů. Provádění reformy se dokončí do 30. června 2025.</w:t>
      </w:r>
    </w:p>
    <w:p w14:paraId="6FE7AD53" w14:textId="77777777" w:rsidR="00515398" w:rsidRDefault="00515398">
      <w:pPr>
        <w:spacing w:before="120" w:after="120" w:line="240" w:lineRule="auto"/>
        <w:ind w:left="709"/>
        <w:jc w:val="both"/>
        <w:rPr>
          <w:rFonts w:ascii="Times New Roman" w:hAnsi="Times New Roman" w:cs="Times New Roman"/>
          <w:i/>
          <w:iCs/>
          <w:noProof/>
          <w:color w:val="4F81BD"/>
          <w:sz w:val="24"/>
        </w:rPr>
      </w:pPr>
    </w:p>
    <w:p w14:paraId="25F14B4E" w14:textId="77777777" w:rsidR="00515398" w:rsidRDefault="00515398">
      <w:pPr>
        <w:spacing w:before="120" w:after="120" w:line="240" w:lineRule="auto"/>
        <w:ind w:left="709"/>
        <w:jc w:val="both"/>
        <w:rPr>
          <w:rFonts w:ascii="Times New Roman" w:hAnsi="Times New Roman" w:cs="Times New Roman"/>
          <w:noProof/>
          <w:sz w:val="24"/>
        </w:rPr>
      </w:pPr>
    </w:p>
    <w:p w14:paraId="34E2B672"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23"/>
          <w:headerReference w:type="default" r:id="rId224"/>
          <w:footerReference w:type="even" r:id="rId225"/>
          <w:footerReference w:type="default" r:id="rId226"/>
          <w:headerReference w:type="first" r:id="rId227"/>
          <w:footerReference w:type="first" r:id="rId228"/>
          <w:pgSz w:w="11907" w:h="16839"/>
          <w:pgMar w:top="1134" w:right="1417" w:bottom="1134" w:left="1417" w:header="709" w:footer="709" w:gutter="0"/>
          <w:cols w:space="720"/>
          <w:docGrid w:linePitch="360"/>
        </w:sectPr>
      </w:pPr>
    </w:p>
    <w:p w14:paraId="787DF559"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M.2. </w:t>
      </w:r>
      <w:r>
        <w:rPr>
          <w:noProof/>
        </w:rPr>
        <w:t xml:space="preserve"> </w:t>
      </w:r>
      <w:r>
        <w:rPr>
          <w:rFonts w:ascii="Times New Roman" w:hAnsi="Times New Roman"/>
          <w:b/>
          <w:noProof/>
          <w:sz w:val="24"/>
          <w:u w:val="single"/>
        </w:rPr>
        <w:t>Milníky, cíle, ukazatele a harmonogram monitorování a provádění nevratné finanční podpory</w:t>
      </w:r>
    </w:p>
    <w:p w14:paraId="133A518B" w14:textId="77777777" w:rsidR="00515398" w:rsidRDefault="00515398">
      <w:pPr>
        <w:rPr>
          <w:noProof/>
        </w:rPr>
      </w:pPr>
    </w:p>
    <w:p w14:paraId="3F56FEDD" w14:textId="77777777" w:rsidR="00515398" w:rsidRDefault="006711E6">
      <w:pPr>
        <w:pStyle w:val="P68B1DB1-Normal6"/>
        <w:keepNext/>
        <w:keepLines/>
        <w:spacing w:before="40" w:after="0" w:line="240" w:lineRule="auto"/>
        <w:jc w:val="both"/>
        <w:outlineLvl w:val="4"/>
        <w:rPr>
          <w:noProof/>
        </w:rPr>
      </w:pPr>
      <w:r>
        <w:rPr>
          <w:noProof/>
        </w:rPr>
        <w:t xml:space="preserve">Klíčová reforma 9: Reforma veřejné správy </w:t>
      </w:r>
    </w:p>
    <w:p w14:paraId="077C3510"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W w:w="15871" w:type="dxa"/>
        <w:jc w:val="center"/>
        <w:tblLook w:val="04A0" w:firstRow="1" w:lastRow="0" w:firstColumn="1" w:lastColumn="0" w:noHBand="0" w:noVBand="1"/>
      </w:tblPr>
      <w:tblGrid>
        <w:gridCol w:w="1027"/>
        <w:gridCol w:w="1527"/>
        <w:gridCol w:w="967"/>
        <w:gridCol w:w="1289"/>
        <w:gridCol w:w="1713"/>
        <w:gridCol w:w="1195"/>
        <w:gridCol w:w="857"/>
        <w:gridCol w:w="805"/>
        <w:gridCol w:w="984"/>
        <w:gridCol w:w="827"/>
        <w:gridCol w:w="4819"/>
      </w:tblGrid>
      <w:tr w:rsidR="00515398" w14:paraId="0E7454FB" w14:textId="77777777">
        <w:trPr>
          <w:trHeight w:val="648"/>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0C52F2"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D6E73A"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7189B1"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289" w:type="dxa"/>
            <w:vMerge w:val="restart"/>
            <w:tcBorders>
              <w:top w:val="single" w:sz="4" w:space="0" w:color="auto"/>
              <w:left w:val="nil"/>
              <w:bottom w:val="single" w:sz="4" w:space="0" w:color="auto"/>
              <w:right w:val="single" w:sz="4" w:space="0" w:color="auto"/>
            </w:tcBorders>
            <w:shd w:val="clear" w:color="auto" w:fill="BDD7EE"/>
            <w:vAlign w:val="center"/>
            <w:hideMark/>
          </w:tcPr>
          <w:p w14:paraId="6BBC1B2C"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6B58F4"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2857" w:type="dxa"/>
            <w:gridSpan w:val="3"/>
            <w:tcBorders>
              <w:top w:val="single" w:sz="4" w:space="0" w:color="auto"/>
              <w:left w:val="nil"/>
              <w:bottom w:val="single" w:sz="4" w:space="0" w:color="auto"/>
              <w:right w:val="single" w:sz="4" w:space="0" w:color="auto"/>
            </w:tcBorders>
            <w:shd w:val="clear" w:color="auto" w:fill="BDD7EE"/>
            <w:vAlign w:val="center"/>
            <w:hideMark/>
          </w:tcPr>
          <w:p w14:paraId="734046C1"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Kvantitativní ukazatele </w:t>
            </w:r>
            <w:r>
              <w:rPr>
                <w:noProof/>
                <w:sz w:val="24"/>
              </w:rPr>
              <w:t xml:space="preserve"> </w:t>
            </w:r>
            <w:r>
              <w:rPr>
                <w:b/>
                <w:noProof/>
                <w:sz w:val="18"/>
              </w:rPr>
              <w:t>(pro cíle)</w:t>
            </w:r>
          </w:p>
        </w:tc>
        <w:tc>
          <w:tcPr>
            <w:tcW w:w="1673" w:type="dxa"/>
            <w:gridSpan w:val="2"/>
            <w:tcBorders>
              <w:top w:val="single" w:sz="4" w:space="0" w:color="auto"/>
              <w:left w:val="nil"/>
              <w:bottom w:val="single" w:sz="4" w:space="0" w:color="auto"/>
              <w:right w:val="single" w:sz="4" w:space="0" w:color="auto"/>
            </w:tcBorders>
            <w:shd w:val="clear" w:color="auto" w:fill="BDD7EE"/>
            <w:vAlign w:val="center"/>
            <w:hideMark/>
          </w:tcPr>
          <w:p w14:paraId="03E74A36"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6A2E7"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1E25DE45" w14:textId="77777777">
        <w:trPr>
          <w:trHeight w:val="562"/>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FECEB97" w14:textId="77777777" w:rsidR="00515398" w:rsidRDefault="00515398">
            <w:pPr>
              <w:spacing w:after="0" w:line="240" w:lineRule="auto"/>
              <w:rPr>
                <w:rFonts w:ascii="Times New Roman" w:eastAsia="Times New Roman" w:hAnsi="Times New Roman" w:cs="Times New Roman"/>
                <w:b/>
                <w:bCs/>
                <w:noProof/>
                <w:sz w:val="18"/>
                <w:szCs w:val="18"/>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5F16C17E"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0709DD1D" w14:textId="77777777" w:rsidR="00515398" w:rsidRDefault="00515398">
            <w:pPr>
              <w:spacing w:after="0" w:line="240" w:lineRule="auto"/>
              <w:rPr>
                <w:rFonts w:ascii="Times New Roman" w:eastAsia="Times New Roman" w:hAnsi="Times New Roman" w:cs="Times New Roman"/>
                <w:b/>
                <w:bCs/>
                <w:noProof/>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207448F3" w14:textId="77777777" w:rsidR="00515398" w:rsidRDefault="00515398">
            <w:pPr>
              <w:spacing w:after="0" w:line="240" w:lineRule="auto"/>
              <w:rPr>
                <w:rFonts w:ascii="Times New Roman" w:eastAsia="Times New Roman" w:hAnsi="Times New Roman" w:cs="Times New Roman"/>
                <w:b/>
                <w:bCs/>
                <w:noProof/>
                <w:sz w:val="18"/>
                <w:szCs w:val="18"/>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281F5A96" w14:textId="77777777" w:rsidR="00515398" w:rsidRDefault="00515398">
            <w:pPr>
              <w:spacing w:after="0" w:line="240" w:lineRule="auto"/>
              <w:rPr>
                <w:rFonts w:ascii="Times New Roman" w:eastAsia="Times New Roman" w:hAnsi="Times New Roman" w:cs="Times New Roman"/>
                <w:b/>
                <w:bCs/>
                <w:noProof/>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5E2EAD5"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7D57CC03"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05" w:type="dxa"/>
            <w:tcBorders>
              <w:top w:val="nil"/>
              <w:left w:val="nil"/>
              <w:bottom w:val="single" w:sz="4" w:space="0" w:color="auto"/>
              <w:right w:val="single" w:sz="4" w:space="0" w:color="auto"/>
            </w:tcBorders>
            <w:shd w:val="clear" w:color="auto" w:fill="BDD7EE"/>
            <w:vAlign w:val="center"/>
            <w:hideMark/>
          </w:tcPr>
          <w:p w14:paraId="2C3A78BE"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46" w:type="dxa"/>
            <w:tcBorders>
              <w:top w:val="nil"/>
              <w:left w:val="nil"/>
              <w:bottom w:val="single" w:sz="4" w:space="0" w:color="auto"/>
              <w:right w:val="single" w:sz="4" w:space="0" w:color="auto"/>
            </w:tcBorders>
            <w:shd w:val="clear" w:color="auto" w:fill="BDD7EE"/>
            <w:vAlign w:val="center"/>
            <w:hideMark/>
          </w:tcPr>
          <w:p w14:paraId="5A36C8FE"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827" w:type="dxa"/>
            <w:tcBorders>
              <w:top w:val="nil"/>
              <w:left w:val="nil"/>
              <w:bottom w:val="single" w:sz="4" w:space="0" w:color="auto"/>
              <w:right w:val="single" w:sz="4" w:space="0" w:color="auto"/>
            </w:tcBorders>
            <w:shd w:val="clear" w:color="auto" w:fill="BDD7EE"/>
            <w:vAlign w:val="center"/>
            <w:hideMark/>
          </w:tcPr>
          <w:p w14:paraId="02C9AC6B"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819" w:type="dxa"/>
            <w:vMerge/>
            <w:tcBorders>
              <w:top w:val="single" w:sz="4" w:space="0" w:color="auto"/>
              <w:bottom w:val="single" w:sz="4" w:space="0" w:color="auto"/>
              <w:right w:val="single" w:sz="4" w:space="0" w:color="auto"/>
            </w:tcBorders>
            <w:vAlign w:val="center"/>
            <w:hideMark/>
          </w:tcPr>
          <w:p w14:paraId="0DE826D1"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5BEFEF1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DCCCC58" w14:textId="77777777" w:rsidR="00515398" w:rsidRDefault="006711E6">
            <w:pPr>
              <w:pStyle w:val="P68B1DB1-Normal9"/>
              <w:spacing w:after="0" w:line="240" w:lineRule="auto"/>
              <w:rPr>
                <w:rFonts w:eastAsia="Times New Roman" w:cs="Calibri"/>
                <w:noProof/>
                <w:szCs w:val="18"/>
              </w:rPr>
            </w:pPr>
            <w:r>
              <w:rPr>
                <w:noProof/>
              </w:rPr>
              <w:t>205</w:t>
            </w:r>
          </w:p>
        </w:tc>
        <w:tc>
          <w:tcPr>
            <w:tcW w:w="1527" w:type="dxa"/>
            <w:tcBorders>
              <w:top w:val="single" w:sz="4" w:space="0" w:color="auto"/>
              <w:left w:val="nil"/>
              <w:bottom w:val="single" w:sz="4" w:space="0" w:color="auto"/>
              <w:right w:val="single" w:sz="4" w:space="0" w:color="auto"/>
            </w:tcBorders>
            <w:shd w:val="clear" w:color="auto" w:fill="C6EFCE"/>
            <w:noWrap/>
          </w:tcPr>
          <w:p w14:paraId="24C80631" w14:textId="77777777" w:rsidR="00515398" w:rsidRDefault="006711E6">
            <w:pPr>
              <w:pStyle w:val="P68B1DB1-Normal9"/>
              <w:spacing w:after="0" w:line="240" w:lineRule="auto"/>
              <w:rPr>
                <w:rFonts w:eastAsia="Times New Roman" w:cs="Calibri"/>
                <w:noProof/>
                <w:szCs w:val="18"/>
              </w:rPr>
            </w:pPr>
            <w:r>
              <w:rPr>
                <w:noProof/>
              </w:rPr>
              <w:t xml:space="preserve">13–4. Modernizace veřejné správy, mimo jiné urychlením </w:t>
            </w:r>
            <w:r>
              <w:rPr>
                <w:noProof/>
              </w:rPr>
              <w:t>provádění veřejných investic, zlepšením rámce pro zadávání veřejných zakázek, opatřeními na budování kapacit a bojem proti korupci – 16972_Reforma veřejné správy</w:t>
            </w:r>
          </w:p>
        </w:tc>
        <w:tc>
          <w:tcPr>
            <w:tcW w:w="966" w:type="dxa"/>
            <w:tcBorders>
              <w:top w:val="single" w:sz="4" w:space="0" w:color="auto"/>
              <w:left w:val="nil"/>
              <w:bottom w:val="single" w:sz="4" w:space="0" w:color="auto"/>
              <w:right w:val="single" w:sz="4" w:space="0" w:color="auto"/>
            </w:tcBorders>
            <w:shd w:val="clear" w:color="auto" w:fill="C6EFCE"/>
            <w:noWrap/>
          </w:tcPr>
          <w:p w14:paraId="28A23E73" w14:textId="77777777" w:rsidR="00515398" w:rsidRDefault="006711E6">
            <w:pPr>
              <w:pStyle w:val="P68B1DB1-Normal9"/>
              <w:spacing w:after="0" w:line="240" w:lineRule="auto"/>
              <w:rPr>
                <w:rFonts w:eastAsia="Times New Roman" w:cs="Calibri"/>
                <w:noProof/>
                <w:szCs w:val="18"/>
              </w:rPr>
            </w:pPr>
            <w:r>
              <w:rPr>
                <w:noProof/>
              </w:rPr>
              <w:t>Milník</w:t>
            </w:r>
          </w:p>
        </w:tc>
        <w:tc>
          <w:tcPr>
            <w:tcW w:w="1289" w:type="dxa"/>
            <w:tcBorders>
              <w:top w:val="single" w:sz="4" w:space="0" w:color="auto"/>
              <w:left w:val="nil"/>
              <w:bottom w:val="single" w:sz="4" w:space="0" w:color="auto"/>
              <w:right w:val="single" w:sz="4" w:space="0" w:color="auto"/>
            </w:tcBorders>
            <w:shd w:val="clear" w:color="auto" w:fill="C6EFCE"/>
            <w:noWrap/>
          </w:tcPr>
          <w:p w14:paraId="7342818A" w14:textId="77777777" w:rsidR="00515398" w:rsidRDefault="006711E6">
            <w:pPr>
              <w:pStyle w:val="P68B1DB1-Normal9"/>
              <w:spacing w:after="0" w:line="240" w:lineRule="auto"/>
              <w:rPr>
                <w:rFonts w:eastAsia="Times New Roman" w:cs="Calibri"/>
                <w:noProof/>
                <w:szCs w:val="18"/>
              </w:rPr>
            </w:pPr>
            <w:r>
              <w:rPr>
                <w:noProof/>
              </w:rPr>
              <w:t>Veřejná správa – spuštění systému odměňování výkonnosti</w:t>
            </w:r>
          </w:p>
          <w:p w14:paraId="59707B13" w14:textId="77777777" w:rsidR="00515398" w:rsidRDefault="00515398">
            <w:pPr>
              <w:spacing w:after="0" w:line="240" w:lineRule="auto"/>
              <w:rPr>
                <w:rFonts w:eastAsia="Times New Roman" w:cs="Calibri"/>
                <w:noProof/>
                <w:color w:val="006100"/>
                <w:sz w:val="18"/>
                <w:szCs w:val="18"/>
              </w:rPr>
            </w:pPr>
          </w:p>
        </w:tc>
        <w:tc>
          <w:tcPr>
            <w:tcW w:w="1713" w:type="dxa"/>
            <w:tcBorders>
              <w:top w:val="single" w:sz="4" w:space="0" w:color="auto"/>
              <w:left w:val="nil"/>
              <w:bottom w:val="single" w:sz="4" w:space="0" w:color="auto"/>
              <w:right w:val="single" w:sz="4" w:space="0" w:color="auto"/>
            </w:tcBorders>
            <w:shd w:val="clear" w:color="auto" w:fill="C6EFCE"/>
            <w:noWrap/>
          </w:tcPr>
          <w:p w14:paraId="4B2E7021" w14:textId="77777777" w:rsidR="00515398" w:rsidRDefault="006711E6">
            <w:pPr>
              <w:pStyle w:val="P68B1DB1-Normal9"/>
              <w:spacing w:after="0" w:line="240" w:lineRule="auto"/>
              <w:rPr>
                <w:rFonts w:eastAsia="Times New Roman" w:cs="Calibri"/>
                <w:noProof/>
                <w:szCs w:val="18"/>
              </w:rPr>
            </w:pPr>
            <w:r>
              <w:rPr>
                <w:noProof/>
              </w:rPr>
              <w:t>Vstup v platnost primárních pr</w:t>
            </w:r>
            <w:r>
              <w:rPr>
                <w:noProof/>
              </w:rPr>
              <w:t xml:space="preserve">ávních předpisů zavádějících pilotní systém odměňování. </w:t>
            </w:r>
          </w:p>
        </w:tc>
        <w:tc>
          <w:tcPr>
            <w:tcW w:w="1195" w:type="dxa"/>
            <w:tcBorders>
              <w:top w:val="single" w:sz="4" w:space="0" w:color="auto"/>
              <w:left w:val="nil"/>
              <w:bottom w:val="single" w:sz="4" w:space="0" w:color="auto"/>
              <w:right w:val="single" w:sz="4" w:space="0" w:color="auto"/>
            </w:tcBorders>
            <w:shd w:val="clear" w:color="auto" w:fill="C6EFCE"/>
            <w:noWrap/>
          </w:tcPr>
          <w:p w14:paraId="4F906EDD"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2F9FC0F" w14:textId="77777777" w:rsidR="00515398" w:rsidRDefault="00515398">
            <w:pPr>
              <w:spacing w:after="0" w:line="240" w:lineRule="auto"/>
              <w:rPr>
                <w:rFonts w:eastAsia="Times New Roman" w:cs="Calibri"/>
                <w:noProof/>
                <w:color w:val="006100"/>
                <w:sz w:val="18"/>
                <w:szCs w:val="18"/>
              </w:rPr>
            </w:pPr>
          </w:p>
        </w:tc>
        <w:tc>
          <w:tcPr>
            <w:tcW w:w="805" w:type="dxa"/>
            <w:tcBorders>
              <w:top w:val="nil"/>
              <w:left w:val="nil"/>
              <w:bottom w:val="single" w:sz="4" w:space="0" w:color="auto"/>
              <w:right w:val="single" w:sz="4" w:space="0" w:color="auto"/>
            </w:tcBorders>
            <w:shd w:val="clear" w:color="auto" w:fill="C6EFCE"/>
            <w:noWrap/>
          </w:tcPr>
          <w:p w14:paraId="7B47BB3D"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9E713AA" w14:textId="77777777" w:rsidR="00515398" w:rsidRDefault="006711E6">
            <w:pPr>
              <w:pStyle w:val="P68B1DB1-Normal9"/>
              <w:spacing w:after="0" w:line="240" w:lineRule="auto"/>
              <w:rPr>
                <w:rFonts w:eastAsia="Times New Roman" w:cs="Calibri"/>
                <w:noProof/>
                <w:szCs w:val="18"/>
              </w:rPr>
            </w:pPr>
            <w:r>
              <w:rPr>
                <w:noProof/>
              </w:rPr>
              <w:t>ČTVRTLETÍ</w:t>
            </w:r>
          </w:p>
        </w:tc>
        <w:tc>
          <w:tcPr>
            <w:tcW w:w="827" w:type="dxa"/>
            <w:tcBorders>
              <w:top w:val="nil"/>
              <w:left w:val="nil"/>
              <w:bottom w:val="single" w:sz="4" w:space="0" w:color="auto"/>
              <w:right w:val="single" w:sz="4" w:space="0" w:color="auto"/>
            </w:tcBorders>
            <w:shd w:val="clear" w:color="auto" w:fill="C6EFCE"/>
            <w:noWrap/>
          </w:tcPr>
          <w:p w14:paraId="00EA2805" w14:textId="77777777" w:rsidR="00515398" w:rsidRDefault="006711E6">
            <w:pPr>
              <w:pStyle w:val="P68B1DB1-Normal9"/>
              <w:spacing w:after="0" w:line="240" w:lineRule="auto"/>
              <w:rPr>
                <w:rFonts w:eastAsia="Times New Roman" w:cs="Calibri"/>
                <w:noProof/>
                <w:szCs w:val="18"/>
              </w:rPr>
            </w:pPr>
            <w:r>
              <w:rPr>
                <w:noProof/>
              </w:rPr>
              <w:t>2022</w:t>
            </w:r>
          </w:p>
        </w:tc>
        <w:tc>
          <w:tcPr>
            <w:tcW w:w="4819" w:type="dxa"/>
            <w:tcBorders>
              <w:top w:val="single" w:sz="4" w:space="0" w:color="auto"/>
              <w:left w:val="nil"/>
              <w:bottom w:val="single" w:sz="4" w:space="0" w:color="auto"/>
              <w:right w:val="single" w:sz="4" w:space="0" w:color="auto"/>
            </w:tcBorders>
            <w:shd w:val="clear" w:color="auto" w:fill="C6EFCE"/>
            <w:noWrap/>
          </w:tcPr>
          <w:p w14:paraId="320DF154" w14:textId="77777777" w:rsidR="00515398" w:rsidRDefault="006711E6">
            <w:pPr>
              <w:pStyle w:val="P68B1DB1-Normal9"/>
              <w:spacing w:after="0" w:line="240" w:lineRule="auto"/>
              <w:rPr>
                <w:rFonts w:eastAsia="Times New Roman" w:cs="Calibri"/>
                <w:noProof/>
                <w:szCs w:val="18"/>
              </w:rPr>
            </w:pPr>
            <w:r>
              <w:rPr>
                <w:noProof/>
              </w:rPr>
              <w:t xml:space="preserve">Vstup v platnost primárních právních předpisů pro spuštění systému odměňování za výkonnost pro určitý počet pilotních subjektů a až 6000 státních zaměstnanců, které budou podkladem </w:t>
            </w:r>
            <w:r>
              <w:rPr>
                <w:noProof/>
              </w:rPr>
              <w:t>pro širší reformu zavádějící systém řízení cílů (viz milník 4. čtvrtletí 2023). Pilotní projekt se vztahuje na úředníky zapojené do provádění plánu pro oživení a odolnost. Klíčové prvky systému musí být v souladu s jednotnou mzdovou tabulkou (zákon 4354/20</w:t>
            </w:r>
            <w:r>
              <w:rPr>
                <w:noProof/>
              </w:rPr>
              <w:t>15).</w:t>
            </w:r>
          </w:p>
        </w:tc>
      </w:tr>
      <w:tr w:rsidR="00515398" w14:paraId="47E15C2D"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1EB541CE" w14:textId="77777777" w:rsidR="00515398" w:rsidRDefault="006711E6">
            <w:pPr>
              <w:pStyle w:val="P68B1DB1-Normal9"/>
              <w:spacing w:after="0" w:line="240" w:lineRule="auto"/>
              <w:rPr>
                <w:rFonts w:eastAsia="Times New Roman" w:cs="Calibri"/>
                <w:noProof/>
                <w:szCs w:val="18"/>
              </w:rPr>
            </w:pPr>
            <w:r>
              <w:rPr>
                <w:noProof/>
              </w:rPr>
              <w:t>206</w:t>
            </w:r>
          </w:p>
        </w:tc>
        <w:tc>
          <w:tcPr>
            <w:tcW w:w="1527" w:type="dxa"/>
            <w:tcBorders>
              <w:top w:val="nil"/>
              <w:left w:val="nil"/>
              <w:bottom w:val="single" w:sz="4" w:space="0" w:color="auto"/>
              <w:right w:val="single" w:sz="4" w:space="0" w:color="auto"/>
            </w:tcBorders>
            <w:shd w:val="clear" w:color="auto" w:fill="C6EFCE"/>
            <w:noWrap/>
          </w:tcPr>
          <w:p w14:paraId="2AAA4D36" w14:textId="77777777" w:rsidR="00515398" w:rsidRDefault="006711E6">
            <w:pPr>
              <w:pStyle w:val="P68B1DB1-Normal9"/>
              <w:spacing w:after="0" w:line="240" w:lineRule="auto"/>
              <w:rPr>
                <w:rFonts w:eastAsia="Times New Roman" w:cs="Calibri"/>
                <w:noProof/>
                <w:szCs w:val="18"/>
              </w:rPr>
            </w:pPr>
            <w:r>
              <w:rPr>
                <w:noProof/>
              </w:rPr>
              <w:t>13–4. Modernizace veřejné správy, mimo jiné urychlením provádění veřejných investic, zlepšením rámce pro zadávání veřejných zakázek, opatřeními na budování kapacit a bojem proti korupci – 16972_Reforma veřejné správy</w:t>
            </w:r>
          </w:p>
        </w:tc>
        <w:tc>
          <w:tcPr>
            <w:tcW w:w="966" w:type="dxa"/>
            <w:tcBorders>
              <w:top w:val="nil"/>
              <w:left w:val="nil"/>
              <w:bottom w:val="single" w:sz="4" w:space="0" w:color="auto"/>
              <w:right w:val="single" w:sz="4" w:space="0" w:color="auto"/>
            </w:tcBorders>
            <w:shd w:val="clear" w:color="auto" w:fill="C6EFCE"/>
            <w:noWrap/>
          </w:tcPr>
          <w:p w14:paraId="6260CE22" w14:textId="77777777" w:rsidR="00515398" w:rsidRDefault="006711E6">
            <w:pPr>
              <w:pStyle w:val="P68B1DB1-Normal9"/>
              <w:spacing w:after="0" w:line="240" w:lineRule="auto"/>
              <w:rPr>
                <w:rFonts w:eastAsia="Times New Roman" w:cs="Calibri"/>
                <w:noProof/>
                <w:szCs w:val="18"/>
              </w:rPr>
            </w:pPr>
            <w:r>
              <w:rPr>
                <w:noProof/>
              </w:rPr>
              <w:t>Milník</w:t>
            </w:r>
          </w:p>
        </w:tc>
        <w:tc>
          <w:tcPr>
            <w:tcW w:w="1289" w:type="dxa"/>
            <w:tcBorders>
              <w:top w:val="nil"/>
              <w:left w:val="nil"/>
              <w:bottom w:val="single" w:sz="4" w:space="0" w:color="auto"/>
              <w:right w:val="single" w:sz="4" w:space="0" w:color="auto"/>
            </w:tcBorders>
            <w:shd w:val="clear" w:color="auto" w:fill="C6EFCE"/>
            <w:noWrap/>
          </w:tcPr>
          <w:p w14:paraId="36D0CD10" w14:textId="77777777" w:rsidR="00515398" w:rsidRDefault="006711E6">
            <w:pPr>
              <w:pStyle w:val="P68B1DB1-Normal9"/>
              <w:spacing w:after="0" w:line="240" w:lineRule="auto"/>
              <w:rPr>
                <w:rFonts w:eastAsia="Times New Roman" w:cs="Calibri"/>
                <w:noProof/>
                <w:szCs w:val="18"/>
              </w:rPr>
            </w:pPr>
            <w:r>
              <w:rPr>
                <w:noProof/>
              </w:rPr>
              <w:t xml:space="preserve">Veřejná správa – </w:t>
            </w:r>
            <w:r>
              <w:rPr>
                <w:noProof/>
              </w:rPr>
              <w:t>legislativní rámec pro vyjasnění mandátů</w:t>
            </w:r>
          </w:p>
        </w:tc>
        <w:tc>
          <w:tcPr>
            <w:tcW w:w="1713" w:type="dxa"/>
            <w:tcBorders>
              <w:top w:val="nil"/>
              <w:left w:val="nil"/>
              <w:bottom w:val="single" w:sz="4" w:space="0" w:color="auto"/>
              <w:right w:val="single" w:sz="4" w:space="0" w:color="auto"/>
            </w:tcBorders>
            <w:shd w:val="clear" w:color="auto" w:fill="C6EFCE"/>
            <w:noWrap/>
          </w:tcPr>
          <w:p w14:paraId="0357A912" w14:textId="77777777" w:rsidR="00515398" w:rsidRDefault="006711E6">
            <w:pPr>
              <w:pStyle w:val="P68B1DB1-Normal9"/>
              <w:spacing w:after="0" w:line="240" w:lineRule="auto"/>
              <w:rPr>
                <w:rFonts w:eastAsia="Times New Roman" w:cs="Calibri"/>
                <w:noProof/>
                <w:szCs w:val="18"/>
              </w:rPr>
            </w:pPr>
            <w:r>
              <w:rPr>
                <w:noProof/>
              </w:rPr>
              <w:t xml:space="preserve">Vstup v platnost právních předpisů, kterými se mění legislativní rámec vládních institucí na ústřední, regionální a místní úrovni. </w:t>
            </w:r>
          </w:p>
        </w:tc>
        <w:tc>
          <w:tcPr>
            <w:tcW w:w="1195" w:type="dxa"/>
            <w:tcBorders>
              <w:top w:val="nil"/>
              <w:left w:val="nil"/>
              <w:bottom w:val="single" w:sz="4" w:space="0" w:color="auto"/>
              <w:right w:val="single" w:sz="4" w:space="0" w:color="auto"/>
            </w:tcBorders>
            <w:shd w:val="clear" w:color="auto" w:fill="C6EFCE"/>
            <w:noWrap/>
          </w:tcPr>
          <w:p w14:paraId="54FDCB3D"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76AC9BD" w14:textId="77777777" w:rsidR="00515398" w:rsidRDefault="00515398">
            <w:pPr>
              <w:spacing w:after="0" w:line="240" w:lineRule="auto"/>
              <w:rPr>
                <w:rFonts w:eastAsia="Times New Roman" w:cs="Calibri"/>
                <w:noProof/>
                <w:color w:val="006100"/>
                <w:sz w:val="18"/>
                <w:szCs w:val="18"/>
              </w:rPr>
            </w:pPr>
          </w:p>
        </w:tc>
        <w:tc>
          <w:tcPr>
            <w:tcW w:w="805" w:type="dxa"/>
            <w:tcBorders>
              <w:top w:val="nil"/>
              <w:left w:val="nil"/>
              <w:bottom w:val="single" w:sz="4" w:space="0" w:color="auto"/>
              <w:right w:val="single" w:sz="4" w:space="0" w:color="auto"/>
            </w:tcBorders>
            <w:shd w:val="clear" w:color="auto" w:fill="C6EFCE"/>
            <w:noWrap/>
          </w:tcPr>
          <w:p w14:paraId="46CA24B0"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3EE4349" w14:textId="77777777" w:rsidR="00515398" w:rsidRDefault="006711E6">
            <w:pPr>
              <w:pStyle w:val="P68B1DB1-Normal9"/>
              <w:spacing w:after="0" w:line="240" w:lineRule="auto"/>
              <w:rPr>
                <w:rFonts w:eastAsia="Times New Roman" w:cs="Calibri"/>
                <w:noProof/>
                <w:szCs w:val="18"/>
              </w:rPr>
            </w:pPr>
            <w:r>
              <w:rPr>
                <w:noProof/>
              </w:rPr>
              <w:t>ČTVRTLETÍ 3</w:t>
            </w:r>
          </w:p>
        </w:tc>
        <w:tc>
          <w:tcPr>
            <w:tcW w:w="827" w:type="dxa"/>
            <w:tcBorders>
              <w:top w:val="nil"/>
              <w:left w:val="nil"/>
              <w:bottom w:val="single" w:sz="4" w:space="0" w:color="auto"/>
              <w:right w:val="single" w:sz="4" w:space="0" w:color="auto"/>
            </w:tcBorders>
            <w:shd w:val="clear" w:color="auto" w:fill="C6EFCE"/>
            <w:noWrap/>
          </w:tcPr>
          <w:p w14:paraId="76982F11" w14:textId="77777777" w:rsidR="00515398" w:rsidRDefault="006711E6">
            <w:pPr>
              <w:pStyle w:val="P68B1DB1-Normal9"/>
              <w:spacing w:after="0" w:line="240" w:lineRule="auto"/>
              <w:rPr>
                <w:rFonts w:eastAsia="Times New Roman" w:cs="Calibri"/>
                <w:noProof/>
                <w:szCs w:val="18"/>
              </w:rPr>
            </w:pPr>
            <w:r>
              <w:rPr>
                <w:noProof/>
              </w:rPr>
              <w:t>2022</w:t>
            </w:r>
          </w:p>
        </w:tc>
        <w:tc>
          <w:tcPr>
            <w:tcW w:w="4819" w:type="dxa"/>
            <w:tcBorders>
              <w:top w:val="nil"/>
              <w:left w:val="nil"/>
              <w:bottom w:val="single" w:sz="4" w:space="0" w:color="auto"/>
              <w:right w:val="single" w:sz="4" w:space="0" w:color="auto"/>
            </w:tcBorders>
            <w:shd w:val="clear" w:color="auto" w:fill="C6EFCE"/>
            <w:noWrap/>
          </w:tcPr>
          <w:p w14:paraId="4752A06D" w14:textId="77777777" w:rsidR="00515398" w:rsidRDefault="006711E6">
            <w:pPr>
              <w:pStyle w:val="P68B1DB1-Normal9"/>
              <w:spacing w:after="0" w:line="240" w:lineRule="auto"/>
              <w:rPr>
                <w:rFonts w:eastAsia="Times New Roman" w:cs="Calibri"/>
                <w:noProof/>
                <w:szCs w:val="18"/>
              </w:rPr>
            </w:pPr>
            <w:r>
              <w:rPr>
                <w:noProof/>
              </w:rPr>
              <w:t>Vstup v platnost revidovaných primárních a sekundárních právníc</w:t>
            </w:r>
            <w:r>
              <w:rPr>
                <w:noProof/>
              </w:rPr>
              <w:t>h předpisů s cílem zavést systém přidělování víceúrovňové správy, jehož cílem je vyjasnit odpovědnost mezi všemi úrovněmi veřejné správy a řešit překrývání. Revidovaný právní rámec stanoví oblasti odpovědnosti každého subjektu týkající se plánování a prová</w:t>
            </w:r>
            <w:r>
              <w:rPr>
                <w:noProof/>
              </w:rPr>
              <w:t>dění, včetně funkcí, jako je zajištění zdrojů a odpovědnost za monitorování a hodnocení.</w:t>
            </w:r>
          </w:p>
        </w:tc>
      </w:tr>
      <w:tr w:rsidR="00515398" w14:paraId="6350578F"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B99F760" w14:textId="77777777" w:rsidR="00515398" w:rsidRDefault="006711E6">
            <w:pPr>
              <w:pStyle w:val="P68B1DB1-Normal9"/>
              <w:spacing w:after="0" w:line="240" w:lineRule="auto"/>
              <w:rPr>
                <w:rFonts w:eastAsia="Times New Roman" w:cs="Calibri"/>
                <w:noProof/>
                <w:szCs w:val="18"/>
              </w:rPr>
            </w:pPr>
            <w:r>
              <w:rPr>
                <w:noProof/>
              </w:rPr>
              <w:t>207</w:t>
            </w:r>
          </w:p>
        </w:tc>
        <w:tc>
          <w:tcPr>
            <w:tcW w:w="1527" w:type="dxa"/>
            <w:tcBorders>
              <w:top w:val="nil"/>
              <w:left w:val="nil"/>
              <w:bottom w:val="single" w:sz="4" w:space="0" w:color="auto"/>
              <w:right w:val="single" w:sz="4" w:space="0" w:color="auto"/>
            </w:tcBorders>
            <w:shd w:val="clear" w:color="auto" w:fill="C6EFCE"/>
            <w:noWrap/>
          </w:tcPr>
          <w:p w14:paraId="4CB3ED39" w14:textId="77777777" w:rsidR="00515398" w:rsidRDefault="006711E6">
            <w:pPr>
              <w:pStyle w:val="P68B1DB1-Normal9"/>
              <w:spacing w:after="0" w:line="240" w:lineRule="auto"/>
              <w:rPr>
                <w:rFonts w:eastAsia="Times New Roman" w:cs="Calibri"/>
                <w:noProof/>
                <w:szCs w:val="18"/>
              </w:rPr>
            </w:pPr>
            <w:r>
              <w:rPr>
                <w:noProof/>
              </w:rPr>
              <w:t>13–4. Modernizace veřejné správy, mimo jiné urychlením provádění veřejných investic, zlepšením rámce pro zadávání veřejných zakázek, opatřeními na budování</w:t>
            </w:r>
            <w:r>
              <w:rPr>
                <w:noProof/>
              </w:rPr>
              <w:t xml:space="preserve"> kapacit a bojem proti korupci – 16972_Reforma veřejné správy</w:t>
            </w:r>
          </w:p>
        </w:tc>
        <w:tc>
          <w:tcPr>
            <w:tcW w:w="966" w:type="dxa"/>
            <w:tcBorders>
              <w:top w:val="nil"/>
              <w:left w:val="nil"/>
              <w:bottom w:val="single" w:sz="4" w:space="0" w:color="auto"/>
              <w:right w:val="single" w:sz="4" w:space="0" w:color="auto"/>
            </w:tcBorders>
            <w:shd w:val="clear" w:color="auto" w:fill="C6EFCE"/>
            <w:noWrap/>
          </w:tcPr>
          <w:p w14:paraId="2DA08B42" w14:textId="77777777" w:rsidR="00515398" w:rsidRDefault="006711E6">
            <w:pPr>
              <w:pStyle w:val="P68B1DB1-Normal9"/>
              <w:spacing w:after="0" w:line="240" w:lineRule="auto"/>
              <w:rPr>
                <w:rFonts w:eastAsia="Times New Roman" w:cs="Calibri"/>
                <w:noProof/>
                <w:szCs w:val="18"/>
              </w:rPr>
            </w:pPr>
            <w:r>
              <w:rPr>
                <w:noProof/>
              </w:rPr>
              <w:t>Milník</w:t>
            </w:r>
          </w:p>
        </w:tc>
        <w:tc>
          <w:tcPr>
            <w:tcW w:w="1289" w:type="dxa"/>
            <w:tcBorders>
              <w:top w:val="nil"/>
              <w:left w:val="nil"/>
              <w:bottom w:val="single" w:sz="4" w:space="0" w:color="auto"/>
              <w:right w:val="single" w:sz="4" w:space="0" w:color="auto"/>
            </w:tcBorders>
            <w:shd w:val="clear" w:color="auto" w:fill="C6EFCE"/>
            <w:noWrap/>
          </w:tcPr>
          <w:p w14:paraId="030B3DDE" w14:textId="77777777" w:rsidR="00515398" w:rsidRDefault="006711E6">
            <w:pPr>
              <w:pStyle w:val="P68B1DB1-Normal9"/>
              <w:spacing w:after="0" w:line="240" w:lineRule="auto"/>
              <w:rPr>
                <w:rFonts w:eastAsia="Times New Roman" w:cs="Calibri"/>
                <w:noProof/>
                <w:szCs w:val="18"/>
              </w:rPr>
            </w:pPr>
            <w:r>
              <w:rPr>
                <w:noProof/>
              </w:rPr>
              <w:t>Veřejná správa – nový systém odměňování</w:t>
            </w:r>
          </w:p>
        </w:tc>
        <w:tc>
          <w:tcPr>
            <w:tcW w:w="1713" w:type="dxa"/>
            <w:tcBorders>
              <w:top w:val="nil"/>
              <w:left w:val="nil"/>
              <w:bottom w:val="single" w:sz="4" w:space="0" w:color="auto"/>
              <w:right w:val="single" w:sz="4" w:space="0" w:color="auto"/>
            </w:tcBorders>
            <w:shd w:val="clear" w:color="auto" w:fill="C6EFCE"/>
            <w:noWrap/>
          </w:tcPr>
          <w:p w14:paraId="61512DC9" w14:textId="77777777" w:rsidR="00515398" w:rsidRDefault="006711E6">
            <w:pPr>
              <w:pStyle w:val="P68B1DB1-Normal9"/>
              <w:spacing w:after="0" w:line="240" w:lineRule="auto"/>
              <w:rPr>
                <w:rFonts w:eastAsia="Times New Roman" w:cs="Calibri"/>
                <w:noProof/>
                <w:szCs w:val="18"/>
              </w:rPr>
            </w:pPr>
            <w:r>
              <w:rPr>
                <w:noProof/>
              </w:rPr>
              <w:t>Vstup v platnost primárního právního předpisu, kterým se zavádí systém odměňování.</w:t>
            </w:r>
          </w:p>
        </w:tc>
        <w:tc>
          <w:tcPr>
            <w:tcW w:w="1195" w:type="dxa"/>
            <w:tcBorders>
              <w:top w:val="nil"/>
              <w:left w:val="nil"/>
              <w:bottom w:val="single" w:sz="4" w:space="0" w:color="auto"/>
              <w:right w:val="single" w:sz="4" w:space="0" w:color="auto"/>
            </w:tcBorders>
            <w:shd w:val="clear" w:color="auto" w:fill="C6EFCE"/>
            <w:noWrap/>
          </w:tcPr>
          <w:p w14:paraId="02566472"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7582D86" w14:textId="77777777" w:rsidR="00515398" w:rsidRDefault="00515398">
            <w:pPr>
              <w:spacing w:after="0" w:line="240" w:lineRule="auto"/>
              <w:rPr>
                <w:rFonts w:eastAsia="Times New Roman" w:cs="Calibri"/>
                <w:noProof/>
                <w:color w:val="006100"/>
                <w:sz w:val="18"/>
                <w:szCs w:val="18"/>
              </w:rPr>
            </w:pPr>
          </w:p>
        </w:tc>
        <w:tc>
          <w:tcPr>
            <w:tcW w:w="805" w:type="dxa"/>
            <w:tcBorders>
              <w:top w:val="nil"/>
              <w:left w:val="nil"/>
              <w:bottom w:val="single" w:sz="4" w:space="0" w:color="auto"/>
              <w:right w:val="single" w:sz="4" w:space="0" w:color="auto"/>
            </w:tcBorders>
            <w:shd w:val="clear" w:color="auto" w:fill="C6EFCE"/>
            <w:noWrap/>
          </w:tcPr>
          <w:p w14:paraId="1CD74BCB"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0A837AA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27" w:type="dxa"/>
            <w:tcBorders>
              <w:top w:val="nil"/>
              <w:left w:val="nil"/>
              <w:bottom w:val="single" w:sz="4" w:space="0" w:color="auto"/>
              <w:right w:val="single" w:sz="4" w:space="0" w:color="auto"/>
            </w:tcBorders>
            <w:shd w:val="clear" w:color="auto" w:fill="C6EFCE"/>
            <w:noWrap/>
          </w:tcPr>
          <w:p w14:paraId="7103F15D" w14:textId="77777777" w:rsidR="00515398" w:rsidRDefault="006711E6">
            <w:pPr>
              <w:pStyle w:val="P68B1DB1-Normal9"/>
              <w:spacing w:after="0" w:line="240" w:lineRule="auto"/>
              <w:rPr>
                <w:rFonts w:eastAsia="Times New Roman" w:cs="Calibri"/>
                <w:noProof/>
                <w:szCs w:val="18"/>
              </w:rPr>
            </w:pPr>
            <w:r>
              <w:rPr>
                <w:noProof/>
              </w:rPr>
              <w:t>2023</w:t>
            </w:r>
          </w:p>
        </w:tc>
        <w:tc>
          <w:tcPr>
            <w:tcW w:w="4819" w:type="dxa"/>
            <w:tcBorders>
              <w:top w:val="nil"/>
              <w:left w:val="nil"/>
              <w:bottom w:val="single" w:sz="4" w:space="0" w:color="auto"/>
              <w:right w:val="single" w:sz="4" w:space="0" w:color="auto"/>
            </w:tcBorders>
            <w:shd w:val="clear" w:color="auto" w:fill="C6EFCE"/>
            <w:noWrap/>
          </w:tcPr>
          <w:p w14:paraId="3F4F6130" w14:textId="77777777" w:rsidR="00515398" w:rsidRDefault="006711E6">
            <w:pPr>
              <w:pStyle w:val="P68B1DB1-Normal9"/>
              <w:spacing w:after="0" w:line="240" w:lineRule="auto"/>
              <w:rPr>
                <w:rFonts w:eastAsia="Times New Roman" w:cs="Calibri"/>
                <w:noProof/>
                <w:szCs w:val="18"/>
              </w:rPr>
            </w:pPr>
            <w:r>
              <w:rPr>
                <w:noProof/>
              </w:rPr>
              <w:t xml:space="preserve">Vstup v platnost primárních právních </w:t>
            </w:r>
            <w:r>
              <w:rPr>
                <w:noProof/>
              </w:rPr>
              <w:t>předpisů zavádějících systém řízení cílů, jehož cílem je spravedlivě a důsledně odměňovat veřejné organizace po dosažení předem stanovených cílů. Klíčové prvky systému musí být v souladu s jednotnou mzdovou tabulkou (zákon 4354/2015).</w:t>
            </w:r>
          </w:p>
        </w:tc>
      </w:tr>
      <w:tr w:rsidR="00515398" w14:paraId="3A2D56EC"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1C3C0316" w14:textId="77777777" w:rsidR="00515398" w:rsidRDefault="006711E6">
            <w:pPr>
              <w:pStyle w:val="P68B1DB1-Normal9"/>
              <w:spacing w:after="0" w:line="240" w:lineRule="auto"/>
              <w:rPr>
                <w:rFonts w:eastAsia="Times New Roman" w:cs="Calibri"/>
                <w:noProof/>
                <w:szCs w:val="18"/>
              </w:rPr>
            </w:pPr>
            <w:r>
              <w:rPr>
                <w:noProof/>
              </w:rPr>
              <w:t>208</w:t>
            </w:r>
          </w:p>
        </w:tc>
        <w:tc>
          <w:tcPr>
            <w:tcW w:w="1527" w:type="dxa"/>
            <w:tcBorders>
              <w:top w:val="nil"/>
              <w:left w:val="nil"/>
              <w:bottom w:val="single" w:sz="4" w:space="0" w:color="auto"/>
              <w:right w:val="single" w:sz="4" w:space="0" w:color="auto"/>
            </w:tcBorders>
            <w:shd w:val="clear" w:color="auto" w:fill="C6EFCE"/>
            <w:noWrap/>
          </w:tcPr>
          <w:p w14:paraId="454F1951" w14:textId="77777777" w:rsidR="00515398" w:rsidRDefault="006711E6">
            <w:pPr>
              <w:pStyle w:val="P68B1DB1-Normal9"/>
              <w:spacing w:after="0" w:line="240" w:lineRule="auto"/>
              <w:rPr>
                <w:rFonts w:eastAsia="Times New Roman" w:cs="Calibri"/>
                <w:noProof/>
                <w:szCs w:val="18"/>
              </w:rPr>
            </w:pPr>
            <w:r>
              <w:rPr>
                <w:noProof/>
              </w:rPr>
              <w:t xml:space="preserve">13–4. </w:t>
            </w:r>
            <w:r>
              <w:rPr>
                <w:noProof/>
              </w:rPr>
              <w:t>Modernizace veřejné správy, mimo jiné urychlením provádění veřejných investic, zlepšením rámce pro zadávání veřejných zakázek, opatřeními na budování kapacit a bojem proti korupci – 16972_Reforma veřejné správy</w:t>
            </w:r>
          </w:p>
        </w:tc>
        <w:tc>
          <w:tcPr>
            <w:tcW w:w="966" w:type="dxa"/>
            <w:tcBorders>
              <w:top w:val="nil"/>
              <w:left w:val="nil"/>
              <w:bottom w:val="single" w:sz="4" w:space="0" w:color="auto"/>
              <w:right w:val="single" w:sz="4" w:space="0" w:color="auto"/>
            </w:tcBorders>
            <w:shd w:val="clear" w:color="auto" w:fill="C6EFCE"/>
            <w:noWrap/>
          </w:tcPr>
          <w:p w14:paraId="068B065B" w14:textId="77777777" w:rsidR="00515398" w:rsidRDefault="006711E6">
            <w:pPr>
              <w:pStyle w:val="P68B1DB1-Normal9"/>
              <w:spacing w:after="0" w:line="240" w:lineRule="auto"/>
              <w:rPr>
                <w:rFonts w:eastAsia="Times New Roman" w:cs="Calibri"/>
                <w:noProof/>
                <w:szCs w:val="18"/>
              </w:rPr>
            </w:pPr>
            <w:r>
              <w:rPr>
                <w:noProof/>
              </w:rPr>
              <w:t>Cílová</w:t>
            </w:r>
          </w:p>
        </w:tc>
        <w:tc>
          <w:tcPr>
            <w:tcW w:w="1289" w:type="dxa"/>
            <w:tcBorders>
              <w:top w:val="nil"/>
              <w:left w:val="nil"/>
              <w:bottom w:val="single" w:sz="4" w:space="0" w:color="auto"/>
              <w:right w:val="single" w:sz="4" w:space="0" w:color="auto"/>
            </w:tcBorders>
            <w:shd w:val="clear" w:color="auto" w:fill="C6EFCE"/>
            <w:noWrap/>
          </w:tcPr>
          <w:p w14:paraId="1E7F80F1" w14:textId="77777777" w:rsidR="00515398" w:rsidRDefault="006711E6">
            <w:pPr>
              <w:pStyle w:val="P68B1DB1-Normal9"/>
              <w:spacing w:after="0" w:line="240" w:lineRule="auto"/>
              <w:rPr>
                <w:rFonts w:eastAsia="Times New Roman" w:cs="Calibri"/>
                <w:noProof/>
                <w:szCs w:val="18"/>
              </w:rPr>
            </w:pPr>
            <w:r>
              <w:rPr>
                <w:noProof/>
              </w:rPr>
              <w:t>Veřejná správa – dokončení odborné pří</w:t>
            </w:r>
            <w:r>
              <w:rPr>
                <w:noProof/>
              </w:rPr>
              <w:t>pravy státních zaměstnanců</w:t>
            </w:r>
          </w:p>
          <w:p w14:paraId="1C8253A7" w14:textId="77777777" w:rsidR="00515398" w:rsidRDefault="00515398">
            <w:pPr>
              <w:spacing w:after="0" w:line="240" w:lineRule="auto"/>
              <w:rPr>
                <w:rFonts w:eastAsia="Times New Roman" w:cs="Calibri"/>
                <w:noProof/>
                <w:color w:val="006100"/>
                <w:sz w:val="18"/>
                <w:szCs w:val="18"/>
              </w:rPr>
            </w:pPr>
          </w:p>
          <w:p w14:paraId="4ECFE6B0" w14:textId="77777777" w:rsidR="00515398" w:rsidRDefault="006711E6">
            <w:pPr>
              <w:pStyle w:val="P68B1DB1-Normal9"/>
              <w:spacing w:after="0" w:line="240" w:lineRule="auto"/>
              <w:rPr>
                <w:rFonts w:eastAsia="Times New Roman" w:cs="Calibri"/>
                <w:noProof/>
                <w:szCs w:val="18"/>
              </w:rPr>
            </w:pPr>
            <w:r>
              <w:rPr>
                <w:noProof/>
              </w:rPr>
              <w:t>Dokončení akcí souvisejících s náborovými postupy a strategickým plánováním pracovních sil</w:t>
            </w:r>
          </w:p>
        </w:tc>
        <w:tc>
          <w:tcPr>
            <w:tcW w:w="1713" w:type="dxa"/>
            <w:tcBorders>
              <w:top w:val="nil"/>
              <w:left w:val="nil"/>
              <w:bottom w:val="single" w:sz="4" w:space="0" w:color="auto"/>
              <w:right w:val="single" w:sz="4" w:space="0" w:color="auto"/>
            </w:tcBorders>
            <w:shd w:val="clear" w:color="auto" w:fill="C6EFCE"/>
            <w:noWrap/>
          </w:tcPr>
          <w:p w14:paraId="18D1D08C" w14:textId="77777777" w:rsidR="00515398" w:rsidRDefault="00515398">
            <w:pPr>
              <w:spacing w:after="0" w:line="240" w:lineRule="auto"/>
              <w:rPr>
                <w:rFonts w:eastAsia="Times New Roman" w:cs="Calibri"/>
                <w:noProof/>
                <w:color w:val="006100"/>
                <w:sz w:val="18"/>
                <w:szCs w:val="18"/>
              </w:rPr>
            </w:pPr>
          </w:p>
        </w:tc>
        <w:tc>
          <w:tcPr>
            <w:tcW w:w="1195" w:type="dxa"/>
            <w:tcBorders>
              <w:top w:val="nil"/>
              <w:left w:val="nil"/>
              <w:bottom w:val="single" w:sz="4" w:space="0" w:color="auto"/>
              <w:right w:val="single" w:sz="4" w:space="0" w:color="auto"/>
            </w:tcBorders>
            <w:shd w:val="clear" w:color="auto" w:fill="C6EFCE"/>
            <w:noWrap/>
          </w:tcPr>
          <w:p w14:paraId="443A3FD5" w14:textId="77777777" w:rsidR="00515398" w:rsidRDefault="006711E6">
            <w:pPr>
              <w:pStyle w:val="P68B1DB1-Normal9"/>
              <w:spacing w:after="0" w:line="240" w:lineRule="auto"/>
              <w:rPr>
                <w:rFonts w:eastAsia="Times New Roman" w:cs="Calibri"/>
                <w:noProof/>
                <w:szCs w:val="18"/>
              </w:rPr>
            </w:pPr>
            <w:r>
              <w:rPr>
                <w:noProof/>
              </w:rPr>
              <w:t>Počet účastníků, kteří absolvovali programy odborné přípravy.</w:t>
            </w:r>
          </w:p>
        </w:tc>
        <w:tc>
          <w:tcPr>
            <w:tcW w:w="857" w:type="dxa"/>
            <w:tcBorders>
              <w:top w:val="nil"/>
              <w:left w:val="nil"/>
              <w:bottom w:val="single" w:sz="4" w:space="0" w:color="auto"/>
              <w:right w:val="single" w:sz="4" w:space="0" w:color="auto"/>
            </w:tcBorders>
            <w:shd w:val="clear" w:color="auto" w:fill="C6EFCE"/>
            <w:noWrap/>
          </w:tcPr>
          <w:p w14:paraId="09AFB855" w14:textId="77777777" w:rsidR="00515398" w:rsidRDefault="006711E6">
            <w:pPr>
              <w:pStyle w:val="P68B1DB1-Normal9"/>
              <w:spacing w:after="0" w:line="240" w:lineRule="auto"/>
              <w:rPr>
                <w:rFonts w:eastAsia="Times New Roman" w:cs="Calibri"/>
                <w:noProof/>
                <w:szCs w:val="18"/>
              </w:rPr>
            </w:pPr>
            <w:r>
              <w:rPr>
                <w:noProof/>
              </w:rPr>
              <w:t>0</w:t>
            </w:r>
          </w:p>
        </w:tc>
        <w:tc>
          <w:tcPr>
            <w:tcW w:w="805" w:type="dxa"/>
            <w:tcBorders>
              <w:top w:val="nil"/>
              <w:left w:val="nil"/>
              <w:bottom w:val="single" w:sz="4" w:space="0" w:color="auto"/>
              <w:right w:val="single" w:sz="4" w:space="0" w:color="auto"/>
            </w:tcBorders>
            <w:shd w:val="clear" w:color="auto" w:fill="C6EFCE"/>
            <w:noWrap/>
          </w:tcPr>
          <w:p w14:paraId="353F4236" w14:textId="46947811" w:rsidR="00515398" w:rsidRDefault="006711E6">
            <w:pPr>
              <w:pStyle w:val="P68B1DB1-Normal9"/>
              <w:spacing w:after="0" w:line="240" w:lineRule="auto"/>
              <w:rPr>
                <w:rFonts w:eastAsia="Times New Roman" w:cs="Calibri"/>
                <w:noProof/>
                <w:szCs w:val="18"/>
              </w:rPr>
            </w:pPr>
            <w:r>
              <w:rPr>
                <w:noProof/>
              </w:rPr>
              <w:t>225 000</w:t>
            </w:r>
          </w:p>
        </w:tc>
        <w:tc>
          <w:tcPr>
            <w:tcW w:w="846" w:type="dxa"/>
            <w:tcBorders>
              <w:top w:val="nil"/>
              <w:left w:val="nil"/>
              <w:bottom w:val="single" w:sz="4" w:space="0" w:color="auto"/>
              <w:right w:val="single" w:sz="4" w:space="0" w:color="auto"/>
            </w:tcBorders>
            <w:shd w:val="clear" w:color="auto" w:fill="C6EFCE"/>
            <w:noWrap/>
          </w:tcPr>
          <w:p w14:paraId="56DBE75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27" w:type="dxa"/>
            <w:tcBorders>
              <w:top w:val="nil"/>
              <w:left w:val="nil"/>
              <w:bottom w:val="single" w:sz="4" w:space="0" w:color="auto"/>
              <w:right w:val="single" w:sz="4" w:space="0" w:color="auto"/>
            </w:tcBorders>
            <w:shd w:val="clear" w:color="auto" w:fill="C6EFCE"/>
            <w:noWrap/>
          </w:tcPr>
          <w:p w14:paraId="4D46A04A" w14:textId="77777777" w:rsidR="00515398" w:rsidRDefault="006711E6">
            <w:pPr>
              <w:pStyle w:val="P68B1DB1-Normal9"/>
              <w:spacing w:after="0" w:line="240" w:lineRule="auto"/>
              <w:rPr>
                <w:rFonts w:eastAsia="Times New Roman" w:cs="Calibri"/>
                <w:noProof/>
                <w:szCs w:val="18"/>
              </w:rPr>
            </w:pPr>
            <w:r>
              <w:rPr>
                <w:noProof/>
              </w:rPr>
              <w:t>2025</w:t>
            </w:r>
          </w:p>
        </w:tc>
        <w:tc>
          <w:tcPr>
            <w:tcW w:w="4819" w:type="dxa"/>
            <w:tcBorders>
              <w:top w:val="nil"/>
              <w:left w:val="nil"/>
              <w:bottom w:val="single" w:sz="4" w:space="0" w:color="auto"/>
              <w:right w:val="single" w:sz="4" w:space="0" w:color="auto"/>
            </w:tcBorders>
            <w:shd w:val="clear" w:color="auto" w:fill="C6EFCE"/>
            <w:noWrap/>
          </w:tcPr>
          <w:p w14:paraId="29800CC1" w14:textId="48CEFE50" w:rsidR="00515398" w:rsidRDefault="006711E6">
            <w:pPr>
              <w:pStyle w:val="P68B1DB1-Normal9"/>
              <w:spacing w:after="0" w:line="240" w:lineRule="auto"/>
              <w:rPr>
                <w:rFonts w:eastAsia="Times New Roman" w:cs="Calibri"/>
                <w:noProof/>
                <w:szCs w:val="18"/>
              </w:rPr>
            </w:pPr>
            <w:r>
              <w:rPr>
                <w:noProof/>
              </w:rPr>
              <w:t xml:space="preserve">Dokončení odborné přípravy pro rekvalifikaci a prohlubování dovedností státních zaměstnanců s nejméně 225000 účastníky. </w:t>
            </w:r>
          </w:p>
          <w:p w14:paraId="307601BC" w14:textId="13D91A56" w:rsidR="00515398" w:rsidRDefault="006711E6">
            <w:pPr>
              <w:pStyle w:val="P68B1DB1-Normal9"/>
              <w:spacing w:after="0" w:line="240" w:lineRule="auto"/>
              <w:rPr>
                <w:rFonts w:eastAsia="Times New Roman" w:cs="Calibri"/>
                <w:noProof/>
                <w:szCs w:val="18"/>
              </w:rPr>
            </w:pPr>
            <w:r>
              <w:rPr>
                <w:noProof/>
              </w:rPr>
              <w:t xml:space="preserve">Dokončení opatření zaměřených na i) vstup v platnost právních předpisů pro urychlení postupů přijímání zaměstnanců ve veřejném sektoru </w:t>
            </w:r>
            <w:r>
              <w:rPr>
                <w:noProof/>
              </w:rPr>
              <w:t>na základě zákona č. 4765/2021 a uvedení do provozu nového informačního systému pro Nejvyšší radu pro výběr personálu (ASEP); a ii) uvedení do provozu informačního systému, který podporuje strategický rámec pro plánování pracovních sil s využitím umělé int</w:t>
            </w:r>
            <w:r>
              <w:rPr>
                <w:noProof/>
              </w:rPr>
              <w:t>eligence.</w:t>
            </w:r>
          </w:p>
        </w:tc>
      </w:tr>
    </w:tbl>
    <w:p w14:paraId="786C7C77" w14:textId="77777777" w:rsidR="00515398" w:rsidRDefault="00515398">
      <w:pPr>
        <w:spacing w:before="120" w:after="120" w:line="240" w:lineRule="auto"/>
        <w:jc w:val="both"/>
        <w:rPr>
          <w:rFonts w:ascii="Times New Roman" w:hAnsi="Times New Roman" w:cs="Times New Roman"/>
          <w:noProof/>
          <w:sz w:val="24"/>
          <w:szCs w:val="24"/>
        </w:rPr>
      </w:pPr>
    </w:p>
    <w:p w14:paraId="74EFCE2C"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19: Boj proti praní peněz a korupci</w:t>
      </w:r>
    </w:p>
    <w:p w14:paraId="2EC57262" w14:textId="77777777" w:rsidR="00515398" w:rsidRDefault="006711E6">
      <w:pPr>
        <w:pStyle w:val="P68B1DB1-Normal4"/>
        <w:numPr>
          <w:ilvl w:val="0"/>
          <w:numId w:val="28"/>
        </w:numPr>
        <w:spacing w:before="120" w:after="0" w:line="240" w:lineRule="auto"/>
        <w:jc w:val="both"/>
        <w:rPr>
          <w:rFonts w:cs="Times New Roman"/>
          <w:noProof/>
        </w:rPr>
      </w:pPr>
      <w:r>
        <w:rPr>
          <w:noProof/>
        </w:rPr>
        <w:t>Posílení rámce pro boj proti praní peněz a financování terorismu (ID: 16702)</w:t>
      </w:r>
    </w:p>
    <w:p w14:paraId="67C1F1F1" w14:textId="77777777" w:rsidR="00515398" w:rsidRDefault="006711E6">
      <w:pPr>
        <w:pStyle w:val="P68B1DB1-Normal4"/>
        <w:numPr>
          <w:ilvl w:val="0"/>
          <w:numId w:val="28"/>
        </w:numPr>
        <w:spacing w:before="120" w:after="0" w:line="240" w:lineRule="auto"/>
        <w:jc w:val="both"/>
        <w:rPr>
          <w:rFonts w:cs="Times New Roman"/>
          <w:noProof/>
        </w:rPr>
      </w:pPr>
      <w:r>
        <w:rPr>
          <w:noProof/>
        </w:rPr>
        <w:t>Boj proti nezákonnému obchodu a ochrana duševního vlastnictví (ID: 16703)</w:t>
      </w:r>
    </w:p>
    <w:p w14:paraId="166B8A50" w14:textId="77777777" w:rsidR="00515398" w:rsidRDefault="006711E6">
      <w:pPr>
        <w:pStyle w:val="P68B1DB1-Normal4"/>
        <w:numPr>
          <w:ilvl w:val="0"/>
          <w:numId w:val="28"/>
        </w:numPr>
        <w:spacing w:before="120" w:after="0" w:line="240" w:lineRule="auto"/>
        <w:jc w:val="both"/>
        <w:rPr>
          <w:rFonts w:cs="Times New Roman"/>
          <w:noProof/>
        </w:rPr>
      </w:pPr>
      <w:r>
        <w:rPr>
          <w:noProof/>
        </w:rPr>
        <w:t xml:space="preserve">Posílení vnitrostátního protikorupčního rámce </w:t>
      </w:r>
      <w:r>
        <w:rPr>
          <w:noProof/>
        </w:rPr>
        <w:t>(ID: 16952)</w:t>
      </w:r>
    </w:p>
    <w:p w14:paraId="36A5D7C9" w14:textId="77777777" w:rsidR="00515398" w:rsidRDefault="006711E6">
      <w:pPr>
        <w:pStyle w:val="P68B1DB1-Normal4"/>
        <w:numPr>
          <w:ilvl w:val="0"/>
          <w:numId w:val="28"/>
        </w:numPr>
        <w:spacing w:before="120" w:after="0" w:line="240" w:lineRule="auto"/>
        <w:jc w:val="both"/>
        <w:rPr>
          <w:rFonts w:cs="Times New Roman"/>
          <w:noProof/>
        </w:rPr>
      </w:pPr>
      <w:r>
        <w:rPr>
          <w:noProof/>
        </w:rPr>
        <w:t>Účinný boj proti korupci (ID: 16978)</w:t>
      </w:r>
    </w:p>
    <w:p w14:paraId="3D728563" w14:textId="577773AD" w:rsidR="00515398" w:rsidRDefault="006711E6">
      <w:pPr>
        <w:pStyle w:val="NormalWeb"/>
        <w:rPr>
          <w:noProof/>
        </w:rPr>
      </w:pPr>
      <w:r>
        <w:rPr>
          <w:noProof/>
        </w:rPr>
        <w:br w:type="page"/>
      </w:r>
    </w:p>
    <w:p w14:paraId="1C9D8779" w14:textId="77777777" w:rsidR="00515398" w:rsidRDefault="00515398">
      <w:pPr>
        <w:spacing w:before="120" w:after="120" w:line="240" w:lineRule="auto"/>
        <w:jc w:val="both"/>
        <w:rPr>
          <w:rFonts w:ascii="Times New Roman" w:hAnsi="Times New Roman" w:cs="Times New Roman"/>
          <w:noProof/>
          <w:sz w:val="24"/>
          <w:szCs w:val="24"/>
        </w:rPr>
      </w:pPr>
    </w:p>
    <w:tbl>
      <w:tblPr>
        <w:tblW w:w="15878" w:type="dxa"/>
        <w:jc w:val="center"/>
        <w:tblLook w:val="04A0" w:firstRow="1" w:lastRow="0" w:firstColumn="1" w:lastColumn="0" w:noHBand="0" w:noVBand="1"/>
      </w:tblPr>
      <w:tblGrid>
        <w:gridCol w:w="1027"/>
        <w:gridCol w:w="1797"/>
        <w:gridCol w:w="967"/>
        <w:gridCol w:w="1399"/>
        <w:gridCol w:w="1534"/>
        <w:gridCol w:w="933"/>
        <w:gridCol w:w="857"/>
        <w:gridCol w:w="702"/>
        <w:gridCol w:w="984"/>
        <w:gridCol w:w="708"/>
        <w:gridCol w:w="5110"/>
      </w:tblGrid>
      <w:tr w:rsidR="00515398" w14:paraId="4EE2DDFE" w14:textId="77777777">
        <w:trPr>
          <w:trHeight w:val="774"/>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D740E23"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84F597E"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728E528"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93" w:type="dxa"/>
            <w:vMerge w:val="restart"/>
            <w:tcBorders>
              <w:top w:val="single" w:sz="4" w:space="0" w:color="auto"/>
              <w:left w:val="nil"/>
              <w:bottom w:val="single" w:sz="4" w:space="0" w:color="000000"/>
              <w:right w:val="single" w:sz="4" w:space="0" w:color="auto"/>
            </w:tcBorders>
            <w:shd w:val="clear" w:color="auto" w:fill="BDD7EE"/>
            <w:vAlign w:val="center"/>
            <w:hideMark/>
          </w:tcPr>
          <w:p w14:paraId="36EBF3B8"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4F19890"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2492" w:type="dxa"/>
            <w:gridSpan w:val="3"/>
            <w:tcBorders>
              <w:top w:val="single" w:sz="4" w:space="0" w:color="auto"/>
              <w:left w:val="nil"/>
              <w:bottom w:val="single" w:sz="4" w:space="0" w:color="auto"/>
              <w:right w:val="single" w:sz="4" w:space="0" w:color="auto"/>
            </w:tcBorders>
            <w:shd w:val="clear" w:color="auto" w:fill="BDD7EE"/>
            <w:vAlign w:val="center"/>
            <w:hideMark/>
          </w:tcPr>
          <w:p w14:paraId="13768111"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Kvantitativní ukazatele </w:t>
            </w:r>
            <w:r>
              <w:rPr>
                <w:noProof/>
                <w:sz w:val="24"/>
              </w:rPr>
              <w:t xml:space="preserve"> </w:t>
            </w:r>
            <w:r>
              <w:rPr>
                <w:b/>
                <w:noProof/>
                <w:sz w:val="18"/>
              </w:rPr>
              <w:t>(pro cíle)</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444217D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5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9A0C9E" w14:textId="77777777" w:rsidR="00515398" w:rsidRDefault="006711E6">
            <w:pPr>
              <w:pStyle w:val="P68B1DB1-Normal7"/>
              <w:spacing w:after="0" w:line="240" w:lineRule="auto"/>
              <w:jc w:val="center"/>
              <w:rPr>
                <w:rFonts w:eastAsia="Times New Roman" w:cs="Times New Roman"/>
                <w:bCs/>
                <w:noProof/>
                <w:szCs w:val="18"/>
              </w:rPr>
            </w:pPr>
            <w:r>
              <w:rPr>
                <w:noProof/>
              </w:rPr>
              <w:t xml:space="preserve">Popis každého </w:t>
            </w:r>
            <w:r>
              <w:rPr>
                <w:noProof/>
              </w:rPr>
              <w:t>milníku a cíle</w:t>
            </w:r>
          </w:p>
        </w:tc>
      </w:tr>
      <w:tr w:rsidR="00515398" w14:paraId="16E4C4A6" w14:textId="77777777">
        <w:trPr>
          <w:trHeight w:val="532"/>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14:paraId="706B35E2" w14:textId="77777777" w:rsidR="00515398" w:rsidRDefault="00515398">
            <w:pPr>
              <w:spacing w:after="0" w:line="240" w:lineRule="auto"/>
              <w:rPr>
                <w:rFonts w:ascii="Times New Roman" w:eastAsia="Times New Roman" w:hAnsi="Times New Roman" w:cs="Times New Roman"/>
                <w:b/>
                <w:bCs/>
                <w:noProof/>
                <w:sz w:val="18"/>
                <w:szCs w:val="18"/>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14:paraId="5BFF0C6C"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14:paraId="628C65AC" w14:textId="77777777" w:rsidR="00515398" w:rsidRDefault="00515398">
            <w:pPr>
              <w:spacing w:after="0" w:line="240" w:lineRule="auto"/>
              <w:rPr>
                <w:rFonts w:ascii="Times New Roman" w:eastAsia="Times New Roman" w:hAnsi="Times New Roman" w:cs="Times New Roman"/>
                <w:b/>
                <w:bCs/>
                <w:noProof/>
                <w:sz w:val="18"/>
                <w:szCs w:val="18"/>
              </w:rPr>
            </w:pPr>
          </w:p>
        </w:tc>
        <w:tc>
          <w:tcPr>
            <w:tcW w:w="1393" w:type="dxa"/>
            <w:vMerge/>
            <w:tcBorders>
              <w:top w:val="single" w:sz="4" w:space="0" w:color="auto"/>
              <w:left w:val="nil"/>
              <w:bottom w:val="single" w:sz="4" w:space="0" w:color="000000"/>
              <w:right w:val="single" w:sz="4" w:space="0" w:color="auto"/>
            </w:tcBorders>
            <w:vAlign w:val="center"/>
            <w:hideMark/>
          </w:tcPr>
          <w:p w14:paraId="3F255A8A" w14:textId="77777777" w:rsidR="00515398" w:rsidRDefault="00515398">
            <w:pPr>
              <w:spacing w:after="0" w:line="240" w:lineRule="auto"/>
              <w:rPr>
                <w:rFonts w:ascii="Times New Roman" w:eastAsia="Times New Roman" w:hAnsi="Times New Roman" w:cs="Times New Roman"/>
                <w:b/>
                <w:bCs/>
                <w:noProof/>
                <w:sz w:val="18"/>
                <w:szCs w:val="18"/>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170F3EEC" w14:textId="77777777" w:rsidR="00515398" w:rsidRDefault="00515398">
            <w:pPr>
              <w:spacing w:after="0" w:line="240" w:lineRule="auto"/>
              <w:rPr>
                <w:rFonts w:ascii="Times New Roman" w:eastAsia="Times New Roman" w:hAnsi="Times New Roman" w:cs="Times New Roman"/>
                <w:b/>
                <w:bCs/>
                <w:noProof/>
                <w:sz w:val="18"/>
                <w:szCs w:val="18"/>
              </w:rPr>
            </w:pPr>
          </w:p>
        </w:tc>
        <w:tc>
          <w:tcPr>
            <w:tcW w:w="933" w:type="dxa"/>
            <w:tcBorders>
              <w:top w:val="nil"/>
              <w:left w:val="nil"/>
              <w:bottom w:val="single" w:sz="4" w:space="0" w:color="auto"/>
              <w:right w:val="single" w:sz="4" w:space="0" w:color="auto"/>
            </w:tcBorders>
            <w:shd w:val="clear" w:color="auto" w:fill="BDD7EE"/>
            <w:vAlign w:val="center"/>
            <w:hideMark/>
          </w:tcPr>
          <w:p w14:paraId="3EED8E98"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3A84332A"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02" w:type="dxa"/>
            <w:tcBorders>
              <w:top w:val="nil"/>
              <w:left w:val="nil"/>
              <w:bottom w:val="single" w:sz="4" w:space="0" w:color="auto"/>
              <w:right w:val="single" w:sz="4" w:space="0" w:color="auto"/>
            </w:tcBorders>
            <w:shd w:val="clear" w:color="auto" w:fill="BDD7EE"/>
            <w:vAlign w:val="center"/>
            <w:hideMark/>
          </w:tcPr>
          <w:p w14:paraId="7CAB92D8"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51" w:type="dxa"/>
            <w:tcBorders>
              <w:top w:val="nil"/>
              <w:left w:val="nil"/>
              <w:bottom w:val="single" w:sz="4" w:space="0" w:color="auto"/>
              <w:right w:val="single" w:sz="4" w:space="0" w:color="auto"/>
            </w:tcBorders>
            <w:shd w:val="clear" w:color="auto" w:fill="BDD7EE"/>
            <w:vAlign w:val="center"/>
            <w:hideMark/>
          </w:tcPr>
          <w:p w14:paraId="5D2D5856"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8" w:type="dxa"/>
            <w:tcBorders>
              <w:top w:val="nil"/>
              <w:left w:val="nil"/>
              <w:bottom w:val="single" w:sz="4" w:space="0" w:color="auto"/>
              <w:right w:val="single" w:sz="4" w:space="0" w:color="auto"/>
            </w:tcBorders>
            <w:shd w:val="clear" w:color="auto" w:fill="BDD7EE"/>
            <w:vAlign w:val="center"/>
            <w:hideMark/>
          </w:tcPr>
          <w:p w14:paraId="2FA2BC6D"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5110" w:type="dxa"/>
            <w:vMerge/>
            <w:tcBorders>
              <w:top w:val="single" w:sz="4" w:space="0" w:color="auto"/>
              <w:left w:val="single" w:sz="4" w:space="0" w:color="auto"/>
              <w:bottom w:val="single" w:sz="4" w:space="0" w:color="auto"/>
              <w:right w:val="single" w:sz="4" w:space="0" w:color="auto"/>
            </w:tcBorders>
            <w:vAlign w:val="center"/>
            <w:hideMark/>
          </w:tcPr>
          <w:p w14:paraId="11236BA1"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3E136397"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6158E0E1" w14:textId="77777777" w:rsidR="00515398" w:rsidRDefault="006711E6">
            <w:pPr>
              <w:pStyle w:val="P68B1DB1-Normal9"/>
              <w:spacing w:after="0" w:line="240" w:lineRule="auto"/>
              <w:rPr>
                <w:rFonts w:eastAsia="Times New Roman" w:cs="Calibri"/>
                <w:noProof/>
                <w:szCs w:val="18"/>
              </w:rPr>
            </w:pPr>
            <w:r>
              <w:rPr>
                <w:noProof/>
              </w:rPr>
              <w:t>209</w:t>
            </w:r>
          </w:p>
        </w:tc>
        <w:tc>
          <w:tcPr>
            <w:tcW w:w="1797" w:type="dxa"/>
            <w:tcBorders>
              <w:top w:val="nil"/>
              <w:left w:val="nil"/>
              <w:bottom w:val="single" w:sz="4" w:space="0" w:color="auto"/>
              <w:right w:val="single" w:sz="4" w:space="0" w:color="auto"/>
            </w:tcBorders>
            <w:shd w:val="clear" w:color="auto" w:fill="C6EFCE"/>
            <w:noWrap/>
          </w:tcPr>
          <w:p w14:paraId="29B80A01" w14:textId="77777777" w:rsidR="00515398" w:rsidRDefault="006711E6">
            <w:pPr>
              <w:pStyle w:val="P68B1DB1-Normal9"/>
              <w:spacing w:after="0" w:line="240" w:lineRule="auto"/>
              <w:rPr>
                <w:rFonts w:eastAsia="Times New Roman" w:cs="Calibri"/>
                <w:noProof/>
                <w:szCs w:val="18"/>
              </w:rPr>
            </w:pPr>
            <w:r>
              <w:rPr>
                <w:noProof/>
              </w:rPr>
              <w:t>13–</w:t>
            </w:r>
            <w:r>
              <w:rPr>
                <w:noProof/>
              </w:rPr>
              <w:t>4. Modernizovat veřejnou správu, mimo jiné urychlením provádění veřejných investic, zlepšením rámce pro zadávání veřejných zakázek, opatřeními na budování kapacit a bojem proti korupci – 16978_Efektivní boj proti korupci</w:t>
            </w:r>
          </w:p>
        </w:tc>
        <w:tc>
          <w:tcPr>
            <w:tcW w:w="966" w:type="dxa"/>
            <w:tcBorders>
              <w:top w:val="nil"/>
              <w:left w:val="nil"/>
              <w:bottom w:val="single" w:sz="4" w:space="0" w:color="auto"/>
              <w:right w:val="single" w:sz="4" w:space="0" w:color="auto"/>
            </w:tcBorders>
            <w:shd w:val="clear" w:color="auto" w:fill="C6EFCE"/>
            <w:noWrap/>
          </w:tcPr>
          <w:p w14:paraId="1464A248" w14:textId="77777777" w:rsidR="00515398" w:rsidRDefault="006711E6">
            <w:pPr>
              <w:pStyle w:val="P68B1DB1-Normal9"/>
              <w:spacing w:after="0" w:line="240" w:lineRule="auto"/>
              <w:rPr>
                <w:rFonts w:eastAsia="Times New Roman" w:cs="Calibri"/>
                <w:noProof/>
                <w:szCs w:val="18"/>
              </w:rPr>
            </w:pPr>
            <w:r>
              <w:rPr>
                <w:noProof/>
              </w:rPr>
              <w:t>Milník</w:t>
            </w:r>
          </w:p>
        </w:tc>
        <w:tc>
          <w:tcPr>
            <w:tcW w:w="1393" w:type="dxa"/>
            <w:tcBorders>
              <w:top w:val="nil"/>
              <w:left w:val="nil"/>
              <w:bottom w:val="single" w:sz="4" w:space="0" w:color="auto"/>
              <w:right w:val="single" w:sz="4" w:space="0" w:color="auto"/>
            </w:tcBorders>
            <w:shd w:val="clear" w:color="auto" w:fill="C6EFCE"/>
            <w:noWrap/>
          </w:tcPr>
          <w:p w14:paraId="73B2566E" w14:textId="77777777" w:rsidR="00515398" w:rsidRDefault="006711E6">
            <w:pPr>
              <w:pStyle w:val="P68B1DB1-Normal9"/>
              <w:spacing w:after="0" w:line="240" w:lineRule="auto"/>
              <w:rPr>
                <w:rFonts w:eastAsia="Times New Roman" w:cs="Calibri"/>
                <w:noProof/>
                <w:szCs w:val="18"/>
              </w:rPr>
            </w:pPr>
            <w:r>
              <w:rPr>
                <w:noProof/>
              </w:rPr>
              <w:t>Majetková přiznání a politic</w:t>
            </w:r>
            <w:r>
              <w:rPr>
                <w:noProof/>
              </w:rPr>
              <w:t>ké strany</w:t>
            </w:r>
          </w:p>
        </w:tc>
        <w:tc>
          <w:tcPr>
            <w:tcW w:w="1534" w:type="dxa"/>
            <w:tcBorders>
              <w:top w:val="nil"/>
              <w:left w:val="nil"/>
              <w:bottom w:val="single" w:sz="4" w:space="0" w:color="auto"/>
              <w:right w:val="single" w:sz="4" w:space="0" w:color="auto"/>
            </w:tcBorders>
            <w:shd w:val="clear" w:color="auto" w:fill="C6EFCE"/>
            <w:noWrap/>
          </w:tcPr>
          <w:p w14:paraId="1BAAB598" w14:textId="77777777" w:rsidR="00515398" w:rsidRDefault="006711E6">
            <w:pPr>
              <w:pStyle w:val="P68B1DB1-Normal9"/>
              <w:spacing w:after="0" w:line="240" w:lineRule="auto"/>
              <w:rPr>
                <w:rFonts w:eastAsia="Times New Roman" w:cs="Calibri"/>
                <w:noProof/>
                <w:szCs w:val="18"/>
              </w:rPr>
            </w:pPr>
            <w:r>
              <w:rPr>
                <w:noProof/>
              </w:rPr>
              <w:t>Vstup nových právních předpisů v platnost</w:t>
            </w:r>
          </w:p>
        </w:tc>
        <w:tc>
          <w:tcPr>
            <w:tcW w:w="933" w:type="dxa"/>
            <w:tcBorders>
              <w:top w:val="nil"/>
              <w:left w:val="nil"/>
              <w:bottom w:val="single" w:sz="4" w:space="0" w:color="auto"/>
              <w:right w:val="single" w:sz="4" w:space="0" w:color="auto"/>
            </w:tcBorders>
            <w:shd w:val="clear" w:color="auto" w:fill="C6EFCE"/>
            <w:noWrap/>
          </w:tcPr>
          <w:p w14:paraId="7F0556F7"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AE63E44" w14:textId="77777777" w:rsidR="00515398" w:rsidRDefault="00515398">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3DEF65FC"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4283FA1" w14:textId="77777777" w:rsidR="00515398" w:rsidRDefault="006711E6">
            <w:pPr>
              <w:pStyle w:val="P68B1DB1-Normal9"/>
              <w:spacing w:after="0" w:line="240" w:lineRule="auto"/>
              <w:rPr>
                <w:rFonts w:eastAsia="Times New Roman" w:cs="Calibri"/>
                <w:noProof/>
                <w:szCs w:val="18"/>
              </w:rPr>
            </w:pPr>
            <w:r>
              <w:rPr>
                <w:noProof/>
              </w:rPr>
              <w:t>ČTVRTLETÍ 3</w:t>
            </w:r>
          </w:p>
        </w:tc>
        <w:tc>
          <w:tcPr>
            <w:tcW w:w="708" w:type="dxa"/>
            <w:tcBorders>
              <w:top w:val="nil"/>
              <w:left w:val="nil"/>
              <w:bottom w:val="single" w:sz="4" w:space="0" w:color="auto"/>
              <w:right w:val="single" w:sz="4" w:space="0" w:color="auto"/>
            </w:tcBorders>
            <w:shd w:val="clear" w:color="auto" w:fill="C6EFCE"/>
            <w:noWrap/>
          </w:tcPr>
          <w:p w14:paraId="371DB71D" w14:textId="77777777" w:rsidR="00515398" w:rsidRDefault="006711E6">
            <w:pPr>
              <w:pStyle w:val="P68B1DB1-Normal9"/>
              <w:spacing w:after="0" w:line="240" w:lineRule="auto"/>
              <w:rPr>
                <w:rFonts w:eastAsia="Times New Roman" w:cs="Calibri"/>
                <w:noProof/>
                <w:szCs w:val="18"/>
              </w:rPr>
            </w:pPr>
            <w:r>
              <w:rPr>
                <w:noProof/>
              </w:rPr>
              <w:t>2022</w:t>
            </w:r>
          </w:p>
        </w:tc>
        <w:tc>
          <w:tcPr>
            <w:tcW w:w="5110" w:type="dxa"/>
            <w:tcBorders>
              <w:top w:val="nil"/>
              <w:left w:val="nil"/>
              <w:bottom w:val="single" w:sz="4" w:space="0" w:color="auto"/>
              <w:right w:val="single" w:sz="4" w:space="0" w:color="auto"/>
            </w:tcBorders>
            <w:shd w:val="clear" w:color="auto" w:fill="C6EFCE"/>
            <w:noWrap/>
          </w:tcPr>
          <w:p w14:paraId="0A06B326" w14:textId="77777777" w:rsidR="00515398" w:rsidRDefault="006711E6">
            <w:pPr>
              <w:pStyle w:val="P68B1DB1-Normal9"/>
              <w:spacing w:after="0" w:line="240" w:lineRule="auto"/>
              <w:rPr>
                <w:rFonts w:eastAsia="Times New Roman" w:cs="Calibri"/>
                <w:noProof/>
                <w:szCs w:val="18"/>
              </w:rPr>
            </w:pPr>
            <w:r>
              <w:rPr>
                <w:noProof/>
              </w:rPr>
              <w:t xml:space="preserve">Vstup v platnost nových právních předpisů týkajících se: i) majetková přiznání; II) a kodifikace právních předpisů týkajících se politických stran. </w:t>
            </w:r>
          </w:p>
        </w:tc>
      </w:tr>
      <w:tr w:rsidR="00515398" w14:paraId="49850913"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08E066D5" w14:textId="77777777" w:rsidR="00515398" w:rsidRDefault="006711E6">
            <w:pPr>
              <w:pStyle w:val="P68B1DB1-Normal9"/>
              <w:spacing w:after="0" w:line="240" w:lineRule="auto"/>
              <w:rPr>
                <w:rFonts w:eastAsia="Times New Roman" w:cs="Calibri"/>
                <w:noProof/>
                <w:szCs w:val="18"/>
              </w:rPr>
            </w:pPr>
            <w:r>
              <w:rPr>
                <w:noProof/>
              </w:rPr>
              <w:t>210</w:t>
            </w:r>
          </w:p>
        </w:tc>
        <w:tc>
          <w:tcPr>
            <w:tcW w:w="1797" w:type="dxa"/>
            <w:tcBorders>
              <w:top w:val="nil"/>
              <w:left w:val="nil"/>
              <w:bottom w:val="single" w:sz="4" w:space="0" w:color="auto"/>
              <w:right w:val="single" w:sz="4" w:space="0" w:color="auto"/>
            </w:tcBorders>
            <w:shd w:val="clear" w:color="auto" w:fill="C6EFCE"/>
            <w:noWrap/>
          </w:tcPr>
          <w:p w14:paraId="23D5BE17" w14:textId="77777777" w:rsidR="00515398" w:rsidRDefault="006711E6">
            <w:pPr>
              <w:pStyle w:val="P68B1DB1-Normal9"/>
              <w:spacing w:after="0" w:line="240" w:lineRule="auto"/>
              <w:rPr>
                <w:rFonts w:eastAsia="Times New Roman" w:cs="Calibri"/>
                <w:noProof/>
                <w:szCs w:val="18"/>
              </w:rPr>
            </w:pPr>
            <w:r>
              <w:rPr>
                <w:noProof/>
              </w:rPr>
              <w:t xml:space="preserve">13–4. Modernizace veřejné </w:t>
            </w:r>
            <w:r>
              <w:rPr>
                <w:noProof/>
              </w:rPr>
              <w:t>správy, mimo jiné urychlením provádění veřejných investic, zlepšením rámce pro zadávání veřejných zakázek, opatřeními na budování kapacit a bojem proti korupci – 16952_ Posílení národního protikorupčního rámce prostřednictvím cílených zásahů v oblasti odha</w:t>
            </w:r>
            <w:r>
              <w:rPr>
                <w:noProof/>
              </w:rPr>
              <w:t>lování, prevence a zvyšování povědomí</w:t>
            </w:r>
          </w:p>
        </w:tc>
        <w:tc>
          <w:tcPr>
            <w:tcW w:w="966" w:type="dxa"/>
            <w:tcBorders>
              <w:top w:val="nil"/>
              <w:left w:val="nil"/>
              <w:bottom w:val="single" w:sz="4" w:space="0" w:color="auto"/>
              <w:right w:val="single" w:sz="4" w:space="0" w:color="auto"/>
            </w:tcBorders>
            <w:shd w:val="clear" w:color="auto" w:fill="C6EFCE"/>
            <w:noWrap/>
          </w:tcPr>
          <w:p w14:paraId="59EA417C" w14:textId="77777777" w:rsidR="00515398" w:rsidRDefault="006711E6">
            <w:pPr>
              <w:pStyle w:val="P68B1DB1-Normal9"/>
              <w:spacing w:after="0" w:line="240" w:lineRule="auto"/>
              <w:rPr>
                <w:rFonts w:eastAsia="Times New Roman" w:cs="Calibri"/>
                <w:noProof/>
                <w:szCs w:val="18"/>
              </w:rPr>
            </w:pPr>
            <w:r>
              <w:rPr>
                <w:noProof/>
              </w:rPr>
              <w:t>Milník</w:t>
            </w:r>
          </w:p>
        </w:tc>
        <w:tc>
          <w:tcPr>
            <w:tcW w:w="1393" w:type="dxa"/>
            <w:tcBorders>
              <w:top w:val="nil"/>
              <w:left w:val="nil"/>
              <w:bottom w:val="single" w:sz="4" w:space="0" w:color="auto"/>
              <w:right w:val="single" w:sz="4" w:space="0" w:color="auto"/>
            </w:tcBorders>
            <w:shd w:val="clear" w:color="auto" w:fill="C6EFCE"/>
            <w:noWrap/>
          </w:tcPr>
          <w:p w14:paraId="0ADF16AE" w14:textId="77777777" w:rsidR="00515398" w:rsidRDefault="006711E6">
            <w:pPr>
              <w:pStyle w:val="P68B1DB1-Normal9"/>
              <w:spacing w:after="0" w:line="240" w:lineRule="auto"/>
              <w:rPr>
                <w:rFonts w:eastAsia="Times New Roman" w:cs="Calibri"/>
                <w:noProof/>
                <w:szCs w:val="18"/>
              </w:rPr>
            </w:pPr>
            <w:r>
              <w:rPr>
                <w:noProof/>
              </w:rPr>
              <w:t>Národní protikorupční akční plán</w:t>
            </w:r>
          </w:p>
        </w:tc>
        <w:tc>
          <w:tcPr>
            <w:tcW w:w="1534" w:type="dxa"/>
            <w:tcBorders>
              <w:top w:val="nil"/>
              <w:left w:val="nil"/>
              <w:bottom w:val="single" w:sz="4" w:space="0" w:color="auto"/>
              <w:right w:val="single" w:sz="4" w:space="0" w:color="auto"/>
            </w:tcBorders>
            <w:shd w:val="clear" w:color="auto" w:fill="C6EFCE"/>
            <w:noWrap/>
          </w:tcPr>
          <w:p w14:paraId="2B75C284" w14:textId="77777777" w:rsidR="00515398" w:rsidRDefault="006711E6">
            <w:pPr>
              <w:pStyle w:val="P68B1DB1-Normal9"/>
              <w:spacing w:after="0" w:line="240" w:lineRule="auto"/>
              <w:rPr>
                <w:rFonts w:eastAsia="Times New Roman" w:cs="Calibri"/>
                <w:noProof/>
                <w:szCs w:val="18"/>
              </w:rPr>
            </w:pPr>
            <w:r>
              <w:rPr>
                <w:noProof/>
              </w:rPr>
              <w:t>Přijetí národního protikorupčního akčního plánu na období 2022–2025 Národním orgánem pro transparentnost</w:t>
            </w:r>
          </w:p>
        </w:tc>
        <w:tc>
          <w:tcPr>
            <w:tcW w:w="933" w:type="dxa"/>
            <w:tcBorders>
              <w:top w:val="nil"/>
              <w:left w:val="nil"/>
              <w:bottom w:val="single" w:sz="4" w:space="0" w:color="auto"/>
              <w:right w:val="single" w:sz="4" w:space="0" w:color="auto"/>
            </w:tcBorders>
            <w:shd w:val="clear" w:color="auto" w:fill="C6EFCE"/>
            <w:noWrap/>
          </w:tcPr>
          <w:p w14:paraId="5FB4095C"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8D7EC3C" w14:textId="77777777" w:rsidR="00515398" w:rsidRDefault="00515398">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2E8E7D29"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B644CB0" w14:textId="77777777" w:rsidR="00515398" w:rsidRDefault="006711E6">
            <w:pPr>
              <w:pStyle w:val="P68B1DB1-Normal9"/>
              <w:spacing w:after="0" w:line="240" w:lineRule="auto"/>
              <w:rPr>
                <w:rFonts w:eastAsia="Times New Roman" w:cs="Calibri"/>
                <w:noProof/>
                <w:szCs w:val="18"/>
              </w:rPr>
            </w:pPr>
            <w:r>
              <w:rPr>
                <w:noProof/>
              </w:rPr>
              <w:t>ČTVRTLETÍ 3</w:t>
            </w:r>
          </w:p>
        </w:tc>
        <w:tc>
          <w:tcPr>
            <w:tcW w:w="708" w:type="dxa"/>
            <w:tcBorders>
              <w:top w:val="nil"/>
              <w:left w:val="nil"/>
              <w:bottom w:val="single" w:sz="4" w:space="0" w:color="auto"/>
              <w:right w:val="single" w:sz="4" w:space="0" w:color="auto"/>
            </w:tcBorders>
            <w:shd w:val="clear" w:color="auto" w:fill="C6EFCE"/>
            <w:noWrap/>
          </w:tcPr>
          <w:p w14:paraId="41DEB7A8" w14:textId="77777777" w:rsidR="00515398" w:rsidRDefault="006711E6">
            <w:pPr>
              <w:pStyle w:val="P68B1DB1-Normal9"/>
              <w:spacing w:after="0" w:line="240" w:lineRule="auto"/>
              <w:rPr>
                <w:rFonts w:eastAsia="Times New Roman" w:cs="Calibri"/>
                <w:noProof/>
                <w:szCs w:val="18"/>
              </w:rPr>
            </w:pPr>
            <w:r>
              <w:rPr>
                <w:noProof/>
              </w:rPr>
              <w:t>2022</w:t>
            </w:r>
          </w:p>
        </w:tc>
        <w:tc>
          <w:tcPr>
            <w:tcW w:w="5110" w:type="dxa"/>
            <w:tcBorders>
              <w:top w:val="nil"/>
              <w:left w:val="nil"/>
              <w:bottom w:val="single" w:sz="4" w:space="0" w:color="auto"/>
              <w:right w:val="single" w:sz="4" w:space="0" w:color="auto"/>
            </w:tcBorders>
            <w:shd w:val="clear" w:color="auto" w:fill="C6EFCE"/>
            <w:noWrap/>
          </w:tcPr>
          <w:p w14:paraId="183878F5" w14:textId="77777777" w:rsidR="00515398" w:rsidRDefault="006711E6">
            <w:pPr>
              <w:pStyle w:val="P68B1DB1-Normal9"/>
              <w:spacing w:after="0" w:line="240" w:lineRule="auto"/>
              <w:rPr>
                <w:rFonts w:eastAsia="Times New Roman" w:cs="Calibri"/>
                <w:noProof/>
                <w:szCs w:val="18"/>
              </w:rPr>
            </w:pPr>
            <w:r>
              <w:rPr>
                <w:noProof/>
              </w:rPr>
              <w:t xml:space="preserve">Přijetí národního protikorupčního akčního plánu na </w:t>
            </w:r>
            <w:r>
              <w:rPr>
                <w:noProof/>
              </w:rPr>
              <w:t>období 2022–2025 vnitrostátním orgánem pro transparentnost, včetně upřesnění: i) opatření ke zvýšení transparentnosti a odpovědnosti ve veřejné správě; II) cílené intervence k odhalování a prevenci korupce ve vysoce rizikových oblastech (včetně například z</w:t>
            </w:r>
            <w:r>
              <w:rPr>
                <w:noProof/>
              </w:rPr>
              <w:t>dravotnictví, veřejných financí, investic); III) nezbytné regulační zásahy ve vybraných oblastech politiky.</w:t>
            </w:r>
          </w:p>
        </w:tc>
      </w:tr>
      <w:tr w:rsidR="00515398" w14:paraId="51B17C04"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0FB9EEFA" w14:textId="77777777" w:rsidR="00515398" w:rsidRDefault="006711E6">
            <w:pPr>
              <w:pStyle w:val="P68B1DB1-Normal9"/>
              <w:spacing w:after="0" w:line="240" w:lineRule="auto"/>
              <w:rPr>
                <w:rFonts w:eastAsia="Times New Roman" w:cs="Calibri"/>
                <w:noProof/>
                <w:szCs w:val="18"/>
              </w:rPr>
            </w:pPr>
            <w:r>
              <w:rPr>
                <w:noProof/>
              </w:rPr>
              <w:t>211</w:t>
            </w:r>
          </w:p>
        </w:tc>
        <w:tc>
          <w:tcPr>
            <w:tcW w:w="1797" w:type="dxa"/>
            <w:tcBorders>
              <w:top w:val="nil"/>
              <w:left w:val="nil"/>
              <w:bottom w:val="single" w:sz="4" w:space="0" w:color="auto"/>
              <w:right w:val="single" w:sz="4" w:space="0" w:color="auto"/>
            </w:tcBorders>
            <w:shd w:val="clear" w:color="auto" w:fill="C6EFCE"/>
            <w:noWrap/>
          </w:tcPr>
          <w:p w14:paraId="6B11B4D3" w14:textId="77777777" w:rsidR="00515398" w:rsidRDefault="006711E6">
            <w:pPr>
              <w:pStyle w:val="P68B1DB1-Normal9"/>
              <w:spacing w:after="0" w:line="240" w:lineRule="auto"/>
              <w:rPr>
                <w:rFonts w:eastAsia="Times New Roman" w:cs="Calibri"/>
                <w:noProof/>
                <w:szCs w:val="18"/>
              </w:rPr>
            </w:pPr>
            <w:r>
              <w:rPr>
                <w:noProof/>
              </w:rPr>
              <w:t>13–4. Modernizace veřejné správy, mimo jiné urychlením provádění veřejných investic, zlepšením rámce pro zadávání veřejných zakázek, opatřeními</w:t>
            </w:r>
            <w:r>
              <w:rPr>
                <w:noProof/>
              </w:rPr>
              <w:t xml:space="preserve"> na budování kapacit a bojem proti korupci – 16952_ Posílení národního protikorupčního rámce prostřednictvím cílených zásahů v oblasti odhalování, prevence a zvyšování povědomí</w:t>
            </w:r>
          </w:p>
        </w:tc>
        <w:tc>
          <w:tcPr>
            <w:tcW w:w="966" w:type="dxa"/>
            <w:tcBorders>
              <w:top w:val="nil"/>
              <w:left w:val="nil"/>
              <w:bottom w:val="single" w:sz="4" w:space="0" w:color="auto"/>
              <w:right w:val="single" w:sz="4" w:space="0" w:color="auto"/>
            </w:tcBorders>
            <w:shd w:val="clear" w:color="auto" w:fill="C6EFCE"/>
            <w:noWrap/>
          </w:tcPr>
          <w:p w14:paraId="2152F1D9" w14:textId="77777777" w:rsidR="00515398" w:rsidRDefault="006711E6">
            <w:pPr>
              <w:pStyle w:val="P68B1DB1-Normal9"/>
              <w:spacing w:after="0" w:line="240" w:lineRule="auto"/>
              <w:rPr>
                <w:rFonts w:eastAsia="Times New Roman" w:cs="Calibri"/>
                <w:noProof/>
                <w:szCs w:val="18"/>
              </w:rPr>
            </w:pPr>
            <w:r>
              <w:rPr>
                <w:noProof/>
              </w:rPr>
              <w:t>Milník</w:t>
            </w:r>
          </w:p>
        </w:tc>
        <w:tc>
          <w:tcPr>
            <w:tcW w:w="1393" w:type="dxa"/>
            <w:tcBorders>
              <w:top w:val="nil"/>
              <w:left w:val="nil"/>
              <w:bottom w:val="single" w:sz="4" w:space="0" w:color="auto"/>
              <w:right w:val="single" w:sz="4" w:space="0" w:color="auto"/>
            </w:tcBorders>
            <w:shd w:val="clear" w:color="auto" w:fill="C6EFCE"/>
            <w:noWrap/>
          </w:tcPr>
          <w:p w14:paraId="0614DA97" w14:textId="77777777" w:rsidR="00515398" w:rsidRDefault="006711E6">
            <w:pPr>
              <w:pStyle w:val="P68B1DB1-Normal9"/>
              <w:spacing w:after="0" w:line="240" w:lineRule="auto"/>
              <w:rPr>
                <w:rFonts w:eastAsia="Times New Roman" w:cs="Calibri"/>
                <w:noProof/>
                <w:szCs w:val="18"/>
              </w:rPr>
            </w:pPr>
            <w:r>
              <w:rPr>
                <w:noProof/>
              </w:rPr>
              <w:t>Provádění právních předpisů o vnitřní kontrole</w:t>
            </w:r>
          </w:p>
        </w:tc>
        <w:tc>
          <w:tcPr>
            <w:tcW w:w="1534" w:type="dxa"/>
            <w:tcBorders>
              <w:top w:val="nil"/>
              <w:left w:val="nil"/>
              <w:bottom w:val="single" w:sz="4" w:space="0" w:color="auto"/>
              <w:right w:val="single" w:sz="4" w:space="0" w:color="auto"/>
            </w:tcBorders>
            <w:shd w:val="clear" w:color="auto" w:fill="C6EFCE"/>
            <w:noWrap/>
          </w:tcPr>
          <w:p w14:paraId="691294A4" w14:textId="462CE818" w:rsidR="00515398" w:rsidRDefault="006711E6">
            <w:pPr>
              <w:pStyle w:val="P68B1DB1-Normal9"/>
              <w:spacing w:after="0" w:line="240" w:lineRule="auto"/>
              <w:rPr>
                <w:rFonts w:eastAsia="Times New Roman" w:cs="Calibri"/>
                <w:noProof/>
                <w:szCs w:val="18"/>
              </w:rPr>
            </w:pPr>
            <w:r>
              <w:rPr>
                <w:noProof/>
              </w:rPr>
              <w:t xml:space="preserve">Zpráva Národního orgánu </w:t>
            </w:r>
            <w:r>
              <w:rPr>
                <w:noProof/>
              </w:rPr>
              <w:t>pro transparentnost o zavedených systémech vnitřní kontroly</w:t>
            </w:r>
          </w:p>
          <w:p w14:paraId="08DD43DA" w14:textId="77777777" w:rsidR="00515398" w:rsidRDefault="006711E6">
            <w:pPr>
              <w:pStyle w:val="P68B1DB1-Normal9"/>
              <w:spacing w:after="0" w:line="240" w:lineRule="auto"/>
              <w:rPr>
                <w:rFonts w:eastAsia="Times New Roman" w:cs="Calibri"/>
                <w:noProof/>
                <w:szCs w:val="18"/>
              </w:rPr>
            </w:pPr>
            <w:r>
              <w:rPr>
                <w:noProof/>
              </w:rPr>
              <w:t>—Vydané regulační akty</w:t>
            </w:r>
          </w:p>
          <w:p w14:paraId="2B80C7BB" w14:textId="77777777" w:rsidR="00515398" w:rsidRDefault="006711E6">
            <w:pPr>
              <w:pStyle w:val="P68B1DB1-Normal9"/>
              <w:spacing w:after="0" w:line="240" w:lineRule="auto"/>
              <w:rPr>
                <w:rFonts w:eastAsia="Times New Roman" w:cs="Calibri"/>
                <w:noProof/>
                <w:szCs w:val="18"/>
              </w:rPr>
            </w:pPr>
            <w:r>
              <w:rPr>
                <w:noProof/>
              </w:rPr>
              <w:t xml:space="preserve">Vydáno společné ministerské rozhodnutí </w:t>
            </w:r>
          </w:p>
        </w:tc>
        <w:tc>
          <w:tcPr>
            <w:tcW w:w="933" w:type="dxa"/>
            <w:tcBorders>
              <w:top w:val="nil"/>
              <w:left w:val="nil"/>
              <w:bottom w:val="single" w:sz="4" w:space="0" w:color="auto"/>
              <w:right w:val="single" w:sz="4" w:space="0" w:color="auto"/>
            </w:tcBorders>
            <w:shd w:val="clear" w:color="auto" w:fill="C6EFCE"/>
            <w:noWrap/>
          </w:tcPr>
          <w:p w14:paraId="067B19FE"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3BA0DC92" w14:textId="77777777" w:rsidR="00515398" w:rsidRDefault="00515398">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253AA8D4"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566B940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8" w:type="dxa"/>
            <w:tcBorders>
              <w:top w:val="nil"/>
              <w:left w:val="nil"/>
              <w:bottom w:val="single" w:sz="4" w:space="0" w:color="auto"/>
              <w:right w:val="single" w:sz="4" w:space="0" w:color="auto"/>
            </w:tcBorders>
            <w:shd w:val="clear" w:color="auto" w:fill="C6EFCE"/>
            <w:noWrap/>
          </w:tcPr>
          <w:p w14:paraId="781B71B0" w14:textId="77777777" w:rsidR="00515398" w:rsidRDefault="006711E6">
            <w:pPr>
              <w:pStyle w:val="P68B1DB1-Normal9"/>
              <w:spacing w:after="0" w:line="240" w:lineRule="auto"/>
              <w:rPr>
                <w:rFonts w:eastAsia="Times New Roman" w:cs="Calibri"/>
                <w:noProof/>
                <w:szCs w:val="18"/>
              </w:rPr>
            </w:pPr>
            <w:r>
              <w:rPr>
                <w:noProof/>
              </w:rPr>
              <w:t>2022</w:t>
            </w:r>
          </w:p>
        </w:tc>
        <w:tc>
          <w:tcPr>
            <w:tcW w:w="5110" w:type="dxa"/>
            <w:tcBorders>
              <w:top w:val="nil"/>
              <w:left w:val="nil"/>
              <w:bottom w:val="single" w:sz="4" w:space="0" w:color="auto"/>
              <w:right w:val="single" w:sz="4" w:space="0" w:color="auto"/>
            </w:tcBorders>
            <w:shd w:val="clear" w:color="auto" w:fill="C6EFCE"/>
            <w:noWrap/>
          </w:tcPr>
          <w:p w14:paraId="4FE56B44" w14:textId="77777777" w:rsidR="00515398" w:rsidRDefault="006711E6">
            <w:pPr>
              <w:pStyle w:val="P68B1DB1-Normal9"/>
              <w:spacing w:after="0" w:line="240" w:lineRule="auto"/>
              <w:rPr>
                <w:rFonts w:eastAsia="Times New Roman" w:cs="Calibri"/>
                <w:noProof/>
                <w:szCs w:val="18"/>
              </w:rPr>
            </w:pPr>
            <w:r>
              <w:rPr>
                <w:noProof/>
              </w:rPr>
              <w:t>Provádění nového zákona o vnitřní kontrole ve veřejné správě, včetně: i) zřízení oddělení interního auditu na</w:t>
            </w:r>
            <w:r>
              <w:rPr>
                <w:noProof/>
              </w:rPr>
              <w:t xml:space="preserve"> příslušných ministerstvech; II) vydávání regulačních aktů pro zřízení útvarů interního auditu a výborů pro audit v orgánech místní správy (1</w:t>
            </w:r>
            <w:r>
              <w:rPr>
                <w:noProof/>
                <w:vertAlign w:val="superscript"/>
              </w:rPr>
              <w:t>st</w:t>
            </w:r>
            <w:r>
              <w:rPr>
                <w:noProof/>
              </w:rPr>
              <w:t xml:space="preserve"> a 2.</w:t>
            </w:r>
            <w:r>
              <w:rPr>
                <w:noProof/>
                <w:vertAlign w:val="superscript"/>
              </w:rPr>
              <w:t>stupeň</w:t>
            </w:r>
            <w:r>
              <w:rPr>
                <w:noProof/>
              </w:rPr>
              <w:t>), univerzitách, nemocnicích – zdravotnických jednotkách, nezávislých orgánech a právnických osobách s</w:t>
            </w:r>
            <w:r>
              <w:rPr>
                <w:noProof/>
              </w:rPr>
              <w:t>ubjektů místní správy; III) vydání společného ministerského rozhodnutí, kterým se stanoví kritéria pro spolupráci útvarů interního auditu s externími odborníky.</w:t>
            </w:r>
          </w:p>
          <w:p w14:paraId="2F50F322" w14:textId="77777777" w:rsidR="00515398" w:rsidRDefault="00515398">
            <w:pPr>
              <w:spacing w:after="0" w:line="240" w:lineRule="auto"/>
              <w:rPr>
                <w:rFonts w:eastAsia="Times New Roman" w:cs="Calibri"/>
                <w:noProof/>
                <w:color w:val="006100"/>
                <w:sz w:val="18"/>
                <w:szCs w:val="18"/>
              </w:rPr>
            </w:pPr>
          </w:p>
          <w:p w14:paraId="4F8C3A9D" w14:textId="77777777" w:rsidR="00515398" w:rsidRDefault="006711E6">
            <w:pPr>
              <w:pStyle w:val="P68B1DB1-Normal9"/>
              <w:spacing w:after="0" w:line="240" w:lineRule="auto"/>
              <w:rPr>
                <w:rFonts w:eastAsia="Times New Roman" w:cs="Calibri"/>
                <w:noProof/>
                <w:szCs w:val="18"/>
              </w:rPr>
            </w:pPr>
            <w:r>
              <w:rPr>
                <w:noProof/>
              </w:rPr>
              <w:t>Národní úřad pro transparentnost ve spolupráci s ministerstvem vnitra poskytuje vládním subjek</w:t>
            </w:r>
            <w:r>
              <w:rPr>
                <w:noProof/>
              </w:rPr>
              <w:t>tům dohled a pokyny k zavedení soudržného a fungujícího systému vnitřní kontroly. Vnitrostátní orgán pro transparentnost usnadní pilotní sebehodnocení základních prvků systému vnitřní kontroly. Řecký účetní dvůr zahrnul do svého ročního pracovního plánu au</w:t>
            </w:r>
            <w:r>
              <w:rPr>
                <w:noProof/>
              </w:rPr>
              <w:t xml:space="preserve">dity pro posouzení mechanismů vnitřní kontroly ve všech vládních institucích. </w:t>
            </w:r>
          </w:p>
        </w:tc>
      </w:tr>
      <w:tr w:rsidR="00515398" w14:paraId="6A9FDC4F"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7B88373B" w14:textId="37C83FAD" w:rsidR="00515398" w:rsidRDefault="006711E6">
            <w:pPr>
              <w:pStyle w:val="P68B1DB1-Normal9"/>
              <w:spacing w:after="0" w:line="240" w:lineRule="auto"/>
              <w:rPr>
                <w:noProof/>
              </w:rPr>
            </w:pPr>
            <w:r>
              <w:rPr>
                <w:noProof/>
              </w:rPr>
              <w:t>211a</w:t>
            </w:r>
          </w:p>
        </w:tc>
        <w:tc>
          <w:tcPr>
            <w:tcW w:w="1797" w:type="dxa"/>
            <w:tcBorders>
              <w:top w:val="nil"/>
              <w:left w:val="nil"/>
              <w:bottom w:val="single" w:sz="4" w:space="0" w:color="auto"/>
              <w:right w:val="single" w:sz="4" w:space="0" w:color="auto"/>
            </w:tcBorders>
            <w:shd w:val="clear" w:color="auto" w:fill="C6EFCE"/>
            <w:noWrap/>
          </w:tcPr>
          <w:p w14:paraId="33BBBCD5" w14:textId="7E071C92" w:rsidR="00515398" w:rsidRDefault="006711E6">
            <w:pPr>
              <w:pStyle w:val="P68B1DB1-Normal9"/>
              <w:spacing w:after="0" w:line="240" w:lineRule="auto"/>
              <w:rPr>
                <w:noProof/>
              </w:rPr>
            </w:pPr>
            <w:r>
              <w:rPr>
                <w:noProof/>
              </w:rPr>
              <w:t>13–4. Modernizace veřejné správy, mimo jiné urychlením provádění veřejných investic, zlepšením rámce pro zadávání veřejných zakázek, opatřeními na budování kapacit a bojem</w:t>
            </w:r>
            <w:r>
              <w:rPr>
                <w:noProof/>
              </w:rPr>
              <w:t xml:space="preserve"> proti korupci – 16952_ Posílení národního protikorupčního rámce prostřednictvím cílených zásahů v oblasti odhalování, prevence a zvyšování povědomí</w:t>
            </w:r>
          </w:p>
        </w:tc>
        <w:tc>
          <w:tcPr>
            <w:tcW w:w="966" w:type="dxa"/>
            <w:tcBorders>
              <w:top w:val="nil"/>
              <w:left w:val="nil"/>
              <w:bottom w:val="single" w:sz="4" w:space="0" w:color="auto"/>
              <w:right w:val="single" w:sz="4" w:space="0" w:color="auto"/>
            </w:tcBorders>
            <w:shd w:val="clear" w:color="auto" w:fill="C6EFCE"/>
            <w:noWrap/>
          </w:tcPr>
          <w:p w14:paraId="44480E85" w14:textId="44A6F54E" w:rsidR="00515398" w:rsidRDefault="006711E6">
            <w:pPr>
              <w:pStyle w:val="P68B1DB1-Normal9"/>
              <w:spacing w:after="0" w:line="240" w:lineRule="auto"/>
              <w:rPr>
                <w:noProof/>
              </w:rPr>
            </w:pPr>
            <w:r>
              <w:rPr>
                <w:noProof/>
              </w:rPr>
              <w:t>Milník</w:t>
            </w:r>
          </w:p>
        </w:tc>
        <w:tc>
          <w:tcPr>
            <w:tcW w:w="1393" w:type="dxa"/>
            <w:tcBorders>
              <w:top w:val="nil"/>
              <w:left w:val="nil"/>
              <w:bottom w:val="single" w:sz="4" w:space="0" w:color="auto"/>
              <w:right w:val="single" w:sz="4" w:space="0" w:color="auto"/>
            </w:tcBorders>
            <w:shd w:val="clear" w:color="auto" w:fill="C6EFCE"/>
            <w:noWrap/>
          </w:tcPr>
          <w:p w14:paraId="1B61E7AD" w14:textId="5FA40A55" w:rsidR="00515398" w:rsidRDefault="006711E6">
            <w:pPr>
              <w:pStyle w:val="P68B1DB1-Normal9"/>
              <w:spacing w:after="0" w:line="240" w:lineRule="auto"/>
              <w:rPr>
                <w:noProof/>
              </w:rPr>
            </w:pPr>
            <w:r>
              <w:rPr>
                <w:noProof/>
              </w:rPr>
              <w:t>Dokončení projektů Národního úřadu pro transparentnost</w:t>
            </w:r>
          </w:p>
        </w:tc>
        <w:tc>
          <w:tcPr>
            <w:tcW w:w="1534" w:type="dxa"/>
            <w:tcBorders>
              <w:top w:val="nil"/>
              <w:left w:val="nil"/>
              <w:bottom w:val="single" w:sz="4" w:space="0" w:color="auto"/>
              <w:right w:val="single" w:sz="4" w:space="0" w:color="auto"/>
            </w:tcBorders>
            <w:shd w:val="clear" w:color="auto" w:fill="C6EFCE"/>
            <w:noWrap/>
          </w:tcPr>
          <w:p w14:paraId="160185C8" w14:textId="5C2A53F4" w:rsidR="00515398" w:rsidRDefault="006711E6">
            <w:pPr>
              <w:pStyle w:val="P68B1DB1-Normal9"/>
              <w:spacing w:after="0" w:line="240" w:lineRule="auto"/>
              <w:rPr>
                <w:noProof/>
              </w:rPr>
            </w:pPr>
            <w:r>
              <w:rPr>
                <w:noProof/>
              </w:rPr>
              <w:t>Potvrzení o přijetí</w:t>
            </w:r>
          </w:p>
        </w:tc>
        <w:tc>
          <w:tcPr>
            <w:tcW w:w="933" w:type="dxa"/>
            <w:tcBorders>
              <w:top w:val="nil"/>
              <w:left w:val="nil"/>
              <w:bottom w:val="single" w:sz="4" w:space="0" w:color="auto"/>
              <w:right w:val="single" w:sz="4" w:space="0" w:color="auto"/>
            </w:tcBorders>
            <w:shd w:val="clear" w:color="auto" w:fill="C6EFCE"/>
            <w:noWrap/>
          </w:tcPr>
          <w:p w14:paraId="53760A65"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2799C21" w14:textId="77777777" w:rsidR="00515398" w:rsidRDefault="00515398">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3E679D38"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807314E" w14:textId="1906AEBF" w:rsidR="00515398" w:rsidRDefault="006711E6">
            <w:pPr>
              <w:pStyle w:val="P68B1DB1-Normal9"/>
              <w:spacing w:after="0" w:line="240" w:lineRule="auto"/>
              <w:rPr>
                <w:noProof/>
              </w:rPr>
            </w:pPr>
            <w:r>
              <w:rPr>
                <w:noProof/>
              </w:rPr>
              <w:t>ČTVRTLETÍ ČTVRT</w:t>
            </w:r>
          </w:p>
        </w:tc>
        <w:tc>
          <w:tcPr>
            <w:tcW w:w="708" w:type="dxa"/>
            <w:tcBorders>
              <w:top w:val="nil"/>
              <w:left w:val="nil"/>
              <w:bottom w:val="single" w:sz="4" w:space="0" w:color="auto"/>
              <w:right w:val="single" w:sz="4" w:space="0" w:color="auto"/>
            </w:tcBorders>
            <w:shd w:val="clear" w:color="auto" w:fill="C6EFCE"/>
            <w:noWrap/>
          </w:tcPr>
          <w:p w14:paraId="36FB4D83" w14:textId="2F7EC384" w:rsidR="00515398" w:rsidRDefault="006711E6">
            <w:pPr>
              <w:pStyle w:val="P68B1DB1-Normal9"/>
              <w:spacing w:after="0" w:line="240" w:lineRule="auto"/>
              <w:rPr>
                <w:noProof/>
              </w:rPr>
            </w:pPr>
            <w:r>
              <w:rPr>
                <w:noProof/>
              </w:rPr>
              <w:t>2025</w:t>
            </w:r>
          </w:p>
        </w:tc>
        <w:tc>
          <w:tcPr>
            <w:tcW w:w="5110" w:type="dxa"/>
            <w:tcBorders>
              <w:top w:val="nil"/>
              <w:left w:val="nil"/>
              <w:bottom w:val="single" w:sz="4" w:space="0" w:color="auto"/>
              <w:right w:val="single" w:sz="4" w:space="0" w:color="auto"/>
            </w:tcBorders>
            <w:shd w:val="clear" w:color="auto" w:fill="C6EFCE"/>
            <w:noWrap/>
          </w:tcPr>
          <w:p w14:paraId="61D95BB3" w14:textId="32F6393A" w:rsidR="00515398" w:rsidRDefault="006711E6">
            <w:pPr>
              <w:pStyle w:val="P68B1DB1-Normal9"/>
              <w:spacing w:after="0" w:line="240" w:lineRule="auto"/>
              <w:rPr>
                <w:noProof/>
              </w:rPr>
            </w:pPr>
            <w:r>
              <w:rPr>
                <w:noProof/>
              </w:rPr>
              <w:t>Dokončení projektů týkajících se digitálních a infrastrukturních kapacit Národního úřadu pro transparentnost.</w:t>
            </w:r>
          </w:p>
        </w:tc>
      </w:tr>
      <w:tr w:rsidR="00515398" w14:paraId="2960A67F"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0EF7D45" w14:textId="77777777" w:rsidR="00515398" w:rsidRDefault="006711E6">
            <w:pPr>
              <w:pStyle w:val="P68B1DB1-Normal9"/>
              <w:spacing w:after="0" w:line="240" w:lineRule="auto"/>
              <w:rPr>
                <w:rFonts w:eastAsia="Times New Roman" w:cs="Calibri"/>
                <w:noProof/>
                <w:szCs w:val="18"/>
              </w:rPr>
            </w:pPr>
            <w:r>
              <w:rPr>
                <w:noProof/>
              </w:rPr>
              <w:t>212</w:t>
            </w:r>
          </w:p>
        </w:tc>
        <w:tc>
          <w:tcPr>
            <w:tcW w:w="1797" w:type="dxa"/>
            <w:tcBorders>
              <w:top w:val="nil"/>
              <w:left w:val="nil"/>
              <w:bottom w:val="single" w:sz="4" w:space="0" w:color="auto"/>
              <w:right w:val="single" w:sz="4" w:space="0" w:color="auto"/>
            </w:tcBorders>
            <w:shd w:val="clear" w:color="auto" w:fill="C6EFCE"/>
            <w:noWrap/>
          </w:tcPr>
          <w:p w14:paraId="1EA59569" w14:textId="77777777" w:rsidR="00515398" w:rsidRDefault="006711E6">
            <w:pPr>
              <w:pStyle w:val="P68B1DB1-Normal9"/>
              <w:spacing w:after="0" w:line="240" w:lineRule="auto"/>
              <w:rPr>
                <w:rFonts w:eastAsia="Times New Roman" w:cs="Calibri"/>
                <w:noProof/>
                <w:szCs w:val="18"/>
              </w:rPr>
            </w:pPr>
            <w:r>
              <w:rPr>
                <w:noProof/>
              </w:rPr>
              <w:t xml:space="preserve">13–4. Modernizace veřejné správy, mimo jiné urychlením provádění veřejných investic, zlepšením rámce pro zadávání veřejných zakázek, </w:t>
            </w:r>
            <w:r>
              <w:rPr>
                <w:noProof/>
              </w:rPr>
              <w:t>opatřeními na budování kapacit a bojem proti korupci – 16702_Posílení rámce pro boj proti praní peněz a financování terorismu</w:t>
            </w:r>
          </w:p>
        </w:tc>
        <w:tc>
          <w:tcPr>
            <w:tcW w:w="966" w:type="dxa"/>
            <w:tcBorders>
              <w:top w:val="nil"/>
              <w:left w:val="nil"/>
              <w:bottom w:val="single" w:sz="4" w:space="0" w:color="auto"/>
              <w:right w:val="single" w:sz="4" w:space="0" w:color="auto"/>
            </w:tcBorders>
            <w:shd w:val="clear" w:color="auto" w:fill="C6EFCE"/>
            <w:noWrap/>
          </w:tcPr>
          <w:p w14:paraId="5161B2B6" w14:textId="77777777" w:rsidR="00515398" w:rsidRDefault="006711E6">
            <w:pPr>
              <w:pStyle w:val="P68B1DB1-Normal9"/>
              <w:spacing w:after="0" w:line="240" w:lineRule="auto"/>
              <w:rPr>
                <w:rFonts w:eastAsia="Times New Roman" w:cs="Calibri"/>
                <w:noProof/>
                <w:szCs w:val="18"/>
              </w:rPr>
            </w:pPr>
            <w:r>
              <w:rPr>
                <w:noProof/>
              </w:rPr>
              <w:t>Milník</w:t>
            </w:r>
          </w:p>
        </w:tc>
        <w:tc>
          <w:tcPr>
            <w:tcW w:w="1393" w:type="dxa"/>
            <w:tcBorders>
              <w:top w:val="nil"/>
              <w:left w:val="nil"/>
              <w:bottom w:val="single" w:sz="4" w:space="0" w:color="auto"/>
              <w:right w:val="single" w:sz="4" w:space="0" w:color="auto"/>
            </w:tcBorders>
            <w:shd w:val="clear" w:color="auto" w:fill="C6EFCE"/>
            <w:noWrap/>
          </w:tcPr>
          <w:p w14:paraId="2C11DA98" w14:textId="77777777" w:rsidR="00515398" w:rsidRDefault="006711E6">
            <w:pPr>
              <w:pStyle w:val="P68B1DB1-Normal9"/>
              <w:spacing w:after="0" w:line="240" w:lineRule="auto"/>
              <w:rPr>
                <w:rFonts w:eastAsia="Times New Roman" w:cs="Calibri"/>
                <w:noProof/>
                <w:szCs w:val="18"/>
              </w:rPr>
            </w:pPr>
            <w:r>
              <w:rPr>
                <w:noProof/>
              </w:rPr>
              <w:t>Posílený rámec pro boj proti praní peněz a financování terorismu</w:t>
            </w:r>
          </w:p>
        </w:tc>
        <w:tc>
          <w:tcPr>
            <w:tcW w:w="1534" w:type="dxa"/>
            <w:tcBorders>
              <w:top w:val="nil"/>
              <w:left w:val="nil"/>
              <w:bottom w:val="single" w:sz="4" w:space="0" w:color="auto"/>
              <w:right w:val="single" w:sz="4" w:space="0" w:color="auto"/>
            </w:tcBorders>
            <w:shd w:val="clear" w:color="auto" w:fill="C6EFCE"/>
            <w:noWrap/>
          </w:tcPr>
          <w:p w14:paraId="43FBB0F7" w14:textId="77777777" w:rsidR="00515398" w:rsidRDefault="006711E6">
            <w:pPr>
              <w:pStyle w:val="P68B1DB1-Normal9"/>
              <w:spacing w:after="0" w:line="240" w:lineRule="auto"/>
              <w:rPr>
                <w:rFonts w:eastAsia="Times New Roman" w:cs="Calibri"/>
                <w:noProof/>
                <w:szCs w:val="18"/>
              </w:rPr>
            </w:pPr>
            <w:r>
              <w:rPr>
                <w:noProof/>
              </w:rPr>
              <w:t xml:space="preserve">Spuštění platformy pro shromažďování statistických údajů; </w:t>
            </w:r>
            <w:r>
              <w:rPr>
                <w:noProof/>
              </w:rPr>
              <w:t>dokončeno zlepšení zvláštního registru skutečných majitelů</w:t>
            </w:r>
          </w:p>
        </w:tc>
        <w:tc>
          <w:tcPr>
            <w:tcW w:w="933" w:type="dxa"/>
            <w:tcBorders>
              <w:top w:val="nil"/>
              <w:left w:val="nil"/>
              <w:bottom w:val="single" w:sz="4" w:space="0" w:color="auto"/>
              <w:right w:val="single" w:sz="4" w:space="0" w:color="auto"/>
            </w:tcBorders>
            <w:shd w:val="clear" w:color="auto" w:fill="C6EFCE"/>
            <w:noWrap/>
          </w:tcPr>
          <w:p w14:paraId="29C0D2F7" w14:textId="77777777" w:rsidR="00515398" w:rsidRDefault="006711E6">
            <w:pPr>
              <w:pStyle w:val="P68B1DB1-Normal4"/>
              <w:spacing w:after="0" w:line="240" w:lineRule="auto"/>
              <w:rPr>
                <w:rFonts w:eastAsia="Times New Roman" w:cs="Calibri"/>
                <w:noProof/>
                <w:color w:val="006100"/>
                <w:sz w:val="18"/>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tcPr>
          <w:p w14:paraId="656A2266" w14:textId="77777777" w:rsidR="00515398" w:rsidRDefault="006711E6">
            <w:pPr>
              <w:pStyle w:val="P68B1DB1-Normal4"/>
              <w:spacing w:after="0" w:line="240" w:lineRule="auto"/>
              <w:rPr>
                <w:rFonts w:eastAsia="Times New Roman" w:cs="Calibri"/>
                <w:noProof/>
                <w:color w:val="006100"/>
                <w:sz w:val="18"/>
                <w:szCs w:val="18"/>
              </w:rPr>
            </w:pPr>
            <w:r>
              <w:rPr>
                <w:noProof/>
              </w:rPr>
              <w:t xml:space="preserve"> </w:t>
            </w:r>
          </w:p>
        </w:tc>
        <w:tc>
          <w:tcPr>
            <w:tcW w:w="702" w:type="dxa"/>
            <w:tcBorders>
              <w:top w:val="nil"/>
              <w:left w:val="nil"/>
              <w:bottom w:val="single" w:sz="4" w:space="0" w:color="auto"/>
              <w:right w:val="single" w:sz="4" w:space="0" w:color="auto"/>
            </w:tcBorders>
            <w:shd w:val="clear" w:color="auto" w:fill="C6EFCE"/>
            <w:noWrap/>
          </w:tcPr>
          <w:p w14:paraId="33B686A3"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C57DE0C" w14:textId="77777777"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nil"/>
              <w:left w:val="nil"/>
              <w:bottom w:val="single" w:sz="4" w:space="0" w:color="auto"/>
              <w:right w:val="single" w:sz="4" w:space="0" w:color="auto"/>
            </w:tcBorders>
            <w:shd w:val="clear" w:color="auto" w:fill="C6EFCE"/>
            <w:noWrap/>
          </w:tcPr>
          <w:p w14:paraId="51EE7376" w14:textId="77777777" w:rsidR="00515398" w:rsidRDefault="006711E6">
            <w:pPr>
              <w:pStyle w:val="P68B1DB1-Normal9"/>
              <w:spacing w:after="0" w:line="240" w:lineRule="auto"/>
              <w:rPr>
                <w:rFonts w:eastAsia="Times New Roman" w:cs="Calibri"/>
                <w:noProof/>
                <w:szCs w:val="18"/>
              </w:rPr>
            </w:pPr>
            <w:r>
              <w:rPr>
                <w:noProof/>
              </w:rPr>
              <w:t>2024</w:t>
            </w:r>
          </w:p>
        </w:tc>
        <w:tc>
          <w:tcPr>
            <w:tcW w:w="5110" w:type="dxa"/>
            <w:tcBorders>
              <w:top w:val="nil"/>
              <w:left w:val="nil"/>
              <w:bottom w:val="single" w:sz="4" w:space="0" w:color="auto"/>
              <w:right w:val="single" w:sz="4" w:space="0" w:color="auto"/>
            </w:tcBorders>
            <w:shd w:val="clear" w:color="auto" w:fill="C6EFCE"/>
            <w:noWrap/>
          </w:tcPr>
          <w:p w14:paraId="43D04E82" w14:textId="1C9DDB34" w:rsidR="00515398" w:rsidRDefault="006711E6">
            <w:pPr>
              <w:pStyle w:val="P68B1DB1-Normal9"/>
              <w:spacing w:after="0" w:line="240" w:lineRule="auto"/>
              <w:rPr>
                <w:rFonts w:eastAsia="Times New Roman" w:cs="Calibri"/>
                <w:noProof/>
                <w:szCs w:val="18"/>
              </w:rPr>
            </w:pPr>
            <w:r>
              <w:rPr>
                <w:noProof/>
              </w:rPr>
              <w:t>i) Spuštění platformy pro shromažďování statistických údajů v držení příslušných vnitrostátních orgánů (tj. justičních, dohledových a donucovacích orgánů); II)zlepšení centrální</w:t>
            </w:r>
            <w:r>
              <w:rPr>
                <w:noProof/>
              </w:rPr>
              <w:t>ho registru skutečných majitelů s cílem usnadnit přímý přístup příslušných orgánů k těmto informacím; III) propojení centrálního registru skutečných majitelů s příslušnými rejstříky členských států EU prostřednictvím příslušné platformy EU.</w:t>
            </w:r>
          </w:p>
        </w:tc>
      </w:tr>
      <w:tr w:rsidR="00515398" w14:paraId="558D4344"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7BE024BC" w14:textId="77777777" w:rsidR="00515398" w:rsidRDefault="006711E6">
            <w:pPr>
              <w:pStyle w:val="P68B1DB1-Normal9"/>
              <w:spacing w:after="0" w:line="240" w:lineRule="auto"/>
              <w:rPr>
                <w:rFonts w:eastAsia="Times New Roman" w:cs="Calibri"/>
                <w:noProof/>
                <w:szCs w:val="18"/>
              </w:rPr>
            </w:pPr>
            <w:r>
              <w:rPr>
                <w:noProof/>
              </w:rPr>
              <w:t>213</w:t>
            </w:r>
          </w:p>
        </w:tc>
        <w:tc>
          <w:tcPr>
            <w:tcW w:w="1797" w:type="dxa"/>
            <w:tcBorders>
              <w:top w:val="nil"/>
              <w:left w:val="nil"/>
              <w:bottom w:val="single" w:sz="4" w:space="0" w:color="auto"/>
              <w:right w:val="single" w:sz="4" w:space="0" w:color="auto"/>
            </w:tcBorders>
            <w:shd w:val="clear" w:color="auto" w:fill="C6EFCE"/>
            <w:noWrap/>
          </w:tcPr>
          <w:p w14:paraId="60EE2EE4" w14:textId="77777777" w:rsidR="00515398" w:rsidRDefault="006711E6">
            <w:pPr>
              <w:pStyle w:val="P68B1DB1-Normal9"/>
              <w:spacing w:after="0" w:line="240" w:lineRule="auto"/>
              <w:rPr>
                <w:rFonts w:eastAsia="Times New Roman" w:cs="Calibri"/>
                <w:noProof/>
                <w:szCs w:val="18"/>
              </w:rPr>
            </w:pPr>
            <w:r>
              <w:rPr>
                <w:noProof/>
              </w:rPr>
              <w:t xml:space="preserve">13–4. </w:t>
            </w:r>
            <w:r>
              <w:rPr>
                <w:noProof/>
              </w:rPr>
              <w:t>Modernizovat veřejnou správu, mimo jiné urychlením provádění veřejných investic, zlepšením rámce pro zadávání veřejných zakázek, opatřeními na budování kapacit a bojem proti korupci – 16703_Boj proti nezákonnému obchodu a ochrana duševního vlastnictví</w:t>
            </w:r>
          </w:p>
        </w:tc>
        <w:tc>
          <w:tcPr>
            <w:tcW w:w="966" w:type="dxa"/>
            <w:tcBorders>
              <w:top w:val="nil"/>
              <w:left w:val="nil"/>
              <w:bottom w:val="single" w:sz="4" w:space="0" w:color="auto"/>
              <w:right w:val="single" w:sz="4" w:space="0" w:color="auto"/>
            </w:tcBorders>
            <w:shd w:val="clear" w:color="auto" w:fill="C6EFCE"/>
            <w:noWrap/>
          </w:tcPr>
          <w:p w14:paraId="2C89BE91" w14:textId="77777777" w:rsidR="00515398" w:rsidRDefault="006711E6">
            <w:pPr>
              <w:pStyle w:val="P68B1DB1-Normal9"/>
              <w:spacing w:after="0" w:line="240" w:lineRule="auto"/>
              <w:rPr>
                <w:rFonts w:eastAsia="Times New Roman" w:cs="Calibri"/>
                <w:noProof/>
                <w:szCs w:val="18"/>
              </w:rPr>
            </w:pPr>
            <w:r>
              <w:rPr>
                <w:noProof/>
              </w:rPr>
              <w:t>Miln</w:t>
            </w:r>
            <w:r>
              <w:rPr>
                <w:noProof/>
              </w:rPr>
              <w:t>ík</w:t>
            </w:r>
          </w:p>
        </w:tc>
        <w:tc>
          <w:tcPr>
            <w:tcW w:w="1393" w:type="dxa"/>
            <w:tcBorders>
              <w:top w:val="nil"/>
              <w:left w:val="nil"/>
              <w:bottom w:val="single" w:sz="4" w:space="0" w:color="auto"/>
              <w:right w:val="single" w:sz="4" w:space="0" w:color="auto"/>
            </w:tcBorders>
            <w:shd w:val="clear" w:color="auto" w:fill="C6EFCE"/>
            <w:noWrap/>
          </w:tcPr>
          <w:p w14:paraId="3B607D12" w14:textId="77777777" w:rsidR="00515398" w:rsidRDefault="006711E6">
            <w:pPr>
              <w:pStyle w:val="P68B1DB1-Normal9"/>
              <w:spacing w:after="0" w:line="240" w:lineRule="auto"/>
              <w:rPr>
                <w:rFonts w:eastAsia="Times New Roman" w:cs="Calibri"/>
                <w:noProof/>
                <w:szCs w:val="18"/>
              </w:rPr>
            </w:pPr>
            <w:r>
              <w:rPr>
                <w:noProof/>
              </w:rPr>
              <w:t>Boj proti nezákonnému obchodu – informační systém a kontrolní stanice</w:t>
            </w:r>
          </w:p>
        </w:tc>
        <w:tc>
          <w:tcPr>
            <w:tcW w:w="1534" w:type="dxa"/>
            <w:tcBorders>
              <w:top w:val="nil"/>
              <w:left w:val="nil"/>
              <w:bottom w:val="single" w:sz="4" w:space="0" w:color="auto"/>
              <w:right w:val="single" w:sz="4" w:space="0" w:color="auto"/>
            </w:tcBorders>
            <w:shd w:val="clear" w:color="auto" w:fill="C6EFCE"/>
            <w:noWrap/>
          </w:tcPr>
          <w:p w14:paraId="7FAADE72" w14:textId="6DB37D15" w:rsidR="00515398" w:rsidRDefault="006711E6">
            <w:pPr>
              <w:pStyle w:val="P68B1DB1-Normal9"/>
              <w:spacing w:after="0" w:line="240" w:lineRule="auto"/>
              <w:rPr>
                <w:rFonts w:eastAsia="Times New Roman" w:cs="Calibri"/>
                <w:noProof/>
                <w:szCs w:val="18"/>
              </w:rPr>
            </w:pPr>
            <w:r>
              <w:rPr>
                <w:noProof/>
              </w:rPr>
              <w:t>IT systém a nové řídící stanice jsou v provozu; je dokončeno školení zaměstnanců</w:t>
            </w:r>
          </w:p>
        </w:tc>
        <w:tc>
          <w:tcPr>
            <w:tcW w:w="933" w:type="dxa"/>
            <w:tcBorders>
              <w:top w:val="nil"/>
              <w:left w:val="nil"/>
              <w:bottom w:val="single" w:sz="4" w:space="0" w:color="auto"/>
              <w:right w:val="single" w:sz="4" w:space="0" w:color="auto"/>
            </w:tcBorders>
            <w:shd w:val="clear" w:color="auto" w:fill="C6EFCE"/>
            <w:noWrap/>
          </w:tcPr>
          <w:p w14:paraId="5924C37C"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26C407D" w14:textId="77777777" w:rsidR="00515398" w:rsidRDefault="00515398">
            <w:pPr>
              <w:spacing w:after="0" w:line="240" w:lineRule="auto"/>
              <w:rPr>
                <w:rFonts w:eastAsia="Times New Roman" w:cs="Calibri"/>
                <w:noProof/>
                <w:color w:val="006100"/>
                <w:sz w:val="18"/>
                <w:szCs w:val="18"/>
              </w:rPr>
            </w:pPr>
          </w:p>
        </w:tc>
        <w:tc>
          <w:tcPr>
            <w:tcW w:w="702" w:type="dxa"/>
            <w:tcBorders>
              <w:top w:val="nil"/>
              <w:left w:val="nil"/>
              <w:bottom w:val="single" w:sz="4" w:space="0" w:color="auto"/>
              <w:right w:val="single" w:sz="4" w:space="0" w:color="auto"/>
            </w:tcBorders>
            <w:shd w:val="clear" w:color="auto" w:fill="C6EFCE"/>
            <w:noWrap/>
          </w:tcPr>
          <w:p w14:paraId="3DF2F073"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BFF3B21" w14:textId="77777777" w:rsidR="00515398" w:rsidRDefault="006711E6">
            <w:pPr>
              <w:pStyle w:val="P68B1DB1-Normal9"/>
              <w:spacing w:after="0" w:line="240" w:lineRule="auto"/>
              <w:rPr>
                <w:rFonts w:eastAsia="Times New Roman" w:cs="Calibri"/>
                <w:noProof/>
                <w:szCs w:val="18"/>
              </w:rPr>
            </w:pPr>
            <w:r>
              <w:rPr>
                <w:noProof/>
              </w:rPr>
              <w:t>ČTVRTLETÍ</w:t>
            </w:r>
          </w:p>
        </w:tc>
        <w:tc>
          <w:tcPr>
            <w:tcW w:w="708" w:type="dxa"/>
            <w:tcBorders>
              <w:top w:val="nil"/>
              <w:left w:val="nil"/>
              <w:bottom w:val="single" w:sz="4" w:space="0" w:color="auto"/>
              <w:right w:val="single" w:sz="4" w:space="0" w:color="auto"/>
            </w:tcBorders>
            <w:shd w:val="clear" w:color="auto" w:fill="C6EFCE"/>
            <w:noWrap/>
          </w:tcPr>
          <w:p w14:paraId="798C222C" w14:textId="77777777" w:rsidR="00515398" w:rsidRDefault="006711E6">
            <w:pPr>
              <w:pStyle w:val="P68B1DB1-Normal9"/>
              <w:spacing w:after="0" w:line="240" w:lineRule="auto"/>
              <w:rPr>
                <w:rFonts w:eastAsia="Times New Roman" w:cs="Calibri"/>
                <w:noProof/>
                <w:szCs w:val="18"/>
              </w:rPr>
            </w:pPr>
            <w:r>
              <w:rPr>
                <w:noProof/>
              </w:rPr>
              <w:t>2025</w:t>
            </w:r>
          </w:p>
        </w:tc>
        <w:tc>
          <w:tcPr>
            <w:tcW w:w="5110" w:type="dxa"/>
            <w:tcBorders>
              <w:top w:val="nil"/>
              <w:left w:val="nil"/>
              <w:bottom w:val="single" w:sz="4" w:space="0" w:color="auto"/>
              <w:right w:val="single" w:sz="4" w:space="0" w:color="auto"/>
            </w:tcBorders>
            <w:shd w:val="clear" w:color="auto" w:fill="C6EFCE"/>
            <w:noWrap/>
          </w:tcPr>
          <w:p w14:paraId="1007F33D" w14:textId="4D25C6F6" w:rsidR="00515398" w:rsidRDefault="006711E6">
            <w:pPr>
              <w:pStyle w:val="P68B1DB1-Normal9"/>
              <w:spacing w:after="0" w:line="240" w:lineRule="auto"/>
              <w:rPr>
                <w:noProof/>
              </w:rPr>
            </w:pPr>
            <w:r>
              <w:rPr>
                <w:noProof/>
              </w:rPr>
              <w:t xml:space="preserve">Zahájení provozu informačního systému pro kontroly za účelem boje proti obchodování </w:t>
            </w:r>
            <w:r>
              <w:rPr>
                <w:noProof/>
              </w:rPr>
              <w:t xml:space="preserve">s lidmi a kontroly pohybu zboží a služeb. Prostřednictvím logistického vybavení se posílí provozní kapacita meziagenturní jednotky pro kontrolu trhu (DIMEA), včetně periferní infrastruktury. </w:t>
            </w:r>
          </w:p>
          <w:p w14:paraId="1C0B2B60" w14:textId="3D4EA475" w:rsidR="00515398" w:rsidRDefault="006711E6">
            <w:pPr>
              <w:pStyle w:val="P68B1DB1-Normal9"/>
              <w:spacing w:after="0" w:line="240" w:lineRule="auto"/>
              <w:rPr>
                <w:rFonts w:eastAsia="Times New Roman" w:cs="Calibri"/>
                <w:noProof/>
                <w:szCs w:val="18"/>
              </w:rPr>
            </w:pPr>
            <w:r>
              <w:rPr>
                <w:noProof/>
              </w:rPr>
              <w:t>— Dokončení komponentů pro zřízení nových řídících stanic pro bo</w:t>
            </w:r>
            <w:r>
              <w:rPr>
                <w:noProof/>
              </w:rPr>
              <w:t>j proti nezákonnému obchodu prostřednictvím 10 montovaných budov (ISOBOX).</w:t>
            </w:r>
          </w:p>
          <w:p w14:paraId="738BCEE6" w14:textId="77777777" w:rsidR="00515398" w:rsidRDefault="006711E6">
            <w:pPr>
              <w:pStyle w:val="P68B1DB1-Normal9"/>
              <w:spacing w:after="0" w:line="240" w:lineRule="auto"/>
              <w:rPr>
                <w:rFonts w:eastAsia="Times New Roman" w:cs="Calibri"/>
                <w:noProof/>
                <w:szCs w:val="18"/>
              </w:rPr>
            </w:pPr>
            <w:r>
              <w:rPr>
                <w:noProof/>
              </w:rPr>
              <w:t>Dokončení nezbytné odborné přípravy zaměstnanců v oblasti provozu informačních systémů a vybavení.</w:t>
            </w:r>
          </w:p>
        </w:tc>
      </w:tr>
    </w:tbl>
    <w:p w14:paraId="275A6F55" w14:textId="77777777" w:rsidR="00515398" w:rsidRDefault="00515398">
      <w:pPr>
        <w:spacing w:before="120" w:after="120" w:line="240" w:lineRule="auto"/>
        <w:jc w:val="both"/>
        <w:rPr>
          <w:rFonts w:ascii="Times New Roman" w:hAnsi="Times New Roman" w:cs="Times New Roman"/>
          <w:noProof/>
          <w:sz w:val="24"/>
          <w:szCs w:val="24"/>
        </w:rPr>
      </w:pPr>
    </w:p>
    <w:p w14:paraId="536DCB5F"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20: Posílení veřejné správy</w:t>
      </w:r>
    </w:p>
    <w:p w14:paraId="361FDDE5" w14:textId="77777777" w:rsidR="00515398" w:rsidRDefault="006711E6">
      <w:pPr>
        <w:pStyle w:val="P68B1DB1-Normal4"/>
        <w:numPr>
          <w:ilvl w:val="0"/>
          <w:numId w:val="28"/>
        </w:numPr>
        <w:spacing w:before="120" w:after="0" w:line="240" w:lineRule="auto"/>
        <w:jc w:val="both"/>
        <w:rPr>
          <w:rFonts w:cs="Times New Roman"/>
          <w:noProof/>
        </w:rPr>
      </w:pPr>
      <w:r>
        <w:rPr>
          <w:noProof/>
        </w:rPr>
        <w:t>GOV-ERP (ID: 16705)</w:t>
      </w:r>
    </w:p>
    <w:p w14:paraId="7F90609F" w14:textId="77777777" w:rsidR="00515398" w:rsidRDefault="006711E6">
      <w:pPr>
        <w:pStyle w:val="P68B1DB1-Normal4"/>
        <w:numPr>
          <w:ilvl w:val="0"/>
          <w:numId w:val="28"/>
        </w:numPr>
        <w:spacing w:before="120" w:after="0" w:line="240" w:lineRule="auto"/>
        <w:jc w:val="both"/>
        <w:rPr>
          <w:rFonts w:cs="Times New Roman"/>
          <w:noProof/>
        </w:rPr>
      </w:pPr>
      <w:r>
        <w:rPr>
          <w:noProof/>
        </w:rPr>
        <w:t xml:space="preserve">Reforma účetnictví (ID: </w:t>
      </w:r>
      <w:r>
        <w:rPr>
          <w:noProof/>
        </w:rPr>
        <w:t>16974)</w:t>
      </w:r>
    </w:p>
    <w:p w14:paraId="60D7AA12" w14:textId="77777777" w:rsidR="00515398" w:rsidRDefault="006711E6">
      <w:pPr>
        <w:pStyle w:val="P68B1DB1-Normal4"/>
        <w:numPr>
          <w:ilvl w:val="0"/>
          <w:numId w:val="28"/>
        </w:numPr>
        <w:spacing w:before="120" w:after="0" w:line="240" w:lineRule="auto"/>
        <w:jc w:val="both"/>
        <w:rPr>
          <w:rFonts w:cs="Times New Roman"/>
          <w:noProof/>
        </w:rPr>
      </w:pPr>
      <w:r>
        <w:rPr>
          <w:noProof/>
        </w:rPr>
        <w:t>Moderní institucionální rámec pro státní podniky (ID: 16657)</w:t>
      </w:r>
    </w:p>
    <w:p w14:paraId="4CA46D8C" w14:textId="77777777" w:rsidR="00515398" w:rsidRDefault="006711E6">
      <w:pPr>
        <w:pStyle w:val="P68B1DB1-Normal4"/>
        <w:numPr>
          <w:ilvl w:val="0"/>
          <w:numId w:val="28"/>
        </w:numPr>
        <w:spacing w:before="120" w:after="0" w:line="240" w:lineRule="auto"/>
        <w:jc w:val="both"/>
        <w:rPr>
          <w:rFonts w:cs="Times New Roman"/>
          <w:noProof/>
        </w:rPr>
      </w:pPr>
      <w:r>
        <w:rPr>
          <w:noProof/>
        </w:rPr>
        <w:t>Posílit síť státní podpory (ID: 16701)</w:t>
      </w:r>
    </w:p>
    <w:p w14:paraId="5B0B7B1C" w14:textId="77777777" w:rsidR="00515398" w:rsidRDefault="006711E6">
      <w:pPr>
        <w:pStyle w:val="P68B1DB1-Normal4"/>
        <w:numPr>
          <w:ilvl w:val="0"/>
          <w:numId w:val="28"/>
        </w:numPr>
        <w:spacing w:before="120" w:after="0" w:line="240" w:lineRule="auto"/>
        <w:jc w:val="both"/>
        <w:rPr>
          <w:rFonts w:cs="Times New Roman"/>
          <w:noProof/>
        </w:rPr>
      </w:pPr>
      <w:r>
        <w:rPr>
          <w:noProof/>
        </w:rPr>
        <w:t>Modernizovat řecký fond pro vklady a úvěry (ID: 16940)</w:t>
      </w:r>
    </w:p>
    <w:p w14:paraId="627EC68C" w14:textId="77777777" w:rsidR="00515398" w:rsidRDefault="006711E6">
      <w:pPr>
        <w:pStyle w:val="P68B1DB1-Normal4"/>
        <w:numPr>
          <w:ilvl w:val="0"/>
          <w:numId w:val="28"/>
        </w:numPr>
        <w:spacing w:before="120" w:after="0" w:line="240" w:lineRule="auto"/>
        <w:jc w:val="both"/>
        <w:rPr>
          <w:rFonts w:cs="Times New Roman"/>
          <w:noProof/>
        </w:rPr>
      </w:pPr>
      <w:r>
        <w:rPr>
          <w:noProof/>
        </w:rPr>
        <w:t>Profesionalizace oblasti zadávání veřejných zakázek (ID: 16711)</w:t>
      </w:r>
    </w:p>
    <w:p w14:paraId="3493DFD9" w14:textId="77777777" w:rsidR="00515398" w:rsidRDefault="006711E6">
      <w:pPr>
        <w:pStyle w:val="P68B1DB1-Normal4"/>
        <w:numPr>
          <w:ilvl w:val="0"/>
          <w:numId w:val="28"/>
        </w:numPr>
        <w:spacing w:before="120" w:after="0" w:line="240" w:lineRule="auto"/>
        <w:jc w:val="both"/>
        <w:rPr>
          <w:rFonts w:cs="Times New Roman"/>
          <w:noProof/>
        </w:rPr>
      </w:pPr>
      <w:r>
        <w:rPr>
          <w:noProof/>
        </w:rPr>
        <w:t xml:space="preserve">Dokončení národního katastru </w:t>
      </w:r>
      <w:r>
        <w:rPr>
          <w:noProof/>
        </w:rPr>
        <w:t>(ID: 16986)</w:t>
      </w:r>
    </w:p>
    <w:p w14:paraId="27FF4C65" w14:textId="77777777" w:rsidR="00515398" w:rsidRDefault="00515398">
      <w:pPr>
        <w:spacing w:after="0" w:line="240" w:lineRule="auto"/>
        <w:ind w:left="720"/>
        <w:jc w:val="both"/>
        <w:rPr>
          <w:rFonts w:ascii="Times New Roman" w:hAnsi="Times New Roman" w:cs="Times New Roman"/>
          <w:noProof/>
          <w:sz w:val="24"/>
        </w:rPr>
      </w:pPr>
    </w:p>
    <w:tbl>
      <w:tblPr>
        <w:tblW w:w="15871" w:type="dxa"/>
        <w:jc w:val="center"/>
        <w:tblLook w:val="04A0" w:firstRow="1" w:lastRow="0" w:firstColumn="1" w:lastColumn="0" w:noHBand="0" w:noVBand="1"/>
      </w:tblPr>
      <w:tblGrid>
        <w:gridCol w:w="1027"/>
        <w:gridCol w:w="2146"/>
        <w:gridCol w:w="1063"/>
        <w:gridCol w:w="1712"/>
        <w:gridCol w:w="1552"/>
        <w:gridCol w:w="1334"/>
        <w:gridCol w:w="1003"/>
        <w:gridCol w:w="876"/>
        <w:gridCol w:w="984"/>
        <w:gridCol w:w="673"/>
        <w:gridCol w:w="3847"/>
      </w:tblGrid>
      <w:tr w:rsidR="00515398" w14:paraId="4F5C4EA5" w14:textId="77777777">
        <w:trPr>
          <w:trHeight w:val="640"/>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2279E3"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AABFF9"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938A61"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712" w:type="dxa"/>
            <w:vMerge w:val="restart"/>
            <w:tcBorders>
              <w:top w:val="single" w:sz="4" w:space="0" w:color="auto"/>
              <w:left w:val="nil"/>
              <w:bottom w:val="single" w:sz="4" w:space="0" w:color="auto"/>
              <w:right w:val="single" w:sz="4" w:space="0" w:color="auto"/>
            </w:tcBorders>
            <w:shd w:val="clear" w:color="auto" w:fill="BDD7EE"/>
            <w:vAlign w:val="center"/>
            <w:hideMark/>
          </w:tcPr>
          <w:p w14:paraId="59305353"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F977D0"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3005" w:type="dxa"/>
            <w:gridSpan w:val="3"/>
            <w:tcBorders>
              <w:top w:val="single" w:sz="4" w:space="0" w:color="auto"/>
              <w:left w:val="nil"/>
              <w:bottom w:val="single" w:sz="4" w:space="0" w:color="auto"/>
              <w:right w:val="single" w:sz="4" w:space="0" w:color="auto"/>
            </w:tcBorders>
            <w:shd w:val="clear" w:color="auto" w:fill="BDD7EE"/>
            <w:vAlign w:val="center"/>
            <w:hideMark/>
          </w:tcPr>
          <w:p w14:paraId="5676262D"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Kvantitativní ukazatele </w:t>
            </w:r>
            <w:r>
              <w:rPr>
                <w:noProof/>
                <w:sz w:val="24"/>
              </w:rPr>
              <w:t xml:space="preserve"> </w:t>
            </w:r>
            <w:r>
              <w:rPr>
                <w:b/>
                <w:noProof/>
                <w:sz w:val="18"/>
              </w:rPr>
              <w:t>(pro cíle)</w:t>
            </w:r>
          </w:p>
        </w:tc>
        <w:tc>
          <w:tcPr>
            <w:tcW w:w="1519" w:type="dxa"/>
            <w:gridSpan w:val="2"/>
            <w:tcBorders>
              <w:top w:val="single" w:sz="4" w:space="0" w:color="auto"/>
              <w:left w:val="nil"/>
              <w:bottom w:val="single" w:sz="4" w:space="0" w:color="auto"/>
              <w:right w:val="single" w:sz="4" w:space="0" w:color="auto"/>
            </w:tcBorders>
            <w:shd w:val="clear" w:color="auto" w:fill="BDD7EE"/>
            <w:vAlign w:val="center"/>
            <w:hideMark/>
          </w:tcPr>
          <w:p w14:paraId="0DA36E5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8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CD6303"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41F94AAD" w14:textId="77777777">
        <w:trPr>
          <w:trHeight w:val="554"/>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341E0A4" w14:textId="77777777" w:rsidR="00515398" w:rsidRDefault="00515398">
            <w:pPr>
              <w:spacing w:after="0" w:line="240" w:lineRule="auto"/>
              <w:rPr>
                <w:rFonts w:ascii="Times New Roman" w:eastAsia="Times New Roman" w:hAnsi="Times New Roman" w:cs="Times New Roman"/>
                <w:b/>
                <w:bCs/>
                <w:noProof/>
                <w:sz w:val="18"/>
                <w:szCs w:val="1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3153BF1B" w14:textId="77777777" w:rsidR="00515398" w:rsidRDefault="00515398">
            <w:pPr>
              <w:spacing w:after="0" w:line="240" w:lineRule="auto"/>
              <w:rPr>
                <w:rFonts w:ascii="Times New Roman" w:eastAsia="Times New Roman" w:hAnsi="Times New Roman" w:cs="Times New Roman"/>
                <w:b/>
                <w:bCs/>
                <w:noProof/>
                <w:sz w:val="18"/>
                <w:szCs w:val="18"/>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74D74C3E" w14:textId="77777777" w:rsidR="00515398" w:rsidRDefault="00515398">
            <w:pPr>
              <w:spacing w:after="0" w:line="240" w:lineRule="auto"/>
              <w:rPr>
                <w:rFonts w:ascii="Times New Roman" w:eastAsia="Times New Roman" w:hAnsi="Times New Roman" w:cs="Times New Roman"/>
                <w:b/>
                <w:bCs/>
                <w:noProof/>
                <w:sz w:val="18"/>
                <w:szCs w:val="18"/>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0294D3C6" w14:textId="77777777" w:rsidR="00515398" w:rsidRDefault="00515398">
            <w:pPr>
              <w:spacing w:after="0" w:line="240" w:lineRule="auto"/>
              <w:rPr>
                <w:rFonts w:ascii="Times New Roman" w:eastAsia="Times New Roman" w:hAnsi="Times New Roman" w:cs="Times New Roman"/>
                <w:b/>
                <w:bCs/>
                <w:noProof/>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228D001D" w14:textId="77777777" w:rsidR="00515398" w:rsidRDefault="00515398">
            <w:pPr>
              <w:spacing w:after="0" w:line="240" w:lineRule="auto"/>
              <w:rPr>
                <w:rFonts w:ascii="Times New Roman" w:eastAsia="Times New Roman" w:hAnsi="Times New Roman" w:cs="Times New Roman"/>
                <w:b/>
                <w:bCs/>
                <w:noProof/>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4A2052"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1003" w:type="dxa"/>
            <w:tcBorders>
              <w:top w:val="single" w:sz="4" w:space="0" w:color="auto"/>
              <w:left w:val="nil"/>
              <w:bottom w:val="single" w:sz="4" w:space="0" w:color="auto"/>
              <w:right w:val="single" w:sz="4" w:space="0" w:color="auto"/>
            </w:tcBorders>
            <w:shd w:val="clear" w:color="auto" w:fill="BDD7EE"/>
            <w:vAlign w:val="center"/>
            <w:hideMark/>
          </w:tcPr>
          <w:p w14:paraId="34C6B4B8"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76" w:type="dxa"/>
            <w:tcBorders>
              <w:top w:val="single" w:sz="4" w:space="0" w:color="auto"/>
              <w:left w:val="nil"/>
              <w:bottom w:val="single" w:sz="4" w:space="0" w:color="auto"/>
              <w:right w:val="single" w:sz="4" w:space="0" w:color="auto"/>
            </w:tcBorders>
            <w:shd w:val="clear" w:color="auto" w:fill="BDD7EE"/>
            <w:vAlign w:val="center"/>
            <w:hideMark/>
          </w:tcPr>
          <w:p w14:paraId="460FC2E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65B4B30A"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673" w:type="dxa"/>
            <w:tcBorders>
              <w:top w:val="single" w:sz="4" w:space="0" w:color="auto"/>
              <w:left w:val="nil"/>
              <w:bottom w:val="single" w:sz="4" w:space="0" w:color="auto"/>
              <w:right w:val="single" w:sz="4" w:space="0" w:color="auto"/>
            </w:tcBorders>
            <w:shd w:val="clear" w:color="auto" w:fill="BDD7EE"/>
            <w:vAlign w:val="center"/>
            <w:hideMark/>
          </w:tcPr>
          <w:p w14:paraId="60457D64"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847" w:type="dxa"/>
            <w:vMerge/>
            <w:tcBorders>
              <w:top w:val="single" w:sz="4" w:space="0" w:color="auto"/>
              <w:bottom w:val="single" w:sz="4" w:space="0" w:color="auto"/>
              <w:right w:val="single" w:sz="4" w:space="0" w:color="auto"/>
            </w:tcBorders>
            <w:vAlign w:val="center"/>
            <w:hideMark/>
          </w:tcPr>
          <w:p w14:paraId="64E861B5"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169475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3B2943C" w14:textId="77777777" w:rsidR="00515398" w:rsidRDefault="006711E6">
            <w:pPr>
              <w:pStyle w:val="P68B1DB1-Normal9"/>
              <w:spacing w:after="0" w:line="240" w:lineRule="auto"/>
              <w:rPr>
                <w:rFonts w:eastAsia="Times New Roman" w:cs="Calibri"/>
                <w:noProof/>
                <w:szCs w:val="18"/>
              </w:rPr>
            </w:pPr>
            <w:r>
              <w:rPr>
                <w:noProof/>
              </w:rPr>
              <w:t>214</w:t>
            </w:r>
          </w:p>
        </w:tc>
        <w:tc>
          <w:tcPr>
            <w:tcW w:w="2146" w:type="dxa"/>
            <w:tcBorders>
              <w:top w:val="single" w:sz="4" w:space="0" w:color="auto"/>
              <w:left w:val="nil"/>
              <w:bottom w:val="single" w:sz="4" w:space="0" w:color="auto"/>
              <w:right w:val="single" w:sz="4" w:space="0" w:color="auto"/>
            </w:tcBorders>
            <w:shd w:val="clear" w:color="auto" w:fill="C6EFCE"/>
            <w:noWrap/>
          </w:tcPr>
          <w:p w14:paraId="44ED7CEA" w14:textId="77777777" w:rsidR="00515398" w:rsidRDefault="006711E6">
            <w:pPr>
              <w:pStyle w:val="P68B1DB1-Normal9"/>
              <w:spacing w:after="0" w:line="240" w:lineRule="auto"/>
              <w:rPr>
                <w:rFonts w:eastAsia="Times New Roman" w:cs="Calibri"/>
                <w:noProof/>
                <w:szCs w:val="18"/>
              </w:rPr>
            </w:pPr>
            <w:r>
              <w:rPr>
                <w:noProof/>
              </w:rPr>
              <w:t xml:space="preserve">13–4. Modernizace veřejné správy, mimo jiné urychlením provádění veřejných investic, zlepšením rámce pro zadávání veřejných zakázek, opatřeními na budování kapacit a bojem proti korupci – 16701_Posílit síť státní </w:t>
            </w:r>
            <w:r>
              <w:rPr>
                <w:noProof/>
              </w:rPr>
              <w:t>podpory</w:t>
            </w:r>
          </w:p>
        </w:tc>
        <w:tc>
          <w:tcPr>
            <w:tcW w:w="1063" w:type="dxa"/>
            <w:tcBorders>
              <w:top w:val="single" w:sz="4" w:space="0" w:color="auto"/>
              <w:left w:val="nil"/>
              <w:bottom w:val="single" w:sz="4" w:space="0" w:color="auto"/>
              <w:right w:val="single" w:sz="4" w:space="0" w:color="auto"/>
            </w:tcBorders>
            <w:shd w:val="clear" w:color="auto" w:fill="C6EFCE"/>
            <w:noWrap/>
          </w:tcPr>
          <w:p w14:paraId="65DE02E9"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single" w:sz="4" w:space="0" w:color="auto"/>
              <w:left w:val="nil"/>
              <w:bottom w:val="single" w:sz="4" w:space="0" w:color="auto"/>
              <w:right w:val="single" w:sz="4" w:space="0" w:color="auto"/>
            </w:tcBorders>
            <w:shd w:val="clear" w:color="auto" w:fill="C6EFCE"/>
            <w:noWrap/>
          </w:tcPr>
          <w:p w14:paraId="11227FB0" w14:textId="77777777" w:rsidR="00515398" w:rsidRDefault="006711E6">
            <w:pPr>
              <w:pStyle w:val="P68B1DB1-Normal9"/>
              <w:spacing w:after="0" w:line="240" w:lineRule="auto"/>
              <w:rPr>
                <w:rFonts w:eastAsia="Times New Roman" w:cs="Calibri"/>
                <w:noProof/>
                <w:szCs w:val="18"/>
              </w:rPr>
            </w:pPr>
            <w:r>
              <w:rPr>
                <w:noProof/>
              </w:rPr>
              <w:t>Posílená síť státní podpory</w:t>
            </w:r>
          </w:p>
        </w:tc>
        <w:tc>
          <w:tcPr>
            <w:tcW w:w="1552" w:type="dxa"/>
            <w:tcBorders>
              <w:top w:val="single" w:sz="4" w:space="0" w:color="auto"/>
              <w:left w:val="nil"/>
              <w:bottom w:val="single" w:sz="4" w:space="0" w:color="auto"/>
              <w:right w:val="single" w:sz="4" w:space="0" w:color="auto"/>
            </w:tcBorders>
            <w:shd w:val="clear" w:color="auto" w:fill="C6EFCE"/>
            <w:noWrap/>
          </w:tcPr>
          <w:p w14:paraId="73892AA6" w14:textId="77777777" w:rsidR="00515398" w:rsidRDefault="006711E6">
            <w:pPr>
              <w:pStyle w:val="P68B1DB1-Normal9"/>
              <w:spacing w:after="0" w:line="240" w:lineRule="auto"/>
              <w:rPr>
                <w:rFonts w:eastAsia="Times New Roman" w:cs="Calibri"/>
                <w:noProof/>
                <w:szCs w:val="18"/>
              </w:rPr>
            </w:pPr>
            <w:r>
              <w:rPr>
                <w:noProof/>
              </w:rPr>
              <w:t>Vstup posíleného rámce státní podpory v platnost</w:t>
            </w:r>
          </w:p>
        </w:tc>
        <w:tc>
          <w:tcPr>
            <w:tcW w:w="1126" w:type="dxa"/>
            <w:tcBorders>
              <w:top w:val="single" w:sz="4" w:space="0" w:color="auto"/>
              <w:left w:val="nil"/>
              <w:bottom w:val="single" w:sz="4" w:space="0" w:color="auto"/>
              <w:right w:val="single" w:sz="4" w:space="0" w:color="auto"/>
            </w:tcBorders>
            <w:shd w:val="clear" w:color="auto" w:fill="C6EFCE"/>
            <w:noWrap/>
          </w:tcPr>
          <w:p w14:paraId="7036067B" w14:textId="77777777" w:rsidR="00515398" w:rsidRDefault="00515398">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63A39757" w14:textId="77777777" w:rsidR="00515398" w:rsidRDefault="00515398">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15F1CBC9"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823961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single" w:sz="4" w:space="0" w:color="auto"/>
              <w:left w:val="nil"/>
              <w:bottom w:val="single" w:sz="4" w:space="0" w:color="auto"/>
              <w:right w:val="single" w:sz="4" w:space="0" w:color="auto"/>
            </w:tcBorders>
            <w:shd w:val="clear" w:color="auto" w:fill="C6EFCE"/>
            <w:noWrap/>
          </w:tcPr>
          <w:p w14:paraId="0840DEEC" w14:textId="77777777" w:rsidR="00515398" w:rsidRDefault="006711E6">
            <w:pPr>
              <w:pStyle w:val="P68B1DB1-Normal9"/>
              <w:spacing w:after="0" w:line="240" w:lineRule="auto"/>
              <w:rPr>
                <w:rFonts w:eastAsia="Times New Roman" w:cs="Calibri"/>
                <w:noProof/>
                <w:szCs w:val="18"/>
              </w:rPr>
            </w:pPr>
            <w:r>
              <w:rPr>
                <w:noProof/>
              </w:rPr>
              <w:t>2022</w:t>
            </w:r>
          </w:p>
        </w:tc>
        <w:tc>
          <w:tcPr>
            <w:tcW w:w="3847" w:type="dxa"/>
            <w:tcBorders>
              <w:top w:val="single" w:sz="4" w:space="0" w:color="auto"/>
              <w:left w:val="nil"/>
              <w:bottom w:val="single" w:sz="4" w:space="0" w:color="auto"/>
              <w:right w:val="single" w:sz="4" w:space="0" w:color="auto"/>
            </w:tcBorders>
            <w:shd w:val="clear" w:color="auto" w:fill="C6EFCE"/>
            <w:noWrap/>
          </w:tcPr>
          <w:p w14:paraId="3BB4C7FF" w14:textId="77777777" w:rsidR="00515398" w:rsidRDefault="006711E6">
            <w:pPr>
              <w:pStyle w:val="P68B1DB1-Normal9"/>
              <w:spacing w:after="0" w:line="240" w:lineRule="auto"/>
              <w:rPr>
                <w:rFonts w:eastAsia="Times New Roman" w:cs="Calibri"/>
                <w:noProof/>
                <w:szCs w:val="18"/>
              </w:rPr>
            </w:pPr>
            <w:r>
              <w:rPr>
                <w:noProof/>
              </w:rPr>
              <w:t>Vstup v platnost změn právního rámce státní podpory</w:t>
            </w:r>
            <w:r>
              <w:rPr>
                <w:noProof/>
              </w:rPr>
              <w:t xml:space="preserve"> pro provoz Centrální sítě státní podpory (CESANET) s cílem posílit pravomoci ústřední jednotky státní podpory a decentralizovaných jednotek státní podpory</w:t>
            </w:r>
          </w:p>
        </w:tc>
      </w:tr>
      <w:tr w:rsidR="00515398" w14:paraId="43726A4E"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5EE1EBC7" w14:textId="77777777" w:rsidR="00515398" w:rsidRDefault="006711E6">
            <w:pPr>
              <w:pStyle w:val="P68B1DB1-Normal9"/>
              <w:spacing w:after="0" w:line="240" w:lineRule="auto"/>
              <w:rPr>
                <w:rFonts w:eastAsia="Times New Roman" w:cs="Calibri"/>
                <w:noProof/>
                <w:szCs w:val="18"/>
              </w:rPr>
            </w:pPr>
            <w:r>
              <w:rPr>
                <w:noProof/>
              </w:rPr>
              <w:t>215</w:t>
            </w:r>
          </w:p>
        </w:tc>
        <w:tc>
          <w:tcPr>
            <w:tcW w:w="2146" w:type="dxa"/>
            <w:tcBorders>
              <w:top w:val="nil"/>
              <w:left w:val="nil"/>
              <w:bottom w:val="single" w:sz="4" w:space="0" w:color="auto"/>
              <w:right w:val="single" w:sz="4" w:space="0" w:color="auto"/>
            </w:tcBorders>
            <w:shd w:val="clear" w:color="auto" w:fill="C6EFCE"/>
            <w:noWrap/>
          </w:tcPr>
          <w:p w14:paraId="1C1F2D14" w14:textId="77777777" w:rsidR="00515398" w:rsidRDefault="006711E6">
            <w:pPr>
              <w:pStyle w:val="P68B1DB1-Normal9"/>
              <w:spacing w:after="0" w:line="240" w:lineRule="auto"/>
              <w:rPr>
                <w:rFonts w:eastAsia="Times New Roman" w:cs="Calibri"/>
                <w:noProof/>
                <w:szCs w:val="18"/>
              </w:rPr>
            </w:pPr>
            <w:r>
              <w:rPr>
                <w:noProof/>
              </w:rPr>
              <w:t xml:space="preserve">13–4. Modernizace veřejné správy, mimo jiné urychlením provádění veřejných investic, zlepšením </w:t>
            </w:r>
            <w:r>
              <w:rPr>
                <w:noProof/>
              </w:rPr>
              <w:t>rámce pro zadávání veřejných zakázek, opatřeními na budování kapacit a bojem proti korupci – 16981_Zlepšení plánování a koordinace politik</w:t>
            </w:r>
          </w:p>
        </w:tc>
        <w:tc>
          <w:tcPr>
            <w:tcW w:w="1063" w:type="dxa"/>
            <w:tcBorders>
              <w:top w:val="nil"/>
              <w:left w:val="nil"/>
              <w:bottom w:val="single" w:sz="4" w:space="0" w:color="auto"/>
              <w:right w:val="single" w:sz="4" w:space="0" w:color="auto"/>
            </w:tcBorders>
            <w:shd w:val="clear" w:color="auto" w:fill="C6EFCE"/>
            <w:noWrap/>
          </w:tcPr>
          <w:p w14:paraId="73110E70"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nil"/>
              <w:left w:val="nil"/>
              <w:bottom w:val="single" w:sz="4" w:space="0" w:color="auto"/>
              <w:right w:val="single" w:sz="4" w:space="0" w:color="auto"/>
            </w:tcBorders>
            <w:shd w:val="clear" w:color="auto" w:fill="C6EFCE"/>
            <w:noWrap/>
          </w:tcPr>
          <w:p w14:paraId="7063C509" w14:textId="77777777" w:rsidR="00515398" w:rsidRDefault="006711E6">
            <w:pPr>
              <w:pStyle w:val="P68B1DB1-Normal9"/>
              <w:spacing w:after="0" w:line="240" w:lineRule="auto"/>
              <w:rPr>
                <w:rFonts w:eastAsia="Times New Roman" w:cs="Calibri"/>
                <w:noProof/>
                <w:szCs w:val="18"/>
              </w:rPr>
            </w:pPr>
            <w:r>
              <w:rPr>
                <w:noProof/>
              </w:rPr>
              <w:t>Plánování a koordinace politik – posouzení dopadů</w:t>
            </w:r>
          </w:p>
        </w:tc>
        <w:tc>
          <w:tcPr>
            <w:tcW w:w="1552" w:type="dxa"/>
            <w:tcBorders>
              <w:top w:val="nil"/>
              <w:left w:val="nil"/>
              <w:bottom w:val="single" w:sz="4" w:space="0" w:color="auto"/>
              <w:right w:val="single" w:sz="4" w:space="0" w:color="auto"/>
            </w:tcBorders>
            <w:shd w:val="clear" w:color="auto" w:fill="C6EFCE"/>
            <w:noWrap/>
          </w:tcPr>
          <w:p w14:paraId="3E8AEF45" w14:textId="77777777" w:rsidR="00515398" w:rsidRDefault="006711E6">
            <w:pPr>
              <w:pStyle w:val="P68B1DB1-Normal9"/>
              <w:spacing w:after="0" w:line="240" w:lineRule="auto"/>
              <w:rPr>
                <w:rFonts w:eastAsia="Times New Roman" w:cs="Calibri"/>
                <w:noProof/>
                <w:szCs w:val="18"/>
              </w:rPr>
            </w:pPr>
            <w:r>
              <w:rPr>
                <w:noProof/>
              </w:rPr>
              <w:t xml:space="preserve">Byl zahájen program odborné přípravy se 100 úředníky, kteří </w:t>
            </w:r>
            <w:r>
              <w:rPr>
                <w:noProof/>
              </w:rPr>
              <w:t>byli vybráni k účasti.</w:t>
            </w:r>
          </w:p>
        </w:tc>
        <w:tc>
          <w:tcPr>
            <w:tcW w:w="1126" w:type="dxa"/>
            <w:tcBorders>
              <w:top w:val="nil"/>
              <w:left w:val="nil"/>
              <w:bottom w:val="single" w:sz="4" w:space="0" w:color="auto"/>
              <w:right w:val="single" w:sz="4" w:space="0" w:color="auto"/>
            </w:tcBorders>
            <w:shd w:val="clear" w:color="auto" w:fill="C6EFCE"/>
            <w:noWrap/>
          </w:tcPr>
          <w:p w14:paraId="7309ED6D" w14:textId="77777777" w:rsidR="00515398" w:rsidRDefault="00515398">
            <w:pPr>
              <w:spacing w:after="0" w:line="240" w:lineRule="auto"/>
              <w:rPr>
                <w:rFonts w:eastAsia="Times New Roman" w:cs="Calibri"/>
                <w:noProof/>
                <w:color w:val="006100"/>
                <w:sz w:val="18"/>
                <w:szCs w:val="18"/>
              </w:rPr>
            </w:pPr>
          </w:p>
        </w:tc>
        <w:tc>
          <w:tcPr>
            <w:tcW w:w="1003" w:type="dxa"/>
            <w:tcBorders>
              <w:top w:val="nil"/>
              <w:left w:val="nil"/>
              <w:bottom w:val="single" w:sz="4" w:space="0" w:color="auto"/>
              <w:right w:val="single" w:sz="4" w:space="0" w:color="auto"/>
            </w:tcBorders>
            <w:shd w:val="clear" w:color="auto" w:fill="C6EFCE"/>
            <w:noWrap/>
          </w:tcPr>
          <w:p w14:paraId="5EE653C0" w14:textId="77777777" w:rsidR="00515398" w:rsidRDefault="00515398">
            <w:pPr>
              <w:spacing w:after="0" w:line="240" w:lineRule="auto"/>
              <w:rPr>
                <w:rFonts w:eastAsia="Times New Roman" w:cs="Calibri"/>
                <w:noProof/>
                <w:color w:val="006100"/>
                <w:sz w:val="18"/>
                <w:szCs w:val="18"/>
              </w:rPr>
            </w:pPr>
          </w:p>
        </w:tc>
        <w:tc>
          <w:tcPr>
            <w:tcW w:w="876" w:type="dxa"/>
            <w:tcBorders>
              <w:top w:val="nil"/>
              <w:left w:val="nil"/>
              <w:bottom w:val="single" w:sz="4" w:space="0" w:color="auto"/>
              <w:right w:val="single" w:sz="4" w:space="0" w:color="auto"/>
            </w:tcBorders>
            <w:shd w:val="clear" w:color="auto" w:fill="C6EFCE"/>
            <w:noWrap/>
          </w:tcPr>
          <w:p w14:paraId="4527CEFB"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233C520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nil"/>
              <w:left w:val="nil"/>
              <w:bottom w:val="single" w:sz="4" w:space="0" w:color="auto"/>
              <w:right w:val="single" w:sz="4" w:space="0" w:color="auto"/>
            </w:tcBorders>
            <w:shd w:val="clear" w:color="auto" w:fill="C6EFCE"/>
            <w:noWrap/>
          </w:tcPr>
          <w:p w14:paraId="5C24482F" w14:textId="77777777" w:rsidR="00515398" w:rsidRDefault="006711E6">
            <w:pPr>
              <w:pStyle w:val="P68B1DB1-Normal9"/>
              <w:spacing w:after="0" w:line="240" w:lineRule="auto"/>
              <w:rPr>
                <w:rFonts w:eastAsia="Times New Roman" w:cs="Calibri"/>
                <w:noProof/>
                <w:szCs w:val="18"/>
              </w:rPr>
            </w:pPr>
            <w:r>
              <w:rPr>
                <w:noProof/>
              </w:rPr>
              <w:t>2022</w:t>
            </w:r>
          </w:p>
        </w:tc>
        <w:tc>
          <w:tcPr>
            <w:tcW w:w="3847" w:type="dxa"/>
            <w:tcBorders>
              <w:top w:val="nil"/>
              <w:left w:val="nil"/>
              <w:bottom w:val="single" w:sz="4" w:space="0" w:color="auto"/>
              <w:right w:val="single" w:sz="4" w:space="0" w:color="auto"/>
            </w:tcBorders>
            <w:shd w:val="clear" w:color="auto" w:fill="C6EFCE"/>
            <w:noWrap/>
          </w:tcPr>
          <w:p w14:paraId="76F22B42" w14:textId="77777777" w:rsidR="00515398" w:rsidRDefault="006711E6">
            <w:pPr>
              <w:pStyle w:val="P68B1DB1-Normal9"/>
              <w:spacing w:after="0" w:line="240" w:lineRule="auto"/>
              <w:rPr>
                <w:rFonts w:eastAsia="Times New Roman" w:cs="Calibri"/>
                <w:noProof/>
                <w:szCs w:val="18"/>
              </w:rPr>
            </w:pPr>
            <w:r>
              <w:rPr>
                <w:noProof/>
              </w:rPr>
              <w:t xml:space="preserve">Po spuštění elektronické platformy pro posouzení dopadů bude zahájen vzdělávací program a související akreditační postup s nejméně 100 zapsanými úředníky, včetně úředníků vybraných do „výkonných poboček“ </w:t>
            </w:r>
            <w:r>
              <w:rPr>
                <w:noProof/>
              </w:rPr>
              <w:t xml:space="preserve">(zákon č. 4622/2019, článek 104), s cílem zlepšit kvalitu připravovaných posouzení dopadů a usnadnit používání elektronické platformy. </w:t>
            </w:r>
          </w:p>
        </w:tc>
      </w:tr>
      <w:tr w:rsidR="00515398" w14:paraId="115239D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1764F866" w14:textId="77777777" w:rsidR="00515398" w:rsidRDefault="006711E6">
            <w:pPr>
              <w:pStyle w:val="P68B1DB1-Normal9"/>
              <w:spacing w:line="240" w:lineRule="auto"/>
              <w:rPr>
                <w:rFonts w:eastAsia="Times New Roman" w:cs="Calibri"/>
                <w:noProof/>
                <w:szCs w:val="18"/>
              </w:rPr>
            </w:pPr>
            <w:r>
              <w:rPr>
                <w:noProof/>
              </w:rPr>
              <w:t>216a</w:t>
            </w:r>
          </w:p>
        </w:tc>
        <w:tc>
          <w:tcPr>
            <w:tcW w:w="2146" w:type="dxa"/>
            <w:tcBorders>
              <w:top w:val="nil"/>
              <w:left w:val="nil"/>
              <w:bottom w:val="single" w:sz="4" w:space="0" w:color="auto"/>
              <w:right w:val="single" w:sz="4" w:space="0" w:color="auto"/>
            </w:tcBorders>
            <w:shd w:val="clear" w:color="auto" w:fill="C6EFCE"/>
            <w:noWrap/>
          </w:tcPr>
          <w:p w14:paraId="179A0E2A" w14:textId="77777777" w:rsidR="00515398" w:rsidRDefault="006711E6">
            <w:pPr>
              <w:pStyle w:val="P68B1DB1-Normal9"/>
              <w:spacing w:line="240" w:lineRule="auto"/>
              <w:rPr>
                <w:rFonts w:eastAsia="Times New Roman" w:cs="Calibri"/>
                <w:noProof/>
                <w:szCs w:val="18"/>
              </w:rPr>
            </w:pPr>
            <w:r>
              <w:rPr>
                <w:noProof/>
              </w:rPr>
              <w:t xml:space="preserve">13–4. Modernizace veřejné správy, mimo jiné urychlením provádění veřejných investic, zlepšením rámce pro zadávání veřejných zakázek, opatřeními na budování kapacit a bojem proti korupci – 16711_Profesionalizace oblasti zadávání veřejných zakázek  </w:t>
            </w:r>
          </w:p>
        </w:tc>
        <w:tc>
          <w:tcPr>
            <w:tcW w:w="1063" w:type="dxa"/>
            <w:tcBorders>
              <w:top w:val="nil"/>
              <w:left w:val="nil"/>
              <w:bottom w:val="single" w:sz="4" w:space="0" w:color="auto"/>
              <w:right w:val="single" w:sz="4" w:space="0" w:color="auto"/>
            </w:tcBorders>
            <w:shd w:val="clear" w:color="auto" w:fill="C6EFCE"/>
            <w:noWrap/>
          </w:tcPr>
          <w:p w14:paraId="0C1E2213" w14:textId="77777777" w:rsidR="00515398" w:rsidRDefault="006711E6">
            <w:pPr>
              <w:pStyle w:val="P68B1DB1-Normal9"/>
              <w:spacing w:line="240" w:lineRule="auto"/>
              <w:rPr>
                <w:rFonts w:eastAsia="Times New Roman" w:cs="Calibri"/>
                <w:noProof/>
                <w:szCs w:val="18"/>
              </w:rPr>
            </w:pPr>
            <w:r>
              <w:rPr>
                <w:noProof/>
              </w:rPr>
              <w:t>Milník</w:t>
            </w:r>
          </w:p>
        </w:tc>
        <w:tc>
          <w:tcPr>
            <w:tcW w:w="1712" w:type="dxa"/>
            <w:tcBorders>
              <w:top w:val="nil"/>
              <w:left w:val="nil"/>
              <w:bottom w:val="single" w:sz="4" w:space="0" w:color="auto"/>
              <w:right w:val="single" w:sz="4" w:space="0" w:color="auto"/>
            </w:tcBorders>
            <w:shd w:val="clear" w:color="auto" w:fill="C6EFCE"/>
            <w:noWrap/>
          </w:tcPr>
          <w:p w14:paraId="7B0DEAF2" w14:textId="77777777" w:rsidR="00515398" w:rsidRDefault="006711E6">
            <w:pPr>
              <w:pStyle w:val="P68B1DB1-Normal9"/>
              <w:spacing w:line="240" w:lineRule="auto"/>
              <w:rPr>
                <w:rFonts w:eastAsia="Times New Roman" w:cs="Calibri"/>
                <w:noProof/>
                <w:szCs w:val="18"/>
              </w:rPr>
            </w:pPr>
            <w:r>
              <w:rPr>
                <w:noProof/>
              </w:rPr>
              <w:t>Z</w:t>
            </w:r>
            <w:r>
              <w:rPr>
                <w:noProof/>
              </w:rPr>
              <w:t>měna národní strategie pro zadávání veřejných zakázek na období 2021–2025</w:t>
            </w:r>
          </w:p>
        </w:tc>
        <w:tc>
          <w:tcPr>
            <w:tcW w:w="1552" w:type="dxa"/>
            <w:tcBorders>
              <w:top w:val="nil"/>
              <w:left w:val="nil"/>
              <w:bottom w:val="single" w:sz="4" w:space="0" w:color="auto"/>
              <w:right w:val="single" w:sz="4" w:space="0" w:color="auto"/>
            </w:tcBorders>
            <w:shd w:val="clear" w:color="auto" w:fill="C6EFCE"/>
            <w:noWrap/>
          </w:tcPr>
          <w:p w14:paraId="5FFB4105" w14:textId="77777777" w:rsidR="00515398" w:rsidRDefault="006711E6">
            <w:pPr>
              <w:pStyle w:val="P68B1DB1-Normal9"/>
              <w:spacing w:line="240" w:lineRule="auto"/>
              <w:rPr>
                <w:rFonts w:eastAsia="Times New Roman" w:cs="Calibri"/>
                <w:noProof/>
                <w:szCs w:val="18"/>
              </w:rPr>
            </w:pPr>
            <w:r>
              <w:rPr>
                <w:noProof/>
              </w:rPr>
              <w:t>Změna národní strategie pro zadávání veřejných zakázek vstupuje v platnost prostřednictvím sekundárního legislativního aktu.</w:t>
            </w:r>
          </w:p>
          <w:p w14:paraId="44FA4770" w14:textId="77777777" w:rsidR="00515398" w:rsidRDefault="00515398">
            <w:pPr>
              <w:spacing w:line="240" w:lineRule="auto"/>
              <w:rPr>
                <w:rFonts w:eastAsia="Times New Roman" w:cs="Calibri"/>
                <w:noProof/>
                <w:color w:val="006100"/>
                <w:sz w:val="18"/>
                <w:szCs w:val="18"/>
              </w:rPr>
            </w:pPr>
          </w:p>
        </w:tc>
        <w:tc>
          <w:tcPr>
            <w:tcW w:w="1126" w:type="dxa"/>
            <w:tcBorders>
              <w:top w:val="nil"/>
              <w:left w:val="nil"/>
              <w:bottom w:val="single" w:sz="4" w:space="0" w:color="auto"/>
              <w:right w:val="single" w:sz="4" w:space="0" w:color="auto"/>
            </w:tcBorders>
            <w:shd w:val="clear" w:color="auto" w:fill="C6EFCE"/>
            <w:noWrap/>
          </w:tcPr>
          <w:p w14:paraId="50937FBC" w14:textId="77777777" w:rsidR="00515398" w:rsidRDefault="00515398">
            <w:pPr>
              <w:spacing w:line="240" w:lineRule="auto"/>
              <w:rPr>
                <w:rFonts w:eastAsia="Times New Roman" w:cs="Calibri"/>
                <w:noProof/>
                <w:color w:val="006100"/>
                <w:sz w:val="18"/>
                <w:szCs w:val="18"/>
              </w:rPr>
            </w:pPr>
          </w:p>
        </w:tc>
        <w:tc>
          <w:tcPr>
            <w:tcW w:w="1003" w:type="dxa"/>
            <w:tcBorders>
              <w:top w:val="nil"/>
              <w:left w:val="nil"/>
              <w:bottom w:val="single" w:sz="4" w:space="0" w:color="auto"/>
              <w:right w:val="single" w:sz="4" w:space="0" w:color="auto"/>
            </w:tcBorders>
            <w:shd w:val="clear" w:color="auto" w:fill="C6EFCE"/>
            <w:noWrap/>
          </w:tcPr>
          <w:p w14:paraId="4598264A" w14:textId="77777777" w:rsidR="00515398" w:rsidRDefault="00515398">
            <w:pPr>
              <w:spacing w:line="240" w:lineRule="auto"/>
              <w:rPr>
                <w:rFonts w:eastAsia="Times New Roman" w:cs="Calibri"/>
                <w:noProof/>
                <w:color w:val="006100"/>
                <w:sz w:val="18"/>
                <w:szCs w:val="18"/>
              </w:rPr>
            </w:pPr>
          </w:p>
        </w:tc>
        <w:tc>
          <w:tcPr>
            <w:tcW w:w="876" w:type="dxa"/>
            <w:tcBorders>
              <w:top w:val="nil"/>
              <w:left w:val="nil"/>
              <w:bottom w:val="single" w:sz="4" w:space="0" w:color="auto"/>
              <w:right w:val="single" w:sz="4" w:space="0" w:color="auto"/>
            </w:tcBorders>
            <w:shd w:val="clear" w:color="auto" w:fill="C6EFCE"/>
            <w:noWrap/>
          </w:tcPr>
          <w:p w14:paraId="7901BA4C" w14:textId="77777777" w:rsidR="00515398" w:rsidRDefault="00515398">
            <w:pPr>
              <w:spacing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254F882" w14:textId="77777777" w:rsidR="00515398" w:rsidRDefault="006711E6">
            <w:pPr>
              <w:pStyle w:val="P68B1DB1-Normal9"/>
              <w:spacing w:line="240" w:lineRule="auto"/>
              <w:rPr>
                <w:rFonts w:eastAsia="Times New Roman" w:cs="Calibri"/>
                <w:noProof/>
                <w:szCs w:val="18"/>
              </w:rPr>
            </w:pPr>
            <w:r>
              <w:rPr>
                <w:noProof/>
              </w:rPr>
              <w:t>ČTVRTLETÍ ČTVRT</w:t>
            </w:r>
          </w:p>
        </w:tc>
        <w:tc>
          <w:tcPr>
            <w:tcW w:w="673" w:type="dxa"/>
            <w:tcBorders>
              <w:top w:val="nil"/>
              <w:left w:val="nil"/>
              <w:bottom w:val="single" w:sz="4" w:space="0" w:color="auto"/>
              <w:right w:val="single" w:sz="4" w:space="0" w:color="auto"/>
            </w:tcBorders>
            <w:shd w:val="clear" w:color="auto" w:fill="C6EFCE"/>
            <w:noWrap/>
          </w:tcPr>
          <w:p w14:paraId="20CE79A8" w14:textId="77777777" w:rsidR="00515398" w:rsidRDefault="006711E6">
            <w:pPr>
              <w:pStyle w:val="P68B1DB1-Normal9"/>
              <w:spacing w:line="240" w:lineRule="auto"/>
              <w:rPr>
                <w:rFonts w:eastAsia="Times New Roman" w:cs="Calibri"/>
                <w:noProof/>
                <w:szCs w:val="18"/>
              </w:rPr>
            </w:pPr>
            <w:r>
              <w:rPr>
                <w:noProof/>
              </w:rPr>
              <w:t>2023</w:t>
            </w:r>
          </w:p>
        </w:tc>
        <w:tc>
          <w:tcPr>
            <w:tcW w:w="3847" w:type="dxa"/>
            <w:tcBorders>
              <w:top w:val="nil"/>
              <w:left w:val="nil"/>
              <w:bottom w:val="single" w:sz="4" w:space="0" w:color="auto"/>
              <w:right w:val="single" w:sz="4" w:space="0" w:color="auto"/>
            </w:tcBorders>
            <w:shd w:val="clear" w:color="auto" w:fill="C6EFCE"/>
            <w:noWrap/>
          </w:tcPr>
          <w:p w14:paraId="2C1DE11F" w14:textId="77777777" w:rsidR="00515398" w:rsidRDefault="006711E6">
            <w:pPr>
              <w:pStyle w:val="P68B1DB1-Normal9"/>
              <w:spacing w:line="240" w:lineRule="auto"/>
              <w:rPr>
                <w:rFonts w:eastAsia="Times New Roman" w:cs="Calibri"/>
                <w:noProof/>
                <w:szCs w:val="18"/>
              </w:rPr>
            </w:pPr>
            <w:r>
              <w:rPr>
                <w:noProof/>
              </w:rPr>
              <w:t>Vstup v platnost prostřednictvím</w:t>
            </w:r>
            <w:r>
              <w:rPr>
                <w:noProof/>
              </w:rPr>
              <w:t xml:space="preserve"> sekundárních právních předpisů pozměněné národní strategie pro zadávání veřejných zakázek na období 2021–2025</w:t>
            </w:r>
          </w:p>
        </w:tc>
      </w:tr>
      <w:tr w:rsidR="00515398" w14:paraId="0CF8858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1A824700" w14:textId="464F1E8A" w:rsidR="00515398" w:rsidRDefault="006711E6">
            <w:pPr>
              <w:pStyle w:val="P68B1DB1-Normal9"/>
              <w:spacing w:after="0" w:line="240" w:lineRule="auto"/>
              <w:rPr>
                <w:rFonts w:eastAsia="Times New Roman" w:cs="Calibri"/>
                <w:noProof/>
                <w:szCs w:val="18"/>
              </w:rPr>
            </w:pPr>
            <w:r>
              <w:rPr>
                <w:noProof/>
              </w:rPr>
              <w:t>216</w:t>
            </w:r>
          </w:p>
        </w:tc>
        <w:tc>
          <w:tcPr>
            <w:tcW w:w="2146" w:type="dxa"/>
            <w:tcBorders>
              <w:top w:val="nil"/>
              <w:left w:val="nil"/>
              <w:bottom w:val="single" w:sz="4" w:space="0" w:color="auto"/>
              <w:right w:val="single" w:sz="4" w:space="0" w:color="auto"/>
            </w:tcBorders>
            <w:shd w:val="clear" w:color="auto" w:fill="C6EFCE"/>
            <w:noWrap/>
            <w:hideMark/>
          </w:tcPr>
          <w:p w14:paraId="12EA8692" w14:textId="77777777" w:rsidR="00515398" w:rsidRDefault="006711E6">
            <w:pPr>
              <w:pStyle w:val="P68B1DB1-Normal9"/>
              <w:spacing w:after="0" w:line="240" w:lineRule="auto"/>
              <w:rPr>
                <w:rFonts w:eastAsia="Times New Roman" w:cs="Calibri"/>
                <w:noProof/>
                <w:szCs w:val="18"/>
              </w:rPr>
            </w:pPr>
            <w:r>
              <w:rPr>
                <w:noProof/>
              </w:rPr>
              <w:t>13–4. Modernizace veřejné správy, mimo jiné urychlením provádění veřejných investic, zlepšením rámce pro zadávání veřejných zakázek, opatřeními na budování kapacit a bojem proti korupci – 16711_Profesionalizace oblasti zadávání veřejných zakázek</w:t>
            </w:r>
          </w:p>
        </w:tc>
        <w:tc>
          <w:tcPr>
            <w:tcW w:w="1063" w:type="dxa"/>
            <w:tcBorders>
              <w:top w:val="nil"/>
              <w:left w:val="nil"/>
              <w:bottom w:val="single" w:sz="4" w:space="0" w:color="auto"/>
              <w:right w:val="single" w:sz="4" w:space="0" w:color="auto"/>
            </w:tcBorders>
            <w:shd w:val="clear" w:color="auto" w:fill="C6EFCE"/>
            <w:noWrap/>
            <w:hideMark/>
          </w:tcPr>
          <w:p w14:paraId="4A395206"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nil"/>
              <w:left w:val="nil"/>
              <w:bottom w:val="single" w:sz="4" w:space="0" w:color="auto"/>
              <w:right w:val="single" w:sz="4" w:space="0" w:color="auto"/>
            </w:tcBorders>
            <w:shd w:val="clear" w:color="auto" w:fill="C6EFCE"/>
            <w:noWrap/>
            <w:hideMark/>
          </w:tcPr>
          <w:p w14:paraId="140C98DC" w14:textId="77777777" w:rsidR="00515398" w:rsidRDefault="006711E6">
            <w:pPr>
              <w:pStyle w:val="P68B1DB1-Normal9"/>
              <w:spacing w:after="0" w:line="240" w:lineRule="auto"/>
              <w:rPr>
                <w:rFonts w:eastAsia="Times New Roman" w:cs="Calibri"/>
                <w:noProof/>
                <w:szCs w:val="18"/>
              </w:rPr>
            </w:pPr>
            <w:r>
              <w:rPr>
                <w:noProof/>
              </w:rPr>
              <w:t>Pro</w:t>
            </w:r>
            <w:r>
              <w:rPr>
                <w:noProof/>
              </w:rPr>
              <w:t>fesionalizace oblasti zadávání veřejných zakázek – nové právní předpisy</w:t>
            </w:r>
          </w:p>
        </w:tc>
        <w:tc>
          <w:tcPr>
            <w:tcW w:w="1552" w:type="dxa"/>
            <w:tcBorders>
              <w:top w:val="nil"/>
              <w:left w:val="nil"/>
              <w:bottom w:val="single" w:sz="4" w:space="0" w:color="auto"/>
              <w:right w:val="single" w:sz="4" w:space="0" w:color="auto"/>
            </w:tcBorders>
            <w:shd w:val="clear" w:color="auto" w:fill="C6EFCE"/>
            <w:noWrap/>
            <w:hideMark/>
          </w:tcPr>
          <w:p w14:paraId="4250D9E2" w14:textId="77777777" w:rsidR="00515398" w:rsidRDefault="006711E6">
            <w:pPr>
              <w:pStyle w:val="P68B1DB1-Normal9"/>
              <w:spacing w:after="0" w:line="240" w:lineRule="auto"/>
              <w:rPr>
                <w:rFonts w:eastAsia="Times New Roman" w:cs="Calibri"/>
                <w:noProof/>
                <w:szCs w:val="18"/>
              </w:rPr>
            </w:pPr>
            <w:r>
              <w:rPr>
                <w:noProof/>
              </w:rPr>
              <w:t>Vstoupily v platnost nové právní předpisy; dokončena hloubková studie</w:t>
            </w:r>
          </w:p>
        </w:tc>
        <w:tc>
          <w:tcPr>
            <w:tcW w:w="1126" w:type="dxa"/>
            <w:tcBorders>
              <w:top w:val="nil"/>
              <w:left w:val="nil"/>
              <w:bottom w:val="single" w:sz="4" w:space="0" w:color="auto"/>
              <w:right w:val="single" w:sz="4" w:space="0" w:color="auto"/>
            </w:tcBorders>
            <w:shd w:val="clear" w:color="auto" w:fill="C6EFCE"/>
            <w:noWrap/>
            <w:hideMark/>
          </w:tcPr>
          <w:p w14:paraId="32C38227"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1003" w:type="dxa"/>
            <w:tcBorders>
              <w:top w:val="nil"/>
              <w:left w:val="nil"/>
              <w:bottom w:val="single" w:sz="4" w:space="0" w:color="auto"/>
              <w:right w:val="single" w:sz="4" w:space="0" w:color="auto"/>
            </w:tcBorders>
            <w:shd w:val="clear" w:color="auto" w:fill="C6EFCE"/>
            <w:noWrap/>
            <w:hideMark/>
          </w:tcPr>
          <w:p w14:paraId="1164DDD9"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76" w:type="dxa"/>
            <w:tcBorders>
              <w:top w:val="nil"/>
              <w:left w:val="nil"/>
              <w:bottom w:val="single" w:sz="4" w:space="0" w:color="auto"/>
              <w:right w:val="single" w:sz="4" w:space="0" w:color="auto"/>
            </w:tcBorders>
            <w:shd w:val="clear" w:color="auto" w:fill="C6EFCE"/>
            <w:noWrap/>
            <w:hideMark/>
          </w:tcPr>
          <w:p w14:paraId="659F92D7"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35D1271C" w14:textId="77777777" w:rsidR="00515398" w:rsidRDefault="006711E6">
            <w:pPr>
              <w:pStyle w:val="P68B1DB1-Normal9"/>
              <w:spacing w:after="0" w:line="240" w:lineRule="auto"/>
              <w:rPr>
                <w:rFonts w:eastAsia="Times New Roman" w:cs="Calibri"/>
                <w:noProof/>
                <w:szCs w:val="18"/>
              </w:rPr>
            </w:pPr>
            <w:r>
              <w:rPr>
                <w:noProof/>
              </w:rPr>
              <w:t>ČTVRTLETÍ</w:t>
            </w:r>
          </w:p>
        </w:tc>
        <w:tc>
          <w:tcPr>
            <w:tcW w:w="673" w:type="dxa"/>
            <w:tcBorders>
              <w:top w:val="nil"/>
              <w:left w:val="nil"/>
              <w:bottom w:val="single" w:sz="4" w:space="0" w:color="auto"/>
              <w:right w:val="single" w:sz="4" w:space="0" w:color="auto"/>
            </w:tcBorders>
            <w:shd w:val="clear" w:color="auto" w:fill="C6EFCE"/>
            <w:noWrap/>
            <w:hideMark/>
          </w:tcPr>
          <w:p w14:paraId="33D63151" w14:textId="77777777" w:rsidR="00515398" w:rsidRDefault="006711E6">
            <w:pPr>
              <w:pStyle w:val="P68B1DB1-Normal9"/>
              <w:spacing w:after="0" w:line="240" w:lineRule="auto"/>
              <w:rPr>
                <w:rFonts w:eastAsia="Times New Roman" w:cs="Calibri"/>
                <w:noProof/>
                <w:szCs w:val="18"/>
              </w:rPr>
            </w:pPr>
            <w:r>
              <w:rPr>
                <w:noProof/>
              </w:rPr>
              <w:t>2024</w:t>
            </w:r>
          </w:p>
        </w:tc>
        <w:tc>
          <w:tcPr>
            <w:tcW w:w="3847" w:type="dxa"/>
            <w:tcBorders>
              <w:top w:val="nil"/>
              <w:left w:val="nil"/>
              <w:bottom w:val="single" w:sz="4" w:space="0" w:color="auto"/>
              <w:right w:val="single" w:sz="4" w:space="0" w:color="auto"/>
            </w:tcBorders>
            <w:shd w:val="clear" w:color="auto" w:fill="C6EFCE"/>
            <w:noWrap/>
            <w:hideMark/>
          </w:tcPr>
          <w:p w14:paraId="3B2EC997" w14:textId="48D91847" w:rsidR="00515398" w:rsidRDefault="006711E6">
            <w:pPr>
              <w:pStyle w:val="P68B1DB1-Normal9"/>
              <w:spacing w:after="0" w:line="240" w:lineRule="auto"/>
              <w:rPr>
                <w:rFonts w:eastAsia="Times New Roman" w:cs="Calibri"/>
                <w:noProof/>
                <w:szCs w:val="18"/>
              </w:rPr>
            </w:pPr>
            <w:r>
              <w:rPr>
                <w:noProof/>
              </w:rPr>
              <w:t xml:space="preserve">i) Vstup v platnost nových právních předpisů, které stanoví profesní oblasti práce pro </w:t>
            </w:r>
            <w:r>
              <w:rPr>
                <w:noProof/>
              </w:rPr>
              <w:t>zaměstnance zabývající se zadáváním veřejných zakázek, skupiny pro specifické dovednosti a přijetí finančních a nefinančních pobídek v plném souladu s jednotnou mzdovou tabulkou (zákon 4354/2015), aniž by byla stanovena jakákoli výjimka. Přijetí finančních</w:t>
            </w:r>
            <w:r>
              <w:rPr>
                <w:noProof/>
              </w:rPr>
              <w:t xml:space="preserve"> a nefinančních pobídek může mít opožděný vstup v platnost; II) Dokončení hloubkové studie reorganizace struktury a povinností Generálního ředitelství pro zadávání veřejných zakázek ministerstva rozvoje, které je odpovědné za provádění centralizovaných zad</w:t>
            </w:r>
            <w:r>
              <w:rPr>
                <w:noProof/>
              </w:rPr>
              <w:t>ávacích řízení na vnitrostátní úrovni.</w:t>
            </w:r>
          </w:p>
        </w:tc>
      </w:tr>
      <w:tr w:rsidR="00515398" w14:paraId="61020C0A"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3527D740" w14:textId="64536906" w:rsidR="00515398" w:rsidRDefault="006711E6">
            <w:pPr>
              <w:pStyle w:val="P68B1DB1-Normal9"/>
              <w:spacing w:after="0" w:line="240" w:lineRule="auto"/>
              <w:rPr>
                <w:rFonts w:eastAsia="Times New Roman" w:cs="Calibri"/>
                <w:noProof/>
                <w:szCs w:val="18"/>
              </w:rPr>
            </w:pPr>
            <w:r>
              <w:rPr>
                <w:noProof/>
              </w:rPr>
              <w:t>217</w:t>
            </w:r>
          </w:p>
        </w:tc>
        <w:tc>
          <w:tcPr>
            <w:tcW w:w="2146" w:type="dxa"/>
            <w:tcBorders>
              <w:top w:val="nil"/>
              <w:left w:val="nil"/>
              <w:bottom w:val="single" w:sz="4" w:space="0" w:color="auto"/>
              <w:right w:val="single" w:sz="4" w:space="0" w:color="auto"/>
            </w:tcBorders>
            <w:shd w:val="clear" w:color="auto" w:fill="C6EFCE"/>
            <w:noWrap/>
            <w:hideMark/>
          </w:tcPr>
          <w:p w14:paraId="54797D1A" w14:textId="77777777" w:rsidR="00515398" w:rsidRDefault="006711E6">
            <w:pPr>
              <w:pStyle w:val="P68B1DB1-Normal9"/>
              <w:spacing w:after="0" w:line="240" w:lineRule="auto"/>
              <w:rPr>
                <w:rFonts w:eastAsia="Times New Roman" w:cs="Calibri"/>
                <w:noProof/>
                <w:szCs w:val="18"/>
              </w:rPr>
            </w:pPr>
            <w:r>
              <w:rPr>
                <w:noProof/>
              </w:rPr>
              <w:t>13–4. Modernizace veřejné správy, mimo jiné urychlením provádění veřejných investic, zlepšením rámce pro zadávání veřejných zakázek, opatřeními na budování kapacit a bojem</w:t>
            </w:r>
            <w:r>
              <w:rPr>
                <w:noProof/>
              </w:rPr>
              <w:t xml:space="preserve"> proti korupci – 16940_Modernizace Řeckého fondu pro vklady a půjčky zásilek </w:t>
            </w:r>
          </w:p>
        </w:tc>
        <w:tc>
          <w:tcPr>
            <w:tcW w:w="1063" w:type="dxa"/>
            <w:tcBorders>
              <w:top w:val="nil"/>
              <w:left w:val="nil"/>
              <w:bottom w:val="single" w:sz="4" w:space="0" w:color="auto"/>
              <w:right w:val="single" w:sz="4" w:space="0" w:color="auto"/>
            </w:tcBorders>
            <w:shd w:val="clear" w:color="auto" w:fill="C6EFCE"/>
            <w:noWrap/>
            <w:hideMark/>
          </w:tcPr>
          <w:p w14:paraId="53C139E4"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nil"/>
              <w:left w:val="nil"/>
              <w:bottom w:val="single" w:sz="4" w:space="0" w:color="auto"/>
              <w:right w:val="single" w:sz="4" w:space="0" w:color="auto"/>
            </w:tcBorders>
            <w:shd w:val="clear" w:color="auto" w:fill="C6EFCE"/>
            <w:noWrap/>
            <w:hideMark/>
          </w:tcPr>
          <w:p w14:paraId="36D6CBCD" w14:textId="77777777" w:rsidR="00515398" w:rsidRDefault="006711E6">
            <w:pPr>
              <w:pStyle w:val="P68B1DB1-Normal9"/>
              <w:spacing w:after="0" w:line="240" w:lineRule="auto"/>
              <w:rPr>
                <w:rFonts w:eastAsia="Times New Roman" w:cs="Calibri"/>
                <w:noProof/>
                <w:szCs w:val="18"/>
              </w:rPr>
            </w:pPr>
            <w:r>
              <w:rPr>
                <w:noProof/>
              </w:rPr>
              <w:t>Dokončení všech dílčích projektů řeckého depozitního a úvěrového fondu</w:t>
            </w:r>
          </w:p>
        </w:tc>
        <w:tc>
          <w:tcPr>
            <w:tcW w:w="1552" w:type="dxa"/>
            <w:tcBorders>
              <w:top w:val="nil"/>
              <w:left w:val="nil"/>
              <w:bottom w:val="single" w:sz="4" w:space="0" w:color="auto"/>
              <w:right w:val="single" w:sz="4" w:space="0" w:color="auto"/>
            </w:tcBorders>
            <w:shd w:val="clear" w:color="auto" w:fill="C6EFCE"/>
            <w:noWrap/>
            <w:hideMark/>
          </w:tcPr>
          <w:p w14:paraId="6955477E" w14:textId="77777777" w:rsidR="00515398" w:rsidRDefault="006711E6">
            <w:pPr>
              <w:pStyle w:val="P68B1DB1-Normal9"/>
              <w:spacing w:after="0" w:line="240" w:lineRule="auto"/>
              <w:rPr>
                <w:rFonts w:eastAsia="Times New Roman" w:cs="Calibri"/>
                <w:noProof/>
                <w:szCs w:val="18"/>
              </w:rPr>
            </w:pPr>
            <w:r>
              <w:rPr>
                <w:noProof/>
              </w:rPr>
              <w:t>Zpráva Řeckého fondu pro vklady a půjčky potvrzující dokončení dílčích projektů.</w:t>
            </w:r>
          </w:p>
        </w:tc>
        <w:tc>
          <w:tcPr>
            <w:tcW w:w="1126" w:type="dxa"/>
            <w:tcBorders>
              <w:top w:val="nil"/>
              <w:left w:val="nil"/>
              <w:bottom w:val="single" w:sz="4" w:space="0" w:color="auto"/>
              <w:right w:val="single" w:sz="4" w:space="0" w:color="auto"/>
            </w:tcBorders>
            <w:shd w:val="clear" w:color="auto" w:fill="C6EFCE"/>
            <w:noWrap/>
            <w:hideMark/>
          </w:tcPr>
          <w:p w14:paraId="07A4ACAE" w14:textId="77777777" w:rsidR="00515398" w:rsidRDefault="00515398">
            <w:pPr>
              <w:spacing w:after="0" w:line="240" w:lineRule="auto"/>
              <w:rPr>
                <w:rFonts w:eastAsia="Times New Roman" w:cs="Calibri"/>
                <w:noProof/>
                <w:color w:val="006100"/>
                <w:sz w:val="18"/>
                <w:szCs w:val="18"/>
              </w:rPr>
            </w:pPr>
          </w:p>
        </w:tc>
        <w:tc>
          <w:tcPr>
            <w:tcW w:w="1003" w:type="dxa"/>
            <w:tcBorders>
              <w:top w:val="nil"/>
              <w:left w:val="nil"/>
              <w:bottom w:val="single" w:sz="4" w:space="0" w:color="auto"/>
              <w:right w:val="single" w:sz="4" w:space="0" w:color="auto"/>
            </w:tcBorders>
            <w:shd w:val="clear" w:color="auto" w:fill="C6EFCE"/>
            <w:noWrap/>
            <w:hideMark/>
          </w:tcPr>
          <w:p w14:paraId="53814502"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76" w:type="dxa"/>
            <w:tcBorders>
              <w:top w:val="nil"/>
              <w:left w:val="nil"/>
              <w:bottom w:val="single" w:sz="4" w:space="0" w:color="auto"/>
              <w:right w:val="single" w:sz="4" w:space="0" w:color="auto"/>
            </w:tcBorders>
            <w:shd w:val="clear" w:color="auto" w:fill="C6EFCE"/>
            <w:noWrap/>
            <w:hideMark/>
          </w:tcPr>
          <w:p w14:paraId="2141479A"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6064ABAC" w14:textId="77777777" w:rsidR="00515398" w:rsidRDefault="006711E6">
            <w:pPr>
              <w:pStyle w:val="P68B1DB1-Normal9"/>
              <w:spacing w:after="0" w:line="240" w:lineRule="auto"/>
              <w:rPr>
                <w:rFonts w:eastAsia="Times New Roman" w:cs="Calibri"/>
                <w:noProof/>
                <w:szCs w:val="18"/>
              </w:rPr>
            </w:pPr>
            <w:r>
              <w:rPr>
                <w:noProof/>
              </w:rPr>
              <w:t>ČTVRTLETÍ</w:t>
            </w:r>
          </w:p>
        </w:tc>
        <w:tc>
          <w:tcPr>
            <w:tcW w:w="673" w:type="dxa"/>
            <w:tcBorders>
              <w:top w:val="nil"/>
              <w:left w:val="nil"/>
              <w:bottom w:val="single" w:sz="4" w:space="0" w:color="auto"/>
              <w:right w:val="single" w:sz="4" w:space="0" w:color="auto"/>
            </w:tcBorders>
            <w:shd w:val="clear" w:color="auto" w:fill="C6EFCE"/>
            <w:noWrap/>
            <w:hideMark/>
          </w:tcPr>
          <w:p w14:paraId="111ABF54" w14:textId="77777777" w:rsidR="00515398" w:rsidRDefault="006711E6">
            <w:pPr>
              <w:pStyle w:val="P68B1DB1-Normal9"/>
              <w:spacing w:after="0" w:line="240" w:lineRule="auto"/>
              <w:rPr>
                <w:rFonts w:eastAsia="Times New Roman" w:cs="Calibri"/>
                <w:noProof/>
                <w:szCs w:val="18"/>
              </w:rPr>
            </w:pPr>
            <w:r>
              <w:rPr>
                <w:noProof/>
              </w:rPr>
              <w:t>2025</w:t>
            </w:r>
          </w:p>
        </w:tc>
        <w:tc>
          <w:tcPr>
            <w:tcW w:w="3847" w:type="dxa"/>
            <w:tcBorders>
              <w:top w:val="nil"/>
              <w:left w:val="nil"/>
              <w:bottom w:val="single" w:sz="4" w:space="0" w:color="auto"/>
              <w:right w:val="single" w:sz="4" w:space="0" w:color="auto"/>
            </w:tcBorders>
            <w:shd w:val="clear" w:color="auto" w:fill="C6EFCE"/>
            <w:noWrap/>
            <w:hideMark/>
          </w:tcPr>
          <w:p w14:paraId="4A2AA4D3" w14:textId="77777777" w:rsidR="00515398" w:rsidRDefault="006711E6">
            <w:pPr>
              <w:pStyle w:val="P68B1DB1-Normal9"/>
              <w:spacing w:after="0" w:line="240" w:lineRule="auto"/>
              <w:rPr>
                <w:rFonts w:eastAsia="Times New Roman" w:cs="Calibri"/>
                <w:noProof/>
                <w:szCs w:val="18"/>
              </w:rPr>
            </w:pPr>
            <w:r>
              <w:rPr>
                <w:noProof/>
              </w:rPr>
              <w:t>Dokončení všech dílčích projektů řeckého depozitního a úvěrového fondu: i) systém digitalizace archivů a správy dokumentů; II) Integrovaný informační systém; III) informační systém ERP; IV) řízené tiskařské služby; v) Systém řízení lidských zdrojů.</w:t>
            </w:r>
          </w:p>
        </w:tc>
      </w:tr>
      <w:tr w:rsidR="00515398" w14:paraId="0146CC1B"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hideMark/>
          </w:tcPr>
          <w:p w14:paraId="2694D039" w14:textId="6EF103A9" w:rsidR="00515398" w:rsidRDefault="006711E6">
            <w:pPr>
              <w:pStyle w:val="P68B1DB1-Normal9"/>
              <w:spacing w:after="0" w:line="240" w:lineRule="auto"/>
              <w:rPr>
                <w:rFonts w:eastAsia="Times New Roman" w:cs="Calibri"/>
                <w:noProof/>
                <w:szCs w:val="18"/>
              </w:rPr>
            </w:pPr>
            <w:r>
              <w:rPr>
                <w:noProof/>
              </w:rPr>
              <w:t>218</w:t>
            </w:r>
          </w:p>
        </w:tc>
        <w:tc>
          <w:tcPr>
            <w:tcW w:w="2146" w:type="dxa"/>
            <w:tcBorders>
              <w:top w:val="single" w:sz="4" w:space="0" w:color="auto"/>
              <w:left w:val="single" w:sz="4" w:space="0" w:color="auto"/>
              <w:bottom w:val="single" w:sz="4" w:space="0" w:color="auto"/>
              <w:right w:val="single" w:sz="4" w:space="0" w:color="auto"/>
            </w:tcBorders>
            <w:shd w:val="clear" w:color="auto" w:fill="C6EFCE"/>
            <w:noWrap/>
            <w:hideMark/>
          </w:tcPr>
          <w:p w14:paraId="3604E676" w14:textId="77777777" w:rsidR="00515398" w:rsidRDefault="006711E6">
            <w:pPr>
              <w:pStyle w:val="P68B1DB1-Normal9"/>
              <w:spacing w:after="0" w:line="240" w:lineRule="auto"/>
              <w:rPr>
                <w:rFonts w:eastAsia="Times New Roman" w:cs="Calibri"/>
                <w:noProof/>
                <w:szCs w:val="18"/>
              </w:rPr>
            </w:pPr>
            <w:r>
              <w:rPr>
                <w:noProof/>
              </w:rPr>
              <w:t>13–4. Modernizace veřejné správy, mimo jiné urychlením provádění veřejných investic, zlepšením rámce pro zadávání veřejných zakázek, opatřeními na budování kapacit a bojem proti korupci – 16711_Profesionalizace oblasti zadávání veřejných zakázek</w:t>
            </w:r>
          </w:p>
        </w:tc>
        <w:tc>
          <w:tcPr>
            <w:tcW w:w="1063" w:type="dxa"/>
            <w:tcBorders>
              <w:top w:val="single" w:sz="4" w:space="0" w:color="auto"/>
              <w:left w:val="single" w:sz="4" w:space="0" w:color="auto"/>
              <w:bottom w:val="single" w:sz="4" w:space="0" w:color="auto"/>
              <w:right w:val="single" w:sz="4" w:space="0" w:color="auto"/>
            </w:tcBorders>
            <w:shd w:val="clear" w:color="auto" w:fill="C6EFCE"/>
            <w:noWrap/>
            <w:hideMark/>
          </w:tcPr>
          <w:p w14:paraId="750A08D7"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single" w:sz="4" w:space="0" w:color="auto"/>
              <w:left w:val="single" w:sz="4" w:space="0" w:color="auto"/>
              <w:bottom w:val="single" w:sz="4" w:space="0" w:color="auto"/>
              <w:right w:val="single" w:sz="4" w:space="0" w:color="auto"/>
            </w:tcBorders>
            <w:shd w:val="clear" w:color="auto" w:fill="C6EFCE"/>
            <w:noWrap/>
            <w:hideMark/>
          </w:tcPr>
          <w:p w14:paraId="1D02275A" w14:textId="77777777" w:rsidR="00515398" w:rsidRDefault="006711E6">
            <w:pPr>
              <w:pStyle w:val="P68B1DB1-Normal9"/>
              <w:spacing w:after="0" w:line="240" w:lineRule="auto"/>
              <w:rPr>
                <w:rFonts w:eastAsia="Times New Roman" w:cs="Calibri"/>
                <w:noProof/>
                <w:szCs w:val="18"/>
              </w:rPr>
            </w:pPr>
            <w:r>
              <w:rPr>
                <w:noProof/>
              </w:rPr>
              <w:t>Provádění národní strategie pro zadávání veřejných zakázek na období 2021–2025</w:t>
            </w:r>
          </w:p>
        </w:tc>
        <w:tc>
          <w:tcPr>
            <w:tcW w:w="1552" w:type="dxa"/>
            <w:tcBorders>
              <w:top w:val="single" w:sz="4" w:space="0" w:color="auto"/>
              <w:left w:val="single" w:sz="4" w:space="0" w:color="auto"/>
              <w:bottom w:val="single" w:sz="4" w:space="0" w:color="auto"/>
              <w:right w:val="single" w:sz="4" w:space="0" w:color="auto"/>
            </w:tcBorders>
            <w:shd w:val="clear" w:color="auto" w:fill="C6EFCE"/>
            <w:noWrap/>
            <w:hideMark/>
          </w:tcPr>
          <w:p w14:paraId="76AC7C49" w14:textId="77777777" w:rsidR="00515398" w:rsidRDefault="006711E6">
            <w:pPr>
              <w:pStyle w:val="P68B1DB1-Normal9"/>
              <w:spacing w:after="0" w:line="240" w:lineRule="auto"/>
              <w:rPr>
                <w:rFonts w:eastAsia="Times New Roman" w:cs="Calibri"/>
                <w:noProof/>
                <w:szCs w:val="18"/>
              </w:rPr>
            </w:pPr>
            <w:r>
              <w:rPr>
                <w:noProof/>
              </w:rPr>
              <w:t>Plně provedena vnitrostátní strategie zadávání veřejných zakázek</w:t>
            </w:r>
          </w:p>
        </w:tc>
        <w:tc>
          <w:tcPr>
            <w:tcW w:w="1126" w:type="dxa"/>
            <w:tcBorders>
              <w:top w:val="single" w:sz="4" w:space="0" w:color="auto"/>
              <w:left w:val="single" w:sz="4" w:space="0" w:color="auto"/>
              <w:bottom w:val="single" w:sz="4" w:space="0" w:color="auto"/>
              <w:right w:val="single" w:sz="4" w:space="0" w:color="auto"/>
            </w:tcBorders>
            <w:shd w:val="clear" w:color="auto" w:fill="C6EFCE"/>
            <w:noWrap/>
            <w:hideMark/>
          </w:tcPr>
          <w:p w14:paraId="5228FF7E"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C6EFCE"/>
            <w:noWrap/>
            <w:hideMark/>
          </w:tcPr>
          <w:p w14:paraId="09DE7219"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C6EFCE"/>
            <w:noWrap/>
            <w:hideMark/>
          </w:tcPr>
          <w:p w14:paraId="35CBDD15"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C6EFCE"/>
            <w:noWrap/>
            <w:hideMark/>
          </w:tcPr>
          <w:p w14:paraId="68ED4AB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single" w:sz="4" w:space="0" w:color="auto"/>
              <w:left w:val="single" w:sz="4" w:space="0" w:color="auto"/>
              <w:bottom w:val="single" w:sz="4" w:space="0" w:color="auto"/>
              <w:right w:val="single" w:sz="4" w:space="0" w:color="auto"/>
            </w:tcBorders>
            <w:shd w:val="clear" w:color="auto" w:fill="C6EFCE"/>
            <w:noWrap/>
            <w:hideMark/>
          </w:tcPr>
          <w:p w14:paraId="72583162" w14:textId="77777777" w:rsidR="00515398" w:rsidRDefault="006711E6">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single" w:sz="4" w:space="0" w:color="auto"/>
              <w:bottom w:val="single" w:sz="4" w:space="0" w:color="auto"/>
              <w:right w:val="single" w:sz="4" w:space="0" w:color="auto"/>
            </w:tcBorders>
            <w:shd w:val="clear" w:color="auto" w:fill="C6EFCE"/>
            <w:noWrap/>
            <w:hideMark/>
          </w:tcPr>
          <w:p w14:paraId="3C6B73D0" w14:textId="77777777" w:rsidR="00515398" w:rsidRDefault="006711E6">
            <w:pPr>
              <w:pStyle w:val="P68B1DB1-Normal9"/>
              <w:spacing w:after="0" w:line="240" w:lineRule="auto"/>
              <w:rPr>
                <w:rFonts w:eastAsia="Times New Roman" w:cs="Calibri"/>
                <w:noProof/>
                <w:szCs w:val="18"/>
              </w:rPr>
            </w:pPr>
            <w:r>
              <w:rPr>
                <w:noProof/>
              </w:rPr>
              <w:t>Provádění národní strategie pro zadávání veřejných zakázek, včetně: i) reforma regula</w:t>
            </w:r>
            <w:r>
              <w:rPr>
                <w:noProof/>
              </w:rPr>
              <w:t>čního rámce pro zadávání veřejných zakázek; II) digitální transformace oblasti zadávání veřejných zakázek a komplexního elektronického zadávání veřejných zakázek; III) dosažení širších strategických cílů a politických iniciativ; IV) reforma správního rámce</w:t>
            </w:r>
            <w:r>
              <w:rPr>
                <w:noProof/>
              </w:rPr>
              <w:t xml:space="preserve"> pro zadávání veřejných zakázek.</w:t>
            </w:r>
          </w:p>
        </w:tc>
      </w:tr>
      <w:tr w:rsidR="00515398" w14:paraId="46CB1F7C"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410DD9C" w14:textId="77777777" w:rsidR="00515398" w:rsidRDefault="006711E6">
            <w:pPr>
              <w:pStyle w:val="P68B1DB1-Normal9"/>
              <w:spacing w:after="0" w:line="240" w:lineRule="auto"/>
              <w:rPr>
                <w:rFonts w:eastAsia="Times New Roman" w:cs="Calibri"/>
                <w:noProof/>
                <w:szCs w:val="18"/>
              </w:rPr>
            </w:pPr>
            <w:r>
              <w:rPr>
                <w:noProof/>
              </w:rPr>
              <w:t>219</w:t>
            </w:r>
          </w:p>
        </w:tc>
        <w:tc>
          <w:tcPr>
            <w:tcW w:w="2146" w:type="dxa"/>
            <w:tcBorders>
              <w:top w:val="single" w:sz="4" w:space="0" w:color="auto"/>
              <w:left w:val="nil"/>
              <w:bottom w:val="single" w:sz="4" w:space="0" w:color="auto"/>
              <w:right w:val="single" w:sz="4" w:space="0" w:color="auto"/>
            </w:tcBorders>
            <w:shd w:val="clear" w:color="auto" w:fill="C6EFCE"/>
            <w:noWrap/>
          </w:tcPr>
          <w:p w14:paraId="66126D2E" w14:textId="77777777" w:rsidR="00515398" w:rsidRDefault="006711E6">
            <w:pPr>
              <w:pStyle w:val="P68B1DB1-Normal9"/>
              <w:spacing w:after="0" w:line="240" w:lineRule="auto"/>
              <w:rPr>
                <w:rFonts w:eastAsia="Times New Roman" w:cs="Calibri"/>
                <w:noProof/>
                <w:szCs w:val="18"/>
              </w:rPr>
            </w:pPr>
            <w:r>
              <w:rPr>
                <w:noProof/>
              </w:rPr>
              <w:t>13–4. Modernizace veřejné správy, mimo jiné urychlením provádění veřejných investic, zlepšením rámce pro zadávání veřejných zakázek, opatřeními na budování kapacit a bojem proti korupci – 16974_Reforma účetnictví</w:t>
            </w:r>
          </w:p>
        </w:tc>
        <w:tc>
          <w:tcPr>
            <w:tcW w:w="1063" w:type="dxa"/>
            <w:tcBorders>
              <w:top w:val="single" w:sz="4" w:space="0" w:color="auto"/>
              <w:left w:val="nil"/>
              <w:bottom w:val="single" w:sz="4" w:space="0" w:color="auto"/>
              <w:right w:val="single" w:sz="4" w:space="0" w:color="auto"/>
            </w:tcBorders>
            <w:shd w:val="clear" w:color="auto" w:fill="C6EFCE"/>
            <w:noWrap/>
          </w:tcPr>
          <w:p w14:paraId="6BF37C4D"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single" w:sz="4" w:space="0" w:color="auto"/>
              <w:left w:val="nil"/>
              <w:bottom w:val="single" w:sz="4" w:space="0" w:color="auto"/>
              <w:right w:val="single" w:sz="4" w:space="0" w:color="auto"/>
            </w:tcBorders>
            <w:shd w:val="clear" w:color="auto" w:fill="C6EFCE"/>
            <w:noWrap/>
          </w:tcPr>
          <w:p w14:paraId="76F47E6B" w14:textId="77777777" w:rsidR="00515398" w:rsidRDefault="006711E6">
            <w:pPr>
              <w:pStyle w:val="P68B1DB1-Normal9"/>
              <w:spacing w:after="0" w:line="240" w:lineRule="auto"/>
              <w:rPr>
                <w:rFonts w:eastAsia="Times New Roman" w:cs="Calibri"/>
                <w:noProof/>
                <w:szCs w:val="18"/>
              </w:rPr>
            </w:pPr>
            <w:r>
              <w:rPr>
                <w:noProof/>
              </w:rPr>
              <w:t>Reforma účetnictví:</w:t>
            </w:r>
          </w:p>
          <w:p w14:paraId="1CA2D72B" w14:textId="77777777" w:rsidR="00515398" w:rsidRDefault="006711E6">
            <w:pPr>
              <w:pStyle w:val="P68B1DB1-Normal9"/>
              <w:spacing w:after="0" w:line="240" w:lineRule="auto"/>
              <w:rPr>
                <w:rFonts w:eastAsia="Times New Roman" w:cs="Calibri"/>
                <w:noProof/>
                <w:szCs w:val="18"/>
              </w:rPr>
            </w:pPr>
            <w:r>
              <w:rPr>
                <w:noProof/>
              </w:rPr>
              <w:t>Konsolidované finanční výkazy</w:t>
            </w:r>
          </w:p>
        </w:tc>
        <w:tc>
          <w:tcPr>
            <w:tcW w:w="1552" w:type="dxa"/>
            <w:tcBorders>
              <w:top w:val="single" w:sz="4" w:space="0" w:color="auto"/>
              <w:left w:val="nil"/>
              <w:bottom w:val="single" w:sz="4" w:space="0" w:color="auto"/>
              <w:right w:val="single" w:sz="4" w:space="0" w:color="auto"/>
            </w:tcBorders>
            <w:shd w:val="clear" w:color="auto" w:fill="C6EFCE"/>
            <w:noWrap/>
          </w:tcPr>
          <w:p w14:paraId="2E254FAF" w14:textId="77777777" w:rsidR="00515398" w:rsidRDefault="006711E6">
            <w:pPr>
              <w:pStyle w:val="P68B1DB1-Normal9"/>
              <w:spacing w:after="0" w:line="240" w:lineRule="auto"/>
              <w:rPr>
                <w:rFonts w:eastAsia="Times New Roman" w:cs="Calibri"/>
                <w:noProof/>
                <w:szCs w:val="18"/>
              </w:rPr>
            </w:pPr>
            <w:r>
              <w:rPr>
                <w:noProof/>
              </w:rPr>
              <w:t>Sestavení konsolidované účetní závěrky dokončeno.</w:t>
            </w:r>
          </w:p>
        </w:tc>
        <w:tc>
          <w:tcPr>
            <w:tcW w:w="1126" w:type="dxa"/>
            <w:tcBorders>
              <w:top w:val="single" w:sz="4" w:space="0" w:color="auto"/>
              <w:left w:val="nil"/>
              <w:bottom w:val="single" w:sz="4" w:space="0" w:color="auto"/>
              <w:right w:val="single" w:sz="4" w:space="0" w:color="auto"/>
            </w:tcBorders>
            <w:shd w:val="clear" w:color="auto" w:fill="C6EFCE"/>
            <w:noWrap/>
          </w:tcPr>
          <w:p w14:paraId="686EB5DA" w14:textId="77777777" w:rsidR="00515398" w:rsidRDefault="00515398">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7A435EC2" w14:textId="77777777" w:rsidR="00515398" w:rsidRDefault="00515398">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05972E45"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3D6AEDD"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single" w:sz="4" w:space="0" w:color="auto"/>
              <w:left w:val="nil"/>
              <w:bottom w:val="single" w:sz="4" w:space="0" w:color="auto"/>
              <w:right w:val="single" w:sz="4" w:space="0" w:color="auto"/>
            </w:tcBorders>
            <w:shd w:val="clear" w:color="auto" w:fill="C6EFCE"/>
            <w:noWrap/>
          </w:tcPr>
          <w:p w14:paraId="2DFF04B1" w14:textId="77777777" w:rsidR="00515398" w:rsidRDefault="006711E6">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2B63BAD1" w14:textId="77777777" w:rsidR="00515398" w:rsidRDefault="006711E6">
            <w:pPr>
              <w:pStyle w:val="P68B1DB1-Normal9"/>
              <w:spacing w:after="0" w:line="240" w:lineRule="auto"/>
              <w:rPr>
                <w:rFonts w:eastAsia="Times New Roman" w:cs="Calibri"/>
                <w:noProof/>
                <w:szCs w:val="18"/>
              </w:rPr>
            </w:pPr>
            <w:r>
              <w:rPr>
                <w:noProof/>
              </w:rPr>
              <w:t>Sestavování konsolidovaných účetních závěrek za všechny subsektory vládních institucí, včetně místních vládních institucí.</w:t>
            </w:r>
          </w:p>
          <w:p w14:paraId="2C02A677" w14:textId="77777777" w:rsidR="00515398" w:rsidRDefault="006711E6">
            <w:pPr>
              <w:pStyle w:val="P68B1DB1-Normal9"/>
              <w:spacing w:after="0" w:line="240" w:lineRule="auto"/>
              <w:rPr>
                <w:rFonts w:eastAsia="Times New Roman" w:cs="Calibri"/>
                <w:noProof/>
                <w:szCs w:val="18"/>
              </w:rPr>
            </w:pPr>
            <w:r>
              <w:rPr>
                <w:noProof/>
              </w:rPr>
              <w:t xml:space="preserve">K dosažení těchto výsledků jsou zapotřebí tato opatření: </w:t>
            </w:r>
          </w:p>
          <w:p w14:paraId="7CB8E218" w14:textId="25044D2C" w:rsidR="00515398" w:rsidRDefault="006711E6">
            <w:pPr>
              <w:pStyle w:val="P68B1DB1-Normal9"/>
              <w:numPr>
                <w:ilvl w:val="0"/>
                <w:numId w:val="46"/>
              </w:numPr>
              <w:spacing w:before="120" w:after="0" w:line="259" w:lineRule="auto"/>
              <w:ind w:left="229" w:hanging="229"/>
              <w:contextualSpacing/>
              <w:jc w:val="both"/>
              <w:rPr>
                <w:noProof/>
              </w:rPr>
            </w:pPr>
            <w:r>
              <w:rPr>
                <w:noProof/>
              </w:rPr>
              <w:t>Navrhování, provádění a fungování fiskálního a finančního řízení a výkaznictví ústřední správy a shromažďování a sledování fiskálních a finančních údajů všech ostatních vládních subjektů mimo ústřed</w:t>
            </w:r>
            <w:r>
              <w:rPr>
                <w:noProof/>
              </w:rPr>
              <w:t>ní správu, které vydaly finanční výkazy.</w:t>
            </w:r>
          </w:p>
          <w:p w14:paraId="5BC69BC4" w14:textId="77777777" w:rsidR="00515398" w:rsidRDefault="006711E6">
            <w:pPr>
              <w:pStyle w:val="P68B1DB1-Normal9"/>
              <w:numPr>
                <w:ilvl w:val="0"/>
                <w:numId w:val="46"/>
              </w:numPr>
              <w:spacing w:before="120" w:after="0" w:line="259" w:lineRule="auto"/>
              <w:ind w:left="229" w:hanging="229"/>
              <w:contextualSpacing/>
              <w:jc w:val="both"/>
              <w:rPr>
                <w:rFonts w:eastAsia="Times New Roman" w:cs="Calibri"/>
                <w:noProof/>
                <w:szCs w:val="18"/>
              </w:rPr>
            </w:pPr>
            <w:r>
              <w:rPr>
                <w:noProof/>
              </w:rPr>
              <w:t>Vložit fakturu do systému GOV-ERP</w:t>
            </w:r>
          </w:p>
          <w:p w14:paraId="6D52A184" w14:textId="77777777" w:rsidR="00515398" w:rsidRDefault="006711E6">
            <w:pPr>
              <w:pStyle w:val="P68B1DB1-Normal9"/>
              <w:numPr>
                <w:ilvl w:val="0"/>
                <w:numId w:val="46"/>
              </w:numPr>
              <w:spacing w:before="120" w:after="0" w:line="259" w:lineRule="auto"/>
              <w:ind w:left="229" w:hanging="229"/>
              <w:contextualSpacing/>
              <w:jc w:val="both"/>
              <w:rPr>
                <w:rFonts w:eastAsia="Times New Roman" w:cs="Calibri"/>
                <w:noProof/>
                <w:szCs w:val="18"/>
              </w:rPr>
            </w:pPr>
            <w:r>
              <w:rPr>
                <w:noProof/>
              </w:rPr>
              <w:t>Školit úředníky subjektů finančních služeb v otázkách týkajících se obecného účetního rámce pro vládní instituce (GGAF) a správy veřejných financí (PFM)</w:t>
            </w:r>
          </w:p>
          <w:p w14:paraId="160B33B3" w14:textId="77777777" w:rsidR="00515398" w:rsidRDefault="006711E6">
            <w:pPr>
              <w:pStyle w:val="P68B1DB1-Normal9"/>
              <w:numPr>
                <w:ilvl w:val="0"/>
                <w:numId w:val="46"/>
              </w:numPr>
              <w:spacing w:before="120" w:after="0" w:line="259" w:lineRule="auto"/>
              <w:ind w:left="229" w:hanging="229"/>
              <w:contextualSpacing/>
              <w:jc w:val="both"/>
              <w:rPr>
                <w:rFonts w:eastAsia="Times New Roman" w:cs="Calibri"/>
                <w:noProof/>
                <w:szCs w:val="18"/>
              </w:rPr>
            </w:pPr>
            <w:r>
              <w:rPr>
                <w:noProof/>
              </w:rPr>
              <w:t>Sestavuje konsolidovanou úče</w:t>
            </w:r>
            <w:r>
              <w:rPr>
                <w:noProof/>
              </w:rPr>
              <w:t>tní závěrku.</w:t>
            </w:r>
          </w:p>
        </w:tc>
      </w:tr>
      <w:tr w:rsidR="00515398" w14:paraId="780D1B0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983C07E" w14:textId="77777777" w:rsidR="00515398" w:rsidRDefault="006711E6">
            <w:pPr>
              <w:pStyle w:val="P68B1DB1-Normal9"/>
              <w:spacing w:after="0" w:line="240" w:lineRule="auto"/>
              <w:rPr>
                <w:rFonts w:eastAsia="Times New Roman" w:cs="Calibri"/>
                <w:noProof/>
                <w:szCs w:val="18"/>
              </w:rPr>
            </w:pPr>
            <w:r>
              <w:rPr>
                <w:noProof/>
              </w:rPr>
              <w:t>220</w:t>
            </w:r>
          </w:p>
        </w:tc>
        <w:tc>
          <w:tcPr>
            <w:tcW w:w="2146" w:type="dxa"/>
            <w:tcBorders>
              <w:top w:val="single" w:sz="4" w:space="0" w:color="auto"/>
              <w:left w:val="nil"/>
              <w:bottom w:val="single" w:sz="4" w:space="0" w:color="auto"/>
              <w:right w:val="single" w:sz="4" w:space="0" w:color="auto"/>
            </w:tcBorders>
            <w:shd w:val="clear" w:color="auto" w:fill="C6EFCE"/>
            <w:noWrap/>
          </w:tcPr>
          <w:p w14:paraId="4E7CA9EB" w14:textId="77777777" w:rsidR="00515398" w:rsidRDefault="006711E6">
            <w:pPr>
              <w:pStyle w:val="P68B1DB1-Normal9"/>
              <w:spacing w:after="0" w:line="240" w:lineRule="auto"/>
              <w:rPr>
                <w:rFonts w:eastAsia="Times New Roman" w:cs="Calibri"/>
                <w:noProof/>
                <w:szCs w:val="18"/>
              </w:rPr>
            </w:pPr>
            <w:r>
              <w:rPr>
                <w:noProof/>
              </w:rPr>
              <w:t xml:space="preserve">13–4. Modernizace veřejné správy, mimo jiné urychlením provádění veřejných investic, zlepšením rámce pro zadávání veřejných zakázek, opatřeními na budování kapacit a bojem proti korupci – 16705_Digitální transformace fiskálního řízení a </w:t>
            </w:r>
            <w:r>
              <w:rPr>
                <w:noProof/>
              </w:rPr>
              <w:t>dohledu v oblasti správy a elektronické fakturace</w:t>
            </w:r>
          </w:p>
        </w:tc>
        <w:tc>
          <w:tcPr>
            <w:tcW w:w="1063" w:type="dxa"/>
            <w:tcBorders>
              <w:top w:val="single" w:sz="4" w:space="0" w:color="auto"/>
              <w:left w:val="nil"/>
              <w:bottom w:val="single" w:sz="4" w:space="0" w:color="auto"/>
              <w:right w:val="single" w:sz="4" w:space="0" w:color="auto"/>
            </w:tcBorders>
            <w:shd w:val="clear" w:color="auto" w:fill="C6EFCE"/>
            <w:noWrap/>
          </w:tcPr>
          <w:p w14:paraId="1F8F77DC"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single" w:sz="4" w:space="0" w:color="auto"/>
              <w:left w:val="nil"/>
              <w:bottom w:val="single" w:sz="4" w:space="0" w:color="auto"/>
              <w:right w:val="single" w:sz="4" w:space="0" w:color="auto"/>
            </w:tcBorders>
            <w:shd w:val="clear" w:color="auto" w:fill="C6EFCE"/>
            <w:noWrap/>
          </w:tcPr>
          <w:p w14:paraId="5DF60471" w14:textId="77777777" w:rsidR="00515398" w:rsidRDefault="006711E6">
            <w:pPr>
              <w:pStyle w:val="P68B1DB1-Normal9"/>
              <w:spacing w:after="0" w:line="240" w:lineRule="auto"/>
              <w:rPr>
                <w:rFonts w:eastAsia="Times New Roman" w:cs="Calibri"/>
                <w:noProof/>
                <w:szCs w:val="18"/>
              </w:rPr>
            </w:pPr>
            <w:r>
              <w:rPr>
                <w:noProof/>
              </w:rPr>
              <w:t>Vládní plánování podnikových zdrojů (GOV-ERP)</w:t>
            </w:r>
          </w:p>
        </w:tc>
        <w:tc>
          <w:tcPr>
            <w:tcW w:w="1552" w:type="dxa"/>
            <w:tcBorders>
              <w:top w:val="single" w:sz="4" w:space="0" w:color="auto"/>
              <w:left w:val="nil"/>
              <w:bottom w:val="single" w:sz="4" w:space="0" w:color="auto"/>
              <w:right w:val="single" w:sz="4" w:space="0" w:color="auto"/>
            </w:tcBorders>
            <w:shd w:val="clear" w:color="auto" w:fill="C6EFCE"/>
            <w:noWrap/>
          </w:tcPr>
          <w:p w14:paraId="421554DE" w14:textId="4B853615" w:rsidR="00515398" w:rsidRDefault="006711E6">
            <w:pPr>
              <w:pStyle w:val="P68B1DB1-Normal9"/>
              <w:spacing w:after="0" w:line="240" w:lineRule="auto"/>
              <w:rPr>
                <w:rFonts w:eastAsia="Times New Roman" w:cs="Calibri"/>
                <w:noProof/>
                <w:szCs w:val="18"/>
              </w:rPr>
            </w:pPr>
            <w:r>
              <w:rPr>
                <w:noProof/>
              </w:rPr>
              <w:t>Provozuschopný informační systém.</w:t>
            </w:r>
          </w:p>
        </w:tc>
        <w:tc>
          <w:tcPr>
            <w:tcW w:w="1126" w:type="dxa"/>
            <w:tcBorders>
              <w:top w:val="single" w:sz="4" w:space="0" w:color="auto"/>
              <w:left w:val="nil"/>
              <w:bottom w:val="single" w:sz="4" w:space="0" w:color="auto"/>
              <w:right w:val="single" w:sz="4" w:space="0" w:color="auto"/>
            </w:tcBorders>
            <w:shd w:val="clear" w:color="auto" w:fill="C6EFCE"/>
            <w:noWrap/>
          </w:tcPr>
          <w:p w14:paraId="47659F1E" w14:textId="77777777" w:rsidR="00515398" w:rsidRDefault="00515398">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20960CE7" w14:textId="77777777" w:rsidR="00515398" w:rsidRDefault="00515398">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3779CCF0"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6B7F6E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single" w:sz="4" w:space="0" w:color="auto"/>
              <w:left w:val="nil"/>
              <w:bottom w:val="single" w:sz="4" w:space="0" w:color="auto"/>
              <w:right w:val="single" w:sz="4" w:space="0" w:color="auto"/>
            </w:tcBorders>
            <w:shd w:val="clear" w:color="auto" w:fill="C6EFCE"/>
            <w:noWrap/>
          </w:tcPr>
          <w:p w14:paraId="6A886624" w14:textId="77777777" w:rsidR="00515398" w:rsidRDefault="006711E6">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0DC36BF1" w14:textId="507898BF" w:rsidR="00515398" w:rsidRDefault="006711E6">
            <w:pPr>
              <w:pStyle w:val="P68B1DB1-Normal9"/>
              <w:spacing w:after="0" w:line="240" w:lineRule="auto"/>
              <w:jc w:val="both"/>
              <w:rPr>
                <w:rFonts w:eastAsia="Times New Roman" w:cs="Calibri"/>
                <w:noProof/>
                <w:szCs w:val="18"/>
              </w:rPr>
            </w:pPr>
            <w:r>
              <w:rPr>
                <w:noProof/>
              </w:rPr>
              <w:t xml:space="preserve">Provést digitální transformaci rámce finančního řízení a dohledu prostřednictvím zprovoznění </w:t>
            </w:r>
            <w:r>
              <w:rPr>
                <w:noProof/>
              </w:rPr>
              <w:t>vládního plánování podnikových zdrojů (GOV-ERP), tj. podpory přípravy rozpočtu na rok 2027.</w:t>
            </w:r>
          </w:p>
          <w:p w14:paraId="1D10AF81" w14:textId="77777777" w:rsidR="00515398" w:rsidRDefault="006711E6">
            <w:pPr>
              <w:pStyle w:val="P68B1DB1-Normal9"/>
              <w:spacing w:after="0" w:line="240" w:lineRule="auto"/>
              <w:jc w:val="both"/>
              <w:rPr>
                <w:rFonts w:eastAsia="Times New Roman" w:cs="Calibri"/>
                <w:noProof/>
                <w:szCs w:val="18"/>
              </w:rPr>
            </w:pPr>
            <w:r>
              <w:rPr>
                <w:noProof/>
              </w:rPr>
              <w:t xml:space="preserve">Za účelem dosažení tohoto výsledku dokončit dílčí projekty: </w:t>
            </w:r>
          </w:p>
          <w:p w14:paraId="6E300822" w14:textId="41FDB8FB" w:rsidR="00515398" w:rsidRDefault="006711E6">
            <w:pPr>
              <w:pStyle w:val="P68B1DB1-Normal9"/>
              <w:spacing w:after="0" w:line="240" w:lineRule="auto"/>
              <w:jc w:val="both"/>
              <w:rPr>
                <w:rFonts w:eastAsia="Times New Roman" w:cs="Calibri"/>
                <w:noProof/>
                <w:szCs w:val="18"/>
              </w:rPr>
            </w:pPr>
            <w:r>
              <w:rPr>
                <w:noProof/>
              </w:rPr>
              <w:t xml:space="preserve">Napojení vládních systémů ERP na řeckou elektronickou fakturu zajištěním: </w:t>
            </w:r>
          </w:p>
          <w:p w14:paraId="43B4F251" w14:textId="77777777" w:rsidR="00515398" w:rsidRDefault="006711E6">
            <w:pPr>
              <w:pStyle w:val="P68B1DB1-Normal9"/>
              <w:spacing w:after="0" w:line="240" w:lineRule="auto"/>
              <w:jc w:val="both"/>
              <w:rPr>
                <w:rFonts w:eastAsia="Times New Roman" w:cs="Calibri"/>
                <w:noProof/>
                <w:szCs w:val="18"/>
              </w:rPr>
            </w:pPr>
            <w:r>
              <w:rPr>
                <w:noProof/>
              </w:rPr>
              <w:t xml:space="preserve"> — Připojení systémů ERP k s</w:t>
            </w:r>
            <w:r>
              <w:rPr>
                <w:noProof/>
              </w:rPr>
              <w:t>íti elektronických faktur</w:t>
            </w:r>
          </w:p>
          <w:p w14:paraId="0FC0F1E8" w14:textId="77777777" w:rsidR="00515398" w:rsidRDefault="006711E6">
            <w:pPr>
              <w:pStyle w:val="P68B1DB1-Normal9"/>
              <w:spacing w:after="0" w:line="240" w:lineRule="auto"/>
              <w:jc w:val="both"/>
              <w:rPr>
                <w:rFonts w:eastAsia="Times New Roman" w:cs="Calibri"/>
                <w:noProof/>
                <w:szCs w:val="18"/>
              </w:rPr>
            </w:pPr>
            <w:r>
              <w:rPr>
                <w:noProof/>
              </w:rPr>
              <w:t xml:space="preserve"> — Připojení poskytovatelů služeb elektronické fakturace k síti elektronických faktur</w:t>
            </w:r>
          </w:p>
        </w:tc>
      </w:tr>
      <w:tr w:rsidR="00515398" w14:paraId="42E37826"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9D211BE" w14:textId="77777777" w:rsidR="00515398" w:rsidRDefault="006711E6">
            <w:pPr>
              <w:pStyle w:val="P68B1DB1-Normal9"/>
              <w:spacing w:after="0" w:line="240" w:lineRule="auto"/>
              <w:rPr>
                <w:rFonts w:eastAsia="Times New Roman" w:cs="Calibri"/>
                <w:noProof/>
                <w:szCs w:val="18"/>
              </w:rPr>
            </w:pPr>
            <w:r>
              <w:rPr>
                <w:noProof/>
              </w:rPr>
              <w:t>221</w:t>
            </w:r>
          </w:p>
        </w:tc>
        <w:tc>
          <w:tcPr>
            <w:tcW w:w="2146" w:type="dxa"/>
            <w:tcBorders>
              <w:top w:val="single" w:sz="4" w:space="0" w:color="auto"/>
              <w:left w:val="nil"/>
              <w:bottom w:val="single" w:sz="4" w:space="0" w:color="auto"/>
              <w:right w:val="single" w:sz="4" w:space="0" w:color="auto"/>
            </w:tcBorders>
            <w:shd w:val="clear" w:color="auto" w:fill="C6EFCE"/>
            <w:noWrap/>
          </w:tcPr>
          <w:p w14:paraId="7AFF5CCB" w14:textId="77777777" w:rsidR="00515398" w:rsidRDefault="006711E6">
            <w:pPr>
              <w:pStyle w:val="P68B1DB1-Normal9"/>
              <w:spacing w:after="0" w:line="240" w:lineRule="auto"/>
              <w:rPr>
                <w:rFonts w:eastAsia="Times New Roman" w:cs="Calibri"/>
                <w:noProof/>
                <w:szCs w:val="18"/>
              </w:rPr>
            </w:pPr>
            <w:r>
              <w:rPr>
                <w:noProof/>
              </w:rPr>
              <w:t xml:space="preserve">13–4. Modernizace veřejné správy, mimo jiné urychlením provádění veřejných investic, zlepšením rámce pro zadávání veřejných zakázek, </w:t>
            </w:r>
            <w:r>
              <w:rPr>
                <w:noProof/>
              </w:rPr>
              <w:t>opatřeními na budování kapacit a bojem proti korupci – 16711_Profesionalizace oblasti zadávání veřejných zakázek</w:t>
            </w:r>
          </w:p>
        </w:tc>
        <w:tc>
          <w:tcPr>
            <w:tcW w:w="1063" w:type="dxa"/>
            <w:tcBorders>
              <w:top w:val="single" w:sz="4" w:space="0" w:color="auto"/>
              <w:left w:val="nil"/>
              <w:bottom w:val="single" w:sz="4" w:space="0" w:color="auto"/>
              <w:right w:val="single" w:sz="4" w:space="0" w:color="auto"/>
            </w:tcBorders>
            <w:shd w:val="clear" w:color="auto" w:fill="C6EFCE"/>
            <w:noWrap/>
          </w:tcPr>
          <w:p w14:paraId="3197CF7C" w14:textId="77777777" w:rsidR="00515398" w:rsidRDefault="006711E6">
            <w:pPr>
              <w:pStyle w:val="P68B1DB1-Normal9"/>
              <w:spacing w:after="0" w:line="240" w:lineRule="auto"/>
              <w:rPr>
                <w:rFonts w:eastAsia="Times New Roman" w:cs="Calibri"/>
                <w:noProof/>
                <w:szCs w:val="18"/>
              </w:rPr>
            </w:pPr>
            <w:r>
              <w:rPr>
                <w:noProof/>
              </w:rPr>
              <w:t>Cílová</w:t>
            </w:r>
          </w:p>
        </w:tc>
        <w:tc>
          <w:tcPr>
            <w:tcW w:w="1712" w:type="dxa"/>
            <w:tcBorders>
              <w:top w:val="single" w:sz="4" w:space="0" w:color="auto"/>
              <w:left w:val="nil"/>
              <w:bottom w:val="single" w:sz="4" w:space="0" w:color="auto"/>
              <w:right w:val="single" w:sz="4" w:space="0" w:color="auto"/>
            </w:tcBorders>
            <w:shd w:val="clear" w:color="auto" w:fill="C6EFCE"/>
            <w:noWrap/>
          </w:tcPr>
          <w:p w14:paraId="27FF85B7" w14:textId="77777777" w:rsidR="00515398" w:rsidRDefault="006711E6">
            <w:pPr>
              <w:pStyle w:val="P68B1DB1-Normal9"/>
              <w:spacing w:after="0" w:line="240" w:lineRule="auto"/>
              <w:rPr>
                <w:rFonts w:eastAsia="Times New Roman" w:cs="Calibri"/>
                <w:noProof/>
                <w:szCs w:val="18"/>
              </w:rPr>
            </w:pPr>
            <w:r>
              <w:rPr>
                <w:noProof/>
              </w:rPr>
              <w:t>Dokončení programů prohlubování dovedností/změna kvalifikace pro zadávání veřejných zakázek</w:t>
            </w:r>
          </w:p>
        </w:tc>
        <w:tc>
          <w:tcPr>
            <w:tcW w:w="1552" w:type="dxa"/>
            <w:tcBorders>
              <w:top w:val="single" w:sz="4" w:space="0" w:color="auto"/>
              <w:left w:val="nil"/>
              <w:bottom w:val="single" w:sz="4" w:space="0" w:color="auto"/>
              <w:right w:val="single" w:sz="4" w:space="0" w:color="auto"/>
            </w:tcBorders>
            <w:shd w:val="clear" w:color="auto" w:fill="C6EFCE"/>
            <w:noWrap/>
          </w:tcPr>
          <w:p w14:paraId="10B983C4" w14:textId="77777777" w:rsidR="00515398" w:rsidRDefault="00515398">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3800B837" w14:textId="77777777" w:rsidR="00515398" w:rsidRDefault="006711E6">
            <w:pPr>
              <w:pStyle w:val="P68B1DB1-Normal9"/>
              <w:spacing w:after="0" w:line="240" w:lineRule="auto"/>
              <w:rPr>
                <w:rFonts w:eastAsia="Times New Roman" w:cs="Calibri"/>
                <w:noProof/>
                <w:szCs w:val="18"/>
              </w:rPr>
            </w:pPr>
            <w:r>
              <w:rPr>
                <w:noProof/>
              </w:rPr>
              <w:t xml:space="preserve">Počet vyškolených a certifikovaných </w:t>
            </w:r>
            <w:r>
              <w:rPr>
                <w:noProof/>
              </w:rPr>
              <w:t>úředníků</w:t>
            </w:r>
          </w:p>
        </w:tc>
        <w:tc>
          <w:tcPr>
            <w:tcW w:w="1003" w:type="dxa"/>
            <w:tcBorders>
              <w:top w:val="single" w:sz="4" w:space="0" w:color="auto"/>
              <w:left w:val="nil"/>
              <w:bottom w:val="single" w:sz="4" w:space="0" w:color="auto"/>
              <w:right w:val="single" w:sz="4" w:space="0" w:color="auto"/>
            </w:tcBorders>
            <w:shd w:val="clear" w:color="auto" w:fill="C6EFCE"/>
            <w:noWrap/>
          </w:tcPr>
          <w:p w14:paraId="0EA7F0CC" w14:textId="77777777" w:rsidR="00515398" w:rsidRDefault="006711E6">
            <w:pPr>
              <w:pStyle w:val="P68B1DB1-Normal9"/>
              <w:spacing w:after="0" w:line="240" w:lineRule="auto"/>
              <w:rPr>
                <w:rFonts w:eastAsia="Times New Roman" w:cs="Calibri"/>
                <w:noProof/>
                <w:szCs w:val="18"/>
              </w:rPr>
            </w:pPr>
            <w:r>
              <w:rPr>
                <w:noProof/>
              </w:rPr>
              <w:t>0</w:t>
            </w:r>
          </w:p>
        </w:tc>
        <w:tc>
          <w:tcPr>
            <w:tcW w:w="876" w:type="dxa"/>
            <w:tcBorders>
              <w:top w:val="single" w:sz="4" w:space="0" w:color="auto"/>
              <w:left w:val="nil"/>
              <w:bottom w:val="single" w:sz="4" w:space="0" w:color="auto"/>
              <w:right w:val="single" w:sz="4" w:space="0" w:color="auto"/>
            </w:tcBorders>
            <w:shd w:val="clear" w:color="auto" w:fill="C6EFCE"/>
            <w:noWrap/>
          </w:tcPr>
          <w:p w14:paraId="5BCD7B47" w14:textId="77777777" w:rsidR="00515398" w:rsidRDefault="006711E6">
            <w:pPr>
              <w:pStyle w:val="P68B1DB1-Normal9"/>
              <w:spacing w:after="0" w:line="240" w:lineRule="auto"/>
              <w:rPr>
                <w:rFonts w:eastAsia="Times New Roman" w:cs="Calibri"/>
                <w:noProof/>
                <w:szCs w:val="18"/>
              </w:rPr>
            </w:pPr>
            <w:r>
              <w:rPr>
                <w:noProof/>
              </w:rPr>
              <w:t>6 000</w:t>
            </w:r>
          </w:p>
        </w:tc>
        <w:tc>
          <w:tcPr>
            <w:tcW w:w="846" w:type="dxa"/>
            <w:tcBorders>
              <w:top w:val="single" w:sz="4" w:space="0" w:color="auto"/>
              <w:left w:val="nil"/>
              <w:bottom w:val="single" w:sz="4" w:space="0" w:color="auto"/>
              <w:right w:val="single" w:sz="4" w:space="0" w:color="auto"/>
            </w:tcBorders>
            <w:shd w:val="clear" w:color="auto" w:fill="C6EFCE"/>
            <w:noWrap/>
          </w:tcPr>
          <w:p w14:paraId="74FF4355"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single" w:sz="4" w:space="0" w:color="auto"/>
              <w:left w:val="nil"/>
              <w:bottom w:val="single" w:sz="4" w:space="0" w:color="auto"/>
              <w:right w:val="single" w:sz="4" w:space="0" w:color="auto"/>
            </w:tcBorders>
            <w:shd w:val="clear" w:color="auto" w:fill="C6EFCE"/>
            <w:noWrap/>
          </w:tcPr>
          <w:p w14:paraId="7FC70D56" w14:textId="77777777" w:rsidR="00515398" w:rsidRDefault="006711E6">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12578705" w14:textId="77777777" w:rsidR="00515398" w:rsidRDefault="006711E6">
            <w:pPr>
              <w:pStyle w:val="P68B1DB1-Normal9"/>
              <w:spacing w:after="0" w:line="240" w:lineRule="auto"/>
              <w:rPr>
                <w:rFonts w:eastAsia="Times New Roman" w:cs="Calibri"/>
                <w:noProof/>
                <w:szCs w:val="18"/>
              </w:rPr>
            </w:pPr>
            <w:r>
              <w:rPr>
                <w:noProof/>
              </w:rPr>
              <w:t xml:space="preserve">Dokončení programů prohlubování dovedností/změna kvalifikace pro odborníky v oblasti zadávání veřejných zakázek a udělování osvědčení. </w:t>
            </w:r>
          </w:p>
        </w:tc>
      </w:tr>
      <w:tr w:rsidR="00515398" w14:paraId="3DF4350B"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B851F86" w14:textId="77777777" w:rsidR="00515398" w:rsidRDefault="006711E6">
            <w:pPr>
              <w:pStyle w:val="P68B1DB1-Normal9"/>
              <w:spacing w:after="0" w:line="240" w:lineRule="auto"/>
              <w:rPr>
                <w:rFonts w:eastAsia="Times New Roman" w:cs="Calibri"/>
                <w:noProof/>
                <w:szCs w:val="18"/>
              </w:rPr>
            </w:pPr>
            <w:r>
              <w:rPr>
                <w:noProof/>
              </w:rPr>
              <w:t>341</w:t>
            </w:r>
          </w:p>
        </w:tc>
        <w:tc>
          <w:tcPr>
            <w:tcW w:w="2146" w:type="dxa"/>
            <w:tcBorders>
              <w:top w:val="single" w:sz="4" w:space="0" w:color="auto"/>
              <w:left w:val="nil"/>
              <w:bottom w:val="single" w:sz="4" w:space="0" w:color="auto"/>
              <w:right w:val="single" w:sz="4" w:space="0" w:color="auto"/>
            </w:tcBorders>
            <w:shd w:val="clear" w:color="auto" w:fill="C6EFCE"/>
            <w:noWrap/>
          </w:tcPr>
          <w:p w14:paraId="2D1729BA" w14:textId="77777777" w:rsidR="00515398" w:rsidRDefault="006711E6">
            <w:pPr>
              <w:pStyle w:val="P68B1DB1-Normal9"/>
              <w:spacing w:after="0" w:line="240" w:lineRule="auto"/>
              <w:rPr>
                <w:rFonts w:eastAsia="Times New Roman" w:cs="Calibri"/>
                <w:noProof/>
                <w:szCs w:val="18"/>
              </w:rPr>
            </w:pPr>
            <w:r>
              <w:rPr>
                <w:noProof/>
              </w:rPr>
              <w:t xml:space="preserve">13–4. Modernizovat veřejnou správu, mimo jiné urychlením provádění veřejných </w:t>
            </w:r>
            <w:r>
              <w:rPr>
                <w:noProof/>
              </w:rPr>
              <w:t>investic, zlepšením rámce pro zadávání veřejných zakázek, opatřeními na budování kapacit a bojem proti korupci – 16986_Dokončení národního katastru</w:t>
            </w:r>
          </w:p>
        </w:tc>
        <w:tc>
          <w:tcPr>
            <w:tcW w:w="1063" w:type="dxa"/>
            <w:tcBorders>
              <w:top w:val="single" w:sz="4" w:space="0" w:color="auto"/>
              <w:left w:val="nil"/>
              <w:bottom w:val="single" w:sz="4" w:space="0" w:color="auto"/>
              <w:right w:val="single" w:sz="4" w:space="0" w:color="auto"/>
            </w:tcBorders>
            <w:shd w:val="clear" w:color="auto" w:fill="C6EFCE"/>
            <w:noWrap/>
          </w:tcPr>
          <w:p w14:paraId="6CA89A70" w14:textId="77777777" w:rsidR="00515398" w:rsidRDefault="006711E6">
            <w:pPr>
              <w:pStyle w:val="P68B1DB1-Normal9"/>
              <w:spacing w:after="0" w:line="240" w:lineRule="auto"/>
              <w:rPr>
                <w:rFonts w:eastAsia="Times New Roman" w:cs="Calibri"/>
                <w:noProof/>
                <w:szCs w:val="18"/>
              </w:rPr>
            </w:pPr>
            <w:r>
              <w:rPr>
                <w:noProof/>
              </w:rPr>
              <w:t>Cílová</w:t>
            </w:r>
          </w:p>
        </w:tc>
        <w:tc>
          <w:tcPr>
            <w:tcW w:w="1712" w:type="dxa"/>
            <w:tcBorders>
              <w:top w:val="single" w:sz="4" w:space="0" w:color="auto"/>
              <w:left w:val="nil"/>
              <w:bottom w:val="single" w:sz="4" w:space="0" w:color="auto"/>
              <w:right w:val="single" w:sz="4" w:space="0" w:color="auto"/>
            </w:tcBorders>
            <w:shd w:val="clear" w:color="auto" w:fill="C6EFCE"/>
            <w:noWrap/>
          </w:tcPr>
          <w:p w14:paraId="1B399AAC" w14:textId="77777777" w:rsidR="00515398" w:rsidRDefault="006711E6">
            <w:pPr>
              <w:pStyle w:val="P68B1DB1-Normal9"/>
              <w:spacing w:after="0" w:line="240" w:lineRule="auto"/>
              <w:rPr>
                <w:rFonts w:eastAsia="Times New Roman" w:cs="Calibri"/>
                <w:noProof/>
                <w:szCs w:val="18"/>
              </w:rPr>
            </w:pPr>
            <w:r>
              <w:rPr>
                <w:noProof/>
              </w:rPr>
              <w:t>Katastrální mapování – dokončení 85 %</w:t>
            </w:r>
          </w:p>
        </w:tc>
        <w:tc>
          <w:tcPr>
            <w:tcW w:w="1552" w:type="dxa"/>
            <w:tcBorders>
              <w:top w:val="single" w:sz="4" w:space="0" w:color="auto"/>
              <w:left w:val="nil"/>
              <w:bottom w:val="single" w:sz="4" w:space="0" w:color="auto"/>
              <w:right w:val="single" w:sz="4" w:space="0" w:color="auto"/>
            </w:tcBorders>
            <w:shd w:val="clear" w:color="auto" w:fill="C6EFCE"/>
            <w:noWrap/>
          </w:tcPr>
          <w:p w14:paraId="0BEF8630" w14:textId="77777777" w:rsidR="00515398" w:rsidRDefault="00515398">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7EFBA0C5" w14:textId="77777777" w:rsidR="00515398" w:rsidRDefault="006711E6">
            <w:pPr>
              <w:pStyle w:val="P68B1DB1-Normal9"/>
              <w:spacing w:after="0" w:line="240" w:lineRule="auto"/>
              <w:rPr>
                <w:rFonts w:eastAsia="Times New Roman" w:cs="Calibri"/>
                <w:noProof/>
                <w:szCs w:val="18"/>
              </w:rPr>
            </w:pPr>
            <w:r>
              <w:rPr>
                <w:noProof/>
              </w:rPr>
              <w:t xml:space="preserve">% celkových vlastnických práv nahraných pro veřejné zobrazení </w:t>
            </w:r>
            <w:r>
              <w:rPr>
                <w:noProof/>
              </w:rPr>
              <w:t>podle ustanovení zákona 2308/1995 ve znění článku 3 zákona 4821/2021</w:t>
            </w:r>
          </w:p>
        </w:tc>
        <w:tc>
          <w:tcPr>
            <w:tcW w:w="1003" w:type="dxa"/>
            <w:tcBorders>
              <w:top w:val="single" w:sz="4" w:space="0" w:color="auto"/>
              <w:left w:val="nil"/>
              <w:bottom w:val="single" w:sz="4" w:space="0" w:color="auto"/>
              <w:right w:val="single" w:sz="4" w:space="0" w:color="auto"/>
            </w:tcBorders>
            <w:shd w:val="clear" w:color="auto" w:fill="C6EFCE"/>
            <w:noWrap/>
          </w:tcPr>
          <w:p w14:paraId="1653B4C2" w14:textId="77777777" w:rsidR="00515398" w:rsidRDefault="006711E6">
            <w:pPr>
              <w:pStyle w:val="P68B1DB1-Normal9"/>
              <w:spacing w:after="0" w:line="240" w:lineRule="auto"/>
              <w:rPr>
                <w:rFonts w:eastAsia="Times New Roman" w:cs="Calibri"/>
                <w:noProof/>
                <w:szCs w:val="18"/>
              </w:rPr>
            </w:pPr>
            <w:r>
              <w:rPr>
                <w:noProof/>
              </w:rPr>
              <w:t>79 %</w:t>
            </w:r>
          </w:p>
        </w:tc>
        <w:tc>
          <w:tcPr>
            <w:tcW w:w="876" w:type="dxa"/>
            <w:tcBorders>
              <w:top w:val="single" w:sz="4" w:space="0" w:color="auto"/>
              <w:left w:val="nil"/>
              <w:bottom w:val="single" w:sz="4" w:space="0" w:color="auto"/>
              <w:right w:val="single" w:sz="4" w:space="0" w:color="auto"/>
            </w:tcBorders>
            <w:shd w:val="clear" w:color="auto" w:fill="C6EFCE"/>
            <w:noWrap/>
          </w:tcPr>
          <w:p w14:paraId="244A2E73" w14:textId="77777777" w:rsidR="00515398" w:rsidRDefault="006711E6">
            <w:pPr>
              <w:pStyle w:val="P68B1DB1-Normal9"/>
              <w:spacing w:after="0" w:line="240" w:lineRule="auto"/>
              <w:rPr>
                <w:rFonts w:eastAsia="Times New Roman" w:cs="Calibri"/>
                <w:noProof/>
                <w:szCs w:val="18"/>
              </w:rPr>
            </w:pPr>
            <w:r>
              <w:rPr>
                <w:noProof/>
              </w:rPr>
              <w:t>85 %</w:t>
            </w:r>
          </w:p>
        </w:tc>
        <w:tc>
          <w:tcPr>
            <w:tcW w:w="846" w:type="dxa"/>
            <w:tcBorders>
              <w:top w:val="single" w:sz="4" w:space="0" w:color="auto"/>
              <w:left w:val="nil"/>
              <w:bottom w:val="single" w:sz="4" w:space="0" w:color="auto"/>
              <w:right w:val="single" w:sz="4" w:space="0" w:color="auto"/>
            </w:tcBorders>
            <w:shd w:val="clear" w:color="auto" w:fill="C6EFCE"/>
            <w:noWrap/>
          </w:tcPr>
          <w:p w14:paraId="4CE4BF8D"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single" w:sz="4" w:space="0" w:color="auto"/>
              <w:left w:val="nil"/>
              <w:bottom w:val="single" w:sz="4" w:space="0" w:color="auto"/>
              <w:right w:val="single" w:sz="4" w:space="0" w:color="auto"/>
            </w:tcBorders>
            <w:shd w:val="clear" w:color="auto" w:fill="C6EFCE"/>
            <w:noWrap/>
          </w:tcPr>
          <w:p w14:paraId="7E9572E3" w14:textId="77777777" w:rsidR="00515398" w:rsidRDefault="006711E6">
            <w:pPr>
              <w:pStyle w:val="P68B1DB1-Normal9"/>
              <w:spacing w:after="0" w:line="240" w:lineRule="auto"/>
              <w:rPr>
                <w:rFonts w:eastAsia="Times New Roman" w:cs="Calibri"/>
                <w:noProof/>
                <w:szCs w:val="18"/>
              </w:rPr>
            </w:pPr>
            <w:r>
              <w:rPr>
                <w:noProof/>
              </w:rPr>
              <w:t>2023</w:t>
            </w:r>
          </w:p>
        </w:tc>
        <w:tc>
          <w:tcPr>
            <w:tcW w:w="3847" w:type="dxa"/>
            <w:tcBorders>
              <w:top w:val="single" w:sz="4" w:space="0" w:color="auto"/>
              <w:left w:val="nil"/>
              <w:bottom w:val="single" w:sz="4" w:space="0" w:color="auto"/>
              <w:right w:val="single" w:sz="4" w:space="0" w:color="auto"/>
            </w:tcBorders>
            <w:shd w:val="clear" w:color="auto" w:fill="C6EFCE"/>
            <w:noWrap/>
          </w:tcPr>
          <w:p w14:paraId="46657988" w14:textId="77777777" w:rsidR="00515398" w:rsidRDefault="006711E6">
            <w:pPr>
              <w:pStyle w:val="P68B1DB1-Normal9"/>
              <w:spacing w:after="0" w:line="240" w:lineRule="auto"/>
              <w:rPr>
                <w:rFonts w:eastAsia="Times New Roman" w:cs="Calibri"/>
                <w:noProof/>
                <w:szCs w:val="18"/>
              </w:rPr>
            </w:pPr>
            <w:r>
              <w:rPr>
                <w:noProof/>
              </w:rPr>
              <w:t>85 % vlastnických práv Řecka se dostalo do fáze veřejného vystavování.</w:t>
            </w:r>
          </w:p>
        </w:tc>
      </w:tr>
      <w:tr w:rsidR="00515398" w14:paraId="2D5D0495"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CA3AA48" w14:textId="77777777" w:rsidR="00515398" w:rsidRDefault="006711E6">
            <w:pPr>
              <w:pStyle w:val="P68B1DB1-Normal9"/>
              <w:spacing w:after="0" w:line="240" w:lineRule="auto"/>
              <w:rPr>
                <w:rFonts w:eastAsia="Times New Roman" w:cs="Calibri"/>
                <w:noProof/>
                <w:szCs w:val="18"/>
              </w:rPr>
            </w:pPr>
            <w:r>
              <w:rPr>
                <w:noProof/>
              </w:rPr>
              <w:t>342</w:t>
            </w:r>
          </w:p>
        </w:tc>
        <w:tc>
          <w:tcPr>
            <w:tcW w:w="2146" w:type="dxa"/>
            <w:tcBorders>
              <w:top w:val="single" w:sz="4" w:space="0" w:color="auto"/>
              <w:left w:val="nil"/>
              <w:bottom w:val="single" w:sz="4" w:space="0" w:color="auto"/>
              <w:right w:val="single" w:sz="4" w:space="0" w:color="auto"/>
            </w:tcBorders>
            <w:shd w:val="clear" w:color="auto" w:fill="C6EFCE"/>
            <w:noWrap/>
          </w:tcPr>
          <w:p w14:paraId="0DC86A58" w14:textId="77777777" w:rsidR="00515398" w:rsidRDefault="006711E6">
            <w:pPr>
              <w:pStyle w:val="P68B1DB1-Normal9"/>
              <w:spacing w:after="0" w:line="240" w:lineRule="auto"/>
              <w:rPr>
                <w:rFonts w:eastAsia="Times New Roman" w:cs="Calibri"/>
                <w:noProof/>
                <w:szCs w:val="18"/>
              </w:rPr>
            </w:pPr>
            <w:r>
              <w:rPr>
                <w:noProof/>
              </w:rPr>
              <w:t xml:space="preserve">13–4. Modernizovat veřejnou správu, mimo jiné urychlením provádění veřejných </w:t>
            </w:r>
            <w:r>
              <w:rPr>
                <w:noProof/>
              </w:rPr>
              <w:t>investic, zlepšením rámce pro zadávání veřejných zakázek, opatřeními na budování kapacit a bojem proti korupci – 16986_Dokončení národního katastru</w:t>
            </w:r>
          </w:p>
        </w:tc>
        <w:tc>
          <w:tcPr>
            <w:tcW w:w="1063" w:type="dxa"/>
            <w:tcBorders>
              <w:top w:val="single" w:sz="4" w:space="0" w:color="auto"/>
              <w:left w:val="nil"/>
              <w:bottom w:val="single" w:sz="4" w:space="0" w:color="auto"/>
              <w:right w:val="single" w:sz="4" w:space="0" w:color="auto"/>
            </w:tcBorders>
            <w:shd w:val="clear" w:color="auto" w:fill="C6EFCE"/>
            <w:noWrap/>
          </w:tcPr>
          <w:p w14:paraId="5CA471CE" w14:textId="77777777" w:rsidR="00515398" w:rsidRDefault="006711E6">
            <w:pPr>
              <w:pStyle w:val="P68B1DB1-Normal9"/>
              <w:spacing w:after="0" w:line="240" w:lineRule="auto"/>
              <w:rPr>
                <w:rFonts w:eastAsia="Times New Roman" w:cs="Calibri"/>
                <w:noProof/>
                <w:szCs w:val="18"/>
              </w:rPr>
            </w:pPr>
            <w:r>
              <w:rPr>
                <w:noProof/>
              </w:rPr>
              <w:t>Cílová</w:t>
            </w:r>
          </w:p>
        </w:tc>
        <w:tc>
          <w:tcPr>
            <w:tcW w:w="1712" w:type="dxa"/>
            <w:tcBorders>
              <w:top w:val="single" w:sz="4" w:space="0" w:color="auto"/>
              <w:left w:val="nil"/>
              <w:bottom w:val="single" w:sz="4" w:space="0" w:color="auto"/>
              <w:right w:val="single" w:sz="4" w:space="0" w:color="auto"/>
            </w:tcBorders>
            <w:shd w:val="clear" w:color="auto" w:fill="C6EFCE"/>
            <w:noWrap/>
          </w:tcPr>
          <w:p w14:paraId="2BAEE2C0" w14:textId="77777777" w:rsidR="00515398" w:rsidRDefault="006711E6">
            <w:pPr>
              <w:pStyle w:val="P68B1DB1-Normal9"/>
              <w:spacing w:after="0" w:line="240" w:lineRule="auto"/>
              <w:rPr>
                <w:rFonts w:eastAsia="Times New Roman" w:cs="Calibri"/>
                <w:noProof/>
                <w:szCs w:val="18"/>
              </w:rPr>
            </w:pPr>
            <w:r>
              <w:rPr>
                <w:noProof/>
              </w:rPr>
              <w:t>Katastrální mapování – 95 % dokončení</w:t>
            </w:r>
          </w:p>
        </w:tc>
        <w:tc>
          <w:tcPr>
            <w:tcW w:w="1552" w:type="dxa"/>
            <w:tcBorders>
              <w:top w:val="single" w:sz="4" w:space="0" w:color="auto"/>
              <w:left w:val="nil"/>
              <w:bottom w:val="single" w:sz="4" w:space="0" w:color="auto"/>
              <w:right w:val="single" w:sz="4" w:space="0" w:color="auto"/>
            </w:tcBorders>
            <w:shd w:val="clear" w:color="auto" w:fill="C6EFCE"/>
            <w:noWrap/>
          </w:tcPr>
          <w:p w14:paraId="6F3D9D57" w14:textId="77777777" w:rsidR="00515398" w:rsidRDefault="00515398">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29C9F849" w14:textId="3DAE522C" w:rsidR="00515398" w:rsidRDefault="006711E6">
            <w:pPr>
              <w:pStyle w:val="P68B1DB1-Normal9"/>
              <w:spacing w:after="0" w:line="240" w:lineRule="auto"/>
              <w:rPr>
                <w:rFonts w:eastAsia="Times New Roman" w:cs="Calibri"/>
                <w:noProof/>
                <w:szCs w:val="18"/>
              </w:rPr>
            </w:pPr>
            <w:r>
              <w:rPr>
                <w:noProof/>
              </w:rPr>
              <w:t xml:space="preserve">% celkových vlastnických práv nahraných pro veřejné zobrazení </w:t>
            </w:r>
            <w:r>
              <w:rPr>
                <w:noProof/>
              </w:rPr>
              <w:t>podle ustanovení zákona 2308/1995 ve znění článku 6 zákona 4821/2021</w:t>
            </w:r>
          </w:p>
        </w:tc>
        <w:tc>
          <w:tcPr>
            <w:tcW w:w="1003" w:type="dxa"/>
            <w:tcBorders>
              <w:top w:val="single" w:sz="4" w:space="0" w:color="auto"/>
              <w:left w:val="nil"/>
              <w:bottom w:val="single" w:sz="4" w:space="0" w:color="auto"/>
              <w:right w:val="single" w:sz="4" w:space="0" w:color="auto"/>
            </w:tcBorders>
            <w:shd w:val="clear" w:color="auto" w:fill="C6EFCE"/>
            <w:noWrap/>
          </w:tcPr>
          <w:p w14:paraId="4446CEBA" w14:textId="77777777" w:rsidR="00515398" w:rsidRDefault="006711E6">
            <w:pPr>
              <w:pStyle w:val="P68B1DB1-Normal9"/>
              <w:spacing w:after="0" w:line="240" w:lineRule="auto"/>
              <w:rPr>
                <w:rFonts w:eastAsia="Times New Roman" w:cs="Calibri"/>
                <w:noProof/>
                <w:szCs w:val="18"/>
              </w:rPr>
            </w:pPr>
            <w:r>
              <w:rPr>
                <w:noProof/>
              </w:rPr>
              <w:t>85 %</w:t>
            </w:r>
          </w:p>
        </w:tc>
        <w:tc>
          <w:tcPr>
            <w:tcW w:w="876" w:type="dxa"/>
            <w:tcBorders>
              <w:top w:val="single" w:sz="4" w:space="0" w:color="auto"/>
              <w:left w:val="nil"/>
              <w:bottom w:val="single" w:sz="4" w:space="0" w:color="auto"/>
              <w:right w:val="single" w:sz="4" w:space="0" w:color="auto"/>
            </w:tcBorders>
            <w:shd w:val="clear" w:color="auto" w:fill="C6EFCE"/>
            <w:noWrap/>
          </w:tcPr>
          <w:p w14:paraId="6B7596FA" w14:textId="77777777" w:rsidR="00515398" w:rsidRDefault="006711E6">
            <w:pPr>
              <w:pStyle w:val="P68B1DB1-Normal9"/>
              <w:spacing w:after="0" w:line="240" w:lineRule="auto"/>
              <w:rPr>
                <w:rFonts w:eastAsia="Times New Roman" w:cs="Calibri"/>
                <w:noProof/>
                <w:szCs w:val="18"/>
              </w:rPr>
            </w:pPr>
            <w:r>
              <w:rPr>
                <w:noProof/>
              </w:rPr>
              <w:t>95 %</w:t>
            </w:r>
          </w:p>
        </w:tc>
        <w:tc>
          <w:tcPr>
            <w:tcW w:w="846" w:type="dxa"/>
            <w:tcBorders>
              <w:top w:val="single" w:sz="4" w:space="0" w:color="auto"/>
              <w:left w:val="nil"/>
              <w:bottom w:val="single" w:sz="4" w:space="0" w:color="auto"/>
              <w:right w:val="single" w:sz="4" w:space="0" w:color="auto"/>
            </w:tcBorders>
            <w:shd w:val="clear" w:color="auto" w:fill="C6EFCE"/>
            <w:noWrap/>
          </w:tcPr>
          <w:p w14:paraId="192DD3C2" w14:textId="77777777" w:rsidR="00515398" w:rsidRDefault="006711E6">
            <w:pPr>
              <w:pStyle w:val="P68B1DB1-Normal9"/>
              <w:spacing w:after="0" w:line="240" w:lineRule="auto"/>
              <w:rPr>
                <w:rFonts w:eastAsia="Times New Roman" w:cs="Calibri"/>
                <w:noProof/>
                <w:szCs w:val="18"/>
              </w:rPr>
            </w:pPr>
            <w:r>
              <w:rPr>
                <w:noProof/>
              </w:rPr>
              <w:t>ČTVRTLETÍ</w:t>
            </w:r>
          </w:p>
        </w:tc>
        <w:tc>
          <w:tcPr>
            <w:tcW w:w="673" w:type="dxa"/>
            <w:tcBorders>
              <w:top w:val="single" w:sz="4" w:space="0" w:color="auto"/>
              <w:left w:val="nil"/>
              <w:bottom w:val="single" w:sz="4" w:space="0" w:color="auto"/>
              <w:right w:val="single" w:sz="4" w:space="0" w:color="auto"/>
            </w:tcBorders>
            <w:shd w:val="clear" w:color="auto" w:fill="C6EFCE"/>
            <w:noWrap/>
          </w:tcPr>
          <w:p w14:paraId="0E21725A" w14:textId="77777777" w:rsidR="00515398" w:rsidRDefault="006711E6">
            <w:pPr>
              <w:pStyle w:val="P68B1DB1-Normal9"/>
              <w:spacing w:after="0" w:line="240" w:lineRule="auto"/>
              <w:rPr>
                <w:rFonts w:eastAsia="Times New Roman" w:cs="Calibri"/>
                <w:noProof/>
                <w:szCs w:val="18"/>
              </w:rPr>
            </w:pPr>
            <w:r>
              <w:rPr>
                <w:noProof/>
              </w:rPr>
              <w:t>2024</w:t>
            </w:r>
          </w:p>
        </w:tc>
        <w:tc>
          <w:tcPr>
            <w:tcW w:w="3847" w:type="dxa"/>
            <w:tcBorders>
              <w:top w:val="single" w:sz="4" w:space="0" w:color="auto"/>
              <w:left w:val="nil"/>
              <w:bottom w:val="single" w:sz="4" w:space="0" w:color="auto"/>
              <w:right w:val="single" w:sz="4" w:space="0" w:color="auto"/>
            </w:tcBorders>
            <w:shd w:val="clear" w:color="auto" w:fill="C6EFCE"/>
            <w:noWrap/>
          </w:tcPr>
          <w:p w14:paraId="342C9501" w14:textId="77777777" w:rsidR="00515398" w:rsidRDefault="006711E6">
            <w:pPr>
              <w:pStyle w:val="P68B1DB1-Normal9"/>
              <w:spacing w:after="0" w:line="240" w:lineRule="auto"/>
              <w:rPr>
                <w:rFonts w:eastAsia="Times New Roman" w:cs="Calibri"/>
                <w:noProof/>
                <w:szCs w:val="18"/>
              </w:rPr>
            </w:pPr>
            <w:r>
              <w:rPr>
                <w:noProof/>
              </w:rPr>
              <w:t>95 % řeckých vlastnických práv se dostalo do fáze veřejného vystavování.</w:t>
            </w:r>
          </w:p>
        </w:tc>
      </w:tr>
      <w:tr w:rsidR="00515398" w14:paraId="40FEB1F0"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4858AF7" w14:textId="77777777" w:rsidR="00515398" w:rsidRDefault="006711E6">
            <w:pPr>
              <w:pStyle w:val="P68B1DB1-Normal9"/>
              <w:spacing w:after="0" w:line="240" w:lineRule="auto"/>
              <w:rPr>
                <w:rFonts w:eastAsia="Times New Roman" w:cs="Calibri"/>
                <w:noProof/>
                <w:szCs w:val="18"/>
              </w:rPr>
            </w:pPr>
            <w:r>
              <w:rPr>
                <w:noProof/>
              </w:rPr>
              <w:t>343</w:t>
            </w:r>
          </w:p>
        </w:tc>
        <w:tc>
          <w:tcPr>
            <w:tcW w:w="2146" w:type="dxa"/>
            <w:tcBorders>
              <w:top w:val="single" w:sz="4" w:space="0" w:color="auto"/>
              <w:left w:val="nil"/>
              <w:bottom w:val="single" w:sz="4" w:space="0" w:color="auto"/>
              <w:right w:val="single" w:sz="4" w:space="0" w:color="auto"/>
            </w:tcBorders>
            <w:shd w:val="clear" w:color="auto" w:fill="C6EFCE"/>
            <w:noWrap/>
          </w:tcPr>
          <w:p w14:paraId="72310077" w14:textId="77777777" w:rsidR="00515398" w:rsidRDefault="006711E6">
            <w:pPr>
              <w:pStyle w:val="P68B1DB1-Normal9"/>
              <w:spacing w:after="0" w:line="240" w:lineRule="auto"/>
              <w:rPr>
                <w:rFonts w:eastAsia="Times New Roman" w:cs="Calibri"/>
                <w:noProof/>
                <w:szCs w:val="18"/>
              </w:rPr>
            </w:pPr>
            <w:r>
              <w:rPr>
                <w:noProof/>
              </w:rPr>
              <w:t xml:space="preserve">13–4. Modernizovat veřejnou správu, mimo jiné urychlením provádění veřejných investic, zlepšením rámce pro zadávání veřejných zakázek, opatřeními na budování kapacit a bojem proti korupci – 16986_Dokončení národního katastru </w:t>
            </w:r>
          </w:p>
        </w:tc>
        <w:tc>
          <w:tcPr>
            <w:tcW w:w="1063" w:type="dxa"/>
            <w:tcBorders>
              <w:top w:val="single" w:sz="4" w:space="0" w:color="auto"/>
              <w:left w:val="nil"/>
              <w:bottom w:val="single" w:sz="4" w:space="0" w:color="auto"/>
              <w:right w:val="single" w:sz="4" w:space="0" w:color="auto"/>
            </w:tcBorders>
            <w:shd w:val="clear" w:color="auto" w:fill="C6EFCE"/>
            <w:noWrap/>
          </w:tcPr>
          <w:p w14:paraId="5CEBD428" w14:textId="77777777" w:rsidR="00515398" w:rsidRDefault="006711E6">
            <w:pPr>
              <w:pStyle w:val="P68B1DB1-Normal9"/>
              <w:spacing w:after="0" w:line="240" w:lineRule="auto"/>
              <w:rPr>
                <w:rFonts w:eastAsia="Times New Roman" w:cs="Calibri"/>
                <w:noProof/>
                <w:szCs w:val="18"/>
              </w:rPr>
            </w:pPr>
            <w:r>
              <w:rPr>
                <w:noProof/>
              </w:rPr>
              <w:t>Milník</w:t>
            </w:r>
          </w:p>
        </w:tc>
        <w:tc>
          <w:tcPr>
            <w:tcW w:w="1712" w:type="dxa"/>
            <w:tcBorders>
              <w:top w:val="single" w:sz="4" w:space="0" w:color="auto"/>
              <w:left w:val="nil"/>
              <w:bottom w:val="single" w:sz="4" w:space="0" w:color="auto"/>
              <w:right w:val="single" w:sz="4" w:space="0" w:color="auto"/>
            </w:tcBorders>
            <w:shd w:val="clear" w:color="auto" w:fill="C6EFCE"/>
            <w:noWrap/>
          </w:tcPr>
          <w:p w14:paraId="5E36F758" w14:textId="6393256B" w:rsidR="00515398" w:rsidRDefault="006711E6">
            <w:pPr>
              <w:pStyle w:val="P68B1DB1-Normal9"/>
              <w:spacing w:after="0" w:line="240" w:lineRule="auto"/>
              <w:rPr>
                <w:rFonts w:eastAsia="Times New Roman" w:cs="Calibri"/>
                <w:noProof/>
                <w:szCs w:val="18"/>
              </w:rPr>
            </w:pPr>
            <w:r>
              <w:rPr>
                <w:noProof/>
              </w:rPr>
              <w:t>Přechod na novou organi</w:t>
            </w:r>
            <w:r>
              <w:rPr>
                <w:noProof/>
              </w:rPr>
              <w:t>zační strukturu řeckého katastru – úplné dokončení</w:t>
            </w:r>
          </w:p>
        </w:tc>
        <w:tc>
          <w:tcPr>
            <w:tcW w:w="1552" w:type="dxa"/>
            <w:tcBorders>
              <w:top w:val="single" w:sz="4" w:space="0" w:color="auto"/>
              <w:left w:val="nil"/>
              <w:bottom w:val="single" w:sz="4" w:space="0" w:color="auto"/>
              <w:right w:val="single" w:sz="4" w:space="0" w:color="auto"/>
            </w:tcBorders>
            <w:shd w:val="clear" w:color="auto" w:fill="C6EFCE"/>
            <w:noWrap/>
          </w:tcPr>
          <w:p w14:paraId="7DBBCB9F" w14:textId="1F0F65FF" w:rsidR="00515398" w:rsidRDefault="006711E6">
            <w:pPr>
              <w:spacing w:after="0" w:line="240" w:lineRule="auto"/>
              <w:rPr>
                <w:rFonts w:eastAsia="Times New Roman" w:cs="Calibri"/>
                <w:noProof/>
                <w:color w:val="006100"/>
                <w:sz w:val="18"/>
                <w:szCs w:val="18"/>
              </w:rPr>
            </w:pPr>
            <w:r>
              <w:rPr>
                <w:noProof/>
                <w:color w:val="006100"/>
                <w:sz w:val="18"/>
              </w:rPr>
              <w:t>Oficiální rozhodnutí správní rady řeckého katastru o otevření a zprovoznění katastrálních úřadů</w:t>
            </w:r>
            <w:r>
              <w:rPr>
                <w:noProof/>
              </w:rPr>
              <w:t xml:space="preserve"> </w:t>
            </w:r>
            <w:r>
              <w:rPr>
                <w:noProof/>
                <w:color w:val="006100"/>
                <w:sz w:val="18"/>
              </w:rPr>
              <w:t>a poboček na celém řeckém území a o uzavření starých hypotečních úřadů.</w:t>
            </w:r>
          </w:p>
        </w:tc>
        <w:tc>
          <w:tcPr>
            <w:tcW w:w="1126" w:type="dxa"/>
            <w:tcBorders>
              <w:top w:val="single" w:sz="4" w:space="0" w:color="auto"/>
              <w:left w:val="nil"/>
              <w:bottom w:val="single" w:sz="4" w:space="0" w:color="auto"/>
              <w:right w:val="single" w:sz="4" w:space="0" w:color="auto"/>
            </w:tcBorders>
            <w:shd w:val="clear" w:color="auto" w:fill="C6EFCE"/>
            <w:noWrap/>
          </w:tcPr>
          <w:p w14:paraId="287F9F1B" w14:textId="77777777" w:rsidR="00515398" w:rsidRDefault="00515398">
            <w:pPr>
              <w:spacing w:after="0" w:line="240" w:lineRule="auto"/>
              <w:rPr>
                <w:rFonts w:eastAsia="Times New Roman" w:cs="Calibri"/>
                <w:noProof/>
                <w:color w:val="006100"/>
                <w:sz w:val="18"/>
                <w:szCs w:val="18"/>
              </w:rPr>
            </w:pPr>
          </w:p>
        </w:tc>
        <w:tc>
          <w:tcPr>
            <w:tcW w:w="1003" w:type="dxa"/>
            <w:tcBorders>
              <w:top w:val="single" w:sz="4" w:space="0" w:color="auto"/>
              <w:left w:val="nil"/>
              <w:bottom w:val="single" w:sz="4" w:space="0" w:color="auto"/>
              <w:right w:val="single" w:sz="4" w:space="0" w:color="auto"/>
            </w:tcBorders>
            <w:shd w:val="clear" w:color="auto" w:fill="C6EFCE"/>
            <w:noWrap/>
          </w:tcPr>
          <w:p w14:paraId="43078A87" w14:textId="77777777" w:rsidR="00515398" w:rsidRDefault="00515398">
            <w:pPr>
              <w:spacing w:after="0" w:line="240" w:lineRule="auto"/>
              <w:rPr>
                <w:rFonts w:eastAsia="Times New Roman" w:cs="Calibri"/>
                <w:noProof/>
                <w:color w:val="006100"/>
                <w:sz w:val="18"/>
                <w:szCs w:val="18"/>
              </w:rPr>
            </w:pPr>
          </w:p>
        </w:tc>
        <w:tc>
          <w:tcPr>
            <w:tcW w:w="876" w:type="dxa"/>
            <w:tcBorders>
              <w:top w:val="single" w:sz="4" w:space="0" w:color="auto"/>
              <w:left w:val="nil"/>
              <w:bottom w:val="single" w:sz="4" w:space="0" w:color="auto"/>
              <w:right w:val="single" w:sz="4" w:space="0" w:color="auto"/>
            </w:tcBorders>
            <w:shd w:val="clear" w:color="auto" w:fill="C6EFCE"/>
            <w:noWrap/>
          </w:tcPr>
          <w:p w14:paraId="135A2DF8"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5A23D2B" w14:textId="77777777" w:rsidR="00515398" w:rsidRDefault="006711E6">
            <w:pPr>
              <w:pStyle w:val="P68B1DB1-Normal9"/>
              <w:spacing w:after="0" w:line="240" w:lineRule="auto"/>
              <w:rPr>
                <w:rFonts w:eastAsia="Times New Roman" w:cs="Calibri"/>
                <w:noProof/>
                <w:szCs w:val="18"/>
              </w:rPr>
            </w:pPr>
            <w:r>
              <w:rPr>
                <w:noProof/>
              </w:rPr>
              <w:t>ČTVRTLETÍ</w:t>
            </w:r>
          </w:p>
        </w:tc>
        <w:tc>
          <w:tcPr>
            <w:tcW w:w="673" w:type="dxa"/>
            <w:tcBorders>
              <w:top w:val="single" w:sz="4" w:space="0" w:color="auto"/>
              <w:left w:val="nil"/>
              <w:bottom w:val="single" w:sz="4" w:space="0" w:color="auto"/>
              <w:right w:val="single" w:sz="4" w:space="0" w:color="auto"/>
            </w:tcBorders>
            <w:shd w:val="clear" w:color="auto" w:fill="C6EFCE"/>
            <w:noWrap/>
          </w:tcPr>
          <w:p w14:paraId="3C114555" w14:textId="77777777" w:rsidR="00515398" w:rsidRDefault="006711E6">
            <w:pPr>
              <w:pStyle w:val="P68B1DB1-Normal9"/>
              <w:spacing w:after="0" w:line="240" w:lineRule="auto"/>
              <w:rPr>
                <w:rFonts w:eastAsia="Times New Roman" w:cs="Calibri"/>
                <w:noProof/>
                <w:szCs w:val="18"/>
              </w:rPr>
            </w:pPr>
            <w:r>
              <w:rPr>
                <w:noProof/>
              </w:rPr>
              <w:t>2024</w:t>
            </w:r>
          </w:p>
        </w:tc>
        <w:tc>
          <w:tcPr>
            <w:tcW w:w="3847" w:type="dxa"/>
            <w:tcBorders>
              <w:top w:val="single" w:sz="4" w:space="0" w:color="auto"/>
              <w:left w:val="nil"/>
              <w:bottom w:val="single" w:sz="4" w:space="0" w:color="auto"/>
              <w:right w:val="single" w:sz="4" w:space="0" w:color="auto"/>
            </w:tcBorders>
            <w:shd w:val="clear" w:color="auto" w:fill="C6EFCE"/>
            <w:noWrap/>
          </w:tcPr>
          <w:p w14:paraId="1041A25E" w14:textId="7DAB3AB4" w:rsidR="00515398" w:rsidRDefault="006711E6">
            <w:pPr>
              <w:pStyle w:val="P68B1DB1-Normal9"/>
              <w:spacing w:after="0" w:line="240" w:lineRule="auto"/>
              <w:rPr>
                <w:rFonts w:eastAsia="Times New Roman" w:cs="Calibri"/>
                <w:noProof/>
                <w:szCs w:val="18"/>
              </w:rPr>
            </w:pPr>
            <w:r>
              <w:rPr>
                <w:noProof/>
              </w:rPr>
              <w:t xml:space="preserve">Po přijetí </w:t>
            </w:r>
            <w:r>
              <w:rPr>
                <w:noProof/>
              </w:rPr>
              <w:t>oficiálních rozhodnutí správní rady řeckého katastru je dokončen přechod na novou organizační strukturu řeckého katastru. Konkrétně i) zbývající katastrální úřady pro regiony Soluň, Kréta a Dodecanese jsou otevřené a funkční; zbývajících 18 poboček je otev</w:t>
            </w:r>
            <w:r>
              <w:rPr>
                <w:noProof/>
              </w:rPr>
              <w:t>řené a funkční; a iii) zbývajících 223 starých hypotečních úřadů je uzavřeno.</w:t>
            </w:r>
          </w:p>
        </w:tc>
      </w:tr>
      <w:tr w:rsidR="00515398" w14:paraId="010F40F9"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5FD0A19" w14:textId="77777777" w:rsidR="00515398" w:rsidRDefault="006711E6">
            <w:pPr>
              <w:pStyle w:val="P68B1DB1-Normal9"/>
              <w:spacing w:after="0" w:line="240" w:lineRule="auto"/>
              <w:rPr>
                <w:rFonts w:eastAsia="Times New Roman" w:cs="Calibri"/>
                <w:noProof/>
                <w:szCs w:val="18"/>
              </w:rPr>
            </w:pPr>
            <w:r>
              <w:rPr>
                <w:noProof/>
              </w:rPr>
              <w:t>344</w:t>
            </w:r>
          </w:p>
        </w:tc>
        <w:tc>
          <w:tcPr>
            <w:tcW w:w="2146" w:type="dxa"/>
            <w:tcBorders>
              <w:top w:val="single" w:sz="4" w:space="0" w:color="auto"/>
              <w:left w:val="nil"/>
              <w:bottom w:val="single" w:sz="4" w:space="0" w:color="auto"/>
              <w:right w:val="single" w:sz="4" w:space="0" w:color="auto"/>
            </w:tcBorders>
            <w:shd w:val="clear" w:color="auto" w:fill="C6EFCE"/>
            <w:noWrap/>
          </w:tcPr>
          <w:p w14:paraId="5779269D" w14:textId="77777777" w:rsidR="00515398" w:rsidRDefault="006711E6">
            <w:pPr>
              <w:pStyle w:val="P68B1DB1-Normal9"/>
              <w:spacing w:after="0" w:line="240" w:lineRule="auto"/>
              <w:rPr>
                <w:rFonts w:eastAsia="Times New Roman" w:cs="Calibri"/>
                <w:noProof/>
                <w:szCs w:val="18"/>
              </w:rPr>
            </w:pPr>
            <w:r>
              <w:rPr>
                <w:noProof/>
              </w:rPr>
              <w:t>13–4. Modernizovat veřejnou správu, mimo jiné urychlením provádění veřejných investic, zlepšením rámce pro zadávání veřejných zakázek, opatřeními na budování kapacit a bojem</w:t>
            </w:r>
            <w:r>
              <w:rPr>
                <w:noProof/>
              </w:rPr>
              <w:t xml:space="preserve"> proti korupci – 16986_Dokončení národního katastru</w:t>
            </w:r>
          </w:p>
        </w:tc>
        <w:tc>
          <w:tcPr>
            <w:tcW w:w="1063" w:type="dxa"/>
            <w:tcBorders>
              <w:top w:val="single" w:sz="4" w:space="0" w:color="auto"/>
              <w:left w:val="nil"/>
              <w:bottom w:val="single" w:sz="4" w:space="0" w:color="auto"/>
              <w:right w:val="single" w:sz="4" w:space="0" w:color="auto"/>
            </w:tcBorders>
            <w:shd w:val="clear" w:color="auto" w:fill="C6EFCE"/>
            <w:noWrap/>
          </w:tcPr>
          <w:p w14:paraId="5DCB4474" w14:textId="77777777" w:rsidR="00515398" w:rsidRDefault="006711E6">
            <w:pPr>
              <w:pStyle w:val="P68B1DB1-Normal9"/>
              <w:spacing w:after="0" w:line="240" w:lineRule="auto"/>
              <w:rPr>
                <w:rFonts w:eastAsia="Times New Roman" w:cs="Calibri"/>
                <w:noProof/>
                <w:szCs w:val="18"/>
              </w:rPr>
            </w:pPr>
            <w:r>
              <w:rPr>
                <w:noProof/>
              </w:rPr>
              <w:t>Cílová</w:t>
            </w:r>
          </w:p>
        </w:tc>
        <w:tc>
          <w:tcPr>
            <w:tcW w:w="1712" w:type="dxa"/>
            <w:tcBorders>
              <w:top w:val="single" w:sz="4" w:space="0" w:color="auto"/>
              <w:left w:val="nil"/>
              <w:bottom w:val="single" w:sz="4" w:space="0" w:color="auto"/>
              <w:right w:val="single" w:sz="4" w:space="0" w:color="auto"/>
            </w:tcBorders>
            <w:shd w:val="clear" w:color="auto" w:fill="C6EFCE"/>
            <w:noWrap/>
          </w:tcPr>
          <w:p w14:paraId="5A0DF3CD" w14:textId="77777777" w:rsidR="00515398" w:rsidRDefault="006711E6">
            <w:pPr>
              <w:pStyle w:val="P68B1DB1-Normal9"/>
              <w:spacing w:after="0" w:line="240" w:lineRule="auto"/>
              <w:rPr>
                <w:rFonts w:eastAsia="Times New Roman" w:cs="Calibri"/>
                <w:noProof/>
                <w:szCs w:val="18"/>
              </w:rPr>
            </w:pPr>
            <w:r>
              <w:rPr>
                <w:noProof/>
              </w:rPr>
              <w:t>Katastrální mapování – úplné dokončení</w:t>
            </w:r>
          </w:p>
        </w:tc>
        <w:tc>
          <w:tcPr>
            <w:tcW w:w="1552" w:type="dxa"/>
            <w:tcBorders>
              <w:top w:val="single" w:sz="4" w:space="0" w:color="auto"/>
              <w:left w:val="nil"/>
              <w:bottom w:val="single" w:sz="4" w:space="0" w:color="auto"/>
              <w:right w:val="single" w:sz="4" w:space="0" w:color="auto"/>
            </w:tcBorders>
            <w:shd w:val="clear" w:color="auto" w:fill="C6EFCE"/>
            <w:noWrap/>
          </w:tcPr>
          <w:p w14:paraId="644EDB42" w14:textId="77777777" w:rsidR="00515398" w:rsidRDefault="00515398">
            <w:pPr>
              <w:spacing w:after="0" w:line="240" w:lineRule="auto"/>
              <w:rPr>
                <w:rFonts w:eastAsia="Times New Roman" w:cs="Calibri"/>
                <w:noProof/>
                <w:color w:val="006100"/>
                <w:sz w:val="18"/>
                <w:szCs w:val="18"/>
              </w:rPr>
            </w:pPr>
          </w:p>
        </w:tc>
        <w:tc>
          <w:tcPr>
            <w:tcW w:w="1126" w:type="dxa"/>
            <w:tcBorders>
              <w:top w:val="single" w:sz="4" w:space="0" w:color="auto"/>
              <w:left w:val="nil"/>
              <w:bottom w:val="single" w:sz="4" w:space="0" w:color="auto"/>
              <w:right w:val="single" w:sz="4" w:space="0" w:color="auto"/>
            </w:tcBorders>
            <w:shd w:val="clear" w:color="auto" w:fill="C6EFCE"/>
            <w:noWrap/>
          </w:tcPr>
          <w:p w14:paraId="403E605F" w14:textId="2CF806A6" w:rsidR="00515398" w:rsidRDefault="006711E6">
            <w:pPr>
              <w:pStyle w:val="P68B1DB1-Normal9"/>
              <w:spacing w:after="0" w:line="240" w:lineRule="auto"/>
              <w:rPr>
                <w:rFonts w:eastAsia="Times New Roman" w:cs="Calibri"/>
                <w:noProof/>
                <w:szCs w:val="18"/>
              </w:rPr>
            </w:pPr>
            <w:r>
              <w:rPr>
                <w:noProof/>
              </w:rPr>
              <w:t>% celkových vlastnických práv nahraných pro veřejné zobrazení podle ustanovení zákona 2308/1995 ve znění článku 6 zákona 4821/2021</w:t>
            </w:r>
          </w:p>
        </w:tc>
        <w:tc>
          <w:tcPr>
            <w:tcW w:w="1003" w:type="dxa"/>
            <w:tcBorders>
              <w:top w:val="single" w:sz="4" w:space="0" w:color="auto"/>
              <w:left w:val="nil"/>
              <w:bottom w:val="single" w:sz="4" w:space="0" w:color="auto"/>
              <w:right w:val="single" w:sz="4" w:space="0" w:color="auto"/>
            </w:tcBorders>
            <w:shd w:val="clear" w:color="auto" w:fill="C6EFCE"/>
            <w:noWrap/>
          </w:tcPr>
          <w:p w14:paraId="3403FDD8" w14:textId="77777777" w:rsidR="00515398" w:rsidRDefault="006711E6">
            <w:pPr>
              <w:pStyle w:val="P68B1DB1-Normal9"/>
              <w:spacing w:after="0" w:line="240" w:lineRule="auto"/>
              <w:rPr>
                <w:rFonts w:eastAsia="Times New Roman" w:cs="Calibri"/>
                <w:noProof/>
                <w:szCs w:val="18"/>
              </w:rPr>
            </w:pPr>
            <w:r>
              <w:rPr>
                <w:noProof/>
              </w:rPr>
              <w:t>95 %</w:t>
            </w:r>
          </w:p>
        </w:tc>
        <w:tc>
          <w:tcPr>
            <w:tcW w:w="876" w:type="dxa"/>
            <w:tcBorders>
              <w:top w:val="single" w:sz="4" w:space="0" w:color="auto"/>
              <w:left w:val="nil"/>
              <w:bottom w:val="single" w:sz="4" w:space="0" w:color="auto"/>
              <w:right w:val="single" w:sz="4" w:space="0" w:color="auto"/>
            </w:tcBorders>
            <w:shd w:val="clear" w:color="auto" w:fill="C6EFCE"/>
            <w:noWrap/>
          </w:tcPr>
          <w:p w14:paraId="182E1F70" w14:textId="77777777" w:rsidR="00515398" w:rsidRDefault="006711E6">
            <w:pPr>
              <w:pStyle w:val="P68B1DB1-Normal9"/>
              <w:spacing w:after="0" w:line="240" w:lineRule="auto"/>
              <w:rPr>
                <w:rFonts w:eastAsia="Times New Roman" w:cs="Calibri"/>
                <w:noProof/>
                <w:szCs w:val="18"/>
              </w:rPr>
            </w:pPr>
            <w:r>
              <w:rPr>
                <w:noProof/>
              </w:rPr>
              <w:t>100 %</w:t>
            </w:r>
          </w:p>
        </w:tc>
        <w:tc>
          <w:tcPr>
            <w:tcW w:w="846" w:type="dxa"/>
            <w:tcBorders>
              <w:top w:val="single" w:sz="4" w:space="0" w:color="auto"/>
              <w:left w:val="nil"/>
              <w:bottom w:val="single" w:sz="4" w:space="0" w:color="auto"/>
              <w:right w:val="single" w:sz="4" w:space="0" w:color="auto"/>
            </w:tcBorders>
            <w:shd w:val="clear" w:color="auto" w:fill="C6EFCE"/>
            <w:noWrap/>
          </w:tcPr>
          <w:p w14:paraId="3C78C89B" w14:textId="77777777" w:rsidR="00515398" w:rsidRDefault="006711E6">
            <w:pPr>
              <w:pStyle w:val="P68B1DB1-Normal9"/>
              <w:spacing w:after="0" w:line="240" w:lineRule="auto"/>
              <w:rPr>
                <w:rFonts w:eastAsia="Times New Roman" w:cs="Calibri"/>
                <w:noProof/>
                <w:szCs w:val="18"/>
              </w:rPr>
            </w:pPr>
            <w:r>
              <w:rPr>
                <w:noProof/>
              </w:rPr>
              <w:t>ČTVRTLETÍ</w:t>
            </w:r>
          </w:p>
        </w:tc>
        <w:tc>
          <w:tcPr>
            <w:tcW w:w="673" w:type="dxa"/>
            <w:tcBorders>
              <w:top w:val="single" w:sz="4" w:space="0" w:color="auto"/>
              <w:left w:val="nil"/>
              <w:bottom w:val="single" w:sz="4" w:space="0" w:color="auto"/>
              <w:right w:val="single" w:sz="4" w:space="0" w:color="auto"/>
            </w:tcBorders>
            <w:shd w:val="clear" w:color="auto" w:fill="C6EFCE"/>
            <w:noWrap/>
          </w:tcPr>
          <w:p w14:paraId="00B4AFA4" w14:textId="77777777" w:rsidR="00515398" w:rsidRDefault="006711E6">
            <w:pPr>
              <w:pStyle w:val="P68B1DB1-Normal9"/>
              <w:spacing w:after="0" w:line="240" w:lineRule="auto"/>
              <w:rPr>
                <w:rFonts w:eastAsia="Times New Roman" w:cs="Calibri"/>
                <w:noProof/>
                <w:szCs w:val="18"/>
              </w:rPr>
            </w:pPr>
            <w:r>
              <w:rPr>
                <w:noProof/>
              </w:rPr>
              <w:t>2025</w:t>
            </w:r>
          </w:p>
        </w:tc>
        <w:tc>
          <w:tcPr>
            <w:tcW w:w="3847" w:type="dxa"/>
            <w:tcBorders>
              <w:top w:val="single" w:sz="4" w:space="0" w:color="auto"/>
              <w:left w:val="nil"/>
              <w:bottom w:val="single" w:sz="4" w:space="0" w:color="auto"/>
              <w:right w:val="single" w:sz="4" w:space="0" w:color="auto"/>
            </w:tcBorders>
            <w:shd w:val="clear" w:color="auto" w:fill="C6EFCE"/>
            <w:noWrap/>
          </w:tcPr>
          <w:p w14:paraId="2EC2C513" w14:textId="77777777" w:rsidR="00515398" w:rsidRDefault="006711E6">
            <w:pPr>
              <w:pStyle w:val="P68B1DB1-Normal9"/>
              <w:spacing w:after="0" w:line="240" w:lineRule="auto"/>
              <w:rPr>
                <w:rFonts w:eastAsia="Times New Roman" w:cs="Calibri"/>
                <w:noProof/>
                <w:szCs w:val="18"/>
              </w:rPr>
            </w:pPr>
            <w:r>
              <w:rPr>
                <w:noProof/>
              </w:rPr>
              <w:t>Bylo dokončeno katastrální mapování vlastnických práv v Řecku, přičemž všechna vlastnická práva na celém území Řecka se dostala do fáze veřejného vystavení.</w:t>
            </w:r>
          </w:p>
        </w:tc>
      </w:tr>
    </w:tbl>
    <w:p w14:paraId="48EFC02C" w14:textId="77777777" w:rsidR="00515398" w:rsidRDefault="00515398">
      <w:pPr>
        <w:spacing w:before="120" w:after="120" w:line="240" w:lineRule="auto"/>
        <w:ind w:left="709"/>
        <w:jc w:val="both"/>
        <w:rPr>
          <w:rFonts w:ascii="Times New Roman" w:hAnsi="Times New Roman" w:cs="Times New Roman"/>
          <w:noProof/>
          <w:sz w:val="24"/>
          <w:szCs w:val="24"/>
        </w:rPr>
      </w:pPr>
    </w:p>
    <w:p w14:paraId="6A77A2B0"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29"/>
          <w:headerReference w:type="default" r:id="rId230"/>
          <w:footerReference w:type="even" r:id="rId231"/>
          <w:footerReference w:type="default" r:id="rId232"/>
          <w:headerReference w:type="first" r:id="rId233"/>
          <w:footerReference w:type="first" r:id="rId234"/>
          <w:pgSz w:w="16839" w:h="11907" w:orient="landscape"/>
          <w:pgMar w:top="720" w:right="720" w:bottom="720" w:left="720" w:header="709" w:footer="0" w:gutter="0"/>
          <w:cols w:space="720"/>
          <w:docGrid w:linePitch="360"/>
        </w:sectPr>
      </w:pPr>
    </w:p>
    <w:p w14:paraId="0AA93CB1" w14:textId="77777777" w:rsidR="00515398" w:rsidRDefault="006711E6">
      <w:pPr>
        <w:pStyle w:val="P68B1DB1-Normal2"/>
        <w:spacing w:before="120" w:after="120" w:line="240" w:lineRule="auto"/>
        <w:ind w:firstLine="6"/>
        <w:jc w:val="both"/>
        <w:outlineLvl w:val="3"/>
        <w:rPr>
          <w:rFonts w:cs="Times New Roman"/>
          <w:bCs/>
          <w:noProof/>
        </w:rPr>
      </w:pPr>
      <w:r>
        <w:rPr>
          <w:noProof/>
        </w:rPr>
        <w:t xml:space="preserve">N. SLOŽKA 4.3: ZLEPŠIT ÚČINNOST </w:t>
      </w:r>
      <w:r>
        <w:rPr>
          <w:noProof/>
        </w:rPr>
        <w:t>SOUDNÍHO SYSTÉMU</w:t>
      </w:r>
    </w:p>
    <w:p w14:paraId="198A045B" w14:textId="77777777" w:rsidR="00515398" w:rsidRDefault="006711E6">
      <w:pPr>
        <w:pStyle w:val="P68B1DB1-Normal4"/>
        <w:spacing w:before="120" w:after="120" w:line="240" w:lineRule="auto"/>
        <w:jc w:val="both"/>
        <w:rPr>
          <w:rFonts w:cs="Times New Roman"/>
          <w:noProof/>
        </w:rPr>
      </w:pPr>
      <w:r>
        <w:rPr>
          <w:noProof/>
        </w:rPr>
        <w:t xml:space="preserve">Tato složka řeckého plánu pro oživení a odolnost zahrnuje řadu rozsáhlých reforem, jakož i investice zaměřené na zvýšení účinnosti a účelnosti řeckého soudního systému zavedením ambiciózní revize soudní mapy země, řešením potřeb v oblasti </w:t>
      </w:r>
      <w:r>
        <w:rPr>
          <w:noProof/>
        </w:rPr>
        <w:t>infrastruktury, přijetím opatření ke zvýšení digitálních kapacit soudního systému, modernizací funkce soudů, zřízením soudní policie a rozšířením a zlepšením vzdělávání (počátečního i celoživotního) soudců a administrativních pracovníků. Očekává se, že opa</w:t>
      </w:r>
      <w:r>
        <w:rPr>
          <w:noProof/>
        </w:rPr>
        <w:t>tření podpoří řešení výzev uvedených v doporučeních pro jednotlivé země týkajících se veřejných a soukromých investic (doporučení pro jednotlivé země č. 2 na rok 2019, doporučení pro jednotlivé země č. 3 z roku 2020) a strukturálních reforem ke zlepšení fu</w:t>
      </w:r>
      <w:r>
        <w:rPr>
          <w:noProof/>
        </w:rPr>
        <w:t>ngování hospodářství (doporučení pro jednotlivé země č. 4 2020). Očekává se, že žádné opatření v této složce významně nepoškozuje environmentální cíle ve smyslu článku 17 nařízení (EU) 2020/852, s přihlédnutím k popisu opatření a zmírňujícím krokům stanove</w:t>
      </w:r>
      <w:r>
        <w:rPr>
          <w:noProof/>
        </w:rPr>
        <w:t>ným v plánu pro oživení a odolnost v souladu s technickými pokyny „významně nepoškozovat“ (2021/C58/01).</w:t>
      </w:r>
    </w:p>
    <w:p w14:paraId="5ED5D76C"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N.1. </w:t>
      </w:r>
      <w:r>
        <w:rPr>
          <w:noProof/>
        </w:rPr>
        <w:t xml:space="preserve"> </w:t>
      </w:r>
      <w:r>
        <w:rPr>
          <w:rFonts w:ascii="Times New Roman" w:hAnsi="Times New Roman"/>
          <w:b/>
          <w:noProof/>
          <w:sz w:val="24"/>
          <w:u w:val="single"/>
        </w:rPr>
        <w:t>Popis reforem a investic pro nevratnou finanční podporu</w:t>
      </w:r>
    </w:p>
    <w:p w14:paraId="4CB62532" w14:textId="77777777" w:rsidR="00515398" w:rsidRDefault="006711E6">
      <w:pPr>
        <w:pStyle w:val="P68B1DB1-Normal4"/>
        <w:spacing w:before="120" w:after="120" w:line="240" w:lineRule="auto"/>
        <w:jc w:val="both"/>
        <w:rPr>
          <w:rFonts w:cs="Times New Roman"/>
          <w:noProof/>
        </w:rPr>
      </w:pPr>
      <w:r>
        <w:rPr>
          <w:b/>
          <w:noProof/>
        </w:rPr>
        <w:t xml:space="preserve">Investice: </w:t>
      </w:r>
      <w:r>
        <w:rPr>
          <w:noProof/>
        </w:rPr>
        <w:t xml:space="preserve">Nové soudní budovy </w:t>
      </w:r>
      <w:r>
        <w:rPr>
          <w:noProof/>
          <w:color w:val="000000"/>
        </w:rPr>
        <w:t>a renovace</w:t>
      </w:r>
      <w:r>
        <w:rPr>
          <w:noProof/>
        </w:rPr>
        <w:t xml:space="preserve"> (opatření ID 16292)</w:t>
      </w:r>
    </w:p>
    <w:p w14:paraId="02BDDCA3" w14:textId="7054B7B7" w:rsidR="00515398" w:rsidRDefault="006711E6">
      <w:pPr>
        <w:pStyle w:val="P68B1DB1-Normal4"/>
        <w:spacing w:before="120" w:after="120" w:line="240" w:lineRule="auto"/>
        <w:jc w:val="both"/>
        <w:rPr>
          <w:rFonts w:cs="Times New Roman"/>
          <w:noProof/>
        </w:rPr>
      </w:pPr>
      <w:r>
        <w:rPr>
          <w:noProof/>
        </w:rPr>
        <w:t xml:space="preserve">Opatření spočívá v cílených </w:t>
      </w:r>
      <w:r>
        <w:rPr>
          <w:noProof/>
        </w:rPr>
        <w:t>investicích do výstavby a renovace budov, které jsou součástí soudního systému, úzce souvisejících s revizí soudní mapy, aby se maximalizovala účinnost soudnictví a zabránilo zbytečnému úsilí a výdajům. Veškerý majetek, který ministerstvo spravedlnosti vla</w:t>
      </w:r>
      <w:r>
        <w:rPr>
          <w:noProof/>
        </w:rPr>
        <w:t>stní a poskytuje soudnictví, se zaznamená do stávající elektronické platformy, aby se usnadnilo monitorování a plánování. Všechny nově postavené budovy musí splňovat požadavek na primární energii, který je alespoň o 20 % nižší než požadavek na budovy s tém</w:t>
      </w:r>
      <w:r>
        <w:rPr>
          <w:noProof/>
        </w:rPr>
        <w:t xml:space="preserve">ěř nulovou spotřebou energie (budova s téměř nulovou spotřebou energie, vnitrostátní směrnice). Očekává se, že toto opatření významně nepoškodí environmentální cíle ve smyslu článku 17 nařízení (EU) 2020/852, s přihlédnutím k popisu opatření a zmírňujícím </w:t>
      </w:r>
      <w:r>
        <w:rPr>
          <w:noProof/>
        </w:rPr>
        <w:t>krokům stanoveným v plánu na podporu oživení a odolnosti v souladu s technickými pokyny „nezpůsobit významnou újmu“ (2021/C58/01). Opatření zejména vyžaduje, aby hospodářské subjekty provádějící stavební práce zajistily, že nejméně 70 % (hmotnostních) kons</w:t>
      </w:r>
      <w:r>
        <w:rPr>
          <w:noProof/>
        </w:rPr>
        <w:t>trukčních a demoličních odpadů neklasifikovaných jako nebezpečné (s výjimkou přirozeně se vyskytujících materiálů uvedených v kategorii 17 05 04 na evropském seznamu odpadů stanoveném rozhodnutím 2000/532/ES ze dne 3. května 2000, kterým se nahrazuje rozho</w:t>
      </w:r>
      <w:r>
        <w:rPr>
          <w:noProof/>
        </w:rPr>
        <w:t>dnutí 94/3/ES, kterým se stanoví seznam odpadů podle čl. 1 písm. a) směrnice Rady 75/442/EHS o odpadech a rozhodnutí Rady 94/904/ES, kterým se stanoví seznam nebezpečných odpadů ve smyslu čl. 1 odst. 4 směrnice Rady 91/689/EHS o nebezpečných odpadech (ozná</w:t>
      </w:r>
      <w:r>
        <w:rPr>
          <w:noProof/>
        </w:rPr>
        <w:t>meno pod číslem K(2000) 1147)) vzniklých na staveništi, bude připraveno k opětovnému použití, recyklace a jiné materiálové využití, včetně zasypávání odpadů za účelem nahrazení jiných materiálů, v souladu s hierarchií způsobů nakládání s odpady a protokole</w:t>
      </w:r>
      <w:r>
        <w:rPr>
          <w:noProof/>
        </w:rPr>
        <w:t>m EU o nakládání se stavebním a demoličním odpadem. Investice musí být provedena do 31. prosince 2025.</w:t>
      </w:r>
    </w:p>
    <w:p w14:paraId="48C61B27"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Digitální transformace soudnictví (e-justice) (opatření ID 16727)</w:t>
      </w:r>
    </w:p>
    <w:p w14:paraId="730C7B03" w14:textId="77777777" w:rsidR="00515398" w:rsidRDefault="006711E6">
      <w:pPr>
        <w:spacing w:before="120" w:after="120" w:line="240" w:lineRule="auto"/>
        <w:jc w:val="both"/>
        <w:rPr>
          <w:rFonts w:ascii="Times New Roman" w:hAnsi="Times New Roman" w:cs="Times New Roman"/>
          <w:noProof/>
          <w:sz w:val="24"/>
        </w:rPr>
      </w:pPr>
      <w:r>
        <w:rPr>
          <w:rFonts w:ascii="Times New Roman" w:hAnsi="Times New Roman"/>
          <w:noProof/>
          <w:sz w:val="24"/>
        </w:rPr>
        <w:t>Digitální transformace řeckého soudního systému se provádí pod dohledem minist</w:t>
      </w:r>
      <w:r>
        <w:rPr>
          <w:rFonts w:ascii="Times New Roman" w:hAnsi="Times New Roman"/>
          <w:noProof/>
          <w:sz w:val="24"/>
        </w:rPr>
        <w:t>erstva spravedlnosti a sestává ze souboru opatření, jejichž cílem je zvýšit jeho IT kapacity, pokud jde o digitalizaci dokumentů, zlepšení systému vedení záznamů soudů, zjednodušení, standardizaci a urychlení postupů prostřednictvím digitalizace a interope</w:t>
      </w:r>
      <w:r>
        <w:rPr>
          <w:rFonts w:ascii="Times New Roman" w:hAnsi="Times New Roman"/>
          <w:noProof/>
          <w:sz w:val="24"/>
        </w:rPr>
        <w:t>rabilitu informačních systémů soudů s informačními systémy ministerstva spravedlnosti, jakož i dalších vnitrostátních a mezinárodních orgánů a/nebo databází. Tato reforma se vztahuje na občanskoprávní a trestněprávní složky soudnictví, jakož i na Účetní dv</w:t>
      </w:r>
      <w:r>
        <w:rPr>
          <w:rFonts w:ascii="Times New Roman" w:hAnsi="Times New Roman"/>
          <w:noProof/>
          <w:sz w:val="24"/>
        </w:rPr>
        <w:t>ůr.</w:t>
      </w:r>
      <w:r>
        <w:rPr>
          <w:noProof/>
        </w:rPr>
        <w:t xml:space="preserve"> </w:t>
      </w:r>
      <w:r>
        <w:rPr>
          <w:rFonts w:ascii="Times New Roman" w:hAnsi="Times New Roman"/>
          <w:noProof/>
          <w:sz w:val="24"/>
        </w:rPr>
        <w:t>Cílem reformy je poskytnout soudcům a soudním zaměstnancům po jejich dokončení nástroje a infrastrukturu, které jim umožní zvýšit účinnost správy věcí a rychlost výkonu spravedlnosti, aniž by byla ohrožena její kvalita.</w:t>
      </w:r>
    </w:p>
    <w:p w14:paraId="40D81CBF" w14:textId="77777777" w:rsidR="00515398" w:rsidRDefault="006711E6">
      <w:pPr>
        <w:pStyle w:val="P68B1DB1-Normal4"/>
        <w:spacing w:before="120" w:after="120" w:line="240" w:lineRule="auto"/>
        <w:jc w:val="both"/>
        <w:rPr>
          <w:rFonts w:cs="Times New Roman"/>
          <w:noProof/>
        </w:rPr>
      </w:pPr>
      <w:r>
        <w:rPr>
          <w:noProof/>
        </w:rPr>
        <w:t xml:space="preserve">Provádění reformy se dokončí do </w:t>
      </w:r>
      <w:r>
        <w:rPr>
          <w:noProof/>
        </w:rPr>
        <w:t>31. prosince 2025.</w:t>
      </w:r>
    </w:p>
    <w:p w14:paraId="3DD3B290"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Dovednosti a digitální dovednosti soudců a soudních zaměstnanců (soudní zaměstnanci) (opatření ID 16733)</w:t>
      </w:r>
    </w:p>
    <w:p w14:paraId="7D761CB8" w14:textId="5E39441F" w:rsidR="00515398" w:rsidRDefault="006711E6">
      <w:pPr>
        <w:pStyle w:val="P68B1DB1-Normal4"/>
        <w:spacing w:before="120" w:after="120" w:line="240" w:lineRule="auto"/>
        <w:jc w:val="both"/>
        <w:rPr>
          <w:rFonts w:cs="Times New Roman"/>
          <w:noProof/>
        </w:rPr>
      </w:pPr>
      <w:r>
        <w:rPr>
          <w:noProof/>
        </w:rPr>
        <w:t xml:space="preserve">Národní škola soudců projde řadou institucionálních změn, pokud jde o její funkci a vzdělávací program; </w:t>
      </w:r>
      <w:r>
        <w:rPr>
          <w:noProof/>
          <w:color w:val="000000"/>
        </w:rPr>
        <w:t>budou rovněž revido</w:t>
      </w:r>
      <w:r>
        <w:rPr>
          <w:noProof/>
          <w:color w:val="000000"/>
        </w:rPr>
        <w:t>vána</w:t>
      </w:r>
      <w:r>
        <w:rPr>
          <w:noProof/>
        </w:rPr>
        <w:t xml:space="preserve"> kritéria výběru kandidátů, aby bylo zajištěno selektivnější a konkurenceschopnější studijní prostředí a zároveň byly přijaty další kategorie studentů (soudci smírčích soudců a soudci soudů provádějících audit); nabízí rovněž další kurzy zaměřené na po</w:t>
      </w:r>
      <w:r>
        <w:rPr>
          <w:noProof/>
        </w:rPr>
        <w:t>skytování nových dovedností s důrazem na manažerské a digitální dovednosti, jakož i na témata relevantní pro výkon soudních povinností v souladu se zákonem č. 4871/2021; reforma zahrnuje poskytování povinného celoživotního vzdělávání soudcům v tématech, kt</w:t>
      </w:r>
      <w:r>
        <w:rPr>
          <w:noProof/>
        </w:rPr>
        <w:t>erá mají zásadní význam pro výkon jejich povinností školiteli, kteří byli rovněž vybráni Národní školou soudců v souladu se zákonem č. 4871/2021. V neposlední řadě bude v rámci Národní školy soudců vytvořen nový vzdělávací program pro soudní úředníky s cíl</w:t>
      </w:r>
      <w:r>
        <w:rPr>
          <w:noProof/>
        </w:rPr>
        <w:t xml:space="preserve">em zajistit odbornou přípravu a celoživotní vzdělávání administrativních pracovníků na témata, která jsou nezbytná pro výkon jejich povinností, řízení a organizaci jejich služby, digitální dovednosti, procesní a hmotné právo. </w:t>
      </w:r>
    </w:p>
    <w:p w14:paraId="3738B9F4" w14:textId="77777777" w:rsidR="00515398" w:rsidRDefault="006711E6">
      <w:pPr>
        <w:pStyle w:val="P68B1DB1-Normal4"/>
        <w:spacing w:before="120" w:after="120" w:line="240" w:lineRule="auto"/>
        <w:jc w:val="both"/>
        <w:rPr>
          <w:rFonts w:cs="Times New Roman"/>
          <w:noProof/>
        </w:rPr>
      </w:pPr>
      <w:r>
        <w:rPr>
          <w:noProof/>
        </w:rPr>
        <w:t xml:space="preserve">Provádění reformy se dokončí </w:t>
      </w:r>
      <w:r>
        <w:rPr>
          <w:noProof/>
        </w:rPr>
        <w:t>do 31. prosince 2024.</w:t>
      </w:r>
    </w:p>
    <w:p w14:paraId="164289E7" w14:textId="77777777" w:rsidR="00515398" w:rsidRDefault="006711E6">
      <w:pPr>
        <w:pStyle w:val="P68B1DB1-Normal5"/>
        <w:spacing w:before="120" w:after="120" w:line="240" w:lineRule="auto"/>
        <w:jc w:val="both"/>
        <w:rPr>
          <w:rFonts w:cs="Times New Roman"/>
          <w:noProof/>
        </w:rPr>
      </w:pPr>
      <w:r>
        <w:rPr>
          <w:b/>
          <w:noProof/>
        </w:rPr>
        <w:t>Reforma:</w:t>
      </w:r>
      <w:r>
        <w:rPr>
          <w:noProof/>
        </w:rPr>
        <w:t xml:space="preserve"> Urychlení výkonu spravedlnosti (opatření ID 16575)</w:t>
      </w:r>
    </w:p>
    <w:p w14:paraId="11B1289B" w14:textId="77777777" w:rsidR="00515398" w:rsidRDefault="006711E6">
      <w:pPr>
        <w:pStyle w:val="P68B1DB1-Normal4"/>
        <w:spacing w:before="120" w:after="120" w:line="240" w:lineRule="auto"/>
        <w:jc w:val="both"/>
        <w:rPr>
          <w:rFonts w:cs="Times New Roman"/>
          <w:noProof/>
        </w:rPr>
      </w:pPr>
      <w:r>
        <w:rPr>
          <w:noProof/>
        </w:rPr>
        <w:t>Cílem této reformy je urychlit výkon spravedlnosti a přispět k hospodářské a institucionální transformaci země. Nejdůležitějším prvkem reformy je plánovaná revize soudní mapy</w:t>
      </w:r>
      <w:r>
        <w:rPr>
          <w:noProof/>
        </w:rPr>
        <w:t xml:space="preserve"> v celé zemi, jejímž výsledkem je racionální reorganizace soudních obvodů v Řecku a zřízení, zrušení nebo přerozdělení soudních struktur v těchto okresech na základě objektivních kritérií a rozsáhlého shromažďování údajů týkajících se všech soudů v celé ze</w:t>
      </w:r>
      <w:r>
        <w:rPr>
          <w:noProof/>
        </w:rPr>
        <w:t xml:space="preserve">mi. Reforma soudní mapy zahrnuje všechny složky soudnictví (občanské, trestní a správní). Cílem dalších opatření je zvýšit účinnost a účelnost soudnictví: </w:t>
      </w:r>
    </w:p>
    <w:p w14:paraId="546F72F0" w14:textId="77777777" w:rsidR="00515398" w:rsidRDefault="006711E6">
      <w:pPr>
        <w:pStyle w:val="P68B1DB1-Normal4"/>
        <w:numPr>
          <w:ilvl w:val="0"/>
          <w:numId w:val="59"/>
        </w:numPr>
        <w:spacing w:before="120" w:after="120" w:line="240" w:lineRule="auto"/>
        <w:ind w:left="360"/>
        <w:jc w:val="both"/>
        <w:rPr>
          <w:rFonts w:cs="Times New Roman"/>
          <w:noProof/>
        </w:rPr>
      </w:pPr>
      <w:r>
        <w:rPr>
          <w:noProof/>
        </w:rPr>
        <w:t xml:space="preserve">vytvoření justiční policie na podporu a zlepšení fungování soudnictví tím, že přispěje know-how k </w:t>
      </w:r>
      <w:r>
        <w:rPr>
          <w:noProof/>
        </w:rPr>
        <w:t>vyšetřování složité trestné činnosti (včetně finanční trestné činnosti, korupce a praní peněz) a poskytne širokou škálu služeb soudní pomoci (pomoc při provádění předběžných šetření a vyšetřování, výkonu rozsudků a doručování písemností a procesních úkonů,</w:t>
      </w:r>
      <w:r>
        <w:rPr>
          <w:noProof/>
        </w:rPr>
        <w:t xml:space="preserve"> výkon soudních příkazů, výkon soudních rozhodnutí, udržování soudního příkazu, pomoc při předkládání žádostí o soudní pomoc nebo při vyřizování těchto žádostí a plnění mandátů, které jí byly svěřeny příslušnými soudy a státními zástupci), a</w:t>
      </w:r>
    </w:p>
    <w:p w14:paraId="3F82CABD" w14:textId="0A9DB986" w:rsidR="00515398" w:rsidRDefault="006711E6">
      <w:pPr>
        <w:pStyle w:val="P68B1DB1-Normal4"/>
        <w:numPr>
          <w:ilvl w:val="0"/>
          <w:numId w:val="59"/>
        </w:numPr>
        <w:spacing w:before="120" w:after="120" w:line="240" w:lineRule="auto"/>
        <w:ind w:left="360"/>
        <w:jc w:val="both"/>
        <w:rPr>
          <w:noProof/>
        </w:rPr>
      </w:pPr>
      <w:r>
        <w:rPr>
          <w:noProof/>
        </w:rPr>
        <w:t>zavedení dočas</w:t>
      </w:r>
      <w:r>
        <w:rPr>
          <w:noProof/>
        </w:rPr>
        <w:t>ného režimu pro poskytování finančních pobídek soudním úředníkům na základě objektivně měřitelných individuálních ukazatelů výkonnosti a v plném souladu s jednotnou mzdovou tabulkou (zákon 4354/2015), aniž by byla stanovena jakákoli výjimka, s cílem urychl</w:t>
      </w:r>
      <w:r>
        <w:rPr>
          <w:noProof/>
        </w:rPr>
        <w:t>it plnění úkolů a povinností souvisejících se soudy a odstranit nevyřízené soudní spory.</w:t>
      </w:r>
    </w:p>
    <w:p w14:paraId="13B6A8D3" w14:textId="1FB8347E" w:rsidR="00515398" w:rsidRDefault="006711E6">
      <w:pPr>
        <w:pStyle w:val="P68B1DB1-Normal4"/>
        <w:spacing w:before="120" w:after="120" w:line="240" w:lineRule="auto"/>
        <w:jc w:val="both"/>
        <w:rPr>
          <w:rFonts w:cs="Calibri"/>
          <w:noProof/>
        </w:rPr>
      </w:pPr>
      <w:r>
        <w:rPr>
          <w:noProof/>
        </w:rPr>
        <w:t>Za účelem dokončení reformy se přijme soubor opatření s cílem zřídit a posílit instituce alternativního řešení sporů poskytováním odborné přípravy právním poradcům neb</w:t>
      </w:r>
      <w:r>
        <w:rPr>
          <w:noProof/>
        </w:rPr>
        <w:t>o mediátorům a poskytováním finančních pobídek mediačním střediskům s cílem zavést uživatelsky vstřícné digitální systémy.</w:t>
      </w:r>
    </w:p>
    <w:p w14:paraId="61775EC6" w14:textId="77777777" w:rsidR="00515398" w:rsidRDefault="006711E6">
      <w:pPr>
        <w:pStyle w:val="P68B1DB1-Normal4"/>
        <w:spacing w:before="120" w:after="120" w:line="240" w:lineRule="auto"/>
        <w:jc w:val="both"/>
        <w:rPr>
          <w:rFonts w:cs="Times New Roman"/>
          <w:noProof/>
        </w:rPr>
      </w:pPr>
      <w:r>
        <w:rPr>
          <w:noProof/>
        </w:rPr>
        <w:t>A konečně zřízení nezávislého úřadu pro systematické shromažďování, zpracovávání, shromažďování, předkládání a sledování soudních úda</w:t>
      </w:r>
      <w:r>
        <w:rPr>
          <w:noProof/>
        </w:rPr>
        <w:t>jů zajistí řádný dohled a sledování funkce a výkonnosti soudního systému.</w:t>
      </w:r>
    </w:p>
    <w:p w14:paraId="3B7BADA4" w14:textId="77777777" w:rsidR="00515398" w:rsidRDefault="006711E6">
      <w:pPr>
        <w:pStyle w:val="P68B1DB1-Normal4"/>
        <w:spacing w:before="120" w:after="120" w:line="240" w:lineRule="auto"/>
        <w:jc w:val="both"/>
        <w:rPr>
          <w:rFonts w:cs="Times New Roman"/>
          <w:noProof/>
        </w:rPr>
      </w:pPr>
      <w:r>
        <w:rPr>
          <w:noProof/>
        </w:rPr>
        <w:t xml:space="preserve">Provádění reformy bude dokončeno do 31. prosince 2025. </w:t>
      </w:r>
    </w:p>
    <w:p w14:paraId="12C15302" w14:textId="77777777" w:rsidR="00515398" w:rsidRDefault="00515398">
      <w:pPr>
        <w:spacing w:before="120" w:after="120" w:line="240" w:lineRule="auto"/>
        <w:ind w:left="709"/>
        <w:jc w:val="both"/>
        <w:rPr>
          <w:rFonts w:ascii="Times New Roman" w:hAnsi="Times New Roman" w:cs="Times New Roman"/>
          <w:b/>
          <w:bCs/>
          <w:noProof/>
          <w:sz w:val="24"/>
          <w:u w:val="single"/>
        </w:rPr>
      </w:pPr>
    </w:p>
    <w:p w14:paraId="6A14AAA5"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35"/>
          <w:headerReference w:type="default" r:id="rId236"/>
          <w:footerReference w:type="even" r:id="rId237"/>
          <w:footerReference w:type="default" r:id="rId238"/>
          <w:headerReference w:type="first" r:id="rId239"/>
          <w:footerReference w:type="first" r:id="rId240"/>
          <w:pgSz w:w="11907" w:h="16839"/>
          <w:pgMar w:top="1134" w:right="1417" w:bottom="1134" w:left="1417" w:header="709" w:footer="326" w:gutter="0"/>
          <w:cols w:space="720"/>
          <w:docGrid w:linePitch="360"/>
        </w:sectPr>
      </w:pPr>
    </w:p>
    <w:p w14:paraId="35E36478"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N.2. </w:t>
      </w:r>
      <w:r>
        <w:rPr>
          <w:noProof/>
        </w:rPr>
        <w:t xml:space="preserve"> </w:t>
      </w:r>
      <w:r>
        <w:rPr>
          <w:rFonts w:ascii="Times New Roman" w:hAnsi="Times New Roman"/>
          <w:b/>
          <w:noProof/>
          <w:sz w:val="24"/>
          <w:u w:val="single"/>
        </w:rPr>
        <w:t>Milníky, cíle, ukazatele a harmonogram monitorování a provád</w:t>
      </w:r>
      <w:r>
        <w:rPr>
          <w:rFonts w:ascii="Times New Roman" w:hAnsi="Times New Roman"/>
          <w:b/>
          <w:noProof/>
          <w:sz w:val="24"/>
          <w:u w:val="single"/>
        </w:rPr>
        <w:t>ění nevratné finanční podpory</w:t>
      </w:r>
    </w:p>
    <w:p w14:paraId="6F9211FA" w14:textId="77777777" w:rsidR="00515398" w:rsidRDefault="00515398">
      <w:pPr>
        <w:rPr>
          <w:noProof/>
        </w:rPr>
      </w:pPr>
    </w:p>
    <w:p w14:paraId="51C8A179"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21: Zlepšení efektivnosti soudního systému</w:t>
      </w:r>
    </w:p>
    <w:p w14:paraId="18E79054" w14:textId="77777777" w:rsidR="00515398" w:rsidRDefault="006711E6">
      <w:pPr>
        <w:pStyle w:val="P68B1DB1-Normal4"/>
        <w:spacing w:before="120" w:after="120" w:line="240" w:lineRule="auto"/>
        <w:jc w:val="both"/>
        <w:rPr>
          <w:rFonts w:cs="Times New Roman"/>
          <w:noProof/>
        </w:rPr>
      </w:pPr>
      <w:r>
        <w:rPr>
          <w:noProof/>
        </w:rPr>
        <w:t>Opatření zahrnutá do této skupiny jsou:</w:t>
      </w:r>
    </w:p>
    <w:p w14:paraId="0698932D" w14:textId="77777777" w:rsidR="00515398" w:rsidRDefault="006711E6">
      <w:pPr>
        <w:pStyle w:val="P68B1DB1-Normal4"/>
        <w:numPr>
          <w:ilvl w:val="0"/>
          <w:numId w:val="23"/>
        </w:numPr>
        <w:spacing w:before="120" w:after="0" w:line="240" w:lineRule="auto"/>
        <w:jc w:val="both"/>
        <w:rPr>
          <w:rFonts w:cs="Times New Roman"/>
          <w:noProof/>
        </w:rPr>
      </w:pPr>
      <w:r>
        <w:rPr>
          <w:noProof/>
        </w:rPr>
        <w:t>Nové soudní budovy a renovace (ID: 16292)</w:t>
      </w:r>
    </w:p>
    <w:p w14:paraId="2652E2B7" w14:textId="77777777" w:rsidR="00515398" w:rsidRDefault="006711E6">
      <w:pPr>
        <w:pStyle w:val="P68B1DB1-Normal4"/>
        <w:numPr>
          <w:ilvl w:val="0"/>
          <w:numId w:val="23"/>
        </w:numPr>
        <w:spacing w:before="120" w:after="0" w:line="240" w:lineRule="auto"/>
        <w:jc w:val="both"/>
        <w:rPr>
          <w:rFonts w:cs="Times New Roman"/>
          <w:noProof/>
        </w:rPr>
      </w:pPr>
      <w:r>
        <w:rPr>
          <w:noProof/>
        </w:rPr>
        <w:t>Digitální transformace soudnictví (e-justice) (ID: 16727)</w:t>
      </w:r>
    </w:p>
    <w:p w14:paraId="54D05741" w14:textId="77777777" w:rsidR="00515398" w:rsidRDefault="006711E6">
      <w:pPr>
        <w:pStyle w:val="P68B1DB1-Normal4"/>
        <w:numPr>
          <w:ilvl w:val="0"/>
          <w:numId w:val="23"/>
        </w:numPr>
        <w:spacing w:before="120" w:after="120" w:line="240" w:lineRule="auto"/>
        <w:jc w:val="both"/>
        <w:rPr>
          <w:rFonts w:cs="Times New Roman"/>
          <w:noProof/>
        </w:rPr>
      </w:pPr>
      <w:r>
        <w:rPr>
          <w:noProof/>
        </w:rPr>
        <w:t xml:space="preserve">Dovednosti a digitální dovednosti </w:t>
      </w:r>
      <w:r>
        <w:rPr>
          <w:noProof/>
        </w:rPr>
        <w:t>soudců a soudních zaměstnanců (soudní zaměstnanci) (ID: 16733)</w:t>
      </w:r>
    </w:p>
    <w:p w14:paraId="57B02B1C" w14:textId="77777777" w:rsidR="00515398" w:rsidRDefault="006711E6">
      <w:pPr>
        <w:pStyle w:val="P68B1DB1-Normal4"/>
        <w:numPr>
          <w:ilvl w:val="0"/>
          <w:numId w:val="23"/>
        </w:numPr>
        <w:spacing w:before="120" w:after="120" w:line="240" w:lineRule="auto"/>
        <w:jc w:val="both"/>
        <w:rPr>
          <w:rFonts w:cs="Times New Roman"/>
          <w:noProof/>
        </w:rPr>
      </w:pPr>
      <w:r>
        <w:rPr>
          <w:noProof/>
        </w:rPr>
        <w:t>Urychlení výkonu spravedlnosti (ID: 16575)</w:t>
      </w:r>
    </w:p>
    <w:tbl>
      <w:tblPr>
        <w:tblW w:w="15730" w:type="dxa"/>
        <w:jc w:val="center"/>
        <w:tblLook w:val="04A0" w:firstRow="1" w:lastRow="0" w:firstColumn="1" w:lastColumn="0" w:noHBand="0" w:noVBand="1"/>
      </w:tblPr>
      <w:tblGrid>
        <w:gridCol w:w="1027"/>
        <w:gridCol w:w="1595"/>
        <w:gridCol w:w="1424"/>
        <w:gridCol w:w="1397"/>
        <w:gridCol w:w="1552"/>
        <w:gridCol w:w="992"/>
        <w:gridCol w:w="857"/>
        <w:gridCol w:w="587"/>
        <w:gridCol w:w="984"/>
        <w:gridCol w:w="622"/>
        <w:gridCol w:w="4885"/>
      </w:tblGrid>
      <w:tr w:rsidR="00515398" w14:paraId="41F3A827" w14:textId="77777777">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72AA7D"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0344AA"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6E23FE"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67B963"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3FFD61"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2436"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9E85A2A"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Kvantitativní ukazatele </w:t>
            </w:r>
            <w:r>
              <w:rPr>
                <w:noProof/>
                <w:sz w:val="24"/>
              </w:rPr>
              <w:t xml:space="preserve"> </w:t>
            </w:r>
            <w:r>
              <w:rPr>
                <w:b/>
                <w:noProof/>
                <w:sz w:val="18"/>
              </w:rPr>
              <w:t xml:space="preserve">(pro </w:t>
            </w:r>
            <w:r>
              <w:rPr>
                <w:b/>
                <w:noProof/>
                <w:sz w:val="18"/>
              </w:rPr>
              <w:t>cíle)</w:t>
            </w:r>
          </w:p>
        </w:tc>
        <w:tc>
          <w:tcPr>
            <w:tcW w:w="1468" w:type="dxa"/>
            <w:gridSpan w:val="2"/>
            <w:tcBorders>
              <w:top w:val="single" w:sz="4" w:space="0" w:color="auto"/>
              <w:left w:val="nil"/>
              <w:bottom w:val="single" w:sz="4" w:space="0" w:color="auto"/>
              <w:right w:val="single" w:sz="4" w:space="0" w:color="auto"/>
            </w:tcBorders>
            <w:shd w:val="clear" w:color="auto" w:fill="BDD7EE"/>
            <w:vAlign w:val="center"/>
            <w:hideMark/>
          </w:tcPr>
          <w:p w14:paraId="71D7D4B2" w14:textId="77777777" w:rsidR="00515398" w:rsidRDefault="006711E6">
            <w:pPr>
              <w:pStyle w:val="P68B1DB1-Normal7"/>
              <w:spacing w:after="0" w:line="240" w:lineRule="auto"/>
              <w:jc w:val="center"/>
              <w:rPr>
                <w:rFonts w:eastAsia="Times New Roman" w:cs="Times New Roman"/>
                <w:bCs/>
                <w:noProof/>
                <w:szCs w:val="18"/>
              </w:rPr>
            </w:pPr>
            <w:r>
              <w:rPr>
                <w:noProof/>
              </w:rPr>
              <w:t>Orientační harmonogram pro dokončení</w:t>
            </w:r>
          </w:p>
        </w:tc>
        <w:tc>
          <w:tcPr>
            <w:tcW w:w="48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07AFE6"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6260C8FA" w14:textId="77777777">
        <w:trPr>
          <w:trHeight w:val="629"/>
          <w:tblHeader/>
          <w:jc w:val="center"/>
        </w:trPr>
        <w:tc>
          <w:tcPr>
            <w:tcW w:w="1027" w:type="dxa"/>
            <w:vMerge/>
            <w:tcBorders>
              <w:top w:val="single" w:sz="4" w:space="0" w:color="auto"/>
              <w:left w:val="single" w:sz="4" w:space="0" w:color="auto"/>
              <w:bottom w:val="single" w:sz="4" w:space="0" w:color="auto"/>
              <w:right w:val="single" w:sz="4" w:space="0" w:color="auto"/>
            </w:tcBorders>
            <w:hideMark/>
          </w:tcPr>
          <w:p w14:paraId="3B86B058" w14:textId="77777777" w:rsidR="00515398" w:rsidRDefault="00515398">
            <w:pPr>
              <w:spacing w:after="0" w:line="240" w:lineRule="auto"/>
              <w:rPr>
                <w:rFonts w:ascii="Times New Roman" w:eastAsia="Times New Roman" w:hAnsi="Times New Roman" w:cs="Times New Roman"/>
                <w:b/>
                <w:bCs/>
                <w:noProof/>
                <w:sz w:val="18"/>
                <w:szCs w:val="18"/>
              </w:rPr>
            </w:pPr>
          </w:p>
        </w:tc>
        <w:tc>
          <w:tcPr>
            <w:tcW w:w="1541" w:type="dxa"/>
            <w:vMerge/>
            <w:tcBorders>
              <w:top w:val="single" w:sz="4" w:space="0" w:color="auto"/>
              <w:left w:val="single" w:sz="4" w:space="0" w:color="auto"/>
              <w:bottom w:val="single" w:sz="4" w:space="0" w:color="auto"/>
              <w:right w:val="single" w:sz="4" w:space="0" w:color="auto"/>
            </w:tcBorders>
            <w:hideMark/>
          </w:tcPr>
          <w:p w14:paraId="3927EEB8" w14:textId="77777777" w:rsidR="00515398" w:rsidRDefault="00515398">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hideMark/>
          </w:tcPr>
          <w:p w14:paraId="4BFDDF03" w14:textId="77777777" w:rsidR="00515398" w:rsidRDefault="00515398">
            <w:pPr>
              <w:spacing w:after="0" w:line="240" w:lineRule="auto"/>
              <w:rPr>
                <w:rFonts w:ascii="Times New Roman" w:eastAsia="Times New Roman" w:hAnsi="Times New Roman" w:cs="Times New Roman"/>
                <w:b/>
                <w:bCs/>
                <w:noProof/>
                <w:sz w:val="18"/>
                <w:szCs w:val="18"/>
              </w:rPr>
            </w:pPr>
          </w:p>
        </w:tc>
        <w:tc>
          <w:tcPr>
            <w:tcW w:w="1397" w:type="dxa"/>
            <w:vMerge/>
            <w:tcBorders>
              <w:top w:val="single" w:sz="4" w:space="0" w:color="auto"/>
              <w:left w:val="single" w:sz="4" w:space="0" w:color="auto"/>
              <w:bottom w:val="single" w:sz="4" w:space="0" w:color="auto"/>
              <w:right w:val="single" w:sz="4" w:space="0" w:color="auto"/>
            </w:tcBorders>
            <w:hideMark/>
          </w:tcPr>
          <w:p w14:paraId="65614B95" w14:textId="77777777" w:rsidR="00515398" w:rsidRDefault="00515398">
            <w:pPr>
              <w:spacing w:after="0" w:line="240" w:lineRule="auto"/>
              <w:rPr>
                <w:rFonts w:ascii="Times New Roman" w:eastAsia="Times New Roman" w:hAnsi="Times New Roman" w:cs="Times New Roman"/>
                <w:b/>
                <w:bCs/>
                <w:noProof/>
                <w:sz w:val="18"/>
                <w:szCs w:val="18"/>
              </w:rPr>
            </w:pPr>
          </w:p>
        </w:tc>
        <w:tc>
          <w:tcPr>
            <w:tcW w:w="1552" w:type="dxa"/>
            <w:vMerge/>
            <w:tcBorders>
              <w:top w:val="single" w:sz="4" w:space="0" w:color="auto"/>
              <w:left w:val="single" w:sz="4" w:space="0" w:color="auto"/>
              <w:bottom w:val="single" w:sz="4" w:space="0" w:color="auto"/>
              <w:right w:val="single" w:sz="4" w:space="0" w:color="auto"/>
            </w:tcBorders>
            <w:hideMark/>
          </w:tcPr>
          <w:p w14:paraId="609D76A2" w14:textId="77777777" w:rsidR="00515398" w:rsidRDefault="00515398">
            <w:pPr>
              <w:spacing w:after="0" w:line="240" w:lineRule="auto"/>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3DD0716"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14:paraId="21658F7E" w14:textId="77777777" w:rsidR="00515398" w:rsidRDefault="006711E6">
            <w:pPr>
              <w:pStyle w:val="P68B1DB1-Normal7"/>
              <w:spacing w:after="0" w:line="240" w:lineRule="auto"/>
              <w:jc w:val="center"/>
              <w:rPr>
                <w:rFonts w:eastAsia="Times New Roman" w:cs="Times New Roman"/>
                <w:bCs/>
                <w:noProof/>
                <w:szCs w:val="18"/>
              </w:rPr>
            </w:pPr>
            <w:r>
              <w:rPr>
                <w:noProof/>
              </w:rPr>
              <w:t>Výchozí stav</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14:paraId="503E869A" w14:textId="77777777" w:rsidR="00515398" w:rsidRDefault="006711E6">
            <w:pPr>
              <w:pStyle w:val="P68B1DB1-Normal7"/>
              <w:spacing w:after="0" w:line="240" w:lineRule="auto"/>
              <w:jc w:val="center"/>
              <w:rPr>
                <w:rFonts w:eastAsia="Times New Roman" w:cs="Times New Roman"/>
                <w:bCs/>
                <w:noProof/>
                <w:szCs w:val="18"/>
              </w:rPr>
            </w:pPr>
            <w:r>
              <w:rPr>
                <w:noProof/>
              </w:rPr>
              <w:t>Cíl</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09BE93C5"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622" w:type="dxa"/>
            <w:tcBorders>
              <w:top w:val="single" w:sz="4" w:space="0" w:color="auto"/>
              <w:left w:val="nil"/>
              <w:bottom w:val="single" w:sz="4" w:space="0" w:color="auto"/>
              <w:right w:val="single" w:sz="4" w:space="0" w:color="auto"/>
            </w:tcBorders>
            <w:shd w:val="clear" w:color="auto" w:fill="BDD7EE"/>
            <w:vAlign w:val="center"/>
            <w:hideMark/>
          </w:tcPr>
          <w:p w14:paraId="6F37AD87"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885" w:type="dxa"/>
            <w:vMerge/>
            <w:tcBorders>
              <w:top w:val="single" w:sz="4" w:space="0" w:color="auto"/>
              <w:left w:val="single" w:sz="4" w:space="0" w:color="auto"/>
              <w:bottom w:val="single" w:sz="4" w:space="0" w:color="auto"/>
              <w:right w:val="single" w:sz="4" w:space="0" w:color="auto"/>
            </w:tcBorders>
            <w:hideMark/>
          </w:tcPr>
          <w:p w14:paraId="46090064"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06B14A5E"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60B180E" w14:textId="77777777" w:rsidR="00515398" w:rsidRDefault="006711E6">
            <w:pPr>
              <w:pStyle w:val="P68B1DB1-Normal9"/>
              <w:spacing w:after="0" w:line="240" w:lineRule="auto"/>
              <w:rPr>
                <w:rFonts w:eastAsia="Times New Roman" w:cs="Calibri"/>
                <w:noProof/>
                <w:szCs w:val="18"/>
              </w:rPr>
            </w:pPr>
            <w:r>
              <w:rPr>
                <w:noProof/>
              </w:rPr>
              <w:t>222</w:t>
            </w:r>
          </w:p>
        </w:tc>
        <w:tc>
          <w:tcPr>
            <w:tcW w:w="1541" w:type="dxa"/>
            <w:tcBorders>
              <w:top w:val="single" w:sz="4" w:space="0" w:color="auto"/>
              <w:left w:val="nil"/>
              <w:bottom w:val="single" w:sz="4" w:space="0" w:color="auto"/>
              <w:right w:val="single" w:sz="4" w:space="0" w:color="auto"/>
            </w:tcBorders>
            <w:shd w:val="clear" w:color="auto" w:fill="C6EFCE"/>
            <w:noWrap/>
          </w:tcPr>
          <w:p w14:paraId="62A6A6E1" w14:textId="77777777" w:rsidR="00515398" w:rsidRDefault="006711E6">
            <w:pPr>
              <w:pStyle w:val="P68B1DB1-Normal9"/>
              <w:spacing w:after="0" w:line="240" w:lineRule="auto"/>
              <w:rPr>
                <w:rFonts w:eastAsia="Times New Roman"/>
                <w:noProof/>
                <w:szCs w:val="18"/>
              </w:rPr>
            </w:pPr>
            <w:r>
              <w:rPr>
                <w:noProof/>
              </w:rPr>
              <w:t>14–4.3. Zlepšení účinnosti soudního systému – 16292_Nové soudní budovy</w:t>
            </w:r>
          </w:p>
        </w:tc>
        <w:tc>
          <w:tcPr>
            <w:tcW w:w="1424" w:type="dxa"/>
            <w:tcBorders>
              <w:top w:val="single" w:sz="4" w:space="0" w:color="auto"/>
              <w:left w:val="nil"/>
              <w:bottom w:val="single" w:sz="4" w:space="0" w:color="auto"/>
              <w:right w:val="single" w:sz="4" w:space="0" w:color="auto"/>
            </w:tcBorders>
            <w:shd w:val="clear" w:color="auto" w:fill="C6EFCE"/>
            <w:noWrap/>
          </w:tcPr>
          <w:p w14:paraId="2E5CDEC1"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3BDA63DC" w14:textId="77777777" w:rsidR="00515398" w:rsidRDefault="006711E6">
            <w:pPr>
              <w:pStyle w:val="P68B1DB1-Normal9"/>
              <w:spacing w:after="0" w:line="240" w:lineRule="auto"/>
              <w:rPr>
                <w:rFonts w:eastAsia="Times New Roman"/>
                <w:noProof/>
                <w:szCs w:val="18"/>
              </w:rPr>
            </w:pPr>
            <w:r>
              <w:rPr>
                <w:noProof/>
              </w:rPr>
              <w:t>Identifikace – způsobilé budovy</w:t>
            </w:r>
          </w:p>
        </w:tc>
        <w:tc>
          <w:tcPr>
            <w:tcW w:w="1552" w:type="dxa"/>
            <w:tcBorders>
              <w:top w:val="single" w:sz="4" w:space="0" w:color="auto"/>
              <w:left w:val="nil"/>
              <w:bottom w:val="single" w:sz="4" w:space="0" w:color="auto"/>
              <w:right w:val="single" w:sz="4" w:space="0" w:color="auto"/>
            </w:tcBorders>
            <w:shd w:val="clear" w:color="auto" w:fill="C6EFCE"/>
            <w:noWrap/>
          </w:tcPr>
          <w:p w14:paraId="4435CF48" w14:textId="77777777" w:rsidR="00515398" w:rsidRDefault="006711E6">
            <w:pPr>
              <w:pStyle w:val="P68B1DB1-Normal9"/>
              <w:spacing w:after="0" w:line="240" w:lineRule="auto"/>
              <w:rPr>
                <w:rFonts w:eastAsia="Times New Roman"/>
                <w:noProof/>
                <w:szCs w:val="18"/>
              </w:rPr>
            </w:pPr>
            <w:r>
              <w:rPr>
                <w:noProof/>
              </w:rPr>
              <w:t xml:space="preserve">Vyplnění seznamu </w:t>
            </w:r>
          </w:p>
        </w:tc>
        <w:tc>
          <w:tcPr>
            <w:tcW w:w="992" w:type="dxa"/>
            <w:tcBorders>
              <w:top w:val="single" w:sz="4" w:space="0" w:color="auto"/>
              <w:left w:val="nil"/>
              <w:bottom w:val="single" w:sz="4" w:space="0" w:color="auto"/>
              <w:right w:val="single" w:sz="4" w:space="0" w:color="auto"/>
            </w:tcBorders>
            <w:shd w:val="clear" w:color="auto" w:fill="C6EFCE"/>
            <w:noWrap/>
          </w:tcPr>
          <w:p w14:paraId="5F5DC742"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BB22178"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6BBAC10C"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68CDBFF" w14:textId="77777777" w:rsidR="00515398" w:rsidRDefault="006711E6">
            <w:pPr>
              <w:pStyle w:val="P68B1DB1-Normal9"/>
              <w:spacing w:after="0" w:line="240" w:lineRule="auto"/>
              <w:rPr>
                <w:rFonts w:eastAsia="Times New Roman"/>
                <w:noProof/>
                <w:szCs w:val="18"/>
              </w:rPr>
            </w:pPr>
            <w:r>
              <w:rPr>
                <w:noProof/>
              </w:rPr>
              <w:t>ČTVRTLETÍ 3</w:t>
            </w:r>
          </w:p>
        </w:tc>
        <w:tc>
          <w:tcPr>
            <w:tcW w:w="622" w:type="dxa"/>
            <w:tcBorders>
              <w:top w:val="single" w:sz="4" w:space="0" w:color="auto"/>
              <w:left w:val="nil"/>
              <w:bottom w:val="single" w:sz="4" w:space="0" w:color="auto"/>
              <w:right w:val="single" w:sz="4" w:space="0" w:color="auto"/>
            </w:tcBorders>
            <w:shd w:val="clear" w:color="auto" w:fill="C6EFCE"/>
            <w:noWrap/>
          </w:tcPr>
          <w:p w14:paraId="14E0C28C" w14:textId="77777777" w:rsidR="00515398" w:rsidRDefault="006711E6">
            <w:pPr>
              <w:pStyle w:val="P68B1DB1-Normal9"/>
              <w:spacing w:after="0" w:line="240" w:lineRule="auto"/>
              <w:rPr>
                <w:rFonts w:eastAsia="Times New Roman"/>
                <w:noProof/>
                <w:szCs w:val="18"/>
              </w:rPr>
            </w:pPr>
            <w:r>
              <w:rPr>
                <w:noProof/>
              </w:rPr>
              <w:t>2021</w:t>
            </w:r>
          </w:p>
        </w:tc>
        <w:tc>
          <w:tcPr>
            <w:tcW w:w="4885" w:type="dxa"/>
            <w:tcBorders>
              <w:top w:val="single" w:sz="4" w:space="0" w:color="auto"/>
              <w:left w:val="nil"/>
              <w:bottom w:val="single" w:sz="4" w:space="0" w:color="auto"/>
              <w:right w:val="single" w:sz="4" w:space="0" w:color="auto"/>
            </w:tcBorders>
            <w:shd w:val="clear" w:color="auto" w:fill="C6EFCE"/>
            <w:noWrap/>
          </w:tcPr>
          <w:p w14:paraId="0D94208C" w14:textId="77777777" w:rsidR="00515398" w:rsidRDefault="006711E6">
            <w:pPr>
              <w:pStyle w:val="P68B1DB1-Normal9"/>
              <w:spacing w:after="0" w:line="240" w:lineRule="auto"/>
              <w:rPr>
                <w:rFonts w:eastAsia="Times New Roman" w:cs="Calibri"/>
                <w:noProof/>
                <w:szCs w:val="18"/>
              </w:rPr>
            </w:pPr>
            <w:r>
              <w:rPr>
                <w:noProof/>
              </w:rPr>
              <w:t>Sestavení seznamu budov, kterých se revize soudní mapy netýká.</w:t>
            </w:r>
          </w:p>
        </w:tc>
      </w:tr>
      <w:tr w:rsidR="00515398" w14:paraId="30E36FA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5A7EB1C4" w14:textId="77777777" w:rsidR="00515398" w:rsidRDefault="006711E6">
            <w:pPr>
              <w:pStyle w:val="P68B1DB1-Normal9"/>
              <w:spacing w:after="0" w:line="240" w:lineRule="auto"/>
              <w:rPr>
                <w:rFonts w:eastAsia="Times New Roman" w:cs="Calibri"/>
                <w:noProof/>
                <w:szCs w:val="18"/>
              </w:rPr>
            </w:pPr>
            <w:r>
              <w:rPr>
                <w:noProof/>
              </w:rPr>
              <w:t>223</w:t>
            </w:r>
          </w:p>
        </w:tc>
        <w:tc>
          <w:tcPr>
            <w:tcW w:w="1541" w:type="dxa"/>
            <w:tcBorders>
              <w:top w:val="nil"/>
              <w:left w:val="nil"/>
              <w:bottom w:val="single" w:sz="4" w:space="0" w:color="auto"/>
              <w:right w:val="single" w:sz="4" w:space="0" w:color="auto"/>
            </w:tcBorders>
            <w:shd w:val="clear" w:color="auto" w:fill="C6EFCE"/>
            <w:noWrap/>
          </w:tcPr>
          <w:p w14:paraId="4976A031" w14:textId="77777777" w:rsidR="00515398" w:rsidRDefault="006711E6">
            <w:pPr>
              <w:pStyle w:val="P68B1DB1-Normal9"/>
              <w:spacing w:after="0" w:line="240" w:lineRule="auto"/>
              <w:rPr>
                <w:rFonts w:eastAsia="Times New Roman"/>
                <w:noProof/>
                <w:szCs w:val="18"/>
              </w:rPr>
            </w:pPr>
            <w:r>
              <w:rPr>
                <w:noProof/>
              </w:rPr>
              <w:t xml:space="preserve">14–4.3. Zlepšit účinnost soudního systému — </w:t>
            </w:r>
          </w:p>
          <w:p w14:paraId="66EC5888" w14:textId="77777777" w:rsidR="00515398" w:rsidRDefault="006711E6">
            <w:pPr>
              <w:pStyle w:val="P68B1DB1-Normal9"/>
              <w:spacing w:after="0" w:line="240" w:lineRule="auto"/>
              <w:rPr>
                <w:rFonts w:eastAsia="Times New Roman"/>
                <w:noProof/>
                <w:szCs w:val="18"/>
              </w:rPr>
            </w:pPr>
            <w:r>
              <w:rPr>
                <w:noProof/>
              </w:rPr>
              <w:t>16575 Urychlení výkonu spravedlnosti</w:t>
            </w:r>
          </w:p>
        </w:tc>
        <w:tc>
          <w:tcPr>
            <w:tcW w:w="1424" w:type="dxa"/>
            <w:tcBorders>
              <w:top w:val="nil"/>
              <w:left w:val="nil"/>
              <w:bottom w:val="single" w:sz="4" w:space="0" w:color="auto"/>
              <w:right w:val="single" w:sz="4" w:space="0" w:color="auto"/>
            </w:tcBorders>
            <w:shd w:val="clear" w:color="auto" w:fill="C6EFCE"/>
            <w:noWrap/>
          </w:tcPr>
          <w:p w14:paraId="140D465B"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nil"/>
              <w:left w:val="nil"/>
              <w:bottom w:val="single" w:sz="4" w:space="0" w:color="auto"/>
              <w:right w:val="single" w:sz="4" w:space="0" w:color="auto"/>
            </w:tcBorders>
            <w:shd w:val="clear" w:color="auto" w:fill="C6EFCE"/>
            <w:noWrap/>
          </w:tcPr>
          <w:p w14:paraId="5C50C894" w14:textId="77777777" w:rsidR="00515398" w:rsidRDefault="006711E6">
            <w:pPr>
              <w:pStyle w:val="P68B1DB1-Normal9"/>
              <w:spacing w:after="0" w:line="240" w:lineRule="auto"/>
              <w:rPr>
                <w:rFonts w:eastAsia="Times New Roman"/>
                <w:noProof/>
                <w:szCs w:val="18"/>
              </w:rPr>
            </w:pPr>
            <w:r>
              <w:rPr>
                <w:noProof/>
              </w:rPr>
              <w:t>Technická podpora – nástroj pro výkon soudnictví</w:t>
            </w:r>
          </w:p>
        </w:tc>
        <w:tc>
          <w:tcPr>
            <w:tcW w:w="1552" w:type="dxa"/>
            <w:tcBorders>
              <w:top w:val="nil"/>
              <w:left w:val="nil"/>
              <w:bottom w:val="single" w:sz="4" w:space="0" w:color="auto"/>
              <w:right w:val="single" w:sz="4" w:space="0" w:color="auto"/>
            </w:tcBorders>
            <w:shd w:val="clear" w:color="auto" w:fill="C6EFCE"/>
            <w:noWrap/>
          </w:tcPr>
          <w:p w14:paraId="222BC676" w14:textId="77777777" w:rsidR="00515398" w:rsidRDefault="006711E6">
            <w:pPr>
              <w:pStyle w:val="P68B1DB1-Normal9"/>
              <w:spacing w:after="0" w:line="240" w:lineRule="auto"/>
              <w:rPr>
                <w:rFonts w:eastAsia="Times New Roman"/>
                <w:noProof/>
                <w:szCs w:val="18"/>
              </w:rPr>
            </w:pPr>
            <w:r>
              <w:rPr>
                <w:noProof/>
              </w:rPr>
              <w:t xml:space="preserve">Zadání </w:t>
            </w:r>
            <w:r>
              <w:rPr>
                <w:noProof/>
              </w:rPr>
              <w:t>zakázky na technickou podporu</w:t>
            </w:r>
          </w:p>
        </w:tc>
        <w:tc>
          <w:tcPr>
            <w:tcW w:w="992" w:type="dxa"/>
            <w:tcBorders>
              <w:top w:val="nil"/>
              <w:left w:val="nil"/>
              <w:bottom w:val="single" w:sz="4" w:space="0" w:color="auto"/>
              <w:right w:val="single" w:sz="4" w:space="0" w:color="auto"/>
            </w:tcBorders>
            <w:shd w:val="clear" w:color="auto" w:fill="C6EFCE"/>
            <w:noWrap/>
          </w:tcPr>
          <w:p w14:paraId="0469578A"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8500539"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10E54F79"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826A0C9" w14:textId="77777777" w:rsidR="00515398" w:rsidRDefault="006711E6">
            <w:pPr>
              <w:pStyle w:val="P68B1DB1-Normal9"/>
              <w:spacing w:after="0" w:line="240" w:lineRule="auto"/>
              <w:rPr>
                <w:rFonts w:eastAsia="Times New Roman"/>
                <w:noProof/>
                <w:szCs w:val="18"/>
              </w:rPr>
            </w:pPr>
            <w:r>
              <w:rPr>
                <w:noProof/>
              </w:rPr>
              <w:t>ČTVRTLETÍ 3</w:t>
            </w:r>
          </w:p>
        </w:tc>
        <w:tc>
          <w:tcPr>
            <w:tcW w:w="622" w:type="dxa"/>
            <w:tcBorders>
              <w:top w:val="nil"/>
              <w:left w:val="nil"/>
              <w:bottom w:val="single" w:sz="4" w:space="0" w:color="auto"/>
              <w:right w:val="single" w:sz="4" w:space="0" w:color="auto"/>
            </w:tcBorders>
            <w:shd w:val="clear" w:color="auto" w:fill="C6EFCE"/>
            <w:noWrap/>
          </w:tcPr>
          <w:p w14:paraId="0CF311F8" w14:textId="77777777" w:rsidR="00515398" w:rsidRDefault="006711E6">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64050D7D" w14:textId="77777777" w:rsidR="00515398" w:rsidRDefault="006711E6">
            <w:pPr>
              <w:pStyle w:val="P68B1DB1-Normal9"/>
              <w:spacing w:after="0" w:line="240" w:lineRule="auto"/>
              <w:rPr>
                <w:rFonts w:eastAsia="Times New Roman" w:cs="Calibri"/>
                <w:noProof/>
                <w:szCs w:val="18"/>
              </w:rPr>
            </w:pPr>
            <w:r>
              <w:rPr>
                <w:noProof/>
              </w:rPr>
              <w:t>Zadání zakázky na technickou podporu pro vývoj nástroje pro výkon soudnictví na základě strategických cílů, zavedení objektivních klíčových ukazatelů výkonnosti (doba pro splnění úkolu, individuální výsledk</w:t>
            </w:r>
            <w:r>
              <w:rPr>
                <w:noProof/>
              </w:rPr>
              <w:t>y z hlediska času, komunikace, motivace atd.) podle oddělení a/nebo kategorie úředníků a poskytování přesných a objektivních údajů o přidělování bonusů; prémie jsou splatné v prvním čtvrtletí po skončení příslušného roku na základě výsledků daného roku. Te</w:t>
            </w:r>
            <w:r>
              <w:rPr>
                <w:noProof/>
              </w:rPr>
              <w:t>nto nástroj je dočasný a je plně v souladu s jednotnou mzdovou tabulkou (zákon 4354/2015), aniž by stanovil jakoukoli výjimku pro odstranění nevyřízených soudních případů.</w:t>
            </w:r>
          </w:p>
        </w:tc>
      </w:tr>
      <w:tr w:rsidR="00515398" w14:paraId="4633D58F" w14:textId="77777777">
        <w:tblPrEx>
          <w:tblLook w:val="0400" w:firstRow="0" w:lastRow="0" w:firstColumn="0" w:lastColumn="0" w:noHBand="0" w:noVBand="1"/>
        </w:tblPrEx>
        <w:trPr>
          <w:trHeight w:val="309"/>
          <w:jc w:val="center"/>
        </w:trPr>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3FC53F" w14:textId="77777777" w:rsidR="00515398" w:rsidRDefault="006711E6">
            <w:pPr>
              <w:pStyle w:val="P68B1DB1-Normal9"/>
              <w:spacing w:after="0" w:line="240" w:lineRule="auto"/>
              <w:rPr>
                <w:rFonts w:cs="Calibri"/>
                <w:noProof/>
                <w:szCs w:val="18"/>
              </w:rPr>
            </w:pPr>
            <w:r>
              <w:rPr>
                <w:noProof/>
              </w:rPr>
              <w:t>224</w:t>
            </w:r>
          </w:p>
        </w:tc>
        <w:tc>
          <w:tcPr>
            <w:tcW w:w="1541"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497EB85C" w14:textId="77777777" w:rsidR="00515398" w:rsidRDefault="006711E6">
            <w:pPr>
              <w:pStyle w:val="P68B1DB1-Normal9"/>
              <w:spacing w:after="0" w:line="240" w:lineRule="auto"/>
              <w:rPr>
                <w:rFonts w:cs="Calibri"/>
                <w:noProof/>
                <w:szCs w:val="18"/>
              </w:rPr>
            </w:pPr>
            <w:r>
              <w:rPr>
                <w:noProof/>
              </w:rPr>
              <w:t xml:space="preserve">14–4.3. Zlepšit účinnost soudního systému – 16733_Dovednosti a digitální </w:t>
            </w:r>
            <w:r>
              <w:rPr>
                <w:noProof/>
              </w:rPr>
              <w:t>dovednosti soudců a soudních zaměstnanců (soudní zaměstnanci)</w:t>
            </w:r>
          </w:p>
        </w:tc>
        <w:tc>
          <w:tcPr>
            <w:tcW w:w="1424"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1D737D49" w14:textId="77777777" w:rsidR="00515398" w:rsidRDefault="006711E6">
            <w:pPr>
              <w:pStyle w:val="P68B1DB1-Normal9"/>
              <w:spacing w:after="0" w:line="240" w:lineRule="auto"/>
              <w:rPr>
                <w:rFonts w:cs="Calibri"/>
                <w:noProof/>
                <w:szCs w:val="18"/>
              </w:rPr>
            </w:pPr>
            <w:r>
              <w:rPr>
                <w:noProof/>
              </w:rPr>
              <w:t>Cílová</w:t>
            </w:r>
          </w:p>
        </w:tc>
        <w:tc>
          <w:tcPr>
            <w:tcW w:w="1397"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729A2784" w14:textId="77777777" w:rsidR="00515398" w:rsidRDefault="006711E6">
            <w:pPr>
              <w:pStyle w:val="P68B1DB1-Normal9"/>
              <w:spacing w:after="0" w:line="240" w:lineRule="auto"/>
              <w:rPr>
                <w:rFonts w:cs="Calibri"/>
                <w:noProof/>
                <w:szCs w:val="18"/>
              </w:rPr>
            </w:pPr>
            <w:r>
              <w:rPr>
                <w:noProof/>
              </w:rPr>
              <w:t>Školení – soudci a úředníci</w:t>
            </w:r>
          </w:p>
        </w:tc>
        <w:tc>
          <w:tcPr>
            <w:tcW w:w="1552"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1EEAF688" w14:textId="77777777" w:rsidR="00515398" w:rsidRDefault="00515398">
            <w:pPr>
              <w:spacing w:after="0" w:line="240" w:lineRule="auto"/>
              <w:rPr>
                <w:rFonts w:cs="Calibri"/>
                <w:noProof/>
                <w:color w:val="006100"/>
                <w:sz w:val="18"/>
                <w:szCs w:val="18"/>
              </w:rPr>
            </w:pPr>
          </w:p>
          <w:p w14:paraId="37007162" w14:textId="77777777" w:rsidR="00515398" w:rsidRDefault="00515398">
            <w:pPr>
              <w:spacing w:after="0" w:line="240" w:lineRule="auto"/>
              <w:rPr>
                <w:rFonts w:cs="Calibri"/>
                <w:noProof/>
                <w:color w:val="006100"/>
                <w:sz w:val="18"/>
                <w:szCs w:val="18"/>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270A9C5D" w14:textId="77777777" w:rsidR="00515398" w:rsidRDefault="006711E6">
            <w:pPr>
              <w:pStyle w:val="P68B1DB1-Normal9"/>
              <w:spacing w:after="0" w:line="240" w:lineRule="auto"/>
              <w:rPr>
                <w:rFonts w:cs="Calibri"/>
                <w:noProof/>
                <w:szCs w:val="18"/>
              </w:rPr>
            </w:pPr>
            <w:r>
              <w:rPr>
                <w:noProof/>
              </w:rPr>
              <w:t>Počet soudců zapsaných do státní školy soudců</w:t>
            </w:r>
          </w:p>
        </w:tc>
        <w:tc>
          <w:tcPr>
            <w:tcW w:w="857"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5D1D5481" w14:textId="77777777" w:rsidR="00515398" w:rsidRDefault="006711E6">
            <w:pPr>
              <w:pStyle w:val="P68B1DB1-Normal9"/>
              <w:spacing w:after="0" w:line="240" w:lineRule="auto"/>
              <w:rPr>
                <w:rFonts w:cs="Calibri"/>
                <w:noProof/>
                <w:szCs w:val="18"/>
              </w:rPr>
            </w:pPr>
            <w:r>
              <w:rPr>
                <w:noProof/>
              </w:rPr>
              <w:t>0</w:t>
            </w:r>
          </w:p>
        </w:tc>
        <w:tc>
          <w:tcPr>
            <w:tcW w:w="587"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493FC5F5" w14:textId="77777777" w:rsidR="00515398" w:rsidRDefault="006711E6">
            <w:pPr>
              <w:pStyle w:val="P68B1DB1-Normal9"/>
              <w:spacing w:after="0" w:line="240" w:lineRule="auto"/>
              <w:rPr>
                <w:rFonts w:cs="Calibri"/>
                <w:noProof/>
                <w:szCs w:val="18"/>
              </w:rPr>
            </w:pPr>
            <w:r>
              <w:rPr>
                <w:noProof/>
              </w:rPr>
              <w:t>10</w:t>
            </w:r>
          </w:p>
        </w:tc>
        <w:tc>
          <w:tcPr>
            <w:tcW w:w="846"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2E9A33D4" w14:textId="77777777" w:rsidR="00515398" w:rsidRDefault="006711E6">
            <w:pPr>
              <w:pStyle w:val="P68B1DB1-Normal9"/>
              <w:spacing w:after="0" w:line="240" w:lineRule="auto"/>
              <w:rPr>
                <w:rFonts w:cs="Calibri"/>
                <w:noProof/>
                <w:szCs w:val="18"/>
              </w:rPr>
            </w:pPr>
            <w:r>
              <w:rPr>
                <w:noProof/>
              </w:rPr>
              <w:t>ČTVRTLETÍ 1</w:t>
            </w:r>
          </w:p>
        </w:tc>
        <w:tc>
          <w:tcPr>
            <w:tcW w:w="622"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6CC30E1A" w14:textId="77777777" w:rsidR="00515398" w:rsidRDefault="006711E6">
            <w:pPr>
              <w:pStyle w:val="P68B1DB1-Normal9"/>
              <w:spacing w:after="0" w:line="240" w:lineRule="auto"/>
              <w:rPr>
                <w:rFonts w:cs="Calibri"/>
                <w:noProof/>
                <w:szCs w:val="18"/>
              </w:rPr>
            </w:pPr>
            <w:r>
              <w:rPr>
                <w:noProof/>
              </w:rPr>
              <w:t>2022</w:t>
            </w:r>
          </w:p>
        </w:tc>
        <w:tc>
          <w:tcPr>
            <w:tcW w:w="4885" w:type="dxa"/>
            <w:tcBorders>
              <w:top w:val="single" w:sz="4" w:space="0" w:color="000000" w:themeColor="text1"/>
              <w:left w:val="nil"/>
              <w:bottom w:val="single" w:sz="4" w:space="0" w:color="000000" w:themeColor="text1"/>
              <w:right w:val="single" w:sz="4" w:space="0" w:color="000000" w:themeColor="text1"/>
            </w:tcBorders>
            <w:shd w:val="clear" w:color="auto" w:fill="C6EFCE"/>
          </w:tcPr>
          <w:p w14:paraId="1200DD3B" w14:textId="77777777" w:rsidR="00515398" w:rsidRDefault="006711E6">
            <w:pPr>
              <w:pStyle w:val="P68B1DB1-Normal9"/>
              <w:spacing w:after="0" w:line="240" w:lineRule="auto"/>
              <w:rPr>
                <w:rFonts w:ascii="Times New Roman" w:hAnsi="Times New Roman" w:cs="Times New Roman"/>
                <w:noProof/>
                <w:sz w:val="24"/>
              </w:rPr>
            </w:pPr>
            <w:r>
              <w:rPr>
                <w:noProof/>
              </w:rPr>
              <w:t xml:space="preserve">10 soudců smírčích soudů zapsaných do státní školy soudců </w:t>
            </w:r>
          </w:p>
        </w:tc>
      </w:tr>
      <w:tr w:rsidR="00515398" w14:paraId="14985EEB"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D94A078" w14:textId="77777777" w:rsidR="00515398" w:rsidRDefault="006711E6">
            <w:pPr>
              <w:pStyle w:val="P68B1DB1-Normal9"/>
              <w:spacing w:after="0" w:line="240" w:lineRule="auto"/>
              <w:rPr>
                <w:rFonts w:eastAsia="Times New Roman" w:cs="Calibri"/>
                <w:noProof/>
                <w:szCs w:val="18"/>
              </w:rPr>
            </w:pPr>
            <w:r>
              <w:rPr>
                <w:noProof/>
              </w:rPr>
              <w:t>225</w:t>
            </w:r>
          </w:p>
        </w:tc>
        <w:tc>
          <w:tcPr>
            <w:tcW w:w="1541" w:type="dxa"/>
            <w:tcBorders>
              <w:top w:val="nil"/>
              <w:left w:val="nil"/>
              <w:bottom w:val="single" w:sz="4" w:space="0" w:color="auto"/>
              <w:right w:val="single" w:sz="4" w:space="0" w:color="auto"/>
            </w:tcBorders>
            <w:shd w:val="clear" w:color="auto" w:fill="C6EFCE"/>
            <w:noWrap/>
          </w:tcPr>
          <w:p w14:paraId="59DD0D69" w14:textId="77777777" w:rsidR="00515398" w:rsidRDefault="006711E6">
            <w:pPr>
              <w:pStyle w:val="P68B1DB1-Normal9"/>
              <w:spacing w:after="0" w:line="240" w:lineRule="auto"/>
              <w:rPr>
                <w:rFonts w:eastAsia="Times New Roman"/>
                <w:noProof/>
                <w:szCs w:val="18"/>
              </w:rPr>
            </w:pPr>
            <w:r>
              <w:rPr>
                <w:noProof/>
              </w:rPr>
              <w:t>14–4.3. Zlepšit účinnosti</w:t>
            </w:r>
            <w:r>
              <w:rPr>
                <w:noProof/>
              </w:rPr>
              <w:t xml:space="preserve"> systému spravedlnosti – 16575 Zrychlení soudní správy</w:t>
            </w:r>
          </w:p>
        </w:tc>
        <w:tc>
          <w:tcPr>
            <w:tcW w:w="1424" w:type="dxa"/>
            <w:tcBorders>
              <w:top w:val="nil"/>
              <w:left w:val="nil"/>
              <w:bottom w:val="single" w:sz="4" w:space="0" w:color="auto"/>
              <w:right w:val="single" w:sz="4" w:space="0" w:color="auto"/>
            </w:tcBorders>
            <w:shd w:val="clear" w:color="auto" w:fill="C6EFCE"/>
            <w:noWrap/>
          </w:tcPr>
          <w:p w14:paraId="10584B9D"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nil"/>
              <w:left w:val="nil"/>
              <w:bottom w:val="single" w:sz="4" w:space="0" w:color="auto"/>
              <w:right w:val="single" w:sz="4" w:space="0" w:color="auto"/>
            </w:tcBorders>
            <w:shd w:val="clear" w:color="auto" w:fill="C6EFCE"/>
            <w:noWrap/>
          </w:tcPr>
          <w:p w14:paraId="2659910A" w14:textId="77777777" w:rsidR="00515398" w:rsidRDefault="006711E6">
            <w:pPr>
              <w:pStyle w:val="P68B1DB1-Normal9"/>
              <w:spacing w:after="0" w:line="240" w:lineRule="auto"/>
              <w:rPr>
                <w:rFonts w:eastAsia="Times New Roman"/>
                <w:noProof/>
                <w:szCs w:val="18"/>
              </w:rPr>
            </w:pPr>
            <w:r>
              <w:rPr>
                <w:noProof/>
              </w:rPr>
              <w:t xml:space="preserve">Soudní policie – Sekundární právní předpisy </w:t>
            </w:r>
          </w:p>
        </w:tc>
        <w:tc>
          <w:tcPr>
            <w:tcW w:w="1552" w:type="dxa"/>
            <w:tcBorders>
              <w:top w:val="nil"/>
              <w:left w:val="nil"/>
              <w:bottom w:val="single" w:sz="4" w:space="0" w:color="auto"/>
              <w:right w:val="single" w:sz="4" w:space="0" w:color="auto"/>
            </w:tcBorders>
            <w:shd w:val="clear" w:color="auto" w:fill="C6EFCE"/>
            <w:noWrap/>
          </w:tcPr>
          <w:p w14:paraId="551DFFA7" w14:textId="77777777" w:rsidR="00515398" w:rsidRDefault="006711E6">
            <w:pPr>
              <w:pStyle w:val="P68B1DB1-Normal9"/>
              <w:spacing w:after="0" w:line="240" w:lineRule="auto"/>
              <w:rPr>
                <w:rFonts w:eastAsia="Times New Roman"/>
                <w:noProof/>
                <w:szCs w:val="18"/>
              </w:rPr>
            </w:pPr>
            <w:r>
              <w:rPr>
                <w:noProof/>
              </w:rPr>
              <w:t>Vstup právních předpisů v platnost</w:t>
            </w:r>
          </w:p>
        </w:tc>
        <w:tc>
          <w:tcPr>
            <w:tcW w:w="992" w:type="dxa"/>
            <w:tcBorders>
              <w:top w:val="nil"/>
              <w:left w:val="nil"/>
              <w:bottom w:val="single" w:sz="4" w:space="0" w:color="auto"/>
              <w:right w:val="single" w:sz="4" w:space="0" w:color="auto"/>
            </w:tcBorders>
            <w:shd w:val="clear" w:color="auto" w:fill="C6EFCE"/>
            <w:noWrap/>
          </w:tcPr>
          <w:p w14:paraId="7AE58D65"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36E52D4"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A6C61A9"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AEB77A5" w14:textId="77777777" w:rsidR="00515398" w:rsidRDefault="006711E6">
            <w:pPr>
              <w:pStyle w:val="P68B1DB1-Normal9"/>
              <w:spacing w:after="0" w:line="240" w:lineRule="auto"/>
              <w:rPr>
                <w:rFonts w:eastAsia="Times New Roman"/>
                <w:noProof/>
                <w:szCs w:val="18"/>
              </w:rPr>
            </w:pPr>
            <w:r>
              <w:rPr>
                <w:noProof/>
              </w:rPr>
              <w:t>ČTVRTLETÍ 3</w:t>
            </w:r>
          </w:p>
        </w:tc>
        <w:tc>
          <w:tcPr>
            <w:tcW w:w="622" w:type="dxa"/>
            <w:tcBorders>
              <w:top w:val="nil"/>
              <w:left w:val="nil"/>
              <w:bottom w:val="single" w:sz="4" w:space="0" w:color="auto"/>
              <w:right w:val="single" w:sz="4" w:space="0" w:color="auto"/>
            </w:tcBorders>
            <w:shd w:val="clear" w:color="auto" w:fill="C6EFCE"/>
            <w:noWrap/>
          </w:tcPr>
          <w:p w14:paraId="7659DA51" w14:textId="77777777" w:rsidR="00515398" w:rsidRDefault="006711E6">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70194C69" w14:textId="77777777" w:rsidR="00515398" w:rsidRDefault="006711E6">
            <w:pPr>
              <w:pStyle w:val="P68B1DB1-Normal9"/>
              <w:spacing w:before="120" w:after="120" w:line="240" w:lineRule="auto"/>
              <w:jc w:val="both"/>
              <w:rPr>
                <w:noProof/>
                <w:szCs w:val="18"/>
              </w:rPr>
            </w:pPr>
            <w:r>
              <w:rPr>
                <w:noProof/>
              </w:rPr>
              <w:t xml:space="preserve">Vstup v platnost všech sekundárních právních předpisů (v příslušných případech ve formě </w:t>
            </w:r>
            <w:r>
              <w:rPr>
                <w:noProof/>
              </w:rPr>
              <w:t>prezidentských dekretů nebo ministerských rozhodnutí), které jsou nezbytné pro plné provedení zákona o soudní policii s cílem pomoci justičním orgánům a orgánům činným v trestním řízení:</w:t>
            </w:r>
          </w:p>
          <w:p w14:paraId="15954312"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 xml:space="preserve">poskytování vědecké a technické pomoci soudcům a státním zástupcům v </w:t>
            </w:r>
            <w:r>
              <w:rPr>
                <w:noProof/>
              </w:rPr>
              <w:t xml:space="preserve">záležitostech vyžadujících technické nebo odborné znalosti; </w:t>
            </w:r>
          </w:p>
          <w:p w14:paraId="1A3AC4CF"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provádění předběžných šetření a šetření;</w:t>
            </w:r>
          </w:p>
          <w:p w14:paraId="5B9D06AC"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výkon zatýkacích rozkazů;</w:t>
            </w:r>
          </w:p>
          <w:p w14:paraId="3215EDA5"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poskytování pomoci při podávání žádostí o soudní pomoc nebo při vyřizování žádostí o soudní pomoc;</w:t>
            </w:r>
          </w:p>
          <w:p w14:paraId="0E4AA1C5"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doručování písemností a proce</w:t>
            </w:r>
            <w:r>
              <w:rPr>
                <w:noProof/>
              </w:rPr>
              <w:t>sních úkonů;</w:t>
            </w:r>
          </w:p>
          <w:p w14:paraId="602CB956"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výkon soudních rozhodnutí;</w:t>
            </w:r>
          </w:p>
          <w:p w14:paraId="2ECF0FFB"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ostraha a udržování pořádku v soudních domech;</w:t>
            </w:r>
          </w:p>
          <w:p w14:paraId="58A4CDB3" w14:textId="77777777" w:rsidR="00515398" w:rsidRDefault="006711E6">
            <w:pPr>
              <w:pStyle w:val="P68B1DB1-Normal9"/>
              <w:numPr>
                <w:ilvl w:val="0"/>
                <w:numId w:val="56"/>
              </w:numPr>
              <w:spacing w:before="120" w:after="0" w:line="240" w:lineRule="auto"/>
              <w:ind w:left="231" w:hanging="219"/>
              <w:jc w:val="both"/>
              <w:rPr>
                <w:noProof/>
                <w:szCs w:val="18"/>
              </w:rPr>
            </w:pPr>
            <w:r>
              <w:rPr>
                <w:noProof/>
              </w:rPr>
              <w:t>jiné procesní úkony, které jí byly svěřeny příslušnými soudy a státními zástupci</w:t>
            </w:r>
          </w:p>
          <w:p w14:paraId="45742ABD" w14:textId="77777777" w:rsidR="00515398" w:rsidRDefault="00515398">
            <w:pPr>
              <w:spacing w:after="0" w:line="240" w:lineRule="auto"/>
              <w:rPr>
                <w:rFonts w:eastAsia="Times New Roman"/>
                <w:noProof/>
                <w:color w:val="006100"/>
                <w:sz w:val="18"/>
                <w:szCs w:val="18"/>
              </w:rPr>
            </w:pPr>
          </w:p>
        </w:tc>
      </w:tr>
      <w:tr w:rsidR="00515398" w14:paraId="3358847F"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47E1113" w14:textId="77777777" w:rsidR="00515398" w:rsidRDefault="006711E6">
            <w:pPr>
              <w:pStyle w:val="P68B1DB1-Normal9"/>
              <w:spacing w:after="0" w:line="240" w:lineRule="auto"/>
              <w:rPr>
                <w:rFonts w:eastAsia="Times New Roman" w:cs="Calibri"/>
                <w:noProof/>
                <w:szCs w:val="18"/>
              </w:rPr>
            </w:pPr>
            <w:r>
              <w:rPr>
                <w:noProof/>
              </w:rPr>
              <w:t>226</w:t>
            </w:r>
          </w:p>
        </w:tc>
        <w:tc>
          <w:tcPr>
            <w:tcW w:w="1541" w:type="dxa"/>
            <w:tcBorders>
              <w:top w:val="nil"/>
              <w:left w:val="nil"/>
              <w:bottom w:val="single" w:sz="4" w:space="0" w:color="auto"/>
              <w:right w:val="single" w:sz="4" w:space="0" w:color="auto"/>
            </w:tcBorders>
            <w:shd w:val="clear" w:color="auto" w:fill="C6EFCE"/>
            <w:noWrap/>
          </w:tcPr>
          <w:p w14:paraId="6361C61D" w14:textId="77777777" w:rsidR="00515398" w:rsidRDefault="006711E6">
            <w:pPr>
              <w:pStyle w:val="P68B1DB1-Normal9"/>
              <w:spacing w:after="0" w:line="240" w:lineRule="auto"/>
              <w:rPr>
                <w:rFonts w:eastAsia="Times New Roman"/>
                <w:noProof/>
                <w:szCs w:val="18"/>
              </w:rPr>
            </w:pPr>
            <w:r>
              <w:rPr>
                <w:noProof/>
              </w:rPr>
              <w:t>14–4.3. Zlepšit účinnosti systému spravedlnosti – 16575 Zrychlení soudní správy</w:t>
            </w:r>
          </w:p>
        </w:tc>
        <w:tc>
          <w:tcPr>
            <w:tcW w:w="1424" w:type="dxa"/>
            <w:tcBorders>
              <w:top w:val="nil"/>
              <w:left w:val="nil"/>
              <w:bottom w:val="single" w:sz="4" w:space="0" w:color="auto"/>
              <w:right w:val="single" w:sz="4" w:space="0" w:color="auto"/>
            </w:tcBorders>
            <w:shd w:val="clear" w:color="auto" w:fill="C6EFCE"/>
            <w:noWrap/>
          </w:tcPr>
          <w:p w14:paraId="38FA39ED"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nil"/>
              <w:left w:val="nil"/>
              <w:bottom w:val="single" w:sz="4" w:space="0" w:color="auto"/>
              <w:right w:val="single" w:sz="4" w:space="0" w:color="auto"/>
            </w:tcBorders>
            <w:shd w:val="clear" w:color="auto" w:fill="C6EFCE"/>
            <w:noWrap/>
          </w:tcPr>
          <w:p w14:paraId="728D0872" w14:textId="77777777" w:rsidR="00515398" w:rsidRDefault="006711E6">
            <w:pPr>
              <w:pStyle w:val="P68B1DB1-Normal9"/>
              <w:spacing w:after="0" w:line="240" w:lineRule="auto"/>
              <w:rPr>
                <w:rFonts w:eastAsia="Times New Roman"/>
                <w:noProof/>
                <w:szCs w:val="18"/>
              </w:rPr>
            </w:pPr>
            <w:r>
              <w:rPr>
                <w:noProof/>
              </w:rPr>
              <w:t>Soudní mapa – primární právo – správní</w:t>
            </w:r>
          </w:p>
        </w:tc>
        <w:tc>
          <w:tcPr>
            <w:tcW w:w="1552" w:type="dxa"/>
            <w:tcBorders>
              <w:top w:val="nil"/>
              <w:left w:val="nil"/>
              <w:bottom w:val="single" w:sz="4" w:space="0" w:color="auto"/>
              <w:right w:val="single" w:sz="4" w:space="0" w:color="auto"/>
            </w:tcBorders>
            <w:shd w:val="clear" w:color="auto" w:fill="C6EFCE"/>
            <w:noWrap/>
          </w:tcPr>
          <w:p w14:paraId="2789E4F7" w14:textId="77777777" w:rsidR="00515398" w:rsidRDefault="006711E6">
            <w:pPr>
              <w:pStyle w:val="P68B1DB1-Normal9"/>
              <w:spacing w:after="0" w:line="240" w:lineRule="auto"/>
              <w:rPr>
                <w:rFonts w:eastAsia="Times New Roman"/>
                <w:noProof/>
                <w:szCs w:val="18"/>
              </w:rPr>
            </w:pPr>
            <w:r>
              <w:rPr>
                <w:noProof/>
              </w:rPr>
              <w:t>Vstup právních předpisů v platnost</w:t>
            </w:r>
          </w:p>
        </w:tc>
        <w:tc>
          <w:tcPr>
            <w:tcW w:w="992" w:type="dxa"/>
            <w:tcBorders>
              <w:top w:val="nil"/>
              <w:left w:val="nil"/>
              <w:bottom w:val="single" w:sz="4" w:space="0" w:color="auto"/>
              <w:right w:val="single" w:sz="4" w:space="0" w:color="auto"/>
            </w:tcBorders>
            <w:shd w:val="clear" w:color="auto" w:fill="C6EFCE"/>
            <w:noWrap/>
          </w:tcPr>
          <w:p w14:paraId="7021B2C4"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7D3FDA4"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AB660E7"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1B08670"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nil"/>
              <w:left w:val="nil"/>
              <w:bottom w:val="single" w:sz="4" w:space="0" w:color="auto"/>
              <w:right w:val="single" w:sz="4" w:space="0" w:color="auto"/>
            </w:tcBorders>
            <w:shd w:val="clear" w:color="auto" w:fill="C6EFCE"/>
            <w:noWrap/>
          </w:tcPr>
          <w:p w14:paraId="2C224EBB" w14:textId="77777777" w:rsidR="00515398" w:rsidRDefault="006711E6">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3B331FD2" w14:textId="77777777" w:rsidR="00515398" w:rsidRDefault="006711E6">
            <w:pPr>
              <w:pStyle w:val="P68B1DB1-Normal9"/>
              <w:spacing w:after="0" w:line="240" w:lineRule="auto"/>
              <w:rPr>
                <w:noProof/>
                <w:szCs w:val="18"/>
              </w:rPr>
            </w:pPr>
            <w:r>
              <w:rPr>
                <w:noProof/>
              </w:rPr>
              <w:t xml:space="preserve">Vstup v platnost primárních právních předpisů pro revizi soudní mapy správního soudnictví. </w:t>
            </w:r>
          </w:p>
        </w:tc>
      </w:tr>
      <w:tr w:rsidR="00515398" w14:paraId="5B6E9EB5"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65DFC15E" w14:textId="77777777" w:rsidR="00515398" w:rsidRDefault="006711E6">
            <w:pPr>
              <w:pStyle w:val="P68B1DB1-Normal9"/>
              <w:spacing w:after="0" w:line="240" w:lineRule="auto"/>
              <w:rPr>
                <w:rFonts w:eastAsia="Times New Roman"/>
                <w:noProof/>
                <w:szCs w:val="18"/>
              </w:rPr>
            </w:pPr>
            <w:r>
              <w:rPr>
                <w:noProof/>
              </w:rPr>
              <w:t>227</w:t>
            </w:r>
          </w:p>
        </w:tc>
        <w:tc>
          <w:tcPr>
            <w:tcW w:w="1541" w:type="dxa"/>
            <w:tcBorders>
              <w:top w:val="nil"/>
              <w:left w:val="nil"/>
              <w:bottom w:val="single" w:sz="4" w:space="0" w:color="auto"/>
              <w:right w:val="single" w:sz="4" w:space="0" w:color="auto"/>
            </w:tcBorders>
            <w:shd w:val="clear" w:color="auto" w:fill="C6EFCE"/>
            <w:noWrap/>
          </w:tcPr>
          <w:p w14:paraId="540A2D0E" w14:textId="77777777" w:rsidR="00515398" w:rsidRDefault="006711E6">
            <w:pPr>
              <w:pStyle w:val="P68B1DB1-Normal9"/>
              <w:spacing w:after="0" w:line="240" w:lineRule="auto"/>
              <w:rPr>
                <w:rFonts w:eastAsia="Times New Roman"/>
                <w:noProof/>
                <w:szCs w:val="18"/>
              </w:rPr>
            </w:pPr>
            <w:r>
              <w:rPr>
                <w:noProof/>
              </w:rPr>
              <w:t xml:space="preserve">14–4.3. Zlepšení účinnosti soudního systému – </w:t>
            </w:r>
            <w:r>
              <w:rPr>
                <w:noProof/>
              </w:rPr>
              <w:t>16292_Nové soudní budovy</w:t>
            </w:r>
          </w:p>
        </w:tc>
        <w:tc>
          <w:tcPr>
            <w:tcW w:w="1424" w:type="dxa"/>
            <w:tcBorders>
              <w:top w:val="nil"/>
              <w:left w:val="nil"/>
              <w:bottom w:val="single" w:sz="4" w:space="0" w:color="auto"/>
              <w:right w:val="single" w:sz="4" w:space="0" w:color="auto"/>
            </w:tcBorders>
            <w:shd w:val="clear" w:color="auto" w:fill="C6EFCE"/>
            <w:noWrap/>
          </w:tcPr>
          <w:p w14:paraId="256F603C"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nil"/>
              <w:left w:val="nil"/>
              <w:bottom w:val="single" w:sz="4" w:space="0" w:color="auto"/>
              <w:right w:val="single" w:sz="4" w:space="0" w:color="auto"/>
            </w:tcBorders>
            <w:shd w:val="clear" w:color="auto" w:fill="C6EFCE"/>
            <w:noWrap/>
          </w:tcPr>
          <w:p w14:paraId="3CCB91B9" w14:textId="77777777" w:rsidR="00515398" w:rsidRDefault="006711E6">
            <w:pPr>
              <w:pStyle w:val="P68B1DB1-Normal9"/>
              <w:spacing w:after="0" w:line="240" w:lineRule="auto"/>
              <w:rPr>
                <w:rFonts w:eastAsia="Times New Roman"/>
                <w:noProof/>
                <w:szCs w:val="18"/>
              </w:rPr>
            </w:pPr>
            <w:r>
              <w:rPr>
                <w:noProof/>
              </w:rPr>
              <w:t>Výstavba a renovace soudních budov – Úprava seznamů – Zahájení nabídkových řízení</w:t>
            </w:r>
          </w:p>
        </w:tc>
        <w:tc>
          <w:tcPr>
            <w:tcW w:w="1552" w:type="dxa"/>
            <w:tcBorders>
              <w:top w:val="nil"/>
              <w:left w:val="nil"/>
              <w:bottom w:val="single" w:sz="4" w:space="0" w:color="auto"/>
              <w:right w:val="single" w:sz="4" w:space="0" w:color="auto"/>
            </w:tcBorders>
            <w:shd w:val="clear" w:color="auto" w:fill="C6EFCE"/>
            <w:noWrap/>
          </w:tcPr>
          <w:p w14:paraId="68A23B53" w14:textId="77777777" w:rsidR="00515398" w:rsidRDefault="006711E6">
            <w:pPr>
              <w:pStyle w:val="P68B1DB1-Normal9"/>
              <w:spacing w:after="0" w:line="240" w:lineRule="auto"/>
              <w:rPr>
                <w:rFonts w:eastAsia="Times New Roman"/>
                <w:noProof/>
                <w:szCs w:val="18"/>
              </w:rPr>
            </w:pPr>
            <w:r>
              <w:rPr>
                <w:noProof/>
              </w:rPr>
              <w:t>Seznam renovačních projektů v souladu s příslušným zákonem o revizi soudní mapy podle milníku 14 4.3/Q4 2022; zahájení nabídkových řízení</w:t>
            </w:r>
          </w:p>
        </w:tc>
        <w:tc>
          <w:tcPr>
            <w:tcW w:w="992" w:type="dxa"/>
            <w:tcBorders>
              <w:top w:val="nil"/>
              <w:left w:val="nil"/>
              <w:bottom w:val="single" w:sz="4" w:space="0" w:color="auto"/>
              <w:right w:val="single" w:sz="4" w:space="0" w:color="auto"/>
            </w:tcBorders>
            <w:shd w:val="clear" w:color="auto" w:fill="C6EFCE"/>
            <w:noWrap/>
          </w:tcPr>
          <w:p w14:paraId="32CAC62E" w14:textId="77777777" w:rsidR="00515398" w:rsidRDefault="00515398">
            <w:pPr>
              <w:spacing w:after="0" w:line="240" w:lineRule="auto"/>
              <w:rPr>
                <w:rFonts w:eastAsia="Times New Roman"/>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821A330" w14:textId="77777777" w:rsidR="00515398" w:rsidRDefault="00515398">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2D7E1F10" w14:textId="77777777" w:rsidR="00515398" w:rsidRDefault="00515398">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A7A6C3F"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nil"/>
              <w:left w:val="nil"/>
              <w:bottom w:val="single" w:sz="4" w:space="0" w:color="auto"/>
              <w:right w:val="single" w:sz="4" w:space="0" w:color="auto"/>
            </w:tcBorders>
            <w:shd w:val="clear" w:color="auto" w:fill="C6EFCE"/>
            <w:noWrap/>
          </w:tcPr>
          <w:p w14:paraId="25979903" w14:textId="77777777" w:rsidR="00515398" w:rsidRDefault="006711E6">
            <w:pPr>
              <w:pStyle w:val="P68B1DB1-Normal9"/>
              <w:spacing w:after="0" w:line="240" w:lineRule="auto"/>
              <w:rPr>
                <w:rFonts w:eastAsia="Times New Roman"/>
                <w:noProof/>
                <w:szCs w:val="18"/>
              </w:rPr>
            </w:pPr>
            <w:r>
              <w:rPr>
                <w:noProof/>
              </w:rPr>
              <w:t>2022</w:t>
            </w:r>
          </w:p>
        </w:tc>
        <w:tc>
          <w:tcPr>
            <w:tcW w:w="4885" w:type="dxa"/>
            <w:tcBorders>
              <w:top w:val="nil"/>
              <w:left w:val="nil"/>
              <w:bottom w:val="single" w:sz="4" w:space="0" w:color="auto"/>
              <w:right w:val="single" w:sz="4" w:space="0" w:color="auto"/>
            </w:tcBorders>
            <w:shd w:val="clear" w:color="auto" w:fill="C6EFCE"/>
            <w:noWrap/>
          </w:tcPr>
          <w:p w14:paraId="43D5BFB0" w14:textId="77777777" w:rsidR="00515398" w:rsidRDefault="006711E6">
            <w:pPr>
              <w:pStyle w:val="P68B1DB1-Normal9"/>
              <w:spacing w:after="0" w:line="240" w:lineRule="auto"/>
              <w:rPr>
                <w:noProof/>
                <w:szCs w:val="18"/>
              </w:rPr>
            </w:pPr>
            <w:r>
              <w:rPr>
                <w:noProof/>
              </w:rPr>
              <w:t>Úprava seznamu projektů v souladu s revizí soudní mapy, jak byla přijata v zákoně.</w:t>
            </w:r>
          </w:p>
          <w:p w14:paraId="7A27943B" w14:textId="77777777" w:rsidR="00515398" w:rsidRDefault="006711E6">
            <w:pPr>
              <w:pStyle w:val="P68B1DB1-Normal9"/>
              <w:spacing w:after="0" w:line="240" w:lineRule="auto"/>
              <w:rPr>
                <w:rFonts w:eastAsia="Times New Roman"/>
                <w:noProof/>
                <w:szCs w:val="18"/>
              </w:rPr>
            </w:pPr>
            <w:r>
              <w:rPr>
                <w:noProof/>
              </w:rPr>
              <w:t>Zahájení nabídkových řízení týkajících se správních soudů. Podmínky nabídkového řízení stanoví, že nově postavené budovy musí dosáhnout spotřeby primárn</w:t>
            </w:r>
            <w:r>
              <w:rPr>
                <w:noProof/>
              </w:rPr>
              <w:t>í energie, která je nejméně o 20 % nižší než požadavek na budovy s téměř nulovou spotřebou energie (budova s téměř nulovou spotřebou energie, vnitrostátní směrnice).</w:t>
            </w:r>
          </w:p>
        </w:tc>
      </w:tr>
      <w:tr w:rsidR="00515398" w14:paraId="67F3ECDF"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3DCB6896" w14:textId="77777777" w:rsidR="00515398" w:rsidRDefault="006711E6">
            <w:pPr>
              <w:pStyle w:val="P68B1DB1-Normal9"/>
              <w:spacing w:after="0" w:line="240" w:lineRule="auto"/>
              <w:rPr>
                <w:rFonts w:eastAsia="Times New Roman"/>
                <w:noProof/>
                <w:szCs w:val="18"/>
              </w:rPr>
            </w:pPr>
            <w:r>
              <w:rPr>
                <w:noProof/>
              </w:rPr>
              <w:t>228</w:t>
            </w:r>
          </w:p>
        </w:tc>
        <w:tc>
          <w:tcPr>
            <w:tcW w:w="1541" w:type="dxa"/>
            <w:tcBorders>
              <w:top w:val="nil"/>
              <w:left w:val="nil"/>
              <w:bottom w:val="single" w:sz="4" w:space="0" w:color="auto"/>
              <w:right w:val="single" w:sz="4" w:space="0" w:color="auto"/>
            </w:tcBorders>
            <w:shd w:val="clear" w:color="auto" w:fill="C6EFCE"/>
            <w:noWrap/>
          </w:tcPr>
          <w:p w14:paraId="3F780C5F" w14:textId="77777777" w:rsidR="00515398" w:rsidRDefault="006711E6">
            <w:pPr>
              <w:pStyle w:val="P68B1DB1-Normal9"/>
              <w:spacing w:after="0" w:line="240" w:lineRule="auto"/>
              <w:rPr>
                <w:rFonts w:eastAsia="Times New Roman"/>
                <w:noProof/>
                <w:szCs w:val="18"/>
              </w:rPr>
            </w:pPr>
            <w:r>
              <w:rPr>
                <w:noProof/>
              </w:rPr>
              <w:t xml:space="preserve">14–4.3. Zlepšit účinnost soudního systému – 16733_Dovednosti a digitální dovednosti </w:t>
            </w:r>
            <w:r>
              <w:rPr>
                <w:noProof/>
              </w:rPr>
              <w:t>soudců a soudních zaměstnanců (soudní zaměstnanci)</w:t>
            </w:r>
          </w:p>
        </w:tc>
        <w:tc>
          <w:tcPr>
            <w:tcW w:w="1424" w:type="dxa"/>
            <w:tcBorders>
              <w:top w:val="nil"/>
              <w:left w:val="nil"/>
              <w:bottom w:val="single" w:sz="4" w:space="0" w:color="auto"/>
              <w:right w:val="single" w:sz="4" w:space="0" w:color="auto"/>
            </w:tcBorders>
            <w:shd w:val="clear" w:color="auto" w:fill="C6EFCE"/>
            <w:noWrap/>
          </w:tcPr>
          <w:p w14:paraId="7B7F7618" w14:textId="77777777" w:rsidR="00515398" w:rsidRDefault="006711E6">
            <w:pPr>
              <w:pStyle w:val="P68B1DB1-Normal9"/>
              <w:spacing w:after="0" w:line="240" w:lineRule="auto"/>
              <w:rPr>
                <w:rFonts w:eastAsia="Times New Roman"/>
                <w:noProof/>
                <w:szCs w:val="18"/>
              </w:rPr>
            </w:pPr>
            <w:r>
              <w:rPr>
                <w:noProof/>
              </w:rPr>
              <w:t>Cílová</w:t>
            </w:r>
          </w:p>
        </w:tc>
        <w:tc>
          <w:tcPr>
            <w:tcW w:w="1397" w:type="dxa"/>
            <w:tcBorders>
              <w:top w:val="nil"/>
              <w:left w:val="nil"/>
              <w:bottom w:val="single" w:sz="4" w:space="0" w:color="auto"/>
              <w:right w:val="single" w:sz="4" w:space="0" w:color="auto"/>
            </w:tcBorders>
            <w:shd w:val="clear" w:color="auto" w:fill="C6EFCE"/>
            <w:noWrap/>
          </w:tcPr>
          <w:p w14:paraId="63E271E6" w14:textId="77777777" w:rsidR="00515398" w:rsidRDefault="006711E6">
            <w:pPr>
              <w:pStyle w:val="P68B1DB1-Normal9"/>
              <w:spacing w:after="0" w:line="240" w:lineRule="auto"/>
              <w:rPr>
                <w:rFonts w:eastAsia="Times New Roman"/>
                <w:noProof/>
                <w:szCs w:val="18"/>
              </w:rPr>
            </w:pPr>
            <w:r>
              <w:rPr>
                <w:noProof/>
              </w:rPr>
              <w:t>Školení – soudci a úředníci</w:t>
            </w:r>
          </w:p>
        </w:tc>
        <w:tc>
          <w:tcPr>
            <w:tcW w:w="1552" w:type="dxa"/>
            <w:tcBorders>
              <w:top w:val="nil"/>
              <w:left w:val="nil"/>
              <w:bottom w:val="single" w:sz="4" w:space="0" w:color="auto"/>
              <w:right w:val="single" w:sz="4" w:space="0" w:color="auto"/>
            </w:tcBorders>
            <w:shd w:val="clear" w:color="auto" w:fill="C6EFCE"/>
            <w:noWrap/>
          </w:tcPr>
          <w:p w14:paraId="01387613" w14:textId="77777777" w:rsidR="00515398" w:rsidRDefault="00515398">
            <w:pPr>
              <w:spacing w:after="0" w:line="240" w:lineRule="auto"/>
              <w:rPr>
                <w:rFonts w:eastAsia="Times New Roman"/>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6E16717E" w14:textId="77777777" w:rsidR="00515398" w:rsidRDefault="006711E6">
            <w:pPr>
              <w:pStyle w:val="P68B1DB1-Normal9"/>
              <w:spacing w:after="0" w:line="240" w:lineRule="auto"/>
              <w:rPr>
                <w:rFonts w:eastAsia="Times New Roman"/>
                <w:noProof/>
                <w:szCs w:val="18"/>
              </w:rPr>
            </w:pPr>
            <w:r>
              <w:rPr>
                <w:noProof/>
              </w:rPr>
              <w:t>Počet soudců zapsaných do státní školy soudců</w:t>
            </w:r>
          </w:p>
        </w:tc>
        <w:tc>
          <w:tcPr>
            <w:tcW w:w="857" w:type="dxa"/>
            <w:tcBorders>
              <w:top w:val="nil"/>
              <w:left w:val="nil"/>
              <w:bottom w:val="single" w:sz="4" w:space="0" w:color="auto"/>
              <w:right w:val="single" w:sz="4" w:space="0" w:color="auto"/>
            </w:tcBorders>
            <w:shd w:val="clear" w:color="auto" w:fill="C6EFCE"/>
            <w:noWrap/>
          </w:tcPr>
          <w:p w14:paraId="6E0CF09F" w14:textId="77777777" w:rsidR="00515398" w:rsidRDefault="006711E6">
            <w:pPr>
              <w:pStyle w:val="P68B1DB1-Normal9"/>
              <w:spacing w:after="0" w:line="240" w:lineRule="auto"/>
              <w:rPr>
                <w:rFonts w:eastAsia="Times New Roman"/>
                <w:noProof/>
                <w:szCs w:val="18"/>
              </w:rPr>
            </w:pPr>
            <w:r>
              <w:rPr>
                <w:noProof/>
              </w:rPr>
              <w:t>10</w:t>
            </w:r>
          </w:p>
        </w:tc>
        <w:tc>
          <w:tcPr>
            <w:tcW w:w="587" w:type="dxa"/>
            <w:tcBorders>
              <w:top w:val="nil"/>
              <w:left w:val="nil"/>
              <w:bottom w:val="single" w:sz="4" w:space="0" w:color="auto"/>
              <w:right w:val="single" w:sz="4" w:space="0" w:color="auto"/>
            </w:tcBorders>
            <w:shd w:val="clear" w:color="auto" w:fill="C6EFCE"/>
            <w:noWrap/>
          </w:tcPr>
          <w:p w14:paraId="01780744" w14:textId="77777777" w:rsidR="00515398" w:rsidRDefault="006711E6">
            <w:pPr>
              <w:pStyle w:val="P68B1DB1-Normal9"/>
              <w:spacing w:after="0" w:line="240" w:lineRule="auto"/>
              <w:rPr>
                <w:rFonts w:eastAsia="Times New Roman"/>
                <w:noProof/>
                <w:szCs w:val="18"/>
              </w:rPr>
            </w:pPr>
            <w:r>
              <w:rPr>
                <w:noProof/>
              </w:rPr>
              <w:t>25</w:t>
            </w:r>
          </w:p>
        </w:tc>
        <w:tc>
          <w:tcPr>
            <w:tcW w:w="846" w:type="dxa"/>
            <w:tcBorders>
              <w:top w:val="nil"/>
              <w:left w:val="nil"/>
              <w:bottom w:val="single" w:sz="4" w:space="0" w:color="auto"/>
              <w:right w:val="single" w:sz="4" w:space="0" w:color="auto"/>
            </w:tcBorders>
            <w:shd w:val="clear" w:color="auto" w:fill="C6EFCE"/>
            <w:noWrap/>
          </w:tcPr>
          <w:p w14:paraId="74BB66C9" w14:textId="77777777" w:rsidR="00515398" w:rsidRDefault="006711E6">
            <w:pPr>
              <w:pStyle w:val="P68B1DB1-Normal9"/>
              <w:spacing w:after="0" w:line="240" w:lineRule="auto"/>
              <w:rPr>
                <w:rFonts w:eastAsia="Times New Roman"/>
                <w:noProof/>
                <w:szCs w:val="18"/>
              </w:rPr>
            </w:pPr>
            <w:r>
              <w:rPr>
                <w:noProof/>
              </w:rPr>
              <w:t>ČTVRTLETÍ 1</w:t>
            </w:r>
          </w:p>
        </w:tc>
        <w:tc>
          <w:tcPr>
            <w:tcW w:w="622" w:type="dxa"/>
            <w:tcBorders>
              <w:top w:val="nil"/>
              <w:left w:val="nil"/>
              <w:bottom w:val="single" w:sz="4" w:space="0" w:color="auto"/>
              <w:right w:val="single" w:sz="4" w:space="0" w:color="auto"/>
            </w:tcBorders>
            <w:shd w:val="clear" w:color="auto" w:fill="C6EFCE"/>
            <w:noWrap/>
          </w:tcPr>
          <w:p w14:paraId="546317DE" w14:textId="77777777" w:rsidR="00515398" w:rsidRDefault="006711E6">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tcPr>
          <w:p w14:paraId="789785C6" w14:textId="77777777" w:rsidR="00515398" w:rsidRDefault="006711E6">
            <w:pPr>
              <w:pStyle w:val="P68B1DB1-Normal9"/>
              <w:spacing w:after="0" w:line="240" w:lineRule="auto"/>
              <w:rPr>
                <w:rFonts w:eastAsia="Times New Roman"/>
                <w:noProof/>
                <w:szCs w:val="18"/>
              </w:rPr>
            </w:pPr>
            <w:r>
              <w:rPr>
                <w:noProof/>
              </w:rPr>
              <w:t xml:space="preserve">14 dalších soudců smírčích soudů zapsaných do státní školy soudců, 1 soudce auditního soudu zapsaný </w:t>
            </w:r>
            <w:r>
              <w:rPr>
                <w:noProof/>
              </w:rPr>
              <w:t>do státní školy soudců. Celkový počet soudců účastnících se odborné přípravy se tak zvýší na 25.</w:t>
            </w:r>
          </w:p>
        </w:tc>
      </w:tr>
      <w:tr w:rsidR="00515398" w14:paraId="1E9EA164"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13D30F3D" w14:textId="77777777" w:rsidR="00515398" w:rsidRDefault="006711E6">
            <w:pPr>
              <w:pStyle w:val="P68B1DB1-Normal9"/>
              <w:spacing w:after="0" w:line="240" w:lineRule="auto"/>
              <w:rPr>
                <w:rFonts w:eastAsia="Times New Roman"/>
                <w:noProof/>
                <w:szCs w:val="18"/>
              </w:rPr>
            </w:pPr>
            <w:r>
              <w:rPr>
                <w:noProof/>
              </w:rPr>
              <w:t>229</w:t>
            </w:r>
          </w:p>
        </w:tc>
        <w:tc>
          <w:tcPr>
            <w:tcW w:w="1541" w:type="dxa"/>
            <w:tcBorders>
              <w:top w:val="nil"/>
              <w:left w:val="nil"/>
              <w:bottom w:val="single" w:sz="4" w:space="0" w:color="auto"/>
              <w:right w:val="single" w:sz="4" w:space="0" w:color="auto"/>
            </w:tcBorders>
            <w:shd w:val="clear" w:color="auto" w:fill="C6EFCE"/>
            <w:noWrap/>
          </w:tcPr>
          <w:p w14:paraId="22FC640A" w14:textId="77777777" w:rsidR="00515398" w:rsidRDefault="006711E6">
            <w:pPr>
              <w:pStyle w:val="P68B1DB1-Normal9"/>
              <w:spacing w:after="0" w:line="240" w:lineRule="auto"/>
              <w:rPr>
                <w:rFonts w:eastAsia="Times New Roman"/>
                <w:noProof/>
                <w:szCs w:val="18"/>
              </w:rPr>
            </w:pPr>
            <w:r>
              <w:rPr>
                <w:noProof/>
              </w:rPr>
              <w:t xml:space="preserve"> 14–4.3. Zlepšit účinnost soudního systému — </w:t>
            </w:r>
          </w:p>
          <w:p w14:paraId="4796950C" w14:textId="77777777" w:rsidR="00515398" w:rsidRDefault="006711E6">
            <w:pPr>
              <w:pStyle w:val="P68B1DB1-Normal9"/>
              <w:spacing w:after="0" w:line="240" w:lineRule="auto"/>
              <w:rPr>
                <w:rFonts w:eastAsia="Times New Roman"/>
                <w:noProof/>
                <w:szCs w:val="18"/>
              </w:rPr>
            </w:pPr>
            <w:r>
              <w:rPr>
                <w:noProof/>
              </w:rPr>
              <w:t>16727 Digitální transformace soudnictví (e-justice)</w:t>
            </w:r>
          </w:p>
        </w:tc>
        <w:tc>
          <w:tcPr>
            <w:tcW w:w="1424" w:type="dxa"/>
            <w:tcBorders>
              <w:top w:val="nil"/>
              <w:left w:val="nil"/>
              <w:bottom w:val="single" w:sz="4" w:space="0" w:color="auto"/>
              <w:right w:val="single" w:sz="4" w:space="0" w:color="auto"/>
            </w:tcBorders>
            <w:shd w:val="clear" w:color="auto" w:fill="C6EFCE"/>
            <w:noWrap/>
          </w:tcPr>
          <w:p w14:paraId="76E0B6C9"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nil"/>
              <w:left w:val="nil"/>
              <w:bottom w:val="single" w:sz="4" w:space="0" w:color="auto"/>
              <w:right w:val="single" w:sz="4" w:space="0" w:color="auto"/>
            </w:tcBorders>
            <w:shd w:val="clear" w:color="auto" w:fill="C6EFCE"/>
            <w:noWrap/>
          </w:tcPr>
          <w:p w14:paraId="25D13D86" w14:textId="77777777" w:rsidR="00515398" w:rsidRDefault="006711E6">
            <w:pPr>
              <w:pStyle w:val="P68B1DB1-Normal9"/>
              <w:spacing w:after="0" w:line="240" w:lineRule="auto"/>
              <w:rPr>
                <w:rFonts w:eastAsia="Times New Roman"/>
                <w:noProof/>
                <w:szCs w:val="18"/>
              </w:rPr>
            </w:pPr>
            <w:r>
              <w:rPr>
                <w:noProof/>
              </w:rPr>
              <w:t xml:space="preserve">Modernizace záznamových systémů a justičních </w:t>
            </w:r>
            <w:r>
              <w:rPr>
                <w:noProof/>
              </w:rPr>
              <w:t>systémů IT</w:t>
            </w:r>
          </w:p>
        </w:tc>
        <w:tc>
          <w:tcPr>
            <w:tcW w:w="1552" w:type="dxa"/>
            <w:tcBorders>
              <w:top w:val="nil"/>
              <w:left w:val="nil"/>
              <w:bottom w:val="single" w:sz="4" w:space="0" w:color="auto"/>
              <w:right w:val="single" w:sz="4" w:space="0" w:color="auto"/>
            </w:tcBorders>
            <w:shd w:val="clear" w:color="auto" w:fill="C6EFCE"/>
            <w:noWrap/>
          </w:tcPr>
          <w:p w14:paraId="673204EF" w14:textId="77777777" w:rsidR="00515398" w:rsidRDefault="006711E6">
            <w:pPr>
              <w:pStyle w:val="P68B1DB1-Normal9"/>
              <w:spacing w:after="0" w:line="240" w:lineRule="auto"/>
              <w:rPr>
                <w:rFonts w:eastAsia="Times New Roman"/>
                <w:noProof/>
                <w:szCs w:val="18"/>
              </w:rPr>
            </w:pPr>
            <w:r>
              <w:rPr>
                <w:noProof/>
              </w:rPr>
              <w:t xml:space="preserve">Zprávy o auditu projektu k potvrzení dodržování smluvních závazků </w:t>
            </w:r>
          </w:p>
        </w:tc>
        <w:tc>
          <w:tcPr>
            <w:tcW w:w="992" w:type="dxa"/>
            <w:tcBorders>
              <w:top w:val="nil"/>
              <w:left w:val="nil"/>
              <w:bottom w:val="single" w:sz="4" w:space="0" w:color="auto"/>
              <w:right w:val="single" w:sz="4" w:space="0" w:color="auto"/>
            </w:tcBorders>
            <w:shd w:val="clear" w:color="auto" w:fill="C6EFCE"/>
            <w:noWrap/>
          </w:tcPr>
          <w:p w14:paraId="04F43B11" w14:textId="77777777" w:rsidR="00515398" w:rsidRDefault="00515398">
            <w:pPr>
              <w:spacing w:after="0" w:line="240" w:lineRule="auto"/>
              <w:rPr>
                <w:rFonts w:eastAsia="Times New Roman"/>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88AA06B" w14:textId="77777777" w:rsidR="00515398" w:rsidRDefault="00515398">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6938E6E9" w14:textId="77777777" w:rsidR="00515398" w:rsidRDefault="00515398">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6FF61C5" w14:textId="77777777" w:rsidR="00515398" w:rsidRDefault="006711E6">
            <w:pPr>
              <w:pStyle w:val="P68B1DB1-Normal9"/>
              <w:spacing w:after="0" w:line="240" w:lineRule="auto"/>
              <w:rPr>
                <w:rFonts w:eastAsia="Times New Roman"/>
                <w:noProof/>
                <w:szCs w:val="18"/>
              </w:rPr>
            </w:pPr>
            <w:r>
              <w:rPr>
                <w:noProof/>
              </w:rPr>
              <w:t>ČTVRTLETÍ</w:t>
            </w:r>
          </w:p>
        </w:tc>
        <w:tc>
          <w:tcPr>
            <w:tcW w:w="622" w:type="dxa"/>
            <w:tcBorders>
              <w:top w:val="nil"/>
              <w:left w:val="nil"/>
              <w:bottom w:val="single" w:sz="4" w:space="0" w:color="auto"/>
              <w:right w:val="single" w:sz="4" w:space="0" w:color="auto"/>
            </w:tcBorders>
            <w:shd w:val="clear" w:color="auto" w:fill="C6EFCE"/>
            <w:noWrap/>
          </w:tcPr>
          <w:p w14:paraId="4E569656" w14:textId="77777777" w:rsidR="00515398" w:rsidRDefault="006711E6">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tcPr>
          <w:p w14:paraId="6AD23DED" w14:textId="77777777" w:rsidR="00515398" w:rsidRDefault="006711E6">
            <w:pPr>
              <w:pStyle w:val="P68B1DB1-Normal9"/>
              <w:spacing w:after="0" w:line="240" w:lineRule="auto"/>
              <w:rPr>
                <w:rFonts w:eastAsia="Times New Roman"/>
                <w:noProof/>
                <w:szCs w:val="18"/>
              </w:rPr>
            </w:pPr>
            <w:r>
              <w:rPr>
                <w:noProof/>
              </w:rPr>
              <w:t xml:space="preserve">Přijetí úředních důkazů prostřednictvím příslušné dokumentace (osvědčení o dokončení, protokoly o kvalitativním a kvantitativním přijetí a vystavené faktury) o </w:t>
            </w:r>
            <w:r>
              <w:rPr>
                <w:noProof/>
              </w:rPr>
              <w:t>řádném a přesném plnění všech smluvních závazků, které mají být provedeny ke dni předložení externímu auditorovi, v souladu s harmonogramy projektů, které zahrnují všechny prvky obou dílčích projektů (systémy soudních záznamů a modernizace systémů IT soudn</w:t>
            </w:r>
            <w:r>
              <w:rPr>
                <w:noProof/>
              </w:rPr>
              <w:t>ictví (OSDDY-PP, Účetní dvůr, Národní trestní rejstřík) vhodnými prostředky (např. zprávy o auditu projektů, osvědčení o kvalitativním/kvantitativním dodání a doklady o vyplacení).</w:t>
            </w:r>
          </w:p>
        </w:tc>
      </w:tr>
      <w:tr w:rsidR="00515398" w14:paraId="5C09B514"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46A22935" w14:textId="77777777" w:rsidR="00515398" w:rsidRDefault="006711E6">
            <w:pPr>
              <w:pStyle w:val="P68B1DB1-Normal9"/>
              <w:spacing w:after="0" w:line="240" w:lineRule="auto"/>
              <w:rPr>
                <w:rFonts w:eastAsia="Times New Roman"/>
                <w:noProof/>
                <w:szCs w:val="18"/>
              </w:rPr>
            </w:pPr>
            <w:r>
              <w:rPr>
                <w:noProof/>
              </w:rPr>
              <w:t>230</w:t>
            </w:r>
          </w:p>
        </w:tc>
        <w:tc>
          <w:tcPr>
            <w:tcW w:w="1541" w:type="dxa"/>
            <w:tcBorders>
              <w:top w:val="nil"/>
              <w:left w:val="nil"/>
              <w:bottom w:val="single" w:sz="4" w:space="0" w:color="auto"/>
              <w:right w:val="single" w:sz="4" w:space="0" w:color="auto"/>
            </w:tcBorders>
            <w:shd w:val="clear" w:color="auto" w:fill="C6EFCE"/>
            <w:noWrap/>
            <w:hideMark/>
          </w:tcPr>
          <w:p w14:paraId="5613B2B7" w14:textId="77777777" w:rsidR="00515398" w:rsidRDefault="006711E6">
            <w:pPr>
              <w:pStyle w:val="P68B1DB1-Normal9"/>
              <w:spacing w:after="0" w:line="240" w:lineRule="auto"/>
              <w:rPr>
                <w:rFonts w:eastAsia="Times New Roman"/>
                <w:noProof/>
                <w:szCs w:val="18"/>
              </w:rPr>
            </w:pPr>
            <w:r>
              <w:rPr>
                <w:noProof/>
              </w:rPr>
              <w:t xml:space="preserve"> 14–4.3. Zlepšit účinnost soudního systému — </w:t>
            </w:r>
          </w:p>
          <w:p w14:paraId="4CBBF5DD" w14:textId="77777777" w:rsidR="00515398" w:rsidRDefault="006711E6">
            <w:pPr>
              <w:pStyle w:val="P68B1DB1-Normal9"/>
              <w:spacing w:after="0" w:line="240" w:lineRule="auto"/>
              <w:rPr>
                <w:rFonts w:eastAsia="Times New Roman"/>
                <w:noProof/>
                <w:szCs w:val="18"/>
              </w:rPr>
            </w:pPr>
            <w:r>
              <w:rPr>
                <w:noProof/>
              </w:rPr>
              <w:t xml:space="preserve">16575 Urychlení výkonu </w:t>
            </w:r>
            <w:r>
              <w:rPr>
                <w:noProof/>
              </w:rPr>
              <w:t>spravedlnosti</w:t>
            </w:r>
          </w:p>
        </w:tc>
        <w:tc>
          <w:tcPr>
            <w:tcW w:w="1424" w:type="dxa"/>
            <w:tcBorders>
              <w:top w:val="nil"/>
              <w:left w:val="nil"/>
              <w:bottom w:val="single" w:sz="4" w:space="0" w:color="auto"/>
              <w:right w:val="single" w:sz="4" w:space="0" w:color="auto"/>
            </w:tcBorders>
            <w:shd w:val="clear" w:color="auto" w:fill="C6EFCE"/>
            <w:noWrap/>
            <w:hideMark/>
          </w:tcPr>
          <w:p w14:paraId="61D401E4" w14:textId="77777777" w:rsidR="00515398" w:rsidRDefault="006711E6">
            <w:pPr>
              <w:pStyle w:val="P68B1DB1-Normal9"/>
              <w:spacing w:after="0" w:line="240" w:lineRule="auto"/>
              <w:rPr>
                <w:rFonts w:eastAsia="Times New Roman"/>
                <w:noProof/>
                <w:szCs w:val="18"/>
              </w:rPr>
            </w:pPr>
            <w:r>
              <w:rPr>
                <w:noProof/>
              </w:rPr>
              <w:t> Milník</w:t>
            </w:r>
          </w:p>
        </w:tc>
        <w:tc>
          <w:tcPr>
            <w:tcW w:w="1397" w:type="dxa"/>
            <w:tcBorders>
              <w:top w:val="nil"/>
              <w:left w:val="nil"/>
              <w:bottom w:val="single" w:sz="4" w:space="0" w:color="auto"/>
              <w:right w:val="single" w:sz="4" w:space="0" w:color="auto"/>
            </w:tcBorders>
            <w:shd w:val="clear" w:color="auto" w:fill="C6EFCE"/>
            <w:noWrap/>
            <w:hideMark/>
          </w:tcPr>
          <w:p w14:paraId="1D59632B" w14:textId="77777777" w:rsidR="00515398" w:rsidRDefault="006711E6">
            <w:pPr>
              <w:pStyle w:val="P68B1DB1-Normal9"/>
              <w:spacing w:after="0" w:line="240" w:lineRule="auto"/>
              <w:rPr>
                <w:rFonts w:eastAsia="Times New Roman"/>
                <w:noProof/>
                <w:szCs w:val="18"/>
              </w:rPr>
            </w:pPr>
            <w:r>
              <w:rPr>
                <w:noProof/>
              </w:rPr>
              <w:t>Vstup v platnost – nástroj pro výkon soudních úředníků</w:t>
            </w:r>
          </w:p>
        </w:tc>
        <w:tc>
          <w:tcPr>
            <w:tcW w:w="1552" w:type="dxa"/>
            <w:tcBorders>
              <w:top w:val="nil"/>
              <w:left w:val="nil"/>
              <w:bottom w:val="single" w:sz="4" w:space="0" w:color="auto"/>
              <w:right w:val="single" w:sz="4" w:space="0" w:color="auto"/>
            </w:tcBorders>
            <w:shd w:val="clear" w:color="auto" w:fill="C6EFCE"/>
            <w:noWrap/>
            <w:hideMark/>
          </w:tcPr>
          <w:p w14:paraId="093E2C36" w14:textId="77777777" w:rsidR="00515398" w:rsidRDefault="006711E6">
            <w:pPr>
              <w:pStyle w:val="P68B1DB1-Normal9"/>
              <w:spacing w:after="0" w:line="240" w:lineRule="auto"/>
              <w:rPr>
                <w:rFonts w:eastAsia="Times New Roman"/>
                <w:noProof/>
                <w:szCs w:val="18"/>
              </w:rPr>
            </w:pPr>
            <w:r>
              <w:rPr>
                <w:noProof/>
              </w:rPr>
              <w:t>Vstup primárního a sekundárního práva v platnost</w:t>
            </w:r>
          </w:p>
        </w:tc>
        <w:tc>
          <w:tcPr>
            <w:tcW w:w="992" w:type="dxa"/>
            <w:tcBorders>
              <w:top w:val="nil"/>
              <w:left w:val="nil"/>
              <w:bottom w:val="single" w:sz="4" w:space="0" w:color="auto"/>
              <w:right w:val="single" w:sz="4" w:space="0" w:color="auto"/>
            </w:tcBorders>
            <w:shd w:val="clear" w:color="auto" w:fill="C6EFCE"/>
            <w:noWrap/>
            <w:hideMark/>
          </w:tcPr>
          <w:p w14:paraId="3132C0F3" w14:textId="77777777" w:rsidR="00515398" w:rsidRDefault="006711E6">
            <w:pPr>
              <w:pStyle w:val="P68B1DB1-Normal9"/>
              <w:spacing w:after="0" w:line="240" w:lineRule="auto"/>
              <w:rPr>
                <w:rFonts w:eastAsia="Times New Roman"/>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03210000" w14:textId="77777777" w:rsidR="00515398" w:rsidRDefault="006711E6">
            <w:pPr>
              <w:pStyle w:val="P68B1DB1-Normal9"/>
              <w:spacing w:after="0" w:line="240" w:lineRule="auto"/>
              <w:rPr>
                <w:rFonts w:eastAsia="Times New Roman"/>
                <w:noProof/>
                <w:szCs w:val="18"/>
              </w:rPr>
            </w:pPr>
            <w:r>
              <w:rPr>
                <w:noProof/>
              </w:rPr>
              <w:t xml:space="preserve"> </w:t>
            </w:r>
          </w:p>
        </w:tc>
        <w:tc>
          <w:tcPr>
            <w:tcW w:w="587" w:type="dxa"/>
            <w:tcBorders>
              <w:top w:val="nil"/>
              <w:left w:val="nil"/>
              <w:bottom w:val="single" w:sz="4" w:space="0" w:color="auto"/>
              <w:right w:val="single" w:sz="4" w:space="0" w:color="auto"/>
            </w:tcBorders>
            <w:shd w:val="clear" w:color="auto" w:fill="C6EFCE"/>
            <w:noWrap/>
            <w:hideMark/>
          </w:tcPr>
          <w:p w14:paraId="2409ABAF" w14:textId="77777777" w:rsidR="00515398" w:rsidRDefault="006711E6">
            <w:pPr>
              <w:pStyle w:val="P68B1DB1-Normal9"/>
              <w:spacing w:after="0" w:line="240" w:lineRule="auto"/>
              <w:rPr>
                <w:rFonts w:eastAsia="Times New Roman"/>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220C2E72" w14:textId="77777777" w:rsidR="00515398" w:rsidRDefault="006711E6">
            <w:pPr>
              <w:pStyle w:val="P68B1DB1-Normal9"/>
              <w:spacing w:after="0" w:line="240" w:lineRule="auto"/>
              <w:rPr>
                <w:rFonts w:eastAsia="Times New Roman"/>
                <w:noProof/>
                <w:szCs w:val="18"/>
              </w:rPr>
            </w:pPr>
            <w:r>
              <w:rPr>
                <w:noProof/>
              </w:rPr>
              <w:t>ČTVRTLETÍ</w:t>
            </w:r>
          </w:p>
          <w:p w14:paraId="485E9C09" w14:textId="77777777" w:rsidR="00515398" w:rsidRDefault="00515398">
            <w:pPr>
              <w:spacing w:after="0" w:line="240" w:lineRule="auto"/>
              <w:rPr>
                <w:rFonts w:eastAsia="Times New Roman"/>
                <w:noProof/>
                <w:color w:val="006100"/>
                <w:sz w:val="18"/>
                <w:szCs w:val="18"/>
              </w:rPr>
            </w:pPr>
          </w:p>
        </w:tc>
        <w:tc>
          <w:tcPr>
            <w:tcW w:w="622" w:type="dxa"/>
            <w:tcBorders>
              <w:top w:val="nil"/>
              <w:left w:val="nil"/>
              <w:bottom w:val="single" w:sz="4" w:space="0" w:color="auto"/>
              <w:right w:val="single" w:sz="4" w:space="0" w:color="auto"/>
            </w:tcBorders>
            <w:shd w:val="clear" w:color="auto" w:fill="C6EFCE"/>
            <w:noWrap/>
            <w:hideMark/>
          </w:tcPr>
          <w:p w14:paraId="7094F031" w14:textId="77777777" w:rsidR="00515398" w:rsidRDefault="006711E6">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hideMark/>
          </w:tcPr>
          <w:p w14:paraId="1CCF695C" w14:textId="77777777" w:rsidR="00515398" w:rsidRDefault="006711E6">
            <w:pPr>
              <w:pStyle w:val="P68B1DB1-Normal9"/>
              <w:spacing w:after="0" w:line="240" w:lineRule="auto"/>
              <w:rPr>
                <w:rFonts w:eastAsia="Times New Roman" w:cs="Calibri"/>
                <w:noProof/>
                <w:szCs w:val="18"/>
              </w:rPr>
            </w:pPr>
            <w:r>
              <w:rPr>
                <w:noProof/>
              </w:rPr>
              <w:t xml:space="preserve">Vstup v platnost primárních a sekundárních právních předpisů s cílem vytvořit dočasný systém bonusů, který </w:t>
            </w:r>
            <w:r>
              <w:rPr>
                <w:noProof/>
              </w:rPr>
              <w:t>bude založen na vývoji nástroje pro výkon soudních úředníků, který stanoví strategické cíle a zavede objektivní klíčové ukazatele výkonnosti (např. čas na splnění úkolu, individuální výsledky z hlediska času, komunikace a motivace) podle oddělení a/nebo ka</w:t>
            </w:r>
            <w:r>
              <w:rPr>
                <w:noProof/>
              </w:rPr>
              <w:t>tegorie úředníků a poskytne přesné a objektivní údaje o přidělování bonusů; prémie splatné v prvním čtvrtletí po skončení příslušného roku na základě výsledků daného roku.</w:t>
            </w:r>
          </w:p>
        </w:tc>
      </w:tr>
      <w:tr w:rsidR="00515398" w14:paraId="775137E5"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7B74A51E" w14:textId="77777777" w:rsidR="00515398" w:rsidRDefault="006711E6">
            <w:pPr>
              <w:pStyle w:val="P68B1DB1-Normal9"/>
              <w:spacing w:after="0" w:line="240" w:lineRule="auto"/>
              <w:rPr>
                <w:rFonts w:eastAsia="Times New Roman"/>
                <w:noProof/>
                <w:szCs w:val="18"/>
              </w:rPr>
            </w:pPr>
            <w:r>
              <w:rPr>
                <w:noProof/>
              </w:rPr>
              <w:t>231</w:t>
            </w:r>
          </w:p>
        </w:tc>
        <w:tc>
          <w:tcPr>
            <w:tcW w:w="1541" w:type="dxa"/>
            <w:tcBorders>
              <w:top w:val="nil"/>
              <w:left w:val="nil"/>
              <w:bottom w:val="single" w:sz="4" w:space="0" w:color="auto"/>
              <w:right w:val="single" w:sz="4" w:space="0" w:color="auto"/>
            </w:tcBorders>
            <w:shd w:val="clear" w:color="auto" w:fill="C6EFCE"/>
            <w:noWrap/>
            <w:hideMark/>
          </w:tcPr>
          <w:p w14:paraId="44EF5C78" w14:textId="77777777" w:rsidR="00515398" w:rsidRDefault="006711E6">
            <w:pPr>
              <w:pStyle w:val="P68B1DB1-Normal9"/>
              <w:spacing w:after="0" w:line="240" w:lineRule="auto"/>
              <w:rPr>
                <w:rFonts w:eastAsia="Times New Roman"/>
                <w:noProof/>
                <w:szCs w:val="18"/>
              </w:rPr>
            </w:pPr>
            <w:r>
              <w:rPr>
                <w:noProof/>
              </w:rPr>
              <w:t> 14–4.3. Zlepšení účinnosti soudního systému – 16292_Nové soudní budovy</w:t>
            </w:r>
          </w:p>
        </w:tc>
        <w:tc>
          <w:tcPr>
            <w:tcW w:w="1424" w:type="dxa"/>
            <w:tcBorders>
              <w:top w:val="nil"/>
              <w:left w:val="nil"/>
              <w:bottom w:val="single" w:sz="4" w:space="0" w:color="auto"/>
              <w:right w:val="single" w:sz="4" w:space="0" w:color="auto"/>
            </w:tcBorders>
            <w:shd w:val="clear" w:color="auto" w:fill="C6EFCE"/>
            <w:noWrap/>
            <w:hideMark/>
          </w:tcPr>
          <w:p w14:paraId="2DBB4914" w14:textId="77777777" w:rsidR="00515398" w:rsidRDefault="006711E6">
            <w:pPr>
              <w:pStyle w:val="P68B1DB1-Normal9"/>
              <w:spacing w:after="0" w:line="240" w:lineRule="auto"/>
              <w:rPr>
                <w:rFonts w:eastAsia="Times New Roman"/>
                <w:noProof/>
                <w:szCs w:val="18"/>
              </w:rPr>
            </w:pPr>
            <w:r>
              <w:rPr>
                <w:noProof/>
              </w:rPr>
              <w:t> Milník</w:t>
            </w:r>
          </w:p>
        </w:tc>
        <w:tc>
          <w:tcPr>
            <w:tcW w:w="1397" w:type="dxa"/>
            <w:tcBorders>
              <w:top w:val="nil"/>
              <w:left w:val="nil"/>
              <w:bottom w:val="single" w:sz="4" w:space="0" w:color="auto"/>
              <w:right w:val="single" w:sz="4" w:space="0" w:color="auto"/>
            </w:tcBorders>
            <w:shd w:val="clear" w:color="auto" w:fill="C6EFCE"/>
            <w:noWrap/>
            <w:hideMark/>
          </w:tcPr>
          <w:p w14:paraId="04EF43CF" w14:textId="77777777" w:rsidR="00515398" w:rsidRDefault="006711E6">
            <w:pPr>
              <w:pStyle w:val="P68B1DB1-Normal9"/>
              <w:spacing w:after="0" w:line="240" w:lineRule="auto"/>
              <w:rPr>
                <w:rFonts w:eastAsia="Times New Roman"/>
                <w:noProof/>
                <w:szCs w:val="18"/>
              </w:rPr>
            </w:pPr>
            <w:r>
              <w:rPr>
                <w:noProof/>
              </w:rPr>
              <w:t xml:space="preserve">Smlouvy </w:t>
            </w:r>
          </w:p>
        </w:tc>
        <w:tc>
          <w:tcPr>
            <w:tcW w:w="1552" w:type="dxa"/>
            <w:tcBorders>
              <w:top w:val="nil"/>
              <w:left w:val="nil"/>
              <w:bottom w:val="single" w:sz="4" w:space="0" w:color="auto"/>
              <w:right w:val="single" w:sz="4" w:space="0" w:color="auto"/>
            </w:tcBorders>
            <w:shd w:val="clear" w:color="auto" w:fill="C6EFCE"/>
            <w:noWrap/>
            <w:hideMark/>
          </w:tcPr>
          <w:p w14:paraId="6A0910DF" w14:textId="77777777" w:rsidR="00515398" w:rsidRDefault="006711E6">
            <w:pPr>
              <w:pStyle w:val="P68B1DB1-Normal9"/>
              <w:spacing w:after="0" w:line="240" w:lineRule="auto"/>
              <w:rPr>
                <w:rFonts w:eastAsia="Times New Roman"/>
                <w:noProof/>
                <w:szCs w:val="18"/>
              </w:rPr>
            </w:pPr>
            <w:r>
              <w:rPr>
                <w:noProof/>
              </w:rPr>
              <w:t>Přidělení vládní zakázky</w:t>
            </w:r>
          </w:p>
        </w:tc>
        <w:tc>
          <w:tcPr>
            <w:tcW w:w="992" w:type="dxa"/>
            <w:tcBorders>
              <w:top w:val="nil"/>
              <w:left w:val="nil"/>
              <w:bottom w:val="single" w:sz="4" w:space="0" w:color="auto"/>
              <w:right w:val="single" w:sz="4" w:space="0" w:color="auto"/>
            </w:tcBorders>
            <w:shd w:val="clear" w:color="auto" w:fill="C6EFCE"/>
            <w:noWrap/>
            <w:hideMark/>
          </w:tcPr>
          <w:p w14:paraId="78D92F72" w14:textId="77777777" w:rsidR="00515398" w:rsidRDefault="006711E6">
            <w:pPr>
              <w:pStyle w:val="P68B1DB1-Normal9"/>
              <w:spacing w:after="0" w:line="240" w:lineRule="auto"/>
              <w:rPr>
                <w:rFonts w:eastAsia="Times New Roman"/>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3EFE32F5" w14:textId="77777777" w:rsidR="00515398" w:rsidRDefault="006711E6">
            <w:pPr>
              <w:pStyle w:val="P68B1DB1-Normal9"/>
              <w:spacing w:after="0" w:line="240" w:lineRule="auto"/>
              <w:rPr>
                <w:rFonts w:eastAsia="Times New Roman"/>
                <w:noProof/>
                <w:szCs w:val="18"/>
              </w:rPr>
            </w:pPr>
            <w:r>
              <w:rPr>
                <w:noProof/>
              </w:rPr>
              <w:t xml:space="preserve"> </w:t>
            </w:r>
          </w:p>
        </w:tc>
        <w:tc>
          <w:tcPr>
            <w:tcW w:w="587" w:type="dxa"/>
            <w:tcBorders>
              <w:top w:val="nil"/>
              <w:left w:val="nil"/>
              <w:bottom w:val="single" w:sz="4" w:space="0" w:color="auto"/>
              <w:right w:val="single" w:sz="4" w:space="0" w:color="auto"/>
            </w:tcBorders>
            <w:shd w:val="clear" w:color="auto" w:fill="C6EFCE"/>
            <w:noWrap/>
            <w:hideMark/>
          </w:tcPr>
          <w:p w14:paraId="38F5B54D" w14:textId="77777777" w:rsidR="00515398" w:rsidRDefault="006711E6">
            <w:pPr>
              <w:pStyle w:val="P68B1DB1-Normal9"/>
              <w:spacing w:after="0" w:line="240" w:lineRule="auto"/>
              <w:rPr>
                <w:rFonts w:eastAsia="Times New Roman"/>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45390BB6" w14:textId="77777777" w:rsidR="00515398" w:rsidRDefault="006711E6">
            <w:pPr>
              <w:pStyle w:val="P68B1DB1-Normal9"/>
              <w:spacing w:after="0" w:line="240" w:lineRule="auto"/>
              <w:rPr>
                <w:rFonts w:eastAsia="Times New Roman"/>
                <w:noProof/>
                <w:szCs w:val="18"/>
              </w:rPr>
            </w:pPr>
            <w:r>
              <w:rPr>
                <w:noProof/>
              </w:rPr>
              <w:t>ČTVRTLETÍ</w:t>
            </w:r>
          </w:p>
        </w:tc>
        <w:tc>
          <w:tcPr>
            <w:tcW w:w="622" w:type="dxa"/>
            <w:tcBorders>
              <w:top w:val="nil"/>
              <w:left w:val="nil"/>
              <w:bottom w:val="single" w:sz="4" w:space="0" w:color="auto"/>
              <w:right w:val="single" w:sz="4" w:space="0" w:color="auto"/>
            </w:tcBorders>
            <w:shd w:val="clear" w:color="auto" w:fill="C6EFCE"/>
            <w:noWrap/>
            <w:hideMark/>
          </w:tcPr>
          <w:p w14:paraId="38831C8F" w14:textId="77777777" w:rsidR="00515398" w:rsidRDefault="006711E6">
            <w:pPr>
              <w:pStyle w:val="P68B1DB1-Normal9"/>
              <w:spacing w:after="0" w:line="240" w:lineRule="auto"/>
              <w:rPr>
                <w:rFonts w:eastAsia="Times New Roman"/>
                <w:noProof/>
                <w:szCs w:val="18"/>
              </w:rPr>
            </w:pPr>
            <w:r>
              <w:rPr>
                <w:noProof/>
              </w:rPr>
              <w:t>2023</w:t>
            </w:r>
          </w:p>
        </w:tc>
        <w:tc>
          <w:tcPr>
            <w:tcW w:w="4885" w:type="dxa"/>
            <w:tcBorders>
              <w:top w:val="nil"/>
              <w:left w:val="nil"/>
              <w:bottom w:val="single" w:sz="4" w:space="0" w:color="auto"/>
              <w:right w:val="single" w:sz="4" w:space="0" w:color="auto"/>
            </w:tcBorders>
            <w:shd w:val="clear" w:color="auto" w:fill="C6EFCE"/>
            <w:noWrap/>
            <w:hideMark/>
          </w:tcPr>
          <w:p w14:paraId="18EB72D1" w14:textId="77777777" w:rsidR="00515398" w:rsidRDefault="006711E6">
            <w:pPr>
              <w:pStyle w:val="P68B1DB1-Normal9"/>
              <w:spacing w:after="0" w:line="240" w:lineRule="auto"/>
              <w:jc w:val="both"/>
              <w:rPr>
                <w:noProof/>
                <w:szCs w:val="18"/>
              </w:rPr>
            </w:pPr>
            <w:r>
              <w:rPr>
                <w:noProof/>
              </w:rPr>
              <w:t>Zadávání zakázek na stavební projekty, které nejsou dotčeny revizí soudní mapy.</w:t>
            </w:r>
          </w:p>
          <w:p w14:paraId="1BA07FBD" w14:textId="77777777" w:rsidR="00515398" w:rsidRDefault="006711E6">
            <w:pPr>
              <w:pStyle w:val="P68B1DB1-Normal9"/>
              <w:spacing w:after="0" w:line="240" w:lineRule="auto"/>
              <w:rPr>
                <w:rFonts w:eastAsia="Times New Roman" w:cs="Calibri"/>
                <w:noProof/>
                <w:szCs w:val="18"/>
              </w:rPr>
            </w:pPr>
            <w:r>
              <w:rPr>
                <w:noProof/>
              </w:rPr>
              <w:t xml:space="preserve">Podmínky zadání zakázky stanoví, že nové budovy, které mají být postaveny, musí dosáhnout spotřeby primární energie, </w:t>
            </w:r>
            <w:r>
              <w:rPr>
                <w:noProof/>
              </w:rPr>
              <w:t>která je alespoň o 20 % nižší než požadavek na budovy s téměř nulovou spotřebou energie (budova s téměř nulovou spotřebou energie, vnitrostátní směrnice).</w:t>
            </w:r>
          </w:p>
        </w:tc>
      </w:tr>
      <w:tr w:rsidR="00515398" w14:paraId="3F591817"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1DA3BEA" w14:textId="77777777" w:rsidR="00515398" w:rsidRDefault="006711E6">
            <w:pPr>
              <w:pStyle w:val="P68B1DB1-Normal9"/>
              <w:spacing w:after="0" w:line="240" w:lineRule="auto"/>
              <w:rPr>
                <w:rFonts w:eastAsia="Times New Roman" w:cs="Calibri"/>
                <w:noProof/>
                <w:szCs w:val="18"/>
              </w:rPr>
            </w:pPr>
            <w:r>
              <w:rPr>
                <w:noProof/>
              </w:rPr>
              <w:t>232</w:t>
            </w:r>
          </w:p>
        </w:tc>
        <w:tc>
          <w:tcPr>
            <w:tcW w:w="1541" w:type="dxa"/>
            <w:tcBorders>
              <w:top w:val="single" w:sz="4" w:space="0" w:color="auto"/>
              <w:left w:val="nil"/>
              <w:bottom w:val="single" w:sz="4" w:space="0" w:color="auto"/>
              <w:right w:val="single" w:sz="4" w:space="0" w:color="auto"/>
            </w:tcBorders>
            <w:shd w:val="clear" w:color="auto" w:fill="C6EFCE"/>
            <w:noWrap/>
          </w:tcPr>
          <w:p w14:paraId="2C392CE4" w14:textId="77777777" w:rsidR="00515398" w:rsidRDefault="006711E6">
            <w:pPr>
              <w:pStyle w:val="P68B1DB1-Normal9"/>
              <w:spacing w:after="0" w:line="240" w:lineRule="auto"/>
              <w:rPr>
                <w:rFonts w:eastAsia="Times New Roman"/>
                <w:noProof/>
                <w:szCs w:val="18"/>
              </w:rPr>
            </w:pPr>
            <w:r>
              <w:rPr>
                <w:noProof/>
              </w:rPr>
              <w:t>14–4.3. Zlepšit účinnosti systému spravedlnosti – 16575 Zrychlení soudní správy</w:t>
            </w:r>
          </w:p>
        </w:tc>
        <w:tc>
          <w:tcPr>
            <w:tcW w:w="1424" w:type="dxa"/>
            <w:tcBorders>
              <w:top w:val="single" w:sz="4" w:space="0" w:color="auto"/>
              <w:left w:val="nil"/>
              <w:bottom w:val="single" w:sz="4" w:space="0" w:color="auto"/>
              <w:right w:val="single" w:sz="4" w:space="0" w:color="auto"/>
            </w:tcBorders>
            <w:shd w:val="clear" w:color="auto" w:fill="C6EFCE"/>
            <w:noWrap/>
          </w:tcPr>
          <w:p w14:paraId="287BF91A"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371035DC" w14:textId="77777777" w:rsidR="00515398" w:rsidRDefault="006711E6">
            <w:pPr>
              <w:pStyle w:val="P68B1DB1-Normal9"/>
              <w:spacing w:after="0" w:line="240" w:lineRule="auto"/>
              <w:rPr>
                <w:rFonts w:eastAsia="Times New Roman"/>
                <w:noProof/>
                <w:szCs w:val="18"/>
              </w:rPr>
            </w:pPr>
            <w:r>
              <w:rPr>
                <w:noProof/>
              </w:rPr>
              <w:t xml:space="preserve">Revize </w:t>
            </w:r>
            <w:r>
              <w:rPr>
                <w:noProof/>
              </w:rPr>
              <w:t>soudní mapy – primární právo – Občanskoprávní a trestní</w:t>
            </w:r>
          </w:p>
        </w:tc>
        <w:tc>
          <w:tcPr>
            <w:tcW w:w="1552" w:type="dxa"/>
            <w:tcBorders>
              <w:top w:val="single" w:sz="4" w:space="0" w:color="auto"/>
              <w:left w:val="nil"/>
              <w:bottom w:val="single" w:sz="4" w:space="0" w:color="auto"/>
              <w:right w:val="single" w:sz="4" w:space="0" w:color="auto"/>
            </w:tcBorders>
            <w:shd w:val="clear" w:color="auto" w:fill="C6EFCE"/>
            <w:noWrap/>
          </w:tcPr>
          <w:p w14:paraId="03EF037B" w14:textId="77777777" w:rsidR="00515398" w:rsidRDefault="006711E6">
            <w:pPr>
              <w:pStyle w:val="P68B1DB1-Normal9"/>
              <w:spacing w:after="0" w:line="240" w:lineRule="auto"/>
              <w:rPr>
                <w:rFonts w:eastAsia="Times New Roman"/>
                <w:noProof/>
                <w:szCs w:val="18"/>
              </w:rPr>
            </w:pPr>
            <w:r>
              <w:rPr>
                <w:noProof/>
              </w:rPr>
              <w:t>Vstup právních předpisů v platnost</w:t>
            </w:r>
          </w:p>
        </w:tc>
        <w:tc>
          <w:tcPr>
            <w:tcW w:w="992" w:type="dxa"/>
            <w:tcBorders>
              <w:top w:val="single" w:sz="4" w:space="0" w:color="auto"/>
              <w:left w:val="nil"/>
              <w:bottom w:val="single" w:sz="4" w:space="0" w:color="auto"/>
              <w:right w:val="single" w:sz="4" w:space="0" w:color="auto"/>
            </w:tcBorders>
            <w:shd w:val="clear" w:color="auto" w:fill="C6EFCE"/>
            <w:noWrap/>
          </w:tcPr>
          <w:p w14:paraId="03652EE6"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BC4DD48"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2A6A080C"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0C3759F"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single" w:sz="4" w:space="0" w:color="auto"/>
              <w:left w:val="nil"/>
              <w:bottom w:val="single" w:sz="4" w:space="0" w:color="auto"/>
              <w:right w:val="single" w:sz="4" w:space="0" w:color="auto"/>
            </w:tcBorders>
            <w:shd w:val="clear" w:color="auto" w:fill="C6EFCE"/>
            <w:noWrap/>
          </w:tcPr>
          <w:p w14:paraId="2584369F" w14:textId="77777777" w:rsidR="00515398" w:rsidRDefault="006711E6">
            <w:pPr>
              <w:pStyle w:val="P68B1DB1-Normal9"/>
              <w:spacing w:after="0" w:line="240" w:lineRule="auto"/>
              <w:rPr>
                <w:rFonts w:eastAsia="Times New Roman"/>
                <w:noProof/>
                <w:szCs w:val="18"/>
              </w:rPr>
            </w:pPr>
            <w:r>
              <w:rPr>
                <w:noProof/>
              </w:rPr>
              <w:t>2023</w:t>
            </w:r>
          </w:p>
        </w:tc>
        <w:tc>
          <w:tcPr>
            <w:tcW w:w="4885" w:type="dxa"/>
            <w:tcBorders>
              <w:top w:val="single" w:sz="4" w:space="0" w:color="auto"/>
              <w:left w:val="nil"/>
              <w:bottom w:val="single" w:sz="4" w:space="0" w:color="auto"/>
              <w:right w:val="single" w:sz="4" w:space="0" w:color="auto"/>
            </w:tcBorders>
            <w:shd w:val="clear" w:color="auto" w:fill="C6EFCE"/>
            <w:noWrap/>
          </w:tcPr>
          <w:p w14:paraId="5C302DC7" w14:textId="77777777" w:rsidR="00515398" w:rsidRDefault="006711E6">
            <w:pPr>
              <w:pStyle w:val="P68B1DB1-Normal9"/>
              <w:spacing w:after="0" w:line="240" w:lineRule="auto"/>
              <w:rPr>
                <w:noProof/>
                <w:szCs w:val="18"/>
              </w:rPr>
            </w:pPr>
            <w:r>
              <w:rPr>
                <w:noProof/>
              </w:rPr>
              <w:t>Vstup v platnost primárních právních předpisů pro revizi soudní mapy občanského a trestního soudnictví.</w:t>
            </w:r>
          </w:p>
        </w:tc>
      </w:tr>
      <w:tr w:rsidR="00515398" w14:paraId="484D7CF3"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7FDFA4E" w14:textId="77777777" w:rsidR="00515398" w:rsidRDefault="006711E6">
            <w:pPr>
              <w:pStyle w:val="P68B1DB1-Normal9"/>
              <w:spacing w:after="0" w:line="240" w:lineRule="auto"/>
              <w:rPr>
                <w:rFonts w:eastAsia="Times New Roman" w:cs="Calibri"/>
                <w:noProof/>
                <w:szCs w:val="18"/>
              </w:rPr>
            </w:pPr>
            <w:r>
              <w:rPr>
                <w:noProof/>
              </w:rPr>
              <w:t>233</w:t>
            </w:r>
          </w:p>
        </w:tc>
        <w:tc>
          <w:tcPr>
            <w:tcW w:w="1541" w:type="dxa"/>
            <w:tcBorders>
              <w:top w:val="single" w:sz="4" w:space="0" w:color="auto"/>
              <w:left w:val="nil"/>
              <w:bottom w:val="single" w:sz="4" w:space="0" w:color="auto"/>
              <w:right w:val="single" w:sz="4" w:space="0" w:color="auto"/>
            </w:tcBorders>
            <w:shd w:val="clear" w:color="auto" w:fill="C6EFCE"/>
            <w:noWrap/>
          </w:tcPr>
          <w:p w14:paraId="457854E8" w14:textId="77777777" w:rsidR="00515398" w:rsidRDefault="006711E6">
            <w:pPr>
              <w:pStyle w:val="P68B1DB1-Normal9"/>
              <w:spacing w:after="0" w:line="240" w:lineRule="auto"/>
              <w:rPr>
                <w:rFonts w:eastAsia="Times New Roman"/>
                <w:noProof/>
                <w:szCs w:val="18"/>
              </w:rPr>
            </w:pPr>
            <w:r>
              <w:rPr>
                <w:noProof/>
              </w:rPr>
              <w:t xml:space="preserve">14–4.3. Zlepšení účinnosti </w:t>
            </w:r>
            <w:r>
              <w:rPr>
                <w:noProof/>
              </w:rPr>
              <w:t>soudního systému – 16292_Nové soudní budovy</w:t>
            </w:r>
          </w:p>
        </w:tc>
        <w:tc>
          <w:tcPr>
            <w:tcW w:w="1424" w:type="dxa"/>
            <w:tcBorders>
              <w:top w:val="single" w:sz="4" w:space="0" w:color="auto"/>
              <w:left w:val="nil"/>
              <w:bottom w:val="single" w:sz="4" w:space="0" w:color="auto"/>
              <w:right w:val="single" w:sz="4" w:space="0" w:color="auto"/>
            </w:tcBorders>
            <w:shd w:val="clear" w:color="auto" w:fill="C6EFCE"/>
            <w:noWrap/>
          </w:tcPr>
          <w:p w14:paraId="345E2891"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1B4705D0" w14:textId="77777777" w:rsidR="00515398" w:rsidRDefault="006711E6">
            <w:pPr>
              <w:pStyle w:val="P68B1DB1-Normal9"/>
              <w:spacing w:after="0" w:line="240" w:lineRule="auto"/>
              <w:rPr>
                <w:rFonts w:eastAsia="Times New Roman"/>
                <w:noProof/>
                <w:szCs w:val="18"/>
              </w:rPr>
            </w:pPr>
            <w:r>
              <w:rPr>
                <w:noProof/>
              </w:rPr>
              <w:t>Výstavba a renovace soudních budov – zahájení nabídkových řízení</w:t>
            </w:r>
          </w:p>
        </w:tc>
        <w:tc>
          <w:tcPr>
            <w:tcW w:w="1552" w:type="dxa"/>
            <w:tcBorders>
              <w:top w:val="single" w:sz="4" w:space="0" w:color="auto"/>
              <w:left w:val="nil"/>
              <w:bottom w:val="single" w:sz="4" w:space="0" w:color="auto"/>
              <w:right w:val="single" w:sz="4" w:space="0" w:color="auto"/>
            </w:tcBorders>
            <w:shd w:val="clear" w:color="auto" w:fill="C6EFCE"/>
            <w:noWrap/>
          </w:tcPr>
          <w:p w14:paraId="0EB6CCD0" w14:textId="77777777" w:rsidR="00515398" w:rsidRDefault="006711E6">
            <w:pPr>
              <w:pStyle w:val="P68B1DB1-Normal9"/>
              <w:spacing w:after="0" w:line="240" w:lineRule="auto"/>
              <w:rPr>
                <w:rFonts w:eastAsia="Times New Roman"/>
                <w:noProof/>
                <w:szCs w:val="18"/>
              </w:rPr>
            </w:pPr>
            <w:r>
              <w:rPr>
                <w:noProof/>
              </w:rPr>
              <w:t>Zahájení nabídkových řízení</w:t>
            </w:r>
          </w:p>
        </w:tc>
        <w:tc>
          <w:tcPr>
            <w:tcW w:w="992" w:type="dxa"/>
            <w:tcBorders>
              <w:top w:val="single" w:sz="4" w:space="0" w:color="auto"/>
              <w:left w:val="nil"/>
              <w:bottom w:val="single" w:sz="4" w:space="0" w:color="auto"/>
              <w:right w:val="single" w:sz="4" w:space="0" w:color="auto"/>
            </w:tcBorders>
            <w:shd w:val="clear" w:color="auto" w:fill="C6EFCE"/>
            <w:noWrap/>
          </w:tcPr>
          <w:p w14:paraId="15DC0FA5"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650FCBE"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BFCC9A8"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BD11A8F"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single" w:sz="4" w:space="0" w:color="auto"/>
              <w:left w:val="nil"/>
              <w:bottom w:val="single" w:sz="4" w:space="0" w:color="auto"/>
              <w:right w:val="single" w:sz="4" w:space="0" w:color="auto"/>
            </w:tcBorders>
            <w:shd w:val="clear" w:color="auto" w:fill="C6EFCE"/>
            <w:noWrap/>
          </w:tcPr>
          <w:p w14:paraId="6FF4A255" w14:textId="77777777" w:rsidR="00515398" w:rsidRDefault="006711E6">
            <w:pPr>
              <w:pStyle w:val="P68B1DB1-Normal9"/>
              <w:spacing w:after="0" w:line="240" w:lineRule="auto"/>
              <w:rPr>
                <w:rFonts w:eastAsia="Times New Roman"/>
                <w:noProof/>
                <w:szCs w:val="18"/>
              </w:rPr>
            </w:pPr>
            <w:r>
              <w:rPr>
                <w:noProof/>
              </w:rPr>
              <w:t>2023</w:t>
            </w:r>
          </w:p>
        </w:tc>
        <w:tc>
          <w:tcPr>
            <w:tcW w:w="4885" w:type="dxa"/>
            <w:tcBorders>
              <w:top w:val="single" w:sz="4" w:space="0" w:color="auto"/>
              <w:left w:val="nil"/>
              <w:bottom w:val="single" w:sz="4" w:space="0" w:color="auto"/>
              <w:right w:val="single" w:sz="4" w:space="0" w:color="auto"/>
            </w:tcBorders>
            <w:shd w:val="clear" w:color="auto" w:fill="C6EFCE"/>
            <w:noWrap/>
          </w:tcPr>
          <w:p w14:paraId="17049489" w14:textId="77777777" w:rsidR="00515398" w:rsidRDefault="006711E6">
            <w:pPr>
              <w:pStyle w:val="P68B1DB1-Normal9"/>
              <w:spacing w:after="0" w:line="240" w:lineRule="auto"/>
              <w:rPr>
                <w:noProof/>
                <w:szCs w:val="18"/>
              </w:rPr>
            </w:pPr>
            <w:r>
              <w:rPr>
                <w:noProof/>
              </w:rPr>
              <w:t>Úprava seznamu projektů v souladu se zákonem o revizi soudní mapy.</w:t>
            </w:r>
          </w:p>
          <w:p w14:paraId="25C316C6" w14:textId="77777777" w:rsidR="00515398" w:rsidRDefault="006711E6">
            <w:pPr>
              <w:pStyle w:val="P68B1DB1-Normal9"/>
              <w:spacing w:after="0" w:line="240" w:lineRule="auto"/>
              <w:rPr>
                <w:noProof/>
                <w:szCs w:val="18"/>
              </w:rPr>
            </w:pPr>
            <w:r>
              <w:rPr>
                <w:noProof/>
              </w:rPr>
              <w:t xml:space="preserve">Vyhlášení výběrového </w:t>
            </w:r>
            <w:r>
              <w:rPr>
                <w:noProof/>
              </w:rPr>
              <w:t>řízení na projekty týkající se civilních a trestních soudů zařazených do revidovaného seznamu renovací. Podmínky nabídkového řízení stanoví, že nové budovy, které mají být postaveny, musí dosáhnout spotřeby primární energie, která je nejméně o 20 % nižší n</w:t>
            </w:r>
            <w:r>
              <w:rPr>
                <w:noProof/>
              </w:rPr>
              <w:t>ež požadavek na budovy s téměř nulovou spotřebou energie (budova s téměř nulovou spotřebou energie, vnitrostátní směrnice).</w:t>
            </w:r>
          </w:p>
        </w:tc>
      </w:tr>
      <w:tr w:rsidR="00515398" w14:paraId="1F2CAF9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FBF5A01" w14:textId="77777777" w:rsidR="00515398" w:rsidRDefault="006711E6">
            <w:pPr>
              <w:pStyle w:val="P68B1DB1-Normal9"/>
              <w:spacing w:after="0" w:line="240" w:lineRule="auto"/>
              <w:rPr>
                <w:rFonts w:eastAsia="Times New Roman" w:cs="Calibri"/>
                <w:noProof/>
                <w:szCs w:val="18"/>
              </w:rPr>
            </w:pPr>
            <w:r>
              <w:rPr>
                <w:noProof/>
              </w:rPr>
              <w:t>234</w:t>
            </w:r>
          </w:p>
        </w:tc>
        <w:tc>
          <w:tcPr>
            <w:tcW w:w="1541" w:type="dxa"/>
            <w:tcBorders>
              <w:top w:val="single" w:sz="4" w:space="0" w:color="auto"/>
              <w:left w:val="nil"/>
              <w:bottom w:val="single" w:sz="4" w:space="0" w:color="auto"/>
              <w:right w:val="single" w:sz="4" w:space="0" w:color="auto"/>
            </w:tcBorders>
            <w:shd w:val="clear" w:color="auto" w:fill="C6EFCE"/>
            <w:noWrap/>
          </w:tcPr>
          <w:p w14:paraId="4AECCF80" w14:textId="77777777" w:rsidR="00515398" w:rsidRDefault="006711E6">
            <w:pPr>
              <w:pStyle w:val="P68B1DB1-Normal9"/>
              <w:spacing w:after="0" w:line="240" w:lineRule="auto"/>
              <w:rPr>
                <w:rFonts w:eastAsia="Times New Roman"/>
                <w:noProof/>
                <w:szCs w:val="18"/>
              </w:rPr>
            </w:pPr>
            <w:r>
              <w:rPr>
                <w:noProof/>
              </w:rPr>
              <w:t>14–4.3. Zlepšit účinnosti systému spravedlnosti – 16575 Zrychlení soudní správy</w:t>
            </w:r>
          </w:p>
        </w:tc>
        <w:tc>
          <w:tcPr>
            <w:tcW w:w="1424" w:type="dxa"/>
            <w:tcBorders>
              <w:top w:val="single" w:sz="4" w:space="0" w:color="auto"/>
              <w:left w:val="nil"/>
              <w:bottom w:val="single" w:sz="4" w:space="0" w:color="auto"/>
              <w:right w:val="single" w:sz="4" w:space="0" w:color="auto"/>
            </w:tcBorders>
            <w:shd w:val="clear" w:color="auto" w:fill="C6EFCE"/>
            <w:noWrap/>
          </w:tcPr>
          <w:p w14:paraId="79E133FE"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4F9496F3" w14:textId="77777777" w:rsidR="00515398" w:rsidRDefault="006711E6">
            <w:pPr>
              <w:pStyle w:val="P68B1DB1-Normal9"/>
              <w:spacing w:after="0" w:line="240" w:lineRule="auto"/>
              <w:rPr>
                <w:rFonts w:eastAsia="Times New Roman"/>
                <w:noProof/>
                <w:szCs w:val="18"/>
              </w:rPr>
            </w:pPr>
            <w:r>
              <w:rPr>
                <w:noProof/>
              </w:rPr>
              <w:t>Soudní policie zahájila fungování</w:t>
            </w:r>
          </w:p>
        </w:tc>
        <w:tc>
          <w:tcPr>
            <w:tcW w:w="1552" w:type="dxa"/>
            <w:tcBorders>
              <w:top w:val="single" w:sz="4" w:space="0" w:color="auto"/>
              <w:left w:val="nil"/>
              <w:bottom w:val="single" w:sz="4" w:space="0" w:color="auto"/>
              <w:right w:val="single" w:sz="4" w:space="0" w:color="auto"/>
            </w:tcBorders>
            <w:shd w:val="clear" w:color="auto" w:fill="C6EFCE"/>
            <w:noWrap/>
          </w:tcPr>
          <w:p w14:paraId="126FD5E7" w14:textId="77777777" w:rsidR="00515398" w:rsidRDefault="006711E6">
            <w:pPr>
              <w:pStyle w:val="P68B1DB1-Normal9"/>
              <w:spacing w:after="0" w:line="240" w:lineRule="auto"/>
              <w:rPr>
                <w:rFonts w:eastAsia="Times New Roman"/>
                <w:noProof/>
                <w:szCs w:val="18"/>
              </w:rPr>
            </w:pPr>
            <w:r>
              <w:rPr>
                <w:noProof/>
              </w:rPr>
              <w:t xml:space="preserve">Plně </w:t>
            </w:r>
            <w:r>
              <w:rPr>
                <w:noProof/>
              </w:rPr>
              <w:t>funkční a funkční soudní policie jak na ústřední, tak na regionální úrovni</w:t>
            </w:r>
          </w:p>
        </w:tc>
        <w:tc>
          <w:tcPr>
            <w:tcW w:w="992" w:type="dxa"/>
            <w:tcBorders>
              <w:top w:val="single" w:sz="4" w:space="0" w:color="auto"/>
              <w:left w:val="nil"/>
              <w:bottom w:val="single" w:sz="4" w:space="0" w:color="auto"/>
              <w:right w:val="single" w:sz="4" w:space="0" w:color="auto"/>
            </w:tcBorders>
            <w:shd w:val="clear" w:color="auto" w:fill="C6EFCE"/>
            <w:noWrap/>
          </w:tcPr>
          <w:p w14:paraId="676DA86D"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4E34F90"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4F702BB7"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D49F49B" w14:textId="77777777" w:rsidR="00515398" w:rsidRDefault="006711E6">
            <w:pPr>
              <w:pStyle w:val="P68B1DB1-Normal9"/>
              <w:spacing w:after="0" w:line="240" w:lineRule="auto"/>
              <w:rPr>
                <w:rFonts w:eastAsia="Times New Roman"/>
                <w:noProof/>
                <w:szCs w:val="18"/>
              </w:rPr>
            </w:pPr>
            <w:r>
              <w:rPr>
                <w:noProof/>
              </w:rPr>
              <w:t>ČTVRTLETÍ</w:t>
            </w:r>
          </w:p>
        </w:tc>
        <w:tc>
          <w:tcPr>
            <w:tcW w:w="622" w:type="dxa"/>
            <w:tcBorders>
              <w:top w:val="single" w:sz="4" w:space="0" w:color="auto"/>
              <w:left w:val="nil"/>
              <w:bottom w:val="single" w:sz="4" w:space="0" w:color="auto"/>
              <w:right w:val="single" w:sz="4" w:space="0" w:color="auto"/>
            </w:tcBorders>
            <w:shd w:val="clear" w:color="auto" w:fill="C6EFCE"/>
            <w:noWrap/>
          </w:tcPr>
          <w:p w14:paraId="3939B214" w14:textId="77777777" w:rsidR="00515398" w:rsidRDefault="006711E6">
            <w:pPr>
              <w:pStyle w:val="P68B1DB1-Normal9"/>
              <w:spacing w:after="0" w:line="240" w:lineRule="auto"/>
              <w:rPr>
                <w:rFonts w:eastAsia="Times New Roman"/>
                <w:noProof/>
                <w:szCs w:val="18"/>
              </w:rPr>
            </w:pPr>
            <w:r>
              <w:rPr>
                <w:noProof/>
              </w:rPr>
              <w:t>2024</w:t>
            </w:r>
          </w:p>
        </w:tc>
        <w:tc>
          <w:tcPr>
            <w:tcW w:w="4885" w:type="dxa"/>
            <w:tcBorders>
              <w:top w:val="single" w:sz="4" w:space="0" w:color="auto"/>
              <w:left w:val="nil"/>
              <w:bottom w:val="single" w:sz="4" w:space="0" w:color="auto"/>
              <w:right w:val="single" w:sz="4" w:space="0" w:color="auto"/>
            </w:tcBorders>
            <w:shd w:val="clear" w:color="auto" w:fill="C6EFCE"/>
            <w:noWrap/>
          </w:tcPr>
          <w:p w14:paraId="757185F3" w14:textId="77777777" w:rsidR="00515398" w:rsidRDefault="006711E6">
            <w:pPr>
              <w:pStyle w:val="P68B1DB1-Normal9"/>
              <w:spacing w:before="120" w:after="0" w:line="240" w:lineRule="auto"/>
              <w:jc w:val="both"/>
              <w:rPr>
                <w:rFonts w:eastAsia="Times New Roman"/>
                <w:noProof/>
                <w:szCs w:val="18"/>
              </w:rPr>
            </w:pPr>
            <w:r>
              <w:rPr>
                <w:noProof/>
              </w:rPr>
              <w:t>Zprovoznění soudní policie ve všech jejích pravomocích, a to jak na úrovni ústřední správy, tak na regionální úrovni u soudů</w:t>
            </w:r>
          </w:p>
        </w:tc>
      </w:tr>
      <w:tr w:rsidR="00515398" w14:paraId="39184696"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05823EC" w14:textId="77777777" w:rsidR="00515398" w:rsidRDefault="006711E6">
            <w:pPr>
              <w:pStyle w:val="P68B1DB1-Normal9"/>
              <w:spacing w:after="0" w:line="240" w:lineRule="auto"/>
              <w:rPr>
                <w:rFonts w:eastAsia="Times New Roman" w:cs="Calibri"/>
                <w:noProof/>
                <w:szCs w:val="18"/>
              </w:rPr>
            </w:pPr>
            <w:r>
              <w:rPr>
                <w:noProof/>
              </w:rPr>
              <w:t>235</w:t>
            </w:r>
          </w:p>
        </w:tc>
        <w:tc>
          <w:tcPr>
            <w:tcW w:w="1541" w:type="dxa"/>
            <w:tcBorders>
              <w:top w:val="single" w:sz="4" w:space="0" w:color="auto"/>
              <w:left w:val="nil"/>
              <w:bottom w:val="single" w:sz="4" w:space="0" w:color="auto"/>
              <w:right w:val="single" w:sz="4" w:space="0" w:color="auto"/>
            </w:tcBorders>
            <w:shd w:val="clear" w:color="auto" w:fill="C6EFCE"/>
            <w:noWrap/>
          </w:tcPr>
          <w:p w14:paraId="2066CAD6" w14:textId="77777777" w:rsidR="00515398" w:rsidRDefault="006711E6">
            <w:pPr>
              <w:pStyle w:val="P68B1DB1-Normal9"/>
              <w:spacing w:after="0" w:line="240" w:lineRule="auto"/>
              <w:rPr>
                <w:rFonts w:eastAsia="Times New Roman"/>
                <w:noProof/>
                <w:szCs w:val="18"/>
              </w:rPr>
            </w:pPr>
            <w:r>
              <w:rPr>
                <w:noProof/>
              </w:rPr>
              <w:t>14–4.3. Zlepšit účinnost soudního</w:t>
            </w:r>
            <w:r>
              <w:rPr>
                <w:noProof/>
              </w:rPr>
              <w:t xml:space="preserve"> systému – 16733_Dovednosti a digitální dovednosti soudců a soudních zaměstnanců (soudní zaměstnanci)</w:t>
            </w:r>
          </w:p>
        </w:tc>
        <w:tc>
          <w:tcPr>
            <w:tcW w:w="1424" w:type="dxa"/>
            <w:tcBorders>
              <w:top w:val="single" w:sz="4" w:space="0" w:color="auto"/>
              <w:left w:val="nil"/>
              <w:bottom w:val="single" w:sz="4" w:space="0" w:color="auto"/>
              <w:right w:val="single" w:sz="4" w:space="0" w:color="auto"/>
            </w:tcBorders>
            <w:shd w:val="clear" w:color="auto" w:fill="C6EFCE"/>
            <w:noWrap/>
          </w:tcPr>
          <w:p w14:paraId="22802CC4"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2A421772" w14:textId="77777777" w:rsidR="00515398" w:rsidRDefault="006711E6">
            <w:pPr>
              <w:pStyle w:val="P68B1DB1-Normal9"/>
              <w:spacing w:after="0" w:line="240" w:lineRule="auto"/>
              <w:rPr>
                <w:rFonts w:eastAsia="Times New Roman"/>
                <w:noProof/>
                <w:szCs w:val="18"/>
              </w:rPr>
            </w:pPr>
            <w:r>
              <w:rPr>
                <w:noProof/>
              </w:rPr>
              <w:t>Školení – soudci a úředníci</w:t>
            </w:r>
          </w:p>
        </w:tc>
        <w:tc>
          <w:tcPr>
            <w:tcW w:w="1552" w:type="dxa"/>
            <w:tcBorders>
              <w:top w:val="single" w:sz="4" w:space="0" w:color="auto"/>
              <w:left w:val="nil"/>
              <w:bottom w:val="single" w:sz="4" w:space="0" w:color="auto"/>
              <w:right w:val="single" w:sz="4" w:space="0" w:color="auto"/>
            </w:tcBorders>
            <w:shd w:val="clear" w:color="auto" w:fill="C6EFCE"/>
            <w:noWrap/>
          </w:tcPr>
          <w:p w14:paraId="448A4BC0" w14:textId="77777777" w:rsidR="00515398" w:rsidRDefault="006711E6">
            <w:pPr>
              <w:pStyle w:val="P68B1DB1-Normal9"/>
              <w:spacing w:after="0" w:line="240" w:lineRule="auto"/>
              <w:rPr>
                <w:noProof/>
                <w:szCs w:val="18"/>
              </w:rPr>
            </w:pPr>
            <w:r>
              <w:rPr>
                <w:noProof/>
              </w:rPr>
              <w:t xml:space="preserve">Zpráva potvrzující </w:t>
            </w:r>
          </w:p>
          <w:p w14:paraId="0888EEB4" w14:textId="5B755299" w:rsidR="00515398" w:rsidRDefault="006711E6">
            <w:pPr>
              <w:pStyle w:val="P68B1DB1-Normal9"/>
              <w:spacing w:after="0" w:line="240" w:lineRule="auto"/>
              <w:rPr>
                <w:noProof/>
                <w:szCs w:val="18"/>
              </w:rPr>
            </w:pPr>
            <w:r>
              <w:rPr>
                <w:noProof/>
              </w:rPr>
              <w:t xml:space="preserve">Provádění změn ve vzdělávacím programu Národní školy soudců a zápis soudců a úředníků do </w:t>
            </w:r>
            <w:r>
              <w:rPr>
                <w:noProof/>
              </w:rPr>
              <w:t>celoživotního vzdělávání</w:t>
            </w:r>
          </w:p>
        </w:tc>
        <w:tc>
          <w:tcPr>
            <w:tcW w:w="992" w:type="dxa"/>
            <w:tcBorders>
              <w:top w:val="single" w:sz="4" w:space="0" w:color="auto"/>
              <w:left w:val="nil"/>
              <w:bottom w:val="single" w:sz="4" w:space="0" w:color="auto"/>
              <w:right w:val="single" w:sz="4" w:space="0" w:color="auto"/>
            </w:tcBorders>
            <w:shd w:val="clear" w:color="auto" w:fill="C6EFCE"/>
            <w:noWrap/>
          </w:tcPr>
          <w:p w14:paraId="083A1CBA"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86CBAED"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E4BE825"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115A950" w14:textId="3EEE9192" w:rsidR="00515398" w:rsidRDefault="006711E6">
            <w:pPr>
              <w:pStyle w:val="P68B1DB1-Normal9"/>
              <w:spacing w:after="0" w:line="240" w:lineRule="auto"/>
              <w:rPr>
                <w:rFonts w:eastAsia="Times New Roman"/>
                <w:noProof/>
                <w:szCs w:val="18"/>
              </w:rPr>
            </w:pPr>
            <w:r>
              <w:rPr>
                <w:noProof/>
              </w:rPr>
              <w:t>ČTVRTLETÍ</w:t>
            </w:r>
          </w:p>
        </w:tc>
        <w:tc>
          <w:tcPr>
            <w:tcW w:w="622" w:type="dxa"/>
            <w:tcBorders>
              <w:top w:val="single" w:sz="4" w:space="0" w:color="auto"/>
              <w:left w:val="nil"/>
              <w:bottom w:val="single" w:sz="4" w:space="0" w:color="auto"/>
              <w:right w:val="single" w:sz="4" w:space="0" w:color="auto"/>
            </w:tcBorders>
            <w:shd w:val="clear" w:color="auto" w:fill="C6EFCE"/>
            <w:noWrap/>
          </w:tcPr>
          <w:p w14:paraId="370D1BAF" w14:textId="77777777" w:rsidR="00515398" w:rsidRDefault="006711E6">
            <w:pPr>
              <w:pStyle w:val="P68B1DB1-Normal9"/>
              <w:spacing w:after="0" w:line="240" w:lineRule="auto"/>
              <w:rPr>
                <w:rFonts w:eastAsia="Times New Roman"/>
                <w:noProof/>
                <w:szCs w:val="18"/>
              </w:rPr>
            </w:pPr>
            <w:r>
              <w:rPr>
                <w:noProof/>
              </w:rPr>
              <w:t>2024</w:t>
            </w:r>
          </w:p>
        </w:tc>
        <w:tc>
          <w:tcPr>
            <w:tcW w:w="4885" w:type="dxa"/>
            <w:tcBorders>
              <w:top w:val="single" w:sz="4" w:space="0" w:color="auto"/>
              <w:left w:val="nil"/>
              <w:bottom w:val="single" w:sz="4" w:space="0" w:color="auto"/>
              <w:right w:val="single" w:sz="4" w:space="0" w:color="auto"/>
            </w:tcBorders>
            <w:shd w:val="clear" w:color="auto" w:fill="C6EFCE"/>
            <w:noWrap/>
          </w:tcPr>
          <w:p w14:paraId="0CEBD634" w14:textId="58A24A73" w:rsidR="00515398" w:rsidRDefault="006711E6">
            <w:pPr>
              <w:pStyle w:val="P68B1DB1-Normal9"/>
              <w:spacing w:after="0" w:line="240" w:lineRule="auto"/>
              <w:rPr>
                <w:noProof/>
                <w:szCs w:val="18"/>
              </w:rPr>
            </w:pPr>
            <w:r>
              <w:rPr>
                <w:noProof/>
              </w:rPr>
              <w:t>Dokončení projektů zahrnutých do reformy dovedností a digitálních dovedností soudců a soudních zaměstnanců: </w:t>
            </w:r>
          </w:p>
          <w:p w14:paraId="4E854EB9" w14:textId="0E5D2A9C" w:rsidR="00515398" w:rsidRDefault="006711E6">
            <w:pPr>
              <w:pStyle w:val="P68B1DB1-Normal9"/>
              <w:numPr>
                <w:ilvl w:val="0"/>
                <w:numId w:val="24"/>
              </w:numPr>
              <w:spacing w:before="120" w:after="0" w:line="240" w:lineRule="auto"/>
              <w:jc w:val="both"/>
              <w:rPr>
                <w:noProof/>
                <w:szCs w:val="18"/>
              </w:rPr>
            </w:pPr>
            <w:r>
              <w:rPr>
                <w:noProof/>
              </w:rPr>
              <w:t>7029 soudců a úředníků, kteří jsou zapsáni do celoživotního vzdělávání a absolvovali alespoň jedno škole</w:t>
            </w:r>
            <w:r>
              <w:rPr>
                <w:noProof/>
              </w:rPr>
              <w:t>ní (seminář).</w:t>
            </w:r>
          </w:p>
          <w:p w14:paraId="6B29F422" w14:textId="27386BCE" w:rsidR="00515398" w:rsidRDefault="006711E6">
            <w:pPr>
              <w:pStyle w:val="P68B1DB1-Normal9"/>
              <w:spacing w:before="120" w:after="0" w:line="240" w:lineRule="auto"/>
              <w:ind w:left="360"/>
              <w:jc w:val="both"/>
              <w:rPr>
                <w:noProof/>
                <w:szCs w:val="18"/>
              </w:rPr>
            </w:pPr>
            <w:r>
              <w:rPr>
                <w:noProof/>
              </w:rPr>
              <w:t>2. Vzdělávací program pro soudní úředníky v rámci Národní školy soudců, která je v provozu</w:t>
            </w:r>
          </w:p>
          <w:p w14:paraId="4387AFE4" w14:textId="200D24F2" w:rsidR="00515398" w:rsidRDefault="006711E6">
            <w:pPr>
              <w:pStyle w:val="P68B1DB1-Normal9"/>
              <w:numPr>
                <w:ilvl w:val="0"/>
                <w:numId w:val="25"/>
              </w:numPr>
              <w:spacing w:before="120" w:after="0" w:line="240" w:lineRule="auto"/>
              <w:jc w:val="both"/>
              <w:rPr>
                <w:noProof/>
                <w:szCs w:val="18"/>
              </w:rPr>
            </w:pPr>
            <w:r>
              <w:rPr>
                <w:noProof/>
              </w:rPr>
              <w:t xml:space="preserve">Změny kritérií výběru </w:t>
            </w:r>
            <w:r>
              <w:rPr>
                <w:noProof/>
                <w:u w:val="single"/>
              </w:rPr>
              <w:t xml:space="preserve">podle zákona č. 4871/2021 </w:t>
            </w:r>
            <w:r>
              <w:rPr>
                <w:noProof/>
              </w:rPr>
              <w:t>a realizovaného vzdělávacího programu</w:t>
            </w:r>
          </w:p>
          <w:p w14:paraId="47739B43" w14:textId="1229676A" w:rsidR="00515398" w:rsidRDefault="006711E6">
            <w:pPr>
              <w:spacing w:before="120" w:after="0" w:line="240" w:lineRule="auto"/>
              <w:rPr>
                <w:b/>
                <w:bCs/>
                <w:noProof/>
                <w:color w:val="006100"/>
                <w:sz w:val="18"/>
                <w:szCs w:val="18"/>
              </w:rPr>
            </w:pPr>
            <w:r>
              <w:rPr>
                <w:noProof/>
                <w:color w:val="006100"/>
                <w:sz w:val="18"/>
              </w:rPr>
              <w:t>Změny ve vzdělávacím programu Národní školy soudců zaměřené zejmé</w:t>
            </w:r>
            <w:r>
              <w:rPr>
                <w:noProof/>
                <w:color w:val="006100"/>
                <w:sz w:val="18"/>
              </w:rPr>
              <w:t xml:space="preserve">na na zlepšení praktické odborné přípravy a nabízení kurzů v souladu s výše uvedeným zákonem. </w:t>
            </w:r>
            <w:r>
              <w:rPr>
                <w:rFonts w:ascii="Times New Roman" w:hAnsi="Times New Roman"/>
                <w:noProof/>
                <w:sz w:val="24"/>
              </w:rPr>
              <w:t xml:space="preserve"> </w:t>
            </w:r>
            <w:r>
              <w:rPr>
                <w:noProof/>
                <w:color w:val="006100"/>
                <w:sz w:val="18"/>
              </w:rPr>
              <w:t xml:space="preserve">Poskytování celoživotního vzdělávání soudcům a soudním úředníkům v různých oblastech podle výše uvedeného zákona; pro soudce je toto vzdělávání předpokladem pro </w:t>
            </w:r>
            <w:r>
              <w:rPr>
                <w:noProof/>
                <w:color w:val="006100"/>
                <w:sz w:val="18"/>
              </w:rPr>
              <w:t>profesní postup.</w:t>
            </w:r>
            <w:r>
              <w:rPr>
                <w:rFonts w:ascii="Times New Roman" w:hAnsi="Times New Roman"/>
                <w:noProof/>
                <w:sz w:val="24"/>
              </w:rPr>
              <w:t xml:space="preserve"> </w:t>
            </w:r>
          </w:p>
        </w:tc>
      </w:tr>
      <w:tr w:rsidR="00515398" w14:paraId="27395684"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358BBE2" w14:textId="77777777" w:rsidR="00515398" w:rsidRDefault="006711E6">
            <w:pPr>
              <w:pStyle w:val="P68B1DB1-Normal9"/>
              <w:spacing w:after="0" w:line="240" w:lineRule="auto"/>
              <w:rPr>
                <w:rFonts w:eastAsia="Times New Roman" w:cs="Calibri"/>
                <w:noProof/>
                <w:szCs w:val="18"/>
              </w:rPr>
            </w:pPr>
            <w:r>
              <w:rPr>
                <w:noProof/>
              </w:rPr>
              <w:t>236</w:t>
            </w:r>
          </w:p>
        </w:tc>
        <w:tc>
          <w:tcPr>
            <w:tcW w:w="1541" w:type="dxa"/>
            <w:tcBorders>
              <w:top w:val="single" w:sz="4" w:space="0" w:color="auto"/>
              <w:left w:val="nil"/>
              <w:bottom w:val="single" w:sz="4" w:space="0" w:color="auto"/>
              <w:right w:val="single" w:sz="4" w:space="0" w:color="auto"/>
            </w:tcBorders>
            <w:shd w:val="clear" w:color="auto" w:fill="C6EFCE"/>
            <w:noWrap/>
          </w:tcPr>
          <w:p w14:paraId="2E2CD3AD" w14:textId="77777777" w:rsidR="00515398" w:rsidRDefault="006711E6">
            <w:pPr>
              <w:pStyle w:val="P68B1DB1-Normal9"/>
              <w:spacing w:after="0" w:line="240" w:lineRule="auto"/>
              <w:rPr>
                <w:rFonts w:eastAsia="Times New Roman"/>
                <w:noProof/>
                <w:szCs w:val="18"/>
              </w:rPr>
            </w:pPr>
            <w:r>
              <w:rPr>
                <w:noProof/>
              </w:rPr>
              <w:t>14–4.3. Zlepšit účinnosti systému spravedlnosti – 16575 Zrychlení soudní správy</w:t>
            </w:r>
          </w:p>
        </w:tc>
        <w:tc>
          <w:tcPr>
            <w:tcW w:w="1424" w:type="dxa"/>
            <w:tcBorders>
              <w:top w:val="single" w:sz="4" w:space="0" w:color="auto"/>
              <w:left w:val="nil"/>
              <w:bottom w:val="single" w:sz="4" w:space="0" w:color="auto"/>
              <w:right w:val="single" w:sz="4" w:space="0" w:color="auto"/>
            </w:tcBorders>
            <w:shd w:val="clear" w:color="auto" w:fill="C6EFCE"/>
            <w:noWrap/>
          </w:tcPr>
          <w:p w14:paraId="08C15005"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7B277DD2" w14:textId="62FFAA06" w:rsidR="00515398" w:rsidRDefault="006711E6">
            <w:pPr>
              <w:pStyle w:val="P68B1DB1-Normal9"/>
              <w:spacing w:after="0" w:line="240" w:lineRule="auto"/>
              <w:rPr>
                <w:rFonts w:eastAsia="Times New Roman"/>
                <w:noProof/>
                <w:szCs w:val="18"/>
              </w:rPr>
            </w:pPr>
            <w:r>
              <w:rPr>
                <w:noProof/>
              </w:rPr>
              <w:t>Revize soudní mapy – plné provedení</w:t>
            </w:r>
          </w:p>
        </w:tc>
        <w:tc>
          <w:tcPr>
            <w:tcW w:w="1552" w:type="dxa"/>
            <w:tcBorders>
              <w:top w:val="single" w:sz="4" w:space="0" w:color="auto"/>
              <w:left w:val="nil"/>
              <w:bottom w:val="single" w:sz="4" w:space="0" w:color="auto"/>
              <w:right w:val="single" w:sz="4" w:space="0" w:color="auto"/>
            </w:tcBorders>
            <w:shd w:val="clear" w:color="auto" w:fill="C6EFCE"/>
            <w:noWrap/>
          </w:tcPr>
          <w:p w14:paraId="3512CF5C" w14:textId="00547DAE" w:rsidR="00515398" w:rsidRDefault="006711E6">
            <w:pPr>
              <w:pStyle w:val="P68B1DB1-Normal10"/>
              <w:spacing w:after="0" w:line="240" w:lineRule="auto"/>
              <w:rPr>
                <w:noProof/>
              </w:rPr>
            </w:pPr>
            <w:r>
              <w:rPr>
                <w:noProof/>
              </w:rPr>
              <w:t xml:space="preserve"> Osvědčení správních orgánů soudů, která potvrzují zprovoznění a funkčnost všech reformovaných subjektů.</w:t>
            </w:r>
          </w:p>
        </w:tc>
        <w:tc>
          <w:tcPr>
            <w:tcW w:w="992" w:type="dxa"/>
            <w:tcBorders>
              <w:top w:val="single" w:sz="4" w:space="0" w:color="auto"/>
              <w:left w:val="nil"/>
              <w:bottom w:val="single" w:sz="4" w:space="0" w:color="auto"/>
              <w:right w:val="single" w:sz="4" w:space="0" w:color="auto"/>
            </w:tcBorders>
            <w:shd w:val="clear" w:color="auto" w:fill="C6EFCE"/>
            <w:noWrap/>
          </w:tcPr>
          <w:p w14:paraId="2DA9CFD2"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6966522"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2B2ABE2"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B78D179"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single" w:sz="4" w:space="0" w:color="auto"/>
              <w:left w:val="nil"/>
              <w:bottom w:val="single" w:sz="4" w:space="0" w:color="auto"/>
              <w:right w:val="single" w:sz="4" w:space="0" w:color="auto"/>
            </w:tcBorders>
            <w:shd w:val="clear" w:color="auto" w:fill="C6EFCE"/>
            <w:noWrap/>
          </w:tcPr>
          <w:p w14:paraId="3508D6AA" w14:textId="77777777" w:rsidR="00515398" w:rsidRDefault="006711E6">
            <w:pPr>
              <w:pStyle w:val="P68B1DB1-Normal9"/>
              <w:spacing w:after="0" w:line="240" w:lineRule="auto"/>
              <w:rPr>
                <w:rFonts w:eastAsia="Times New Roman"/>
                <w:noProof/>
                <w:szCs w:val="18"/>
              </w:rPr>
            </w:pPr>
            <w:r>
              <w:rPr>
                <w:noProof/>
              </w:rPr>
              <w:t>2024</w:t>
            </w:r>
          </w:p>
        </w:tc>
        <w:tc>
          <w:tcPr>
            <w:tcW w:w="4885" w:type="dxa"/>
            <w:tcBorders>
              <w:top w:val="single" w:sz="4" w:space="0" w:color="auto"/>
              <w:left w:val="nil"/>
              <w:bottom w:val="single" w:sz="4" w:space="0" w:color="auto"/>
              <w:right w:val="single" w:sz="4" w:space="0" w:color="auto"/>
            </w:tcBorders>
            <w:shd w:val="clear" w:color="auto" w:fill="C6EFCE"/>
            <w:noWrap/>
          </w:tcPr>
          <w:p w14:paraId="2F200B14" w14:textId="77777777" w:rsidR="00515398" w:rsidRDefault="006711E6">
            <w:pPr>
              <w:pStyle w:val="P68B1DB1-Normal9"/>
              <w:spacing w:after="0" w:line="240" w:lineRule="auto"/>
              <w:rPr>
                <w:noProof/>
                <w:szCs w:val="18"/>
              </w:rPr>
            </w:pPr>
            <w:r>
              <w:rPr>
                <w:noProof/>
              </w:rPr>
              <w:t>Revize soudní mapy</w:t>
            </w:r>
          </w:p>
          <w:p w14:paraId="7B55D780" w14:textId="4466390E" w:rsidR="00515398" w:rsidRDefault="006711E6">
            <w:pPr>
              <w:pStyle w:val="P68B1DB1-Normal9"/>
              <w:spacing w:after="0" w:line="240" w:lineRule="auto"/>
              <w:rPr>
                <w:noProof/>
                <w:szCs w:val="18"/>
              </w:rPr>
            </w:pPr>
            <w:r>
              <w:rPr>
                <w:noProof/>
              </w:rPr>
              <w:t>Plné provedení revize soudních map pro každé správní, občanské a trestní soudnictví, o čemž svědčí oficiální prohlášení příslušných soudních správ potvrzující zprovoznění a funkčnost reformovaných subjektů.</w:t>
            </w:r>
          </w:p>
        </w:tc>
      </w:tr>
      <w:tr w:rsidR="00515398" w14:paraId="0673FA95"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DB8DA19" w14:textId="77777777" w:rsidR="00515398" w:rsidRDefault="006711E6">
            <w:pPr>
              <w:pStyle w:val="P68B1DB1-Normal9"/>
              <w:spacing w:after="0" w:line="240" w:lineRule="auto"/>
              <w:rPr>
                <w:rFonts w:eastAsia="Times New Roman" w:cs="Calibri"/>
                <w:noProof/>
                <w:szCs w:val="18"/>
              </w:rPr>
            </w:pPr>
            <w:r>
              <w:rPr>
                <w:noProof/>
              </w:rPr>
              <w:t>237</w:t>
            </w:r>
          </w:p>
        </w:tc>
        <w:tc>
          <w:tcPr>
            <w:tcW w:w="1541" w:type="dxa"/>
            <w:tcBorders>
              <w:top w:val="single" w:sz="4" w:space="0" w:color="auto"/>
              <w:left w:val="nil"/>
              <w:bottom w:val="single" w:sz="4" w:space="0" w:color="auto"/>
              <w:right w:val="single" w:sz="4" w:space="0" w:color="auto"/>
            </w:tcBorders>
            <w:shd w:val="clear" w:color="auto" w:fill="C6EFCE"/>
            <w:noWrap/>
          </w:tcPr>
          <w:p w14:paraId="1793CA40" w14:textId="77777777" w:rsidR="00515398" w:rsidRDefault="006711E6">
            <w:pPr>
              <w:pStyle w:val="P68B1DB1-Normal9"/>
              <w:spacing w:after="0" w:line="240" w:lineRule="auto"/>
              <w:rPr>
                <w:rFonts w:eastAsia="Times New Roman"/>
                <w:noProof/>
                <w:szCs w:val="18"/>
              </w:rPr>
            </w:pPr>
            <w:r>
              <w:rPr>
                <w:noProof/>
              </w:rPr>
              <w:t>14–4.3. Zlepšení účinnosti soudního systému – 16292_Nové soudní budovy</w:t>
            </w:r>
          </w:p>
        </w:tc>
        <w:tc>
          <w:tcPr>
            <w:tcW w:w="1424" w:type="dxa"/>
            <w:tcBorders>
              <w:top w:val="single" w:sz="4" w:space="0" w:color="auto"/>
              <w:left w:val="nil"/>
              <w:bottom w:val="single" w:sz="4" w:space="0" w:color="auto"/>
              <w:right w:val="single" w:sz="4" w:space="0" w:color="auto"/>
            </w:tcBorders>
            <w:shd w:val="clear" w:color="auto" w:fill="C6EFCE"/>
            <w:noWrap/>
          </w:tcPr>
          <w:p w14:paraId="1BC2B293"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17496328" w14:textId="77777777" w:rsidR="00515398" w:rsidRDefault="006711E6">
            <w:pPr>
              <w:pStyle w:val="P68B1DB1-Normal9"/>
              <w:spacing w:after="0" w:line="240" w:lineRule="auto"/>
              <w:rPr>
                <w:rFonts w:eastAsia="Times New Roman"/>
                <w:noProof/>
                <w:szCs w:val="18"/>
              </w:rPr>
            </w:pPr>
            <w:r>
              <w:rPr>
                <w:noProof/>
              </w:rPr>
              <w:t xml:space="preserve">Stavební a renovační práce – elektronická identita – dokončení </w:t>
            </w:r>
          </w:p>
        </w:tc>
        <w:tc>
          <w:tcPr>
            <w:tcW w:w="1552" w:type="dxa"/>
            <w:tcBorders>
              <w:top w:val="single" w:sz="4" w:space="0" w:color="auto"/>
              <w:left w:val="nil"/>
              <w:bottom w:val="single" w:sz="4" w:space="0" w:color="auto"/>
              <w:right w:val="single" w:sz="4" w:space="0" w:color="auto"/>
            </w:tcBorders>
            <w:shd w:val="clear" w:color="auto" w:fill="C6EFCE"/>
            <w:noWrap/>
          </w:tcPr>
          <w:p w14:paraId="756DC062" w14:textId="77777777" w:rsidR="00515398" w:rsidRDefault="006711E6">
            <w:pPr>
              <w:pStyle w:val="P68B1DB1-Normal9"/>
              <w:spacing w:after="0" w:line="240" w:lineRule="auto"/>
              <w:rPr>
                <w:noProof/>
                <w:szCs w:val="18"/>
              </w:rPr>
            </w:pPr>
            <w:r>
              <w:rPr>
                <w:noProof/>
              </w:rPr>
              <w:t>Zpráva ověřující, že všechny stavební projekty jsou zcela dokončeny a předány uživatelům. </w:t>
            </w:r>
          </w:p>
          <w:p w14:paraId="0E7A5B0D" w14:textId="77777777" w:rsidR="00515398" w:rsidRDefault="00515398">
            <w:pPr>
              <w:spacing w:after="0" w:line="240" w:lineRule="auto"/>
              <w:rPr>
                <w:rFonts w:cs="Calibri"/>
                <w:noProof/>
                <w:color w:val="006100"/>
                <w:sz w:val="18"/>
                <w:szCs w:val="18"/>
              </w:rPr>
            </w:pPr>
          </w:p>
          <w:p w14:paraId="0703C77C" w14:textId="57F6B0C8" w:rsidR="00515398" w:rsidRDefault="006711E6">
            <w:pPr>
              <w:pStyle w:val="P68B1DB1-Normal9"/>
              <w:spacing w:after="0" w:line="240" w:lineRule="auto"/>
              <w:rPr>
                <w:noProof/>
                <w:szCs w:val="18"/>
              </w:rPr>
            </w:pPr>
            <w:r>
              <w:rPr>
                <w:noProof/>
              </w:rPr>
              <w:t>Elektronická osvědčení</w:t>
            </w:r>
            <w:r>
              <w:rPr>
                <w:noProof/>
              </w:rPr>
              <w:t xml:space="preserve"> o totožnosti soudních budov</w:t>
            </w:r>
          </w:p>
          <w:p w14:paraId="370897A5" w14:textId="77777777" w:rsidR="00515398" w:rsidRDefault="00515398">
            <w:pPr>
              <w:spacing w:after="0" w:line="240" w:lineRule="auto"/>
              <w:rPr>
                <w:rFonts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5FAE663D"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0950F12"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170085F"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1FDEE64"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single" w:sz="4" w:space="0" w:color="auto"/>
              <w:left w:val="nil"/>
              <w:bottom w:val="single" w:sz="4" w:space="0" w:color="auto"/>
              <w:right w:val="single" w:sz="4" w:space="0" w:color="auto"/>
            </w:tcBorders>
            <w:shd w:val="clear" w:color="auto" w:fill="C6EFCE"/>
            <w:noWrap/>
          </w:tcPr>
          <w:p w14:paraId="75AF4FE9" w14:textId="77777777" w:rsidR="00515398" w:rsidRDefault="006711E6">
            <w:pPr>
              <w:pStyle w:val="P68B1DB1-Normal9"/>
              <w:spacing w:after="0" w:line="240" w:lineRule="auto"/>
              <w:rPr>
                <w:rFonts w:eastAsia="Times New Roman"/>
                <w:noProof/>
                <w:szCs w:val="18"/>
              </w:rPr>
            </w:pPr>
            <w:r>
              <w:rPr>
                <w:noProof/>
              </w:rPr>
              <w:t>2025</w:t>
            </w:r>
          </w:p>
        </w:tc>
        <w:tc>
          <w:tcPr>
            <w:tcW w:w="4885" w:type="dxa"/>
            <w:tcBorders>
              <w:top w:val="single" w:sz="4" w:space="0" w:color="auto"/>
              <w:left w:val="nil"/>
              <w:bottom w:val="single" w:sz="4" w:space="0" w:color="auto"/>
              <w:right w:val="single" w:sz="4" w:space="0" w:color="auto"/>
            </w:tcBorders>
            <w:shd w:val="clear" w:color="auto" w:fill="C6EFCE"/>
            <w:noWrap/>
          </w:tcPr>
          <w:p w14:paraId="619998D3" w14:textId="5449A184" w:rsidR="00515398" w:rsidRDefault="006711E6">
            <w:pPr>
              <w:pStyle w:val="P68B1DB1-Normal9"/>
              <w:spacing w:before="120" w:after="0" w:line="240" w:lineRule="auto"/>
              <w:jc w:val="both"/>
              <w:rPr>
                <w:noProof/>
                <w:szCs w:val="18"/>
              </w:rPr>
            </w:pPr>
            <w:r>
              <w:rPr>
                <w:noProof/>
              </w:rPr>
              <w:t xml:space="preserve">Dokončení všech nových budov a renovací v souladu s potřebami revidované soudní mapy. </w:t>
            </w:r>
          </w:p>
          <w:p w14:paraId="5C88C82B" w14:textId="27C62D2E" w:rsidR="00515398" w:rsidRDefault="006711E6">
            <w:pPr>
              <w:pStyle w:val="P68B1DB1-Normal9"/>
              <w:spacing w:before="120" w:after="0" w:line="240" w:lineRule="auto"/>
              <w:jc w:val="both"/>
              <w:rPr>
                <w:b/>
                <w:bCs/>
                <w:noProof/>
                <w:szCs w:val="18"/>
              </w:rPr>
            </w:pPr>
            <w:r>
              <w:rPr>
                <w:noProof/>
              </w:rPr>
              <w:t>Elektronická osvědčení o totožnosti soudních budov vydaná prostřednictvím platformy pro elektronickou identifikaci.</w:t>
            </w:r>
          </w:p>
        </w:tc>
      </w:tr>
      <w:tr w:rsidR="00515398" w14:paraId="664B706A"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A60DB41" w14:textId="77777777" w:rsidR="00515398" w:rsidRDefault="006711E6">
            <w:pPr>
              <w:pStyle w:val="P68B1DB1-Normal9"/>
              <w:spacing w:after="0" w:line="240" w:lineRule="auto"/>
              <w:rPr>
                <w:rFonts w:eastAsia="Times New Roman" w:cs="Calibri"/>
                <w:noProof/>
                <w:szCs w:val="18"/>
              </w:rPr>
            </w:pPr>
            <w:r>
              <w:rPr>
                <w:noProof/>
              </w:rPr>
              <w:t>238</w:t>
            </w:r>
          </w:p>
        </w:tc>
        <w:tc>
          <w:tcPr>
            <w:tcW w:w="1541" w:type="dxa"/>
            <w:tcBorders>
              <w:top w:val="single" w:sz="4" w:space="0" w:color="auto"/>
              <w:left w:val="nil"/>
              <w:bottom w:val="single" w:sz="4" w:space="0" w:color="auto"/>
              <w:right w:val="single" w:sz="4" w:space="0" w:color="auto"/>
            </w:tcBorders>
            <w:shd w:val="clear" w:color="auto" w:fill="C6EFCE"/>
            <w:noWrap/>
          </w:tcPr>
          <w:p w14:paraId="60C81E22" w14:textId="77777777" w:rsidR="00515398" w:rsidRDefault="006711E6">
            <w:pPr>
              <w:pStyle w:val="P68B1DB1-Normal9"/>
              <w:spacing w:after="0" w:line="240" w:lineRule="auto"/>
              <w:rPr>
                <w:rFonts w:eastAsia="Times New Roman"/>
                <w:noProof/>
                <w:szCs w:val="18"/>
              </w:rPr>
            </w:pPr>
            <w:r>
              <w:rPr>
                <w:noProof/>
              </w:rPr>
              <w:t>14–4.3. Zlepšit účinnosti systému spravedlnosti – 16575 Zrychlení soudní správy</w:t>
            </w:r>
          </w:p>
        </w:tc>
        <w:tc>
          <w:tcPr>
            <w:tcW w:w="1424" w:type="dxa"/>
            <w:tcBorders>
              <w:top w:val="single" w:sz="4" w:space="0" w:color="auto"/>
              <w:left w:val="nil"/>
              <w:bottom w:val="single" w:sz="4" w:space="0" w:color="auto"/>
              <w:right w:val="single" w:sz="4" w:space="0" w:color="auto"/>
            </w:tcBorders>
            <w:shd w:val="clear" w:color="auto" w:fill="C6EFCE"/>
            <w:noWrap/>
          </w:tcPr>
          <w:p w14:paraId="7838F02A"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3B627817" w14:textId="78C00A96" w:rsidR="00515398" w:rsidRDefault="006711E6">
            <w:pPr>
              <w:pStyle w:val="P68B1DB1-Normal9"/>
              <w:spacing w:after="0" w:line="240" w:lineRule="auto"/>
              <w:rPr>
                <w:rFonts w:eastAsia="Times New Roman"/>
                <w:noProof/>
                <w:szCs w:val="18"/>
              </w:rPr>
            </w:pPr>
            <w:r>
              <w:rPr>
                <w:noProof/>
              </w:rPr>
              <w:t>Školení o mediaci a zprovoznění jednotného digitálního systému pro akreditovaná mediační střediska</w:t>
            </w:r>
          </w:p>
        </w:tc>
        <w:tc>
          <w:tcPr>
            <w:tcW w:w="1552" w:type="dxa"/>
            <w:tcBorders>
              <w:top w:val="single" w:sz="4" w:space="0" w:color="auto"/>
              <w:left w:val="nil"/>
              <w:bottom w:val="single" w:sz="4" w:space="0" w:color="auto"/>
              <w:right w:val="single" w:sz="4" w:space="0" w:color="auto"/>
            </w:tcBorders>
            <w:shd w:val="clear" w:color="auto" w:fill="C6EFCE"/>
            <w:noWrap/>
          </w:tcPr>
          <w:p w14:paraId="4BA5D582" w14:textId="7A630444" w:rsidR="00515398" w:rsidRDefault="006711E6">
            <w:pPr>
              <w:pStyle w:val="P68B1DB1-Normal9"/>
              <w:spacing w:after="0" w:line="240" w:lineRule="auto"/>
              <w:rPr>
                <w:noProof/>
                <w:szCs w:val="18"/>
              </w:rPr>
            </w:pPr>
            <w:r>
              <w:rPr>
                <w:noProof/>
              </w:rPr>
              <w:t xml:space="preserve">Zpráva, která potvrzuje dokončení odborné přípravy v oblasti mediace po zprovoznění jednotného digitálního systému pro akreditovaná mediační střediska  </w:t>
            </w:r>
          </w:p>
        </w:tc>
        <w:tc>
          <w:tcPr>
            <w:tcW w:w="992" w:type="dxa"/>
            <w:tcBorders>
              <w:top w:val="single" w:sz="4" w:space="0" w:color="auto"/>
              <w:left w:val="nil"/>
              <w:bottom w:val="single" w:sz="4" w:space="0" w:color="auto"/>
              <w:right w:val="single" w:sz="4" w:space="0" w:color="auto"/>
            </w:tcBorders>
            <w:shd w:val="clear" w:color="auto" w:fill="C6EFCE"/>
            <w:noWrap/>
          </w:tcPr>
          <w:p w14:paraId="33FCBD2F"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1F28F91" w14:textId="77777777" w:rsidR="00515398" w:rsidRDefault="00515398">
            <w:pPr>
              <w:spacing w:after="0" w:line="240" w:lineRule="auto"/>
              <w:rPr>
                <w:rFonts w:eastAsia="Times New Roman" w:cs="Calibri"/>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17A58D5"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DAED532"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single" w:sz="4" w:space="0" w:color="auto"/>
              <w:left w:val="nil"/>
              <w:bottom w:val="single" w:sz="4" w:space="0" w:color="auto"/>
              <w:right w:val="single" w:sz="4" w:space="0" w:color="auto"/>
            </w:tcBorders>
            <w:shd w:val="clear" w:color="auto" w:fill="C6EFCE"/>
            <w:noWrap/>
          </w:tcPr>
          <w:p w14:paraId="1735CCA3" w14:textId="77777777" w:rsidR="00515398" w:rsidRDefault="006711E6">
            <w:pPr>
              <w:pStyle w:val="P68B1DB1-Normal9"/>
              <w:spacing w:after="0" w:line="240" w:lineRule="auto"/>
              <w:rPr>
                <w:rFonts w:eastAsia="Times New Roman"/>
                <w:noProof/>
                <w:szCs w:val="18"/>
              </w:rPr>
            </w:pPr>
            <w:r>
              <w:rPr>
                <w:noProof/>
              </w:rPr>
              <w:t>2025</w:t>
            </w:r>
          </w:p>
        </w:tc>
        <w:tc>
          <w:tcPr>
            <w:tcW w:w="4885" w:type="dxa"/>
            <w:tcBorders>
              <w:top w:val="single" w:sz="4" w:space="0" w:color="auto"/>
              <w:left w:val="nil"/>
              <w:bottom w:val="single" w:sz="4" w:space="0" w:color="auto"/>
              <w:right w:val="single" w:sz="4" w:space="0" w:color="auto"/>
            </w:tcBorders>
            <w:shd w:val="clear" w:color="auto" w:fill="C6EFCE"/>
            <w:noWrap/>
          </w:tcPr>
          <w:p w14:paraId="2AAFB5BF" w14:textId="625902BC" w:rsidR="00515398" w:rsidRDefault="006711E6">
            <w:pPr>
              <w:pStyle w:val="P68B1DB1-Normal9"/>
              <w:spacing w:after="0" w:line="240" w:lineRule="auto"/>
              <w:rPr>
                <w:noProof/>
                <w:szCs w:val="18"/>
              </w:rPr>
            </w:pPr>
            <w:r>
              <w:rPr>
                <w:noProof/>
              </w:rPr>
              <w:t xml:space="preserve">Dokončení odborné přípravy v oblasti mediace pro právníky a/nebo mediátory, kteří se účastní programu prostřednictvím výzvy.  </w:t>
            </w:r>
          </w:p>
          <w:p w14:paraId="31DC2A31" w14:textId="7EE031DD" w:rsidR="00515398" w:rsidRDefault="006711E6">
            <w:pPr>
              <w:pStyle w:val="P68B1DB1-Normal9"/>
              <w:spacing w:after="0" w:line="240" w:lineRule="auto"/>
              <w:rPr>
                <w:rFonts w:cs="Calibri"/>
                <w:b/>
                <w:noProof/>
                <w:szCs w:val="18"/>
              </w:rPr>
            </w:pPr>
            <w:r>
              <w:rPr>
                <w:noProof/>
              </w:rPr>
              <w:t xml:space="preserve"> </w:t>
            </w:r>
            <w:r>
              <w:rPr>
                <w:noProof/>
                <w:u w:val="single"/>
              </w:rPr>
              <w:t>Zprovoznění jednotného digitálního systému akreditovaných mediačních středisek.</w:t>
            </w:r>
          </w:p>
        </w:tc>
      </w:tr>
      <w:tr w:rsidR="00515398" w14:paraId="54F3E09C"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72491CF" w14:textId="77777777" w:rsidR="00515398" w:rsidRDefault="006711E6">
            <w:pPr>
              <w:pStyle w:val="P68B1DB1-Normal9"/>
              <w:spacing w:after="0" w:line="240" w:lineRule="auto"/>
              <w:rPr>
                <w:rFonts w:eastAsia="Times New Roman" w:cs="Calibri"/>
                <w:noProof/>
                <w:szCs w:val="18"/>
              </w:rPr>
            </w:pPr>
            <w:r>
              <w:rPr>
                <w:noProof/>
              </w:rPr>
              <w:t>239</w:t>
            </w:r>
          </w:p>
        </w:tc>
        <w:tc>
          <w:tcPr>
            <w:tcW w:w="1541" w:type="dxa"/>
            <w:tcBorders>
              <w:top w:val="single" w:sz="4" w:space="0" w:color="auto"/>
              <w:left w:val="nil"/>
              <w:bottom w:val="single" w:sz="4" w:space="0" w:color="auto"/>
              <w:right w:val="single" w:sz="4" w:space="0" w:color="auto"/>
            </w:tcBorders>
            <w:shd w:val="clear" w:color="auto" w:fill="C6EFCE"/>
            <w:noWrap/>
          </w:tcPr>
          <w:p w14:paraId="50FAA357" w14:textId="77777777" w:rsidR="00515398" w:rsidRDefault="006711E6">
            <w:pPr>
              <w:pStyle w:val="P68B1DB1-Normal9"/>
              <w:spacing w:after="0" w:line="240" w:lineRule="auto"/>
              <w:rPr>
                <w:rFonts w:eastAsia="Times New Roman"/>
                <w:noProof/>
                <w:szCs w:val="18"/>
              </w:rPr>
            </w:pPr>
            <w:r>
              <w:rPr>
                <w:noProof/>
              </w:rPr>
              <w:t>14–4.3. Zlepšení účinnosti soudního systému</w:t>
            </w:r>
            <w:r>
              <w:rPr>
                <w:noProof/>
              </w:rPr>
              <w:t xml:space="preserve"> – 16727_Digitální transformace soudnictví (e-justice)</w:t>
            </w:r>
          </w:p>
        </w:tc>
        <w:tc>
          <w:tcPr>
            <w:tcW w:w="1424" w:type="dxa"/>
            <w:tcBorders>
              <w:top w:val="single" w:sz="4" w:space="0" w:color="auto"/>
              <w:left w:val="nil"/>
              <w:bottom w:val="single" w:sz="4" w:space="0" w:color="auto"/>
              <w:right w:val="single" w:sz="4" w:space="0" w:color="auto"/>
            </w:tcBorders>
            <w:shd w:val="clear" w:color="auto" w:fill="C6EFCE"/>
            <w:noWrap/>
          </w:tcPr>
          <w:p w14:paraId="3A59253C" w14:textId="77777777" w:rsidR="00515398" w:rsidRDefault="006711E6">
            <w:pPr>
              <w:pStyle w:val="P68B1DB1-Normal9"/>
              <w:spacing w:after="0" w:line="240" w:lineRule="auto"/>
              <w:rPr>
                <w:rFonts w:eastAsia="Times New Roman"/>
                <w:noProof/>
                <w:szCs w:val="18"/>
              </w:rPr>
            </w:pPr>
            <w:r>
              <w:rPr>
                <w:noProof/>
              </w:rPr>
              <w:t>Milník</w:t>
            </w:r>
          </w:p>
        </w:tc>
        <w:tc>
          <w:tcPr>
            <w:tcW w:w="1397" w:type="dxa"/>
            <w:tcBorders>
              <w:top w:val="single" w:sz="4" w:space="0" w:color="auto"/>
              <w:left w:val="nil"/>
              <w:bottom w:val="single" w:sz="4" w:space="0" w:color="auto"/>
              <w:right w:val="single" w:sz="4" w:space="0" w:color="auto"/>
            </w:tcBorders>
            <w:shd w:val="clear" w:color="auto" w:fill="C6EFCE"/>
            <w:noWrap/>
          </w:tcPr>
          <w:p w14:paraId="08F64677" w14:textId="77777777" w:rsidR="00515398" w:rsidRDefault="006711E6">
            <w:pPr>
              <w:pStyle w:val="P68B1DB1-Normal9"/>
              <w:spacing w:after="0" w:line="240" w:lineRule="auto"/>
              <w:rPr>
                <w:rFonts w:eastAsia="Times New Roman"/>
                <w:noProof/>
                <w:szCs w:val="18"/>
              </w:rPr>
            </w:pPr>
            <w:r>
              <w:rPr>
                <w:noProof/>
              </w:rPr>
              <w:t>Vedení záznamů a aktualizace informačních technologií</w:t>
            </w:r>
          </w:p>
        </w:tc>
        <w:tc>
          <w:tcPr>
            <w:tcW w:w="1552" w:type="dxa"/>
            <w:tcBorders>
              <w:top w:val="single" w:sz="4" w:space="0" w:color="auto"/>
              <w:left w:val="nil"/>
              <w:bottom w:val="single" w:sz="4" w:space="0" w:color="auto"/>
              <w:right w:val="single" w:sz="4" w:space="0" w:color="auto"/>
            </w:tcBorders>
            <w:shd w:val="clear" w:color="auto" w:fill="C6EFCE"/>
            <w:noWrap/>
          </w:tcPr>
          <w:p w14:paraId="6AFA0AA3" w14:textId="77777777" w:rsidR="00515398" w:rsidRDefault="006711E6">
            <w:pPr>
              <w:pStyle w:val="P68B1DB1-Normal9"/>
              <w:spacing w:after="0" w:line="240" w:lineRule="auto"/>
              <w:rPr>
                <w:noProof/>
                <w:szCs w:val="18"/>
              </w:rPr>
            </w:pPr>
            <w:r>
              <w:rPr>
                <w:noProof/>
              </w:rPr>
              <w:t>Systémy pro uchovávání zvukových dat jsou plně funkční u všech občanskoprávních a trestních soudů.</w:t>
            </w:r>
          </w:p>
          <w:p w14:paraId="1576ED07" w14:textId="77777777" w:rsidR="00515398" w:rsidRDefault="00515398">
            <w:pPr>
              <w:spacing w:after="0" w:line="240" w:lineRule="auto"/>
              <w:rPr>
                <w:rFonts w:cs="Calibri"/>
                <w:noProof/>
                <w:color w:val="006100"/>
                <w:sz w:val="18"/>
                <w:szCs w:val="18"/>
              </w:rPr>
            </w:pPr>
          </w:p>
          <w:p w14:paraId="0E6FE8E8" w14:textId="77777777" w:rsidR="00515398" w:rsidRDefault="006711E6">
            <w:pPr>
              <w:pStyle w:val="P68B1DB1-Normal9"/>
              <w:spacing w:after="0" w:line="240" w:lineRule="auto"/>
              <w:rPr>
                <w:rFonts w:cs="Calibri"/>
                <w:noProof/>
                <w:szCs w:val="18"/>
              </w:rPr>
            </w:pPr>
            <w:r>
              <w:rPr>
                <w:noProof/>
              </w:rPr>
              <w:t xml:space="preserve">Projekty OSDDY-PP fáze II, OSDDY-DD, </w:t>
            </w:r>
            <w:r>
              <w:rPr>
                <w:noProof/>
              </w:rPr>
              <w:t>Účetní dvůr a Národní rejstřík trestů byly plně provedeny, realizovány a zprovozněny.</w:t>
            </w:r>
          </w:p>
        </w:tc>
        <w:tc>
          <w:tcPr>
            <w:tcW w:w="992" w:type="dxa"/>
            <w:tcBorders>
              <w:top w:val="single" w:sz="4" w:space="0" w:color="auto"/>
              <w:left w:val="nil"/>
              <w:bottom w:val="single" w:sz="4" w:space="0" w:color="auto"/>
              <w:right w:val="single" w:sz="4" w:space="0" w:color="auto"/>
            </w:tcBorders>
            <w:shd w:val="clear" w:color="auto" w:fill="C6EFCE"/>
            <w:noWrap/>
          </w:tcPr>
          <w:p w14:paraId="7646CB11" w14:textId="77777777" w:rsidR="00515398" w:rsidRDefault="00515398">
            <w:pPr>
              <w:spacing w:after="0" w:line="240" w:lineRule="auto"/>
              <w:rPr>
                <w:rFonts w:eastAsia="Times New Roman"/>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4E953A0" w14:textId="77777777" w:rsidR="00515398" w:rsidRDefault="00515398">
            <w:pPr>
              <w:spacing w:after="0" w:line="240" w:lineRule="auto"/>
              <w:rPr>
                <w:rFonts w:eastAsia="Times New Roman"/>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639CBC2" w14:textId="77777777" w:rsidR="00515398" w:rsidRDefault="00515398">
            <w:pPr>
              <w:spacing w:after="0" w:line="240" w:lineRule="auto"/>
              <w:rPr>
                <w:rFonts w:eastAsia="Times New Roman"/>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024AB8E2" w14:textId="77777777" w:rsidR="00515398" w:rsidRDefault="006711E6">
            <w:pPr>
              <w:pStyle w:val="P68B1DB1-Normal9"/>
              <w:spacing w:after="0" w:line="240" w:lineRule="auto"/>
              <w:rPr>
                <w:rFonts w:eastAsia="Times New Roman"/>
                <w:noProof/>
                <w:szCs w:val="18"/>
              </w:rPr>
            </w:pPr>
            <w:r>
              <w:rPr>
                <w:noProof/>
              </w:rPr>
              <w:t>ČTVRTLETÍ ČTVRT</w:t>
            </w:r>
          </w:p>
        </w:tc>
        <w:tc>
          <w:tcPr>
            <w:tcW w:w="622" w:type="dxa"/>
            <w:tcBorders>
              <w:top w:val="single" w:sz="4" w:space="0" w:color="auto"/>
              <w:left w:val="nil"/>
              <w:bottom w:val="single" w:sz="4" w:space="0" w:color="auto"/>
              <w:right w:val="single" w:sz="4" w:space="0" w:color="auto"/>
            </w:tcBorders>
            <w:shd w:val="clear" w:color="auto" w:fill="C6EFCE"/>
            <w:noWrap/>
          </w:tcPr>
          <w:p w14:paraId="07A35CB2" w14:textId="77777777" w:rsidR="00515398" w:rsidRDefault="006711E6">
            <w:pPr>
              <w:pStyle w:val="P68B1DB1-Normal9"/>
              <w:spacing w:after="0" w:line="240" w:lineRule="auto"/>
              <w:rPr>
                <w:rFonts w:eastAsia="Times New Roman"/>
                <w:noProof/>
                <w:szCs w:val="18"/>
              </w:rPr>
            </w:pPr>
            <w:r>
              <w:rPr>
                <w:noProof/>
              </w:rPr>
              <w:t>2025</w:t>
            </w:r>
          </w:p>
        </w:tc>
        <w:tc>
          <w:tcPr>
            <w:tcW w:w="4885" w:type="dxa"/>
            <w:tcBorders>
              <w:top w:val="single" w:sz="4" w:space="0" w:color="auto"/>
              <w:left w:val="nil"/>
              <w:bottom w:val="single" w:sz="4" w:space="0" w:color="auto"/>
              <w:right w:val="single" w:sz="4" w:space="0" w:color="auto"/>
            </w:tcBorders>
            <w:shd w:val="clear" w:color="auto" w:fill="C6EFCE"/>
            <w:noWrap/>
          </w:tcPr>
          <w:p w14:paraId="2127BAB0" w14:textId="77777777" w:rsidR="00515398" w:rsidRDefault="006711E6">
            <w:pPr>
              <w:pStyle w:val="P68B1DB1-Normal9"/>
              <w:spacing w:after="0" w:line="240" w:lineRule="auto"/>
              <w:rPr>
                <w:noProof/>
                <w:szCs w:val="18"/>
              </w:rPr>
            </w:pPr>
            <w:r>
              <w:rPr>
                <w:noProof/>
              </w:rPr>
              <w:t xml:space="preserve">E-justice: Přijetí výstupů pro „Zlepšování a rozšiřování informačních systémů v odvětví soudnictví“ na téma: </w:t>
            </w:r>
          </w:p>
          <w:p w14:paraId="0C31A7E1" w14:textId="77777777" w:rsidR="00515398" w:rsidRDefault="006711E6">
            <w:pPr>
              <w:pStyle w:val="P68B1DB1-Normal9"/>
              <w:numPr>
                <w:ilvl w:val="0"/>
                <w:numId w:val="26"/>
              </w:numPr>
              <w:spacing w:before="120" w:after="0" w:line="240" w:lineRule="auto"/>
              <w:ind w:left="314"/>
              <w:jc w:val="both"/>
              <w:rPr>
                <w:noProof/>
                <w:szCs w:val="18"/>
              </w:rPr>
            </w:pPr>
            <w:r>
              <w:rPr>
                <w:noProof/>
              </w:rPr>
              <w:t>Modernizace systému vedení záznamů s</w:t>
            </w:r>
            <w:r>
              <w:rPr>
                <w:noProof/>
              </w:rPr>
              <w:t>oudů.</w:t>
            </w:r>
          </w:p>
          <w:p w14:paraId="680224EF" w14:textId="77777777" w:rsidR="00515398" w:rsidRDefault="006711E6">
            <w:pPr>
              <w:pStyle w:val="P68B1DB1-Normal9"/>
              <w:numPr>
                <w:ilvl w:val="0"/>
                <w:numId w:val="26"/>
              </w:numPr>
              <w:spacing w:before="120" w:after="0" w:line="259" w:lineRule="auto"/>
              <w:ind w:left="314"/>
              <w:contextualSpacing/>
              <w:jc w:val="both"/>
              <w:rPr>
                <w:noProof/>
                <w:szCs w:val="18"/>
              </w:rPr>
            </w:pPr>
            <w:r>
              <w:rPr>
                <w:noProof/>
              </w:rPr>
              <w:t>Modernizace a podpora informačních systémů soudnictví pro občanskoprávní a trestní soudy, auditní soud a vnitrostátní rejstřík trestů.</w:t>
            </w:r>
          </w:p>
          <w:p w14:paraId="354FE43E" w14:textId="77777777" w:rsidR="00515398" w:rsidRDefault="006711E6">
            <w:pPr>
              <w:pStyle w:val="P68B1DB1-Normal9"/>
              <w:spacing w:after="0" w:line="240" w:lineRule="auto"/>
              <w:rPr>
                <w:rFonts w:eastAsia="Times New Roman"/>
                <w:noProof/>
                <w:szCs w:val="18"/>
              </w:rPr>
            </w:pPr>
            <w:r>
              <w:rPr>
                <w:noProof/>
              </w:rPr>
              <w:t>Dílčí projekty zahrnují: Aktualizace systému vedení záznamů soudů – služby modernizace a podpory pro „integrovaný s</w:t>
            </w:r>
            <w:r>
              <w:rPr>
                <w:noProof/>
              </w:rPr>
              <w:t>ystém řízení soudních případů pro civilní a trestní soudy (OSDDY-PP A)“ a zavedení systému pro všechny občanské a trestní soudy země (OSDDY-PP B).  Modernizační a podpůrné služby pro „Národní systém rejstříků trestů (NCRIS) – služby pro modernizaci a podpo</w:t>
            </w:r>
            <w:r>
              <w:rPr>
                <w:noProof/>
              </w:rPr>
              <w:t>ru systému řízení případů“ Řeckého účetního dvora (ELSYN)</w:t>
            </w:r>
          </w:p>
        </w:tc>
      </w:tr>
    </w:tbl>
    <w:p w14:paraId="3AC882BD" w14:textId="77777777" w:rsidR="00515398" w:rsidRDefault="00515398">
      <w:pPr>
        <w:spacing w:before="120" w:after="120" w:line="240" w:lineRule="auto"/>
        <w:jc w:val="both"/>
        <w:rPr>
          <w:rFonts w:ascii="Times New Roman" w:hAnsi="Times New Roman" w:cs="Times New Roman"/>
          <w:noProof/>
          <w:sz w:val="24"/>
        </w:rPr>
        <w:sectPr w:rsidR="00515398" w:rsidSect="0030238F">
          <w:headerReference w:type="even" r:id="rId241"/>
          <w:headerReference w:type="default" r:id="rId242"/>
          <w:footerReference w:type="even" r:id="rId243"/>
          <w:footerReference w:type="default" r:id="rId244"/>
          <w:headerReference w:type="first" r:id="rId245"/>
          <w:footerReference w:type="first" r:id="rId246"/>
          <w:pgSz w:w="16839" w:h="11907" w:orient="landscape"/>
          <w:pgMar w:top="720" w:right="720" w:bottom="720" w:left="720" w:header="709" w:footer="212" w:gutter="0"/>
          <w:cols w:space="720"/>
          <w:docGrid w:linePitch="360"/>
        </w:sectPr>
      </w:pPr>
    </w:p>
    <w:p w14:paraId="394C5052" w14:textId="77777777" w:rsidR="00515398" w:rsidRDefault="006711E6">
      <w:pPr>
        <w:pStyle w:val="P68B1DB1-Normal2"/>
        <w:spacing w:before="120" w:after="120" w:line="240" w:lineRule="auto"/>
        <w:ind w:firstLine="6"/>
        <w:jc w:val="both"/>
        <w:outlineLvl w:val="3"/>
        <w:rPr>
          <w:rFonts w:cs="Times New Roman"/>
          <w:bCs/>
          <w:noProof/>
        </w:rPr>
      </w:pPr>
      <w:r>
        <w:rPr>
          <w:noProof/>
        </w:rPr>
        <w:t>O. SLOŽKA 4.4: POSÍLENÍ FINANČNÍHO SEKTORU A KAPITÁLOVÝCH TRHŮ</w:t>
      </w:r>
    </w:p>
    <w:p w14:paraId="3FB23474" w14:textId="77777777" w:rsidR="00515398" w:rsidRDefault="006711E6">
      <w:pPr>
        <w:pStyle w:val="P68B1DB1-Normal4"/>
        <w:spacing w:before="120" w:after="120" w:line="240" w:lineRule="auto"/>
        <w:jc w:val="both"/>
        <w:rPr>
          <w:rFonts w:cs="Times New Roman"/>
          <w:noProof/>
        </w:rPr>
      </w:pPr>
      <w:r>
        <w:rPr>
          <w:noProof/>
        </w:rPr>
        <w:t xml:space="preserve">Cílem této složky řeckého plánu pro oživení a odolnost je posílit </w:t>
      </w:r>
      <w:r>
        <w:rPr>
          <w:noProof/>
        </w:rPr>
        <w:t>schopnost finančního systému podporovat rozvoj hospodářství poskytováním finančních prostředků společnostem a jednotlivcům na rozvoj nových činností. Podporuje řešení vysokých nevýkonných expozic a úvěrů v selhání v řeckém bankovním sektoru a zároveň zlepš</w:t>
      </w:r>
      <w:r>
        <w:rPr>
          <w:noProof/>
        </w:rPr>
        <w:t>uje přístup k informacím o úvěrových profilech společností a jednotlivců na trhu. </w:t>
      </w:r>
    </w:p>
    <w:p w14:paraId="329317BD" w14:textId="77777777" w:rsidR="00515398" w:rsidRDefault="006711E6">
      <w:pPr>
        <w:pStyle w:val="P68B1DB1-Normal4"/>
        <w:spacing w:before="120" w:after="120" w:line="240" w:lineRule="auto"/>
        <w:jc w:val="both"/>
        <w:rPr>
          <w:rFonts w:cs="Times New Roman"/>
          <w:noProof/>
        </w:rPr>
      </w:pPr>
      <w:r>
        <w:rPr>
          <w:noProof/>
        </w:rPr>
        <w:t>Složka rovněž podporuje řešení soukromé zadluženosti a posiluje kapitálové trhy. Strukturální změny v těchto dvou oblastech přispějí k růstu a zvýší hospodářskou odolnost Ře</w:t>
      </w:r>
      <w:r>
        <w:rPr>
          <w:noProof/>
        </w:rPr>
        <w:t>cka s ohledem na budoucí otřesy. </w:t>
      </w:r>
    </w:p>
    <w:p w14:paraId="50028015" w14:textId="77777777" w:rsidR="00515398" w:rsidRDefault="006711E6">
      <w:pPr>
        <w:pStyle w:val="P68B1DB1-Normal4"/>
        <w:spacing w:before="120" w:after="120" w:line="240" w:lineRule="auto"/>
        <w:jc w:val="both"/>
        <w:rPr>
          <w:rFonts w:cs="Times New Roman"/>
          <w:noProof/>
        </w:rPr>
      </w:pPr>
      <w:r>
        <w:rPr>
          <w:noProof/>
        </w:rPr>
        <w:t>Reformy v rámci této složky zahrnují: </w:t>
      </w:r>
    </w:p>
    <w:p w14:paraId="0AF877FB" w14:textId="77777777" w:rsidR="00515398" w:rsidRDefault="006711E6">
      <w:pPr>
        <w:pStyle w:val="P68B1DB1-Normal4"/>
        <w:numPr>
          <w:ilvl w:val="0"/>
          <w:numId w:val="60"/>
        </w:numPr>
        <w:spacing w:before="120" w:after="120" w:line="240" w:lineRule="auto"/>
        <w:ind w:left="360"/>
        <w:jc w:val="both"/>
        <w:rPr>
          <w:rFonts w:cs="Times New Roman"/>
          <w:noProof/>
        </w:rPr>
      </w:pPr>
      <w:r>
        <w:rPr>
          <w:noProof/>
        </w:rPr>
        <w:t>Posílený dohled nad kapitálovým trhem a důvěryhodnost </w:t>
      </w:r>
    </w:p>
    <w:p w14:paraId="791F7D32" w14:textId="77777777" w:rsidR="00515398" w:rsidRDefault="006711E6">
      <w:pPr>
        <w:pStyle w:val="P68B1DB1-Normal4"/>
        <w:numPr>
          <w:ilvl w:val="0"/>
          <w:numId w:val="60"/>
        </w:numPr>
        <w:spacing w:before="120" w:after="120" w:line="240" w:lineRule="auto"/>
        <w:ind w:left="360"/>
        <w:jc w:val="both"/>
        <w:rPr>
          <w:rFonts w:cs="Times New Roman"/>
          <w:noProof/>
        </w:rPr>
      </w:pPr>
      <w:r>
        <w:rPr>
          <w:noProof/>
        </w:rPr>
        <w:t xml:space="preserve">Posílení schopnosti finančního systému překonávat dosavadní výzvy a financovat reálnou ekonomiku </w:t>
      </w:r>
    </w:p>
    <w:p w14:paraId="4812DD07" w14:textId="77777777" w:rsidR="00515398" w:rsidRDefault="006711E6">
      <w:pPr>
        <w:pStyle w:val="P68B1DB1-Normal4"/>
        <w:numPr>
          <w:ilvl w:val="0"/>
          <w:numId w:val="60"/>
        </w:numPr>
        <w:spacing w:before="120" w:after="120" w:line="240" w:lineRule="auto"/>
        <w:ind w:left="360"/>
        <w:jc w:val="both"/>
        <w:rPr>
          <w:rFonts w:cs="Times New Roman"/>
          <w:noProof/>
        </w:rPr>
      </w:pPr>
      <w:r>
        <w:rPr>
          <w:noProof/>
        </w:rPr>
        <w:t>Modernizace digitální infrastr</w:t>
      </w:r>
      <w:r>
        <w:rPr>
          <w:noProof/>
        </w:rPr>
        <w:t xml:space="preserve">uktury nezbytná pro provádění nového jednotného insolvenčního rámce pro restrukturalizaci dluhu a druhou šanci </w:t>
      </w:r>
    </w:p>
    <w:p w14:paraId="16B624BF" w14:textId="4E52AB4D" w:rsidR="00515398" w:rsidRDefault="006711E6">
      <w:pPr>
        <w:pStyle w:val="P68B1DB1-Normal22"/>
        <w:spacing w:before="120" w:after="120" w:line="240" w:lineRule="auto"/>
        <w:jc w:val="both"/>
        <w:rPr>
          <w:rFonts w:ascii="Times New Roman" w:hAnsi="Times New Roman" w:cs="Times New Roman"/>
          <w:noProof/>
        </w:rPr>
      </w:pPr>
      <w:r>
        <w:rPr>
          <w:rFonts w:ascii="Times New Roman" w:hAnsi="Times New Roman"/>
          <w:noProof/>
        </w:rPr>
        <w:t xml:space="preserve">Některé z těchto reforem zahrnují opatření, která se zabývají informačními nedostatky, jež brání úspěšnému toku úvěrů, a účinnému monitorování </w:t>
      </w:r>
      <w:r>
        <w:rPr>
          <w:rFonts w:ascii="Times New Roman" w:hAnsi="Times New Roman"/>
          <w:noProof/>
        </w:rPr>
        <w:t>rizik. Ty spočívají ve</w:t>
      </w:r>
      <w:r>
        <w:rPr>
          <w:rFonts w:asciiTheme="minorHAnsi" w:eastAsiaTheme="minorEastAsia" w:hAnsiTheme="minorHAnsi" w:cstheme="minorBidi"/>
          <w:noProof/>
        </w:rPr>
        <w:t xml:space="preserve">vytvoření monitorovacího registru soukromého </w:t>
      </w:r>
      <w:r>
        <w:rPr>
          <w:rFonts w:ascii="Times New Roman" w:hAnsi="Times New Roman"/>
          <w:noProof/>
        </w:rPr>
        <w:t>dluhu, ve vývoji veřejného ratingového informačního systému a v centrálním registru úvěrů. Centrální registr úvěrů navíc prostřednictvím shromažďování příslušných údajů rovněž přispívá ke s</w:t>
      </w:r>
      <w:r>
        <w:rPr>
          <w:rFonts w:ascii="Times New Roman" w:hAnsi="Times New Roman"/>
          <w:noProof/>
        </w:rPr>
        <w:t xml:space="preserve">ledování vývoje rozšiřování úvěrů ze strany Střediska pro sledování úvěrové expanze. Tato opatření rovněž přispívají k digitální transformaci řeckého hospodářství, neboť jsou závislá na informačních technologiích. </w:t>
      </w:r>
    </w:p>
    <w:p w14:paraId="64AC66A3" w14:textId="77777777" w:rsidR="00515398" w:rsidRDefault="006711E6">
      <w:pPr>
        <w:pStyle w:val="P68B1DB1-Normal4"/>
        <w:spacing w:before="120" w:after="120" w:line="240" w:lineRule="auto"/>
        <w:jc w:val="both"/>
        <w:rPr>
          <w:rFonts w:cs="Times New Roman"/>
          <w:noProof/>
        </w:rPr>
      </w:pPr>
      <w:r>
        <w:rPr>
          <w:noProof/>
        </w:rPr>
        <w:t>Opatření v rámci této složky podporují ho</w:t>
      </w:r>
      <w:r>
        <w:rPr>
          <w:noProof/>
        </w:rPr>
        <w:t>spodářskou a institucionální odolnost, posilují připravenost na krize a institucionální kapacitu, a podporují tak plnění doporučení pro jednotlivé země týkajícího se „strukturálních reforem ke zlepšení fungování hospodářství“ (doporučení pro jednotlivé zem</w:t>
      </w:r>
      <w:r>
        <w:rPr>
          <w:noProof/>
        </w:rPr>
        <w:t>ě č. 1 z roku 2019 a doporučení pro jednotlivé země č. 4 z roku 2020). Očekává se, že žádné opatření v této složce významně nepoškozuje environmentální cíle ve smyslu článku 17 nařízení (EU) 2020/852, s přihlédnutím k popisu opatření a zmírňujícím krokům s</w:t>
      </w:r>
      <w:r>
        <w:rPr>
          <w:noProof/>
        </w:rPr>
        <w:t>tanoveným v plánu pro oživení a odolnost v souladu s technickými pokyny „významně nepoškozovat“ (2021/C58/01).</w:t>
      </w:r>
    </w:p>
    <w:p w14:paraId="44EA5E58"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O.1. </w:t>
      </w:r>
      <w:r>
        <w:rPr>
          <w:noProof/>
        </w:rPr>
        <w:t xml:space="preserve"> </w:t>
      </w:r>
      <w:r>
        <w:rPr>
          <w:rFonts w:ascii="Times New Roman" w:hAnsi="Times New Roman"/>
          <w:b/>
          <w:noProof/>
          <w:sz w:val="24"/>
          <w:u w:val="single"/>
        </w:rPr>
        <w:t>Popis reforem a investic pro nevratnou finanční podporu</w:t>
      </w:r>
    </w:p>
    <w:p w14:paraId="6E323BB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Posílený dohled nad kapitálovým trhem a důvěryhodnost (ID opatření 16581)</w:t>
      </w:r>
    </w:p>
    <w:p w14:paraId="1829F550" w14:textId="77777777" w:rsidR="00515398" w:rsidRDefault="006711E6">
      <w:pPr>
        <w:pStyle w:val="P68B1DB1-Normal4"/>
        <w:spacing w:before="120" w:after="120" w:line="240" w:lineRule="auto"/>
        <w:jc w:val="both"/>
        <w:rPr>
          <w:rFonts w:cs="Times New Roman"/>
          <w:noProof/>
        </w:rPr>
      </w:pPr>
      <w:r>
        <w:rPr>
          <w:noProof/>
        </w:rPr>
        <w:t xml:space="preserve">Cílem reformy je posílit dohled nad kapitálovými trhy 1) investicemi do digitální transformace digitálních kapacit Řecké komise pro kapitálové trhy a digitalizací jejích vnitřních procesů a organizace a 2) kodifikací regulačního a legislativního rámce pro </w:t>
      </w:r>
      <w:r>
        <w:rPr>
          <w:noProof/>
        </w:rPr>
        <w:t>kapitálové trhy s cílem posílit kapacitu dohledu nad kapitálovými trhy. Reforma vstoupí v platnost do 1. čtvrtletí 2021 a investice do informačního systému do 31. prosince 2025.</w:t>
      </w:r>
    </w:p>
    <w:p w14:paraId="1CB4AE18"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Posílení schopnosti finančního systému překonat dřívější výzvy a fina</w:t>
      </w:r>
      <w:r>
        <w:rPr>
          <w:noProof/>
        </w:rPr>
        <w:t>ncovat reálnou ekonomiku (opatření ID 16957)</w:t>
      </w:r>
    </w:p>
    <w:p w14:paraId="5A8792C1" w14:textId="77777777" w:rsidR="00515398" w:rsidRDefault="006711E6">
      <w:pPr>
        <w:pStyle w:val="P68B1DB1-Normal4"/>
        <w:spacing w:before="120" w:after="120" w:line="240" w:lineRule="auto"/>
        <w:jc w:val="both"/>
        <w:rPr>
          <w:rFonts w:cs="Times New Roman"/>
          <w:noProof/>
        </w:rPr>
      </w:pPr>
      <w:r>
        <w:rPr>
          <w:noProof/>
        </w:rPr>
        <w:t>Cílem této komplexní reformy je snížit objem soukromého dluhu zlepšením insolvenčního řízení a posílením trhu s úvěry se selháním, jakož i zabránit budoucímu hromadění soukromého dluhu prostřednictvím odstranění</w:t>
      </w:r>
      <w:r>
        <w:rPr>
          <w:noProof/>
        </w:rPr>
        <w:t xml:space="preserve"> nedostatků v informacích.  Reforma sestává z následujících částí: </w:t>
      </w:r>
    </w:p>
    <w:p w14:paraId="1E15CD42" w14:textId="77777777" w:rsidR="00515398" w:rsidRDefault="006711E6">
      <w:pPr>
        <w:pStyle w:val="P68B1DB1-ListParagraph39"/>
        <w:numPr>
          <w:ilvl w:val="0"/>
          <w:numId w:val="84"/>
        </w:numPr>
        <w:spacing w:before="120" w:after="240" w:line="240" w:lineRule="auto"/>
        <w:ind w:left="357" w:hanging="357"/>
        <w:contextualSpacing w:val="0"/>
        <w:jc w:val="both"/>
        <w:rPr>
          <w:rFonts w:cs="Times New Roman"/>
          <w:noProof/>
          <w:sz w:val="24"/>
        </w:rPr>
      </w:pPr>
      <w:r>
        <w:rPr>
          <w:noProof/>
          <w:sz w:val="24"/>
        </w:rPr>
        <w:t>Zaprvé se týká zlepšení</w:t>
      </w:r>
      <w:r>
        <w:rPr>
          <w:b/>
          <w:noProof/>
          <w:color w:val="000000" w:themeColor="text1"/>
          <w:sz w:val="24"/>
        </w:rPr>
        <w:t xml:space="preserve"> procesu elektronické dražby </w:t>
      </w:r>
      <w:r>
        <w:rPr>
          <w:noProof/>
          <w:color w:val="000000" w:themeColor="text1"/>
          <w:sz w:val="24"/>
        </w:rPr>
        <w:t>a</w:t>
      </w:r>
      <w:r>
        <w:rPr>
          <w:b/>
          <w:noProof/>
          <w:color w:val="000000" w:themeColor="text1"/>
          <w:sz w:val="20"/>
        </w:rPr>
        <w:t xml:space="preserve"> </w:t>
      </w:r>
      <w:r>
        <w:rPr>
          <w:noProof/>
          <w:sz w:val="24"/>
        </w:rPr>
        <w:t xml:space="preserve">rozšíření dostupných informací o dražených aktivech na platformě elektronických dražeb. </w:t>
      </w:r>
    </w:p>
    <w:p w14:paraId="457019F8" w14:textId="77777777" w:rsidR="00515398" w:rsidRDefault="006711E6">
      <w:pPr>
        <w:pStyle w:val="P68B1DB1-ListParagraph19"/>
        <w:numPr>
          <w:ilvl w:val="0"/>
          <w:numId w:val="84"/>
        </w:numPr>
        <w:spacing w:before="120" w:line="240" w:lineRule="auto"/>
        <w:ind w:left="357" w:hanging="357"/>
        <w:contextualSpacing w:val="0"/>
        <w:jc w:val="both"/>
        <w:rPr>
          <w:rFonts w:cs="Times New Roman"/>
          <w:noProof/>
        </w:rPr>
      </w:pPr>
      <w:r>
        <w:rPr>
          <w:noProof/>
        </w:rPr>
        <w:t xml:space="preserve">Zadruhé se týká dokončení politických opatření plánovaných v rámci </w:t>
      </w:r>
      <w:r>
        <w:rPr>
          <w:b/>
          <w:noProof/>
        </w:rPr>
        <w:t>národní strategie pro řízení soukromého dluhu</w:t>
      </w:r>
      <w:r>
        <w:rPr>
          <w:noProof/>
        </w:rPr>
        <w:t>, zejména prostřednictvím:</w:t>
      </w:r>
    </w:p>
    <w:p w14:paraId="78A11363" w14:textId="2D9F3137" w:rsidR="00515398" w:rsidRDefault="006711E6">
      <w:pPr>
        <w:pStyle w:val="P68B1DB1-ListParagraph40"/>
        <w:numPr>
          <w:ilvl w:val="1"/>
          <w:numId w:val="84"/>
        </w:numPr>
        <w:spacing w:before="120" w:line="240" w:lineRule="auto"/>
        <w:jc w:val="both"/>
        <w:rPr>
          <w:rFonts w:cs="Times New Roman"/>
          <w:noProof/>
        </w:rPr>
      </w:pPr>
      <w:r>
        <w:rPr>
          <w:noProof/>
        </w:rPr>
        <w:t>Zřízení veřejného informačního systému úvěrového ratingu s cílem odstranit informační asymetrii mezi subjekty veřejné</w:t>
      </w:r>
      <w:r>
        <w:rPr>
          <w:noProof/>
        </w:rPr>
        <w:t xml:space="preserve">ho sektoru a bankami na základě údajů a informací veřejného sektoru. </w:t>
      </w:r>
    </w:p>
    <w:p w14:paraId="5671A411" w14:textId="77777777" w:rsidR="00515398" w:rsidRDefault="006711E6">
      <w:pPr>
        <w:pStyle w:val="P68B1DB1-ListParagraph19"/>
        <w:numPr>
          <w:ilvl w:val="1"/>
          <w:numId w:val="84"/>
        </w:numPr>
        <w:spacing w:before="120" w:after="240" w:line="240" w:lineRule="auto"/>
        <w:contextualSpacing w:val="0"/>
        <w:jc w:val="both"/>
        <w:rPr>
          <w:rFonts w:cs="Times New Roman"/>
          <w:noProof/>
        </w:rPr>
      </w:pPr>
      <w:r>
        <w:rPr>
          <w:noProof/>
        </w:rPr>
        <w:t xml:space="preserve">Spuštění informačního systému </w:t>
      </w:r>
      <w:r>
        <w:rPr>
          <w:b/>
          <w:noProof/>
        </w:rPr>
        <w:t>registru  soukromého sledování dluhu</w:t>
      </w:r>
      <w:r>
        <w:rPr>
          <w:noProof/>
        </w:rPr>
        <w:t>, který shromažďuje údaje od veřejných a soukromých věřitelů, jakož i z jiných relevantních zdrojů.</w:t>
      </w:r>
    </w:p>
    <w:p w14:paraId="60AFF79E" w14:textId="4F2FC6FF" w:rsidR="00515398" w:rsidRDefault="006711E6">
      <w:pPr>
        <w:pStyle w:val="P68B1DB1-ListParagraph40"/>
        <w:numPr>
          <w:ilvl w:val="1"/>
          <w:numId w:val="84"/>
        </w:numPr>
        <w:spacing w:before="120" w:after="240" w:line="240" w:lineRule="auto"/>
        <w:jc w:val="both"/>
        <w:rPr>
          <w:rFonts w:cs="Times New Roman"/>
          <w:noProof/>
        </w:rPr>
      </w:pPr>
      <w:r>
        <w:rPr>
          <w:noProof/>
        </w:rPr>
        <w:t>Podpora prohlubování</w:t>
      </w:r>
      <w:r>
        <w:rPr>
          <w:noProof/>
        </w:rPr>
        <w:t xml:space="preserve"> sekundárního trhu s úvěry se selháním zřízením společné platformy pro transakce s úvěry v selhání a zavedením společných šablon údajů.</w:t>
      </w:r>
    </w:p>
    <w:p w14:paraId="59BB4143" w14:textId="70B2A727" w:rsidR="00515398" w:rsidRDefault="006711E6">
      <w:pPr>
        <w:pStyle w:val="ListParagraph"/>
        <w:numPr>
          <w:ilvl w:val="0"/>
          <w:numId w:val="8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Třetí dílčí reforma se týká zřízení</w:t>
      </w:r>
      <w:r>
        <w:rPr>
          <w:rFonts w:ascii="Times New Roman" w:hAnsi="Times New Roman"/>
          <w:b/>
          <w:noProof/>
          <w:sz w:val="24"/>
          <w:szCs w:val="24"/>
        </w:rPr>
        <w:t xml:space="preserve"> centrálního registru úvěrů (CCR)</w:t>
      </w:r>
      <w:r>
        <w:rPr>
          <w:rFonts w:ascii="Times New Roman" w:hAnsi="Times New Roman"/>
          <w:noProof/>
          <w:sz w:val="24"/>
          <w:szCs w:val="24"/>
        </w:rPr>
        <w:t>,</w:t>
      </w:r>
      <w:r>
        <w:rPr>
          <w:rFonts w:ascii="Times New Roman" w:hAnsi="Times New Roman"/>
          <w:noProof/>
          <w:color w:val="000000"/>
          <w:sz w:val="24"/>
          <w:szCs w:val="24"/>
        </w:rPr>
        <w:t>který by doplnil systém ochrany aktiv Hercules a po</w:t>
      </w:r>
      <w:r>
        <w:rPr>
          <w:rFonts w:ascii="Times New Roman" w:hAnsi="Times New Roman"/>
          <w:noProof/>
          <w:color w:val="000000"/>
          <w:sz w:val="24"/>
          <w:szCs w:val="24"/>
        </w:rPr>
        <w:t>sílil sekundární trh s úvěry se selháním. CCR spravuje řecká centrální banka a zaznamenává platební historii každého úvěru klientů a druhy poskytnutého zajištění. CCR prostřednictvím shromažďování příslušných údajů rovněž přispívá k fungování a funkcím Stř</w:t>
      </w:r>
      <w:r>
        <w:rPr>
          <w:rFonts w:ascii="Times New Roman" w:hAnsi="Times New Roman"/>
          <w:noProof/>
          <w:color w:val="000000"/>
          <w:sz w:val="24"/>
          <w:szCs w:val="24"/>
        </w:rPr>
        <w:t xml:space="preserve">ediska pro sledování rozšiřování úvěrů pro sledování vývoje rozšiřování úvěrů. </w:t>
      </w:r>
      <w:r>
        <w:rPr>
          <w:rFonts w:ascii="Times New Roman" w:hAnsi="Times New Roman"/>
          <w:noProof/>
          <w:sz w:val="24"/>
          <w:szCs w:val="24"/>
        </w:rPr>
        <w:t>CCR umožňuje přístup k informacím o úvěrech, řeší selhání trhu v důsledku asymetrických informací, a usnadňuje tak přístup k úvěrům.</w:t>
      </w:r>
      <w:r>
        <w:rPr>
          <w:noProof/>
          <w:color w:val="000000"/>
          <w:bdr w:val="none" w:sz="0" w:space="0" w:color="auto" w:frame="1"/>
        </w:rPr>
        <w:t xml:space="preserve"> </w:t>
      </w:r>
    </w:p>
    <w:p w14:paraId="5ABE4403" w14:textId="04FF8D18" w:rsidR="00515398" w:rsidRDefault="006711E6">
      <w:pPr>
        <w:pStyle w:val="P68B1DB1-ListParagraph41"/>
        <w:numPr>
          <w:ilvl w:val="0"/>
          <w:numId w:val="84"/>
        </w:numPr>
        <w:spacing w:before="120" w:after="120" w:line="240" w:lineRule="auto"/>
        <w:jc w:val="both"/>
        <w:rPr>
          <w:noProof/>
        </w:rPr>
      </w:pPr>
      <w:r>
        <w:rPr>
          <w:noProof/>
        </w:rPr>
        <w:t>Cílem reformy je rovněž urychlit vyřizování</w:t>
      </w:r>
      <w:r>
        <w:rPr>
          <w:noProof/>
        </w:rPr>
        <w:t xml:space="preserve"> námitek proti řízení o výkonu rozhodnutí a zefektivnit soudní řízení zavedením cílených změn občanského soudního řádu, jako je mimo jiné a) uplatňování rychlejších a flexibilnějších pravidel stanovených v řízení o předběžných opatřeních jeho přizpůsobením</w:t>
      </w:r>
      <w:r>
        <w:rPr>
          <w:noProof/>
        </w:rPr>
        <w:t xml:space="preserve"> konkrétním exekučním řízením (soudy požadující úplný důkaz, které umožňují právo na opravný prostředek), s cílem dosáhnout urychlení a zefektivnění řešení věcí (námitky); b) oddělení věcných námitek před dražbou směřujících proti titulu/platebnímu příkazu</w:t>
      </w:r>
      <w:r>
        <w:rPr>
          <w:noProof/>
        </w:rPr>
        <w:t xml:space="preserve"> (článek 632 a násl. CCP) z námitek během vykonávacího řízení, které vyvolávají procesní problémy po doručení exekučního titulu (článek 933 trestního řádu); C) změny místní příslušnosti soudů, pokud jde o soudní řízení ve sporech souvisejících s výkonem ro</w:t>
      </w:r>
      <w:r>
        <w:rPr>
          <w:noProof/>
        </w:rPr>
        <w:t>zhodnutí (prorogation of jurisdiction). Podle předem definovaného ustanovení obsaženého ve smlouvách, které úvěrové/finanční instituce obvykle podepisují s dlužníky, je soud prvního stupně v Aténách příslušným pro téměř všechna vykonávací řízení v celé zem</w:t>
      </w:r>
      <w:r>
        <w:rPr>
          <w:noProof/>
        </w:rPr>
        <w:t>i – bez ohledu na to, kde se nemovitost nachází. Zrušení tohoto ustanovení by ústřednímu soudu zbavilo značnou zátěž a d) přijetí zákona, který by vytvořil mechanismus pro získání termínů projednávání dosud nevyřízených věcí v kratším časovém horizontu, má</w:t>
      </w:r>
      <w:r>
        <w:rPr>
          <w:noProof/>
        </w:rPr>
        <w:t xml:space="preserve"> za cíl řešit problém nahromaděných nevyřízených věcí, stejně jako vytvoření ad hoc soudních senátů, které by se jí zabývaly u soudů, které čelí největší zátěži.</w:t>
      </w:r>
    </w:p>
    <w:p w14:paraId="7FC39182" w14:textId="77777777" w:rsidR="00515398" w:rsidRDefault="006711E6">
      <w:pPr>
        <w:pStyle w:val="P68B1DB1-Normal4"/>
        <w:spacing w:before="120" w:after="120" w:line="240" w:lineRule="auto"/>
        <w:jc w:val="both"/>
        <w:rPr>
          <w:rFonts w:cs="Times New Roman"/>
          <w:noProof/>
          <w:szCs w:val="24"/>
        </w:rPr>
      </w:pPr>
      <w:r>
        <w:rPr>
          <w:noProof/>
        </w:rPr>
        <w:t>Provádění celkové reformy se dokončí do 31. prosince 2025.</w:t>
      </w:r>
    </w:p>
    <w:p w14:paraId="0CB23731"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Modernizace digitální infr</w:t>
      </w:r>
      <w:r>
        <w:rPr>
          <w:noProof/>
        </w:rPr>
        <w:t>astruktury nezbytné pro provádění nového jednotného insolvenčního rámce pro restrukturalizaci dluhu a druhé šance (opatření ID 16580)</w:t>
      </w:r>
    </w:p>
    <w:p w14:paraId="2BFC1C28" w14:textId="77777777" w:rsidR="00515398" w:rsidRDefault="006711E6">
      <w:pPr>
        <w:pStyle w:val="P68B1DB1-Normal4"/>
        <w:spacing w:before="120" w:after="120" w:line="240" w:lineRule="auto"/>
        <w:jc w:val="both"/>
        <w:rPr>
          <w:rFonts w:cs="Times New Roman"/>
          <w:noProof/>
        </w:rPr>
      </w:pPr>
      <w:r>
        <w:rPr>
          <w:noProof/>
        </w:rPr>
        <w:t>Cílem reformy je modernizovat nezbytnou digitální infrastrukturu potřebnou k podpoře postupů včasného varování a preventiv</w:t>
      </w:r>
      <w:r>
        <w:rPr>
          <w:noProof/>
        </w:rPr>
        <w:t>ní restrukturalizace dluhu stanovených prostřednictvím nového jednotného/kodifikovaného právního rámce pro správu dluhu fyzických a právnických osob;</w:t>
      </w:r>
    </w:p>
    <w:p w14:paraId="01D0FDB5" w14:textId="77777777" w:rsidR="00515398" w:rsidRDefault="006711E6">
      <w:pPr>
        <w:pStyle w:val="P68B1DB1-Normal4"/>
        <w:spacing w:before="120" w:after="120" w:line="240" w:lineRule="auto"/>
        <w:jc w:val="both"/>
        <w:rPr>
          <w:rFonts w:cs="Times New Roman"/>
          <w:noProof/>
        </w:rPr>
      </w:pPr>
      <w:r>
        <w:rPr>
          <w:noProof/>
        </w:rPr>
        <w:t>Tato reforma bude dokončena do 31. prosince 2025.</w:t>
      </w:r>
    </w:p>
    <w:p w14:paraId="49A1ADB1" w14:textId="77777777" w:rsidR="00515398" w:rsidRDefault="00515398">
      <w:pPr>
        <w:spacing w:before="120" w:after="120" w:line="240" w:lineRule="auto"/>
        <w:ind w:left="709"/>
        <w:jc w:val="both"/>
        <w:rPr>
          <w:rFonts w:ascii="Times New Roman" w:hAnsi="Times New Roman" w:cs="Times New Roman"/>
          <w:b/>
          <w:bCs/>
          <w:noProof/>
          <w:sz w:val="24"/>
          <w:u w:val="single"/>
        </w:rPr>
      </w:pPr>
    </w:p>
    <w:p w14:paraId="3EB69964"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47"/>
          <w:headerReference w:type="default" r:id="rId248"/>
          <w:footerReference w:type="even" r:id="rId249"/>
          <w:footerReference w:type="default" r:id="rId250"/>
          <w:headerReference w:type="first" r:id="rId251"/>
          <w:footerReference w:type="first" r:id="rId252"/>
          <w:pgSz w:w="11907" w:h="16839"/>
          <w:pgMar w:top="1134" w:right="1417" w:bottom="1134" w:left="1417" w:header="709" w:footer="327" w:gutter="0"/>
          <w:cols w:space="720"/>
          <w:docGrid w:linePitch="360"/>
        </w:sectPr>
      </w:pPr>
    </w:p>
    <w:p w14:paraId="7E276698"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O.2. </w:t>
      </w:r>
      <w:r>
        <w:rPr>
          <w:noProof/>
        </w:rPr>
        <w:t xml:space="preserve"> </w:t>
      </w:r>
      <w:r>
        <w:rPr>
          <w:rFonts w:ascii="Times New Roman" w:hAnsi="Times New Roman"/>
          <w:b/>
          <w:noProof/>
          <w:sz w:val="24"/>
          <w:u w:val="single"/>
        </w:rPr>
        <w:t>Milníky, cíle, ukazatele a harmonogram monitorování a provádění nevratné finanční podpory</w:t>
      </w:r>
    </w:p>
    <w:p w14:paraId="4897CA2E" w14:textId="77777777" w:rsidR="00515398" w:rsidRDefault="00515398">
      <w:pPr>
        <w:rPr>
          <w:noProof/>
        </w:rPr>
      </w:pPr>
    </w:p>
    <w:p w14:paraId="02343562"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22: Posílení finančního sektoru a kapitálových trhů</w:t>
      </w:r>
    </w:p>
    <w:p w14:paraId="27F0AEF2" w14:textId="77777777" w:rsidR="00515398" w:rsidRDefault="006711E6">
      <w:pPr>
        <w:pStyle w:val="P68B1DB1-Normal4"/>
        <w:numPr>
          <w:ilvl w:val="0"/>
          <w:numId w:val="35"/>
        </w:numPr>
        <w:spacing w:before="120" w:after="0" w:line="240" w:lineRule="auto"/>
        <w:jc w:val="both"/>
        <w:rPr>
          <w:rFonts w:cs="Times New Roman"/>
          <w:noProof/>
        </w:rPr>
      </w:pPr>
      <w:r>
        <w:rPr>
          <w:noProof/>
        </w:rPr>
        <w:t>Posílený dohled nad kapitálovým trhem a důvěryhodnost (ID: 16581)</w:t>
      </w:r>
    </w:p>
    <w:p w14:paraId="57743230" w14:textId="77777777" w:rsidR="00515398" w:rsidRDefault="006711E6">
      <w:pPr>
        <w:pStyle w:val="P68B1DB1-Normal4"/>
        <w:numPr>
          <w:ilvl w:val="0"/>
          <w:numId w:val="35"/>
        </w:numPr>
        <w:spacing w:before="120" w:after="0" w:line="240" w:lineRule="auto"/>
        <w:jc w:val="both"/>
        <w:rPr>
          <w:rFonts w:cs="Times New Roman"/>
          <w:noProof/>
        </w:rPr>
      </w:pPr>
      <w:r>
        <w:rPr>
          <w:noProof/>
        </w:rPr>
        <w:t xml:space="preserve">Posílení </w:t>
      </w:r>
      <w:r>
        <w:rPr>
          <w:noProof/>
        </w:rPr>
        <w:t>schopnosti finančního systému překonávat dosavadní výzvy a financovat reálnou ekonomiku (ID: 16957)</w:t>
      </w:r>
    </w:p>
    <w:p w14:paraId="1FB635BA" w14:textId="77777777" w:rsidR="00515398" w:rsidRDefault="006711E6">
      <w:pPr>
        <w:pStyle w:val="P68B1DB1-Normal4"/>
        <w:numPr>
          <w:ilvl w:val="0"/>
          <w:numId w:val="35"/>
        </w:numPr>
        <w:spacing w:before="120" w:after="0" w:line="240" w:lineRule="auto"/>
        <w:jc w:val="both"/>
        <w:rPr>
          <w:rFonts w:cs="Times New Roman"/>
          <w:noProof/>
        </w:rPr>
      </w:pPr>
      <w:r>
        <w:rPr>
          <w:noProof/>
        </w:rPr>
        <w:t>Provádění nového jednotného insolvenčního rámce pro restrukturalizaci dluhu a druhou šanci (ID: 16580)</w:t>
      </w:r>
    </w:p>
    <w:p w14:paraId="2C37F5B1" w14:textId="77777777" w:rsidR="00515398" w:rsidRDefault="00515398">
      <w:pPr>
        <w:spacing w:before="120" w:after="120" w:line="240" w:lineRule="auto"/>
        <w:ind w:left="720"/>
        <w:jc w:val="both"/>
        <w:rPr>
          <w:rFonts w:ascii="Times New Roman" w:hAnsi="Times New Roman" w:cs="Times New Roman"/>
          <w:noProof/>
          <w:sz w:val="24"/>
        </w:rPr>
      </w:pPr>
    </w:p>
    <w:tbl>
      <w:tblPr>
        <w:tblW w:w="15889" w:type="dxa"/>
        <w:jc w:val="center"/>
        <w:tblLook w:val="04A0" w:firstRow="1" w:lastRow="0" w:firstColumn="1" w:lastColumn="0" w:noHBand="0" w:noVBand="1"/>
      </w:tblPr>
      <w:tblGrid>
        <w:gridCol w:w="1027"/>
        <w:gridCol w:w="1942"/>
        <w:gridCol w:w="967"/>
        <w:gridCol w:w="1448"/>
        <w:gridCol w:w="1576"/>
        <w:gridCol w:w="968"/>
        <w:gridCol w:w="857"/>
        <w:gridCol w:w="587"/>
        <w:gridCol w:w="984"/>
        <w:gridCol w:w="673"/>
        <w:gridCol w:w="5194"/>
      </w:tblGrid>
      <w:tr w:rsidR="00515398" w14:paraId="280ADEFD" w14:textId="77777777">
        <w:trPr>
          <w:trHeight w:val="695"/>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D947F6"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AA9F35"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w:t>
            </w:r>
            <w:r>
              <w:rPr>
                <w:noProof/>
              </w:rPr>
              <w:t>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AA6B06"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253" w:type="dxa"/>
            <w:vMerge w:val="restart"/>
            <w:tcBorders>
              <w:top w:val="single" w:sz="4" w:space="0" w:color="auto"/>
              <w:left w:val="nil"/>
              <w:bottom w:val="single" w:sz="4" w:space="0" w:color="auto"/>
              <w:right w:val="single" w:sz="4" w:space="0" w:color="auto"/>
            </w:tcBorders>
            <w:shd w:val="clear" w:color="auto" w:fill="BDD7EE"/>
            <w:vAlign w:val="center"/>
            <w:hideMark/>
          </w:tcPr>
          <w:p w14:paraId="77D8BCE9"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D44109"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Kvalitativní ukazatele </w:t>
            </w:r>
            <w:r>
              <w:rPr>
                <w:noProof/>
                <w:sz w:val="24"/>
              </w:rPr>
              <w:t xml:space="preserve"> </w:t>
            </w:r>
            <w:r>
              <w:rPr>
                <w:b/>
                <w:noProof/>
                <w:sz w:val="18"/>
              </w:rPr>
              <w:t>(pro milníky)</w:t>
            </w:r>
          </w:p>
        </w:tc>
        <w:tc>
          <w:tcPr>
            <w:tcW w:w="2412" w:type="dxa"/>
            <w:gridSpan w:val="3"/>
            <w:tcBorders>
              <w:top w:val="single" w:sz="4" w:space="0" w:color="auto"/>
              <w:left w:val="nil"/>
              <w:bottom w:val="single" w:sz="4" w:space="0" w:color="auto"/>
              <w:right w:val="single" w:sz="4" w:space="0" w:color="auto"/>
            </w:tcBorders>
            <w:shd w:val="clear" w:color="auto" w:fill="BDD7EE"/>
            <w:vAlign w:val="center"/>
            <w:hideMark/>
          </w:tcPr>
          <w:p w14:paraId="79CFE2FD" w14:textId="77777777" w:rsidR="00515398" w:rsidRDefault="006711E6">
            <w:pPr>
              <w:pStyle w:val="P68B1DB1-Normal37"/>
              <w:spacing w:after="0" w:line="240" w:lineRule="auto"/>
              <w:jc w:val="center"/>
              <w:rPr>
                <w:rFonts w:eastAsia="Times New Roman" w:cs="Times New Roman"/>
                <w:b/>
                <w:bCs/>
                <w:noProof/>
                <w:sz w:val="18"/>
                <w:szCs w:val="18"/>
              </w:rPr>
            </w:pPr>
            <w:r>
              <w:rPr>
                <w:b/>
                <w:noProof/>
                <w:sz w:val="18"/>
              </w:rPr>
              <w:t xml:space="preserve">Kvantitativní ukazatele </w:t>
            </w:r>
            <w:r>
              <w:rPr>
                <w:noProof/>
                <w:sz w:val="24"/>
              </w:rPr>
              <w:t xml:space="preserve"> </w:t>
            </w:r>
            <w:r>
              <w:rPr>
                <w:b/>
                <w:noProof/>
                <w:sz w:val="18"/>
              </w:rPr>
              <w:t>(pro cíle)</w:t>
            </w:r>
          </w:p>
        </w:tc>
        <w:tc>
          <w:tcPr>
            <w:tcW w:w="1519" w:type="dxa"/>
            <w:gridSpan w:val="2"/>
            <w:tcBorders>
              <w:top w:val="single" w:sz="4" w:space="0" w:color="auto"/>
              <w:left w:val="nil"/>
              <w:bottom w:val="single" w:sz="4" w:space="0" w:color="auto"/>
              <w:right w:val="single" w:sz="4" w:space="0" w:color="auto"/>
            </w:tcBorders>
            <w:shd w:val="clear" w:color="auto" w:fill="BDD7EE"/>
            <w:vAlign w:val="center"/>
            <w:hideMark/>
          </w:tcPr>
          <w:p w14:paraId="3743F34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51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D7DB75"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647FAA56" w14:textId="77777777">
        <w:trPr>
          <w:trHeight w:val="610"/>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44194E53" w14:textId="77777777" w:rsidR="00515398" w:rsidRDefault="00515398">
            <w:pPr>
              <w:spacing w:after="0" w:line="240" w:lineRule="auto"/>
              <w:rPr>
                <w:rFonts w:ascii="Times New Roman" w:eastAsia="Times New Roman" w:hAnsi="Times New Roman" w:cs="Times New Roman"/>
                <w:b/>
                <w:bCs/>
                <w:noProof/>
                <w:sz w:val="18"/>
                <w:szCs w:val="18"/>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19DEABC2"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0E6FF0A5" w14:textId="77777777" w:rsidR="00515398" w:rsidRDefault="00515398">
            <w:pPr>
              <w:spacing w:after="0" w:line="240" w:lineRule="auto"/>
              <w:rPr>
                <w:rFonts w:ascii="Times New Roman" w:eastAsia="Times New Roman" w:hAnsi="Times New Roman" w:cs="Times New Roman"/>
                <w:b/>
                <w:bCs/>
                <w:noProof/>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776FA222" w14:textId="77777777" w:rsidR="00515398" w:rsidRDefault="00515398">
            <w:pPr>
              <w:spacing w:after="0" w:line="240" w:lineRule="auto"/>
              <w:rPr>
                <w:rFonts w:ascii="Times New Roman" w:eastAsia="Times New Roman" w:hAnsi="Times New Roman" w:cs="Times New Roman"/>
                <w:b/>
                <w:bCs/>
                <w:noProof/>
                <w:sz w:val="18"/>
                <w:szCs w:val="18"/>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10ABFB66" w14:textId="77777777" w:rsidR="00515398" w:rsidRDefault="00515398">
            <w:pPr>
              <w:spacing w:after="0" w:line="240" w:lineRule="auto"/>
              <w:rPr>
                <w:rFonts w:ascii="Times New Roman" w:eastAsia="Times New Roman" w:hAnsi="Times New Roman" w:cs="Times New Roman"/>
                <w:b/>
                <w:bCs/>
                <w:noProof/>
                <w:sz w:val="18"/>
                <w:szCs w:val="18"/>
              </w:rPr>
            </w:pPr>
          </w:p>
        </w:tc>
        <w:tc>
          <w:tcPr>
            <w:tcW w:w="96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0D83413"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7152835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587" w:type="dxa"/>
            <w:tcBorders>
              <w:top w:val="nil"/>
              <w:left w:val="nil"/>
              <w:bottom w:val="single" w:sz="4" w:space="0" w:color="auto"/>
              <w:right w:val="single" w:sz="4" w:space="0" w:color="auto"/>
            </w:tcBorders>
            <w:shd w:val="clear" w:color="auto" w:fill="BDD7EE"/>
            <w:vAlign w:val="center"/>
            <w:hideMark/>
          </w:tcPr>
          <w:p w14:paraId="05854A32"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846" w:type="dxa"/>
            <w:tcBorders>
              <w:top w:val="nil"/>
              <w:left w:val="nil"/>
              <w:bottom w:val="single" w:sz="4" w:space="0" w:color="auto"/>
              <w:right w:val="single" w:sz="4" w:space="0" w:color="auto"/>
            </w:tcBorders>
            <w:shd w:val="clear" w:color="auto" w:fill="BDD7EE"/>
            <w:vAlign w:val="center"/>
            <w:hideMark/>
          </w:tcPr>
          <w:p w14:paraId="657C0C72"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673" w:type="dxa"/>
            <w:tcBorders>
              <w:top w:val="nil"/>
              <w:left w:val="nil"/>
              <w:bottom w:val="single" w:sz="4" w:space="0" w:color="auto"/>
              <w:right w:val="single" w:sz="4" w:space="0" w:color="auto"/>
            </w:tcBorders>
            <w:shd w:val="clear" w:color="auto" w:fill="BDD7EE"/>
            <w:vAlign w:val="center"/>
            <w:hideMark/>
          </w:tcPr>
          <w:p w14:paraId="62F658AA"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5194" w:type="dxa"/>
            <w:vMerge/>
            <w:tcBorders>
              <w:top w:val="single" w:sz="4" w:space="0" w:color="auto"/>
              <w:bottom w:val="single" w:sz="4" w:space="0" w:color="auto"/>
              <w:right w:val="single" w:sz="4" w:space="0" w:color="auto"/>
            </w:tcBorders>
            <w:vAlign w:val="center"/>
            <w:hideMark/>
          </w:tcPr>
          <w:p w14:paraId="1FB45723"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4AD02F2"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0B6902B" w14:textId="77777777" w:rsidR="00515398" w:rsidRDefault="006711E6">
            <w:pPr>
              <w:pStyle w:val="P68B1DB1-Normal9"/>
              <w:spacing w:after="0" w:line="240" w:lineRule="auto"/>
              <w:rPr>
                <w:rFonts w:eastAsia="Times New Roman" w:cs="Calibri"/>
                <w:noProof/>
                <w:szCs w:val="18"/>
              </w:rPr>
            </w:pPr>
            <w:r>
              <w:rPr>
                <w:noProof/>
              </w:rPr>
              <w:t>240</w:t>
            </w:r>
          </w:p>
        </w:tc>
        <w:tc>
          <w:tcPr>
            <w:tcW w:w="1942" w:type="dxa"/>
            <w:tcBorders>
              <w:top w:val="single" w:sz="4" w:space="0" w:color="auto"/>
              <w:left w:val="nil"/>
              <w:bottom w:val="single" w:sz="4" w:space="0" w:color="auto"/>
              <w:right w:val="single" w:sz="4" w:space="0" w:color="auto"/>
            </w:tcBorders>
            <w:shd w:val="clear" w:color="auto" w:fill="C6EFCE"/>
            <w:noWrap/>
          </w:tcPr>
          <w:p w14:paraId="46C57CD0" w14:textId="77777777" w:rsidR="00515398" w:rsidRDefault="006711E6">
            <w:pPr>
              <w:pStyle w:val="P68B1DB1-Normal9"/>
              <w:spacing w:after="0" w:line="240" w:lineRule="auto"/>
              <w:rPr>
                <w:rFonts w:eastAsia="Times New Roman" w:cs="Calibri"/>
                <w:noProof/>
                <w:szCs w:val="18"/>
              </w:rPr>
            </w:pPr>
            <w:r>
              <w:rPr>
                <w:noProof/>
              </w:rPr>
              <w:t xml:space="preserve">15–4.4. Posílení finančního </w:t>
            </w:r>
            <w:r>
              <w:rPr>
                <w:noProof/>
              </w:rPr>
              <w:t>sektoru a kapitálových trhů – 16581_Posílený dohled nad kapitálovými trhy a jejich důvěryhodnost</w:t>
            </w:r>
          </w:p>
        </w:tc>
        <w:tc>
          <w:tcPr>
            <w:tcW w:w="966" w:type="dxa"/>
            <w:tcBorders>
              <w:top w:val="single" w:sz="4" w:space="0" w:color="auto"/>
              <w:left w:val="nil"/>
              <w:bottom w:val="single" w:sz="4" w:space="0" w:color="auto"/>
              <w:right w:val="single" w:sz="4" w:space="0" w:color="auto"/>
            </w:tcBorders>
            <w:shd w:val="clear" w:color="auto" w:fill="C6EFCE"/>
            <w:noWrap/>
          </w:tcPr>
          <w:p w14:paraId="2152246F" w14:textId="77777777" w:rsidR="00515398" w:rsidRDefault="006711E6">
            <w:pPr>
              <w:pStyle w:val="P68B1DB1-Normal9"/>
              <w:spacing w:after="0" w:line="240" w:lineRule="auto"/>
              <w:rPr>
                <w:rFonts w:eastAsia="Times New Roman" w:cs="Calibri"/>
                <w:noProof/>
                <w:szCs w:val="18"/>
              </w:rPr>
            </w:pPr>
            <w:r>
              <w:rPr>
                <w:noProof/>
              </w:rPr>
              <w:t>Milník</w:t>
            </w:r>
          </w:p>
        </w:tc>
        <w:tc>
          <w:tcPr>
            <w:tcW w:w="1253" w:type="dxa"/>
            <w:tcBorders>
              <w:top w:val="single" w:sz="4" w:space="0" w:color="auto"/>
              <w:left w:val="nil"/>
              <w:bottom w:val="single" w:sz="4" w:space="0" w:color="auto"/>
              <w:right w:val="single" w:sz="4" w:space="0" w:color="auto"/>
            </w:tcBorders>
            <w:shd w:val="clear" w:color="auto" w:fill="C6EFCE"/>
            <w:noWrap/>
          </w:tcPr>
          <w:p w14:paraId="674C8D3D" w14:textId="77777777" w:rsidR="00515398" w:rsidRDefault="006711E6">
            <w:pPr>
              <w:pStyle w:val="P68B1DB1-Normal9"/>
              <w:spacing w:after="0" w:line="240" w:lineRule="auto"/>
              <w:rPr>
                <w:rFonts w:eastAsia="Times New Roman" w:cs="Calibri"/>
                <w:noProof/>
                <w:szCs w:val="18"/>
              </w:rPr>
            </w:pPr>
            <w:r>
              <w:rPr>
                <w:noProof/>
              </w:rPr>
              <w:t>Kapitálové trhy, dohled, digitalizace postupů dohledu, unie kapitálových trhů</w:t>
            </w:r>
          </w:p>
        </w:tc>
        <w:tc>
          <w:tcPr>
            <w:tcW w:w="1576" w:type="dxa"/>
            <w:tcBorders>
              <w:top w:val="single" w:sz="4" w:space="0" w:color="auto"/>
              <w:left w:val="nil"/>
              <w:bottom w:val="single" w:sz="4" w:space="0" w:color="auto"/>
              <w:right w:val="single" w:sz="4" w:space="0" w:color="auto"/>
            </w:tcBorders>
            <w:shd w:val="clear" w:color="auto" w:fill="C6EFCE"/>
            <w:noWrap/>
          </w:tcPr>
          <w:p w14:paraId="7ED351F8" w14:textId="77777777" w:rsidR="00515398" w:rsidRDefault="006711E6">
            <w:pPr>
              <w:pStyle w:val="P68B1DB1-Normal9"/>
              <w:spacing w:after="0" w:line="240" w:lineRule="auto"/>
              <w:rPr>
                <w:rFonts w:eastAsia="Times New Roman" w:cs="Calibri"/>
                <w:noProof/>
                <w:szCs w:val="18"/>
              </w:rPr>
            </w:pPr>
            <w:r>
              <w:rPr>
                <w:noProof/>
              </w:rPr>
              <w:t>Vstup právních předpisů v platnost (odkaz na Úřední věstník)</w:t>
            </w:r>
          </w:p>
        </w:tc>
        <w:tc>
          <w:tcPr>
            <w:tcW w:w="968" w:type="dxa"/>
            <w:tcBorders>
              <w:top w:val="single" w:sz="4" w:space="0" w:color="auto"/>
              <w:left w:val="nil"/>
              <w:bottom w:val="single" w:sz="4" w:space="0" w:color="auto"/>
              <w:right w:val="single" w:sz="4" w:space="0" w:color="auto"/>
            </w:tcBorders>
            <w:shd w:val="clear" w:color="auto" w:fill="C6EFCE"/>
            <w:noWrap/>
          </w:tcPr>
          <w:p w14:paraId="0BFC9E1E"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54AA4A9"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B9BD756"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34A0E678" w14:textId="77777777" w:rsidR="00515398" w:rsidRDefault="006711E6">
            <w:pPr>
              <w:pStyle w:val="P68B1DB1-Normal9"/>
              <w:spacing w:after="0" w:line="240" w:lineRule="auto"/>
              <w:rPr>
                <w:rFonts w:eastAsia="Times New Roman" w:cs="Calibri"/>
                <w:noProof/>
                <w:szCs w:val="18"/>
              </w:rPr>
            </w:pPr>
            <w:r>
              <w:rPr>
                <w:noProof/>
              </w:rPr>
              <w:t xml:space="preserve">ČTVRTLETÍ </w:t>
            </w:r>
            <w:r>
              <w:rPr>
                <w:noProof/>
              </w:rPr>
              <w:t>ČTVRT</w:t>
            </w:r>
          </w:p>
        </w:tc>
        <w:tc>
          <w:tcPr>
            <w:tcW w:w="673" w:type="dxa"/>
            <w:tcBorders>
              <w:top w:val="nil"/>
              <w:left w:val="nil"/>
              <w:bottom w:val="single" w:sz="4" w:space="0" w:color="auto"/>
              <w:right w:val="single" w:sz="4" w:space="0" w:color="auto"/>
            </w:tcBorders>
            <w:shd w:val="clear" w:color="auto" w:fill="C6EFCE"/>
            <w:noWrap/>
          </w:tcPr>
          <w:p w14:paraId="1BB65679" w14:textId="77777777" w:rsidR="00515398" w:rsidRDefault="006711E6">
            <w:pPr>
              <w:pStyle w:val="P68B1DB1-Normal9"/>
              <w:spacing w:after="0" w:line="240" w:lineRule="auto"/>
              <w:rPr>
                <w:rFonts w:eastAsia="Times New Roman" w:cs="Calibri"/>
                <w:noProof/>
                <w:szCs w:val="18"/>
              </w:rPr>
            </w:pPr>
            <w:r>
              <w:rPr>
                <w:noProof/>
              </w:rPr>
              <w:t>2021</w:t>
            </w:r>
          </w:p>
        </w:tc>
        <w:tc>
          <w:tcPr>
            <w:tcW w:w="5194" w:type="dxa"/>
            <w:tcBorders>
              <w:top w:val="single" w:sz="4" w:space="0" w:color="auto"/>
              <w:left w:val="nil"/>
              <w:bottom w:val="single" w:sz="4" w:space="0" w:color="auto"/>
              <w:right w:val="single" w:sz="4" w:space="0" w:color="auto"/>
            </w:tcBorders>
            <w:shd w:val="clear" w:color="auto" w:fill="C6EFCE"/>
            <w:noWrap/>
          </w:tcPr>
          <w:p w14:paraId="3D20215F" w14:textId="77777777" w:rsidR="00515398" w:rsidRDefault="006711E6">
            <w:pPr>
              <w:pStyle w:val="P68B1DB1-Normal9"/>
              <w:spacing w:before="120" w:after="120" w:line="240" w:lineRule="auto"/>
              <w:jc w:val="both"/>
              <w:rPr>
                <w:rFonts w:eastAsia="Times New Roman" w:cs="Calibri"/>
                <w:noProof/>
                <w:szCs w:val="18"/>
              </w:rPr>
            </w:pPr>
            <w:r>
              <w:rPr>
                <w:noProof/>
              </w:rPr>
              <w:t xml:space="preserve">Vstup v platnost nového zákona o řecké komisi pro kapitálové trhy, který změní vnitřní postupy a organizaci. </w:t>
            </w:r>
          </w:p>
        </w:tc>
      </w:tr>
      <w:tr w:rsidR="00515398" w14:paraId="413C46B7"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C56B1B0" w14:textId="77777777" w:rsidR="00515398" w:rsidRDefault="006711E6">
            <w:pPr>
              <w:pStyle w:val="P68B1DB1-Normal9"/>
              <w:spacing w:after="0" w:line="240" w:lineRule="auto"/>
              <w:rPr>
                <w:rFonts w:eastAsia="Times New Roman" w:cs="Calibri"/>
                <w:noProof/>
                <w:szCs w:val="18"/>
              </w:rPr>
            </w:pPr>
            <w:r>
              <w:rPr>
                <w:noProof/>
              </w:rPr>
              <w:t>241</w:t>
            </w:r>
          </w:p>
        </w:tc>
        <w:tc>
          <w:tcPr>
            <w:tcW w:w="1942" w:type="dxa"/>
            <w:tcBorders>
              <w:top w:val="nil"/>
              <w:left w:val="nil"/>
              <w:bottom w:val="single" w:sz="4" w:space="0" w:color="auto"/>
              <w:right w:val="single" w:sz="4" w:space="0" w:color="auto"/>
            </w:tcBorders>
            <w:shd w:val="clear" w:color="auto" w:fill="C6EFCE"/>
            <w:noWrap/>
          </w:tcPr>
          <w:p w14:paraId="34EB9A7C" w14:textId="77777777" w:rsidR="00515398" w:rsidRDefault="006711E6">
            <w:pPr>
              <w:pStyle w:val="P68B1DB1-Normal9"/>
              <w:spacing w:after="0" w:line="240" w:lineRule="auto"/>
              <w:rPr>
                <w:rFonts w:eastAsia="Times New Roman" w:cs="Calibri"/>
                <w:noProof/>
                <w:szCs w:val="18"/>
              </w:rPr>
            </w:pPr>
            <w:r>
              <w:rPr>
                <w:noProof/>
              </w:rPr>
              <w:t xml:space="preserve">15–4.4. Posílení finančního sektoru a kapitálových trhů – 16580_Provádění nového jednotného insolvenčního rámce pro </w:t>
            </w:r>
            <w:r>
              <w:rPr>
                <w:noProof/>
              </w:rPr>
              <w:t>restrukturalizaci dluhu a 2. šanci</w:t>
            </w:r>
          </w:p>
        </w:tc>
        <w:tc>
          <w:tcPr>
            <w:tcW w:w="966" w:type="dxa"/>
            <w:tcBorders>
              <w:top w:val="nil"/>
              <w:left w:val="nil"/>
              <w:bottom w:val="single" w:sz="4" w:space="0" w:color="auto"/>
              <w:right w:val="single" w:sz="4" w:space="0" w:color="auto"/>
            </w:tcBorders>
            <w:shd w:val="clear" w:color="auto" w:fill="C6EFCE"/>
            <w:noWrap/>
          </w:tcPr>
          <w:p w14:paraId="4D924FF4" w14:textId="77777777" w:rsidR="00515398" w:rsidRDefault="006711E6">
            <w:pPr>
              <w:pStyle w:val="P68B1DB1-Normal9"/>
              <w:spacing w:after="0" w:line="240" w:lineRule="auto"/>
              <w:rPr>
                <w:rFonts w:eastAsia="Times New Roman" w:cs="Calibri"/>
                <w:noProof/>
                <w:szCs w:val="18"/>
              </w:rPr>
            </w:pPr>
            <w:r>
              <w:rPr>
                <w:noProof/>
              </w:rPr>
              <w:t>Milník</w:t>
            </w:r>
          </w:p>
        </w:tc>
        <w:tc>
          <w:tcPr>
            <w:tcW w:w="1253" w:type="dxa"/>
            <w:tcBorders>
              <w:top w:val="nil"/>
              <w:left w:val="nil"/>
              <w:bottom w:val="single" w:sz="4" w:space="0" w:color="auto"/>
              <w:right w:val="single" w:sz="4" w:space="0" w:color="auto"/>
            </w:tcBorders>
            <w:shd w:val="clear" w:color="auto" w:fill="C6EFCE"/>
            <w:noWrap/>
          </w:tcPr>
          <w:p w14:paraId="0112135E" w14:textId="77777777" w:rsidR="00515398" w:rsidRDefault="006711E6">
            <w:pPr>
              <w:pStyle w:val="P68B1DB1-Normal9"/>
              <w:spacing w:after="0" w:line="240" w:lineRule="auto"/>
              <w:rPr>
                <w:rFonts w:eastAsia="Times New Roman" w:cs="Calibri"/>
                <w:noProof/>
                <w:szCs w:val="18"/>
              </w:rPr>
            </w:pPr>
            <w:r>
              <w:rPr>
                <w:noProof/>
              </w:rPr>
              <w:t>Dohled, digitalizace procesů dohledu, unie kapitálových trhů, preventivní restrukturalizace dluhu</w:t>
            </w:r>
          </w:p>
        </w:tc>
        <w:tc>
          <w:tcPr>
            <w:tcW w:w="1576" w:type="dxa"/>
            <w:tcBorders>
              <w:top w:val="nil"/>
              <w:left w:val="nil"/>
              <w:bottom w:val="single" w:sz="4" w:space="0" w:color="auto"/>
              <w:right w:val="single" w:sz="4" w:space="0" w:color="auto"/>
            </w:tcBorders>
            <w:shd w:val="clear" w:color="auto" w:fill="C6EFCE"/>
            <w:noWrap/>
          </w:tcPr>
          <w:p w14:paraId="2D7DBAD1" w14:textId="77777777" w:rsidR="00515398" w:rsidRDefault="006711E6">
            <w:pPr>
              <w:pStyle w:val="P68B1DB1-Normal9"/>
              <w:spacing w:after="0" w:line="240" w:lineRule="auto"/>
              <w:rPr>
                <w:rFonts w:eastAsia="Times New Roman" w:cs="Calibri"/>
                <w:noProof/>
                <w:szCs w:val="18"/>
              </w:rPr>
            </w:pPr>
            <w:r>
              <w:rPr>
                <w:noProof/>
              </w:rPr>
              <w:t>Zprávy o zprovoznění výše uvedených systémů, případně včetně odkazů na internetové stránky</w:t>
            </w:r>
          </w:p>
        </w:tc>
        <w:tc>
          <w:tcPr>
            <w:tcW w:w="968" w:type="dxa"/>
            <w:tcBorders>
              <w:top w:val="nil"/>
              <w:left w:val="nil"/>
              <w:bottom w:val="single" w:sz="4" w:space="0" w:color="auto"/>
              <w:right w:val="single" w:sz="4" w:space="0" w:color="auto"/>
            </w:tcBorders>
            <w:shd w:val="clear" w:color="auto" w:fill="C6EFCE"/>
            <w:noWrap/>
          </w:tcPr>
          <w:p w14:paraId="4B74AA36"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5B2A721"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1C2867D"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5EAE39A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nil"/>
              <w:left w:val="nil"/>
              <w:bottom w:val="single" w:sz="4" w:space="0" w:color="auto"/>
              <w:right w:val="single" w:sz="4" w:space="0" w:color="auto"/>
            </w:tcBorders>
            <w:shd w:val="clear" w:color="auto" w:fill="C6EFCE"/>
            <w:noWrap/>
          </w:tcPr>
          <w:p w14:paraId="5CE6D079" w14:textId="77777777" w:rsidR="00515398" w:rsidRDefault="006711E6">
            <w:pPr>
              <w:pStyle w:val="P68B1DB1-Normal9"/>
              <w:spacing w:after="0" w:line="240" w:lineRule="auto"/>
              <w:rPr>
                <w:rFonts w:eastAsia="Times New Roman" w:cs="Calibri"/>
                <w:noProof/>
                <w:szCs w:val="18"/>
              </w:rPr>
            </w:pPr>
            <w:r>
              <w:rPr>
                <w:noProof/>
              </w:rPr>
              <w:t>2025</w:t>
            </w:r>
          </w:p>
        </w:tc>
        <w:tc>
          <w:tcPr>
            <w:tcW w:w="5194" w:type="dxa"/>
            <w:tcBorders>
              <w:top w:val="nil"/>
              <w:left w:val="nil"/>
              <w:bottom w:val="single" w:sz="4" w:space="0" w:color="auto"/>
              <w:right w:val="single" w:sz="4" w:space="0" w:color="auto"/>
            </w:tcBorders>
            <w:shd w:val="clear" w:color="auto" w:fill="C6EFCE"/>
            <w:noWrap/>
          </w:tcPr>
          <w:p w14:paraId="1DD8A81F" w14:textId="77777777" w:rsidR="00515398" w:rsidRDefault="006711E6">
            <w:pPr>
              <w:pStyle w:val="P68B1DB1-Normal9"/>
              <w:spacing w:after="0" w:line="240" w:lineRule="auto"/>
              <w:rPr>
                <w:rFonts w:cs="Calibri"/>
                <w:noProof/>
                <w:szCs w:val="18"/>
              </w:rPr>
            </w:pPr>
            <w:r>
              <w:rPr>
                <w:noProof/>
              </w:rPr>
              <w:t>M</w:t>
            </w:r>
            <w:r>
              <w:rPr>
                <w:noProof/>
              </w:rPr>
              <w:t>odernizace mechanismu včasného varování a preventivní restrukturalizace dluhu, který jednotlivcům a podnikům umožní vyhnout se nadměrnému zadlužení a řešit vypořádání dluhu využitím mimosoudních postupů.</w:t>
            </w:r>
          </w:p>
          <w:p w14:paraId="1BB671E6" w14:textId="50ED374E" w:rsidR="00515398" w:rsidRDefault="006711E6">
            <w:pPr>
              <w:pStyle w:val="P68B1DB1-Normal9"/>
              <w:spacing w:after="0" w:line="240" w:lineRule="auto"/>
              <w:rPr>
                <w:rFonts w:eastAsia="Times New Roman" w:cs="Calibri"/>
                <w:noProof/>
                <w:szCs w:val="18"/>
              </w:rPr>
            </w:pPr>
            <w:r>
              <w:rPr>
                <w:noProof/>
              </w:rPr>
              <w:t>Dodavatel zmodernizuje informační systémy včasného v</w:t>
            </w:r>
            <w:r>
              <w:rPr>
                <w:noProof/>
              </w:rPr>
              <w:t>arování a preventivní restrukturalizace dluhu provozované ministerstvem financí/SecPD po posouzení jejich provozu.</w:t>
            </w:r>
          </w:p>
        </w:tc>
      </w:tr>
      <w:tr w:rsidR="00515398" w14:paraId="58732F84"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4071C33B" w14:textId="77777777" w:rsidR="00515398" w:rsidRDefault="006711E6">
            <w:pPr>
              <w:pStyle w:val="P68B1DB1-Normal9"/>
              <w:spacing w:after="0" w:line="240" w:lineRule="auto"/>
              <w:rPr>
                <w:rFonts w:eastAsia="Times New Roman" w:cs="Calibri"/>
                <w:noProof/>
                <w:szCs w:val="18"/>
              </w:rPr>
            </w:pPr>
            <w:r>
              <w:rPr>
                <w:noProof/>
              </w:rPr>
              <w:t>243</w:t>
            </w:r>
          </w:p>
        </w:tc>
        <w:tc>
          <w:tcPr>
            <w:tcW w:w="1942" w:type="dxa"/>
            <w:tcBorders>
              <w:top w:val="nil"/>
              <w:left w:val="nil"/>
              <w:bottom w:val="single" w:sz="4" w:space="0" w:color="auto"/>
              <w:right w:val="single" w:sz="4" w:space="0" w:color="auto"/>
            </w:tcBorders>
            <w:shd w:val="clear" w:color="auto" w:fill="C6EFCE"/>
            <w:noWrap/>
          </w:tcPr>
          <w:p w14:paraId="675B85B9" w14:textId="77777777" w:rsidR="00515398" w:rsidRDefault="006711E6">
            <w:pPr>
              <w:pStyle w:val="P68B1DB1-Normal9"/>
              <w:spacing w:after="0" w:line="240" w:lineRule="auto"/>
              <w:rPr>
                <w:rFonts w:eastAsia="Times New Roman" w:cs="Calibri"/>
                <w:noProof/>
                <w:szCs w:val="18"/>
              </w:rPr>
            </w:pPr>
            <w:r>
              <w:rPr>
                <w:noProof/>
              </w:rPr>
              <w:t>15–4.4. Posílení finančního sektoru a kapitálových trhů – 16581_Posílený dohled nad kapitálovými trhy a jejich důvěryhodnost</w:t>
            </w:r>
          </w:p>
        </w:tc>
        <w:tc>
          <w:tcPr>
            <w:tcW w:w="966" w:type="dxa"/>
            <w:tcBorders>
              <w:top w:val="nil"/>
              <w:left w:val="nil"/>
              <w:bottom w:val="single" w:sz="4" w:space="0" w:color="auto"/>
              <w:right w:val="single" w:sz="4" w:space="0" w:color="auto"/>
            </w:tcBorders>
            <w:shd w:val="clear" w:color="auto" w:fill="C6EFCE"/>
            <w:noWrap/>
          </w:tcPr>
          <w:p w14:paraId="3D25FB80" w14:textId="77777777" w:rsidR="00515398" w:rsidRDefault="006711E6">
            <w:pPr>
              <w:pStyle w:val="P68B1DB1-Normal9"/>
              <w:spacing w:after="0" w:line="240" w:lineRule="auto"/>
              <w:rPr>
                <w:rFonts w:eastAsia="Times New Roman" w:cs="Calibri"/>
                <w:noProof/>
                <w:szCs w:val="18"/>
              </w:rPr>
            </w:pPr>
            <w:r>
              <w:rPr>
                <w:noProof/>
              </w:rPr>
              <w:t>Milník</w:t>
            </w:r>
          </w:p>
        </w:tc>
        <w:tc>
          <w:tcPr>
            <w:tcW w:w="1253" w:type="dxa"/>
            <w:tcBorders>
              <w:top w:val="nil"/>
              <w:left w:val="nil"/>
              <w:bottom w:val="single" w:sz="4" w:space="0" w:color="auto"/>
              <w:right w:val="single" w:sz="4" w:space="0" w:color="auto"/>
            </w:tcBorders>
            <w:shd w:val="clear" w:color="auto" w:fill="C6EFCE"/>
            <w:noWrap/>
          </w:tcPr>
          <w:p w14:paraId="752E298D" w14:textId="0FE01DE0" w:rsidR="00515398" w:rsidRDefault="006711E6">
            <w:pPr>
              <w:pStyle w:val="P68B1DB1-Normal9"/>
              <w:spacing w:after="0" w:line="240" w:lineRule="auto"/>
              <w:rPr>
                <w:rFonts w:eastAsia="Times New Roman" w:cs="Calibri"/>
                <w:noProof/>
                <w:szCs w:val="18"/>
              </w:rPr>
            </w:pPr>
            <w:r>
              <w:rPr>
                <w:noProof/>
              </w:rPr>
              <w:t>Digitalizace procesu dohledu a organizace řecké komise pro kapitálové trhy</w:t>
            </w:r>
          </w:p>
        </w:tc>
        <w:tc>
          <w:tcPr>
            <w:tcW w:w="1576" w:type="dxa"/>
            <w:tcBorders>
              <w:top w:val="nil"/>
              <w:left w:val="nil"/>
              <w:bottom w:val="single" w:sz="4" w:space="0" w:color="auto"/>
              <w:right w:val="single" w:sz="4" w:space="0" w:color="auto"/>
            </w:tcBorders>
            <w:shd w:val="clear" w:color="auto" w:fill="C6EFCE"/>
            <w:noWrap/>
          </w:tcPr>
          <w:p w14:paraId="06FCEE14" w14:textId="77777777" w:rsidR="00515398" w:rsidRDefault="006711E6">
            <w:pPr>
              <w:pStyle w:val="P68B1DB1-Normal9"/>
              <w:spacing w:after="0" w:line="240" w:lineRule="auto"/>
              <w:rPr>
                <w:rFonts w:eastAsia="Times New Roman" w:cs="Calibri"/>
                <w:noProof/>
                <w:szCs w:val="18"/>
              </w:rPr>
            </w:pPr>
            <w:r>
              <w:rPr>
                <w:noProof/>
              </w:rPr>
              <w:t>Zpráva o digitalizaci procesu dohledu a organizace řecké komise pro kapitálové trhy</w:t>
            </w:r>
          </w:p>
        </w:tc>
        <w:tc>
          <w:tcPr>
            <w:tcW w:w="968" w:type="dxa"/>
            <w:tcBorders>
              <w:top w:val="nil"/>
              <w:left w:val="nil"/>
              <w:bottom w:val="single" w:sz="4" w:space="0" w:color="auto"/>
              <w:right w:val="single" w:sz="4" w:space="0" w:color="auto"/>
            </w:tcBorders>
            <w:shd w:val="clear" w:color="auto" w:fill="C6EFCE"/>
            <w:noWrap/>
          </w:tcPr>
          <w:p w14:paraId="30461F74"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D3162BC"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AA5859D"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7B039E2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73" w:type="dxa"/>
            <w:tcBorders>
              <w:top w:val="nil"/>
              <w:left w:val="nil"/>
              <w:bottom w:val="single" w:sz="4" w:space="0" w:color="auto"/>
              <w:right w:val="single" w:sz="4" w:space="0" w:color="auto"/>
            </w:tcBorders>
            <w:shd w:val="clear" w:color="auto" w:fill="C6EFCE"/>
            <w:noWrap/>
          </w:tcPr>
          <w:p w14:paraId="54D7B20F" w14:textId="77777777" w:rsidR="00515398" w:rsidRDefault="006711E6">
            <w:pPr>
              <w:pStyle w:val="P68B1DB1-Normal9"/>
              <w:spacing w:after="0" w:line="240" w:lineRule="auto"/>
              <w:rPr>
                <w:rFonts w:eastAsia="Times New Roman" w:cs="Calibri"/>
                <w:noProof/>
                <w:szCs w:val="18"/>
              </w:rPr>
            </w:pPr>
            <w:r>
              <w:rPr>
                <w:noProof/>
              </w:rPr>
              <w:t>2025</w:t>
            </w:r>
          </w:p>
        </w:tc>
        <w:tc>
          <w:tcPr>
            <w:tcW w:w="5194" w:type="dxa"/>
            <w:tcBorders>
              <w:top w:val="nil"/>
              <w:left w:val="nil"/>
              <w:bottom w:val="single" w:sz="4" w:space="0" w:color="auto"/>
              <w:right w:val="single" w:sz="4" w:space="0" w:color="auto"/>
            </w:tcBorders>
            <w:shd w:val="clear" w:color="auto" w:fill="C6EFCE"/>
            <w:noWrap/>
          </w:tcPr>
          <w:p w14:paraId="71D6CC94" w14:textId="35ADE1E5" w:rsidR="00515398" w:rsidRDefault="006711E6">
            <w:pPr>
              <w:pStyle w:val="P68B1DB1-Normal10"/>
              <w:spacing w:before="120" w:after="0" w:line="240" w:lineRule="auto"/>
              <w:jc w:val="both"/>
              <w:rPr>
                <w:rFonts w:eastAsia="Times New Roman" w:cs="Calibri"/>
                <w:noProof/>
              </w:rPr>
            </w:pPr>
            <w:r>
              <w:rPr>
                <w:noProof/>
              </w:rPr>
              <w:t xml:space="preserve">1. Vypracování plánu a aktualizace postupů kybernetické bezpečnosti </w:t>
            </w:r>
            <w:r>
              <w:rPr>
                <w:noProof/>
              </w:rPr>
              <w:t xml:space="preserve">založených na tomto plánu, 2. Zřízení nebo pořízení IT infrastruktury a aplikací pro systematické přijímání, uchovávání, vyhledávání a řízení transakcí s údaji o akciových trzích a doplňkových informací pro vytváření a správu varování a zpráv o auditu; 3. </w:t>
            </w:r>
            <w:r>
              <w:rPr>
                <w:noProof/>
              </w:rPr>
              <w:t xml:space="preserve">Zavedení rozsáhlého informačního systému a integrace všech údajů, které v současné době (a v budoucnu) shromažďují zaměstnanci řecké komise pro kapitálové trhy, což umožní vícerozměrnou analýzu, přezkum a přehled stávajících tržních podmínek, které umožní </w:t>
            </w:r>
            <w:r>
              <w:rPr>
                <w:noProof/>
              </w:rPr>
              <w:t xml:space="preserve">doladění postupů a zásahů; 4. kodifikace regulačního a legislativního rámce pro kapitálové trhy s cílem posílit kapacitu dohledu kapitálového trhu. </w:t>
            </w:r>
          </w:p>
        </w:tc>
      </w:tr>
      <w:tr w:rsidR="00515398" w14:paraId="083FCCC5"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55F2CE91" w14:textId="77777777" w:rsidR="00515398" w:rsidRDefault="006711E6">
            <w:pPr>
              <w:pStyle w:val="P68B1DB1-Normal9"/>
              <w:spacing w:after="0" w:line="240" w:lineRule="auto"/>
              <w:rPr>
                <w:noProof/>
              </w:rPr>
            </w:pPr>
            <w:r>
              <w:rPr>
                <w:noProof/>
              </w:rPr>
              <w:t>244a</w:t>
            </w:r>
          </w:p>
        </w:tc>
        <w:tc>
          <w:tcPr>
            <w:tcW w:w="1942" w:type="dxa"/>
            <w:tcBorders>
              <w:top w:val="nil"/>
              <w:left w:val="nil"/>
              <w:bottom w:val="single" w:sz="4" w:space="0" w:color="auto"/>
              <w:right w:val="single" w:sz="4" w:space="0" w:color="auto"/>
            </w:tcBorders>
            <w:shd w:val="clear" w:color="auto" w:fill="C6EFCE"/>
            <w:noWrap/>
          </w:tcPr>
          <w:p w14:paraId="5EEB74EE" w14:textId="77777777" w:rsidR="00515398" w:rsidRDefault="006711E6">
            <w:pPr>
              <w:pStyle w:val="P68B1DB1-Normal9"/>
              <w:spacing w:after="0" w:line="240" w:lineRule="auto"/>
              <w:rPr>
                <w:noProof/>
              </w:rPr>
            </w:pPr>
            <w:r>
              <w:rPr>
                <w:noProof/>
              </w:rPr>
              <w:t xml:space="preserve">15–4.4. Posílení finančního sektoru a kapitálových trhů – 16957_ Posílení schopnosti finančního </w:t>
            </w:r>
            <w:r>
              <w:rPr>
                <w:noProof/>
              </w:rPr>
              <w:t>systému překonat výzvy z minulosti a financovat reálnou ekonomiku</w:t>
            </w:r>
          </w:p>
        </w:tc>
        <w:tc>
          <w:tcPr>
            <w:tcW w:w="966" w:type="dxa"/>
            <w:tcBorders>
              <w:top w:val="nil"/>
              <w:left w:val="nil"/>
              <w:bottom w:val="single" w:sz="4" w:space="0" w:color="auto"/>
              <w:right w:val="single" w:sz="4" w:space="0" w:color="auto"/>
            </w:tcBorders>
            <w:shd w:val="clear" w:color="auto" w:fill="C6EFCE"/>
            <w:noWrap/>
          </w:tcPr>
          <w:p w14:paraId="09F1A9A7" w14:textId="77777777" w:rsidR="00515398" w:rsidRDefault="006711E6">
            <w:pPr>
              <w:pStyle w:val="P68B1DB1-Normal9"/>
              <w:spacing w:after="0" w:line="240" w:lineRule="auto"/>
              <w:rPr>
                <w:noProof/>
              </w:rPr>
            </w:pPr>
            <w:r>
              <w:rPr>
                <w:noProof/>
              </w:rPr>
              <w:t>Milník</w:t>
            </w:r>
          </w:p>
        </w:tc>
        <w:tc>
          <w:tcPr>
            <w:tcW w:w="1253" w:type="dxa"/>
            <w:tcBorders>
              <w:top w:val="nil"/>
              <w:left w:val="nil"/>
              <w:bottom w:val="single" w:sz="4" w:space="0" w:color="auto"/>
              <w:right w:val="single" w:sz="4" w:space="0" w:color="auto"/>
            </w:tcBorders>
            <w:shd w:val="clear" w:color="auto" w:fill="C6EFCE"/>
            <w:noWrap/>
          </w:tcPr>
          <w:p w14:paraId="17062152" w14:textId="77777777" w:rsidR="00515398" w:rsidRDefault="006711E6">
            <w:pPr>
              <w:pStyle w:val="P68B1DB1-Normal9"/>
              <w:spacing w:after="0" w:line="240" w:lineRule="auto"/>
              <w:rPr>
                <w:noProof/>
              </w:rPr>
            </w:pPr>
            <w:r>
              <w:rPr>
                <w:noProof/>
              </w:rPr>
              <w:t>Elektronické dražby pro vymáhání pohledávek</w:t>
            </w:r>
          </w:p>
        </w:tc>
        <w:tc>
          <w:tcPr>
            <w:tcW w:w="1576" w:type="dxa"/>
            <w:tcBorders>
              <w:top w:val="nil"/>
              <w:left w:val="nil"/>
              <w:bottom w:val="single" w:sz="4" w:space="0" w:color="auto"/>
              <w:right w:val="single" w:sz="4" w:space="0" w:color="auto"/>
            </w:tcBorders>
            <w:shd w:val="clear" w:color="auto" w:fill="C6EFCE"/>
            <w:noWrap/>
          </w:tcPr>
          <w:p w14:paraId="6138FC5C" w14:textId="77777777" w:rsidR="00515398" w:rsidRDefault="006711E6">
            <w:pPr>
              <w:pStyle w:val="P68B1DB1-Normal9"/>
              <w:spacing w:after="0" w:line="240" w:lineRule="auto"/>
              <w:rPr>
                <w:noProof/>
              </w:rPr>
            </w:pPr>
            <w:r>
              <w:rPr>
                <w:noProof/>
              </w:rPr>
              <w:t xml:space="preserve">Vstup právních předpisů v platnost </w:t>
            </w:r>
          </w:p>
        </w:tc>
        <w:tc>
          <w:tcPr>
            <w:tcW w:w="968" w:type="dxa"/>
            <w:tcBorders>
              <w:top w:val="nil"/>
              <w:left w:val="nil"/>
              <w:bottom w:val="single" w:sz="4" w:space="0" w:color="auto"/>
              <w:right w:val="single" w:sz="4" w:space="0" w:color="auto"/>
            </w:tcBorders>
            <w:shd w:val="clear" w:color="auto" w:fill="C6EFCE"/>
            <w:noWrap/>
          </w:tcPr>
          <w:p w14:paraId="623650C1" w14:textId="77777777" w:rsidR="00515398" w:rsidRDefault="00515398">
            <w:pPr>
              <w:spacing w:after="0" w:line="240" w:lineRule="auto"/>
              <w:rPr>
                <w:noProof/>
                <w:color w:val="006100"/>
                <w:sz w:val="18"/>
              </w:rPr>
            </w:pPr>
          </w:p>
        </w:tc>
        <w:tc>
          <w:tcPr>
            <w:tcW w:w="857" w:type="dxa"/>
            <w:tcBorders>
              <w:top w:val="nil"/>
              <w:left w:val="nil"/>
              <w:bottom w:val="single" w:sz="4" w:space="0" w:color="auto"/>
              <w:right w:val="single" w:sz="4" w:space="0" w:color="auto"/>
            </w:tcBorders>
            <w:shd w:val="clear" w:color="auto" w:fill="C6EFCE"/>
            <w:noWrap/>
          </w:tcPr>
          <w:p w14:paraId="58C4D534" w14:textId="77777777" w:rsidR="00515398" w:rsidRDefault="00515398">
            <w:pPr>
              <w:spacing w:after="0" w:line="240" w:lineRule="auto"/>
              <w:rPr>
                <w:noProof/>
                <w:color w:val="006100"/>
                <w:sz w:val="18"/>
              </w:rPr>
            </w:pPr>
          </w:p>
        </w:tc>
        <w:tc>
          <w:tcPr>
            <w:tcW w:w="587" w:type="dxa"/>
            <w:tcBorders>
              <w:top w:val="nil"/>
              <w:left w:val="nil"/>
              <w:bottom w:val="single" w:sz="4" w:space="0" w:color="auto"/>
              <w:right w:val="single" w:sz="4" w:space="0" w:color="auto"/>
            </w:tcBorders>
            <w:shd w:val="clear" w:color="auto" w:fill="C6EFCE"/>
            <w:noWrap/>
          </w:tcPr>
          <w:p w14:paraId="1234049C" w14:textId="77777777" w:rsidR="00515398" w:rsidRDefault="00515398">
            <w:pPr>
              <w:spacing w:after="0" w:line="240" w:lineRule="auto"/>
              <w:rPr>
                <w:noProof/>
                <w:color w:val="006100"/>
                <w:sz w:val="18"/>
              </w:rPr>
            </w:pPr>
          </w:p>
        </w:tc>
        <w:tc>
          <w:tcPr>
            <w:tcW w:w="846" w:type="dxa"/>
            <w:tcBorders>
              <w:top w:val="nil"/>
              <w:left w:val="nil"/>
              <w:bottom w:val="single" w:sz="4" w:space="0" w:color="auto"/>
              <w:right w:val="single" w:sz="4" w:space="0" w:color="auto"/>
            </w:tcBorders>
            <w:shd w:val="clear" w:color="auto" w:fill="C6EFCE"/>
            <w:noWrap/>
          </w:tcPr>
          <w:p w14:paraId="70A18A8B" w14:textId="77777777" w:rsidR="00515398" w:rsidRDefault="006711E6">
            <w:pPr>
              <w:pStyle w:val="P68B1DB1-Normal9"/>
              <w:spacing w:after="0" w:line="240" w:lineRule="auto"/>
              <w:rPr>
                <w:noProof/>
              </w:rPr>
            </w:pPr>
            <w:r>
              <w:rPr>
                <w:noProof/>
              </w:rPr>
              <w:t>ČTVRTLETÍ</w:t>
            </w:r>
          </w:p>
        </w:tc>
        <w:tc>
          <w:tcPr>
            <w:tcW w:w="673" w:type="dxa"/>
            <w:tcBorders>
              <w:top w:val="nil"/>
              <w:left w:val="nil"/>
              <w:bottom w:val="single" w:sz="4" w:space="0" w:color="auto"/>
              <w:right w:val="single" w:sz="4" w:space="0" w:color="auto"/>
            </w:tcBorders>
            <w:shd w:val="clear" w:color="auto" w:fill="C6EFCE"/>
            <w:noWrap/>
          </w:tcPr>
          <w:p w14:paraId="004CE758" w14:textId="77777777" w:rsidR="00515398" w:rsidRDefault="006711E6">
            <w:pPr>
              <w:pStyle w:val="P68B1DB1-Normal9"/>
              <w:spacing w:after="0" w:line="240" w:lineRule="auto"/>
              <w:rPr>
                <w:noProof/>
              </w:rPr>
            </w:pPr>
            <w:r>
              <w:rPr>
                <w:noProof/>
              </w:rPr>
              <w:t>2024</w:t>
            </w:r>
          </w:p>
        </w:tc>
        <w:tc>
          <w:tcPr>
            <w:tcW w:w="5194" w:type="dxa"/>
            <w:tcBorders>
              <w:top w:val="nil"/>
              <w:left w:val="nil"/>
              <w:bottom w:val="single" w:sz="4" w:space="0" w:color="auto"/>
              <w:right w:val="single" w:sz="4" w:space="0" w:color="auto"/>
            </w:tcBorders>
            <w:shd w:val="clear" w:color="auto" w:fill="C6EFCE"/>
            <w:noWrap/>
          </w:tcPr>
          <w:p w14:paraId="2153BD5D" w14:textId="77777777" w:rsidR="00515398" w:rsidRDefault="006711E6">
            <w:pPr>
              <w:pStyle w:val="P68B1DB1-Normal9"/>
              <w:spacing w:after="0" w:line="240" w:lineRule="auto"/>
              <w:rPr>
                <w:noProof/>
              </w:rPr>
            </w:pPr>
            <w:r>
              <w:rPr>
                <w:noProof/>
              </w:rPr>
              <w:t>Přijetí a vstup v platnost právních předpisů s cílem:</w:t>
            </w:r>
          </w:p>
          <w:p w14:paraId="24945A93" w14:textId="77777777" w:rsidR="00515398" w:rsidRDefault="006711E6">
            <w:pPr>
              <w:pStyle w:val="P68B1DB1-ListParagraph20"/>
              <w:numPr>
                <w:ilvl w:val="0"/>
                <w:numId w:val="89"/>
              </w:numPr>
              <w:spacing w:after="0" w:line="240" w:lineRule="auto"/>
              <w:ind w:left="670" w:hanging="310"/>
              <w:rPr>
                <w:noProof/>
              </w:rPr>
            </w:pPr>
            <w:r>
              <w:rPr>
                <w:noProof/>
              </w:rPr>
              <w:t xml:space="preserve">Rozšíří dostupné informace o </w:t>
            </w:r>
            <w:r>
              <w:rPr>
                <w:noProof/>
              </w:rPr>
              <w:t>dražených aktivech na platformě elektronických dražeb, včetně příslušných informací dostupných ve veřejných archivech notářů;</w:t>
            </w:r>
          </w:p>
          <w:p w14:paraId="6A638DB2" w14:textId="77777777" w:rsidR="00515398" w:rsidRDefault="006711E6">
            <w:pPr>
              <w:pStyle w:val="P68B1DB1-ListParagraph20"/>
              <w:numPr>
                <w:ilvl w:val="0"/>
                <w:numId w:val="89"/>
              </w:numPr>
              <w:spacing w:after="0" w:line="240" w:lineRule="auto"/>
              <w:ind w:left="670" w:hanging="310"/>
              <w:rPr>
                <w:noProof/>
              </w:rPr>
            </w:pPr>
            <w:r>
              <w:rPr>
                <w:noProof/>
              </w:rPr>
              <w:t>Odstranění odrazujících faktorů způsobených dluhy souvisejícími s nemovitostmi po splatnosti (např. účty za veřejné služby).</w:t>
            </w:r>
          </w:p>
        </w:tc>
      </w:tr>
      <w:tr w:rsidR="00515398" w14:paraId="41300807" w14:textId="77777777">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14:paraId="129F52A6" w14:textId="77777777" w:rsidR="00515398" w:rsidRDefault="006711E6">
            <w:pPr>
              <w:pStyle w:val="P68B1DB1-Normal9"/>
              <w:spacing w:after="0" w:line="240" w:lineRule="auto"/>
              <w:rPr>
                <w:noProof/>
              </w:rPr>
            </w:pPr>
            <w:r>
              <w:rPr>
                <w:noProof/>
              </w:rPr>
              <w:t>244b</w:t>
            </w:r>
          </w:p>
        </w:tc>
        <w:tc>
          <w:tcPr>
            <w:tcW w:w="1942" w:type="dxa"/>
            <w:tcBorders>
              <w:top w:val="nil"/>
              <w:left w:val="nil"/>
              <w:bottom w:val="single" w:sz="4" w:space="0" w:color="auto"/>
              <w:right w:val="single" w:sz="4" w:space="0" w:color="auto"/>
            </w:tcBorders>
            <w:shd w:val="clear" w:color="auto" w:fill="C6EFCE"/>
            <w:noWrap/>
          </w:tcPr>
          <w:p w14:paraId="05325CCF" w14:textId="77777777" w:rsidR="00515398" w:rsidRDefault="006711E6">
            <w:pPr>
              <w:pStyle w:val="P68B1DB1-Normal9"/>
              <w:spacing w:after="0" w:line="240" w:lineRule="auto"/>
              <w:rPr>
                <w:noProof/>
              </w:rPr>
            </w:pPr>
            <w:r>
              <w:rPr>
                <w:noProof/>
              </w:rPr>
              <w:t>15–4.4. Posílení finančního sektoru a kapitálových trhů – 16957_ Posílení schopnosti finančního systému překonat výzvy z minulosti a financovat reálnou ekonomiku</w:t>
            </w:r>
          </w:p>
        </w:tc>
        <w:tc>
          <w:tcPr>
            <w:tcW w:w="966" w:type="dxa"/>
            <w:tcBorders>
              <w:top w:val="nil"/>
              <w:left w:val="nil"/>
              <w:bottom w:val="single" w:sz="4" w:space="0" w:color="auto"/>
              <w:right w:val="single" w:sz="4" w:space="0" w:color="auto"/>
            </w:tcBorders>
            <w:shd w:val="clear" w:color="auto" w:fill="C6EFCE"/>
            <w:noWrap/>
          </w:tcPr>
          <w:p w14:paraId="781F3502" w14:textId="77777777" w:rsidR="00515398" w:rsidRDefault="006711E6">
            <w:pPr>
              <w:pStyle w:val="P68B1DB1-Normal9"/>
              <w:spacing w:after="0" w:line="240" w:lineRule="auto"/>
              <w:rPr>
                <w:noProof/>
              </w:rPr>
            </w:pPr>
            <w:r>
              <w:rPr>
                <w:noProof/>
              </w:rPr>
              <w:t>Milník</w:t>
            </w:r>
          </w:p>
        </w:tc>
        <w:tc>
          <w:tcPr>
            <w:tcW w:w="1253" w:type="dxa"/>
            <w:tcBorders>
              <w:top w:val="nil"/>
              <w:left w:val="nil"/>
              <w:bottom w:val="single" w:sz="4" w:space="0" w:color="auto"/>
              <w:right w:val="single" w:sz="4" w:space="0" w:color="auto"/>
            </w:tcBorders>
            <w:shd w:val="clear" w:color="auto" w:fill="C6EFCE"/>
            <w:noWrap/>
          </w:tcPr>
          <w:p w14:paraId="60417653" w14:textId="77777777" w:rsidR="00515398" w:rsidRDefault="006711E6">
            <w:pPr>
              <w:pStyle w:val="P68B1DB1-Normal9"/>
              <w:spacing w:after="0" w:line="240" w:lineRule="auto"/>
              <w:rPr>
                <w:noProof/>
              </w:rPr>
            </w:pPr>
            <w:r>
              <w:rPr>
                <w:noProof/>
              </w:rPr>
              <w:t xml:space="preserve">Zadávání zakázek na opatření finančního sektoru </w:t>
            </w:r>
          </w:p>
        </w:tc>
        <w:tc>
          <w:tcPr>
            <w:tcW w:w="1576" w:type="dxa"/>
            <w:tcBorders>
              <w:top w:val="nil"/>
              <w:left w:val="nil"/>
              <w:bottom w:val="single" w:sz="4" w:space="0" w:color="auto"/>
              <w:right w:val="single" w:sz="4" w:space="0" w:color="auto"/>
            </w:tcBorders>
            <w:shd w:val="clear" w:color="auto" w:fill="C6EFCE"/>
            <w:noWrap/>
          </w:tcPr>
          <w:p w14:paraId="4A653DDF" w14:textId="77777777" w:rsidR="00515398" w:rsidRDefault="006711E6">
            <w:pPr>
              <w:pStyle w:val="P68B1DB1-Normal9"/>
              <w:spacing w:after="0" w:line="240" w:lineRule="auto"/>
              <w:rPr>
                <w:noProof/>
              </w:rPr>
            </w:pPr>
            <w:r>
              <w:rPr>
                <w:noProof/>
              </w:rPr>
              <w:t>Oznámení o zadání zakázek</w:t>
            </w:r>
          </w:p>
        </w:tc>
        <w:tc>
          <w:tcPr>
            <w:tcW w:w="968" w:type="dxa"/>
            <w:tcBorders>
              <w:top w:val="nil"/>
              <w:left w:val="nil"/>
              <w:bottom w:val="single" w:sz="4" w:space="0" w:color="auto"/>
              <w:right w:val="single" w:sz="4" w:space="0" w:color="auto"/>
            </w:tcBorders>
            <w:shd w:val="clear" w:color="auto" w:fill="C6EFCE"/>
            <w:noWrap/>
          </w:tcPr>
          <w:p w14:paraId="2903672F" w14:textId="77777777" w:rsidR="00515398" w:rsidRDefault="00515398">
            <w:pPr>
              <w:spacing w:after="0" w:line="240" w:lineRule="auto"/>
              <w:rPr>
                <w:noProof/>
                <w:color w:val="006100"/>
                <w:sz w:val="18"/>
              </w:rPr>
            </w:pPr>
          </w:p>
        </w:tc>
        <w:tc>
          <w:tcPr>
            <w:tcW w:w="857" w:type="dxa"/>
            <w:tcBorders>
              <w:top w:val="nil"/>
              <w:left w:val="nil"/>
              <w:bottom w:val="single" w:sz="4" w:space="0" w:color="auto"/>
              <w:right w:val="single" w:sz="4" w:space="0" w:color="auto"/>
            </w:tcBorders>
            <w:shd w:val="clear" w:color="auto" w:fill="C6EFCE"/>
            <w:noWrap/>
          </w:tcPr>
          <w:p w14:paraId="029A4162" w14:textId="77777777" w:rsidR="00515398" w:rsidRDefault="00515398">
            <w:pPr>
              <w:spacing w:after="0" w:line="240" w:lineRule="auto"/>
              <w:rPr>
                <w:noProof/>
                <w:color w:val="006100"/>
                <w:sz w:val="18"/>
              </w:rPr>
            </w:pPr>
          </w:p>
        </w:tc>
        <w:tc>
          <w:tcPr>
            <w:tcW w:w="587" w:type="dxa"/>
            <w:tcBorders>
              <w:top w:val="nil"/>
              <w:left w:val="nil"/>
              <w:bottom w:val="single" w:sz="4" w:space="0" w:color="auto"/>
              <w:right w:val="single" w:sz="4" w:space="0" w:color="auto"/>
            </w:tcBorders>
            <w:shd w:val="clear" w:color="auto" w:fill="C6EFCE"/>
            <w:noWrap/>
          </w:tcPr>
          <w:p w14:paraId="72CAEEC4" w14:textId="77777777" w:rsidR="00515398" w:rsidRDefault="00515398">
            <w:pPr>
              <w:spacing w:after="0" w:line="240" w:lineRule="auto"/>
              <w:rPr>
                <w:noProof/>
                <w:color w:val="006100"/>
                <w:sz w:val="18"/>
              </w:rPr>
            </w:pPr>
          </w:p>
        </w:tc>
        <w:tc>
          <w:tcPr>
            <w:tcW w:w="846" w:type="dxa"/>
            <w:tcBorders>
              <w:top w:val="nil"/>
              <w:left w:val="nil"/>
              <w:bottom w:val="single" w:sz="4" w:space="0" w:color="auto"/>
              <w:right w:val="single" w:sz="4" w:space="0" w:color="auto"/>
            </w:tcBorders>
            <w:shd w:val="clear" w:color="auto" w:fill="C6EFCE"/>
            <w:noWrap/>
          </w:tcPr>
          <w:p w14:paraId="6E36CED0" w14:textId="77777777" w:rsidR="00515398" w:rsidRDefault="006711E6">
            <w:pPr>
              <w:pStyle w:val="P68B1DB1-Normal9"/>
              <w:spacing w:after="0" w:line="240" w:lineRule="auto"/>
              <w:rPr>
                <w:noProof/>
              </w:rPr>
            </w:pPr>
            <w:r>
              <w:rPr>
                <w:noProof/>
              </w:rPr>
              <w:t>ČTVRTLETÍ</w:t>
            </w:r>
          </w:p>
        </w:tc>
        <w:tc>
          <w:tcPr>
            <w:tcW w:w="673" w:type="dxa"/>
            <w:tcBorders>
              <w:top w:val="nil"/>
              <w:left w:val="nil"/>
              <w:bottom w:val="single" w:sz="4" w:space="0" w:color="auto"/>
              <w:right w:val="single" w:sz="4" w:space="0" w:color="auto"/>
            </w:tcBorders>
            <w:shd w:val="clear" w:color="auto" w:fill="C6EFCE"/>
            <w:noWrap/>
          </w:tcPr>
          <w:p w14:paraId="47A8EAD6" w14:textId="77777777" w:rsidR="00515398" w:rsidRDefault="006711E6">
            <w:pPr>
              <w:pStyle w:val="P68B1DB1-Normal9"/>
              <w:spacing w:after="0" w:line="240" w:lineRule="auto"/>
              <w:rPr>
                <w:noProof/>
              </w:rPr>
            </w:pPr>
            <w:r>
              <w:rPr>
                <w:noProof/>
              </w:rPr>
              <w:t>2024</w:t>
            </w:r>
          </w:p>
        </w:tc>
        <w:tc>
          <w:tcPr>
            <w:tcW w:w="5194" w:type="dxa"/>
            <w:tcBorders>
              <w:top w:val="nil"/>
              <w:left w:val="nil"/>
              <w:bottom w:val="single" w:sz="4" w:space="0" w:color="auto"/>
              <w:right w:val="single" w:sz="4" w:space="0" w:color="auto"/>
            </w:tcBorders>
            <w:shd w:val="clear" w:color="auto" w:fill="C6EFCE"/>
            <w:noWrap/>
          </w:tcPr>
          <w:p w14:paraId="3645F586" w14:textId="77777777" w:rsidR="00515398" w:rsidRDefault="006711E6">
            <w:pPr>
              <w:pStyle w:val="P68B1DB1-Normal9"/>
              <w:spacing w:after="0" w:line="240" w:lineRule="auto"/>
              <w:rPr>
                <w:noProof/>
              </w:rPr>
            </w:pPr>
            <w:r>
              <w:rPr>
                <w:noProof/>
              </w:rPr>
              <w:t>Zadání zakázky na:</w:t>
            </w:r>
          </w:p>
          <w:p w14:paraId="34E8F118" w14:textId="77D37B94" w:rsidR="00515398" w:rsidRDefault="006711E6">
            <w:pPr>
              <w:pStyle w:val="P68B1DB1-ListParagraph38"/>
              <w:numPr>
                <w:ilvl w:val="0"/>
                <w:numId w:val="85"/>
              </w:numPr>
              <w:spacing w:after="0" w:line="240" w:lineRule="auto"/>
              <w:rPr>
                <w:rFonts w:asciiTheme="minorHAnsi" w:eastAsiaTheme="minorEastAsia" w:hAnsiTheme="minorHAnsi" w:cstheme="minorBidi"/>
                <w:noProof/>
              </w:rPr>
            </w:pPr>
            <w:r>
              <w:rPr>
                <w:noProof/>
              </w:rPr>
              <w:t xml:space="preserve">Vývoj veřejného </w:t>
            </w:r>
            <w:r>
              <w:rPr>
                <w:rFonts w:asciiTheme="minorHAnsi" w:eastAsiaTheme="minorEastAsia" w:hAnsiTheme="minorHAnsi" w:cstheme="minorBidi"/>
                <w:noProof/>
              </w:rPr>
              <w:t xml:space="preserve">informačního systému úvěrového ratingu; </w:t>
            </w:r>
          </w:p>
          <w:p w14:paraId="6775F045" w14:textId="77777777" w:rsidR="00515398" w:rsidRDefault="006711E6">
            <w:pPr>
              <w:pStyle w:val="P68B1DB1-ListParagraph20"/>
              <w:numPr>
                <w:ilvl w:val="0"/>
                <w:numId w:val="85"/>
              </w:numPr>
              <w:spacing w:after="0" w:line="240" w:lineRule="auto"/>
              <w:rPr>
                <w:noProof/>
              </w:rPr>
            </w:pPr>
            <w:r>
              <w:rPr>
                <w:noProof/>
              </w:rPr>
              <w:t>Vytvoření registru pro sledování soukromého dluhu;</w:t>
            </w:r>
          </w:p>
          <w:p w14:paraId="328F7D01" w14:textId="77777777" w:rsidR="00515398" w:rsidRDefault="006711E6">
            <w:pPr>
              <w:pStyle w:val="P68B1DB1-ListParagraph20"/>
              <w:numPr>
                <w:ilvl w:val="0"/>
                <w:numId w:val="85"/>
              </w:numPr>
              <w:spacing w:after="0" w:line="240" w:lineRule="auto"/>
              <w:rPr>
                <w:noProof/>
              </w:rPr>
            </w:pPr>
            <w:r>
              <w:rPr>
                <w:noProof/>
              </w:rPr>
              <w:t>Vytvoření ústředního registru úvěrů.</w:t>
            </w:r>
          </w:p>
          <w:p w14:paraId="45BB6575" w14:textId="77777777" w:rsidR="00515398" w:rsidRDefault="00515398">
            <w:pPr>
              <w:spacing w:after="0" w:line="240" w:lineRule="auto"/>
              <w:rPr>
                <w:noProof/>
                <w:color w:val="006100"/>
                <w:sz w:val="18"/>
              </w:rPr>
            </w:pPr>
          </w:p>
        </w:tc>
      </w:tr>
      <w:tr w:rsidR="00515398" w14:paraId="3C491FF7" w14:textId="77777777">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AB0DC2B" w14:textId="77777777" w:rsidR="00515398" w:rsidRDefault="006711E6">
            <w:pPr>
              <w:pStyle w:val="P68B1DB1-Normal9"/>
              <w:spacing w:after="0" w:line="240" w:lineRule="auto"/>
              <w:rPr>
                <w:noProof/>
              </w:rPr>
            </w:pPr>
            <w:r>
              <w:rPr>
                <w:noProof/>
              </w:rPr>
              <w:t>244c</w:t>
            </w:r>
          </w:p>
        </w:tc>
        <w:tc>
          <w:tcPr>
            <w:tcW w:w="1942" w:type="dxa"/>
            <w:tcBorders>
              <w:top w:val="single" w:sz="4" w:space="0" w:color="auto"/>
              <w:left w:val="single" w:sz="4" w:space="0" w:color="auto"/>
              <w:bottom w:val="single" w:sz="4" w:space="0" w:color="auto"/>
              <w:right w:val="single" w:sz="4" w:space="0" w:color="auto"/>
            </w:tcBorders>
            <w:shd w:val="clear" w:color="auto" w:fill="C6EFCE"/>
            <w:noWrap/>
          </w:tcPr>
          <w:p w14:paraId="1DFB3F7B" w14:textId="77777777" w:rsidR="00515398" w:rsidRDefault="006711E6">
            <w:pPr>
              <w:pStyle w:val="P68B1DB1-Normal9"/>
              <w:spacing w:after="0" w:line="240" w:lineRule="auto"/>
              <w:rPr>
                <w:noProof/>
              </w:rPr>
            </w:pPr>
            <w:r>
              <w:rPr>
                <w:noProof/>
              </w:rPr>
              <w:t xml:space="preserve">15–4.4. Posílení finančního sektoru a kapitálových trhů – 16957_ </w:t>
            </w:r>
            <w:r>
              <w:rPr>
                <w:noProof/>
              </w:rPr>
              <w:t>Posílení schopnosti finančního systému překonat výzvy z minulosti a financovat reálnou ekonomiku</w:t>
            </w:r>
          </w:p>
        </w:tc>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ABF0DB3" w14:textId="77777777" w:rsidR="00515398" w:rsidRDefault="006711E6">
            <w:pPr>
              <w:pStyle w:val="P68B1DB1-Normal9"/>
              <w:spacing w:after="0" w:line="240" w:lineRule="auto"/>
              <w:rPr>
                <w:noProof/>
              </w:rPr>
            </w:pPr>
            <w:r>
              <w:rPr>
                <w:noProof/>
              </w:rPr>
              <w:t>Milník</w:t>
            </w:r>
          </w:p>
        </w:tc>
        <w:tc>
          <w:tcPr>
            <w:tcW w:w="1253" w:type="dxa"/>
            <w:tcBorders>
              <w:top w:val="single" w:sz="4" w:space="0" w:color="auto"/>
              <w:left w:val="single" w:sz="4" w:space="0" w:color="auto"/>
              <w:bottom w:val="single" w:sz="4" w:space="0" w:color="auto"/>
              <w:right w:val="single" w:sz="4" w:space="0" w:color="auto"/>
            </w:tcBorders>
            <w:shd w:val="clear" w:color="auto" w:fill="C6EFCE"/>
            <w:noWrap/>
          </w:tcPr>
          <w:p w14:paraId="1E7D78D3" w14:textId="77777777" w:rsidR="00515398" w:rsidRDefault="006711E6">
            <w:pPr>
              <w:pStyle w:val="P68B1DB1-Normal9"/>
              <w:spacing w:after="0" w:line="240" w:lineRule="auto"/>
              <w:rPr>
                <w:noProof/>
              </w:rPr>
            </w:pPr>
            <w:r>
              <w:rPr>
                <w:noProof/>
              </w:rPr>
              <w:t>Dokončení politických opatření národní strategie pro řízení soukromého dluhu, zřízení centrálního registru úvěrů</w:t>
            </w:r>
          </w:p>
        </w:tc>
        <w:tc>
          <w:tcPr>
            <w:tcW w:w="1576" w:type="dxa"/>
            <w:tcBorders>
              <w:top w:val="single" w:sz="4" w:space="0" w:color="auto"/>
              <w:left w:val="single" w:sz="4" w:space="0" w:color="auto"/>
              <w:bottom w:val="single" w:sz="4" w:space="0" w:color="auto"/>
              <w:right w:val="single" w:sz="4" w:space="0" w:color="auto"/>
            </w:tcBorders>
            <w:shd w:val="clear" w:color="auto" w:fill="C6EFCE"/>
            <w:noWrap/>
          </w:tcPr>
          <w:p w14:paraId="4E91069A" w14:textId="77777777" w:rsidR="00515398" w:rsidRDefault="006711E6">
            <w:pPr>
              <w:pStyle w:val="P68B1DB1-Normal9"/>
              <w:spacing w:after="0" w:line="240" w:lineRule="auto"/>
              <w:rPr>
                <w:noProof/>
              </w:rPr>
            </w:pPr>
            <w:r>
              <w:rPr>
                <w:noProof/>
              </w:rPr>
              <w:t xml:space="preserve">Zpráva o tom, že všechna opatření jsou </w:t>
            </w:r>
            <w:r>
              <w:rPr>
                <w:noProof/>
              </w:rPr>
              <w:t>dokončena, včetně případného vstupu příslušných právních předpisů v platnost</w:t>
            </w:r>
          </w:p>
        </w:tc>
        <w:tc>
          <w:tcPr>
            <w:tcW w:w="968" w:type="dxa"/>
            <w:tcBorders>
              <w:top w:val="single" w:sz="4" w:space="0" w:color="auto"/>
              <w:left w:val="single" w:sz="4" w:space="0" w:color="auto"/>
              <w:bottom w:val="single" w:sz="4" w:space="0" w:color="auto"/>
              <w:right w:val="single" w:sz="4" w:space="0" w:color="auto"/>
            </w:tcBorders>
            <w:shd w:val="clear" w:color="auto" w:fill="C6EFCE"/>
            <w:noWrap/>
          </w:tcPr>
          <w:p w14:paraId="2CB71485" w14:textId="77777777" w:rsidR="00515398" w:rsidRDefault="00515398">
            <w:pPr>
              <w:spacing w:after="0" w:line="240" w:lineRule="auto"/>
              <w:rPr>
                <w:noProof/>
                <w:color w:val="006100"/>
                <w:sz w:val="18"/>
              </w:rPr>
            </w:pPr>
          </w:p>
        </w:tc>
        <w:tc>
          <w:tcPr>
            <w:tcW w:w="857" w:type="dxa"/>
            <w:tcBorders>
              <w:top w:val="single" w:sz="4" w:space="0" w:color="auto"/>
              <w:left w:val="single" w:sz="4" w:space="0" w:color="auto"/>
              <w:bottom w:val="single" w:sz="4" w:space="0" w:color="auto"/>
              <w:right w:val="single" w:sz="4" w:space="0" w:color="auto"/>
            </w:tcBorders>
            <w:shd w:val="clear" w:color="auto" w:fill="C6EFCE"/>
            <w:noWrap/>
          </w:tcPr>
          <w:p w14:paraId="069AEC3D" w14:textId="77777777" w:rsidR="00515398" w:rsidRDefault="00515398">
            <w:pPr>
              <w:spacing w:after="0" w:line="240" w:lineRule="auto"/>
              <w:rPr>
                <w:noProof/>
                <w:color w:val="006100"/>
                <w:sz w:val="18"/>
              </w:rPr>
            </w:pPr>
          </w:p>
        </w:tc>
        <w:tc>
          <w:tcPr>
            <w:tcW w:w="587" w:type="dxa"/>
            <w:tcBorders>
              <w:top w:val="single" w:sz="4" w:space="0" w:color="auto"/>
              <w:left w:val="single" w:sz="4" w:space="0" w:color="auto"/>
              <w:bottom w:val="single" w:sz="4" w:space="0" w:color="auto"/>
              <w:right w:val="single" w:sz="4" w:space="0" w:color="auto"/>
            </w:tcBorders>
            <w:shd w:val="clear" w:color="auto" w:fill="C6EFCE"/>
            <w:noWrap/>
          </w:tcPr>
          <w:p w14:paraId="0065A34D" w14:textId="77777777" w:rsidR="00515398" w:rsidRDefault="00515398">
            <w:pPr>
              <w:spacing w:after="0" w:line="240" w:lineRule="auto"/>
              <w:rPr>
                <w:noProof/>
                <w:color w:val="006100"/>
                <w:sz w:val="18"/>
              </w:rPr>
            </w:pPr>
          </w:p>
        </w:tc>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56366ADB" w14:textId="77777777" w:rsidR="00515398" w:rsidRDefault="006711E6">
            <w:pPr>
              <w:pStyle w:val="P68B1DB1-Normal9"/>
              <w:spacing w:after="0" w:line="240" w:lineRule="auto"/>
              <w:rPr>
                <w:noProof/>
              </w:rPr>
            </w:pPr>
            <w:r>
              <w:rPr>
                <w:noProof/>
              </w:rPr>
              <w:t>ČTVRTLETÍ ČTVRT</w:t>
            </w:r>
          </w:p>
        </w:tc>
        <w:tc>
          <w:tcPr>
            <w:tcW w:w="673" w:type="dxa"/>
            <w:tcBorders>
              <w:top w:val="single" w:sz="4" w:space="0" w:color="auto"/>
              <w:left w:val="single" w:sz="4" w:space="0" w:color="auto"/>
              <w:bottom w:val="single" w:sz="4" w:space="0" w:color="auto"/>
              <w:right w:val="single" w:sz="4" w:space="0" w:color="auto"/>
            </w:tcBorders>
            <w:shd w:val="clear" w:color="auto" w:fill="C6EFCE"/>
            <w:noWrap/>
          </w:tcPr>
          <w:p w14:paraId="00AE4202" w14:textId="77777777" w:rsidR="00515398" w:rsidRDefault="006711E6">
            <w:pPr>
              <w:pStyle w:val="P68B1DB1-Normal9"/>
              <w:spacing w:after="0" w:line="240" w:lineRule="auto"/>
              <w:rPr>
                <w:noProof/>
              </w:rPr>
            </w:pPr>
            <w:r>
              <w:rPr>
                <w:noProof/>
              </w:rPr>
              <w:t>2025</w:t>
            </w:r>
          </w:p>
        </w:tc>
        <w:tc>
          <w:tcPr>
            <w:tcW w:w="5194" w:type="dxa"/>
            <w:tcBorders>
              <w:top w:val="single" w:sz="4" w:space="0" w:color="auto"/>
              <w:left w:val="single" w:sz="4" w:space="0" w:color="auto"/>
              <w:bottom w:val="single" w:sz="4" w:space="0" w:color="auto"/>
              <w:right w:val="single" w:sz="4" w:space="0" w:color="auto"/>
            </w:tcBorders>
            <w:shd w:val="clear" w:color="auto" w:fill="C6EFCE"/>
            <w:noWrap/>
          </w:tcPr>
          <w:p w14:paraId="3826FE8D" w14:textId="77777777" w:rsidR="00515398" w:rsidRDefault="006711E6">
            <w:pPr>
              <w:pStyle w:val="P68B1DB1-ListParagraph20"/>
              <w:numPr>
                <w:ilvl w:val="0"/>
                <w:numId w:val="87"/>
              </w:numPr>
              <w:spacing w:after="0" w:line="240" w:lineRule="auto"/>
              <w:ind w:left="113" w:hanging="142"/>
              <w:rPr>
                <w:noProof/>
              </w:rPr>
            </w:pPr>
            <w:r>
              <w:rPr>
                <w:noProof/>
              </w:rPr>
              <w:t xml:space="preserve"> Dokončení politických opatření plánovaných v rámci národní strategie pro řízení soukromého dluhu, zejména prostřednictvím:   </w:t>
            </w:r>
          </w:p>
          <w:p w14:paraId="4B002710" w14:textId="77777777" w:rsidR="00515398" w:rsidRDefault="00515398">
            <w:pPr>
              <w:spacing w:after="0" w:line="240" w:lineRule="auto"/>
              <w:rPr>
                <w:noProof/>
                <w:color w:val="006100"/>
                <w:sz w:val="18"/>
              </w:rPr>
            </w:pPr>
          </w:p>
          <w:p w14:paraId="5FE76CD3" w14:textId="2C98BB39" w:rsidR="00515398" w:rsidRDefault="006711E6">
            <w:pPr>
              <w:pStyle w:val="P68B1DB1-ListParagraph38"/>
              <w:numPr>
                <w:ilvl w:val="1"/>
                <w:numId w:val="88"/>
              </w:numPr>
              <w:spacing w:after="0" w:line="240" w:lineRule="auto"/>
              <w:ind w:left="397" w:hanging="284"/>
              <w:rPr>
                <w:noProof/>
              </w:rPr>
            </w:pPr>
            <w:r>
              <w:rPr>
                <w:noProof/>
              </w:rPr>
              <w:t>Zřízení informačního systém</w:t>
            </w:r>
            <w:r>
              <w:rPr>
                <w:noProof/>
              </w:rPr>
              <w:t>u</w:t>
            </w:r>
            <w:r>
              <w:rPr>
                <w:rFonts w:asciiTheme="minorHAnsi" w:eastAsiaTheme="minorEastAsia" w:hAnsiTheme="minorHAnsi" w:cstheme="minorBidi"/>
                <w:noProof/>
              </w:rPr>
              <w:t xml:space="preserve">Public pro úvěrové ratingy (PCRIS). </w:t>
            </w:r>
            <w:r>
              <w:rPr>
                <w:noProof/>
              </w:rPr>
              <w:t xml:space="preserve">Jeho součástí je vývoj informačního systému, který obsahuje centrální databázi a jednotný ratingový systém pro hodnocení úvěruschopnosti dlužníků (jednotlivců a právnických osob) na základě údajů veřejného sektoru. </w:t>
            </w:r>
          </w:p>
          <w:p w14:paraId="4C46B697" w14:textId="77777777" w:rsidR="00515398" w:rsidRDefault="00515398">
            <w:pPr>
              <w:spacing w:after="0" w:line="240" w:lineRule="auto"/>
              <w:rPr>
                <w:noProof/>
                <w:color w:val="006100"/>
                <w:sz w:val="18"/>
              </w:rPr>
            </w:pPr>
          </w:p>
          <w:p w14:paraId="4FD793D3" w14:textId="77777777" w:rsidR="00515398" w:rsidRDefault="006711E6">
            <w:pPr>
              <w:pStyle w:val="P68B1DB1-ListParagraph20"/>
              <w:numPr>
                <w:ilvl w:val="1"/>
                <w:numId w:val="88"/>
              </w:numPr>
              <w:spacing w:after="0" w:line="240" w:lineRule="auto"/>
              <w:ind w:left="397" w:hanging="284"/>
              <w:rPr>
                <w:noProof/>
              </w:rPr>
            </w:pPr>
            <w:r>
              <w:rPr>
                <w:noProof/>
              </w:rPr>
              <w:t>Sp</w:t>
            </w:r>
            <w:r>
              <w:rPr>
                <w:noProof/>
              </w:rPr>
              <w:t>uštění informačního systému pro registr soukromého sledování dluhu, který shromažďuje údaje od veřejných a soukromých věřitelů, jakož i z jiných relevantních zdrojů.</w:t>
            </w:r>
          </w:p>
          <w:p w14:paraId="1C4EDEBF" w14:textId="77777777" w:rsidR="00515398" w:rsidRDefault="00515398">
            <w:pPr>
              <w:spacing w:after="0" w:line="240" w:lineRule="auto"/>
              <w:rPr>
                <w:noProof/>
                <w:color w:val="006100"/>
                <w:sz w:val="18"/>
              </w:rPr>
            </w:pPr>
          </w:p>
          <w:p w14:paraId="18C3F7BE" w14:textId="77777777" w:rsidR="00515398" w:rsidRDefault="006711E6">
            <w:pPr>
              <w:pStyle w:val="P68B1DB1-ListParagraph20"/>
              <w:numPr>
                <w:ilvl w:val="1"/>
                <w:numId w:val="88"/>
              </w:numPr>
              <w:spacing w:after="0" w:line="240" w:lineRule="auto"/>
              <w:ind w:left="397" w:hanging="284"/>
              <w:rPr>
                <w:noProof/>
              </w:rPr>
            </w:pPr>
            <w:r>
              <w:rPr>
                <w:noProof/>
              </w:rPr>
              <w:t xml:space="preserve">Usnadnění transakcí s úvěry se selháním prostřednictvím těchto opatření: </w:t>
            </w:r>
          </w:p>
          <w:p w14:paraId="7E30E708" w14:textId="56AB88C2" w:rsidR="00515398" w:rsidRDefault="006711E6">
            <w:pPr>
              <w:pStyle w:val="P68B1DB1-ListParagraph38"/>
              <w:numPr>
                <w:ilvl w:val="0"/>
                <w:numId w:val="86"/>
              </w:numPr>
              <w:spacing w:after="0" w:line="240" w:lineRule="auto"/>
              <w:ind w:left="851" w:hanging="567"/>
              <w:rPr>
                <w:noProof/>
              </w:rPr>
            </w:pPr>
            <w:r>
              <w:rPr>
                <w:noProof/>
              </w:rPr>
              <w:t>Vytvoření a podpora používání společné šablony údajů pro transakce s úvěry se selháním, včetně úvěrů se selháním, které se po restrukturalizaci staly znovu splácenými, která by doplňovala stávající šablonu EBA;</w:t>
            </w:r>
          </w:p>
          <w:p w14:paraId="351C0CE0" w14:textId="77777777" w:rsidR="00515398" w:rsidRDefault="006711E6">
            <w:pPr>
              <w:pStyle w:val="P68B1DB1-ListParagraph20"/>
              <w:numPr>
                <w:ilvl w:val="0"/>
                <w:numId w:val="86"/>
              </w:numPr>
              <w:spacing w:after="0" w:line="240" w:lineRule="auto"/>
              <w:ind w:left="851" w:hanging="567"/>
              <w:rPr>
                <w:noProof/>
              </w:rPr>
            </w:pPr>
            <w:r>
              <w:rPr>
                <w:noProof/>
              </w:rPr>
              <w:t xml:space="preserve">Vytvoření společné šablony pro prověřování a </w:t>
            </w:r>
            <w:r>
              <w:rPr>
                <w:noProof/>
              </w:rPr>
              <w:t>hodnocení portfolia;</w:t>
            </w:r>
          </w:p>
          <w:p w14:paraId="1026C7AB" w14:textId="77777777" w:rsidR="00515398" w:rsidRDefault="006711E6">
            <w:pPr>
              <w:pStyle w:val="P68B1DB1-ListParagraph20"/>
              <w:numPr>
                <w:ilvl w:val="0"/>
                <w:numId w:val="86"/>
              </w:numPr>
              <w:spacing w:after="0" w:line="240" w:lineRule="auto"/>
              <w:ind w:left="851" w:hanging="567"/>
              <w:rPr>
                <w:noProof/>
              </w:rPr>
            </w:pPr>
            <w:r>
              <w:rPr>
                <w:noProof/>
              </w:rPr>
              <w:t>Spuštění transakční platformy pro portfolia úvěrů se selháním s cílem pomoci prodávajícím a kupujícím vyměňovat si informace a podávat nabídky účinným a důvěrným způsobem, s přihlédnutím ke stávajícím řešením na trhu.</w:t>
            </w:r>
          </w:p>
          <w:p w14:paraId="3AC699E1" w14:textId="77777777" w:rsidR="00515398" w:rsidRDefault="00515398">
            <w:pPr>
              <w:pStyle w:val="ListParagraph"/>
              <w:spacing w:after="0" w:line="240" w:lineRule="auto"/>
              <w:ind w:left="851"/>
              <w:rPr>
                <w:noProof/>
                <w:color w:val="006100"/>
                <w:sz w:val="18"/>
              </w:rPr>
            </w:pPr>
          </w:p>
          <w:p w14:paraId="700A0D66" w14:textId="2607AB7F" w:rsidR="00515398" w:rsidRDefault="006711E6">
            <w:pPr>
              <w:pStyle w:val="P68B1DB1-ListParagraph38"/>
              <w:numPr>
                <w:ilvl w:val="0"/>
                <w:numId w:val="87"/>
              </w:numPr>
              <w:spacing w:after="0" w:line="240" w:lineRule="auto"/>
              <w:ind w:left="113" w:hanging="142"/>
              <w:rPr>
                <w:noProof/>
              </w:rPr>
            </w:pPr>
            <w:r>
              <w:rPr>
                <w:noProof/>
              </w:rPr>
              <w:t xml:space="preserve"> Zřízení centrál</w:t>
            </w:r>
            <w:r>
              <w:rPr>
                <w:noProof/>
              </w:rPr>
              <w:t>ního registru úvěrů (CCR) a spuštění nezbytné infrastruktury IT jako vnitrostátní databáze spravované Řeckou centrální bankou (BoG), která zaznamenává platební historii každého úvěru a druhy poskytnutého zajištění. CCR prostřednictvím shromažďování přísluš</w:t>
            </w:r>
            <w:r>
              <w:rPr>
                <w:noProof/>
              </w:rPr>
              <w:t>ných údajů rovněž přispívá k fungování a funkcím Střediska pro sledování rozšiřování úvěrů pro sledování vývoje rozšiřování úvěrů. Rada regulačních orgánů jedná jako správce údajů a zajistí, aby byly zavedeny přísné protokoly o bezpečnosti a ochraně údajů.</w:t>
            </w:r>
            <w:r>
              <w:rPr>
                <w:noProof/>
              </w:rPr>
              <w:t xml:space="preserve"> </w:t>
            </w:r>
          </w:p>
          <w:p w14:paraId="31E3FA80" w14:textId="114782B4" w:rsidR="00515398" w:rsidRDefault="006711E6">
            <w:pPr>
              <w:pStyle w:val="P68B1DB1-ListParagraph38"/>
              <w:numPr>
                <w:ilvl w:val="0"/>
                <w:numId w:val="87"/>
              </w:numPr>
              <w:spacing w:after="0" w:line="240" w:lineRule="auto"/>
              <w:ind w:left="113" w:hanging="142"/>
              <w:rPr>
                <w:noProof/>
              </w:rPr>
            </w:pPr>
            <w:r>
              <w:rPr>
                <w:noProof/>
              </w:rPr>
              <w:t xml:space="preserve"> Vstup v platnost právních předpisů o vyřizování a řízení případů a snížení počtu nevyřízených případů ve vykonávacích řízeních, jejichž cílem je zjednodušit postupy a urychlit řešení případů prostřednictvím změn občanského soudního řádu, a vytvoření mec</w:t>
            </w:r>
            <w:r>
              <w:rPr>
                <w:noProof/>
              </w:rPr>
              <w:t>hanismu pro změnu termínu projednávání námitek „před dražbou“ i „po dražbě“.</w:t>
            </w:r>
          </w:p>
          <w:p w14:paraId="4CB0F8E4" w14:textId="77777777" w:rsidR="00515398" w:rsidRDefault="00515398">
            <w:pPr>
              <w:spacing w:after="0" w:line="240" w:lineRule="auto"/>
              <w:rPr>
                <w:noProof/>
                <w:color w:val="006100"/>
                <w:sz w:val="18"/>
              </w:rPr>
            </w:pPr>
          </w:p>
        </w:tc>
      </w:tr>
    </w:tbl>
    <w:p w14:paraId="5C5C181A" w14:textId="77777777" w:rsidR="00515398" w:rsidRDefault="00515398">
      <w:pPr>
        <w:spacing w:before="120" w:after="120" w:line="240" w:lineRule="auto"/>
        <w:ind w:left="709"/>
        <w:jc w:val="both"/>
        <w:rPr>
          <w:rFonts w:ascii="Times New Roman" w:hAnsi="Times New Roman" w:cs="Times New Roman"/>
          <w:noProof/>
          <w:sz w:val="24"/>
          <w:szCs w:val="24"/>
        </w:rPr>
      </w:pPr>
    </w:p>
    <w:p w14:paraId="54158153" w14:textId="77777777" w:rsidR="00515398" w:rsidRDefault="00515398">
      <w:pPr>
        <w:spacing w:before="120" w:after="120" w:line="240" w:lineRule="auto"/>
        <w:ind w:left="709"/>
        <w:jc w:val="both"/>
        <w:rPr>
          <w:rFonts w:ascii="Times New Roman" w:hAnsi="Times New Roman" w:cs="Times New Roman"/>
          <w:noProof/>
          <w:sz w:val="24"/>
          <w:szCs w:val="24"/>
        </w:rPr>
      </w:pPr>
    </w:p>
    <w:p w14:paraId="4FE84E92"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53"/>
          <w:headerReference w:type="default" r:id="rId254"/>
          <w:footerReference w:type="even" r:id="rId255"/>
          <w:footerReference w:type="default" r:id="rId256"/>
          <w:headerReference w:type="first" r:id="rId257"/>
          <w:footerReference w:type="first" r:id="rId258"/>
          <w:pgSz w:w="16839" w:h="11907" w:orient="landscape"/>
          <w:pgMar w:top="720" w:right="720" w:bottom="720" w:left="720" w:header="709" w:footer="501" w:gutter="0"/>
          <w:cols w:space="720"/>
          <w:docGrid w:linePitch="360"/>
        </w:sectPr>
      </w:pPr>
    </w:p>
    <w:p w14:paraId="1E1B0B69" w14:textId="77777777" w:rsidR="00515398" w:rsidRDefault="006711E6">
      <w:pPr>
        <w:pStyle w:val="P68B1DB1-Normal2"/>
        <w:spacing w:before="120" w:after="120" w:line="240" w:lineRule="auto"/>
        <w:ind w:firstLine="6"/>
        <w:jc w:val="both"/>
        <w:outlineLvl w:val="3"/>
        <w:rPr>
          <w:rFonts w:cs="Times New Roman"/>
          <w:bCs/>
          <w:noProof/>
        </w:rPr>
      </w:pPr>
      <w:r>
        <w:rPr>
          <w:noProof/>
        </w:rPr>
        <w:t>P. SLOŽKA 4.5: PODPORA VÝZKUMU A INOVACÍ</w:t>
      </w:r>
    </w:p>
    <w:p w14:paraId="0E9182DB" w14:textId="77777777" w:rsidR="00515398" w:rsidRDefault="006711E6">
      <w:pPr>
        <w:pStyle w:val="P68B1DB1-Normal4"/>
        <w:spacing w:before="120" w:after="120" w:line="240" w:lineRule="auto"/>
        <w:jc w:val="both"/>
        <w:rPr>
          <w:rFonts w:cs="Times New Roman"/>
          <w:noProof/>
        </w:rPr>
      </w:pPr>
      <w:r>
        <w:rPr>
          <w:noProof/>
        </w:rPr>
        <w:t>Klíčovými cíli této složky řeckého plánu pro oživení a odolnost je zvýšit veřejné a soukromé investice do výzkumu a vývoje, posílit vazby mezi vědou a podniky a vytvořit průkopnickou výzkumnou a vývojovou infrastrukturu s cílem zlepšit výkonnost Řecka v ob</w:t>
      </w:r>
      <w:r>
        <w:rPr>
          <w:noProof/>
        </w:rPr>
        <w:t>lasti výzkumu a inovací. Očekává se, že toho bude dosaženo prostřednictvím cílených reforem a investic do zvýšení veřejných a soukromých výdajů na výzkum a vývoj, modernizace výzkumných infrastruktur země, podpory financování výzkumu, zvýšení internacional</w:t>
      </w:r>
      <w:r>
        <w:rPr>
          <w:noProof/>
        </w:rPr>
        <w:t>izace řeckého výzkumného ekosystému a rozvoje výzkumné spolupráce. Složka rovněž zahrnuje vývoj informačního systému pro civilní ochranu, který v reálném čase informuje příslušné orgány o fyzických jevech a přírodních katastrofách a zároveň podporuje jejic</w:t>
      </w:r>
      <w:r>
        <w:rPr>
          <w:noProof/>
        </w:rPr>
        <w:t>h spolupráci. Tyto investice rovněž usnadní digitální transformaci prostřednictvím rozvoje pokročilých digitálních technologií a digitalizace metod civilní ochrany, jakož i podpoří ekologickou transformaci tím, že zmírní dopad změn klimatu s cílem zajistit</w:t>
      </w:r>
      <w:r>
        <w:rPr>
          <w:noProof/>
        </w:rPr>
        <w:t xml:space="preserve"> civilní ochranu. Složka podporuje plnění doporučení pro jednotlivé země týkajících se veřejných a soukromých investic (doporučení pro jednotlivé země č. 2 z roku 2019 a doporučení pro jednotlivé země č. 3 z roku 2020). Očekává se, že žádné opatření v této</w:t>
      </w:r>
      <w:r>
        <w:rPr>
          <w:noProof/>
        </w:rPr>
        <w:t xml:space="preserve"> složce významně nepoškozuje environmentální cíle ve smyslu článku 17 nařízení (EU) 2020/852, s přihlédnutím k popisu opatření a zmírňujícím krokům stanoveným v plánu pro oživení a odolnost v souladu s technickými pokyny „významně nepoškozovat“ (2021/C58/0</w:t>
      </w:r>
      <w:r>
        <w:rPr>
          <w:noProof/>
        </w:rPr>
        <w:t>1).</w:t>
      </w:r>
    </w:p>
    <w:p w14:paraId="7F55B883" w14:textId="77777777" w:rsidR="00515398" w:rsidRDefault="006711E6">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P.1. </w:t>
      </w:r>
      <w:r>
        <w:rPr>
          <w:noProof/>
        </w:rPr>
        <w:t xml:space="preserve"> </w:t>
      </w:r>
      <w:r>
        <w:rPr>
          <w:rFonts w:ascii="Times New Roman" w:hAnsi="Times New Roman"/>
          <w:b/>
          <w:noProof/>
          <w:sz w:val="24"/>
          <w:u w:val="single"/>
        </w:rPr>
        <w:t>Popis reforem a investic pro nevratnou finanční podporu</w:t>
      </w:r>
    </w:p>
    <w:p w14:paraId="16947932"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Vytvoření – rozšíření – modernizace infrastruktury výzkumných středisek pod dohledem Generálního sekretariátu pro výzkum a inovace (GSRI) (opatření ID 16624)</w:t>
      </w:r>
    </w:p>
    <w:p w14:paraId="58FA3387" w14:textId="570BECAD" w:rsidR="00515398" w:rsidRDefault="006711E6">
      <w:pPr>
        <w:pStyle w:val="P68B1DB1-Normal4"/>
        <w:spacing w:before="120" w:after="120" w:line="240" w:lineRule="auto"/>
        <w:jc w:val="both"/>
        <w:rPr>
          <w:rFonts w:cs="Times New Roman"/>
          <w:noProof/>
        </w:rPr>
      </w:pPr>
      <w:r>
        <w:rPr>
          <w:noProof/>
        </w:rPr>
        <w:t>Investice zahrnuje mo</w:t>
      </w:r>
      <w:r>
        <w:rPr>
          <w:noProof/>
        </w:rPr>
        <w:t>dernizaci infrastruktury a/nebo vybavení 11 výzkumných středisek s cílem posílit jejich výzkumné kapacity a schopnosti v důležitých vědeckých a technologických oblastech. Investice se týkají zejména těchto výzkumných středisek: Nadace pro výzkum a technolo</w:t>
      </w:r>
      <w:r>
        <w:rPr>
          <w:noProof/>
        </w:rPr>
        <w:t>gie Hellas; Výzkumné a inovační středisko Athena; BSRC Fleming; Centrum pro výzkum a technologie Hellas; Národní Řecká výzkumná nadace; Athénská akademie biomedicínského výzkumu; Národní středisko pro sledování Atén; Řecké středisko pro mořský výzkum; Řeck</w:t>
      </w:r>
      <w:r>
        <w:rPr>
          <w:noProof/>
        </w:rPr>
        <w:t xml:space="preserve">ý Pasteurův institut; Národní středisko sociálního výzkumu; Řecká komise pro atomovou energii. </w:t>
      </w:r>
    </w:p>
    <w:p w14:paraId="11979D02" w14:textId="2FEA7154" w:rsidR="00515398" w:rsidRDefault="006711E6">
      <w:pPr>
        <w:pStyle w:val="P68B1DB1-Normal5"/>
        <w:spacing w:before="120" w:after="120" w:line="240" w:lineRule="auto"/>
        <w:jc w:val="both"/>
        <w:rPr>
          <w:rFonts w:cs="Times New Roman"/>
          <w:noProof/>
        </w:rPr>
      </w:pPr>
      <w:r>
        <w:rPr>
          <w:noProof/>
        </w:rPr>
        <w:t>Aby se zajistilo, že opatření je v souladu s technickými pokyny „významně nepoškozovat“ (2021/C58/01), kritéria způsobilosti obsažená v mandátu pro výzvy k před</w:t>
      </w:r>
      <w:r>
        <w:rPr>
          <w:noProof/>
        </w:rPr>
        <w:t>kládání projektů vylučují tento seznam činností:</w:t>
      </w:r>
      <w:r>
        <w:rPr>
          <w:noProof/>
          <w:color w:val="FF0000"/>
        </w:rPr>
        <w:t xml:space="preserve"> </w:t>
      </w:r>
      <w:r>
        <w:rPr>
          <w:noProof/>
        </w:rPr>
        <w:t>i) činnosti související s fosilními palivy, včetně následného využití</w:t>
      </w:r>
      <w:r>
        <w:rPr>
          <w:noProof/>
        </w:rPr>
        <w:footnoteReference w:id="15"/>
      </w:r>
      <w:r>
        <w:rPr>
          <w:noProof/>
        </w:rPr>
        <w:t>; II) činnosti v rámci systému EU pro obchodování s emisemi (ETS) dosahující předpokládaných emisí skleníkových plynů, které nejsou nižší</w:t>
      </w:r>
      <w:r>
        <w:rPr>
          <w:noProof/>
        </w:rPr>
        <w:t xml:space="preserve"> než příslušné referenční hodnoty</w:t>
      </w:r>
      <w:r>
        <w:rPr>
          <w:noProof/>
        </w:rPr>
        <w:footnoteReference w:id="16"/>
      </w:r>
      <w:r>
        <w:rPr>
          <w:noProof/>
        </w:rPr>
        <w:t>; III) činnosti související se skládkami odpadů, spalovnami</w:t>
      </w:r>
      <w:r>
        <w:rPr>
          <w:noProof/>
        </w:rPr>
        <w:footnoteReference w:id="17"/>
      </w:r>
      <w:r>
        <w:rPr>
          <w:noProof/>
        </w:rPr>
        <w:t xml:space="preserve"> a mechanicko-biologickými čistírnami odpadů</w:t>
      </w:r>
      <w:r>
        <w:rPr>
          <w:noProof/>
        </w:rPr>
        <w:footnoteReference w:id="18"/>
      </w:r>
      <w:r>
        <w:rPr>
          <w:noProof/>
        </w:rPr>
        <w:t>; a iv) činnosti, při nichž dlouhodobé odstraňování odpadů může poškodit životní prostředí. Mandát navíc vyžaduje, ab</w:t>
      </w:r>
      <w:r>
        <w:rPr>
          <w:noProof/>
        </w:rPr>
        <w:t>y mohly být vybrány pouze činnosti, které jsou v souladu s příslušnými právními předpisy EU a vnitrostátními právními předpisy v oblasti životního prostředí.</w:t>
      </w:r>
    </w:p>
    <w:p w14:paraId="1282F50B" w14:textId="77777777" w:rsidR="00515398" w:rsidRDefault="006711E6">
      <w:pPr>
        <w:pStyle w:val="P68B1DB1-Normal4"/>
        <w:spacing w:before="120" w:after="120" w:line="240" w:lineRule="auto"/>
        <w:jc w:val="both"/>
        <w:rPr>
          <w:rFonts w:cs="Times New Roman"/>
          <w:noProof/>
        </w:rPr>
      </w:pPr>
      <w:r>
        <w:rPr>
          <w:noProof/>
        </w:rPr>
        <w:t>Investice musí být provedena do 31. prosince 2025.</w:t>
      </w:r>
    </w:p>
    <w:p w14:paraId="44FF6D0E"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Základní a aplikovaný výzkum (opatře</w:t>
      </w:r>
      <w:r>
        <w:rPr>
          <w:noProof/>
        </w:rPr>
        <w:t>ní ID 16618)</w:t>
      </w:r>
    </w:p>
    <w:p w14:paraId="1607858F" w14:textId="77777777" w:rsidR="00515398" w:rsidRDefault="006711E6">
      <w:pPr>
        <w:pStyle w:val="P68B1DB1-Normal4"/>
        <w:spacing w:before="120" w:after="120" w:line="240" w:lineRule="auto"/>
        <w:jc w:val="both"/>
        <w:rPr>
          <w:rFonts w:cs="Times New Roman"/>
          <w:noProof/>
        </w:rPr>
      </w:pPr>
      <w:r>
        <w:rPr>
          <w:noProof/>
        </w:rPr>
        <w:t>Investice sestává ze sedmi dílčích projektů: i) zajištění horizontálního financování základního výzkumu; II) finanční podpora stěžejních výzkumných projektů v interdisciplinárních odvětvích s praktickým využitím pro řecké hospodářství; III) fi</w:t>
      </w:r>
      <w:r>
        <w:rPr>
          <w:noProof/>
        </w:rPr>
        <w:t xml:space="preserve">nanční podpora aplikovaného výzkumu v oblasti přesné medicíny; IV) poskytování finančních prostředků na výzkumné a vývojové středisko pro bezpilotní systémy na podporu aplikovaného výzkumu dronů; v) zřízení aplikovaného výzkumného a inovačního institutu v </w:t>
      </w:r>
      <w:r>
        <w:rPr>
          <w:noProof/>
        </w:rPr>
        <w:t>oblasti umělé inteligence, zpracování dat a vývoje algoritmů; VI) finanční podpora na dodávky technologií pro udržitelné materiály, které lze přenášet z trhu; VII) finanční podpora pro účast v evropských partnerstvích, konkrétně v rámci Euro-HPC (vysoce vý</w:t>
      </w:r>
      <w:r>
        <w:rPr>
          <w:noProof/>
        </w:rPr>
        <w:t>konná výpočetní technika) a klíčových digitálních technologií. Cílem investice je vytvořit subjekty na podporu aplikovaného výzkumu v dlouhodobém horizontu a podporovat inovační ekosystém „deep-tech“ financováním interdisciplinárních činností v oblasti výz</w:t>
      </w:r>
      <w:r>
        <w:rPr>
          <w:noProof/>
        </w:rPr>
        <w:t xml:space="preserve">kumu a vývoje s dopady na průmysl. Investice musí být provedena do 31. prosince 2025. </w:t>
      </w:r>
    </w:p>
    <w:p w14:paraId="399B7FC3"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TH</w:t>
      </w:r>
      <w:r>
        <w:rPr>
          <w:noProof/>
          <w:vertAlign w:val="superscript"/>
        </w:rPr>
        <w:t>2</w:t>
      </w:r>
      <w:r>
        <w:rPr>
          <w:noProof/>
        </w:rPr>
        <w:t>ORAX: Trellis Holistic &amp; Hybrid Operational Ruggedised Autonomous eXemplary system (Opatření ID 16654)</w:t>
      </w:r>
    </w:p>
    <w:p w14:paraId="1D813A40" w14:textId="77777777" w:rsidR="00515398" w:rsidRDefault="006711E6">
      <w:pPr>
        <w:pStyle w:val="P68B1DB1-Normal4"/>
        <w:spacing w:before="120" w:after="120" w:line="240" w:lineRule="auto"/>
        <w:jc w:val="both"/>
        <w:rPr>
          <w:rFonts w:cs="Times New Roman"/>
          <w:noProof/>
        </w:rPr>
      </w:pPr>
      <w:r>
        <w:rPr>
          <w:noProof/>
          <w:color w:val="000000"/>
        </w:rPr>
        <w:t>Investice zahrnuje vývoj informačního systému nové g</w:t>
      </w:r>
      <w:r>
        <w:rPr>
          <w:noProof/>
          <w:color w:val="000000"/>
        </w:rPr>
        <w:t>enerace, který by měl kombinovat různé typy a formy infrastruktur spolupráce s cílem zlepšit rozhodování institucí v reálném čase. Systém se skládá  z nejmodernějších technologií, jako je umělá inteligence, a je navržen tak, aby dlouhodobě vyhovoval potřeb</w:t>
      </w:r>
      <w:r>
        <w:rPr>
          <w:noProof/>
          <w:color w:val="000000"/>
        </w:rPr>
        <w:t>ám rozmanité škály koncových uživatelů.</w:t>
      </w:r>
      <w:r>
        <w:rPr>
          <w:noProof/>
        </w:rPr>
        <w:t xml:space="preserve"> Očekává se, že přispěje ke správě hranic, boji proti trestné činnosti a terorismu, kybernetické bezpečnosti, ochraně a odolnosti kritické infrastruktury, pátrání a záchraně a odolnosti vůči katastrofám. Investice mus</w:t>
      </w:r>
      <w:r>
        <w:rPr>
          <w:noProof/>
        </w:rPr>
        <w:t>í být provedena do 31. prosince 2025.</w:t>
      </w:r>
    </w:p>
    <w:p w14:paraId="01A47DF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Výzkum – Vytvořit – inovovat (opatření ID 16971)</w:t>
      </w:r>
    </w:p>
    <w:p w14:paraId="1E8263D3" w14:textId="77777777" w:rsidR="00515398" w:rsidRDefault="006711E6">
      <w:pPr>
        <w:pStyle w:val="P68B1DB1-Normal4"/>
        <w:spacing w:before="120" w:after="120" w:line="240" w:lineRule="auto"/>
        <w:jc w:val="both"/>
        <w:rPr>
          <w:rFonts w:cs="Times New Roman"/>
          <w:noProof/>
        </w:rPr>
      </w:pPr>
      <w:r>
        <w:rPr>
          <w:noProof/>
        </w:rPr>
        <w:t>Cílem investice je podpořit 36 návrhů projektů, které jsou hodnoceny s velmi vysokým hodnocením v kritériu „excelence“ v odvětvích inteligentní specializace (</w:t>
      </w:r>
      <w:r>
        <w:rPr>
          <w:noProof/>
        </w:rPr>
        <w:t xml:space="preserve">RIS3), ale nebyly financovány v rámci programu HORIZON 2020 z důvodu rozpočtových omezení. Investice podpoří vybrané návrhy finančními prostředky a očekává se, že přiláká spolufinancování ze soukromého sektoru posílením vazby mezi veřejným odvětvím vědy a </w:t>
      </w:r>
      <w:r>
        <w:rPr>
          <w:noProof/>
        </w:rPr>
        <w:t xml:space="preserve">podniky. Pro financování jsou způsobilá tato odvětví: i) životní prostředí a udržitelný rozvoj; II) energie; III) </w:t>
      </w:r>
      <w:r>
        <w:rPr>
          <w:noProof/>
          <w:color w:val="000000"/>
        </w:rPr>
        <w:t>informační a komunikační technologie;</w:t>
      </w:r>
      <w:r>
        <w:rPr>
          <w:noProof/>
        </w:rPr>
        <w:t xml:space="preserve"> IV) zdraví a farmaceutika; v) dopravní a dodavatelský řetězec; VI) zemědělsko-potravinářský a potravinář</w:t>
      </w:r>
      <w:r>
        <w:rPr>
          <w:noProof/>
        </w:rPr>
        <w:t>ský průmysl; VII) materiály a konstrukce; a viii) cestovního ruchu, kultury a tvůrčích odvětví. Investice musí být provedena do 31. prosince 2025.</w:t>
      </w:r>
    </w:p>
    <w:p w14:paraId="0B3C545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„Pečeť excelence“ programu Horizont 2020: financování špičkových inovativních společností (opatřen</w:t>
      </w:r>
      <w:r>
        <w:rPr>
          <w:noProof/>
        </w:rPr>
        <w:t>í IČ 16622)</w:t>
      </w:r>
    </w:p>
    <w:p w14:paraId="247D80C4" w14:textId="35CE895D" w:rsidR="00515398" w:rsidRDefault="006711E6">
      <w:pPr>
        <w:pStyle w:val="P68B1DB1-Normal4"/>
        <w:spacing w:before="120" w:after="120" w:line="240" w:lineRule="auto"/>
        <w:jc w:val="both"/>
        <w:rPr>
          <w:rFonts w:cs="Times New Roman"/>
          <w:noProof/>
        </w:rPr>
      </w:pPr>
      <w:r>
        <w:rPr>
          <w:noProof/>
        </w:rPr>
        <w:t>Investice se týká 12 návrhů projektů malých a středních podniků, které obdržely značku kvality HORIZON 2020 „pečeť excelence“ a jsou způsobilé pro grant, ale nejsou financovány v rámci programu HORIZON 2020 z důvodu rozpočtových omezení. Invest</w:t>
      </w:r>
      <w:r>
        <w:rPr>
          <w:noProof/>
        </w:rPr>
        <w:t xml:space="preserve">ice tyto návrhy podpoří a doplní soukromé financování ze strany příjemců. Pro financování jsou způsobilá tato odvětví: i) životní prostředí a udržitelný rozvoj; II) energie; III) </w:t>
      </w:r>
      <w:r>
        <w:rPr>
          <w:noProof/>
          <w:color w:val="000000"/>
        </w:rPr>
        <w:t>informační a komunikační technologie;</w:t>
      </w:r>
      <w:r>
        <w:rPr>
          <w:noProof/>
        </w:rPr>
        <w:t xml:space="preserve"> IV) zdraví a farmaceutika; v) dopravní </w:t>
      </w:r>
      <w:r>
        <w:rPr>
          <w:noProof/>
        </w:rPr>
        <w:t>a dodavatelský řetězec; VI) zemědělsko-potravinářský a potravinářský průmysl; a vii) materiály a konstrukce. Investice musí být provedena do 31. prosince 2025.</w:t>
      </w:r>
    </w:p>
    <w:p w14:paraId="7DC19C87"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Vyloučení výzkumného a inovačního ekosystému Řecka (opatření ID 16621)</w:t>
      </w:r>
    </w:p>
    <w:p w14:paraId="079EEDE1" w14:textId="77777777" w:rsidR="00515398" w:rsidRDefault="006711E6">
      <w:pPr>
        <w:pStyle w:val="P68B1DB1-Normal4"/>
        <w:spacing w:before="120" w:after="120" w:line="240" w:lineRule="auto"/>
        <w:jc w:val="both"/>
        <w:rPr>
          <w:rFonts w:cs="Times New Roman"/>
          <w:noProof/>
        </w:rPr>
      </w:pPr>
      <w:r>
        <w:rPr>
          <w:noProof/>
        </w:rPr>
        <w:t>Reforma zahrnuje podporu a globální propagaci vnitrostátního ekosystému začínajících a inovačních podniků, jakož i podporu vývoje, údržby a procesu aktualizace softwaru. Tato opatření se provádějí prostřednictvím ELEVATE Řecko, které provozuje digitální po</w:t>
      </w:r>
      <w:r>
        <w:rPr>
          <w:noProof/>
        </w:rPr>
        <w:t>rtál, který vnitrostátním začínajícím podnikům umožňuje registrovat se a získat vládní akreditaci jako „start-upy“. Provádění reformy se dokončí do 31. prosince 2025.</w:t>
      </w:r>
    </w:p>
    <w:p w14:paraId="77189226" w14:textId="77777777" w:rsidR="00515398" w:rsidRDefault="00515398">
      <w:pPr>
        <w:spacing w:before="120" w:after="120" w:line="240" w:lineRule="auto"/>
        <w:ind w:left="709"/>
        <w:jc w:val="both"/>
        <w:rPr>
          <w:rFonts w:ascii="Times New Roman" w:hAnsi="Times New Roman" w:cs="Times New Roman"/>
          <w:noProof/>
          <w:sz w:val="24"/>
        </w:rPr>
      </w:pPr>
    </w:p>
    <w:p w14:paraId="139105A2"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59"/>
          <w:headerReference w:type="default" r:id="rId260"/>
          <w:footerReference w:type="even" r:id="rId261"/>
          <w:footerReference w:type="default" r:id="rId262"/>
          <w:headerReference w:type="first" r:id="rId263"/>
          <w:footerReference w:type="first" r:id="rId264"/>
          <w:pgSz w:w="11907" w:h="16839"/>
          <w:pgMar w:top="1134" w:right="1417" w:bottom="1134" w:left="1417" w:header="709" w:footer="468" w:gutter="0"/>
          <w:cols w:space="720"/>
          <w:docGrid w:linePitch="360"/>
        </w:sectPr>
      </w:pPr>
    </w:p>
    <w:p w14:paraId="3D91D4D8"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P.2. </w:t>
      </w:r>
      <w:r>
        <w:rPr>
          <w:noProof/>
        </w:rPr>
        <w:t xml:space="preserve"> </w:t>
      </w:r>
      <w:r>
        <w:rPr>
          <w:rFonts w:ascii="Times New Roman" w:hAnsi="Times New Roman"/>
          <w:b/>
          <w:noProof/>
          <w:sz w:val="24"/>
          <w:u w:val="single"/>
        </w:rPr>
        <w:t xml:space="preserve">Milníky, cíle, </w:t>
      </w:r>
      <w:r>
        <w:rPr>
          <w:rFonts w:ascii="Times New Roman" w:hAnsi="Times New Roman"/>
          <w:b/>
          <w:noProof/>
          <w:sz w:val="24"/>
          <w:u w:val="single"/>
        </w:rPr>
        <w:t>ukazatele a harmonogram monitorování a provádění nevratné finanční podpory</w:t>
      </w:r>
    </w:p>
    <w:p w14:paraId="1E9F36C4" w14:textId="77777777" w:rsidR="00515398" w:rsidRDefault="00515398">
      <w:pPr>
        <w:rPr>
          <w:noProof/>
        </w:rPr>
      </w:pPr>
    </w:p>
    <w:p w14:paraId="5D04BDF1"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23: Podpora výzkumu a inovací</w:t>
      </w:r>
    </w:p>
    <w:p w14:paraId="19F79DFF" w14:textId="77777777" w:rsidR="00515398" w:rsidRDefault="006711E6">
      <w:pPr>
        <w:pStyle w:val="P68B1DB1-Normal4"/>
        <w:numPr>
          <w:ilvl w:val="0"/>
          <w:numId w:val="34"/>
        </w:numPr>
        <w:spacing w:before="120" w:after="0" w:line="240" w:lineRule="auto"/>
        <w:jc w:val="both"/>
        <w:rPr>
          <w:rFonts w:cs="Times New Roman"/>
          <w:noProof/>
        </w:rPr>
      </w:pPr>
      <w:r>
        <w:rPr>
          <w:noProof/>
        </w:rPr>
        <w:t xml:space="preserve">Vytvoření – rozšíření – modernizace infrastruktury výzkumných středisek pod dohledem Generálního sekretariátu pro výzkum a technologie (GSRT) </w:t>
      </w:r>
      <w:r>
        <w:rPr>
          <w:noProof/>
        </w:rPr>
        <w:t>(ID: 16624)</w:t>
      </w:r>
    </w:p>
    <w:p w14:paraId="4B74F223" w14:textId="77777777" w:rsidR="00515398" w:rsidRDefault="006711E6">
      <w:pPr>
        <w:pStyle w:val="P68B1DB1-Normal4"/>
        <w:numPr>
          <w:ilvl w:val="0"/>
          <w:numId w:val="34"/>
        </w:numPr>
        <w:spacing w:before="120" w:after="0" w:line="240" w:lineRule="auto"/>
        <w:jc w:val="both"/>
        <w:rPr>
          <w:rFonts w:cs="Times New Roman"/>
          <w:noProof/>
        </w:rPr>
      </w:pPr>
      <w:r>
        <w:rPr>
          <w:noProof/>
        </w:rPr>
        <w:t>Základní a aplikovaný výzkum (ID: 16618)</w:t>
      </w:r>
    </w:p>
    <w:p w14:paraId="607A12E3" w14:textId="77777777" w:rsidR="00515398" w:rsidRDefault="006711E6">
      <w:pPr>
        <w:pStyle w:val="P68B1DB1-Normal4"/>
        <w:numPr>
          <w:ilvl w:val="0"/>
          <w:numId w:val="34"/>
        </w:numPr>
        <w:spacing w:before="120" w:after="0" w:line="240" w:lineRule="auto"/>
        <w:jc w:val="both"/>
        <w:rPr>
          <w:rFonts w:cs="Times New Roman"/>
          <w:noProof/>
        </w:rPr>
      </w:pPr>
      <w:r>
        <w:rPr>
          <w:noProof/>
        </w:rPr>
        <w:t>TH 2 ORAX: Trellis Holistic &amp; Hybrid Operational Ruggedised Autonomous eXemplary system (ID: 16654)</w:t>
      </w:r>
    </w:p>
    <w:p w14:paraId="46337711" w14:textId="77777777" w:rsidR="00515398" w:rsidRDefault="006711E6">
      <w:pPr>
        <w:pStyle w:val="P68B1DB1-Normal4"/>
        <w:numPr>
          <w:ilvl w:val="0"/>
          <w:numId w:val="34"/>
        </w:numPr>
        <w:spacing w:before="120" w:after="0" w:line="240" w:lineRule="auto"/>
        <w:jc w:val="both"/>
        <w:rPr>
          <w:rFonts w:cs="Times New Roman"/>
          <w:noProof/>
        </w:rPr>
      </w:pPr>
      <w:r>
        <w:rPr>
          <w:noProof/>
        </w:rPr>
        <w:t>Výzkum – Vytvořit – inovovat (ID: 16971)</w:t>
      </w:r>
    </w:p>
    <w:p w14:paraId="3F6B9088" w14:textId="77777777" w:rsidR="00515398" w:rsidRDefault="006711E6">
      <w:pPr>
        <w:pStyle w:val="P68B1DB1-Normal4"/>
        <w:numPr>
          <w:ilvl w:val="0"/>
          <w:numId w:val="34"/>
        </w:numPr>
        <w:spacing w:before="120" w:after="0" w:line="240" w:lineRule="auto"/>
        <w:jc w:val="both"/>
        <w:rPr>
          <w:rFonts w:cs="Times New Roman"/>
          <w:noProof/>
        </w:rPr>
      </w:pPr>
      <w:r>
        <w:rPr>
          <w:noProof/>
        </w:rPr>
        <w:t>„Pečeť excelence“ programu Horizont 2020: financování špičkový</w:t>
      </w:r>
      <w:r>
        <w:rPr>
          <w:noProof/>
        </w:rPr>
        <w:t>ch inovativních společností (ID: 16622)</w:t>
      </w:r>
    </w:p>
    <w:p w14:paraId="1C948494" w14:textId="77777777" w:rsidR="00515398" w:rsidRDefault="006711E6">
      <w:pPr>
        <w:pStyle w:val="P68B1DB1-Normal4"/>
        <w:numPr>
          <w:ilvl w:val="0"/>
          <w:numId w:val="34"/>
        </w:numPr>
        <w:spacing w:before="120" w:after="120" w:line="240" w:lineRule="auto"/>
        <w:jc w:val="both"/>
        <w:rPr>
          <w:rFonts w:cs="Times New Roman"/>
          <w:noProof/>
        </w:rPr>
      </w:pPr>
      <w:r>
        <w:rPr>
          <w:noProof/>
        </w:rPr>
        <w:t>Vyloučení výzkumného a inovačního ekosystému Řecka (ID: 16621)</w:t>
      </w:r>
    </w:p>
    <w:tbl>
      <w:tblPr>
        <w:tblW w:w="16018" w:type="dxa"/>
        <w:jc w:val="center"/>
        <w:tblLayout w:type="fixed"/>
        <w:tblLook w:val="04A0" w:firstRow="1" w:lastRow="0" w:firstColumn="1" w:lastColumn="0" w:noHBand="0" w:noVBand="1"/>
      </w:tblPr>
      <w:tblGrid>
        <w:gridCol w:w="1110"/>
        <w:gridCol w:w="2055"/>
        <w:gridCol w:w="1094"/>
        <w:gridCol w:w="1794"/>
        <w:gridCol w:w="1774"/>
        <w:gridCol w:w="960"/>
        <w:gridCol w:w="960"/>
        <w:gridCol w:w="607"/>
        <w:gridCol w:w="992"/>
        <w:gridCol w:w="707"/>
        <w:gridCol w:w="3965"/>
      </w:tblGrid>
      <w:tr w:rsidR="00515398" w14:paraId="4FDEA420" w14:textId="77777777">
        <w:trPr>
          <w:trHeight w:val="740"/>
          <w:tblHeader/>
          <w:jc w:val="center"/>
        </w:trPr>
        <w:tc>
          <w:tcPr>
            <w:tcW w:w="1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AEED12"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C99412"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4249CA"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794" w:type="dxa"/>
            <w:vMerge w:val="restart"/>
            <w:tcBorders>
              <w:top w:val="single" w:sz="4" w:space="0" w:color="auto"/>
              <w:left w:val="nil"/>
              <w:bottom w:val="single" w:sz="4" w:space="0" w:color="auto"/>
              <w:right w:val="single" w:sz="4" w:space="0" w:color="auto"/>
            </w:tcBorders>
            <w:shd w:val="clear" w:color="auto" w:fill="BDD7EE"/>
            <w:vAlign w:val="center"/>
            <w:hideMark/>
          </w:tcPr>
          <w:p w14:paraId="5B15764A"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67DFA7"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527" w:type="dxa"/>
            <w:gridSpan w:val="3"/>
            <w:tcBorders>
              <w:top w:val="single" w:sz="4" w:space="0" w:color="auto"/>
              <w:left w:val="nil"/>
              <w:bottom w:val="single" w:sz="4" w:space="0" w:color="auto"/>
              <w:right w:val="single" w:sz="4" w:space="0" w:color="auto"/>
            </w:tcBorders>
            <w:shd w:val="clear" w:color="auto" w:fill="BDD7EE"/>
            <w:vAlign w:val="center"/>
            <w:hideMark/>
          </w:tcPr>
          <w:p w14:paraId="68FC03A6"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699" w:type="dxa"/>
            <w:gridSpan w:val="2"/>
            <w:tcBorders>
              <w:top w:val="single" w:sz="4" w:space="0" w:color="auto"/>
              <w:left w:val="nil"/>
              <w:bottom w:val="single" w:sz="4" w:space="0" w:color="auto"/>
              <w:right w:val="single" w:sz="4" w:space="0" w:color="auto"/>
            </w:tcBorders>
            <w:shd w:val="clear" w:color="auto" w:fill="BDD7EE"/>
            <w:vAlign w:val="center"/>
            <w:hideMark/>
          </w:tcPr>
          <w:p w14:paraId="2724EC6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8E9B0A"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12A15BDD" w14:textId="77777777">
        <w:trPr>
          <w:trHeight w:val="526"/>
          <w:tblHeader/>
          <w:jc w:val="center"/>
        </w:trPr>
        <w:tc>
          <w:tcPr>
            <w:tcW w:w="1110" w:type="dxa"/>
            <w:vMerge/>
            <w:tcBorders>
              <w:top w:val="single" w:sz="4" w:space="0" w:color="auto"/>
              <w:left w:val="single" w:sz="4" w:space="0" w:color="auto"/>
              <w:bottom w:val="single" w:sz="4" w:space="0" w:color="auto"/>
              <w:right w:val="single" w:sz="4" w:space="0" w:color="auto"/>
            </w:tcBorders>
            <w:vAlign w:val="center"/>
            <w:hideMark/>
          </w:tcPr>
          <w:p w14:paraId="2B4B4322" w14:textId="77777777" w:rsidR="00515398" w:rsidRDefault="00515398">
            <w:pPr>
              <w:spacing w:after="0" w:line="240" w:lineRule="auto"/>
              <w:rPr>
                <w:rFonts w:ascii="Times New Roman" w:eastAsia="Times New Roman" w:hAnsi="Times New Roman" w:cs="Times New Roman"/>
                <w:b/>
                <w:bCs/>
                <w:noProof/>
                <w:sz w:val="18"/>
                <w:szCs w:val="18"/>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15B2B39" w14:textId="77777777" w:rsidR="00515398" w:rsidRDefault="00515398">
            <w:pPr>
              <w:spacing w:after="0" w:line="240" w:lineRule="auto"/>
              <w:rPr>
                <w:rFonts w:ascii="Times New Roman" w:eastAsia="Times New Roman" w:hAnsi="Times New Roman" w:cs="Times New Roman"/>
                <w:b/>
                <w:bCs/>
                <w:noProof/>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195E235" w14:textId="77777777" w:rsidR="00515398" w:rsidRDefault="00515398">
            <w:pPr>
              <w:spacing w:after="0" w:line="240" w:lineRule="auto"/>
              <w:rPr>
                <w:rFonts w:ascii="Times New Roman" w:eastAsia="Times New Roman" w:hAnsi="Times New Roman" w:cs="Times New Roman"/>
                <w:b/>
                <w:bCs/>
                <w:noProof/>
                <w:sz w:val="18"/>
                <w:szCs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E13BD16" w14:textId="77777777" w:rsidR="00515398" w:rsidRDefault="00515398">
            <w:pPr>
              <w:spacing w:after="0" w:line="240" w:lineRule="auto"/>
              <w:rPr>
                <w:rFonts w:ascii="Times New Roman" w:eastAsia="Times New Roman" w:hAnsi="Times New Roman" w:cs="Times New Roman"/>
                <w:b/>
                <w:bCs/>
                <w:noProof/>
                <w:sz w:val="18"/>
                <w:szCs w:val="18"/>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2649ABF4" w14:textId="77777777" w:rsidR="00515398" w:rsidRDefault="00515398">
            <w:pPr>
              <w:spacing w:after="0" w:line="240" w:lineRule="auto"/>
              <w:rPr>
                <w:rFonts w:ascii="Times New Roman" w:eastAsia="Times New Roman" w:hAnsi="Times New Roman" w:cs="Times New Roman"/>
                <w:b/>
                <w:bCs/>
                <w:noProof/>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3567F40"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960" w:type="dxa"/>
            <w:tcBorders>
              <w:top w:val="nil"/>
              <w:left w:val="nil"/>
              <w:bottom w:val="single" w:sz="4" w:space="0" w:color="auto"/>
              <w:right w:val="single" w:sz="4" w:space="0" w:color="auto"/>
            </w:tcBorders>
            <w:shd w:val="clear" w:color="auto" w:fill="BDD7EE"/>
            <w:vAlign w:val="center"/>
            <w:hideMark/>
          </w:tcPr>
          <w:p w14:paraId="585CA702"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607" w:type="dxa"/>
            <w:tcBorders>
              <w:top w:val="nil"/>
              <w:left w:val="nil"/>
              <w:bottom w:val="single" w:sz="4" w:space="0" w:color="auto"/>
              <w:right w:val="single" w:sz="4" w:space="0" w:color="auto"/>
            </w:tcBorders>
            <w:shd w:val="clear" w:color="auto" w:fill="BDD7EE"/>
            <w:vAlign w:val="center"/>
            <w:hideMark/>
          </w:tcPr>
          <w:p w14:paraId="757FD768"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992" w:type="dxa"/>
            <w:tcBorders>
              <w:top w:val="nil"/>
              <w:left w:val="nil"/>
              <w:bottom w:val="single" w:sz="4" w:space="0" w:color="auto"/>
              <w:right w:val="single" w:sz="4" w:space="0" w:color="auto"/>
            </w:tcBorders>
            <w:shd w:val="clear" w:color="auto" w:fill="BDD7EE"/>
            <w:vAlign w:val="center"/>
            <w:hideMark/>
          </w:tcPr>
          <w:p w14:paraId="4477AF43"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707" w:type="dxa"/>
            <w:tcBorders>
              <w:top w:val="nil"/>
              <w:left w:val="nil"/>
              <w:bottom w:val="single" w:sz="4" w:space="0" w:color="auto"/>
              <w:right w:val="single" w:sz="4" w:space="0" w:color="auto"/>
            </w:tcBorders>
            <w:shd w:val="clear" w:color="auto" w:fill="BDD7EE"/>
            <w:vAlign w:val="center"/>
            <w:hideMark/>
          </w:tcPr>
          <w:p w14:paraId="3E8B6832"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3965" w:type="dxa"/>
            <w:vMerge/>
            <w:tcBorders>
              <w:top w:val="single" w:sz="4" w:space="0" w:color="auto"/>
              <w:bottom w:val="single" w:sz="4" w:space="0" w:color="auto"/>
              <w:right w:val="single" w:sz="4" w:space="0" w:color="auto"/>
            </w:tcBorders>
            <w:vAlign w:val="center"/>
            <w:hideMark/>
          </w:tcPr>
          <w:p w14:paraId="05290B40"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796AE372"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534DD6F2" w14:textId="77777777" w:rsidR="00515398" w:rsidRDefault="006711E6">
            <w:pPr>
              <w:pStyle w:val="P68B1DB1-Normal9"/>
              <w:spacing w:after="0" w:line="240" w:lineRule="auto"/>
              <w:rPr>
                <w:rFonts w:eastAsia="Times New Roman" w:cs="Calibri"/>
                <w:noProof/>
                <w:szCs w:val="18"/>
              </w:rPr>
            </w:pPr>
            <w:r>
              <w:rPr>
                <w:noProof/>
              </w:rPr>
              <w:t>245</w:t>
            </w:r>
          </w:p>
        </w:tc>
        <w:tc>
          <w:tcPr>
            <w:tcW w:w="2055" w:type="dxa"/>
            <w:tcBorders>
              <w:top w:val="single" w:sz="4" w:space="0" w:color="auto"/>
              <w:left w:val="nil"/>
              <w:bottom w:val="single" w:sz="4" w:space="0" w:color="auto"/>
              <w:right w:val="single" w:sz="4" w:space="0" w:color="auto"/>
            </w:tcBorders>
            <w:shd w:val="clear" w:color="auto" w:fill="C6EFCE"/>
            <w:noWrap/>
          </w:tcPr>
          <w:p w14:paraId="6C3BDB73" w14:textId="77777777" w:rsidR="00515398" w:rsidRDefault="006711E6">
            <w:pPr>
              <w:pStyle w:val="P68B1DB1-Normal9"/>
              <w:spacing w:after="0" w:line="240" w:lineRule="auto"/>
              <w:rPr>
                <w:rFonts w:eastAsia="Times New Roman" w:cs="Calibri"/>
                <w:noProof/>
                <w:szCs w:val="18"/>
              </w:rPr>
            </w:pPr>
            <w:r>
              <w:rPr>
                <w:noProof/>
              </w:rPr>
              <w:t>16–4.5. Podpora výzkumu a inovací – 16618_Základní a aplikovaný výzkum</w:t>
            </w:r>
          </w:p>
        </w:tc>
        <w:tc>
          <w:tcPr>
            <w:tcW w:w="1094" w:type="dxa"/>
            <w:tcBorders>
              <w:top w:val="single" w:sz="4" w:space="0" w:color="auto"/>
              <w:left w:val="nil"/>
              <w:bottom w:val="single" w:sz="4" w:space="0" w:color="auto"/>
              <w:right w:val="single" w:sz="4" w:space="0" w:color="auto"/>
            </w:tcBorders>
            <w:shd w:val="clear" w:color="auto" w:fill="C6EFCE"/>
            <w:noWrap/>
          </w:tcPr>
          <w:p w14:paraId="4F5ECD4D"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single" w:sz="4" w:space="0" w:color="auto"/>
              <w:left w:val="nil"/>
              <w:bottom w:val="single" w:sz="4" w:space="0" w:color="auto"/>
              <w:right w:val="single" w:sz="4" w:space="0" w:color="auto"/>
            </w:tcBorders>
            <w:shd w:val="clear" w:color="auto" w:fill="C6EFCE"/>
            <w:noWrap/>
          </w:tcPr>
          <w:p w14:paraId="02F6ED00" w14:textId="77777777" w:rsidR="00515398" w:rsidRDefault="006711E6">
            <w:pPr>
              <w:pStyle w:val="P68B1DB1-Normal9"/>
              <w:spacing w:after="0" w:line="240" w:lineRule="auto"/>
              <w:rPr>
                <w:rFonts w:eastAsia="Times New Roman" w:cs="Calibri"/>
                <w:noProof/>
                <w:szCs w:val="18"/>
              </w:rPr>
            </w:pPr>
            <w:r>
              <w:rPr>
                <w:noProof/>
              </w:rPr>
              <w:t>Právní předpisy o základním a aplikovaném výzkumu</w:t>
            </w:r>
          </w:p>
        </w:tc>
        <w:tc>
          <w:tcPr>
            <w:tcW w:w="1774" w:type="dxa"/>
            <w:tcBorders>
              <w:top w:val="single" w:sz="4" w:space="0" w:color="auto"/>
              <w:left w:val="nil"/>
              <w:bottom w:val="single" w:sz="4" w:space="0" w:color="auto"/>
              <w:right w:val="single" w:sz="4" w:space="0" w:color="auto"/>
            </w:tcBorders>
            <w:shd w:val="clear" w:color="auto" w:fill="C6EFCE"/>
            <w:noWrap/>
          </w:tcPr>
          <w:p w14:paraId="55EECD4D" w14:textId="77777777" w:rsidR="00515398" w:rsidRDefault="006711E6">
            <w:pPr>
              <w:pStyle w:val="P68B1DB1-Normal9"/>
              <w:spacing w:after="0" w:line="240" w:lineRule="auto"/>
              <w:rPr>
                <w:rFonts w:eastAsia="Times New Roman" w:cs="Calibri"/>
                <w:noProof/>
                <w:szCs w:val="18"/>
              </w:rPr>
            </w:pPr>
            <w:r>
              <w:rPr>
                <w:noProof/>
              </w:rPr>
              <w:t>Vstup právních předpisů v platnost (primární a sekundární akty zřizující právnické osoby)</w:t>
            </w:r>
          </w:p>
        </w:tc>
        <w:tc>
          <w:tcPr>
            <w:tcW w:w="960" w:type="dxa"/>
            <w:tcBorders>
              <w:top w:val="single" w:sz="4" w:space="0" w:color="auto"/>
              <w:left w:val="nil"/>
              <w:bottom w:val="single" w:sz="4" w:space="0" w:color="auto"/>
              <w:right w:val="single" w:sz="4" w:space="0" w:color="auto"/>
            </w:tcBorders>
            <w:shd w:val="clear" w:color="auto" w:fill="C6EFCE"/>
            <w:noWrap/>
          </w:tcPr>
          <w:p w14:paraId="4546D492"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955CE77" w14:textId="77777777" w:rsidR="00515398" w:rsidRDefault="00515398">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7BDE7482"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02891CB" w14:textId="77777777" w:rsidR="00515398" w:rsidRDefault="006711E6">
            <w:pPr>
              <w:pStyle w:val="P68B1DB1-Normal9"/>
              <w:spacing w:after="0" w:line="240" w:lineRule="auto"/>
              <w:rPr>
                <w:rFonts w:eastAsia="Times New Roman" w:cs="Calibri"/>
                <w:noProof/>
                <w:szCs w:val="18"/>
              </w:rPr>
            </w:pPr>
            <w:r>
              <w:rPr>
                <w:noProof/>
              </w:rPr>
              <w:t>ČTVRTLETÍ 1</w:t>
            </w:r>
          </w:p>
        </w:tc>
        <w:tc>
          <w:tcPr>
            <w:tcW w:w="707" w:type="dxa"/>
            <w:tcBorders>
              <w:top w:val="nil"/>
              <w:left w:val="nil"/>
              <w:bottom w:val="single" w:sz="4" w:space="0" w:color="auto"/>
              <w:right w:val="single" w:sz="4" w:space="0" w:color="auto"/>
            </w:tcBorders>
            <w:shd w:val="clear" w:color="auto" w:fill="C6EFCE"/>
            <w:noWrap/>
          </w:tcPr>
          <w:p w14:paraId="4F6DE83F" w14:textId="77777777" w:rsidR="00515398" w:rsidRDefault="006711E6">
            <w:pPr>
              <w:pStyle w:val="P68B1DB1-Normal9"/>
              <w:spacing w:after="0" w:line="240" w:lineRule="auto"/>
              <w:rPr>
                <w:rFonts w:eastAsia="Times New Roman" w:cs="Calibri"/>
                <w:noProof/>
                <w:szCs w:val="18"/>
              </w:rPr>
            </w:pPr>
            <w:r>
              <w:rPr>
                <w:noProof/>
              </w:rPr>
              <w:t>2022</w:t>
            </w:r>
          </w:p>
        </w:tc>
        <w:tc>
          <w:tcPr>
            <w:tcW w:w="3965" w:type="dxa"/>
            <w:tcBorders>
              <w:top w:val="single" w:sz="4" w:space="0" w:color="auto"/>
              <w:left w:val="nil"/>
              <w:bottom w:val="single" w:sz="4" w:space="0" w:color="auto"/>
              <w:right w:val="single" w:sz="4" w:space="0" w:color="auto"/>
            </w:tcBorders>
            <w:shd w:val="clear" w:color="auto" w:fill="C6EFCE"/>
            <w:noWrap/>
          </w:tcPr>
          <w:p w14:paraId="46738803" w14:textId="77777777" w:rsidR="00515398" w:rsidRDefault="006711E6">
            <w:pPr>
              <w:pStyle w:val="P68B1DB1-Normal9"/>
              <w:spacing w:after="0" w:line="240" w:lineRule="auto"/>
              <w:rPr>
                <w:rFonts w:eastAsia="Times New Roman" w:cs="Calibri"/>
                <w:noProof/>
                <w:szCs w:val="18"/>
              </w:rPr>
            </w:pPr>
            <w:r>
              <w:rPr>
                <w:noProof/>
              </w:rPr>
              <w:t>Vstup v platnost revidovaného právního rámce pro základní a aplikovaný výzkum a vydání sekundárních aktů, kterými se zřizují právní subjekty.</w:t>
            </w:r>
          </w:p>
          <w:p w14:paraId="5935ADBC" w14:textId="77777777" w:rsidR="00515398" w:rsidRDefault="00515398">
            <w:pPr>
              <w:spacing w:after="0" w:line="240" w:lineRule="auto"/>
              <w:rPr>
                <w:rFonts w:eastAsia="Times New Roman" w:cs="Calibri"/>
                <w:noProof/>
                <w:color w:val="006100"/>
                <w:sz w:val="18"/>
                <w:szCs w:val="18"/>
              </w:rPr>
            </w:pPr>
          </w:p>
          <w:p w14:paraId="7B56EC8B" w14:textId="77777777" w:rsidR="00515398" w:rsidRDefault="006711E6">
            <w:pPr>
              <w:pStyle w:val="P68B1DB1-Normal9"/>
              <w:spacing w:after="0" w:line="240" w:lineRule="auto"/>
              <w:rPr>
                <w:rFonts w:eastAsia="Times New Roman" w:cs="Calibri"/>
                <w:noProof/>
                <w:szCs w:val="18"/>
              </w:rPr>
            </w:pPr>
            <w:r>
              <w:rPr>
                <w:noProof/>
              </w:rPr>
              <w:t>Prá</w:t>
            </w:r>
            <w:r>
              <w:rPr>
                <w:noProof/>
              </w:rPr>
              <w:t>vní rámec: a) nově definovat výzkumné oblasti pro výzvy k financování v rámci aktualizované národní strategie pro inteligentní specializaci (RIS3); b) vytvořit novou strukturu řízení s cílem zlepšit řízení a koordinaci těchto projektů; a c) stanovit právní</w:t>
            </w:r>
            <w:r>
              <w:rPr>
                <w:noProof/>
              </w:rPr>
              <w:t xml:space="preserve"> status nových výzkumných subjektů. </w:t>
            </w:r>
          </w:p>
          <w:p w14:paraId="50BD9C3D" w14:textId="77777777" w:rsidR="00515398" w:rsidRDefault="00515398">
            <w:pPr>
              <w:spacing w:after="0" w:line="240" w:lineRule="auto"/>
              <w:rPr>
                <w:rFonts w:eastAsia="Times New Roman" w:cs="Calibri"/>
                <w:noProof/>
                <w:color w:val="006100"/>
                <w:sz w:val="18"/>
                <w:szCs w:val="18"/>
              </w:rPr>
            </w:pPr>
          </w:p>
          <w:p w14:paraId="151FA0DC" w14:textId="77777777" w:rsidR="00515398" w:rsidRDefault="006711E6">
            <w:pPr>
              <w:pStyle w:val="P68B1DB1-Normal9"/>
              <w:spacing w:after="0" w:line="240" w:lineRule="auto"/>
              <w:rPr>
                <w:rFonts w:eastAsia="Times New Roman" w:cs="Calibri"/>
                <w:noProof/>
                <w:szCs w:val="18"/>
              </w:rPr>
            </w:pPr>
            <w:r>
              <w:rPr>
                <w:noProof/>
              </w:rPr>
              <w:t>Oblasti výzkumu společně vymezí Národní rada pro výzkum a inovace (NCRI) a generální sekretariát pro výzkum a inovace ministerstva pro rozvoj (GSRI).</w:t>
            </w:r>
          </w:p>
        </w:tc>
      </w:tr>
      <w:tr w:rsidR="00515398" w14:paraId="33839893"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14A49037" w14:textId="77777777" w:rsidR="00515398" w:rsidRDefault="006711E6">
            <w:pPr>
              <w:pStyle w:val="P68B1DB1-Normal9"/>
              <w:spacing w:after="0" w:line="240" w:lineRule="auto"/>
              <w:rPr>
                <w:rFonts w:eastAsia="Times New Roman" w:cs="Calibri"/>
                <w:noProof/>
                <w:szCs w:val="18"/>
              </w:rPr>
            </w:pPr>
            <w:r>
              <w:rPr>
                <w:noProof/>
              </w:rPr>
              <w:t>246</w:t>
            </w:r>
          </w:p>
        </w:tc>
        <w:tc>
          <w:tcPr>
            <w:tcW w:w="2055" w:type="dxa"/>
            <w:tcBorders>
              <w:top w:val="nil"/>
              <w:left w:val="nil"/>
              <w:bottom w:val="single" w:sz="4" w:space="0" w:color="auto"/>
              <w:right w:val="single" w:sz="4" w:space="0" w:color="auto"/>
            </w:tcBorders>
            <w:shd w:val="clear" w:color="auto" w:fill="C6EFCE"/>
            <w:noWrap/>
          </w:tcPr>
          <w:p w14:paraId="083D54F1" w14:textId="77777777" w:rsidR="00515398" w:rsidRDefault="006711E6">
            <w:pPr>
              <w:pStyle w:val="P68B1DB1-Normal9"/>
              <w:spacing w:after="0" w:line="240" w:lineRule="auto"/>
              <w:rPr>
                <w:rFonts w:eastAsia="Times New Roman" w:cs="Calibri"/>
                <w:noProof/>
                <w:szCs w:val="18"/>
              </w:rPr>
            </w:pPr>
            <w:r>
              <w:rPr>
                <w:noProof/>
              </w:rPr>
              <w:t xml:space="preserve">16–4.5. Podpora výzkumu a inovací – 16624_Creation – Rozšíření </w:t>
            </w:r>
            <w:r>
              <w:rPr>
                <w:noProof/>
              </w:rPr>
              <w:t>– modernizace infrastruktur výzkumných středisek pod dohledem Generálního sekretariátu pro výzkum a inovace (GSRI)</w:t>
            </w:r>
          </w:p>
        </w:tc>
        <w:tc>
          <w:tcPr>
            <w:tcW w:w="1094" w:type="dxa"/>
            <w:tcBorders>
              <w:top w:val="nil"/>
              <w:left w:val="nil"/>
              <w:bottom w:val="single" w:sz="4" w:space="0" w:color="auto"/>
              <w:right w:val="single" w:sz="4" w:space="0" w:color="auto"/>
            </w:tcBorders>
            <w:shd w:val="clear" w:color="auto" w:fill="C6EFCE"/>
            <w:noWrap/>
          </w:tcPr>
          <w:p w14:paraId="33F0558D"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nil"/>
              <w:left w:val="nil"/>
              <w:bottom w:val="single" w:sz="4" w:space="0" w:color="auto"/>
              <w:right w:val="single" w:sz="4" w:space="0" w:color="auto"/>
            </w:tcBorders>
            <w:shd w:val="clear" w:color="auto" w:fill="C6EFCE"/>
            <w:noWrap/>
          </w:tcPr>
          <w:p w14:paraId="260EDE50" w14:textId="77777777" w:rsidR="00515398" w:rsidRDefault="006711E6">
            <w:pPr>
              <w:pStyle w:val="P68B1DB1-Normal9"/>
              <w:spacing w:after="0" w:line="240" w:lineRule="auto"/>
              <w:rPr>
                <w:rFonts w:eastAsia="Times New Roman" w:cs="Calibri"/>
                <w:noProof/>
                <w:szCs w:val="18"/>
              </w:rPr>
            </w:pPr>
            <w:r>
              <w:rPr>
                <w:noProof/>
              </w:rPr>
              <w:t>Výzva k předkládání návrhů pro výzkumná střediska</w:t>
            </w:r>
          </w:p>
        </w:tc>
        <w:tc>
          <w:tcPr>
            <w:tcW w:w="1774" w:type="dxa"/>
            <w:tcBorders>
              <w:top w:val="nil"/>
              <w:left w:val="nil"/>
              <w:bottom w:val="single" w:sz="4" w:space="0" w:color="auto"/>
              <w:right w:val="single" w:sz="4" w:space="0" w:color="auto"/>
            </w:tcBorders>
            <w:shd w:val="clear" w:color="auto" w:fill="C6EFCE"/>
            <w:noWrap/>
          </w:tcPr>
          <w:p w14:paraId="23735F9B" w14:textId="77777777" w:rsidR="00515398" w:rsidRDefault="006711E6">
            <w:pPr>
              <w:pStyle w:val="P68B1DB1-Normal9"/>
              <w:spacing w:after="0" w:line="240" w:lineRule="auto"/>
              <w:rPr>
                <w:rFonts w:eastAsia="Times New Roman" w:cs="Calibri"/>
                <w:noProof/>
                <w:szCs w:val="18"/>
              </w:rPr>
            </w:pPr>
            <w:r>
              <w:rPr>
                <w:noProof/>
              </w:rPr>
              <w:t>Vyhlášená výzva k předkládání návrhů a zveřejněná zadávací dokumentace</w:t>
            </w:r>
          </w:p>
        </w:tc>
        <w:tc>
          <w:tcPr>
            <w:tcW w:w="960" w:type="dxa"/>
            <w:tcBorders>
              <w:top w:val="nil"/>
              <w:left w:val="nil"/>
              <w:bottom w:val="single" w:sz="4" w:space="0" w:color="auto"/>
              <w:right w:val="single" w:sz="4" w:space="0" w:color="auto"/>
            </w:tcBorders>
            <w:shd w:val="clear" w:color="auto" w:fill="C6EFCE"/>
            <w:noWrap/>
          </w:tcPr>
          <w:p w14:paraId="1C278E29"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34856DFF" w14:textId="77777777" w:rsidR="00515398" w:rsidRDefault="00515398">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7DD9A4D4"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1954703" w14:textId="77777777" w:rsidR="00515398" w:rsidRDefault="006711E6">
            <w:pPr>
              <w:pStyle w:val="P68B1DB1-Normal9"/>
              <w:spacing w:after="0" w:line="240" w:lineRule="auto"/>
              <w:rPr>
                <w:rFonts w:eastAsia="Times New Roman" w:cs="Calibri"/>
                <w:noProof/>
                <w:szCs w:val="18"/>
              </w:rPr>
            </w:pPr>
            <w:r>
              <w:rPr>
                <w:noProof/>
              </w:rPr>
              <w:t xml:space="preserve">ČTVRTLETÍ </w:t>
            </w:r>
            <w:r>
              <w:rPr>
                <w:noProof/>
              </w:rPr>
              <w:t>1</w:t>
            </w:r>
          </w:p>
        </w:tc>
        <w:tc>
          <w:tcPr>
            <w:tcW w:w="707" w:type="dxa"/>
            <w:tcBorders>
              <w:top w:val="nil"/>
              <w:left w:val="nil"/>
              <w:bottom w:val="single" w:sz="4" w:space="0" w:color="auto"/>
              <w:right w:val="single" w:sz="4" w:space="0" w:color="auto"/>
            </w:tcBorders>
            <w:shd w:val="clear" w:color="auto" w:fill="C6EFCE"/>
            <w:noWrap/>
          </w:tcPr>
          <w:p w14:paraId="76D20A70" w14:textId="77777777" w:rsidR="00515398" w:rsidRDefault="006711E6">
            <w:pPr>
              <w:pStyle w:val="P68B1DB1-Normal9"/>
              <w:spacing w:after="0" w:line="240" w:lineRule="auto"/>
              <w:rPr>
                <w:rFonts w:eastAsia="Times New Roman" w:cs="Calibri"/>
                <w:noProof/>
                <w:szCs w:val="18"/>
              </w:rPr>
            </w:pPr>
            <w:r>
              <w:rPr>
                <w:noProof/>
              </w:rPr>
              <w:t>2022</w:t>
            </w:r>
          </w:p>
        </w:tc>
        <w:tc>
          <w:tcPr>
            <w:tcW w:w="3965" w:type="dxa"/>
            <w:tcBorders>
              <w:top w:val="nil"/>
              <w:left w:val="nil"/>
              <w:bottom w:val="single" w:sz="4" w:space="0" w:color="auto"/>
              <w:right w:val="single" w:sz="4" w:space="0" w:color="auto"/>
            </w:tcBorders>
            <w:shd w:val="clear" w:color="auto" w:fill="C6EFCE"/>
            <w:noWrap/>
          </w:tcPr>
          <w:p w14:paraId="72E76E69" w14:textId="77777777" w:rsidR="00515398" w:rsidRDefault="006711E6">
            <w:pPr>
              <w:pStyle w:val="P68B1DB1-Normal9"/>
              <w:spacing w:after="0" w:line="240" w:lineRule="auto"/>
              <w:rPr>
                <w:rFonts w:eastAsia="Times New Roman" w:cs="Calibri"/>
                <w:noProof/>
                <w:szCs w:val="18"/>
              </w:rPr>
            </w:pPr>
            <w:r>
              <w:rPr>
                <w:noProof/>
              </w:rPr>
              <w:t>Vyhlášení výzvy k předkládání návrhů na vytvoření – rozšíření – modernizace infrastruktury výzkumných středisek, včetně zveřejnění zadávací dokumentace, která zajistí, aby vybrané žádosti byly v souladu s technickými pokyny k zásadě „významně nepošk</w:t>
            </w:r>
            <w:r>
              <w:rPr>
                <w:noProof/>
              </w:rPr>
              <w:t>ozovat“ (2021/C58/01), a to prostřednictvím seznamu výjimek a požadavku souladu s příslušnými právními předpisy EU a vnitrostátními právními předpisy v oblasti životního prostředí.</w:t>
            </w:r>
          </w:p>
        </w:tc>
      </w:tr>
      <w:tr w:rsidR="00515398" w14:paraId="346D1E71"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5A80FE91" w14:textId="77777777" w:rsidR="00515398" w:rsidRDefault="006711E6">
            <w:pPr>
              <w:pStyle w:val="P68B1DB1-Normal9"/>
              <w:spacing w:after="0" w:line="240" w:lineRule="auto"/>
              <w:rPr>
                <w:rFonts w:eastAsia="Times New Roman" w:cs="Calibri"/>
                <w:noProof/>
                <w:szCs w:val="18"/>
              </w:rPr>
            </w:pPr>
            <w:r>
              <w:rPr>
                <w:noProof/>
              </w:rPr>
              <w:t>247</w:t>
            </w:r>
          </w:p>
        </w:tc>
        <w:tc>
          <w:tcPr>
            <w:tcW w:w="2055" w:type="dxa"/>
            <w:tcBorders>
              <w:top w:val="nil"/>
              <w:left w:val="nil"/>
              <w:bottom w:val="single" w:sz="4" w:space="0" w:color="auto"/>
              <w:right w:val="single" w:sz="4" w:space="0" w:color="auto"/>
            </w:tcBorders>
            <w:shd w:val="clear" w:color="auto" w:fill="C6EFCE"/>
            <w:noWrap/>
          </w:tcPr>
          <w:p w14:paraId="21B2DF3D" w14:textId="77777777" w:rsidR="00515398" w:rsidRDefault="006711E6">
            <w:pPr>
              <w:pStyle w:val="P68B1DB1-Normal9"/>
              <w:spacing w:after="0" w:line="240" w:lineRule="auto"/>
              <w:rPr>
                <w:rFonts w:eastAsia="Times New Roman" w:cs="Calibri"/>
                <w:noProof/>
                <w:szCs w:val="18"/>
              </w:rPr>
            </w:pPr>
            <w:r>
              <w:rPr>
                <w:noProof/>
              </w:rPr>
              <w:t xml:space="preserve">16–4.5. Podpora výzkumu a inovací – 16624_Creation – Rozšíření – </w:t>
            </w:r>
            <w:r>
              <w:rPr>
                <w:noProof/>
              </w:rPr>
              <w:t>modernizace infrastruktur výzkumných středisek pod dohledem Generálního sekretariátu pro výzkum a inovace (GSRI)</w:t>
            </w:r>
          </w:p>
        </w:tc>
        <w:tc>
          <w:tcPr>
            <w:tcW w:w="1094" w:type="dxa"/>
            <w:tcBorders>
              <w:top w:val="nil"/>
              <w:left w:val="nil"/>
              <w:bottom w:val="single" w:sz="4" w:space="0" w:color="auto"/>
              <w:right w:val="single" w:sz="4" w:space="0" w:color="auto"/>
            </w:tcBorders>
            <w:shd w:val="clear" w:color="auto" w:fill="C6EFCE"/>
            <w:noWrap/>
          </w:tcPr>
          <w:p w14:paraId="662AE37A"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nil"/>
              <w:left w:val="nil"/>
              <w:bottom w:val="single" w:sz="4" w:space="0" w:color="auto"/>
              <w:right w:val="single" w:sz="4" w:space="0" w:color="auto"/>
            </w:tcBorders>
            <w:shd w:val="clear" w:color="auto" w:fill="C6EFCE"/>
            <w:noWrap/>
          </w:tcPr>
          <w:p w14:paraId="1665A1A1" w14:textId="77777777" w:rsidR="00515398" w:rsidRDefault="006711E6">
            <w:pPr>
              <w:pStyle w:val="P68B1DB1-Normal9"/>
              <w:spacing w:after="0" w:line="240" w:lineRule="auto"/>
              <w:rPr>
                <w:rFonts w:eastAsia="Times New Roman" w:cs="Calibri"/>
                <w:noProof/>
                <w:szCs w:val="18"/>
              </w:rPr>
            </w:pPr>
            <w:r>
              <w:rPr>
                <w:noProof/>
              </w:rPr>
              <w:t>Zadávání zakázek výzkumným střediskům – stavební práce</w:t>
            </w:r>
          </w:p>
        </w:tc>
        <w:tc>
          <w:tcPr>
            <w:tcW w:w="1774" w:type="dxa"/>
            <w:tcBorders>
              <w:top w:val="nil"/>
              <w:left w:val="nil"/>
              <w:bottom w:val="single" w:sz="4" w:space="0" w:color="auto"/>
              <w:right w:val="single" w:sz="4" w:space="0" w:color="auto"/>
            </w:tcBorders>
            <w:shd w:val="clear" w:color="auto" w:fill="C6EFCE"/>
            <w:noWrap/>
          </w:tcPr>
          <w:p w14:paraId="53F65CF4" w14:textId="77777777" w:rsidR="00515398" w:rsidRDefault="006711E6">
            <w:pPr>
              <w:pStyle w:val="P68B1DB1-Normal9"/>
              <w:spacing w:after="0" w:line="240" w:lineRule="auto"/>
              <w:rPr>
                <w:rFonts w:eastAsia="Times New Roman" w:cs="Calibri"/>
                <w:noProof/>
                <w:szCs w:val="18"/>
              </w:rPr>
            </w:pPr>
            <w:r>
              <w:rPr>
                <w:noProof/>
              </w:rPr>
              <w:t>Oznámení o zadání zakázek na stavební práce</w:t>
            </w:r>
          </w:p>
        </w:tc>
        <w:tc>
          <w:tcPr>
            <w:tcW w:w="960" w:type="dxa"/>
            <w:tcBorders>
              <w:top w:val="nil"/>
              <w:left w:val="nil"/>
              <w:bottom w:val="single" w:sz="4" w:space="0" w:color="auto"/>
              <w:right w:val="single" w:sz="4" w:space="0" w:color="auto"/>
            </w:tcBorders>
            <w:shd w:val="clear" w:color="auto" w:fill="C6EFCE"/>
            <w:noWrap/>
          </w:tcPr>
          <w:p w14:paraId="2D58D0B6"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434BA850" w14:textId="77777777" w:rsidR="00515398" w:rsidRDefault="00515398">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4884E8DE"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2DE66464" w14:textId="77777777" w:rsidR="00515398" w:rsidRDefault="006711E6">
            <w:pPr>
              <w:pStyle w:val="P68B1DB1-Normal9"/>
              <w:spacing w:after="0" w:line="240" w:lineRule="auto"/>
              <w:rPr>
                <w:rFonts w:eastAsia="Times New Roman" w:cs="Calibri"/>
                <w:noProof/>
                <w:szCs w:val="18"/>
              </w:rPr>
            </w:pPr>
            <w:r>
              <w:rPr>
                <w:noProof/>
              </w:rPr>
              <w:t>ČTVRTLETÍ 1</w:t>
            </w:r>
          </w:p>
        </w:tc>
        <w:tc>
          <w:tcPr>
            <w:tcW w:w="707" w:type="dxa"/>
            <w:tcBorders>
              <w:top w:val="nil"/>
              <w:left w:val="nil"/>
              <w:bottom w:val="single" w:sz="4" w:space="0" w:color="auto"/>
              <w:right w:val="single" w:sz="4" w:space="0" w:color="auto"/>
            </w:tcBorders>
            <w:shd w:val="clear" w:color="auto" w:fill="C6EFCE"/>
            <w:noWrap/>
          </w:tcPr>
          <w:p w14:paraId="7AA61EB3" w14:textId="77777777" w:rsidR="00515398" w:rsidRDefault="006711E6">
            <w:pPr>
              <w:pStyle w:val="P68B1DB1-Normal9"/>
              <w:spacing w:after="0" w:line="240" w:lineRule="auto"/>
              <w:rPr>
                <w:rFonts w:eastAsia="Times New Roman" w:cs="Calibri"/>
                <w:noProof/>
                <w:szCs w:val="18"/>
              </w:rPr>
            </w:pPr>
            <w:r>
              <w:rPr>
                <w:noProof/>
              </w:rPr>
              <w:t>2024</w:t>
            </w:r>
          </w:p>
        </w:tc>
        <w:tc>
          <w:tcPr>
            <w:tcW w:w="3965" w:type="dxa"/>
            <w:tcBorders>
              <w:top w:val="nil"/>
              <w:left w:val="nil"/>
              <w:bottom w:val="single" w:sz="4" w:space="0" w:color="auto"/>
              <w:right w:val="single" w:sz="4" w:space="0" w:color="auto"/>
            </w:tcBorders>
            <w:shd w:val="clear" w:color="auto" w:fill="C6EFCE"/>
            <w:noWrap/>
          </w:tcPr>
          <w:p w14:paraId="51F4B914" w14:textId="5041D761" w:rsidR="00515398" w:rsidRDefault="006711E6">
            <w:pPr>
              <w:pStyle w:val="P68B1DB1-Normal9"/>
              <w:spacing w:after="0" w:line="240" w:lineRule="auto"/>
              <w:rPr>
                <w:noProof/>
              </w:rPr>
            </w:pPr>
            <w:r>
              <w:rPr>
                <w:noProof/>
              </w:rPr>
              <w:t>Oznámení o zadání zakázek na stavební práce týkající se těchto výzkumných středisek: Nadace pro výzkum a technologie Hellas; Výzkumné a inovační středisko Athena; BSRC Fleming; Centrum pro výzkum a technologie Hellas; Národní Řecká výzkumná nadace; Athénsk</w:t>
            </w:r>
            <w:r>
              <w:rPr>
                <w:noProof/>
              </w:rPr>
              <w:t>á akademie biomedicínského výzkumu; Národní středisko pro sledování Atén; Řecké středisko pro mořský výzkum; Řecký Pasteurův institut.</w:t>
            </w:r>
          </w:p>
        </w:tc>
      </w:tr>
      <w:tr w:rsidR="00515398" w14:paraId="63E9C2F5"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59359749" w14:textId="77777777" w:rsidR="00515398" w:rsidRDefault="006711E6">
            <w:pPr>
              <w:pStyle w:val="P68B1DB1-Normal9"/>
              <w:spacing w:after="0" w:line="240" w:lineRule="auto"/>
              <w:rPr>
                <w:rFonts w:eastAsia="Times New Roman" w:cs="Calibri"/>
                <w:noProof/>
                <w:szCs w:val="18"/>
              </w:rPr>
            </w:pPr>
            <w:r>
              <w:rPr>
                <w:noProof/>
              </w:rPr>
              <w:t>247a</w:t>
            </w:r>
          </w:p>
        </w:tc>
        <w:tc>
          <w:tcPr>
            <w:tcW w:w="2055" w:type="dxa"/>
            <w:tcBorders>
              <w:top w:val="nil"/>
              <w:left w:val="nil"/>
              <w:bottom w:val="single" w:sz="4" w:space="0" w:color="auto"/>
              <w:right w:val="single" w:sz="4" w:space="0" w:color="auto"/>
            </w:tcBorders>
            <w:shd w:val="clear" w:color="auto" w:fill="C6EFCE"/>
            <w:noWrap/>
          </w:tcPr>
          <w:p w14:paraId="77F9BB3C" w14:textId="77777777" w:rsidR="00515398" w:rsidRDefault="006711E6">
            <w:pPr>
              <w:pStyle w:val="P68B1DB1-Normal9"/>
              <w:spacing w:after="0" w:line="240" w:lineRule="auto"/>
              <w:rPr>
                <w:rFonts w:eastAsia="Times New Roman"/>
                <w:noProof/>
                <w:szCs w:val="18"/>
              </w:rPr>
            </w:pPr>
            <w:r>
              <w:rPr>
                <w:noProof/>
              </w:rPr>
              <w:t>16–4.5. Podpora výzkumu a inovací – 16624_Creation – Rozšíření – modernizace infrastruktur výzkumných středisek pod</w:t>
            </w:r>
            <w:r>
              <w:rPr>
                <w:noProof/>
              </w:rPr>
              <w:t xml:space="preserve"> dohledem Generálního sekretariátu pro výzkum a inovace (GSRI)</w:t>
            </w:r>
          </w:p>
        </w:tc>
        <w:tc>
          <w:tcPr>
            <w:tcW w:w="1094" w:type="dxa"/>
            <w:tcBorders>
              <w:top w:val="nil"/>
              <w:left w:val="nil"/>
              <w:bottom w:val="single" w:sz="4" w:space="0" w:color="auto"/>
              <w:right w:val="single" w:sz="4" w:space="0" w:color="auto"/>
            </w:tcBorders>
            <w:shd w:val="clear" w:color="auto" w:fill="C6EFCE"/>
            <w:noWrap/>
          </w:tcPr>
          <w:p w14:paraId="4290E655"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nil"/>
              <w:left w:val="nil"/>
              <w:bottom w:val="single" w:sz="4" w:space="0" w:color="auto"/>
              <w:right w:val="single" w:sz="4" w:space="0" w:color="auto"/>
            </w:tcBorders>
            <w:shd w:val="clear" w:color="auto" w:fill="C6EFCE"/>
            <w:noWrap/>
          </w:tcPr>
          <w:p w14:paraId="4BE11655" w14:textId="0E358A87" w:rsidR="00515398" w:rsidRDefault="006711E6">
            <w:pPr>
              <w:pStyle w:val="P68B1DB1-Normal9"/>
              <w:spacing w:after="0" w:line="240" w:lineRule="auto"/>
              <w:rPr>
                <w:rFonts w:eastAsia="Times New Roman" w:cs="Calibri"/>
                <w:noProof/>
                <w:szCs w:val="18"/>
              </w:rPr>
            </w:pPr>
            <w:r>
              <w:rPr>
                <w:noProof/>
              </w:rPr>
              <w:t xml:space="preserve">Zadávání zakázek výzkumným střediskům – nákup vybavení a budov </w:t>
            </w:r>
          </w:p>
        </w:tc>
        <w:tc>
          <w:tcPr>
            <w:tcW w:w="1774" w:type="dxa"/>
            <w:tcBorders>
              <w:top w:val="nil"/>
              <w:left w:val="nil"/>
              <w:bottom w:val="single" w:sz="4" w:space="0" w:color="auto"/>
              <w:right w:val="single" w:sz="4" w:space="0" w:color="auto"/>
            </w:tcBorders>
            <w:shd w:val="clear" w:color="auto" w:fill="C6EFCE"/>
            <w:noWrap/>
          </w:tcPr>
          <w:p w14:paraId="15229159" w14:textId="37100415" w:rsidR="00515398" w:rsidRDefault="006711E6">
            <w:pPr>
              <w:pStyle w:val="P68B1DB1-Normal9"/>
              <w:spacing w:after="0" w:line="240" w:lineRule="auto"/>
              <w:rPr>
                <w:rFonts w:eastAsia="Times New Roman" w:cs="Calibri"/>
                <w:noProof/>
                <w:szCs w:val="18"/>
              </w:rPr>
            </w:pPr>
            <w:r>
              <w:rPr>
                <w:noProof/>
              </w:rPr>
              <w:t>Oznámení o zadání zakázek na nákup vybavení a budov</w:t>
            </w:r>
          </w:p>
        </w:tc>
        <w:tc>
          <w:tcPr>
            <w:tcW w:w="960" w:type="dxa"/>
            <w:tcBorders>
              <w:top w:val="nil"/>
              <w:left w:val="nil"/>
              <w:bottom w:val="single" w:sz="4" w:space="0" w:color="auto"/>
              <w:right w:val="single" w:sz="4" w:space="0" w:color="auto"/>
            </w:tcBorders>
            <w:shd w:val="clear" w:color="auto" w:fill="C6EFCE"/>
            <w:noWrap/>
          </w:tcPr>
          <w:p w14:paraId="6A2ECE55"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20AE8C44" w14:textId="77777777" w:rsidR="00515398" w:rsidRDefault="00515398">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6347CA11"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541FE550" w14:textId="77777777" w:rsidR="00515398" w:rsidRDefault="006711E6">
            <w:pPr>
              <w:pStyle w:val="P68B1DB1-Normal9"/>
              <w:spacing w:after="0" w:line="240" w:lineRule="auto"/>
              <w:rPr>
                <w:rFonts w:eastAsia="Times New Roman" w:cs="Calibri"/>
                <w:noProof/>
                <w:szCs w:val="18"/>
              </w:rPr>
            </w:pPr>
            <w:r>
              <w:rPr>
                <w:noProof/>
              </w:rPr>
              <w:t>ČTVRTLETÍ 3</w:t>
            </w:r>
          </w:p>
        </w:tc>
        <w:tc>
          <w:tcPr>
            <w:tcW w:w="707" w:type="dxa"/>
            <w:tcBorders>
              <w:top w:val="nil"/>
              <w:left w:val="nil"/>
              <w:bottom w:val="single" w:sz="4" w:space="0" w:color="auto"/>
              <w:right w:val="single" w:sz="4" w:space="0" w:color="auto"/>
            </w:tcBorders>
            <w:shd w:val="clear" w:color="auto" w:fill="C6EFCE"/>
            <w:noWrap/>
          </w:tcPr>
          <w:p w14:paraId="66AD008E" w14:textId="77777777" w:rsidR="00515398" w:rsidRDefault="006711E6">
            <w:pPr>
              <w:pStyle w:val="P68B1DB1-Normal9"/>
              <w:spacing w:after="0" w:line="240" w:lineRule="auto"/>
              <w:rPr>
                <w:rFonts w:eastAsia="Times New Roman" w:cs="Calibri"/>
                <w:noProof/>
                <w:szCs w:val="18"/>
              </w:rPr>
            </w:pPr>
            <w:r>
              <w:rPr>
                <w:noProof/>
              </w:rPr>
              <w:t>2024</w:t>
            </w:r>
          </w:p>
        </w:tc>
        <w:tc>
          <w:tcPr>
            <w:tcW w:w="3965" w:type="dxa"/>
            <w:tcBorders>
              <w:top w:val="nil"/>
              <w:left w:val="nil"/>
              <w:bottom w:val="single" w:sz="4" w:space="0" w:color="auto"/>
              <w:right w:val="single" w:sz="4" w:space="0" w:color="auto"/>
            </w:tcBorders>
            <w:shd w:val="clear" w:color="auto" w:fill="C6EFCE"/>
            <w:noWrap/>
          </w:tcPr>
          <w:p w14:paraId="15FB4744" w14:textId="1EB9F38F" w:rsidR="00515398" w:rsidRDefault="006711E6">
            <w:pPr>
              <w:pStyle w:val="P68B1DB1-Normal9"/>
              <w:spacing w:after="0" w:line="240" w:lineRule="auto"/>
              <w:rPr>
                <w:noProof/>
              </w:rPr>
            </w:pPr>
            <w:r>
              <w:rPr>
                <w:noProof/>
              </w:rPr>
              <w:t xml:space="preserve">Oznámení o zadání zakázek na: i) vybavení těchto </w:t>
            </w:r>
            <w:r>
              <w:rPr>
                <w:noProof/>
              </w:rPr>
              <w:t>výzkumných středisek: Nadace pro výzkum a technologie Hellas; Výzkumné a inovační středisko Athena; BSRC Fleming; Centrum pro výzkum a technologie Hellas; Národní Řecká výzkumná nadace; Athénská akademie biomedicínského výzkumu; Národní středisko pro sledo</w:t>
            </w:r>
            <w:r>
              <w:rPr>
                <w:noProof/>
              </w:rPr>
              <w:t>vání Atén; Řecké středisko pro mořský výzkum; Řecký Pasteurův institut; Národní středisko sociálního výzkumu; Řecká komise pro atomovou energii; II) nákup budov pro tato výzkumná střediska: Výzkumné a inovační středisko Athena; Národní středisko pro sledov</w:t>
            </w:r>
            <w:r>
              <w:rPr>
                <w:noProof/>
              </w:rPr>
              <w:t>ání Atén; Národní středisko sociálního výzkumu.</w:t>
            </w:r>
          </w:p>
        </w:tc>
      </w:tr>
      <w:tr w:rsidR="00515398" w14:paraId="6CE0DD48" w14:textId="77777777">
        <w:trPr>
          <w:trHeight w:val="309"/>
          <w:jc w:val="center"/>
        </w:trPr>
        <w:tc>
          <w:tcPr>
            <w:tcW w:w="1110" w:type="dxa"/>
            <w:tcBorders>
              <w:top w:val="nil"/>
              <w:left w:val="single" w:sz="4" w:space="0" w:color="auto"/>
              <w:bottom w:val="single" w:sz="4" w:space="0" w:color="auto"/>
              <w:right w:val="single" w:sz="4" w:space="0" w:color="auto"/>
            </w:tcBorders>
            <w:shd w:val="clear" w:color="auto" w:fill="C6EFCE"/>
            <w:noWrap/>
          </w:tcPr>
          <w:p w14:paraId="19E9273E" w14:textId="77777777" w:rsidR="00515398" w:rsidRDefault="006711E6">
            <w:pPr>
              <w:pStyle w:val="P68B1DB1-Normal9"/>
              <w:spacing w:after="0" w:line="240" w:lineRule="auto"/>
              <w:rPr>
                <w:rFonts w:eastAsia="Times New Roman" w:cs="Calibri"/>
                <w:noProof/>
                <w:szCs w:val="18"/>
              </w:rPr>
            </w:pPr>
            <w:r>
              <w:rPr>
                <w:noProof/>
              </w:rPr>
              <w:t>248</w:t>
            </w:r>
          </w:p>
        </w:tc>
        <w:tc>
          <w:tcPr>
            <w:tcW w:w="2055" w:type="dxa"/>
            <w:tcBorders>
              <w:top w:val="nil"/>
              <w:left w:val="nil"/>
              <w:bottom w:val="single" w:sz="4" w:space="0" w:color="auto"/>
              <w:right w:val="single" w:sz="4" w:space="0" w:color="auto"/>
            </w:tcBorders>
            <w:shd w:val="clear" w:color="auto" w:fill="C6EFCE"/>
            <w:noWrap/>
          </w:tcPr>
          <w:p w14:paraId="20934121" w14:textId="7429DFD4" w:rsidR="00515398" w:rsidRDefault="006711E6">
            <w:pPr>
              <w:pStyle w:val="P68B1DB1-Normal9"/>
              <w:spacing w:after="0" w:line="240" w:lineRule="auto"/>
              <w:rPr>
                <w:rFonts w:eastAsia="Times New Roman" w:cs="Calibri"/>
                <w:noProof/>
                <w:szCs w:val="18"/>
              </w:rPr>
            </w:pPr>
            <w:r>
              <w:rPr>
                <w:noProof/>
              </w:rPr>
              <w:t>16–4.5. Podpora výzkumu a inovací – 16654_ TH2ORAX: Trellis Holistic &amp; Hybrid Operational Ruggedised Autonomous eXemplary system (Trellis</w:t>
            </w:r>
            <w:r>
              <w:rPr>
                <w:noProof/>
              </w:rPr>
              <w:t xml:space="preserve"> Holistic &amp; Hybrid Operational Ruggedised Autonomous eXemplary system)</w:t>
            </w:r>
          </w:p>
        </w:tc>
        <w:tc>
          <w:tcPr>
            <w:tcW w:w="1094" w:type="dxa"/>
            <w:tcBorders>
              <w:top w:val="nil"/>
              <w:left w:val="nil"/>
              <w:bottom w:val="single" w:sz="4" w:space="0" w:color="auto"/>
              <w:right w:val="single" w:sz="4" w:space="0" w:color="auto"/>
            </w:tcBorders>
            <w:shd w:val="clear" w:color="auto" w:fill="C6EFCE"/>
            <w:noWrap/>
          </w:tcPr>
          <w:p w14:paraId="4C364D07"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nil"/>
              <w:left w:val="nil"/>
              <w:bottom w:val="single" w:sz="4" w:space="0" w:color="auto"/>
              <w:right w:val="single" w:sz="4" w:space="0" w:color="auto"/>
            </w:tcBorders>
            <w:shd w:val="clear" w:color="auto" w:fill="C6EFCE"/>
            <w:noWrap/>
          </w:tcPr>
          <w:p w14:paraId="5A35EEAB" w14:textId="77777777" w:rsidR="00515398" w:rsidRDefault="006711E6">
            <w:pPr>
              <w:pStyle w:val="P68B1DB1-Normal9"/>
              <w:spacing w:after="0" w:line="240" w:lineRule="auto"/>
              <w:rPr>
                <w:rFonts w:eastAsia="Times New Roman" w:cs="Calibri"/>
                <w:noProof/>
                <w:szCs w:val="18"/>
              </w:rPr>
            </w:pPr>
            <w:r>
              <w:rPr>
                <w:noProof/>
              </w:rPr>
              <w:t>Zadání zakázky TH2ORAX</w:t>
            </w:r>
          </w:p>
        </w:tc>
        <w:tc>
          <w:tcPr>
            <w:tcW w:w="1774" w:type="dxa"/>
            <w:tcBorders>
              <w:top w:val="nil"/>
              <w:left w:val="nil"/>
              <w:bottom w:val="single" w:sz="4" w:space="0" w:color="auto"/>
              <w:right w:val="single" w:sz="4" w:space="0" w:color="auto"/>
            </w:tcBorders>
            <w:shd w:val="clear" w:color="auto" w:fill="C6EFCE"/>
            <w:noWrap/>
          </w:tcPr>
          <w:p w14:paraId="6211E9E4" w14:textId="77777777" w:rsidR="00515398" w:rsidRDefault="006711E6">
            <w:pPr>
              <w:pStyle w:val="P68B1DB1-Normal9"/>
              <w:spacing w:after="0" w:line="240" w:lineRule="auto"/>
              <w:rPr>
                <w:rFonts w:eastAsia="Times New Roman" w:cs="Calibri"/>
                <w:noProof/>
                <w:szCs w:val="18"/>
              </w:rPr>
            </w:pPr>
            <w:r>
              <w:rPr>
                <w:noProof/>
              </w:rPr>
              <w:t>Oznámení o zadání zakázek</w:t>
            </w:r>
          </w:p>
        </w:tc>
        <w:tc>
          <w:tcPr>
            <w:tcW w:w="960" w:type="dxa"/>
            <w:tcBorders>
              <w:top w:val="nil"/>
              <w:left w:val="nil"/>
              <w:bottom w:val="single" w:sz="4" w:space="0" w:color="auto"/>
              <w:right w:val="single" w:sz="4" w:space="0" w:color="auto"/>
            </w:tcBorders>
            <w:shd w:val="clear" w:color="auto" w:fill="C6EFCE"/>
            <w:noWrap/>
          </w:tcPr>
          <w:p w14:paraId="6446AC83"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065511E2" w14:textId="77777777" w:rsidR="00515398" w:rsidRDefault="00515398">
            <w:pPr>
              <w:spacing w:after="0" w:line="240" w:lineRule="auto"/>
              <w:rPr>
                <w:rFonts w:eastAsia="Times New Roman" w:cs="Calibri"/>
                <w:noProof/>
                <w:color w:val="006100"/>
                <w:sz w:val="18"/>
                <w:szCs w:val="18"/>
              </w:rPr>
            </w:pPr>
          </w:p>
        </w:tc>
        <w:tc>
          <w:tcPr>
            <w:tcW w:w="607" w:type="dxa"/>
            <w:tcBorders>
              <w:top w:val="nil"/>
              <w:left w:val="nil"/>
              <w:bottom w:val="single" w:sz="4" w:space="0" w:color="auto"/>
              <w:right w:val="single" w:sz="4" w:space="0" w:color="auto"/>
            </w:tcBorders>
            <w:shd w:val="clear" w:color="auto" w:fill="C6EFCE"/>
            <w:noWrap/>
          </w:tcPr>
          <w:p w14:paraId="089BBAFC"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59610BA5" w14:textId="77777777" w:rsidR="00515398" w:rsidRDefault="006711E6">
            <w:pPr>
              <w:pStyle w:val="P68B1DB1-Normal9"/>
              <w:spacing w:after="0" w:line="240" w:lineRule="auto"/>
              <w:rPr>
                <w:rFonts w:eastAsia="Times New Roman" w:cs="Calibri"/>
                <w:noProof/>
                <w:szCs w:val="18"/>
              </w:rPr>
            </w:pPr>
            <w:r>
              <w:rPr>
                <w:noProof/>
              </w:rPr>
              <w:t>ČTVRTLETÍ</w:t>
            </w:r>
          </w:p>
        </w:tc>
        <w:tc>
          <w:tcPr>
            <w:tcW w:w="707" w:type="dxa"/>
            <w:tcBorders>
              <w:top w:val="nil"/>
              <w:left w:val="nil"/>
              <w:bottom w:val="single" w:sz="4" w:space="0" w:color="auto"/>
              <w:right w:val="single" w:sz="4" w:space="0" w:color="auto"/>
            </w:tcBorders>
            <w:shd w:val="clear" w:color="auto" w:fill="C6EFCE"/>
            <w:noWrap/>
          </w:tcPr>
          <w:p w14:paraId="7B089852" w14:textId="77777777" w:rsidR="00515398" w:rsidRDefault="006711E6">
            <w:pPr>
              <w:pStyle w:val="P68B1DB1-Normal9"/>
              <w:spacing w:after="0" w:line="240" w:lineRule="auto"/>
              <w:rPr>
                <w:rFonts w:eastAsia="Times New Roman" w:cs="Calibri"/>
                <w:noProof/>
                <w:szCs w:val="18"/>
              </w:rPr>
            </w:pPr>
            <w:r>
              <w:rPr>
                <w:noProof/>
              </w:rPr>
              <w:t>2024</w:t>
            </w:r>
          </w:p>
        </w:tc>
        <w:tc>
          <w:tcPr>
            <w:tcW w:w="3965" w:type="dxa"/>
            <w:tcBorders>
              <w:top w:val="nil"/>
              <w:left w:val="nil"/>
              <w:bottom w:val="single" w:sz="4" w:space="0" w:color="auto"/>
              <w:right w:val="single" w:sz="4" w:space="0" w:color="auto"/>
            </w:tcBorders>
            <w:shd w:val="clear" w:color="auto" w:fill="C6EFCE"/>
            <w:noWrap/>
          </w:tcPr>
          <w:p w14:paraId="13C88AC3" w14:textId="77777777" w:rsidR="00515398" w:rsidRDefault="006711E6">
            <w:pPr>
              <w:pStyle w:val="P68B1DB1-Normal9"/>
              <w:spacing w:after="0" w:line="240" w:lineRule="auto"/>
              <w:rPr>
                <w:rFonts w:eastAsia="Times New Roman" w:cs="Calibri"/>
                <w:noProof/>
                <w:szCs w:val="18"/>
              </w:rPr>
            </w:pPr>
            <w:r>
              <w:rPr>
                <w:noProof/>
              </w:rPr>
              <w:t>Zadání zakázek na projekt TH2ORAX.</w:t>
            </w:r>
          </w:p>
          <w:p w14:paraId="3EEB8883" w14:textId="77777777" w:rsidR="00515398" w:rsidRDefault="006711E6">
            <w:pPr>
              <w:pStyle w:val="P68B1DB1-Normal9"/>
              <w:spacing w:after="0" w:line="240" w:lineRule="auto"/>
              <w:rPr>
                <w:rFonts w:eastAsia="Times New Roman" w:cs="Calibri"/>
                <w:noProof/>
                <w:szCs w:val="18"/>
              </w:rPr>
            </w:pPr>
            <w:r>
              <w:rPr>
                <w:noProof/>
              </w:rPr>
              <w:t xml:space="preserve">Ministerstvo pro rozvoj a investice spolu s Generálním sekretariátem pro výzkum a inovace (GSRI) odpovídají za účinné provádění procesu hodnocení. Zakázka (zakázky) se zadává na základě nejlepšího poměru kvality cen. </w:t>
            </w:r>
          </w:p>
        </w:tc>
      </w:tr>
      <w:tr w:rsidR="00515398" w14:paraId="520FCB66"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09960F3E" w14:textId="77777777" w:rsidR="00515398" w:rsidRDefault="006711E6">
            <w:pPr>
              <w:pStyle w:val="P68B1DB1-Normal9"/>
              <w:spacing w:after="0" w:line="240" w:lineRule="auto"/>
              <w:rPr>
                <w:rFonts w:eastAsia="Times New Roman" w:cs="Calibri"/>
                <w:noProof/>
                <w:szCs w:val="18"/>
              </w:rPr>
            </w:pPr>
            <w:r>
              <w:rPr>
                <w:noProof/>
              </w:rPr>
              <w:t>249</w:t>
            </w:r>
          </w:p>
        </w:tc>
        <w:tc>
          <w:tcPr>
            <w:tcW w:w="2055" w:type="dxa"/>
            <w:tcBorders>
              <w:top w:val="single" w:sz="4" w:space="0" w:color="auto"/>
              <w:left w:val="nil"/>
              <w:bottom w:val="single" w:sz="4" w:space="0" w:color="auto"/>
              <w:right w:val="single" w:sz="4" w:space="0" w:color="auto"/>
            </w:tcBorders>
            <w:shd w:val="clear" w:color="auto" w:fill="C6EFCE"/>
            <w:noWrap/>
          </w:tcPr>
          <w:p w14:paraId="5CD36935" w14:textId="77777777" w:rsidR="00515398" w:rsidRDefault="006711E6">
            <w:pPr>
              <w:pStyle w:val="P68B1DB1-Normal9"/>
              <w:spacing w:after="0" w:line="240" w:lineRule="auto"/>
              <w:rPr>
                <w:rFonts w:eastAsia="Times New Roman" w:cs="Calibri"/>
                <w:noProof/>
                <w:szCs w:val="18"/>
              </w:rPr>
            </w:pPr>
            <w:r>
              <w:rPr>
                <w:noProof/>
              </w:rPr>
              <w:t>16–4.5. Podpora výzkumu a inovací</w:t>
            </w:r>
            <w:r>
              <w:rPr>
                <w:noProof/>
              </w:rPr>
              <w:t xml:space="preserve"> – 16624_Creation – Rozšíření – modernizace infrastruktur výzkumných středisek pod dohledem Generálního sekretariátu pro výzkum a inovace (GSRI)</w:t>
            </w:r>
          </w:p>
        </w:tc>
        <w:tc>
          <w:tcPr>
            <w:tcW w:w="1094" w:type="dxa"/>
            <w:tcBorders>
              <w:top w:val="single" w:sz="4" w:space="0" w:color="auto"/>
              <w:left w:val="nil"/>
              <w:bottom w:val="single" w:sz="4" w:space="0" w:color="auto"/>
              <w:right w:val="single" w:sz="4" w:space="0" w:color="auto"/>
            </w:tcBorders>
            <w:shd w:val="clear" w:color="auto" w:fill="C6EFCE"/>
            <w:noWrap/>
          </w:tcPr>
          <w:p w14:paraId="3577EC1F"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single" w:sz="4" w:space="0" w:color="auto"/>
              <w:left w:val="nil"/>
              <w:bottom w:val="single" w:sz="4" w:space="0" w:color="auto"/>
              <w:right w:val="single" w:sz="4" w:space="0" w:color="auto"/>
            </w:tcBorders>
            <w:shd w:val="clear" w:color="auto" w:fill="C6EFCE"/>
            <w:noWrap/>
          </w:tcPr>
          <w:p w14:paraId="54AA413E" w14:textId="77777777" w:rsidR="00515398" w:rsidRDefault="006711E6">
            <w:pPr>
              <w:pStyle w:val="P68B1DB1-Normal9"/>
              <w:spacing w:after="0" w:line="240" w:lineRule="auto"/>
              <w:rPr>
                <w:rFonts w:eastAsia="Times New Roman" w:cs="Calibri"/>
                <w:noProof/>
                <w:szCs w:val="18"/>
              </w:rPr>
            </w:pPr>
            <w:r>
              <w:rPr>
                <w:noProof/>
              </w:rPr>
              <w:t>Dokončení projektů výzkumných středisek</w:t>
            </w:r>
          </w:p>
        </w:tc>
        <w:tc>
          <w:tcPr>
            <w:tcW w:w="1774" w:type="dxa"/>
            <w:tcBorders>
              <w:top w:val="single" w:sz="4" w:space="0" w:color="auto"/>
              <w:left w:val="nil"/>
              <w:bottom w:val="single" w:sz="4" w:space="0" w:color="auto"/>
              <w:right w:val="single" w:sz="4" w:space="0" w:color="auto"/>
            </w:tcBorders>
            <w:shd w:val="clear" w:color="auto" w:fill="C6EFCE"/>
            <w:noWrap/>
          </w:tcPr>
          <w:p w14:paraId="2295DB84" w14:textId="77777777" w:rsidR="00515398" w:rsidRDefault="006711E6">
            <w:pPr>
              <w:pStyle w:val="P68B1DB1-Normal9"/>
              <w:spacing w:after="0" w:line="240" w:lineRule="auto"/>
              <w:rPr>
                <w:rFonts w:eastAsia="Times New Roman" w:cs="Calibri"/>
                <w:noProof/>
                <w:szCs w:val="18"/>
              </w:rPr>
            </w:pPr>
            <w:r>
              <w:rPr>
                <w:noProof/>
              </w:rPr>
              <w:t>Zpráva Generálního sekretariátu pro výzkum a inovace (GSRI) potv</w:t>
            </w:r>
            <w:r>
              <w:rPr>
                <w:noProof/>
              </w:rPr>
              <w:t>rzující dokončení projektů</w:t>
            </w:r>
          </w:p>
        </w:tc>
        <w:tc>
          <w:tcPr>
            <w:tcW w:w="960" w:type="dxa"/>
            <w:tcBorders>
              <w:top w:val="single" w:sz="4" w:space="0" w:color="auto"/>
              <w:left w:val="nil"/>
              <w:bottom w:val="single" w:sz="4" w:space="0" w:color="auto"/>
              <w:right w:val="single" w:sz="4" w:space="0" w:color="auto"/>
            </w:tcBorders>
            <w:shd w:val="clear" w:color="auto" w:fill="C6EFCE"/>
            <w:noWrap/>
          </w:tcPr>
          <w:p w14:paraId="6A131152"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88C63BB" w14:textId="77777777" w:rsidR="00515398" w:rsidRDefault="00515398">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3CDB012F"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8C9327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7" w:type="dxa"/>
            <w:tcBorders>
              <w:top w:val="single" w:sz="4" w:space="0" w:color="auto"/>
              <w:left w:val="nil"/>
              <w:bottom w:val="single" w:sz="4" w:space="0" w:color="auto"/>
              <w:right w:val="single" w:sz="4" w:space="0" w:color="auto"/>
            </w:tcBorders>
            <w:shd w:val="clear" w:color="auto" w:fill="C6EFCE"/>
            <w:noWrap/>
          </w:tcPr>
          <w:p w14:paraId="19A25A53" w14:textId="77777777" w:rsidR="00515398" w:rsidRDefault="006711E6">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046FDA21" w14:textId="5EC16BCC" w:rsidR="00515398" w:rsidRDefault="006711E6">
            <w:pPr>
              <w:pStyle w:val="P68B1DB1-Normal9"/>
              <w:spacing w:after="0" w:line="240" w:lineRule="auto"/>
              <w:rPr>
                <w:rFonts w:eastAsia="Times New Roman" w:cs="Calibri"/>
                <w:noProof/>
                <w:szCs w:val="18"/>
              </w:rPr>
            </w:pPr>
            <w:r>
              <w:rPr>
                <w:noProof/>
              </w:rPr>
              <w:t xml:space="preserve">Dokončení všech dílčích projektů v rámci „Vytvoření – rozšíření – modernizace infrastruktury výzkumných středisek pod dohledem GSRI“, konkrétně: Nadace pro výzkum a technologie Hellas; Výzkumné a inovační </w:t>
            </w:r>
            <w:r>
              <w:rPr>
                <w:noProof/>
              </w:rPr>
              <w:t>středisko Athena; BSRC Fleming; Centrum pro výzkum a technologie Hellas; Národní Řecká výzkumná nadace; Athénská akademie biomedicínského výzkumu; Národní středisko pro sledování Atén; Řecké středisko pro mořský výzkum; Řecký Pasteurův institut; Národní st</w:t>
            </w:r>
            <w:r>
              <w:rPr>
                <w:noProof/>
              </w:rPr>
              <w:t>ředisko sociálního výzkumu; Řecká komise pro atomovou energii.</w:t>
            </w:r>
          </w:p>
        </w:tc>
      </w:tr>
      <w:tr w:rsidR="00515398" w14:paraId="4CDCADE3"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42FAF6B9" w14:textId="77777777" w:rsidR="00515398" w:rsidRDefault="006711E6">
            <w:pPr>
              <w:pStyle w:val="P68B1DB1-Normal9"/>
              <w:spacing w:after="0" w:line="240" w:lineRule="auto"/>
              <w:rPr>
                <w:rFonts w:eastAsia="Times New Roman" w:cs="Calibri"/>
                <w:noProof/>
                <w:szCs w:val="18"/>
              </w:rPr>
            </w:pPr>
            <w:r>
              <w:rPr>
                <w:noProof/>
              </w:rPr>
              <w:t>250</w:t>
            </w:r>
          </w:p>
        </w:tc>
        <w:tc>
          <w:tcPr>
            <w:tcW w:w="2055" w:type="dxa"/>
            <w:tcBorders>
              <w:top w:val="single" w:sz="4" w:space="0" w:color="auto"/>
              <w:left w:val="nil"/>
              <w:bottom w:val="single" w:sz="4" w:space="0" w:color="auto"/>
              <w:right w:val="single" w:sz="4" w:space="0" w:color="auto"/>
            </w:tcBorders>
            <w:shd w:val="clear" w:color="auto" w:fill="C6EFCE"/>
            <w:noWrap/>
          </w:tcPr>
          <w:p w14:paraId="30D7FBE9" w14:textId="77777777" w:rsidR="00515398" w:rsidRDefault="006711E6">
            <w:pPr>
              <w:pStyle w:val="P68B1DB1-Normal9"/>
              <w:spacing w:after="0" w:line="240" w:lineRule="auto"/>
              <w:rPr>
                <w:rFonts w:eastAsia="Times New Roman" w:cs="Calibri"/>
                <w:noProof/>
                <w:szCs w:val="18"/>
              </w:rPr>
            </w:pPr>
            <w:r>
              <w:rPr>
                <w:noProof/>
              </w:rPr>
              <w:t>16–4.5. Podpora výzkumu a inovací – 16618_Základní a aplikovaný výzkum</w:t>
            </w:r>
          </w:p>
        </w:tc>
        <w:tc>
          <w:tcPr>
            <w:tcW w:w="1094" w:type="dxa"/>
            <w:tcBorders>
              <w:top w:val="single" w:sz="4" w:space="0" w:color="auto"/>
              <w:left w:val="nil"/>
              <w:bottom w:val="single" w:sz="4" w:space="0" w:color="auto"/>
              <w:right w:val="single" w:sz="4" w:space="0" w:color="auto"/>
            </w:tcBorders>
            <w:shd w:val="clear" w:color="auto" w:fill="C6EFCE"/>
            <w:noWrap/>
          </w:tcPr>
          <w:p w14:paraId="68E7F847"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single" w:sz="4" w:space="0" w:color="auto"/>
              <w:left w:val="nil"/>
              <w:bottom w:val="single" w:sz="4" w:space="0" w:color="auto"/>
              <w:right w:val="single" w:sz="4" w:space="0" w:color="auto"/>
            </w:tcBorders>
            <w:shd w:val="clear" w:color="auto" w:fill="C6EFCE"/>
            <w:noWrap/>
          </w:tcPr>
          <w:p w14:paraId="262CA572" w14:textId="77777777" w:rsidR="00515398" w:rsidRDefault="006711E6">
            <w:pPr>
              <w:pStyle w:val="P68B1DB1-Normal9"/>
              <w:spacing w:after="0" w:line="240" w:lineRule="auto"/>
              <w:rPr>
                <w:rFonts w:eastAsia="Times New Roman" w:cs="Calibri"/>
                <w:noProof/>
                <w:szCs w:val="18"/>
              </w:rPr>
            </w:pPr>
            <w:r>
              <w:rPr>
                <w:noProof/>
              </w:rPr>
              <w:t>Dokončení základních a aplikovaných výzkumných projektů</w:t>
            </w:r>
          </w:p>
        </w:tc>
        <w:tc>
          <w:tcPr>
            <w:tcW w:w="1774" w:type="dxa"/>
            <w:tcBorders>
              <w:top w:val="single" w:sz="4" w:space="0" w:color="auto"/>
              <w:left w:val="nil"/>
              <w:bottom w:val="single" w:sz="4" w:space="0" w:color="auto"/>
              <w:right w:val="single" w:sz="4" w:space="0" w:color="auto"/>
            </w:tcBorders>
            <w:shd w:val="clear" w:color="auto" w:fill="C6EFCE"/>
            <w:noWrap/>
          </w:tcPr>
          <w:p w14:paraId="19D3BE3D" w14:textId="77777777" w:rsidR="00515398" w:rsidRDefault="006711E6">
            <w:pPr>
              <w:pStyle w:val="P68B1DB1-Normal9"/>
              <w:spacing w:after="0" w:line="240" w:lineRule="auto"/>
              <w:rPr>
                <w:rFonts w:eastAsia="Times New Roman" w:cs="Calibri"/>
                <w:noProof/>
                <w:szCs w:val="18"/>
              </w:rPr>
            </w:pPr>
            <w:r>
              <w:rPr>
                <w:noProof/>
              </w:rPr>
              <w:t xml:space="preserve">Zpráva Generálního sekretariátu pro výzkum a inovace </w:t>
            </w:r>
            <w:r>
              <w:rPr>
                <w:noProof/>
              </w:rPr>
              <w:t>(GSRI) potvrzující dokončení projektů</w:t>
            </w:r>
          </w:p>
        </w:tc>
        <w:tc>
          <w:tcPr>
            <w:tcW w:w="960" w:type="dxa"/>
            <w:tcBorders>
              <w:top w:val="single" w:sz="4" w:space="0" w:color="auto"/>
              <w:left w:val="nil"/>
              <w:bottom w:val="single" w:sz="4" w:space="0" w:color="auto"/>
              <w:right w:val="single" w:sz="4" w:space="0" w:color="auto"/>
            </w:tcBorders>
            <w:shd w:val="clear" w:color="auto" w:fill="C6EFCE"/>
            <w:noWrap/>
          </w:tcPr>
          <w:p w14:paraId="6B35E9FF"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0E5ED28D" w14:textId="77777777" w:rsidR="00515398" w:rsidRDefault="00515398">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66C028E3"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4ED791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7" w:type="dxa"/>
            <w:tcBorders>
              <w:top w:val="single" w:sz="4" w:space="0" w:color="auto"/>
              <w:left w:val="nil"/>
              <w:bottom w:val="single" w:sz="4" w:space="0" w:color="auto"/>
              <w:right w:val="single" w:sz="4" w:space="0" w:color="auto"/>
            </w:tcBorders>
            <w:shd w:val="clear" w:color="auto" w:fill="C6EFCE"/>
            <w:noWrap/>
          </w:tcPr>
          <w:p w14:paraId="554C0F8C" w14:textId="77777777" w:rsidR="00515398" w:rsidRDefault="006711E6">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75C22536" w14:textId="77777777" w:rsidR="00515398" w:rsidRDefault="006711E6">
            <w:pPr>
              <w:pStyle w:val="P68B1DB1-Normal9"/>
              <w:spacing w:after="0" w:line="240" w:lineRule="auto"/>
              <w:rPr>
                <w:noProof/>
              </w:rPr>
            </w:pPr>
            <w:r>
              <w:rPr>
                <w:noProof/>
              </w:rPr>
              <w:t xml:space="preserve">Dokončení těchto dílčích projektů v rámci základního aplikovaného výzkumu: Financování základního výzkumu; Stěžejní výzkumné projekty v náročných interdisciplinárních odvětvích; zřízení aplikovaného ústavu pro výzkum a inovace v oblasti umělé inteligence, </w:t>
            </w:r>
            <w:r>
              <w:rPr>
                <w:noProof/>
              </w:rPr>
              <w:t>zpracování dat a vývoje algoritmů; poskytování technologií pro udržitelné materiály, které lze přenášet na trh; účast na evropských partnerstvích pro vysoce výkonnou výpočetní techniku (Euro-HPC) a klíčových digitálních technologiích; aplikovaný výzkum výv</w:t>
            </w:r>
            <w:r>
              <w:rPr>
                <w:noProof/>
              </w:rPr>
              <w:t>oje dronů (financování střediska pro výzkum a vývoj bezpilotních systémů); aplikovaný výzkum v oblasti přesné medicíny.</w:t>
            </w:r>
          </w:p>
          <w:p w14:paraId="61FD48BF" w14:textId="479D3BE1" w:rsidR="00515398" w:rsidRDefault="00515398">
            <w:pPr>
              <w:spacing w:after="0" w:line="240" w:lineRule="auto"/>
              <w:rPr>
                <w:rFonts w:eastAsia="Times New Roman" w:cs="Calibri"/>
                <w:noProof/>
                <w:color w:val="006100"/>
                <w:sz w:val="18"/>
                <w:szCs w:val="18"/>
              </w:rPr>
            </w:pPr>
          </w:p>
        </w:tc>
      </w:tr>
      <w:tr w:rsidR="00515398" w14:paraId="262857A9"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4907C9E3" w14:textId="77777777" w:rsidR="00515398" w:rsidRDefault="006711E6">
            <w:pPr>
              <w:pStyle w:val="P68B1DB1-Normal9"/>
              <w:spacing w:after="0" w:line="240" w:lineRule="auto"/>
              <w:rPr>
                <w:rFonts w:eastAsia="Times New Roman" w:cs="Calibri"/>
                <w:noProof/>
                <w:szCs w:val="18"/>
              </w:rPr>
            </w:pPr>
            <w:r>
              <w:rPr>
                <w:noProof/>
              </w:rPr>
              <w:t>251</w:t>
            </w:r>
          </w:p>
        </w:tc>
        <w:tc>
          <w:tcPr>
            <w:tcW w:w="2055" w:type="dxa"/>
            <w:tcBorders>
              <w:top w:val="single" w:sz="4" w:space="0" w:color="auto"/>
              <w:left w:val="nil"/>
              <w:bottom w:val="single" w:sz="4" w:space="0" w:color="auto"/>
              <w:right w:val="single" w:sz="4" w:space="0" w:color="auto"/>
            </w:tcBorders>
            <w:shd w:val="clear" w:color="auto" w:fill="C6EFCE"/>
            <w:noWrap/>
          </w:tcPr>
          <w:p w14:paraId="4AD8DCEF" w14:textId="77777777" w:rsidR="00515398" w:rsidRDefault="006711E6">
            <w:pPr>
              <w:pStyle w:val="P68B1DB1-Normal9"/>
              <w:spacing w:after="0" w:line="240" w:lineRule="auto"/>
              <w:rPr>
                <w:rFonts w:eastAsia="Times New Roman" w:cs="Calibri"/>
                <w:noProof/>
                <w:szCs w:val="18"/>
              </w:rPr>
            </w:pPr>
            <w:r>
              <w:rPr>
                <w:noProof/>
              </w:rPr>
              <w:t xml:space="preserve">16–4.5. Podpora výzkumu a inovací – 16654_TH 2 ORAX: Trellis Holistic &amp; Hybrid Operational Ruggedised Autonomous eXemplary system </w:t>
            </w:r>
            <w:r>
              <w:rPr>
                <w:noProof/>
              </w:rPr>
              <w:t>(Trellis Holistic &amp; Hybrid Operational Ruggedised Autonomous eXemplary system)</w:t>
            </w:r>
          </w:p>
        </w:tc>
        <w:tc>
          <w:tcPr>
            <w:tcW w:w="1094" w:type="dxa"/>
            <w:tcBorders>
              <w:top w:val="single" w:sz="4" w:space="0" w:color="auto"/>
              <w:left w:val="nil"/>
              <w:bottom w:val="single" w:sz="4" w:space="0" w:color="auto"/>
              <w:right w:val="single" w:sz="4" w:space="0" w:color="auto"/>
            </w:tcBorders>
            <w:shd w:val="clear" w:color="auto" w:fill="C6EFCE"/>
            <w:noWrap/>
          </w:tcPr>
          <w:p w14:paraId="7CA0A3FF"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single" w:sz="4" w:space="0" w:color="auto"/>
              <w:left w:val="nil"/>
              <w:bottom w:val="single" w:sz="4" w:space="0" w:color="auto"/>
              <w:right w:val="single" w:sz="4" w:space="0" w:color="auto"/>
            </w:tcBorders>
            <w:shd w:val="clear" w:color="auto" w:fill="C6EFCE"/>
            <w:noWrap/>
          </w:tcPr>
          <w:p w14:paraId="39C07269" w14:textId="77777777" w:rsidR="00515398" w:rsidRDefault="006711E6">
            <w:pPr>
              <w:pStyle w:val="P68B1DB1-Normal9"/>
              <w:spacing w:after="0" w:line="240" w:lineRule="auto"/>
              <w:rPr>
                <w:rFonts w:eastAsia="Times New Roman" w:cs="Calibri"/>
                <w:noProof/>
                <w:szCs w:val="18"/>
              </w:rPr>
            </w:pPr>
            <w:r>
              <w:rPr>
                <w:noProof/>
              </w:rPr>
              <w:t>Dokončení projektu TH2ORAX</w:t>
            </w:r>
          </w:p>
        </w:tc>
        <w:tc>
          <w:tcPr>
            <w:tcW w:w="1774" w:type="dxa"/>
            <w:tcBorders>
              <w:top w:val="single" w:sz="4" w:space="0" w:color="auto"/>
              <w:left w:val="nil"/>
              <w:bottom w:val="single" w:sz="4" w:space="0" w:color="auto"/>
              <w:right w:val="single" w:sz="4" w:space="0" w:color="auto"/>
            </w:tcBorders>
            <w:shd w:val="clear" w:color="auto" w:fill="C6EFCE"/>
            <w:noWrap/>
          </w:tcPr>
          <w:p w14:paraId="26F1FAE4" w14:textId="77777777" w:rsidR="00515398" w:rsidRDefault="006711E6">
            <w:pPr>
              <w:pStyle w:val="P68B1DB1-Normal9"/>
              <w:spacing w:after="0" w:line="240" w:lineRule="auto"/>
              <w:rPr>
                <w:rFonts w:eastAsia="Times New Roman" w:cs="Calibri"/>
                <w:noProof/>
                <w:szCs w:val="18"/>
              </w:rPr>
            </w:pPr>
            <w:r>
              <w:rPr>
                <w:noProof/>
              </w:rPr>
              <w:t>Zpráva generálního sekretariátu pro výzkum a inovace (GSRI) potvrzující, že projekt je dokončen</w:t>
            </w:r>
          </w:p>
        </w:tc>
        <w:tc>
          <w:tcPr>
            <w:tcW w:w="960" w:type="dxa"/>
            <w:tcBorders>
              <w:top w:val="single" w:sz="4" w:space="0" w:color="auto"/>
              <w:left w:val="nil"/>
              <w:bottom w:val="single" w:sz="4" w:space="0" w:color="auto"/>
              <w:right w:val="single" w:sz="4" w:space="0" w:color="auto"/>
            </w:tcBorders>
            <w:shd w:val="clear" w:color="auto" w:fill="C6EFCE"/>
            <w:noWrap/>
          </w:tcPr>
          <w:p w14:paraId="2C32C104"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3223752B" w14:textId="77777777" w:rsidR="00515398" w:rsidRDefault="00515398">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1552CDBD"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24AB7A5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7" w:type="dxa"/>
            <w:tcBorders>
              <w:top w:val="single" w:sz="4" w:space="0" w:color="auto"/>
              <w:left w:val="nil"/>
              <w:bottom w:val="single" w:sz="4" w:space="0" w:color="auto"/>
              <w:right w:val="single" w:sz="4" w:space="0" w:color="auto"/>
            </w:tcBorders>
            <w:shd w:val="clear" w:color="auto" w:fill="C6EFCE"/>
            <w:noWrap/>
          </w:tcPr>
          <w:p w14:paraId="61813BA9" w14:textId="77777777" w:rsidR="00515398" w:rsidRDefault="006711E6">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35DABD5A" w14:textId="77777777" w:rsidR="00515398" w:rsidRDefault="006711E6">
            <w:pPr>
              <w:pStyle w:val="P68B1DB1-Normal9"/>
              <w:spacing w:after="0" w:line="240" w:lineRule="auto"/>
              <w:rPr>
                <w:rFonts w:eastAsia="Times New Roman" w:cs="Calibri"/>
                <w:noProof/>
                <w:szCs w:val="18"/>
              </w:rPr>
            </w:pPr>
            <w:r>
              <w:rPr>
                <w:noProof/>
              </w:rPr>
              <w:t xml:space="preserve">Dokončení projektu </w:t>
            </w:r>
            <w:r>
              <w:rPr>
                <w:noProof/>
              </w:rPr>
              <w:t>TH2ORAX</w:t>
            </w:r>
          </w:p>
          <w:p w14:paraId="239F024F" w14:textId="77777777" w:rsidR="00515398" w:rsidRDefault="006711E6">
            <w:pPr>
              <w:pStyle w:val="P68B1DB1-Normal9"/>
              <w:pBdr>
                <w:top w:val="nil"/>
                <w:left w:val="nil"/>
                <w:bottom w:val="nil"/>
                <w:right w:val="nil"/>
                <w:between w:val="nil"/>
              </w:pBdr>
              <w:spacing w:after="0" w:line="240" w:lineRule="auto"/>
              <w:rPr>
                <w:rFonts w:eastAsia="Times New Roman" w:cs="Calibri"/>
                <w:noProof/>
                <w:szCs w:val="18"/>
              </w:rPr>
            </w:pPr>
            <w:r>
              <w:rPr>
                <w:noProof/>
              </w:rPr>
              <w:t>Prostřednictvím vytvoření ucelené platformy, která zajistí informovanost o situaci, schopnost přijímat rozhodnutí posilující koordinaci a synchronizaci všech relevantních příslušných orgánů v reálném čase a nepřetržitě pro celé řecké území na inter</w:t>
            </w:r>
            <w:r>
              <w:rPr>
                <w:noProof/>
              </w:rPr>
              <w:t>disciplinární a meziresortní úrovni, je dokončena a GSRI vydává související zprávu o dokončení.</w:t>
            </w:r>
          </w:p>
        </w:tc>
      </w:tr>
      <w:tr w:rsidR="00515398" w14:paraId="3148C17F"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74B7A264" w14:textId="77777777" w:rsidR="00515398" w:rsidRDefault="006711E6">
            <w:pPr>
              <w:pStyle w:val="P68B1DB1-Normal9"/>
              <w:spacing w:after="0" w:line="240" w:lineRule="auto"/>
              <w:rPr>
                <w:rFonts w:eastAsia="Times New Roman" w:cs="Calibri"/>
                <w:noProof/>
                <w:szCs w:val="18"/>
              </w:rPr>
            </w:pPr>
            <w:r>
              <w:rPr>
                <w:noProof/>
              </w:rPr>
              <w:t>252</w:t>
            </w:r>
          </w:p>
        </w:tc>
        <w:tc>
          <w:tcPr>
            <w:tcW w:w="2055" w:type="dxa"/>
            <w:tcBorders>
              <w:top w:val="single" w:sz="4" w:space="0" w:color="auto"/>
              <w:left w:val="nil"/>
              <w:bottom w:val="single" w:sz="4" w:space="0" w:color="auto"/>
              <w:right w:val="single" w:sz="4" w:space="0" w:color="auto"/>
            </w:tcBorders>
            <w:shd w:val="clear" w:color="auto" w:fill="C6EFCE"/>
            <w:noWrap/>
          </w:tcPr>
          <w:p w14:paraId="43DDD8C7" w14:textId="77777777" w:rsidR="00515398" w:rsidRDefault="006711E6">
            <w:pPr>
              <w:pStyle w:val="P68B1DB1-Normal9"/>
              <w:spacing w:after="0" w:line="240" w:lineRule="auto"/>
              <w:rPr>
                <w:rFonts w:eastAsia="Times New Roman" w:cs="Calibri"/>
                <w:noProof/>
                <w:szCs w:val="18"/>
              </w:rPr>
            </w:pPr>
            <w:r>
              <w:rPr>
                <w:noProof/>
              </w:rPr>
              <w:t>16–4.5. Podpora výzkumu a inovací – 16971_Výzkum – Vytvořit – Inovace</w:t>
            </w:r>
          </w:p>
        </w:tc>
        <w:tc>
          <w:tcPr>
            <w:tcW w:w="1094" w:type="dxa"/>
            <w:tcBorders>
              <w:top w:val="single" w:sz="4" w:space="0" w:color="auto"/>
              <w:left w:val="nil"/>
              <w:bottom w:val="single" w:sz="4" w:space="0" w:color="auto"/>
              <w:right w:val="single" w:sz="4" w:space="0" w:color="auto"/>
            </w:tcBorders>
            <w:shd w:val="clear" w:color="auto" w:fill="C6EFCE"/>
            <w:noWrap/>
          </w:tcPr>
          <w:p w14:paraId="30D22D46"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single" w:sz="4" w:space="0" w:color="auto"/>
              <w:left w:val="nil"/>
              <w:bottom w:val="single" w:sz="4" w:space="0" w:color="auto"/>
              <w:right w:val="single" w:sz="4" w:space="0" w:color="auto"/>
            </w:tcBorders>
            <w:shd w:val="clear" w:color="auto" w:fill="C6EFCE"/>
            <w:noWrap/>
          </w:tcPr>
          <w:p w14:paraId="0A1FAE40" w14:textId="77777777" w:rsidR="00515398" w:rsidRDefault="006711E6">
            <w:pPr>
              <w:pStyle w:val="P68B1DB1-Normal9"/>
              <w:spacing w:after="0" w:line="240" w:lineRule="auto"/>
              <w:rPr>
                <w:rFonts w:eastAsia="Times New Roman" w:cs="Calibri"/>
                <w:noProof/>
                <w:szCs w:val="18"/>
              </w:rPr>
            </w:pPr>
            <w:r>
              <w:rPr>
                <w:noProof/>
              </w:rPr>
              <w:t>Dokončení výzkumu – Vytvořit – Innovační projekty</w:t>
            </w:r>
          </w:p>
        </w:tc>
        <w:tc>
          <w:tcPr>
            <w:tcW w:w="1774" w:type="dxa"/>
            <w:tcBorders>
              <w:top w:val="single" w:sz="4" w:space="0" w:color="auto"/>
              <w:left w:val="nil"/>
              <w:bottom w:val="single" w:sz="4" w:space="0" w:color="auto"/>
              <w:right w:val="single" w:sz="4" w:space="0" w:color="auto"/>
            </w:tcBorders>
            <w:shd w:val="clear" w:color="auto" w:fill="C6EFCE"/>
            <w:noWrap/>
          </w:tcPr>
          <w:p w14:paraId="7C6C7C3A" w14:textId="77777777" w:rsidR="00515398" w:rsidRDefault="006711E6">
            <w:pPr>
              <w:pStyle w:val="P68B1DB1-Normal9"/>
              <w:spacing w:after="0" w:line="240" w:lineRule="auto"/>
              <w:rPr>
                <w:rFonts w:eastAsia="Times New Roman" w:cs="Calibri"/>
                <w:noProof/>
                <w:szCs w:val="18"/>
              </w:rPr>
            </w:pPr>
            <w:r>
              <w:rPr>
                <w:noProof/>
              </w:rPr>
              <w:t xml:space="preserve">Zpráva Generálního </w:t>
            </w:r>
            <w:r>
              <w:rPr>
                <w:noProof/>
              </w:rPr>
              <w:t>sekretariátu pro výzkum a inovace (GSRI) potvrzující dokončení projektů</w:t>
            </w:r>
          </w:p>
        </w:tc>
        <w:tc>
          <w:tcPr>
            <w:tcW w:w="960" w:type="dxa"/>
            <w:tcBorders>
              <w:top w:val="single" w:sz="4" w:space="0" w:color="auto"/>
              <w:left w:val="nil"/>
              <w:bottom w:val="single" w:sz="4" w:space="0" w:color="auto"/>
              <w:right w:val="single" w:sz="4" w:space="0" w:color="auto"/>
            </w:tcBorders>
            <w:shd w:val="clear" w:color="auto" w:fill="C6EFCE"/>
            <w:noWrap/>
          </w:tcPr>
          <w:p w14:paraId="68E6B900"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6541F9F" w14:textId="77777777" w:rsidR="00515398" w:rsidRDefault="00515398">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144E02D0"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0FCE965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7" w:type="dxa"/>
            <w:tcBorders>
              <w:top w:val="single" w:sz="4" w:space="0" w:color="auto"/>
              <w:left w:val="nil"/>
              <w:bottom w:val="single" w:sz="4" w:space="0" w:color="auto"/>
              <w:right w:val="single" w:sz="4" w:space="0" w:color="auto"/>
            </w:tcBorders>
            <w:shd w:val="clear" w:color="auto" w:fill="C6EFCE"/>
            <w:noWrap/>
          </w:tcPr>
          <w:p w14:paraId="036A6AF7" w14:textId="77777777" w:rsidR="00515398" w:rsidRDefault="006711E6">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249633AA" w14:textId="2A60CFBE" w:rsidR="00515398" w:rsidRDefault="006711E6">
            <w:pPr>
              <w:pStyle w:val="P68B1DB1-Normal9"/>
              <w:spacing w:after="0" w:line="240" w:lineRule="auto"/>
              <w:rPr>
                <w:rFonts w:eastAsia="Times New Roman" w:cs="Calibri"/>
                <w:noProof/>
                <w:szCs w:val="18"/>
              </w:rPr>
            </w:pPr>
            <w:r>
              <w:rPr>
                <w:noProof/>
              </w:rPr>
              <w:t xml:space="preserve">Dokončení všech způsobilých projektů v rámci opatření „Vytvořit inovace“ v těchto odvětvích: i) životní prostředí a udržitelný rozvoj; II) energie; III) </w:t>
            </w:r>
            <w:r>
              <w:rPr>
                <w:noProof/>
              </w:rPr>
              <w:t>informační a komunikační technologie; IV) zdraví a farmaceutika; v) dopravní a dodavatelský řetězec; VI) zemědělsko-potravinářský a potravinářský průmysl; VII) materiály a konstrukce; a viii) cestovního ruchu, kultury a tvůrčích odvětví.</w:t>
            </w:r>
          </w:p>
        </w:tc>
      </w:tr>
      <w:tr w:rsidR="00515398" w14:paraId="44C7CB73"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4F33FC94" w14:textId="77777777" w:rsidR="00515398" w:rsidRDefault="006711E6">
            <w:pPr>
              <w:pStyle w:val="P68B1DB1-Normal9"/>
              <w:spacing w:after="0" w:line="240" w:lineRule="auto"/>
              <w:rPr>
                <w:rFonts w:eastAsia="Times New Roman" w:cs="Calibri"/>
                <w:noProof/>
                <w:szCs w:val="18"/>
              </w:rPr>
            </w:pPr>
            <w:r>
              <w:rPr>
                <w:noProof/>
              </w:rPr>
              <w:t>253</w:t>
            </w:r>
          </w:p>
        </w:tc>
        <w:tc>
          <w:tcPr>
            <w:tcW w:w="2055" w:type="dxa"/>
            <w:tcBorders>
              <w:top w:val="single" w:sz="4" w:space="0" w:color="auto"/>
              <w:left w:val="nil"/>
              <w:bottom w:val="single" w:sz="4" w:space="0" w:color="auto"/>
              <w:right w:val="single" w:sz="4" w:space="0" w:color="auto"/>
            </w:tcBorders>
            <w:shd w:val="clear" w:color="auto" w:fill="C6EFCE"/>
            <w:noWrap/>
          </w:tcPr>
          <w:p w14:paraId="186D92A2" w14:textId="77777777" w:rsidR="00515398" w:rsidRDefault="006711E6">
            <w:pPr>
              <w:pStyle w:val="P68B1DB1-Normal9"/>
              <w:spacing w:after="0" w:line="240" w:lineRule="auto"/>
              <w:rPr>
                <w:rFonts w:eastAsia="Times New Roman" w:cs="Calibri"/>
                <w:noProof/>
                <w:szCs w:val="18"/>
              </w:rPr>
            </w:pPr>
            <w:r>
              <w:rPr>
                <w:noProof/>
              </w:rPr>
              <w:t xml:space="preserve">16–4.5. </w:t>
            </w:r>
            <w:r>
              <w:rPr>
                <w:noProof/>
              </w:rPr>
              <w:t>Podpora výzkumu a inovací – 16621_Extroverze výzkumného a inovačního ekosystému Řecka</w:t>
            </w:r>
          </w:p>
        </w:tc>
        <w:tc>
          <w:tcPr>
            <w:tcW w:w="1094" w:type="dxa"/>
            <w:tcBorders>
              <w:top w:val="single" w:sz="4" w:space="0" w:color="auto"/>
              <w:left w:val="nil"/>
              <w:bottom w:val="single" w:sz="4" w:space="0" w:color="auto"/>
              <w:right w:val="single" w:sz="4" w:space="0" w:color="auto"/>
            </w:tcBorders>
            <w:shd w:val="clear" w:color="auto" w:fill="C6EFCE"/>
            <w:noWrap/>
          </w:tcPr>
          <w:p w14:paraId="3E9F14A9"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single" w:sz="4" w:space="0" w:color="auto"/>
              <w:left w:val="nil"/>
              <w:bottom w:val="single" w:sz="4" w:space="0" w:color="auto"/>
              <w:right w:val="single" w:sz="4" w:space="0" w:color="auto"/>
            </w:tcBorders>
            <w:shd w:val="clear" w:color="auto" w:fill="C6EFCE"/>
            <w:noWrap/>
          </w:tcPr>
          <w:p w14:paraId="77E87FFE" w14:textId="77777777" w:rsidR="00515398" w:rsidRDefault="006711E6">
            <w:pPr>
              <w:pStyle w:val="P68B1DB1-Normal9"/>
              <w:spacing w:after="0" w:line="240" w:lineRule="auto"/>
              <w:rPr>
                <w:rFonts w:eastAsia="Times New Roman" w:cs="Calibri"/>
                <w:noProof/>
                <w:szCs w:val="18"/>
              </w:rPr>
            </w:pPr>
            <w:r>
              <w:rPr>
                <w:noProof/>
              </w:rPr>
              <w:t>Dokončení extroverze projektů v oblasti ekosystémů v oblasti výzkumu a inovací</w:t>
            </w:r>
          </w:p>
        </w:tc>
        <w:tc>
          <w:tcPr>
            <w:tcW w:w="1774" w:type="dxa"/>
            <w:tcBorders>
              <w:top w:val="single" w:sz="4" w:space="0" w:color="auto"/>
              <w:left w:val="nil"/>
              <w:bottom w:val="single" w:sz="4" w:space="0" w:color="auto"/>
              <w:right w:val="single" w:sz="4" w:space="0" w:color="auto"/>
            </w:tcBorders>
            <w:shd w:val="clear" w:color="auto" w:fill="C6EFCE"/>
            <w:noWrap/>
          </w:tcPr>
          <w:p w14:paraId="2D8322FE" w14:textId="77777777" w:rsidR="00515398" w:rsidRDefault="006711E6">
            <w:pPr>
              <w:pStyle w:val="P68B1DB1-Normal9"/>
              <w:spacing w:after="0" w:line="240" w:lineRule="auto"/>
              <w:rPr>
                <w:rFonts w:eastAsia="Times New Roman" w:cs="Calibri"/>
                <w:noProof/>
                <w:szCs w:val="18"/>
              </w:rPr>
            </w:pPr>
            <w:r>
              <w:rPr>
                <w:noProof/>
              </w:rPr>
              <w:t>Zpráva Generálního sekretariátu pro výzkum a inovace (GSRI) potvrzující dokončení pr</w:t>
            </w:r>
            <w:r>
              <w:rPr>
                <w:noProof/>
              </w:rPr>
              <w:t>ojektů</w:t>
            </w:r>
          </w:p>
        </w:tc>
        <w:tc>
          <w:tcPr>
            <w:tcW w:w="960" w:type="dxa"/>
            <w:tcBorders>
              <w:top w:val="single" w:sz="4" w:space="0" w:color="auto"/>
              <w:left w:val="nil"/>
              <w:bottom w:val="single" w:sz="4" w:space="0" w:color="auto"/>
              <w:right w:val="single" w:sz="4" w:space="0" w:color="auto"/>
            </w:tcBorders>
            <w:shd w:val="clear" w:color="auto" w:fill="C6EFCE"/>
            <w:noWrap/>
          </w:tcPr>
          <w:p w14:paraId="1AE23D85"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745EE996" w14:textId="77777777" w:rsidR="00515398" w:rsidRDefault="00515398">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78340A43"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F7AA665"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7" w:type="dxa"/>
            <w:tcBorders>
              <w:top w:val="single" w:sz="4" w:space="0" w:color="auto"/>
              <w:left w:val="nil"/>
              <w:bottom w:val="single" w:sz="4" w:space="0" w:color="auto"/>
              <w:right w:val="single" w:sz="4" w:space="0" w:color="auto"/>
            </w:tcBorders>
            <w:shd w:val="clear" w:color="auto" w:fill="C6EFCE"/>
            <w:noWrap/>
          </w:tcPr>
          <w:p w14:paraId="1F4E6CDA" w14:textId="77777777" w:rsidR="00515398" w:rsidRDefault="006711E6">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1EB299ED" w14:textId="79C2BB26" w:rsidR="00515398" w:rsidRDefault="006711E6">
            <w:pPr>
              <w:pStyle w:val="P68B1DB1-Normal9"/>
              <w:spacing w:after="0" w:line="240" w:lineRule="auto"/>
              <w:rPr>
                <w:rFonts w:eastAsia="Times New Roman" w:cs="Calibri"/>
                <w:noProof/>
                <w:szCs w:val="18"/>
              </w:rPr>
            </w:pPr>
            <w:r>
              <w:rPr>
                <w:noProof/>
              </w:rPr>
              <w:t xml:space="preserve">Dokončení těchto dílčích projektů extroverze opatření výzkumného a inovačního ekosystému: podpora a globální propagace vnitrostátního ekosystému začínajících podniků a inovací; podpora procesu vývoje, údržby a aktualizace </w:t>
            </w:r>
            <w:r>
              <w:rPr>
                <w:noProof/>
              </w:rPr>
              <w:t>softwaru.</w:t>
            </w:r>
          </w:p>
        </w:tc>
      </w:tr>
      <w:tr w:rsidR="00515398" w14:paraId="25A0013C" w14:textId="77777777">
        <w:trPr>
          <w:trHeight w:val="309"/>
          <w:jc w:val="center"/>
        </w:trPr>
        <w:tc>
          <w:tcPr>
            <w:tcW w:w="1110" w:type="dxa"/>
            <w:tcBorders>
              <w:top w:val="single" w:sz="4" w:space="0" w:color="auto"/>
              <w:left w:val="single" w:sz="4" w:space="0" w:color="auto"/>
              <w:bottom w:val="single" w:sz="4" w:space="0" w:color="auto"/>
              <w:right w:val="single" w:sz="4" w:space="0" w:color="auto"/>
            </w:tcBorders>
            <w:shd w:val="clear" w:color="auto" w:fill="C6EFCE"/>
            <w:noWrap/>
          </w:tcPr>
          <w:p w14:paraId="3FD4D704" w14:textId="77777777" w:rsidR="00515398" w:rsidRDefault="006711E6">
            <w:pPr>
              <w:pStyle w:val="P68B1DB1-Normal9"/>
              <w:spacing w:after="0" w:line="240" w:lineRule="auto"/>
              <w:rPr>
                <w:rFonts w:eastAsia="Times New Roman" w:cs="Calibri"/>
                <w:noProof/>
                <w:szCs w:val="18"/>
              </w:rPr>
            </w:pPr>
            <w:r>
              <w:rPr>
                <w:noProof/>
              </w:rPr>
              <w:t>346</w:t>
            </w:r>
          </w:p>
        </w:tc>
        <w:tc>
          <w:tcPr>
            <w:tcW w:w="2055" w:type="dxa"/>
            <w:tcBorders>
              <w:top w:val="single" w:sz="4" w:space="0" w:color="auto"/>
              <w:left w:val="nil"/>
              <w:bottom w:val="single" w:sz="4" w:space="0" w:color="auto"/>
              <w:right w:val="single" w:sz="4" w:space="0" w:color="auto"/>
            </w:tcBorders>
            <w:shd w:val="clear" w:color="auto" w:fill="C6EFCE"/>
            <w:noWrap/>
          </w:tcPr>
          <w:p w14:paraId="63497EEE" w14:textId="77777777" w:rsidR="00515398" w:rsidRDefault="006711E6">
            <w:pPr>
              <w:pStyle w:val="P68B1DB1-Normal9"/>
              <w:spacing w:after="0" w:line="240" w:lineRule="auto"/>
              <w:rPr>
                <w:rFonts w:eastAsia="Times New Roman" w:cs="Calibri"/>
                <w:noProof/>
                <w:szCs w:val="18"/>
              </w:rPr>
            </w:pPr>
            <w:r>
              <w:rPr>
                <w:noProof/>
              </w:rPr>
              <w:t>16–4.5. Podporovat výzkum a inovace – 16622_HORIZON 2020 „pečeť excelence“: financování špičkových inovativních společností</w:t>
            </w:r>
          </w:p>
        </w:tc>
        <w:tc>
          <w:tcPr>
            <w:tcW w:w="1094" w:type="dxa"/>
            <w:tcBorders>
              <w:top w:val="single" w:sz="4" w:space="0" w:color="auto"/>
              <w:left w:val="nil"/>
              <w:bottom w:val="single" w:sz="4" w:space="0" w:color="auto"/>
              <w:right w:val="single" w:sz="4" w:space="0" w:color="auto"/>
            </w:tcBorders>
            <w:shd w:val="clear" w:color="auto" w:fill="C6EFCE"/>
            <w:noWrap/>
          </w:tcPr>
          <w:p w14:paraId="15975F6F" w14:textId="77777777" w:rsidR="00515398" w:rsidRDefault="006711E6">
            <w:pPr>
              <w:pStyle w:val="P68B1DB1-Normal9"/>
              <w:spacing w:after="0" w:line="240" w:lineRule="auto"/>
              <w:rPr>
                <w:rFonts w:eastAsia="Times New Roman" w:cs="Calibri"/>
                <w:noProof/>
                <w:szCs w:val="18"/>
              </w:rPr>
            </w:pPr>
            <w:r>
              <w:rPr>
                <w:noProof/>
              </w:rPr>
              <w:t>Milník</w:t>
            </w:r>
          </w:p>
        </w:tc>
        <w:tc>
          <w:tcPr>
            <w:tcW w:w="1794" w:type="dxa"/>
            <w:tcBorders>
              <w:top w:val="single" w:sz="4" w:space="0" w:color="auto"/>
              <w:left w:val="nil"/>
              <w:bottom w:val="single" w:sz="4" w:space="0" w:color="auto"/>
              <w:right w:val="single" w:sz="4" w:space="0" w:color="auto"/>
            </w:tcBorders>
            <w:shd w:val="clear" w:color="auto" w:fill="C6EFCE"/>
            <w:noWrap/>
          </w:tcPr>
          <w:p w14:paraId="6B34D92C" w14:textId="77777777" w:rsidR="00515398" w:rsidRDefault="006711E6">
            <w:pPr>
              <w:pStyle w:val="P68B1DB1-Normal9"/>
              <w:spacing w:after="0" w:line="240" w:lineRule="auto"/>
              <w:rPr>
                <w:rFonts w:eastAsia="Times New Roman" w:cs="Calibri"/>
                <w:noProof/>
                <w:szCs w:val="18"/>
              </w:rPr>
            </w:pPr>
            <w:r>
              <w:rPr>
                <w:noProof/>
              </w:rPr>
              <w:t>Dokončení projektů prováděných malými a středními podniky</w:t>
            </w:r>
          </w:p>
        </w:tc>
        <w:tc>
          <w:tcPr>
            <w:tcW w:w="1774" w:type="dxa"/>
            <w:tcBorders>
              <w:top w:val="single" w:sz="4" w:space="0" w:color="auto"/>
              <w:left w:val="nil"/>
              <w:bottom w:val="single" w:sz="4" w:space="0" w:color="auto"/>
              <w:right w:val="single" w:sz="4" w:space="0" w:color="auto"/>
            </w:tcBorders>
            <w:shd w:val="clear" w:color="auto" w:fill="C6EFCE"/>
            <w:noWrap/>
          </w:tcPr>
          <w:p w14:paraId="657C617F" w14:textId="77777777" w:rsidR="00515398" w:rsidRDefault="006711E6">
            <w:pPr>
              <w:pStyle w:val="P68B1DB1-Normal9"/>
              <w:spacing w:after="0" w:line="240" w:lineRule="auto"/>
              <w:rPr>
                <w:rFonts w:eastAsia="Times New Roman" w:cs="Calibri"/>
                <w:noProof/>
                <w:szCs w:val="18"/>
              </w:rPr>
            </w:pPr>
            <w:r>
              <w:rPr>
                <w:noProof/>
              </w:rPr>
              <w:t>Zpráva Generálního sekretariátu pro výzkum a inovace</w:t>
            </w:r>
            <w:r>
              <w:rPr>
                <w:noProof/>
              </w:rPr>
              <w:t xml:space="preserve"> (GSRI) potvrzující dokončení projektů</w:t>
            </w:r>
          </w:p>
        </w:tc>
        <w:tc>
          <w:tcPr>
            <w:tcW w:w="960" w:type="dxa"/>
            <w:tcBorders>
              <w:top w:val="single" w:sz="4" w:space="0" w:color="auto"/>
              <w:left w:val="nil"/>
              <w:bottom w:val="single" w:sz="4" w:space="0" w:color="auto"/>
              <w:right w:val="single" w:sz="4" w:space="0" w:color="auto"/>
            </w:tcBorders>
            <w:shd w:val="clear" w:color="auto" w:fill="C6EFCE"/>
            <w:noWrap/>
          </w:tcPr>
          <w:p w14:paraId="6FB5305B"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50D107E" w14:textId="77777777" w:rsidR="00515398" w:rsidRDefault="00515398">
            <w:pPr>
              <w:spacing w:after="0" w:line="240" w:lineRule="auto"/>
              <w:rPr>
                <w:rFonts w:eastAsia="Times New Roman" w:cs="Calibri"/>
                <w:noProof/>
                <w:color w:val="006100"/>
                <w:sz w:val="18"/>
                <w:szCs w:val="18"/>
              </w:rPr>
            </w:pPr>
          </w:p>
        </w:tc>
        <w:tc>
          <w:tcPr>
            <w:tcW w:w="607" w:type="dxa"/>
            <w:tcBorders>
              <w:top w:val="single" w:sz="4" w:space="0" w:color="auto"/>
              <w:left w:val="nil"/>
              <w:bottom w:val="single" w:sz="4" w:space="0" w:color="auto"/>
              <w:right w:val="single" w:sz="4" w:space="0" w:color="auto"/>
            </w:tcBorders>
            <w:shd w:val="clear" w:color="auto" w:fill="C6EFCE"/>
            <w:noWrap/>
          </w:tcPr>
          <w:p w14:paraId="313E67F3"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42269544"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7" w:type="dxa"/>
            <w:tcBorders>
              <w:top w:val="single" w:sz="4" w:space="0" w:color="auto"/>
              <w:left w:val="nil"/>
              <w:bottom w:val="single" w:sz="4" w:space="0" w:color="auto"/>
              <w:right w:val="single" w:sz="4" w:space="0" w:color="auto"/>
            </w:tcBorders>
            <w:shd w:val="clear" w:color="auto" w:fill="C6EFCE"/>
            <w:noWrap/>
          </w:tcPr>
          <w:p w14:paraId="5D393030" w14:textId="77777777" w:rsidR="00515398" w:rsidRDefault="006711E6">
            <w:pPr>
              <w:pStyle w:val="P68B1DB1-Normal9"/>
              <w:spacing w:after="0" w:line="240" w:lineRule="auto"/>
              <w:rPr>
                <w:rFonts w:eastAsia="Times New Roman" w:cs="Calibri"/>
                <w:noProof/>
                <w:szCs w:val="18"/>
              </w:rPr>
            </w:pPr>
            <w:r>
              <w:rPr>
                <w:noProof/>
              </w:rPr>
              <w:t>2025</w:t>
            </w:r>
          </w:p>
        </w:tc>
        <w:tc>
          <w:tcPr>
            <w:tcW w:w="3965" w:type="dxa"/>
            <w:tcBorders>
              <w:top w:val="single" w:sz="4" w:space="0" w:color="auto"/>
              <w:left w:val="nil"/>
              <w:bottom w:val="single" w:sz="4" w:space="0" w:color="auto"/>
              <w:right w:val="single" w:sz="4" w:space="0" w:color="auto"/>
            </w:tcBorders>
            <w:shd w:val="clear" w:color="auto" w:fill="C6EFCE"/>
            <w:noWrap/>
          </w:tcPr>
          <w:p w14:paraId="75FA7D26" w14:textId="3D514973" w:rsidR="00515398" w:rsidRDefault="006711E6">
            <w:pPr>
              <w:pStyle w:val="P68B1DB1-Normal9"/>
              <w:spacing w:after="0" w:line="240" w:lineRule="auto"/>
              <w:rPr>
                <w:rFonts w:eastAsia="Times New Roman" w:cs="Calibri"/>
                <w:noProof/>
                <w:szCs w:val="18"/>
              </w:rPr>
            </w:pPr>
            <w:r>
              <w:rPr>
                <w:noProof/>
              </w:rPr>
              <w:t>Dokončení způsobilých projektů v rámci opatření prováděných malými a středními podniky.</w:t>
            </w:r>
          </w:p>
        </w:tc>
      </w:tr>
    </w:tbl>
    <w:p w14:paraId="6215DEDB"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65"/>
          <w:headerReference w:type="default" r:id="rId266"/>
          <w:footerReference w:type="even" r:id="rId267"/>
          <w:footerReference w:type="default" r:id="rId268"/>
          <w:headerReference w:type="first" r:id="rId269"/>
          <w:footerReference w:type="first" r:id="rId270"/>
          <w:pgSz w:w="16839" w:h="11907" w:orient="landscape"/>
          <w:pgMar w:top="720" w:right="720" w:bottom="720" w:left="720" w:header="709" w:footer="709" w:gutter="0"/>
          <w:cols w:space="720"/>
          <w:docGrid w:linePitch="360"/>
        </w:sectPr>
      </w:pPr>
    </w:p>
    <w:p w14:paraId="7C13567D" w14:textId="77777777" w:rsidR="00515398" w:rsidRDefault="006711E6">
      <w:pPr>
        <w:pStyle w:val="P68B1DB1-Normal2"/>
        <w:spacing w:before="120" w:after="120" w:line="240" w:lineRule="auto"/>
        <w:ind w:firstLine="6"/>
        <w:jc w:val="both"/>
        <w:outlineLvl w:val="3"/>
        <w:rPr>
          <w:rFonts w:cs="Times New Roman"/>
          <w:bCs/>
          <w:noProof/>
        </w:rPr>
      </w:pPr>
      <w:r>
        <w:rPr>
          <w:noProof/>
        </w:rPr>
        <w:t xml:space="preserve">Q. SLOŽKA 4.6: MODERNIZACE A ZVÝŠENÍ </w:t>
      </w:r>
      <w:r>
        <w:rPr>
          <w:noProof/>
        </w:rPr>
        <w:t>ODOLNOSTI KLÍČOVÝCH HOSPODÁŘSKÝCH ODVĚTVÍ</w:t>
      </w:r>
    </w:p>
    <w:p w14:paraId="0CE9FEF0" w14:textId="77777777" w:rsidR="00515398" w:rsidRDefault="006711E6">
      <w:pPr>
        <w:pStyle w:val="P68B1DB1-Normal4"/>
        <w:spacing w:before="120" w:after="120" w:line="240" w:lineRule="auto"/>
        <w:jc w:val="both"/>
        <w:rPr>
          <w:rFonts w:cs="Times New Roman"/>
          <w:noProof/>
          <w:szCs w:val="24"/>
        </w:rPr>
      </w:pPr>
      <w:r>
        <w:rPr>
          <w:noProof/>
        </w:rPr>
        <w:t>Tato složka řeckého plánu pro oživení a odolnost zahrnuje cílené reformy a investice ke zlepšení konkurenceschopnosti klíčových odvětví řeckého hospodářství, konkrétně cestovního ruchu a kultury, zemědělství, výrob</w:t>
      </w:r>
      <w:r>
        <w:rPr>
          <w:noProof/>
        </w:rPr>
        <w:t>y a akvakultury. Tato složka rovněž zahrnuje investice do dopravní infrastruktury zaměřené na zlepšení konektivity a bezpečnosti silničního provozu. Cestovní ruch je podporován investicemi do tematického cestovního ruchu s cílem prozkoumat nové trhy cestov</w:t>
      </w:r>
      <w:r>
        <w:rPr>
          <w:noProof/>
        </w:rPr>
        <w:t>ního ruchu. Složka dále zahrnuje investice do kultury s cílem zlepšit konkurenceschopnost a odolnost tohoto odvětví a lépe využívat jeho vazby na cestovní ruch. Investice do zemědělství zvyšují účinnost výrobních metod, podporují organizace producentů a dr</w:t>
      </w:r>
      <w:r>
        <w:rPr>
          <w:noProof/>
        </w:rPr>
        <w:t>užstva a podporují přesměrování na produkty s vyšší přidanou hodnotou. Součástí složky je také důkladná reforma železničního odvětví, aby se zvýšila jeho účinnost a konkurenceschopnost. Tyto investice podporují hladké fungování vnitřního trhu a rozvoj udrž</w:t>
      </w:r>
      <w:r>
        <w:rPr>
          <w:noProof/>
        </w:rPr>
        <w:t>itelného dopravního systému. Složka podporuje plnění doporučení pro jednotlivé země týkajících se veřejných a soukromých investic (doporučení pro jednotlivé země č. 2 z roku 2019 a doporučení pro jednotlivé země č. 3 z roku 2020). Očekává se, že žádné opat</w:t>
      </w:r>
      <w:r>
        <w:rPr>
          <w:noProof/>
        </w:rPr>
        <w:t xml:space="preserve">ření v této složce významně nepoškozuje environmentální cíle ve smyslu článku 17 nařízení (EU) 2020/852, s přihlédnutím k popisu opatření a zmírňujícím krokům stanoveným v plánu pro oživení a odolnost v souladu s technickými pokyny „významně nepoškozovat“ </w:t>
      </w:r>
      <w:r>
        <w:rPr>
          <w:noProof/>
        </w:rPr>
        <w:t>(2021/C58/01).</w:t>
      </w:r>
    </w:p>
    <w:p w14:paraId="07E5E4AE" w14:textId="77777777" w:rsidR="00515398" w:rsidRDefault="006711E6">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OTÁZKA Č. 1 </w:t>
      </w:r>
      <w:r>
        <w:rPr>
          <w:noProof/>
        </w:rPr>
        <w:t xml:space="preserve"> </w:t>
      </w:r>
      <w:r>
        <w:rPr>
          <w:rFonts w:ascii="Times New Roman" w:hAnsi="Times New Roman"/>
          <w:b/>
          <w:noProof/>
          <w:sz w:val="24"/>
          <w:u w:val="single"/>
        </w:rPr>
        <w:t>Popis reforem a investic pro nevratnou finanční podporu</w:t>
      </w:r>
    </w:p>
    <w:p w14:paraId="19829020"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Modernizace bezpečnosti silničního provozu (opatření IČ 16631)</w:t>
      </w:r>
    </w:p>
    <w:p w14:paraId="40DFD5D8" w14:textId="0BCA86DB" w:rsidR="00515398" w:rsidRDefault="006711E6">
      <w:pPr>
        <w:pStyle w:val="P68B1DB1-Normal4"/>
        <w:spacing w:before="120" w:after="120" w:line="240" w:lineRule="auto"/>
        <w:jc w:val="both"/>
        <w:rPr>
          <w:rFonts w:cs="Times New Roman"/>
          <w:noProof/>
        </w:rPr>
      </w:pPr>
      <w:r>
        <w:rPr>
          <w:noProof/>
        </w:rPr>
        <w:t>Investice zahrnuje zlepšení bezpečnosti silničních sítí v celé zemi s cílem snížit počet dopravníc</w:t>
      </w:r>
      <w:r>
        <w:rPr>
          <w:noProof/>
        </w:rPr>
        <w:t>h nehod zahrnujících zásahy ve více než 7780 nebezpečných lokalitách v celé síti. Očekává se, že toto opatření významně nepoškodí environmentální cíle ve smyslu článku 17 nařízení (EU) 2020/852, s přihlédnutím k popisu opatření a zmírňujícím krokům stanove</w:t>
      </w:r>
      <w:r>
        <w:rPr>
          <w:noProof/>
        </w:rPr>
        <w:t>ným v plánu na podporu oživení a odolnosti v souladu s technickými pokyny „nezpůsobit významnou újmu“ (2021/C58/01). Opatření zejména podléhá posouzení vlivů na životní prostředí (EIA) podle směrnice 2011/92/EU, aby bylo zajištěno dodržování zásady „význam</w:t>
      </w:r>
      <w:r>
        <w:rPr>
          <w:noProof/>
        </w:rPr>
        <w:t>ně nepoškozovat“, která je začleněna do projektu a přísně dodržována ve fázích výstavby, provozu a vyřazování infrastruktury z provozu. Investice musí být provedena do 31. prosince 2025.</w:t>
      </w:r>
    </w:p>
    <w:p w14:paraId="661B9E7A"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Střední Řecko – dálnice E-65: Oddíl Trikala-Egnatia (opatř</w:t>
      </w:r>
      <w:r>
        <w:rPr>
          <w:noProof/>
        </w:rPr>
        <w:t>ení ID 16628)</w:t>
      </w:r>
    </w:p>
    <w:p w14:paraId="7EC5C931" w14:textId="73A4465D" w:rsidR="00515398" w:rsidRDefault="006711E6">
      <w:pPr>
        <w:pStyle w:val="P68B1DB1-Normal4"/>
        <w:spacing w:before="120" w:after="120" w:line="240" w:lineRule="auto"/>
        <w:jc w:val="both"/>
        <w:rPr>
          <w:noProof/>
        </w:rPr>
      </w:pPr>
      <w:r>
        <w:rPr>
          <w:noProof/>
        </w:rPr>
        <w:t>Tato investice zahrnuje celkovou výstavbu (hlavní silnice, služební silnice/připojující silnice a doplňkové práce) o celkové délce 70 km severní části dálnice E65, konkrétně úseku Trikala – Egnatia. Očekává se, že toto opatření významně nepoš</w:t>
      </w:r>
      <w:r>
        <w:rPr>
          <w:noProof/>
        </w:rPr>
        <w:t>kodí environmentální cíle ve smyslu článku 17 nařízení (EU) 2020/852, s přihlédnutím k popisu opatření a zmírňujícím krokům stanoveným v plánu na podporu oživení a odolnosti v souladu s technickými pokyny „nezpůsobit významnou újmu“ (2021/C58/01). Opatření</w:t>
      </w:r>
      <w:r>
        <w:rPr>
          <w:noProof/>
        </w:rPr>
        <w:t xml:space="preserve"> zejména podléhá posouzení vlivů na životní prostředí (EIA) podle směrnice 2011/92/EU, </w:t>
      </w:r>
    </w:p>
    <w:p w14:paraId="791764CD" w14:textId="77777777" w:rsidR="00515398" w:rsidRDefault="006711E6">
      <w:pPr>
        <w:pStyle w:val="P68B1DB1-Normal4"/>
        <w:rPr>
          <w:noProof/>
        </w:rPr>
      </w:pPr>
      <w:r>
        <w:rPr>
          <w:noProof/>
        </w:rPr>
        <w:br w:type="page"/>
      </w:r>
    </w:p>
    <w:p w14:paraId="4C9B9472" w14:textId="04C44854" w:rsidR="00515398" w:rsidRDefault="006711E6">
      <w:pPr>
        <w:pStyle w:val="P68B1DB1-Normal4"/>
        <w:spacing w:before="120" w:after="120" w:line="240" w:lineRule="auto"/>
        <w:jc w:val="both"/>
        <w:rPr>
          <w:rFonts w:cs="Times New Roman"/>
          <w:noProof/>
          <w:szCs w:val="24"/>
          <w:highlight w:val="green"/>
        </w:rPr>
      </w:pPr>
      <w:r>
        <w:rPr>
          <w:noProof/>
        </w:rPr>
        <w:t xml:space="preserve">aby bylo zajištěno dodržování zásady „významně nepoškozovat“, je do projektu začleněna a přísně dodržována ve fázích výstavby, provozu a vyřazování infrastruktury z </w:t>
      </w:r>
      <w:r>
        <w:rPr>
          <w:noProof/>
        </w:rPr>
        <w:t>provozu. Investice musí být provedena do 31. prosince 2025.</w:t>
      </w:r>
    </w:p>
    <w:p w14:paraId="079AC95C"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Severská dálnice Cretan (И. NO.Α.Κ.) (opatření ID 16630)</w:t>
      </w:r>
    </w:p>
    <w:p w14:paraId="582B9022" w14:textId="002C5094" w:rsidR="00515398" w:rsidRDefault="006711E6">
      <w:pPr>
        <w:pStyle w:val="P68B1DB1-Normal4"/>
        <w:spacing w:before="120" w:after="120" w:line="240" w:lineRule="auto"/>
        <w:jc w:val="both"/>
        <w:rPr>
          <w:rFonts w:cs="Times New Roman"/>
          <w:noProof/>
          <w:szCs w:val="24"/>
          <w:highlight w:val="green"/>
        </w:rPr>
      </w:pPr>
      <w:r>
        <w:rPr>
          <w:noProof/>
        </w:rPr>
        <w:t xml:space="preserve">Investice se týká výstavby severní dálnice Cretan (BOAK), která spojuje čtyři velká města Kréty (Chania, Rethymnon, Heraklion a </w:t>
      </w:r>
      <w:r>
        <w:rPr>
          <w:noProof/>
        </w:rPr>
        <w:t>Agios Nikolaos) a je součástí transevropské dopravní sítě (TEN-T). Investice sestává ze tří dílčích projektů. Dílčí projekt 1 zahrnuje úsek od Chania po Heraklion, je zpoplatněná dálnice o délce přibližně 163 km, která bude postavena a provozována na zákla</w:t>
      </w:r>
      <w:r>
        <w:rPr>
          <w:noProof/>
        </w:rPr>
        <w:t xml:space="preserve">dě koncesní smlouvy. Z tohoto opatření je financováno několik konkrétních předem definovaných prací. Dílčí projekt 2 zahrnuje segment Hersonissos-Neapoli o délce přibližně 22,5 km, který bude postaven na základě dohody o partnerství veřejného a soukromého </w:t>
      </w:r>
      <w:r>
        <w:rPr>
          <w:noProof/>
        </w:rPr>
        <w:t>sektoru, a dílčí projekt 3 zahrnuje segment Neapolis – Agios Nikolaos o délce přibližně 14 km, který bude postaven jako projekt veřejných prací. Cílem dálnice je zlepšit dostupnost mezi velkými městy Kréty a všemi hlavními přístavy a letišti na ostrově, zk</w:t>
      </w:r>
      <w:r>
        <w:rPr>
          <w:noProof/>
        </w:rPr>
        <w:t>rátit dobu cestování, zvýšit úroveň služeb a bezpečnosti silničního provozu a posílit regionální dopravní činnosti, a to jak pro osobní, tak nákladní dopravu. Očekává se, že toto opatření významně nepoškodí environmentální cíle ve smyslu článku 17 nařízení</w:t>
      </w:r>
      <w:r>
        <w:rPr>
          <w:noProof/>
        </w:rPr>
        <w:t xml:space="preserve"> (EU) 2020/852, s přihlédnutím k popisu opatření a zmírňujícím krokům stanoveným v plánu na podporu oživení a odolnosti v souladu s technickými pokyny „nezpůsobit významnou újmu“ (2021/C58/01). Opatření zejména podléhá posouzení vlivů na životní prostředí </w:t>
      </w:r>
      <w:r>
        <w:rPr>
          <w:noProof/>
        </w:rPr>
        <w:t>(EIA) podle směrnice 2011/92/EU, aby bylo zajištěno dodržování zásady „významně nepoškozovat“, která je začleněna do projektu a přísně dodržována ve fázích výstavby, provozu a vyřazování infrastruktury z provozu. Provádění části investice financované z Nás</w:t>
      </w:r>
      <w:r>
        <w:rPr>
          <w:noProof/>
        </w:rPr>
        <w:t>troje pro oživení a odolnost musí být dokončeno do 31. prosince 2025.</w:t>
      </w:r>
    </w:p>
    <w:p w14:paraId="1A454DA8"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Inteligentní infrastruktura se zaměřením na životní prostředí a kulturu (opatření ID 16960)</w:t>
      </w:r>
    </w:p>
    <w:p w14:paraId="6FC0EFAF" w14:textId="2F951718" w:rsidR="00515398" w:rsidRDefault="006711E6">
      <w:pPr>
        <w:pStyle w:val="P68B1DB1-Normal5"/>
        <w:spacing w:before="120" w:after="120" w:line="240" w:lineRule="auto"/>
        <w:jc w:val="both"/>
        <w:rPr>
          <w:rFonts w:cs="Times New Roman"/>
          <w:noProof/>
        </w:rPr>
      </w:pPr>
      <w:r>
        <w:rPr>
          <w:noProof/>
        </w:rPr>
        <w:t>Investice zahrnuje tyto digitální projekty v oblasti životního prostředí a kultury:</w:t>
      </w:r>
      <w:r>
        <w:rPr>
          <w:noProof/>
        </w:rPr>
        <w:t xml:space="preserve"> 1) zřízení informačního systému pro vymezení vodních toků s cílem přispět k ochraně přírody a biologické rozmanitosti, 2) zřízení digitální banky pro transakce s poměrem budov, 3) vývoj jednotné digitální mapy, 4) zlepšení vnitrostátních systémů pro měřen</w:t>
      </w:r>
      <w:r>
        <w:rPr>
          <w:noProof/>
        </w:rPr>
        <w:t>í a monitorování látek znečišťujících ovzduší a znečištění moří s cílem přispět ke zlepšení kvality ovzduší a k ochraně mořského prostředí, 5) zřízení interaktivních digitálních služeb a produkce digitálního obsahu na podporu kulturních výstav s rozšířenou</w:t>
      </w:r>
      <w:r>
        <w:rPr>
          <w:noProof/>
        </w:rPr>
        <w:t xml:space="preserve"> a virtuální realitou muzeí a 6) sledování nelegální výstavby a výstavby. Investice musí být provedena do 31. prosince 2025.</w:t>
      </w:r>
    </w:p>
    <w:p w14:paraId="57B7FB9E" w14:textId="77777777" w:rsidR="00515398" w:rsidRDefault="006711E6">
      <w:pPr>
        <w:pStyle w:val="P68B1DB1-Normal4"/>
        <w:spacing w:before="120" w:after="120" w:line="240" w:lineRule="auto"/>
        <w:jc w:val="both"/>
        <w:rPr>
          <w:noProof/>
        </w:rPr>
      </w:pPr>
      <w:r>
        <w:rPr>
          <w:b/>
          <w:noProof/>
        </w:rPr>
        <w:t>Investice:</w:t>
      </w:r>
      <w:r>
        <w:rPr>
          <w:noProof/>
        </w:rPr>
        <w:t xml:space="preserve"> Obnova přístupnosti v důsledku ničivých účinků bouře „DANIEL“ (opatření ID 16999)</w:t>
      </w:r>
    </w:p>
    <w:p w14:paraId="483CBDBB" w14:textId="77777777" w:rsidR="00515398" w:rsidRDefault="006711E6">
      <w:pPr>
        <w:pStyle w:val="P68B1DB1-Normal4"/>
        <w:spacing w:before="120" w:after="120" w:line="240" w:lineRule="auto"/>
        <w:jc w:val="both"/>
        <w:rPr>
          <w:rFonts w:cs="Times New Roman"/>
          <w:noProof/>
        </w:rPr>
      </w:pPr>
      <w:r>
        <w:rPr>
          <w:noProof/>
        </w:rPr>
        <w:t xml:space="preserve">Tato investice zahrnuje obnovení škod </w:t>
      </w:r>
      <w:r>
        <w:rPr>
          <w:noProof/>
        </w:rPr>
        <w:t>na silniční a železniční síti a doprovodné technické práce v oblastech postižených bouří „DANIEL“ při současném zajištění funkčnosti, bezpečnosti a odolnosti vůči změně klimatu. Investice sestává ze dvou dílčích projektů:</w:t>
      </w:r>
    </w:p>
    <w:p w14:paraId="5D4786E6" w14:textId="77777777" w:rsidR="00515398" w:rsidRDefault="006711E6">
      <w:pPr>
        <w:pStyle w:val="P68B1DB1-ListParagraph19"/>
        <w:numPr>
          <w:ilvl w:val="0"/>
          <w:numId w:val="83"/>
        </w:numPr>
        <w:spacing w:before="120" w:after="120" w:line="240" w:lineRule="auto"/>
        <w:jc w:val="both"/>
        <w:rPr>
          <w:rFonts w:cs="Times New Roman"/>
          <w:noProof/>
        </w:rPr>
      </w:pPr>
      <w:r>
        <w:rPr>
          <w:noProof/>
        </w:rPr>
        <w:t>Obnova silniční sítě</w:t>
      </w:r>
    </w:p>
    <w:p w14:paraId="1C0F08D6" w14:textId="05A3B3A3" w:rsidR="00515398" w:rsidRDefault="006711E6">
      <w:pPr>
        <w:pStyle w:val="P68B1DB1-Normal4"/>
        <w:spacing w:before="120" w:after="120" w:line="240" w:lineRule="auto"/>
        <w:jc w:val="both"/>
        <w:rPr>
          <w:noProof/>
        </w:rPr>
      </w:pPr>
      <w:r>
        <w:rPr>
          <w:noProof/>
        </w:rPr>
        <w:t>Rehabilitační</w:t>
      </w:r>
      <w:r>
        <w:rPr>
          <w:noProof/>
        </w:rPr>
        <w:t xml:space="preserve"> zásahy na 200 místech regionální silniční sítě v prefekturách Larissa, Magnesia, Trikala, Karditsa, Fthiotida a Evia, které zahrnují doprovodné technické práce na mostech, které utrpěly škody na jejich stavbách a které je třeba opravit.</w:t>
      </w:r>
    </w:p>
    <w:p w14:paraId="480E53E7" w14:textId="77777777" w:rsidR="00515398" w:rsidRDefault="006711E6">
      <w:pPr>
        <w:pStyle w:val="P68B1DB1-Normal4"/>
        <w:rPr>
          <w:noProof/>
        </w:rPr>
      </w:pPr>
      <w:r>
        <w:rPr>
          <w:noProof/>
        </w:rPr>
        <w:br w:type="page"/>
      </w:r>
    </w:p>
    <w:p w14:paraId="07D2C712" w14:textId="77777777" w:rsidR="00515398" w:rsidRDefault="006711E6">
      <w:pPr>
        <w:pStyle w:val="P68B1DB1-ListParagraph19"/>
        <w:numPr>
          <w:ilvl w:val="0"/>
          <w:numId w:val="83"/>
        </w:numPr>
        <w:spacing w:before="120" w:after="120" w:line="240" w:lineRule="auto"/>
        <w:jc w:val="both"/>
        <w:rPr>
          <w:rFonts w:cs="Times New Roman"/>
          <w:noProof/>
        </w:rPr>
      </w:pPr>
      <w:r>
        <w:rPr>
          <w:noProof/>
        </w:rPr>
        <w:t xml:space="preserve">Obnova </w:t>
      </w:r>
      <w:r>
        <w:rPr>
          <w:noProof/>
        </w:rPr>
        <w:t>železniční sítě</w:t>
      </w:r>
    </w:p>
    <w:p w14:paraId="3C2BC266" w14:textId="1EC04B1D" w:rsidR="00515398" w:rsidRDefault="006711E6">
      <w:pPr>
        <w:pStyle w:val="P68B1DB1-Normal5"/>
        <w:spacing w:before="120" w:after="120" w:line="240" w:lineRule="auto"/>
        <w:jc w:val="both"/>
        <w:rPr>
          <w:noProof/>
        </w:rPr>
      </w:pPr>
      <w:r>
        <w:rPr>
          <w:noProof/>
        </w:rPr>
        <w:t>Obnova železniční sítě na úsecích z Domokosu do Krannony hlavní osy Atény – Soluň a na dvou dalších osách (trať Palofarsalos-Kalambaka a Pelion), včetně</w:t>
      </w:r>
      <w:r>
        <w:rPr>
          <w:noProof/>
          <w:color w:val="2B579A"/>
        </w:rPr>
        <w:t xml:space="preserve"> </w:t>
      </w:r>
      <w:r>
        <w:rPr>
          <w:noProof/>
        </w:rPr>
        <w:t>opravy poškozených železničních tratí, doprovodných technických prací na poškozených mo</w:t>
      </w:r>
      <w:r>
        <w:rPr>
          <w:noProof/>
        </w:rPr>
        <w:t xml:space="preserve">stech a oprav a obnovy železniční sítě ve stanicích. </w:t>
      </w:r>
    </w:p>
    <w:p w14:paraId="75CD9A1E" w14:textId="77777777" w:rsidR="00515398" w:rsidRDefault="006711E6">
      <w:pPr>
        <w:pStyle w:val="P68B1DB1-Normal4"/>
        <w:spacing w:before="120" w:after="120" w:line="240" w:lineRule="auto"/>
        <w:jc w:val="both"/>
        <w:rPr>
          <w:rFonts w:cs="Times New Roman"/>
          <w:noProof/>
          <w:szCs w:val="24"/>
        </w:rPr>
      </w:pPr>
      <w:r>
        <w:rPr>
          <w:noProof/>
        </w:rPr>
        <w:t>Vypracuje se plán zadávání veřejných zakázek na investice do bezpečnosti železnic podporované v rámci politiky soudržnosti EU a na pravidelnou údržbu, které, ačkoli nejsou prováděny s podporou z Nástroj</w:t>
      </w:r>
      <w:r>
        <w:rPr>
          <w:noProof/>
        </w:rPr>
        <w:t xml:space="preserve">e pro oživení a odolnost, jsou nezbytné pro obnovu bezpečného provozu železniční sítě. </w:t>
      </w:r>
    </w:p>
    <w:p w14:paraId="6B9E73A5" w14:textId="33D3F231" w:rsidR="00515398" w:rsidRDefault="006711E6">
      <w:pPr>
        <w:pStyle w:val="P68B1DB1-Normal5"/>
        <w:spacing w:before="120" w:after="120" w:line="240" w:lineRule="auto"/>
        <w:jc w:val="both"/>
        <w:rPr>
          <w:noProof/>
        </w:rPr>
      </w:pPr>
      <w:r>
        <w:rPr>
          <w:noProof/>
          <w:color w:val="000000" w:themeColor="text1"/>
        </w:rPr>
        <w:t>Očekává se, že toto opatření významně nepoškodí environmentální cíle ve smyslu článku 17 nařízení (EU) 2020/852, s přihlédnutím k popisu opatření a zmírňujícím krokům s</w:t>
      </w:r>
      <w:r>
        <w:rPr>
          <w:noProof/>
          <w:color w:val="000000" w:themeColor="text1"/>
        </w:rPr>
        <w:t xml:space="preserve">tanoveným v plánu na podporu oživení a odolnosti v souladu s technickými pokyny „nezpůsobit významnou újmu“ (2021/C58/01). </w:t>
      </w:r>
      <w:r>
        <w:rPr>
          <w:noProof/>
        </w:rPr>
        <w:t>Investice musí být provedena do 31. prosince 2025.</w:t>
      </w:r>
    </w:p>
    <w:p w14:paraId="38C77FCC"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Modernizace příměstské železnice Západu Attika (opatření ID 16892)</w:t>
      </w:r>
    </w:p>
    <w:p w14:paraId="587E7C84" w14:textId="5BDBD692" w:rsidR="00515398" w:rsidRDefault="006711E6">
      <w:pPr>
        <w:pStyle w:val="P68B1DB1-Normal5"/>
        <w:spacing w:before="120" w:after="120" w:line="240" w:lineRule="auto"/>
        <w:jc w:val="both"/>
        <w:rPr>
          <w:rFonts w:cs="Times New Roman"/>
          <w:noProof/>
        </w:rPr>
      </w:pPr>
      <w:r>
        <w:rPr>
          <w:noProof/>
        </w:rPr>
        <w:t>Tato</w:t>
      </w:r>
      <w:r>
        <w:rPr>
          <w:noProof/>
        </w:rPr>
        <w:t xml:space="preserve"> investice zahrnuje výstavbu části příměstské železniční odbočky západně od Atén, od Ano Liossia po začátek úseku ELPE Elefsina a od konce úseku ELPE Elefsina k novému nádraží Megara. Cílem rozšíření železniční dopravy je přispět k hospodářské, sociální a </w:t>
      </w:r>
      <w:r>
        <w:rPr>
          <w:noProof/>
        </w:rPr>
        <w:t xml:space="preserve">územní soudržnosti a podpořit propojení v oblasti, v níž má odvětví logistiky značný potenciál. Očekává se, že toto opatření významně nepoškodí environmentální cíle ve smyslu článku 17 nařízení (EU) 2020/852, s přihlédnutím k popisu opatření a zmírňujícím </w:t>
      </w:r>
      <w:r>
        <w:rPr>
          <w:noProof/>
        </w:rPr>
        <w:t xml:space="preserve">krokům stanoveným v plánu na podporu oživení a odolnosti v souladu s technickými pokyny „nezpůsobit významnou újmu“ (2021/C58/01). Opatření zejména podléhá posouzení vlivů na životní prostředí (EIA) podle směrnice 2011/92/EU, aby bylo zajištěno dodržování </w:t>
      </w:r>
      <w:r>
        <w:rPr>
          <w:noProof/>
        </w:rPr>
        <w:t>zásady „významně nepoškozovat“, která je začleněna do projektu a přísně dodržována ve fázích výstavby, provozu a vyřazování infrastruktury z provozu. Investice musí být provedena do 31. prosince 2025.</w:t>
      </w:r>
    </w:p>
    <w:p w14:paraId="077BB1C4"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Provádění oprav v oblasti dodržování předpis</w:t>
      </w:r>
      <w:r>
        <w:rPr>
          <w:noProof/>
        </w:rPr>
        <w:t>ů EASA (opatření ID 16833)</w:t>
      </w:r>
    </w:p>
    <w:p w14:paraId="2F5F6F91" w14:textId="38AA3740" w:rsidR="00515398" w:rsidRDefault="006711E6">
      <w:pPr>
        <w:pStyle w:val="P68B1DB1-Normal5"/>
        <w:spacing w:before="120" w:after="120" w:line="240" w:lineRule="auto"/>
        <w:jc w:val="both"/>
        <w:rPr>
          <w:rFonts w:cs="Times New Roman"/>
          <w:noProof/>
        </w:rPr>
      </w:pPr>
      <w:r>
        <w:rPr>
          <w:noProof/>
        </w:rPr>
        <w:t>Tato investice zahrnuje modernizaci 13 regionálních letišť s cílem řešit odchylky a/nebo nesoulad v rámci stávajících hranic letišť podle nových certifikačních specifikací Evropské agentury pro bezpečnost letectví (EASA), které p</w:t>
      </w:r>
      <w:r>
        <w:rPr>
          <w:noProof/>
        </w:rPr>
        <w:t xml:space="preserve">ředstavují smluvní závazek státu. Investice povede k tomu, že na základě rozhodnutí řeckého úřadu pro civilní letectví (HCAA) bude v rámci stávajících hranic letiště zrušeno 169 dokumentů o schválení odchylek a akčních dokumentech (DAAD), jejichž cílem je </w:t>
      </w:r>
      <w:r>
        <w:rPr>
          <w:noProof/>
        </w:rPr>
        <w:t>zajistit soulad těchto letišť s nařízením Evropského parlamentu a Rady (EU) 2018/1139 ze dne 4. července 2018 o společných pravidlech v oblasti civilního letectví a o zřízení Agentury Evropské unie pro bezpečnost letectví. Očekává se, že toto opatření význ</w:t>
      </w:r>
      <w:r>
        <w:rPr>
          <w:noProof/>
        </w:rPr>
        <w:t>amně nepoškodí environmentální cíle ve smyslu článku 17 nařízení (EU) 2020/852, s přihlédnutím k popisu opatření a zmírňujícím krokům stanoveným v plánu na podporu oživení a odolnosti v souladu s technickými pokyny „nezpůsobit významnou újmu“ (2021/C58/01)</w:t>
      </w:r>
      <w:r>
        <w:rPr>
          <w:noProof/>
        </w:rPr>
        <w:t>. Opatření zejména vyžaduje, aby hospodářské subjekty provádějící stavební práce zajistily, že nejméně 70 % (hmotnostních) konstrukčních a demoličních odpadů neklasifikovaných jako nebezpečné (s výjimkou přirozeně se vyskytujících materiálů uvedených v kat</w:t>
      </w:r>
      <w:r>
        <w:rPr>
          <w:noProof/>
        </w:rPr>
        <w:t>egorii 17 05 04 na evropském seznamu odpadů stanoveném rozhodnutím 2000/532/ES ze dne 3. května 2000, kterým se nahrazuje rozhodnutí 94/3/ES, kterým se stanoví seznam odpadů podle čl. 1 písm. a) směrnice Rady 75/442/EHS o odpadech a rozhodnutí Rady 94/904/</w:t>
      </w:r>
      <w:r>
        <w:rPr>
          <w:noProof/>
        </w:rPr>
        <w:t>ES, kterým se stanoví seznam nebezpečných odpadů ve smyslu čl. 1 odst. 4 směrnice Rady 91/689/EHS o nebezpečných odpadech (oznámeno pod číslem K(2000) 1147)) vzniklých na staveništi, bude připraveno k opětovnému použití, recyklace a jiné materiálové využit</w:t>
      </w:r>
      <w:r>
        <w:rPr>
          <w:noProof/>
        </w:rPr>
        <w:t>í, včetně zasypávání odpadů za účelem nahrazení jiných materiálů, v souladu s hierarchií způsobů nakládání s odpady a protokolem EU o nakládání se stavebním a demoličním odpadem. Investice musí být provedena do 31. prosince 2025.</w:t>
      </w:r>
    </w:p>
    <w:p w14:paraId="7B47CC76"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Inteligentní mo</w:t>
      </w:r>
      <w:r>
        <w:rPr>
          <w:noProof/>
        </w:rPr>
        <w:t>sty (opatření ID 16949)</w:t>
      </w:r>
    </w:p>
    <w:p w14:paraId="0C7BD351" w14:textId="77777777" w:rsidR="00515398" w:rsidRDefault="006711E6">
      <w:pPr>
        <w:spacing w:before="120" w:after="120" w:line="240" w:lineRule="auto"/>
        <w:jc w:val="both"/>
        <w:rPr>
          <w:rFonts w:ascii="Times New Roman" w:hAnsi="Times New Roman" w:cs="Times New Roman"/>
          <w:noProof/>
          <w:sz w:val="24"/>
          <w:szCs w:val="24"/>
        </w:rPr>
      </w:pPr>
      <w:r>
        <w:rPr>
          <w:rFonts w:ascii="Times New Roman" w:hAnsi="Times New Roman"/>
          <w:noProof/>
          <w:sz w:val="24"/>
        </w:rPr>
        <w:t>Investice sestává ze dvou fází. Cílem fáze I investice je vybavit mosty speciálními systémy měření zatížení a senzory nebo optickými vlákny, které měří přesun mostů v reálném čase. Tyto informace se zaznamenávají a zpracovávají pomo</w:t>
      </w:r>
      <w:r>
        <w:rPr>
          <w:rFonts w:ascii="Times New Roman" w:hAnsi="Times New Roman"/>
          <w:noProof/>
          <w:sz w:val="24"/>
        </w:rPr>
        <w:t>cí zvláštních algoritmů pro hodnocení strukturální zranitelnosti mostů. Cílem této investice je zlepšit úroveň bezpečnosti mostů a předcházet nehodám, a to buď v důsledku průjezdu těžkých vozidel, nebo rizik spojených se změnou klimatu. Cílem druhé fáze in</w:t>
      </w:r>
      <w:r>
        <w:rPr>
          <w:rFonts w:ascii="Times New Roman" w:hAnsi="Times New Roman"/>
          <w:noProof/>
          <w:sz w:val="24"/>
        </w:rPr>
        <w:t>vestice je</w:t>
      </w:r>
      <w:r>
        <w:rPr>
          <w:noProof/>
        </w:rPr>
        <w:t xml:space="preserve"> </w:t>
      </w:r>
      <w:r>
        <w:rPr>
          <w:rFonts w:ascii="Times New Roman" w:hAnsi="Times New Roman"/>
          <w:noProof/>
          <w:sz w:val="24"/>
        </w:rPr>
        <w:t>vybavit mosty bezdrátovými senzory napájenými solárními panely. Investice musí být provedena do 31. prosince 2025.</w:t>
      </w:r>
    </w:p>
    <w:p w14:paraId="05667510"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Řecké organizace pro železnice (opatření ID 16959)</w:t>
      </w:r>
    </w:p>
    <w:p w14:paraId="46A5A7DA" w14:textId="780F8218" w:rsidR="00515398" w:rsidRDefault="006711E6">
      <w:pPr>
        <w:pStyle w:val="P68B1DB1-Normal5"/>
        <w:spacing w:before="120" w:after="120" w:line="240" w:lineRule="auto"/>
        <w:jc w:val="both"/>
        <w:rPr>
          <w:rFonts w:cs="Times New Roman"/>
          <w:noProof/>
        </w:rPr>
      </w:pPr>
      <w:r>
        <w:rPr>
          <w:noProof/>
        </w:rPr>
        <w:t>Investice zahrnuje modernizaci infrastruktury</w:t>
      </w:r>
      <w:r>
        <w:rPr>
          <w:noProof/>
        </w:rPr>
        <w:t xml:space="preserve"> a služeb Řecké organizace železnic (OSE) prostřednictvím rozvoje těchto systémů a služeb: a) systémy správy jízdenek a telematické systémy, b) infrastruktura pro inteligentní stanice, c) zákaznické služby, d) vysokorychlostní internet ve vlacích a stanicí</w:t>
      </w:r>
      <w:r>
        <w:rPr>
          <w:noProof/>
        </w:rPr>
        <w:t>ch, e) telematický systém vozidel a f) modernizace bezpečnostní infrastruktury deseti železničních tunelů pomocí inteligentních systémů. Investice musí být provedena do 31. prosince 2025.</w:t>
      </w:r>
    </w:p>
    <w:p w14:paraId="5C252325"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Digitální integrovaný systém řízení programů pro správu tec</w:t>
      </w:r>
      <w:r>
        <w:rPr>
          <w:noProof/>
        </w:rPr>
        <w:t>hnických prací a strukturálních prostředků Ministerstva infrastruktury a dopravy (opatření ID 16937)</w:t>
      </w:r>
    </w:p>
    <w:p w14:paraId="17C23130" w14:textId="77777777" w:rsidR="00515398" w:rsidRDefault="006711E6">
      <w:pPr>
        <w:pStyle w:val="P68B1DB1-Normal4"/>
        <w:spacing w:before="120" w:after="120" w:line="240" w:lineRule="auto"/>
        <w:jc w:val="both"/>
        <w:rPr>
          <w:rFonts w:cs="Times New Roman"/>
          <w:noProof/>
        </w:rPr>
      </w:pPr>
      <w:r>
        <w:rPr>
          <w:noProof/>
        </w:rPr>
        <w:t xml:space="preserve">Reforma zavede nejmodernější informační systém pro správu portfolií s cílem poskytnout ministerstvu infrastruktury a dopravy nástroj pro sledování, správu </w:t>
      </w:r>
      <w:r>
        <w:rPr>
          <w:noProof/>
        </w:rPr>
        <w:t>a správu jeho portfolia technických prací a aktiv. Systém poskytuje v reálném čase přesné informace o výstupech, nákladech a harmonogramu během celého životního cyklu provedených prací. Investice musí být provedena do 31. prosince 2025.</w:t>
      </w:r>
    </w:p>
    <w:p w14:paraId="0FE5C3C0"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Zjednoduše</w:t>
      </w:r>
      <w:r>
        <w:rPr>
          <w:noProof/>
        </w:rPr>
        <w:t>ní postupů Ministerstva infrastruktury a dopravy (opatření ID 16786)</w:t>
      </w:r>
    </w:p>
    <w:p w14:paraId="7C9350E6" w14:textId="779BC616" w:rsidR="00515398" w:rsidRDefault="006711E6">
      <w:pPr>
        <w:pStyle w:val="P68B1DB1-Normal5"/>
        <w:spacing w:before="120" w:after="120" w:line="240" w:lineRule="auto"/>
        <w:jc w:val="both"/>
        <w:rPr>
          <w:rFonts w:cs="Times New Roman"/>
          <w:noProof/>
        </w:rPr>
      </w:pPr>
      <w:r>
        <w:rPr>
          <w:noProof/>
        </w:rPr>
        <w:t>Tato reforma zahrnuje digitalizaci služeb poskytovaných ministerstvem infrastruktury a dopravy s cílem zmírnit administrativní zátěž a zjednodušit postupy ve veřejném sektoru. Zahrnuje a)</w:t>
      </w:r>
      <w:r>
        <w:rPr>
          <w:noProof/>
        </w:rPr>
        <w:t xml:space="preserve"> vydávání, výměnu a obnovu řidičských průkazů, b) postupy týkající se převodu vozidel, c) vydávání řidičských průkazů a poznávacích značek a d) řidičské zkoušky. Provádění reformy se dokončí do 31. prosince 2024.</w:t>
      </w:r>
    </w:p>
    <w:p w14:paraId="3A937194"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Reforma práce v kulturním odvětví </w:t>
      </w:r>
      <w:r>
        <w:rPr>
          <w:noProof/>
        </w:rPr>
        <w:t>(opatření ID 16715)</w:t>
      </w:r>
    </w:p>
    <w:p w14:paraId="1BAF1D9B" w14:textId="2E0B42F6" w:rsidR="00515398" w:rsidRDefault="006711E6">
      <w:pPr>
        <w:pStyle w:val="P68B1DB1-Normal4"/>
        <w:spacing w:before="120" w:after="120" w:line="240" w:lineRule="auto"/>
        <w:jc w:val="both"/>
        <w:rPr>
          <w:b/>
          <w:noProof/>
        </w:rPr>
      </w:pPr>
      <w:r>
        <w:rPr>
          <w:noProof/>
        </w:rPr>
        <w:t>Tato reforma zavede právní předpisy v oblasti práce a sociálního zabezpečení pro kulturní a kreativní odvětví s cílem zvýšit podíl hlášené práce v tomto odvětví, podpořit odborníky v tomto odvětví a chránit jejich práva duševního vlastn</w:t>
      </w:r>
      <w:r>
        <w:rPr>
          <w:noProof/>
        </w:rPr>
        <w:t>ictví. Cílem této reformy je zvýšit odolnost kulturního a tvůrčího odvětví. Provádění reformy bude dokončeno do 30. září 2022.</w:t>
      </w:r>
      <w:r>
        <w:rPr>
          <w:noProof/>
        </w:rPr>
        <w:br w:type="page"/>
      </w:r>
    </w:p>
    <w:p w14:paraId="513ACE6E" w14:textId="68B5A606" w:rsidR="00515398" w:rsidRDefault="006711E6">
      <w:pPr>
        <w:pStyle w:val="P68B1DB1-Normal4"/>
        <w:spacing w:before="120" w:after="120" w:line="240" w:lineRule="auto"/>
        <w:jc w:val="both"/>
        <w:rPr>
          <w:rFonts w:cs="Times New Roman"/>
          <w:noProof/>
        </w:rPr>
      </w:pPr>
      <w:r>
        <w:rPr>
          <w:b/>
          <w:noProof/>
        </w:rPr>
        <w:t>Investice:</w:t>
      </w:r>
      <w:r>
        <w:rPr>
          <w:noProof/>
        </w:rPr>
        <w:t xml:space="preserve"> Kultura jako hnací síla růstu (opatření ID 16293)</w:t>
      </w:r>
    </w:p>
    <w:p w14:paraId="580E2043" w14:textId="77777777" w:rsidR="00515398" w:rsidRDefault="006711E6">
      <w:pPr>
        <w:pStyle w:val="P68B1DB1-Normal4"/>
        <w:spacing w:before="120" w:after="120" w:line="240" w:lineRule="auto"/>
        <w:jc w:val="both"/>
        <w:rPr>
          <w:rFonts w:cs="Times New Roman"/>
          <w:noProof/>
        </w:rPr>
      </w:pPr>
      <w:r>
        <w:rPr>
          <w:noProof/>
        </w:rPr>
        <w:t>Celkovým cílem investice je podpořit přínos kultury k inteligentním</w:t>
      </w:r>
      <w:r>
        <w:rPr>
          <w:noProof/>
        </w:rPr>
        <w:t>u a udržitelnému růstu a hospodářské, sociální a územní soudržnosti. Skládá se ze šesti dílčích projektů:</w:t>
      </w:r>
    </w:p>
    <w:p w14:paraId="30F87D10" w14:textId="77777777" w:rsidR="00515398" w:rsidRDefault="006711E6">
      <w:pPr>
        <w:pStyle w:val="P68B1DB1-Normal4"/>
        <w:numPr>
          <w:ilvl w:val="0"/>
          <w:numId w:val="65"/>
        </w:numPr>
        <w:spacing w:before="120" w:after="120" w:line="240" w:lineRule="auto"/>
        <w:ind w:left="360"/>
        <w:jc w:val="both"/>
        <w:rPr>
          <w:rFonts w:cs="Times New Roman"/>
          <w:noProof/>
        </w:rPr>
      </w:pPr>
      <w:r>
        <w:rPr>
          <w:noProof/>
        </w:rPr>
        <w:t xml:space="preserve">poskytování podpory regionálním strategiím kulturních a kreativních odvětví, poskytování podpory místním řemeslným ekosystémům, vytváření ekosystému </w:t>
      </w:r>
      <w:r>
        <w:rPr>
          <w:noProof/>
        </w:rPr>
        <w:t xml:space="preserve">regionálního růstu zaměřeného na kulturu, zdůraznění funkční a organické meziodvětvové přidané hodnoty kulturních a tvůrčích odvětví, vytváření pracovních míst, zavádění udržitelných finančních činností, rozvoj „ekonomiky zkušeností“ atd. Podpora zahrnuje </w:t>
      </w:r>
      <w:r>
        <w:rPr>
          <w:noProof/>
        </w:rPr>
        <w:t>rozvoj a modernizaci kulturních míst, služeb a zkušeností, zvyšování kvalifikace pracovní síly, rozvoj místních kulturních cest, podporu tvořivosti a inovací, financování energeticky účinných renovací a opatření v oblasti energetické účinnosti týkajících s</w:t>
      </w:r>
      <w:r>
        <w:rPr>
          <w:noProof/>
        </w:rPr>
        <w:t>e veřejné infrastruktury atd.</w:t>
      </w:r>
    </w:p>
    <w:p w14:paraId="47E296AB" w14:textId="77777777" w:rsidR="00515398" w:rsidRDefault="006711E6">
      <w:pPr>
        <w:pStyle w:val="P68B1DB1-Normal4"/>
        <w:numPr>
          <w:ilvl w:val="0"/>
          <w:numId w:val="65"/>
        </w:numPr>
        <w:spacing w:before="120" w:after="120" w:line="240" w:lineRule="auto"/>
        <w:ind w:left="360"/>
        <w:jc w:val="both"/>
        <w:rPr>
          <w:rFonts w:cs="Times New Roman"/>
          <w:noProof/>
        </w:rPr>
      </w:pPr>
      <w:r>
        <w:rPr>
          <w:noProof/>
        </w:rPr>
        <w:t>rozšíření využívání archeologických nalezišť a památek jako míst konání akcí,</w:t>
      </w:r>
    </w:p>
    <w:p w14:paraId="5ABAFF60" w14:textId="77777777" w:rsidR="00515398" w:rsidRDefault="006711E6">
      <w:pPr>
        <w:pStyle w:val="P68B1DB1-Normal4"/>
        <w:numPr>
          <w:ilvl w:val="0"/>
          <w:numId w:val="65"/>
        </w:numPr>
        <w:spacing w:before="120" w:after="120" w:line="240" w:lineRule="auto"/>
        <w:ind w:left="360"/>
        <w:jc w:val="both"/>
        <w:rPr>
          <w:rFonts w:cs="Times New Roman"/>
          <w:noProof/>
        </w:rPr>
      </w:pPr>
      <w:r>
        <w:rPr>
          <w:noProof/>
        </w:rPr>
        <w:t>poskytování podpory digitální transformaci kulturních a tvůrčích odvětví a rozvoji digitálních modelů kulturní produkce a distribuce,</w:t>
      </w:r>
    </w:p>
    <w:p w14:paraId="52E3FD3C" w14:textId="77777777" w:rsidR="00515398" w:rsidRDefault="006711E6">
      <w:pPr>
        <w:pStyle w:val="P68B1DB1-Normal4"/>
        <w:numPr>
          <w:ilvl w:val="0"/>
          <w:numId w:val="65"/>
        </w:numPr>
        <w:spacing w:before="120" w:after="120" w:line="240" w:lineRule="auto"/>
        <w:ind w:left="360"/>
        <w:jc w:val="both"/>
        <w:rPr>
          <w:rFonts w:cs="Times New Roman"/>
          <w:noProof/>
        </w:rPr>
      </w:pPr>
      <w:r>
        <w:rPr>
          <w:noProof/>
        </w:rPr>
        <w:t>podpora filmov</w:t>
      </w:r>
      <w:r>
        <w:rPr>
          <w:noProof/>
        </w:rPr>
        <w:t>ého průmyslu jako hnací síly růstu a tvořivosti a</w:t>
      </w:r>
    </w:p>
    <w:p w14:paraId="0F76CE34" w14:textId="77777777" w:rsidR="00515398" w:rsidRDefault="006711E6">
      <w:pPr>
        <w:pStyle w:val="P68B1DB1-Normal4"/>
        <w:numPr>
          <w:ilvl w:val="0"/>
          <w:numId w:val="65"/>
        </w:numPr>
        <w:spacing w:before="120" w:after="120" w:line="240" w:lineRule="auto"/>
        <w:ind w:left="360"/>
        <w:jc w:val="both"/>
        <w:rPr>
          <w:rFonts w:cs="Times New Roman"/>
          <w:noProof/>
        </w:rPr>
      </w:pPr>
      <w:r>
        <w:rPr>
          <w:noProof/>
        </w:rPr>
        <w:t xml:space="preserve">propagace řecké kulturní značky a obchodu. </w:t>
      </w:r>
    </w:p>
    <w:p w14:paraId="5BD1477A" w14:textId="77777777" w:rsidR="00515398" w:rsidRDefault="006711E6">
      <w:pPr>
        <w:pStyle w:val="P68B1DB1-Normal4"/>
        <w:spacing w:before="120" w:after="120" w:line="240" w:lineRule="auto"/>
        <w:jc w:val="both"/>
        <w:rPr>
          <w:rFonts w:cs="Times New Roman"/>
          <w:noProof/>
        </w:rPr>
      </w:pPr>
      <w:r>
        <w:rPr>
          <w:noProof/>
        </w:rPr>
        <w:t>Očekává se, že toto opatření významně nepoškodí environmentální cíle ve smyslu článku 17 nařízení (EU) 2020/852, s přihlédnutím k popisu opatření a zmírňujícím kr</w:t>
      </w:r>
      <w:r>
        <w:rPr>
          <w:noProof/>
        </w:rPr>
        <w:t>okům stanoveným v plánu na podporu oživení a odolnosti v souladu s technickými pokyny „nezpůsobit významnou újmu“ (2021/C58/01). Konkrétně dílčí projekt týkající se výstavby přístupových komunikací podléhá posouzení vlivů na životní prostředí (EIA) podle s</w:t>
      </w:r>
      <w:r>
        <w:rPr>
          <w:noProof/>
        </w:rPr>
        <w:t>měrnice 2011/92/EU, aby byl zajištěn soulad se zásadou „významně nepoškozovat“, která je začleněna do projektu a přísně dodržována ve fázích výstavby, provozu a vyřazování infrastruktury z provozu. Investice musí být provedena do 31. prosince 2025.</w:t>
      </w:r>
    </w:p>
    <w:p w14:paraId="06B00211" w14:textId="77777777" w:rsidR="00515398" w:rsidRDefault="006711E6">
      <w:pPr>
        <w:pStyle w:val="P68B1DB1-Normal4"/>
        <w:spacing w:before="120" w:after="120" w:line="240" w:lineRule="auto"/>
        <w:jc w:val="both"/>
        <w:rPr>
          <w:rFonts w:cs="Times New Roman"/>
          <w:noProof/>
        </w:rPr>
      </w:pPr>
      <w:r>
        <w:rPr>
          <w:b/>
          <w:noProof/>
        </w:rPr>
        <w:t>Investi</w:t>
      </w:r>
      <w:r>
        <w:rPr>
          <w:b/>
          <w:noProof/>
        </w:rPr>
        <w:t>ce:</w:t>
      </w:r>
      <w:r>
        <w:rPr>
          <w:noProof/>
        </w:rPr>
        <w:t xml:space="preserve"> Muzeum podvodních starožitností (opatření ID 16486)</w:t>
      </w:r>
    </w:p>
    <w:p w14:paraId="294C0B7C" w14:textId="77777777" w:rsidR="00515398" w:rsidRDefault="006711E6">
      <w:pPr>
        <w:pStyle w:val="P68B1DB1-Normal5"/>
        <w:spacing w:before="120" w:after="120" w:line="240" w:lineRule="auto"/>
        <w:jc w:val="both"/>
        <w:rPr>
          <w:rFonts w:cs="Times New Roman"/>
          <w:noProof/>
        </w:rPr>
      </w:pPr>
      <w:r>
        <w:rPr>
          <w:noProof/>
        </w:rPr>
        <w:t>Tato investice obnoví prostřednictvím energeticky účinné renovace průmyslovou budovu v Pireu a znovu ji otevřou jako muzeum podvodních starožitností. Cílem investice je vytvořit přidanou hodnotu z hle</w:t>
      </w:r>
      <w:r>
        <w:rPr>
          <w:noProof/>
        </w:rPr>
        <w:t>diska kultury a cestovního ruchu pro přístavní město Pireus a širší Atény. Očekává se, že toto opatření významně nepoškodí environmentální cíle ve smyslu článku 17 nařízení (EU) 2020/852, s přihlédnutím k popisu opatření a zmírňujícím krokům stanoveným v p</w:t>
      </w:r>
      <w:r>
        <w:rPr>
          <w:noProof/>
        </w:rPr>
        <w:t>lánu na podporu oživení a odolnosti v souladu s technickými pokyny „nezpůsobit významnou újmu“ (2021/C58/01). Opatření zejména vyžaduje, aby hospodářské subjekty provádějící stavební práce zajistily, že nejméně 70 % (hmotnostních) konstrukčních a demoliční</w:t>
      </w:r>
      <w:r>
        <w:rPr>
          <w:noProof/>
        </w:rPr>
        <w:t>ch odpadů neklasifikovaných jako nebezpečné (s výjimkou přirozeně se vyskytujících materiálů uvedených v kategorii 17 05 04 na evropském seznamu odpadů stanoveném rozhodnutím 2000/532/ES ze dne 3. května 2000, kterým se nahrazuje rozhodnutí 94/3/ES, kterým</w:t>
      </w:r>
      <w:r>
        <w:rPr>
          <w:noProof/>
        </w:rPr>
        <w:t xml:space="preserve"> se stanoví seznam odpadů podle čl. 1 písm. a) směrnice Rady 75/442/EHS o odpadech a rozhodnutí Rady 94/904/ES, kterým se stanoví seznam nebezpečných odpadů ve smyslu čl. 1 odst. 4 směrnice Rady 91/689/EHS o nebezpečných odpadech (oznámeno pod číslem K(200</w:t>
      </w:r>
      <w:r>
        <w:rPr>
          <w:noProof/>
        </w:rPr>
        <w:t>0) 1147)) vzniklých na staveništi, bude připraveno k opětovnému použití, recyklace a jiné materiálové využití, včetně zasypávání odpadů za účelem nahrazení jiných materiálů, v souladu s hierarchií způsobů nakládání s odpady a protokolem EU o nakládání se s</w:t>
      </w:r>
      <w:r>
        <w:rPr>
          <w:noProof/>
        </w:rPr>
        <w:t>tavebním a demoličním odpadem. Investice musí být provedena do 31. prosince 2025.</w:t>
      </w:r>
    </w:p>
    <w:p w14:paraId="65616E8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Využívání „umělců na předpis“, podpora sociální soudržnosti a využívání stříbrné ekonomiky (opatření ID 16735)</w:t>
      </w:r>
    </w:p>
    <w:p w14:paraId="65DB4DF9" w14:textId="77777777" w:rsidR="00515398" w:rsidRDefault="006711E6">
      <w:pPr>
        <w:pStyle w:val="P68B1DB1-Normal4"/>
        <w:spacing w:before="120" w:after="120" w:line="240" w:lineRule="auto"/>
        <w:jc w:val="both"/>
        <w:rPr>
          <w:rFonts w:cs="Times New Roman"/>
          <w:noProof/>
        </w:rPr>
      </w:pPr>
      <w:r>
        <w:rPr>
          <w:noProof/>
        </w:rPr>
        <w:t>Cílem investice je přilákat návštěvníky ve věku 65 l</w:t>
      </w:r>
      <w:r>
        <w:rPr>
          <w:noProof/>
        </w:rPr>
        <w:t xml:space="preserve">et a více, jakož i návštěvníky se zdravotním postižením na kulturních místech, jako jsou muzea, divadla, festivaly, archeologická naleziště a památky, a to zlepšením fyzického přístupu na tato místa a rozvojem systémů prohlídek s průvodcem s pomůckami pro </w:t>
      </w:r>
      <w:r>
        <w:rPr>
          <w:noProof/>
        </w:rPr>
        <w:t>sluch a zrak. Investice musí být plně v souladu s řeckou strategií pro osoby se zdravotním postižením, která již probíhá. Kromě toho investice podpoří programy umění na lékařský předpis, jak je popisuje Světová zdravotnická organizace, které využívají uměn</w:t>
      </w:r>
      <w:r>
        <w:rPr>
          <w:noProof/>
        </w:rPr>
        <w:t>í a kulturu jako nedílnou součást lékařské podpory, zejména v oblasti duševního zdraví. Investice musí být provedena do 31. prosince 2025.</w:t>
      </w:r>
    </w:p>
    <w:p w14:paraId="294B241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Modernizace infrastruktury, obnova vybavení a modernizace kvality služeb poskytovaných HOCRED Stores – býv</w:t>
      </w:r>
      <w:r>
        <w:rPr>
          <w:noProof/>
        </w:rPr>
        <w:t>alé ARF Stores (na místě a v elektronické podobě) (opatření ID 16536)</w:t>
      </w:r>
    </w:p>
    <w:p w14:paraId="42B58ADC" w14:textId="77777777" w:rsidR="00515398" w:rsidRDefault="006711E6">
      <w:pPr>
        <w:pStyle w:val="P68B1DB1-Normal4"/>
        <w:spacing w:before="120" w:after="120" w:line="240" w:lineRule="auto"/>
        <w:jc w:val="both"/>
        <w:rPr>
          <w:rFonts w:cs="Times New Roman"/>
          <w:noProof/>
        </w:rPr>
      </w:pPr>
      <w:r>
        <w:rPr>
          <w:noProof/>
        </w:rPr>
        <w:t>Tato investice zahrnuje opatření v oblasti energetické účinnosti, renovace, výstavbu obchodů a dílen, zajištění vybavení pro fyzické a on-line obchody a zlepšení kvality služeb poskytova</w:t>
      </w:r>
      <w:r>
        <w:rPr>
          <w:noProof/>
        </w:rPr>
        <w:t>ných Řeckou organizací pro rozvoj kulturních zdrojů (HOCRED), která shromažďuje výnosy z archeologických nalezišť, historických památek, památek a archeologických muzeí v Řecku a spravuje tyto zdroje na podporu řeckého kulturního dědictví. Očekává se, že t</w:t>
      </w:r>
      <w:r>
        <w:rPr>
          <w:noProof/>
        </w:rPr>
        <w:t>oto opatření významně nepoškodí environmentální cíle ve smyslu článku 17 nařízení (EU) 2020/852, s přihlédnutím k popisu opatření a zmírňujícím krokům stanoveným v plánu na podporu oživení a odolnosti v souladu s technickými pokyny „nezpůsobit významnou új</w:t>
      </w:r>
      <w:r>
        <w:rPr>
          <w:noProof/>
        </w:rPr>
        <w:t>mu“ (2021/C58/01). Opatření zejména vyžaduje, aby hospodářské subjekty provádějící stavební práce zajistily, že nejméně 70 % (hmotnostních) konstrukčních a demoličních odpadů neklasifikovaných jako nebezpečné (s výjimkou přirozeně se vyskytujících materiál</w:t>
      </w:r>
      <w:r>
        <w:rPr>
          <w:noProof/>
        </w:rPr>
        <w:t>ů uvedených v kategorii 17 05 04 na evropském seznamu odpadů stanoveném rozhodnutím 2000/532/ES ze dne 3. května 2000, kterým se nahrazuje rozhodnutí 94/3/ES, kterým se stanoví seznam odpadů podle čl. 1 písm. a) směrnice Rady 75/442/EHS o odpadech a rozhod</w:t>
      </w:r>
      <w:r>
        <w:rPr>
          <w:noProof/>
        </w:rPr>
        <w:t>nutí Rady 94/904/ES, kterým se stanoví seznam nebezpečných odpadů ve smyslu čl. 1 odst. 4 směrnice Rady 91/689/EHS o nebezpečných odpadech (oznámeno pod číslem K(2000) 1147)) vzniklých na staveništi, bude připraveno k opětovnému použití, recyklace a jiné m</w:t>
      </w:r>
      <w:r>
        <w:rPr>
          <w:noProof/>
        </w:rPr>
        <w:t>ateriálové využití, včetně zasypávání odpadů za účelem nahrazení jiných materiálů, v souladu s hierarchií způsobů nakládání s odpady a protokolem EU o nakládání se stavebním a demoličním odpadem. Investice musí být provedena do 31. prosince 2025.</w:t>
      </w:r>
    </w:p>
    <w:p w14:paraId="499CEC58" w14:textId="77777777" w:rsidR="00515398" w:rsidRDefault="006711E6">
      <w:pPr>
        <w:pStyle w:val="P68B1DB1-Normal4"/>
        <w:spacing w:before="120" w:after="120" w:line="240" w:lineRule="auto"/>
        <w:jc w:val="both"/>
        <w:rPr>
          <w:rFonts w:cs="Times New Roman"/>
          <w:noProof/>
        </w:rPr>
      </w:pPr>
      <w:r>
        <w:rPr>
          <w:b/>
          <w:noProof/>
        </w:rPr>
        <w:t>Investice</w:t>
      </w:r>
      <w:r>
        <w:rPr>
          <w:b/>
          <w:noProof/>
        </w:rPr>
        <w:t>:</w:t>
      </w:r>
      <w:r>
        <w:rPr>
          <w:noProof/>
        </w:rPr>
        <w:t xml:space="preserve"> Ochrana kulturních památek a archeologických nalezišť před změnou klimatu (opatření ID 16433)</w:t>
      </w:r>
    </w:p>
    <w:p w14:paraId="2423BE51" w14:textId="77777777" w:rsidR="00515398" w:rsidRDefault="006711E6">
      <w:pPr>
        <w:pStyle w:val="P68B1DB1-Normal4"/>
        <w:spacing w:before="120" w:after="120" w:line="240" w:lineRule="auto"/>
        <w:jc w:val="both"/>
        <w:rPr>
          <w:rFonts w:cs="Times New Roman"/>
          <w:noProof/>
        </w:rPr>
      </w:pPr>
      <w:r>
        <w:rPr>
          <w:noProof/>
        </w:rPr>
        <w:t>Tato investice zahrnuje vypracování plánů přizpůsobení se změně klimatu pro lokality kulturního dědictví. Cílem je chránit řecké kulturní dědictví, zlepšit jeho</w:t>
      </w:r>
      <w:r>
        <w:rPr>
          <w:noProof/>
        </w:rPr>
        <w:t xml:space="preserve"> odolnost vůči změně klimatu, a tím zachovat příspěvek památek kulturního dědictví k hospodářské činnosti. Investice zahrnuje prostorová a časová posouzení klimatických rizik a určení zranitelných míst kulturního dědictví. Investice musí být provedena do 3</w:t>
      </w:r>
      <w:r>
        <w:rPr>
          <w:noProof/>
        </w:rPr>
        <w:t>1. prosince 2025.</w:t>
      </w:r>
    </w:p>
    <w:p w14:paraId="0A48F4C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Zlepšení vyššího uměleckého vzdělávání (opatření ID 16725)</w:t>
      </w:r>
    </w:p>
    <w:p w14:paraId="2BE45256" w14:textId="041A4BB2" w:rsidR="00515398" w:rsidRDefault="006711E6">
      <w:pPr>
        <w:pStyle w:val="P68B1DB1-Normal4"/>
        <w:spacing w:before="120" w:after="120" w:line="240" w:lineRule="auto"/>
        <w:jc w:val="both"/>
        <w:rPr>
          <w:rFonts w:cs="Times New Roman"/>
          <w:noProof/>
        </w:rPr>
      </w:pPr>
      <w:r>
        <w:rPr>
          <w:noProof/>
        </w:rPr>
        <w:t>Investice modernizují státní vysokoškolské instituce v Řecku a doprovází je přezkum a aktualizace všech učebních osnov vysokoškolského vzdělávání. Kromě toho se očekává</w:t>
      </w:r>
      <w:r>
        <w:rPr>
          <w:noProof/>
        </w:rPr>
        <w:t>, že investice podpoří školy uměleckého vzdělávání modernizací jejich fyzické a technické infrastruktury.</w:t>
      </w:r>
    </w:p>
    <w:p w14:paraId="71377C5D" w14:textId="77777777" w:rsidR="00515398" w:rsidRDefault="006711E6">
      <w:pPr>
        <w:pStyle w:val="P68B1DB1-Normal4"/>
        <w:spacing w:before="120" w:after="120" w:line="240" w:lineRule="auto"/>
        <w:jc w:val="both"/>
        <w:rPr>
          <w:rFonts w:cs="Times New Roman"/>
          <w:noProof/>
        </w:rPr>
      </w:pPr>
      <w:r>
        <w:rPr>
          <w:noProof/>
        </w:rPr>
        <w:t>Investice zahrnuje:</w:t>
      </w:r>
    </w:p>
    <w:p w14:paraId="78AAF4CB" w14:textId="7FD68F40" w:rsidR="00515398" w:rsidRDefault="006711E6">
      <w:pPr>
        <w:pStyle w:val="P68B1DB1-Normal4"/>
        <w:numPr>
          <w:ilvl w:val="0"/>
          <w:numId w:val="61"/>
        </w:numPr>
        <w:spacing w:before="120" w:after="120" w:line="240" w:lineRule="auto"/>
        <w:ind w:left="360"/>
        <w:jc w:val="both"/>
        <w:rPr>
          <w:rFonts w:cs="Times New Roman"/>
          <w:noProof/>
        </w:rPr>
      </w:pPr>
      <w:r>
        <w:rPr>
          <w:noProof/>
        </w:rPr>
        <w:t>aktualizace učebních osnov v rámci evropského odvětvového rámce kvalifikací,</w:t>
      </w:r>
    </w:p>
    <w:p w14:paraId="517DF712" w14:textId="6542952A" w:rsidR="00515398" w:rsidRDefault="006711E6">
      <w:pPr>
        <w:pStyle w:val="P68B1DB1-Normal4"/>
        <w:numPr>
          <w:ilvl w:val="0"/>
          <w:numId w:val="61"/>
        </w:numPr>
        <w:spacing w:before="120" w:after="120" w:line="240" w:lineRule="auto"/>
        <w:ind w:left="360"/>
        <w:jc w:val="both"/>
        <w:rPr>
          <w:rFonts w:cs="Times New Roman"/>
          <w:noProof/>
          <w:szCs w:val="24"/>
        </w:rPr>
      </w:pPr>
      <w:r>
        <w:rPr>
          <w:noProof/>
        </w:rPr>
        <w:t>zřízení univerzity výkonných umění a</w:t>
      </w:r>
    </w:p>
    <w:p w14:paraId="687C59F5" w14:textId="46616378" w:rsidR="00515398" w:rsidRDefault="006711E6">
      <w:pPr>
        <w:pStyle w:val="P68B1DB1-Normal4"/>
        <w:numPr>
          <w:ilvl w:val="0"/>
          <w:numId w:val="61"/>
        </w:numPr>
        <w:spacing w:before="120" w:after="120" w:line="240" w:lineRule="auto"/>
        <w:ind w:left="360"/>
        <w:jc w:val="both"/>
        <w:rPr>
          <w:rFonts w:cs="Times New Roman"/>
          <w:noProof/>
          <w:szCs w:val="24"/>
        </w:rPr>
      </w:pPr>
      <w:r>
        <w:rPr>
          <w:noProof/>
        </w:rPr>
        <w:t>Modernizace fyzi</w:t>
      </w:r>
      <w:r>
        <w:rPr>
          <w:noProof/>
        </w:rPr>
        <w:t>cké a technické infrastruktury významných vzdělávacích institucí v oblasti moderního umění.</w:t>
      </w:r>
    </w:p>
    <w:p w14:paraId="059405D7" w14:textId="2131CC0F" w:rsidR="00515398" w:rsidRDefault="006711E6">
      <w:pPr>
        <w:pStyle w:val="P68B1DB1-Normal4"/>
        <w:spacing w:before="120" w:after="120" w:line="240" w:lineRule="auto"/>
        <w:jc w:val="both"/>
        <w:rPr>
          <w:rFonts w:cs="Times New Roman"/>
          <w:noProof/>
        </w:rPr>
      </w:pPr>
      <w:r>
        <w:rPr>
          <w:noProof/>
        </w:rPr>
        <w:t>Investice musí být provedena do 31. prosince 2025.</w:t>
      </w:r>
    </w:p>
    <w:p w14:paraId="1AB0C9EC"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Kulturní trasy v Emblematických archeologických lokalitách a památkách (opatření ID 16485)</w:t>
      </w:r>
    </w:p>
    <w:p w14:paraId="0B3F1AC9" w14:textId="77777777" w:rsidR="00515398" w:rsidRDefault="006711E6">
      <w:pPr>
        <w:pStyle w:val="P68B1DB1-Normal4"/>
        <w:spacing w:before="120" w:after="120" w:line="240" w:lineRule="auto"/>
        <w:jc w:val="both"/>
        <w:rPr>
          <w:rFonts w:cs="Times New Roman"/>
          <w:noProof/>
        </w:rPr>
      </w:pPr>
      <w:r>
        <w:rPr>
          <w:noProof/>
        </w:rPr>
        <w:t xml:space="preserve">Tato </w:t>
      </w:r>
      <w:r>
        <w:rPr>
          <w:noProof/>
        </w:rPr>
        <w:t>investice navrhne pět symbolických kulturních cest s tematickými narativy pokrývajícími všechna období řecké historie. Očekává se, že trasy budou geograficky rozloženy po celé zemi. Investice zahrnuje rovněž zachování a restaurování vybraných památek, mode</w:t>
      </w:r>
      <w:r>
        <w:rPr>
          <w:noProof/>
        </w:rPr>
        <w:t>rnizaci služeb a infrastruktury, rozvoj interaktivních digitálních aplikací a začlenění uměleckých a kulturních akcí. Památky a pamětihodnosti zahrnuté do tras musí vytvářet synergie s turistickými destinacemi, a působit tak jako hnací síla udržitelného rů</w:t>
      </w:r>
      <w:r>
        <w:rPr>
          <w:noProof/>
        </w:rPr>
        <w:t>stu a hospodářské, sociální a územní soudržnosti. Investice musí být provedena do 31. prosince 2025.</w:t>
      </w:r>
    </w:p>
    <w:p w14:paraId="0EF33F67"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Obnova – Zachování – Zlepšení památek Acropolis (opatření ID 16435)</w:t>
      </w:r>
    </w:p>
    <w:p w14:paraId="24D4169B" w14:textId="77777777" w:rsidR="00515398" w:rsidRDefault="006711E6">
      <w:pPr>
        <w:pStyle w:val="P68B1DB1-Normal4"/>
        <w:spacing w:before="120" w:after="120" w:line="240" w:lineRule="auto"/>
        <w:jc w:val="both"/>
        <w:rPr>
          <w:rFonts w:cs="Times New Roman"/>
          <w:noProof/>
        </w:rPr>
      </w:pPr>
      <w:r>
        <w:rPr>
          <w:noProof/>
        </w:rPr>
        <w:t xml:space="preserve">Investice zahrnuje ochranu Akropolis athénských památek před změnou klimatu </w:t>
      </w:r>
      <w:r>
        <w:rPr>
          <w:noProof/>
        </w:rPr>
        <w:t>a zahrnuje restaurační práce pro Parthenon a zeď, zachování konkrétních částí všech památek Akropolis, konsolidaci a stabilizaci horninových mas a zlepšení přístupnosti pro návštěvníky. Investice musí být provedena do 31. prosince 2025.</w:t>
      </w:r>
    </w:p>
    <w:p w14:paraId="7773F705"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Rozvoj c</w:t>
      </w:r>
      <w:r>
        <w:rPr>
          <w:noProof/>
        </w:rPr>
        <w:t>estovního ruchu (opatření ID 16931)</w:t>
      </w:r>
    </w:p>
    <w:p w14:paraId="36D87C4B" w14:textId="77777777" w:rsidR="00515398" w:rsidRDefault="006711E6">
      <w:pPr>
        <w:pStyle w:val="P68B1DB1-Normal4"/>
        <w:spacing w:before="120" w:after="120" w:line="240" w:lineRule="auto"/>
        <w:jc w:val="both"/>
        <w:rPr>
          <w:rFonts w:cs="Times New Roman"/>
          <w:noProof/>
        </w:rPr>
      </w:pPr>
      <w:r>
        <w:rPr>
          <w:noProof/>
        </w:rPr>
        <w:t xml:space="preserve">Cílem této investice je prodloužit turistickou sezónu v Řecku po letních měsících a podpořit alternativní formy cestovního ruchu, což přispěje k hospodářské odolnosti, udržitelnému růstu a sociální a územní soudržnosti. </w:t>
      </w:r>
      <w:r>
        <w:rPr>
          <w:noProof/>
        </w:rPr>
        <w:t>Investice se skládá ze dvou částí:</w:t>
      </w:r>
    </w:p>
    <w:p w14:paraId="2A251E4B" w14:textId="1ABC9EFD" w:rsidR="00515398" w:rsidRDefault="006711E6">
      <w:pPr>
        <w:pStyle w:val="P68B1DB1-Normal4"/>
        <w:numPr>
          <w:ilvl w:val="0"/>
          <w:numId w:val="62"/>
        </w:numPr>
        <w:spacing w:before="120" w:after="120" w:line="240" w:lineRule="auto"/>
        <w:ind w:left="360"/>
        <w:jc w:val="both"/>
        <w:rPr>
          <w:rFonts w:cs="Times New Roman"/>
          <w:noProof/>
        </w:rPr>
      </w:pPr>
      <w:r>
        <w:rPr>
          <w:noProof/>
        </w:rPr>
        <w:t>Zelený rozvoj: rozvoj horského cestovního ruchu zahrnující energeticky účinné renovace veřejné a soukromé infrastruktury a instalaci nových kapacit obnovitelných zdrojů energie, zdravotní a wellness cestovní ruch, agrotur</w:t>
      </w:r>
      <w:r>
        <w:rPr>
          <w:noProof/>
        </w:rPr>
        <w:t>istiku a gastronomii.</w:t>
      </w:r>
    </w:p>
    <w:p w14:paraId="70DC5ED2" w14:textId="4F78A979" w:rsidR="00515398" w:rsidRDefault="006711E6">
      <w:pPr>
        <w:pStyle w:val="P68B1DB1-Normal4"/>
        <w:numPr>
          <w:ilvl w:val="0"/>
          <w:numId w:val="62"/>
        </w:numPr>
        <w:spacing w:before="120" w:after="120" w:line="240" w:lineRule="auto"/>
        <w:ind w:left="360"/>
        <w:jc w:val="both"/>
        <w:rPr>
          <w:noProof/>
          <w:szCs w:val="24"/>
        </w:rPr>
      </w:pPr>
      <w:r>
        <w:rPr>
          <w:noProof/>
        </w:rPr>
        <w:t>Modrý rozvoj: modernizace infrastruktury turistických přístavů prostřednictvím opatření ke zvýšení energetické účinnosti stávajících nebo nových budov a opatření ke zlepšení infrastruktury a služeb nabízených v přístavech, přístupnost</w:t>
      </w:r>
      <w:r>
        <w:rPr>
          <w:noProof/>
        </w:rPr>
        <w:t>i pláží pro starší osoby a osoby se zdravotním postižením a na podporu rozvoje potápěčského a podvodního cestovního ruchu.</w:t>
      </w:r>
    </w:p>
    <w:p w14:paraId="61B3DE25" w14:textId="60C496DC" w:rsidR="00515398" w:rsidRDefault="006711E6">
      <w:pPr>
        <w:pStyle w:val="P68B1DB1-Normal5"/>
        <w:spacing w:before="120" w:after="120" w:line="240" w:lineRule="auto"/>
        <w:jc w:val="both"/>
        <w:rPr>
          <w:rFonts w:cs="Times New Roman"/>
          <w:noProof/>
          <w:highlight w:val="green"/>
        </w:rPr>
      </w:pPr>
      <w:r>
        <w:rPr>
          <w:noProof/>
        </w:rPr>
        <w:t>Aby se zajistilo, že opatření je v souladu s technickými pokyny „významně nepoškozovat“ (2021/C58/01), kritéria způsobilosti obsažená</w:t>
      </w:r>
      <w:r>
        <w:rPr>
          <w:noProof/>
        </w:rPr>
        <w:t xml:space="preserve"> v mandátu pro výzvy k předkládání projektů vylučují tento seznam činností:</w:t>
      </w:r>
      <w:r>
        <w:rPr>
          <w:noProof/>
          <w:color w:val="FF0000"/>
        </w:rPr>
        <w:t xml:space="preserve"> </w:t>
      </w:r>
      <w:r>
        <w:rPr>
          <w:noProof/>
        </w:rPr>
        <w:t>i) činnosti související s fosilními palivy, včetně následného využití</w:t>
      </w:r>
      <w:r>
        <w:rPr>
          <w:noProof/>
        </w:rPr>
        <w:footnoteReference w:id="19"/>
      </w:r>
      <w:r>
        <w:rPr>
          <w:noProof/>
        </w:rPr>
        <w:t>; II) činnosti v rámci systému EU pro obchodování s emisemi (ETS) dosahující předpokládaných emisí skleníkovýc</w:t>
      </w:r>
      <w:r>
        <w:rPr>
          <w:noProof/>
        </w:rPr>
        <w:t>h plynů, které nejsou nižší než příslušné referenční hodnoty</w:t>
      </w:r>
      <w:r>
        <w:rPr>
          <w:noProof/>
        </w:rPr>
        <w:footnoteReference w:id="20"/>
      </w:r>
      <w:r>
        <w:rPr>
          <w:noProof/>
        </w:rPr>
        <w:t>; III) činnosti související se skládkami odpadů, spalovnami</w:t>
      </w:r>
      <w:r>
        <w:rPr>
          <w:noProof/>
        </w:rPr>
        <w:footnoteReference w:id="21"/>
      </w:r>
      <w:r>
        <w:rPr>
          <w:noProof/>
        </w:rPr>
        <w:t xml:space="preserve"> a mechanicko-biologickými čistírnami odpadů</w:t>
      </w:r>
      <w:r>
        <w:rPr>
          <w:noProof/>
        </w:rPr>
        <w:footnoteReference w:id="22"/>
      </w:r>
      <w:r>
        <w:rPr>
          <w:noProof/>
        </w:rPr>
        <w:t>; a iv) činnosti, při nichž dlouhodobé odstraňování odpadů může poškodit životní prostředí</w:t>
      </w:r>
      <w:r>
        <w:rPr>
          <w:noProof/>
        </w:rPr>
        <w:t>. Mandát navíc vyžaduje, aby mohly být vybrány pouze činnosti, které jsou v souladu s příslušnými právními předpisy EU a vnitrostátními právními předpisy v oblasti životního prostředí. Investice musí být provedena do 31. prosince 2025.</w:t>
      </w:r>
    </w:p>
    <w:p w14:paraId="188574A7"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Rekvalifi</w:t>
      </w:r>
      <w:r>
        <w:rPr>
          <w:noProof/>
        </w:rPr>
        <w:t>kace a prohlubování dovedností v cestovním ruchu (opatření ID 16921)</w:t>
      </w:r>
    </w:p>
    <w:p w14:paraId="52D8F4EC" w14:textId="77777777" w:rsidR="00515398" w:rsidRDefault="006711E6">
      <w:pPr>
        <w:pStyle w:val="P68B1DB1-Normal4"/>
        <w:spacing w:before="120" w:after="120" w:line="240" w:lineRule="auto"/>
        <w:jc w:val="both"/>
        <w:rPr>
          <w:rFonts w:cs="Times New Roman"/>
          <w:noProof/>
        </w:rPr>
      </w:pPr>
      <w:r>
        <w:rPr>
          <w:noProof/>
        </w:rPr>
        <w:t>Investice zahrnují prohlubování dovedností a změnu kvalifikace sezónních pracovníků, dlouhodobě nezaměstnaných, jakož i pracovníků v odvětví cestovního ruchu, jejichž pracovní smlouva byl</w:t>
      </w:r>
      <w:r>
        <w:rPr>
          <w:noProof/>
        </w:rPr>
        <w:t>a během pandemie pozastavena. Rekvalifikační programy zahrnují několik specializací a řeší budoucí potřeby odvětví v období po pandemii COVID-19. Investice se uskuteční do 30. června 2025.</w:t>
      </w:r>
    </w:p>
    <w:p w14:paraId="6838DBCC"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Nové průmyslové parky (opatření IČ 16634)</w:t>
      </w:r>
    </w:p>
    <w:p w14:paraId="685507AF" w14:textId="77777777" w:rsidR="00515398" w:rsidRDefault="006711E6">
      <w:pPr>
        <w:pStyle w:val="P68B1DB1-Normal4"/>
        <w:spacing w:before="120" w:after="120" w:line="240" w:lineRule="auto"/>
        <w:jc w:val="both"/>
        <w:rPr>
          <w:rFonts w:cs="Times New Roman"/>
          <w:noProof/>
        </w:rPr>
      </w:pPr>
      <w:r>
        <w:rPr>
          <w:noProof/>
        </w:rPr>
        <w:t>Investice zahr</w:t>
      </w:r>
      <w:r>
        <w:rPr>
          <w:noProof/>
        </w:rPr>
        <w:t>nuje poskytnutí finanční pomoci na a) zřízení nových průmyslových parků nové generace, b) rozšíření stávajících parků s cílem zvýšit jejich připravenost na přechod na síťovou infrastrukturu 5G a velmi vysokou šířku pásma a využívání obnovitelných zdrojů en</w:t>
      </w:r>
      <w:r>
        <w:rPr>
          <w:noProof/>
        </w:rPr>
        <w:t>ergie, inteligentní hospodaření s energií a intervence na úsporu energie a infrastrukturu oběhového hospodářství a c) transformaci oblastí s vysokou koncentrací průmyslu na zelené a digitalizované průmyslové parky. Opatření rovněž zahrnuje reformu regulačn</w:t>
      </w:r>
      <w:r>
        <w:rPr>
          <w:noProof/>
        </w:rPr>
        <w:t>ího rámce pro průmyslové parky, včetně řešení právní nejistoty, řešení otázek správy a poskytování účinných pobídek pro řešení neformálních průmyslových koncentrací. Investice musí být provedena do 31. prosince 2025.</w:t>
      </w:r>
    </w:p>
    <w:p w14:paraId="2114B7F7" w14:textId="220D6E51" w:rsidR="00515398" w:rsidRDefault="006711E6">
      <w:pPr>
        <w:pStyle w:val="P68B1DB1-Normal4"/>
        <w:spacing w:before="120" w:after="120" w:line="240" w:lineRule="auto"/>
        <w:jc w:val="both"/>
        <w:rPr>
          <w:rFonts w:cs="Times New Roman"/>
          <w:noProof/>
        </w:rPr>
      </w:pPr>
      <w:r>
        <w:rPr>
          <w:noProof/>
        </w:rPr>
        <w:t xml:space="preserve">Finanční podpora zahrnuje investice do </w:t>
      </w:r>
      <w:r>
        <w:rPr>
          <w:noProof/>
        </w:rPr>
        <w:t>a) infrastruktury pro zřízení parků nové generace (včetně pořízení pozemků) se zvláštními kritérii energetické účinnosti pro výstavbu nových budov a energetickou účinnost a demonstračních projektů ve velkých podnicích a podpůrných opatření, b) infrastruktu</w:t>
      </w:r>
      <w:r>
        <w:rPr>
          <w:noProof/>
        </w:rPr>
        <w:t>ry pro digitální transformaci a vytváření inteligentních průmyslových oblastí, c) solární energie z obnovitelných zdrojů, d) hospodaření s vodou a zachování vodních zdrojů (investice musí mít průměrný index úniků z infrastruktury (ILI) &amp; = 1,5), e) systémy</w:t>
      </w:r>
      <w:r>
        <w:rPr>
          <w:noProof/>
        </w:rPr>
        <w:t xml:space="preserve"> odvádění a čištění odpadních vod splňující kritéria energetické účinnosti, f) elektromobilita (vývoj čerpacích sítí pro elektrická nebo vodíková vozidla nebo čerpací stanice pro biometan pro dopravu), g) projekty na obnovu průmyslových areálů a kontaminov</w:t>
      </w:r>
      <w:r>
        <w:rPr>
          <w:noProof/>
        </w:rPr>
        <w:t>aných pozemků. Výstavba nové budovy musí být v souladu s potřebou primární energie, která je nejméně o 20 % nižší než požadavek na budovy s téměř nulovou spotřebou energie (budova s téměř nulovou spotřebou energie, vnitrostátní směrnice). V případě výstavb</w:t>
      </w:r>
      <w:r>
        <w:rPr>
          <w:noProof/>
        </w:rPr>
        <w:t xml:space="preserve">y systémů odpadních vod mezi koncovými body musí mít opatření nulovou spotřebu energie a v případě obnovy systémů počátečních odpadních vod musí vést ke snížení průměrné spotřeby energie alespoň o 10 % (pouze prostřednictvím opatření v oblasti energetické </w:t>
      </w:r>
      <w:r>
        <w:rPr>
          <w:noProof/>
        </w:rPr>
        <w:t>účinnosti, a nikoli na základě podstatných změn nebo změn zatížení). Investice do elektromobility jsou v souladu se směrnicí (EU) 2018/2001 a týkají se alternativních paliv pro dopravu.</w:t>
      </w:r>
    </w:p>
    <w:p w14:paraId="32E24E15" w14:textId="77777777" w:rsidR="00515398" w:rsidRDefault="006711E6">
      <w:pPr>
        <w:pStyle w:val="P68B1DB1-Normal5"/>
        <w:spacing w:before="120" w:after="120" w:line="240" w:lineRule="auto"/>
        <w:jc w:val="both"/>
        <w:rPr>
          <w:rFonts w:cs="Times New Roman"/>
          <w:noProof/>
          <w:highlight w:val="green"/>
        </w:rPr>
      </w:pPr>
      <w:r>
        <w:rPr>
          <w:noProof/>
        </w:rPr>
        <w:t>Aby se zajistilo, že opatření je v souladu s technickými pokyny „význa</w:t>
      </w:r>
      <w:r>
        <w:rPr>
          <w:noProof/>
        </w:rPr>
        <w:t>mně nepoškozovat“ (2021/C58/01), kritéria způsobilosti obsažená v mandátu pro výzvy k předkládání projektů vylučují tento seznam činností:</w:t>
      </w:r>
      <w:r>
        <w:rPr>
          <w:noProof/>
          <w:color w:val="FF0000"/>
        </w:rPr>
        <w:t xml:space="preserve"> </w:t>
      </w:r>
      <w:r>
        <w:rPr>
          <w:noProof/>
        </w:rPr>
        <w:t>i) činnosti související s fosilními palivy, včetně následného využití</w:t>
      </w:r>
      <w:r>
        <w:rPr>
          <w:noProof/>
        </w:rPr>
        <w:footnoteReference w:id="23"/>
      </w:r>
      <w:r>
        <w:rPr>
          <w:noProof/>
        </w:rPr>
        <w:t>; II) činnosti v rámci systému EU pro obchodová</w:t>
      </w:r>
      <w:r>
        <w:rPr>
          <w:noProof/>
        </w:rPr>
        <w:t>ní s emisemi (ETS) dosahující předpokládaných emisí skleníkových plynů, které nejsou nižší než příslušné referenční hodnoty</w:t>
      </w:r>
      <w:r>
        <w:rPr>
          <w:noProof/>
        </w:rPr>
        <w:footnoteReference w:id="24"/>
      </w:r>
      <w:r>
        <w:rPr>
          <w:noProof/>
        </w:rPr>
        <w:t>; III) činnosti související se skládkami odpadů, spalovnami</w:t>
      </w:r>
      <w:r>
        <w:rPr>
          <w:noProof/>
        </w:rPr>
        <w:footnoteReference w:id="25"/>
      </w:r>
      <w:r>
        <w:rPr>
          <w:noProof/>
        </w:rPr>
        <w:t xml:space="preserve"> a mechanicko-biologickými čistírnami odpadů</w:t>
      </w:r>
      <w:r>
        <w:rPr>
          <w:noProof/>
        </w:rPr>
        <w:footnoteReference w:id="26"/>
      </w:r>
      <w:r>
        <w:rPr>
          <w:noProof/>
        </w:rPr>
        <w:t>; a iv) činnosti, při nichž</w:t>
      </w:r>
      <w:r>
        <w:rPr>
          <w:noProof/>
        </w:rPr>
        <w:t xml:space="preserve"> dlouhodobé odstraňování odpadů může poškodit životní prostředí. Mandát navíc vyžaduje, aby mohly být vybrány pouze činnosti, které jsou v souladu s příslušnými právními předpisy EU a vnitrostátními právními předpisy v oblasti životního prostředí.</w:t>
      </w:r>
    </w:p>
    <w:p w14:paraId="5F429544" w14:textId="77777777" w:rsidR="00515398" w:rsidRDefault="006711E6">
      <w:pPr>
        <w:pStyle w:val="P68B1DB1-Normal4"/>
        <w:spacing w:before="120" w:after="120" w:line="240" w:lineRule="auto"/>
        <w:jc w:val="both"/>
        <w:rPr>
          <w:rFonts w:cs="Times New Roman"/>
          <w:noProof/>
        </w:rPr>
      </w:pPr>
      <w:r>
        <w:rPr>
          <w:b/>
          <w:noProof/>
        </w:rPr>
        <w:t>Investic</w:t>
      </w:r>
      <w:r>
        <w:rPr>
          <w:b/>
          <w:noProof/>
        </w:rPr>
        <w:t>e:</w:t>
      </w:r>
      <w:r>
        <w:rPr>
          <w:noProof/>
        </w:rPr>
        <w:t xml:space="preserve"> Zrychlení inteligentní výroby (opatření ID 16721)</w:t>
      </w:r>
    </w:p>
    <w:p w14:paraId="186538E2" w14:textId="77777777" w:rsidR="00515398" w:rsidRDefault="006711E6">
      <w:pPr>
        <w:pStyle w:val="P68B1DB1-Normal4"/>
        <w:spacing w:before="120" w:after="120" w:line="240" w:lineRule="auto"/>
        <w:jc w:val="both"/>
        <w:rPr>
          <w:rFonts w:cs="Times New Roman"/>
          <w:noProof/>
        </w:rPr>
      </w:pPr>
      <w:r>
        <w:rPr>
          <w:noProof/>
        </w:rPr>
        <w:t>Investice zahrnuje finanční podporu pro malé a střední podniky v průmyslovém odvětví na modernizaci jejich výrobních zařízení a infrastruktury pomocí nejmodernějších inteligentních technologií s nízkým d</w:t>
      </w:r>
      <w:r>
        <w:rPr>
          <w:noProof/>
        </w:rPr>
        <w:t>opadem na životní prostředí. Opatření rovněž podpoří průmyslové režimy a klastry podniků v důležitých průmyslových hodnotových řetězcích, které podporují konkurenceschopnost řeckého průmyslu a jeho přechod na průmysl 4.0. Finanční podpora zahrnuje investic</w:t>
      </w:r>
      <w:r>
        <w:rPr>
          <w:noProof/>
        </w:rPr>
        <w:t>e týkající se digitalizace výrobních linek, automatizace a propojení dodavatelských řetězců, navrhování a výroby inteligentních produktů a služeb, zavádění inteligentních výrobních technologií v oblasti ultrarychlé sítě/5G mechanických, laboratorních a výr</w:t>
      </w:r>
      <w:r>
        <w:rPr>
          <w:noProof/>
        </w:rPr>
        <w:t>obních zařízení, zařízení pro kontrolu kvality, IKT a softwarových zařízení, softwarových licencí, licencí na cloud computing, realizačních služeb pro novou IT infrastrukturu a S/W, IT bezpečnostních služeb, designu produktů, duševního vlastnictví, patentů</w:t>
      </w:r>
      <w:r>
        <w:rPr>
          <w:noProof/>
        </w:rPr>
        <w:t xml:space="preserve"> a nákladů na certifikaci. Investice musí být provedena do 31. prosince 2025.</w:t>
      </w:r>
    </w:p>
    <w:p w14:paraId="7E43EE25" w14:textId="77777777" w:rsidR="00515398" w:rsidRDefault="006711E6">
      <w:pPr>
        <w:pStyle w:val="P68B1DB1-Normal5"/>
        <w:spacing w:before="120" w:after="120" w:line="240" w:lineRule="auto"/>
        <w:jc w:val="both"/>
        <w:rPr>
          <w:rFonts w:cs="Times New Roman"/>
          <w:noProof/>
          <w:highlight w:val="green"/>
        </w:rPr>
      </w:pPr>
      <w:r>
        <w:rPr>
          <w:noProof/>
        </w:rPr>
        <w:t>Aby se zajistilo, že opatření je v souladu s technickými pokyny „významně nepoškozovat“ (2021/C58/01), kritéria způsobilosti obsažená v mandátu pro výzvy k předkládání projektů v</w:t>
      </w:r>
      <w:r>
        <w:rPr>
          <w:noProof/>
        </w:rPr>
        <w:t>ylučují tento seznam činností:</w:t>
      </w:r>
      <w:r>
        <w:rPr>
          <w:noProof/>
          <w:color w:val="FF0000"/>
        </w:rPr>
        <w:t xml:space="preserve"> </w:t>
      </w:r>
      <w:r>
        <w:rPr>
          <w:noProof/>
        </w:rPr>
        <w:t>i) činnosti související s fosilními palivy, včetně následného využití</w:t>
      </w:r>
      <w:r>
        <w:rPr>
          <w:noProof/>
        </w:rPr>
        <w:footnoteReference w:id="27"/>
      </w:r>
      <w:r>
        <w:rPr>
          <w:noProof/>
        </w:rPr>
        <w:t>; II) činnosti v rámci systému EU pro obchodování s emisemi (ETS) dosahující předpokládaných emisí skleníkových plynů, které nejsou nižší než příslušné ref</w:t>
      </w:r>
      <w:r>
        <w:rPr>
          <w:noProof/>
        </w:rPr>
        <w:t>erenční hodnoty</w:t>
      </w:r>
      <w:r>
        <w:rPr>
          <w:noProof/>
        </w:rPr>
        <w:footnoteReference w:id="28"/>
      </w:r>
      <w:r>
        <w:rPr>
          <w:noProof/>
        </w:rPr>
        <w:t>; III) činnosti související se skládkami odpadů, spalovnami</w:t>
      </w:r>
      <w:r>
        <w:rPr>
          <w:noProof/>
        </w:rPr>
        <w:footnoteReference w:id="29"/>
      </w:r>
      <w:r>
        <w:rPr>
          <w:noProof/>
        </w:rPr>
        <w:t xml:space="preserve"> a mechanicko-biologickými čistírnami odpadů</w:t>
      </w:r>
      <w:r>
        <w:rPr>
          <w:noProof/>
        </w:rPr>
        <w:footnoteReference w:id="30"/>
      </w:r>
      <w:r>
        <w:rPr>
          <w:noProof/>
        </w:rPr>
        <w:t>; a iv) činnosti, při nichž dlouhodobé odstraňování odpadů může poškodit životní prostředí. Mandát navíc vyžaduje, aby mohly být vybrán</w:t>
      </w:r>
      <w:r>
        <w:rPr>
          <w:noProof/>
        </w:rPr>
        <w:t>y pouze činnosti, které jsou v souladu s příslušnými právními předpisy EU a vnitrostátními právními předpisy v oblasti životního prostředí.</w:t>
      </w:r>
    </w:p>
    <w:p w14:paraId="3C062484"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Hospodářská transformace v odvětví zemědělství (opatření ID 16626)</w:t>
      </w:r>
    </w:p>
    <w:p w14:paraId="52B3B87D" w14:textId="77777777" w:rsidR="00515398" w:rsidRDefault="006711E6">
      <w:pPr>
        <w:pStyle w:val="P68B1DB1-Normal4"/>
        <w:spacing w:before="120" w:after="120" w:line="240" w:lineRule="auto"/>
        <w:jc w:val="both"/>
        <w:rPr>
          <w:rFonts w:cs="Times New Roman"/>
          <w:noProof/>
          <w:szCs w:val="24"/>
        </w:rPr>
      </w:pPr>
      <w:r>
        <w:rPr>
          <w:noProof/>
        </w:rPr>
        <w:t>Investice sestává z těchto pěti opatře</w:t>
      </w:r>
      <w:r>
        <w:rPr>
          <w:noProof/>
        </w:rPr>
        <w:t>ní na posílení a podporu rozvoje zemědělského odvětví v Řecku: inovace a ekologická transformace v oblasti zpracování zemědělských produktů, b) modernizace primárního sektoru, c) rozvoj zeleného cestovního ruchu, d) restrukturalizace pěstování a e) genetic</w:t>
      </w:r>
      <w:r>
        <w:rPr>
          <w:noProof/>
        </w:rPr>
        <w:t>ké zlepšení zvířat. Zvláštní část investic podle písmen a), c) a d) poskytuje podporu na energetickou modernizaci výrobních jednotek a budov, mechanická zařízení s nízkou spotřebou energie pro modernizaci stávajících výrobních jednotek, projekty týkající s</w:t>
      </w:r>
      <w:r>
        <w:rPr>
          <w:noProof/>
        </w:rPr>
        <w:t>e jednotek pro nakládání s odpady a nakládání s emisemi plynných znečišťujících látek pro ochranu životního prostředí, zavádění nových technologií pro sledování sledovatelnosti, výrobních procesů šetrných k životnímu prostředí a účinného využívání zdrojů a</w:t>
      </w:r>
      <w:r>
        <w:rPr>
          <w:noProof/>
        </w:rPr>
        <w:t xml:space="preserve"> analýzu trhu, strategickou spolupráci a vytváření dodavatelských řetězců s vysokou hodnotou, jejichž hlavním cílem je propojení hospodářských odvětví (zemědělství – proces – cestovní ruch). Těmito investicemi jsou rovněž podporovány dopravní prostředky še</w:t>
      </w:r>
      <w:r>
        <w:rPr>
          <w:noProof/>
        </w:rPr>
        <w:t xml:space="preserve">trné k životnímu prostředí, rozvoj nových obnovitelných zdrojů energie, opatření pro přizpůsobení se změně klimatu a prevenci a řízení rizik souvisejících s klimatem, ochrana biologické rozmanitosti, přírodní dědictví a zdroje. </w:t>
      </w:r>
    </w:p>
    <w:p w14:paraId="53B979C3" w14:textId="77777777" w:rsidR="00515398" w:rsidRDefault="006711E6">
      <w:pPr>
        <w:pStyle w:val="P68B1DB1-Normal5"/>
        <w:spacing w:before="120" w:after="120" w:line="240" w:lineRule="auto"/>
        <w:jc w:val="both"/>
        <w:rPr>
          <w:rFonts w:cs="Times New Roman"/>
          <w:noProof/>
        </w:rPr>
      </w:pPr>
      <w:r>
        <w:rPr>
          <w:noProof/>
        </w:rPr>
        <w:t>Aby se zajistilo, že opatře</w:t>
      </w:r>
      <w:r>
        <w:rPr>
          <w:noProof/>
        </w:rPr>
        <w:t>ní je v souladu s technickými pokyny „významně nepoškozovat“ (2021/C58/01), kritéria způsobilosti obsažená v mandátu pro výzvy k předkládání projektů vylučují tento seznam činností:</w:t>
      </w:r>
      <w:r>
        <w:rPr>
          <w:noProof/>
          <w:color w:val="FF0000"/>
        </w:rPr>
        <w:t xml:space="preserve"> </w:t>
      </w:r>
      <w:r>
        <w:rPr>
          <w:noProof/>
        </w:rPr>
        <w:t>i) činnosti související s fosilními palivy, včetně následného využití</w:t>
      </w:r>
      <w:r>
        <w:rPr>
          <w:noProof/>
        </w:rPr>
        <w:footnoteReference w:id="31"/>
      </w:r>
      <w:r>
        <w:rPr>
          <w:noProof/>
        </w:rPr>
        <w:t>; II</w:t>
      </w:r>
      <w:r>
        <w:rPr>
          <w:noProof/>
        </w:rPr>
        <w:t>) činnosti v rámci systému EU pro obchodování s emisemi (ETS) dosahující předpokládaných emisí skleníkových plynů, které nejsou nižší než příslušné referenční hodnoty</w:t>
      </w:r>
      <w:r>
        <w:rPr>
          <w:noProof/>
        </w:rPr>
        <w:footnoteReference w:id="32"/>
      </w:r>
      <w:r>
        <w:rPr>
          <w:noProof/>
        </w:rPr>
        <w:t>; III) činnosti související se skládkami odpadů, spalovnami</w:t>
      </w:r>
      <w:r>
        <w:rPr>
          <w:noProof/>
        </w:rPr>
        <w:footnoteReference w:id="33"/>
      </w:r>
      <w:r>
        <w:rPr>
          <w:noProof/>
        </w:rPr>
        <w:t xml:space="preserve"> a mechanicko-biologickými či</w:t>
      </w:r>
      <w:r>
        <w:rPr>
          <w:noProof/>
        </w:rPr>
        <w:t>stírnami odpadů</w:t>
      </w:r>
      <w:r>
        <w:rPr>
          <w:noProof/>
        </w:rPr>
        <w:footnoteReference w:id="34"/>
      </w:r>
      <w:r>
        <w:rPr>
          <w:noProof/>
        </w:rPr>
        <w:t>; a iv) činnosti, při nichž dlouhodobé odstraňování odpadů může poškodit životní prostředí. Mandát navíc vyžaduje, aby mohly být vybrány pouze činnosti, které jsou v souladu s příslušnými právními předpisy EU a vnitrostátními právními p</w:t>
      </w:r>
      <w:r>
        <w:rPr>
          <w:noProof/>
        </w:rPr>
        <w:t>ředpisy v oblasti životního prostředí. Investice musí být provedena do 31. prosince 2025.</w:t>
      </w:r>
    </w:p>
    <w:p w14:paraId="4876BEA1"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Digitální transformace zemědělsko-potravinářského odvětví (opatření ID 16653)</w:t>
      </w:r>
    </w:p>
    <w:p w14:paraId="0E7C0D4B" w14:textId="77777777" w:rsidR="00515398" w:rsidRDefault="006711E6">
      <w:pPr>
        <w:pStyle w:val="P68B1DB1-Normal4"/>
        <w:spacing w:before="120" w:after="120" w:line="240" w:lineRule="auto"/>
        <w:jc w:val="both"/>
        <w:rPr>
          <w:rFonts w:cs="Times New Roman"/>
          <w:noProof/>
          <w:szCs w:val="24"/>
        </w:rPr>
      </w:pPr>
      <w:r>
        <w:rPr>
          <w:noProof/>
        </w:rPr>
        <w:t>Investice podpoří zavádění inovativních technologií v řeckém zemědělství, kon</w:t>
      </w:r>
      <w:r>
        <w:rPr>
          <w:noProof/>
        </w:rPr>
        <w:t>trolu padělání řeckých produktů, usnadnění přístupu řeckých potravinářských produktů na zahraniční trhy, jakož i rozvoj nových zemědělsko-potravinářských znalostí v Řecku a zavádění osvědčených postupů. Investice zahrnuje intervence a) na podporu digitální</w:t>
      </w:r>
      <w:r>
        <w:rPr>
          <w:noProof/>
        </w:rPr>
        <w:t xml:space="preserve"> transformace odvětví zemědělství, jako je rozvoj rozsáhlé otevřené digitální infrastruktury s cloudovou infrastrukturou a rozsáhlými schopnostmi zpracování družicových a leteckých údajů, a b) na podporu obchodu s řeckými zemědělskými produkty, chovem hosp</w:t>
      </w:r>
      <w:r>
        <w:rPr>
          <w:noProof/>
        </w:rPr>
        <w:t>odářských zvířat a rybolovem usnadněním vydávání vývozních certifikátů, vývojem systému pro správu údajů o dovozu a obchodu uvnitř Společenství a obchodním informačním systémem pro dovoz a obchod a rozvojem vnějšího portálu na podporu řeckých zemědělsko-po</w:t>
      </w:r>
      <w:r>
        <w:rPr>
          <w:noProof/>
        </w:rPr>
        <w:t>travinářských a zemědělských produktů. Provádění reformy se dokončí do 30. června 2025.</w:t>
      </w:r>
    </w:p>
    <w:p w14:paraId="4816B1D0"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Návrhy opatření v odvětví akvakultury (opatření ID 16584)</w:t>
      </w:r>
    </w:p>
    <w:p w14:paraId="29B061EA" w14:textId="77777777" w:rsidR="00515398" w:rsidRDefault="006711E6">
      <w:pPr>
        <w:pStyle w:val="P68B1DB1-Normal4"/>
        <w:spacing w:before="120" w:after="120" w:line="240" w:lineRule="auto"/>
        <w:jc w:val="both"/>
        <w:rPr>
          <w:rFonts w:cs="Times New Roman"/>
          <w:noProof/>
        </w:rPr>
      </w:pPr>
      <w:r>
        <w:rPr>
          <w:noProof/>
        </w:rPr>
        <w:t>Tato investice zahrnuje inovativní řešení v oblasti vybavení, výzkum, přenos know-how a odbornou př</w:t>
      </w:r>
      <w:r>
        <w:rPr>
          <w:noProof/>
        </w:rPr>
        <w:t xml:space="preserve">ípravu lidských zdrojů s cílem modernizovat a diverzifikovat produkci akvakultury. Vytváří rovněž banku genetického materiálu pro ohrožené druhy a komerční druhy sladkovodních ryb. Cílem investice je podpořit výrobní procesy šetrné k životnímu prostředí a </w:t>
      </w:r>
      <w:r>
        <w:rPr>
          <w:noProof/>
        </w:rPr>
        <w:t>účinné využívání zdrojů, což povede k nárůstu obchodu a vytváření pracovních míst v tomto odvětví. Investice musí být provedena do 31. prosince 2025.</w:t>
      </w:r>
    </w:p>
    <w:p w14:paraId="6EA91051"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Modernizace regionálních přístavů (opatření ID 16975)</w:t>
      </w:r>
    </w:p>
    <w:p w14:paraId="66E3EA1C" w14:textId="360A8413" w:rsidR="00515398" w:rsidRDefault="006711E6">
      <w:pPr>
        <w:pStyle w:val="P68B1DB1-Normal5"/>
        <w:spacing w:before="120" w:after="120" w:line="240" w:lineRule="auto"/>
        <w:jc w:val="both"/>
        <w:rPr>
          <w:rFonts w:cs="Times New Roman"/>
          <w:noProof/>
        </w:rPr>
      </w:pPr>
      <w:r>
        <w:rPr>
          <w:noProof/>
        </w:rPr>
        <w:t xml:space="preserve">Investice zahrnuje intervence na </w:t>
      </w:r>
      <w:r>
        <w:rPr>
          <w:noProof/>
        </w:rPr>
        <w:t>modernizaci regionálních přístavů, jejichž cílem je podpořit místní hospodářský rozvoj, včetně rozvoje cestovního ruchu. Zásahy se provádějí ve třinácti přístavech po celé zemi a spočívají ve zlepšení infrastruktury, jako je modernizace a obnova přístavišť</w:t>
      </w:r>
      <w:r>
        <w:rPr>
          <w:noProof/>
        </w:rPr>
        <w:t xml:space="preserve"> s cílem usnadnit nalodění, vlnová přerušení, instalace plovoucích mol, oprava mola v důsledku problémů se sedimentací, výstavba servisních ramp, zdi přístavišť a práce na ochraně pobřeží, obnova přístavního povodí po rozsáhlých povodních. Očekává se, že t</w:t>
      </w:r>
      <w:r>
        <w:rPr>
          <w:noProof/>
        </w:rPr>
        <w:t>oto opatření významně nepoškodí environmentální cíle ve smyslu článku 17 nařízení (EU) 2020/852, s přihlédnutím k popisu opatření a zmírňujícím krokům stanoveným v plánu na podporu oživení a odolnosti v souladu s technickými pokyny „nezpůsobit významnou új</w:t>
      </w:r>
      <w:r>
        <w:rPr>
          <w:noProof/>
        </w:rPr>
        <w:t>mu“ (2021/C58/01). Opatření zejména podléhá posouzení vlivů na životní prostředí (EIA) podle směrnice 2011/92/EU, aby bylo zajištěno dodržování zásady „významně nepoškozovat“, která je začleněna do projektu a přísně dodržována ve fázích výstavby, provozu a</w:t>
      </w:r>
      <w:r>
        <w:rPr>
          <w:noProof/>
        </w:rPr>
        <w:t xml:space="preserve"> vyřazování infrastruktury z provozu. Investice musí být provedena do 31. prosince 2025.</w:t>
      </w:r>
    </w:p>
    <w:p w14:paraId="50992995"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Hlavní plán obnovy řeckého vozového parku osobní dopravy (opatření ID 16944)</w:t>
      </w:r>
    </w:p>
    <w:p w14:paraId="1EDD2B2C" w14:textId="77777777" w:rsidR="00515398" w:rsidRDefault="006711E6">
      <w:pPr>
        <w:pStyle w:val="P68B1DB1-Normal4"/>
        <w:spacing w:before="120" w:after="120" w:line="240" w:lineRule="auto"/>
        <w:jc w:val="both"/>
        <w:rPr>
          <w:rFonts w:cs="Times New Roman"/>
          <w:noProof/>
          <w:szCs w:val="24"/>
        </w:rPr>
      </w:pPr>
      <w:r>
        <w:rPr>
          <w:noProof/>
        </w:rPr>
        <w:t xml:space="preserve">Investice spočívá v přípravě podrobné studie, strategie a vytvoření mechanismu </w:t>
      </w:r>
      <w:r>
        <w:rPr>
          <w:noProof/>
        </w:rPr>
        <w:t>financování pro postupnou obnovu vozového parku osobních lodí v zemi. Studie vymezí příslušné potřeby modernizace plavidel a časový horizont investice, finanční potřeby provozovatelů a potenciální příjmy, které budou generovány prostřednictvím plánu obnovy</w:t>
      </w:r>
      <w:r>
        <w:rPr>
          <w:noProof/>
        </w:rPr>
        <w:t>, vymezí obnovu infrastruktury, která by se měla uskutečnit v přístavech, aby se podpořil provoz nových plavidel, a vytvoří mechanismus financování, který provozovatelům usnadní přístup k finančním prostředkům. Investice se uskuteční do 30. června 2025.</w:t>
      </w:r>
    </w:p>
    <w:p w14:paraId="25CDFBFF" w14:textId="77777777" w:rsidR="00515398" w:rsidRDefault="006711E6">
      <w:pPr>
        <w:pStyle w:val="P68B1DB1-Normal4"/>
        <w:spacing w:before="120" w:after="120" w:line="240" w:lineRule="auto"/>
        <w:jc w:val="both"/>
        <w:rPr>
          <w:rFonts w:cs="Times New Roman"/>
          <w:noProof/>
        </w:rPr>
      </w:pPr>
      <w:r>
        <w:rPr>
          <w:b/>
          <w:noProof/>
        </w:rPr>
        <w:t>Re</w:t>
      </w:r>
      <w:r>
        <w:rPr>
          <w:b/>
          <w:noProof/>
        </w:rPr>
        <w:t>forma:</w:t>
      </w:r>
      <w:r>
        <w:rPr>
          <w:noProof/>
        </w:rPr>
        <w:t xml:space="preserve"> Organizační reforma v železničním odvětví (opatření ID 16982)</w:t>
      </w:r>
    </w:p>
    <w:p w14:paraId="6A492446" w14:textId="77777777" w:rsidR="00515398" w:rsidRDefault="006711E6">
      <w:pPr>
        <w:pStyle w:val="P68B1DB1-Normal4"/>
        <w:spacing w:before="120" w:after="120" w:line="240" w:lineRule="auto"/>
        <w:jc w:val="both"/>
        <w:rPr>
          <w:rFonts w:cs="Times New Roman"/>
          <w:noProof/>
        </w:rPr>
      </w:pPr>
      <w:r>
        <w:rPr>
          <w:noProof/>
        </w:rPr>
        <w:t>Hlavními akcemi projektu jsou:</w:t>
      </w:r>
    </w:p>
    <w:p w14:paraId="13018BF1" w14:textId="77777777" w:rsidR="00515398" w:rsidRDefault="006711E6">
      <w:pPr>
        <w:pStyle w:val="P68B1DB1-Normal4"/>
        <w:numPr>
          <w:ilvl w:val="0"/>
          <w:numId w:val="63"/>
        </w:numPr>
        <w:spacing w:before="120" w:after="120" w:line="240" w:lineRule="auto"/>
        <w:ind w:left="360"/>
        <w:jc w:val="both"/>
        <w:rPr>
          <w:rFonts w:cs="Times New Roman"/>
          <w:noProof/>
        </w:rPr>
      </w:pPr>
      <w:r>
        <w:rPr>
          <w:noProof/>
        </w:rPr>
        <w:t>Přijetí plánu s kroky k úplné reorganizaci společností OSE a ERGOSE.</w:t>
      </w:r>
    </w:p>
    <w:p w14:paraId="3D624F5A" w14:textId="77777777" w:rsidR="00515398" w:rsidRDefault="006711E6">
      <w:pPr>
        <w:pStyle w:val="P68B1DB1-Normal4"/>
        <w:numPr>
          <w:ilvl w:val="0"/>
          <w:numId w:val="63"/>
        </w:numPr>
        <w:spacing w:before="120" w:after="120" w:line="240" w:lineRule="auto"/>
        <w:ind w:left="360"/>
        <w:jc w:val="both"/>
        <w:rPr>
          <w:rFonts w:cs="Times New Roman"/>
          <w:noProof/>
        </w:rPr>
      </w:pPr>
      <w:r>
        <w:rPr>
          <w:noProof/>
        </w:rPr>
        <w:t>Nábor specializovaného konzultanta, který bude nápomocen při provádění reformy</w:t>
      </w:r>
    </w:p>
    <w:p w14:paraId="7F8B0F60" w14:textId="77777777" w:rsidR="00515398" w:rsidRDefault="006711E6">
      <w:pPr>
        <w:pStyle w:val="P68B1DB1-Normal4"/>
        <w:numPr>
          <w:ilvl w:val="0"/>
          <w:numId w:val="63"/>
        </w:numPr>
        <w:spacing w:before="120" w:after="120" w:line="240" w:lineRule="auto"/>
        <w:ind w:left="360"/>
        <w:jc w:val="both"/>
        <w:rPr>
          <w:rFonts w:cs="Times New Roman"/>
          <w:noProof/>
          <w:szCs w:val="24"/>
        </w:rPr>
      </w:pPr>
      <w:r>
        <w:rPr>
          <w:noProof/>
        </w:rPr>
        <w:t xml:space="preserve">Vstup v </w:t>
      </w:r>
      <w:r>
        <w:rPr>
          <w:noProof/>
        </w:rPr>
        <w:t>platnost primárních a sekundárních právních předpisů pro reformu obou společností, které jim umožní rozvíjet, provozovat a udržovat moderní železniční síť.</w:t>
      </w:r>
    </w:p>
    <w:p w14:paraId="14D9D45B" w14:textId="77777777" w:rsidR="00515398" w:rsidRDefault="006711E6">
      <w:pPr>
        <w:pStyle w:val="P68B1DB1-Normal4"/>
        <w:numPr>
          <w:ilvl w:val="0"/>
          <w:numId w:val="63"/>
        </w:numPr>
        <w:spacing w:before="120" w:after="120" w:line="240" w:lineRule="auto"/>
        <w:ind w:left="360"/>
        <w:jc w:val="both"/>
        <w:rPr>
          <w:rFonts w:eastAsia="Times New Roman" w:cs="Times New Roman"/>
          <w:noProof/>
          <w:szCs w:val="24"/>
        </w:rPr>
      </w:pPr>
      <w:r>
        <w:rPr>
          <w:noProof/>
        </w:rPr>
        <w:t xml:space="preserve">Provádění reformy definované v primárních a sekundárních právních předpisech. </w:t>
      </w:r>
    </w:p>
    <w:p w14:paraId="03B471EA" w14:textId="77777777" w:rsidR="00515398" w:rsidRDefault="006711E6">
      <w:pPr>
        <w:pStyle w:val="P68B1DB1-Normal4"/>
        <w:spacing w:before="120" w:after="120" w:line="240" w:lineRule="auto"/>
        <w:jc w:val="both"/>
        <w:rPr>
          <w:rFonts w:eastAsia="Times New Roman" w:cs="Times New Roman"/>
          <w:noProof/>
          <w:szCs w:val="24"/>
        </w:rPr>
      </w:pPr>
      <w:r>
        <w:rPr>
          <w:noProof/>
        </w:rPr>
        <w:t>Reorganizaci lze prov</w:t>
      </w:r>
      <w:r>
        <w:rPr>
          <w:noProof/>
        </w:rPr>
        <w:t>ést prostřednictvím plné integrace skupiny ERGOSE s OSE.</w:t>
      </w:r>
    </w:p>
    <w:p w14:paraId="3C82E318" w14:textId="77777777" w:rsidR="00515398" w:rsidRDefault="006711E6">
      <w:pPr>
        <w:pStyle w:val="P68B1DB1-Normal4"/>
        <w:spacing w:before="120" w:after="120" w:line="240" w:lineRule="auto"/>
        <w:jc w:val="both"/>
        <w:rPr>
          <w:rFonts w:cs="Times New Roman"/>
          <w:noProof/>
          <w:szCs w:val="24"/>
        </w:rPr>
      </w:pPr>
      <w:r>
        <w:rPr>
          <w:noProof/>
        </w:rPr>
        <w:t>Provádění reformy se dokončí do 31. prosince 2025. Cílem reformy je zajistit, aby řecké železniční odvětví bylo bezpečnější, účinnější, integrovanější, modernější a reagovalo na poptávku zákazníků. R</w:t>
      </w:r>
      <w:r>
        <w:rPr>
          <w:noProof/>
        </w:rPr>
        <w:t>eforma bude podpořena vícestrannou rámcovou smlouvou o restrukturalizaci odvětví železniční infrastruktury v Řecku.</w:t>
      </w:r>
    </w:p>
    <w:p w14:paraId="044ED555"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Změna právního rámce pro přilákání strategických investic (opatření ID 16593)</w:t>
      </w:r>
    </w:p>
    <w:p w14:paraId="08400217" w14:textId="726BD3C7" w:rsidR="00515398" w:rsidRDefault="006711E6">
      <w:pPr>
        <w:pStyle w:val="P68B1DB1-Normal5"/>
        <w:spacing w:before="120" w:after="120" w:line="240" w:lineRule="auto"/>
        <w:jc w:val="both"/>
        <w:rPr>
          <w:noProof/>
        </w:rPr>
      </w:pPr>
      <w:r>
        <w:rPr>
          <w:noProof/>
        </w:rPr>
        <w:t>Cílem reformy je podpořit Řecko jako atraktivní desti</w:t>
      </w:r>
      <w:r>
        <w:rPr>
          <w:noProof/>
        </w:rPr>
        <w:t>naci pro potenciální investory. Reforma reviduje právní rámec pro přilákání strategických investic a v jednom právním aktu sjednotí ustanovení dvou různých zákonů 3894/2010 a 4608/2019, čímž se právní rámec pro strategické investice objasní potenciálním in</w:t>
      </w:r>
      <w:r>
        <w:rPr>
          <w:noProof/>
        </w:rPr>
        <w:t>vestorům. Vytvoří novou kategorii strategických investic s dodatečnými pobídkami, zjednoduší a konsoliduje postup udělování licencí prostřednictvím jednotného kontaktního místa a zahrne nové oblasti hospodářské činnosti a potenciální významné projekty spol</w:t>
      </w:r>
      <w:r>
        <w:rPr>
          <w:noProof/>
        </w:rPr>
        <w:t xml:space="preserve">ečného evropského zájmu do stávajícího regulačního rámce (zákon 3894/2010 a zákon 4608/2019). </w:t>
      </w:r>
    </w:p>
    <w:p w14:paraId="5F5AC78A" w14:textId="65E7CA12" w:rsidR="00515398" w:rsidRDefault="006711E6">
      <w:pPr>
        <w:pStyle w:val="P68B1DB1-Normal5"/>
        <w:spacing w:before="120" w:after="120" w:line="240" w:lineRule="auto"/>
        <w:jc w:val="both"/>
        <w:rPr>
          <w:rFonts w:cs="Times New Roman"/>
          <w:noProof/>
        </w:rPr>
      </w:pPr>
      <w:r>
        <w:rPr>
          <w:noProof/>
        </w:rPr>
        <w:t>Hlavními kritérii pro to, aby byla investice kvalifikována jako eblematická investice velkého významu, je podpora inovací nebo šíření technologií, zelené ekonomi</w:t>
      </w:r>
      <w:r>
        <w:rPr>
          <w:noProof/>
        </w:rPr>
        <w:t>ky a/nebo významná podpora konkurenceschopnosti řeckého hospodářství na mezinárodní úrovni. Charakterizace projektů nevyžaduje minimální součet investičních nákladů ani minimální počet ročních pracovních kvót. Meziresortní výbor pro strategické investice p</w:t>
      </w:r>
      <w:r>
        <w:rPr>
          <w:noProof/>
        </w:rPr>
        <w:t>řijme konečné rozhodnutí o kvalifikaci investice jako eblematické investice velkého významu a o zvláštních pobídkách, na které má investice nárok. Provádění reformy se dokončí do 31. prosince 2025.</w:t>
      </w:r>
    </w:p>
    <w:p w14:paraId="38A5D2AC" w14:textId="7910C43F" w:rsidR="00515398" w:rsidRDefault="006711E6">
      <w:pPr>
        <w:pStyle w:val="P68B1DB1-Normal5"/>
        <w:spacing w:before="120" w:after="120" w:line="240" w:lineRule="auto"/>
        <w:jc w:val="both"/>
        <w:rPr>
          <w:rFonts w:cs="Times New Roman"/>
          <w:noProof/>
        </w:rPr>
      </w:pPr>
      <w:r>
        <w:rPr>
          <w:noProof/>
        </w:rPr>
        <w:t>Investice způsobilé pro financování zahrnují projekty, kte</w:t>
      </w:r>
      <w:r>
        <w:rPr>
          <w:noProof/>
        </w:rPr>
        <w:t xml:space="preserve">ré podporují inovace nebo šíření technologií, využívání obnovitelných zdrojů energie a přechod na nízkouhlíkové hospodářství a/nebo významně podporují konkurenceschopnost řeckého hospodářství na mezinárodní úrovni. </w:t>
      </w:r>
    </w:p>
    <w:p w14:paraId="4C8FECA5" w14:textId="77777777" w:rsidR="00515398" w:rsidRDefault="006711E6">
      <w:pPr>
        <w:pStyle w:val="P68B1DB1-Normal5"/>
        <w:spacing w:before="120" w:after="120" w:line="240" w:lineRule="auto"/>
        <w:jc w:val="both"/>
        <w:rPr>
          <w:rFonts w:cs="Times New Roman"/>
          <w:iCs/>
          <w:noProof/>
          <w:highlight w:val="green"/>
        </w:rPr>
      </w:pPr>
      <w:r>
        <w:rPr>
          <w:noProof/>
        </w:rPr>
        <w:t>Aby se zajistilo, že opatření je v soula</w:t>
      </w:r>
      <w:r>
        <w:rPr>
          <w:noProof/>
        </w:rPr>
        <w:t>du s technickými pokyny „významně nepoškozovat“ (2021/C58/01), kritéria způsobilosti obsažená v právním rámci pro přilákání strategických investic vylučují tento seznam činností:</w:t>
      </w:r>
      <w:r>
        <w:rPr>
          <w:noProof/>
          <w:color w:val="FF0000"/>
        </w:rPr>
        <w:t xml:space="preserve"> </w:t>
      </w:r>
      <w:r>
        <w:rPr>
          <w:noProof/>
        </w:rPr>
        <w:t>i) činnosti související s fosilními palivy, včetně následného využití</w:t>
      </w:r>
      <w:r>
        <w:rPr>
          <w:noProof/>
        </w:rPr>
        <w:footnoteReference w:id="35"/>
      </w:r>
      <w:r>
        <w:rPr>
          <w:noProof/>
        </w:rPr>
        <w:t>; II) č</w:t>
      </w:r>
      <w:r>
        <w:rPr>
          <w:noProof/>
        </w:rPr>
        <w:t>innosti v rámci systému EU pro obchodování s emisemi (ETS) dosahující předpokládaných emisí skleníkových plynů, které nejsou nižší než příslušné referenční hodnoty</w:t>
      </w:r>
      <w:r>
        <w:rPr>
          <w:noProof/>
        </w:rPr>
        <w:footnoteReference w:id="36"/>
      </w:r>
      <w:r>
        <w:rPr>
          <w:noProof/>
        </w:rPr>
        <w:t>; III) činnosti související se skládkami odpadů, spalovnami</w:t>
      </w:r>
      <w:r>
        <w:rPr>
          <w:noProof/>
        </w:rPr>
        <w:footnoteReference w:id="37"/>
      </w:r>
      <w:r>
        <w:rPr>
          <w:noProof/>
        </w:rPr>
        <w:t xml:space="preserve"> a mechanicko-biologickými čistí</w:t>
      </w:r>
      <w:r>
        <w:rPr>
          <w:noProof/>
        </w:rPr>
        <w:t>rnami odpadů</w:t>
      </w:r>
      <w:r>
        <w:rPr>
          <w:noProof/>
        </w:rPr>
        <w:footnoteReference w:id="38"/>
      </w:r>
      <w:r>
        <w:rPr>
          <w:noProof/>
        </w:rPr>
        <w:t>; a iv) činnosti, při nichž dlouhodobé odstraňování odpadů může poškodit životní prostředí. Mandát navíc vyžaduje, aby mohly být vybrány pouze činnosti, které jsou v souladu s příslušnými právními předpisy EU a vnitrostátními právními předpisy</w:t>
      </w:r>
      <w:r>
        <w:rPr>
          <w:noProof/>
        </w:rPr>
        <w:t xml:space="preserve"> v oblasti životního prostředí.</w:t>
      </w:r>
    </w:p>
    <w:p w14:paraId="5F0E864F" w14:textId="4C4586DF" w:rsidR="00515398" w:rsidRDefault="00515398">
      <w:pPr>
        <w:spacing w:before="120" w:after="120" w:line="240" w:lineRule="auto"/>
        <w:jc w:val="both"/>
        <w:rPr>
          <w:rFonts w:ascii="Times New Roman" w:hAnsi="Times New Roman"/>
          <w:noProof/>
          <w:sz w:val="24"/>
        </w:rPr>
      </w:pPr>
    </w:p>
    <w:p w14:paraId="4B435ED6" w14:textId="77777777" w:rsidR="00515398" w:rsidRDefault="00515398">
      <w:pPr>
        <w:spacing w:before="120" w:after="120" w:line="240" w:lineRule="auto"/>
        <w:ind w:left="709"/>
        <w:jc w:val="both"/>
        <w:rPr>
          <w:rFonts w:ascii="Times New Roman" w:hAnsi="Times New Roman" w:cs="Times New Roman"/>
          <w:b/>
          <w:noProof/>
          <w:sz w:val="24"/>
          <w:u w:val="single"/>
        </w:rPr>
      </w:pPr>
    </w:p>
    <w:p w14:paraId="17DCA531"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71"/>
          <w:headerReference w:type="default" r:id="rId272"/>
          <w:footerReference w:type="even" r:id="rId273"/>
          <w:footerReference w:type="default" r:id="rId274"/>
          <w:headerReference w:type="first" r:id="rId275"/>
          <w:footerReference w:type="first" r:id="rId276"/>
          <w:pgSz w:w="11907" w:h="16839"/>
          <w:pgMar w:top="1134" w:right="1417" w:bottom="1134" w:left="1417" w:header="709" w:footer="327" w:gutter="0"/>
          <w:cols w:space="720"/>
          <w:docGrid w:linePitch="360"/>
        </w:sectPr>
      </w:pPr>
    </w:p>
    <w:p w14:paraId="06B9F52A" w14:textId="77777777" w:rsidR="00515398" w:rsidRDefault="006711E6">
      <w:pPr>
        <w:spacing w:before="120" w:after="120" w:line="240" w:lineRule="auto"/>
        <w:ind w:left="709"/>
        <w:jc w:val="both"/>
        <w:rPr>
          <w:rFonts w:ascii="Times New Roman" w:hAnsi="Times New Roman"/>
          <w:b/>
          <w:noProof/>
          <w:sz w:val="24"/>
          <w:u w:val="single"/>
        </w:rPr>
      </w:pPr>
      <w:r>
        <w:rPr>
          <w:rFonts w:ascii="Times New Roman" w:hAnsi="Times New Roman"/>
          <w:b/>
          <w:noProof/>
          <w:sz w:val="24"/>
          <w:u w:val="single"/>
        </w:rPr>
        <w:t xml:space="preserve">OTÁZKA Č. 2. </w:t>
      </w:r>
      <w:r>
        <w:rPr>
          <w:noProof/>
        </w:rPr>
        <w:t xml:space="preserve"> </w:t>
      </w:r>
      <w:r>
        <w:rPr>
          <w:rFonts w:ascii="Times New Roman" w:hAnsi="Times New Roman"/>
          <w:b/>
          <w:noProof/>
          <w:sz w:val="24"/>
          <w:u w:val="single"/>
        </w:rPr>
        <w:t>Milníky, cíle, ukazatele a harmonogram monitorování a provádění nevratné finanční podpory</w:t>
      </w:r>
      <w:r>
        <w:rPr>
          <w:rFonts w:ascii="Times New Roman" w:hAnsi="Times New Roman"/>
          <w:b/>
          <w:noProof/>
          <w:color w:val="2B579A"/>
          <w:sz w:val="24"/>
          <w:u w:val="single"/>
          <w:shd w:val="clear" w:color="auto" w:fill="E6E6E6"/>
        </w:rPr>
        <w:t xml:space="preserve"> </w:t>
      </w:r>
    </w:p>
    <w:p w14:paraId="26FEEDC1" w14:textId="77777777" w:rsidR="00515398" w:rsidRDefault="006711E6">
      <w:pPr>
        <w:pStyle w:val="P68B1DB1-Normal6"/>
        <w:keepNext/>
        <w:keepLines/>
        <w:spacing w:before="40" w:after="240" w:line="240" w:lineRule="auto"/>
        <w:jc w:val="both"/>
        <w:outlineLvl w:val="4"/>
        <w:rPr>
          <w:rFonts w:eastAsia="Times New Roman"/>
          <w:noProof/>
        </w:rPr>
      </w:pPr>
      <w:r>
        <w:rPr>
          <w:noProof/>
        </w:rPr>
        <w:t xml:space="preserve">Nejvyšší investice 6: Střední Řecko – dálnice E-65: Úsek </w:t>
      </w:r>
      <w:r>
        <w:rPr>
          <w:noProof/>
        </w:rPr>
        <w:t>Trikala-Egnatia</w:t>
      </w:r>
    </w:p>
    <w:tbl>
      <w:tblPr>
        <w:tblW w:w="15817" w:type="dxa"/>
        <w:jc w:val="center"/>
        <w:tblLook w:val="04A0" w:firstRow="1" w:lastRow="0" w:firstColumn="1" w:lastColumn="0" w:noHBand="0" w:noVBand="1"/>
      </w:tblPr>
      <w:tblGrid>
        <w:gridCol w:w="1027"/>
        <w:gridCol w:w="1314"/>
        <w:gridCol w:w="967"/>
        <w:gridCol w:w="1137"/>
        <w:gridCol w:w="1713"/>
        <w:gridCol w:w="1230"/>
        <w:gridCol w:w="857"/>
        <w:gridCol w:w="851"/>
        <w:gridCol w:w="984"/>
        <w:gridCol w:w="851"/>
        <w:gridCol w:w="5042"/>
      </w:tblGrid>
      <w:tr w:rsidR="00515398" w14:paraId="287D2160" w14:textId="77777777">
        <w:trPr>
          <w:trHeight w:val="810"/>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3C002"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19DDB9"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5BE99B"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137" w:type="dxa"/>
            <w:vMerge w:val="restart"/>
            <w:tcBorders>
              <w:top w:val="single" w:sz="4" w:space="0" w:color="auto"/>
              <w:left w:val="nil"/>
              <w:bottom w:val="single" w:sz="4" w:space="0" w:color="auto"/>
              <w:right w:val="single" w:sz="4" w:space="0" w:color="auto"/>
            </w:tcBorders>
            <w:shd w:val="clear" w:color="auto" w:fill="BDD7EE"/>
            <w:vAlign w:val="center"/>
            <w:hideMark/>
          </w:tcPr>
          <w:p w14:paraId="4E1DD29F"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260C81"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2938" w:type="dxa"/>
            <w:gridSpan w:val="3"/>
            <w:tcBorders>
              <w:top w:val="single" w:sz="4" w:space="0" w:color="auto"/>
              <w:left w:val="nil"/>
              <w:bottom w:val="single" w:sz="4" w:space="0" w:color="auto"/>
              <w:right w:val="single" w:sz="4" w:space="0" w:color="auto"/>
            </w:tcBorders>
            <w:shd w:val="clear" w:color="auto" w:fill="BDD7EE"/>
            <w:vAlign w:val="center"/>
            <w:hideMark/>
          </w:tcPr>
          <w:p w14:paraId="73BA9C88"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14:paraId="59140E48"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5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74CA2D"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0E496B6E" w14:textId="77777777">
        <w:trPr>
          <w:trHeight w:val="440"/>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376319F" w14:textId="77777777" w:rsidR="00515398" w:rsidRDefault="00515398">
            <w:pPr>
              <w:spacing w:after="0" w:line="240" w:lineRule="auto"/>
              <w:rPr>
                <w:rFonts w:ascii="Times New Roman" w:eastAsia="Times New Roman" w:hAnsi="Times New Roman" w:cs="Times New Roman"/>
                <w:b/>
                <w:bCs/>
                <w:noProof/>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485A811F"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53184C5D"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66367E46" w14:textId="77777777" w:rsidR="00515398" w:rsidRDefault="00515398">
            <w:pPr>
              <w:spacing w:after="0" w:line="240" w:lineRule="auto"/>
              <w:rPr>
                <w:rFonts w:ascii="Times New Roman" w:eastAsia="Times New Roman" w:hAnsi="Times New Roman" w:cs="Times New Roman"/>
                <w:b/>
                <w:bCs/>
                <w:noProof/>
                <w:sz w:val="18"/>
                <w:szCs w:val="18"/>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5397323F" w14:textId="77777777" w:rsidR="00515398" w:rsidRDefault="00515398">
            <w:pPr>
              <w:spacing w:after="0" w:line="240" w:lineRule="auto"/>
              <w:rPr>
                <w:rFonts w:ascii="Times New Roman" w:eastAsia="Times New Roman" w:hAnsi="Times New Roman" w:cs="Times New Roman"/>
                <w:b/>
                <w:bCs/>
                <w:noProof/>
                <w:sz w:val="18"/>
                <w:szCs w:val="18"/>
              </w:rPr>
            </w:pPr>
          </w:p>
        </w:tc>
        <w:tc>
          <w:tcPr>
            <w:tcW w:w="123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A6F8D86"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54954A6F"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851" w:type="dxa"/>
            <w:tcBorders>
              <w:top w:val="nil"/>
              <w:left w:val="nil"/>
              <w:bottom w:val="single" w:sz="4" w:space="0" w:color="auto"/>
              <w:right w:val="single" w:sz="4" w:space="0" w:color="auto"/>
            </w:tcBorders>
            <w:shd w:val="clear" w:color="auto" w:fill="BDD7EE"/>
            <w:vAlign w:val="center"/>
            <w:hideMark/>
          </w:tcPr>
          <w:p w14:paraId="7E556EB8"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850" w:type="dxa"/>
            <w:tcBorders>
              <w:top w:val="nil"/>
              <w:left w:val="nil"/>
              <w:bottom w:val="single" w:sz="4" w:space="0" w:color="auto"/>
              <w:right w:val="single" w:sz="4" w:space="0" w:color="auto"/>
            </w:tcBorders>
            <w:shd w:val="clear" w:color="auto" w:fill="BDD7EE"/>
            <w:vAlign w:val="center"/>
            <w:hideMark/>
          </w:tcPr>
          <w:p w14:paraId="2E85865A"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851" w:type="dxa"/>
            <w:tcBorders>
              <w:top w:val="nil"/>
              <w:left w:val="nil"/>
              <w:bottom w:val="single" w:sz="4" w:space="0" w:color="auto"/>
              <w:right w:val="single" w:sz="4" w:space="0" w:color="auto"/>
            </w:tcBorders>
            <w:shd w:val="clear" w:color="auto" w:fill="BDD7EE"/>
            <w:vAlign w:val="center"/>
            <w:hideMark/>
          </w:tcPr>
          <w:p w14:paraId="537FE7C3"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5042" w:type="dxa"/>
            <w:vMerge/>
            <w:tcBorders>
              <w:top w:val="single" w:sz="4" w:space="0" w:color="auto"/>
              <w:bottom w:val="single" w:sz="4" w:space="0" w:color="auto"/>
              <w:right w:val="single" w:sz="4" w:space="0" w:color="auto"/>
            </w:tcBorders>
            <w:vAlign w:val="center"/>
            <w:hideMark/>
          </w:tcPr>
          <w:p w14:paraId="6CEAFF1A"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69BE7749"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1AB0C7D" w14:textId="77777777" w:rsidR="00515398" w:rsidRDefault="006711E6">
            <w:pPr>
              <w:pStyle w:val="P68B1DB1-Normal9"/>
              <w:spacing w:after="0" w:line="240" w:lineRule="auto"/>
              <w:rPr>
                <w:rFonts w:eastAsia="Times New Roman" w:cs="Calibri"/>
                <w:noProof/>
                <w:szCs w:val="18"/>
              </w:rPr>
            </w:pPr>
            <w:r>
              <w:rPr>
                <w:noProof/>
              </w:rPr>
              <w:t>254</w:t>
            </w:r>
          </w:p>
        </w:tc>
        <w:tc>
          <w:tcPr>
            <w:tcW w:w="1293" w:type="dxa"/>
            <w:tcBorders>
              <w:top w:val="single" w:sz="4" w:space="0" w:color="auto"/>
              <w:left w:val="nil"/>
              <w:bottom w:val="single" w:sz="4" w:space="0" w:color="auto"/>
              <w:right w:val="single" w:sz="4" w:space="0" w:color="auto"/>
            </w:tcBorders>
            <w:shd w:val="clear" w:color="auto" w:fill="C6EFCE"/>
            <w:noWrap/>
          </w:tcPr>
          <w:p w14:paraId="0A0AF3BA"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16628_Central Greece Highway E-65: Úsek Trikala-Egnatia</w:t>
            </w:r>
          </w:p>
        </w:tc>
        <w:tc>
          <w:tcPr>
            <w:tcW w:w="966" w:type="dxa"/>
            <w:tcBorders>
              <w:top w:val="single" w:sz="4" w:space="0" w:color="auto"/>
              <w:left w:val="nil"/>
              <w:bottom w:val="single" w:sz="4" w:space="0" w:color="auto"/>
              <w:right w:val="single" w:sz="4" w:space="0" w:color="auto"/>
            </w:tcBorders>
            <w:shd w:val="clear" w:color="auto" w:fill="C6EFCE"/>
            <w:noWrap/>
          </w:tcPr>
          <w:p w14:paraId="6134D1A7" w14:textId="77777777" w:rsidR="00515398" w:rsidRDefault="006711E6">
            <w:pPr>
              <w:pStyle w:val="P68B1DB1-Normal9"/>
              <w:spacing w:after="0" w:line="240" w:lineRule="auto"/>
              <w:rPr>
                <w:rFonts w:eastAsia="Times New Roman" w:cs="Calibri"/>
                <w:noProof/>
                <w:szCs w:val="18"/>
              </w:rPr>
            </w:pPr>
            <w:r>
              <w:rPr>
                <w:noProof/>
              </w:rPr>
              <w:t>Milník</w:t>
            </w:r>
          </w:p>
        </w:tc>
        <w:tc>
          <w:tcPr>
            <w:tcW w:w="1137" w:type="dxa"/>
            <w:tcBorders>
              <w:top w:val="single" w:sz="4" w:space="0" w:color="auto"/>
              <w:left w:val="nil"/>
              <w:bottom w:val="single" w:sz="4" w:space="0" w:color="auto"/>
              <w:right w:val="single" w:sz="4" w:space="0" w:color="auto"/>
            </w:tcBorders>
            <w:shd w:val="clear" w:color="auto" w:fill="C6EFCE"/>
            <w:noWrap/>
          </w:tcPr>
          <w:p w14:paraId="425BDE84" w14:textId="77777777" w:rsidR="00515398" w:rsidRDefault="006711E6">
            <w:pPr>
              <w:pStyle w:val="P68B1DB1-Normal9"/>
              <w:spacing w:after="0" w:line="240" w:lineRule="auto"/>
              <w:rPr>
                <w:rFonts w:eastAsia="Times New Roman" w:cs="Calibri"/>
                <w:noProof/>
                <w:szCs w:val="18"/>
              </w:rPr>
            </w:pPr>
            <w:r>
              <w:rPr>
                <w:noProof/>
              </w:rPr>
              <w:t>Zahájení stavebních prací v E-65</w:t>
            </w:r>
          </w:p>
        </w:tc>
        <w:tc>
          <w:tcPr>
            <w:tcW w:w="1713" w:type="dxa"/>
            <w:tcBorders>
              <w:top w:val="single" w:sz="4" w:space="0" w:color="auto"/>
              <w:left w:val="nil"/>
              <w:bottom w:val="single" w:sz="4" w:space="0" w:color="auto"/>
              <w:right w:val="single" w:sz="4" w:space="0" w:color="auto"/>
            </w:tcBorders>
            <w:shd w:val="clear" w:color="auto" w:fill="C6EFCE"/>
            <w:noWrap/>
          </w:tcPr>
          <w:p w14:paraId="5974488A" w14:textId="77777777" w:rsidR="00515398" w:rsidRDefault="006711E6">
            <w:pPr>
              <w:pStyle w:val="P68B1DB1-Normal9"/>
              <w:spacing w:after="0" w:line="240" w:lineRule="auto"/>
              <w:rPr>
                <w:rFonts w:eastAsia="Times New Roman" w:cs="Calibri"/>
                <w:noProof/>
                <w:szCs w:val="18"/>
              </w:rPr>
            </w:pPr>
            <w:r>
              <w:rPr>
                <w:noProof/>
              </w:rPr>
              <w:t xml:space="preserve">Zpráva nezávislého inženýra ratifikovaného </w:t>
            </w:r>
            <w:r>
              <w:rPr>
                <w:noProof/>
              </w:rPr>
              <w:t>ministerstvem infrastruktury</w:t>
            </w:r>
          </w:p>
        </w:tc>
        <w:tc>
          <w:tcPr>
            <w:tcW w:w="1230" w:type="dxa"/>
            <w:tcBorders>
              <w:top w:val="single" w:sz="4" w:space="0" w:color="auto"/>
              <w:left w:val="nil"/>
              <w:bottom w:val="single" w:sz="4" w:space="0" w:color="auto"/>
              <w:right w:val="single" w:sz="4" w:space="0" w:color="auto"/>
            </w:tcBorders>
            <w:shd w:val="clear" w:color="auto" w:fill="C6EFCE"/>
            <w:noWrap/>
          </w:tcPr>
          <w:p w14:paraId="5D0FC720"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156ED2B"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3ED55C98"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tcPr>
          <w:p w14:paraId="1A4E021F" w14:textId="77777777" w:rsidR="00515398" w:rsidRDefault="006711E6">
            <w:pPr>
              <w:pStyle w:val="P68B1DB1-Normal9"/>
              <w:spacing w:after="0" w:line="240" w:lineRule="auto"/>
              <w:rPr>
                <w:rFonts w:eastAsia="Times New Roman" w:cs="Calibri"/>
                <w:noProof/>
                <w:szCs w:val="18"/>
              </w:rPr>
            </w:pPr>
            <w:r>
              <w:rPr>
                <w:noProof/>
              </w:rPr>
              <w:t>ČTVRTLETÍ</w:t>
            </w:r>
          </w:p>
        </w:tc>
        <w:tc>
          <w:tcPr>
            <w:tcW w:w="851" w:type="dxa"/>
            <w:tcBorders>
              <w:top w:val="nil"/>
              <w:left w:val="nil"/>
              <w:bottom w:val="single" w:sz="4" w:space="0" w:color="auto"/>
              <w:right w:val="single" w:sz="4" w:space="0" w:color="auto"/>
            </w:tcBorders>
            <w:shd w:val="clear" w:color="auto" w:fill="C6EFCE"/>
            <w:noWrap/>
          </w:tcPr>
          <w:p w14:paraId="3DB41D01" w14:textId="77777777" w:rsidR="00515398" w:rsidRDefault="006711E6">
            <w:pPr>
              <w:pStyle w:val="P68B1DB1-Normal9"/>
              <w:spacing w:after="0" w:line="240" w:lineRule="auto"/>
              <w:rPr>
                <w:rFonts w:eastAsia="Times New Roman" w:cs="Calibri"/>
                <w:noProof/>
                <w:szCs w:val="18"/>
              </w:rPr>
            </w:pPr>
            <w:r>
              <w:rPr>
                <w:noProof/>
              </w:rPr>
              <w:t>2022</w:t>
            </w:r>
          </w:p>
        </w:tc>
        <w:tc>
          <w:tcPr>
            <w:tcW w:w="5042" w:type="dxa"/>
            <w:tcBorders>
              <w:top w:val="single" w:sz="4" w:space="0" w:color="auto"/>
              <w:left w:val="nil"/>
              <w:bottom w:val="single" w:sz="4" w:space="0" w:color="auto"/>
              <w:right w:val="single" w:sz="4" w:space="0" w:color="auto"/>
            </w:tcBorders>
            <w:shd w:val="clear" w:color="auto" w:fill="C6EFCE"/>
            <w:noWrap/>
          </w:tcPr>
          <w:p w14:paraId="41C97C9D" w14:textId="77777777" w:rsidR="00515398" w:rsidRDefault="006711E6">
            <w:pPr>
              <w:pStyle w:val="P68B1DB1-Normal9"/>
              <w:spacing w:after="0" w:line="240" w:lineRule="auto"/>
              <w:rPr>
                <w:rFonts w:eastAsia="Times New Roman" w:cs="Calibri"/>
                <w:noProof/>
                <w:szCs w:val="18"/>
              </w:rPr>
            </w:pPr>
            <w:r>
              <w:rPr>
                <w:noProof/>
              </w:rPr>
              <w:t>Zahájení stavebních prací na dálnici E-65 střední Řecko: Trikala-Egnatia</w:t>
            </w:r>
          </w:p>
        </w:tc>
      </w:tr>
      <w:tr w:rsidR="00515398" w14:paraId="6122BC97"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14:paraId="7397600B" w14:textId="77777777" w:rsidR="00515398" w:rsidRDefault="006711E6">
            <w:pPr>
              <w:pStyle w:val="P68B1DB1-Normal9"/>
              <w:spacing w:after="0" w:line="240" w:lineRule="auto"/>
              <w:rPr>
                <w:rFonts w:eastAsia="Times New Roman" w:cs="Calibri"/>
                <w:noProof/>
                <w:szCs w:val="18"/>
              </w:rPr>
            </w:pPr>
            <w:r>
              <w:rPr>
                <w:noProof/>
              </w:rPr>
              <w:t>256</w:t>
            </w:r>
          </w:p>
        </w:tc>
        <w:tc>
          <w:tcPr>
            <w:tcW w:w="1293" w:type="dxa"/>
            <w:tcBorders>
              <w:top w:val="nil"/>
              <w:left w:val="nil"/>
              <w:bottom w:val="single" w:sz="4" w:space="0" w:color="auto"/>
              <w:right w:val="single" w:sz="4" w:space="0" w:color="auto"/>
            </w:tcBorders>
            <w:shd w:val="clear" w:color="auto" w:fill="C6EFCE"/>
            <w:noWrap/>
            <w:hideMark/>
          </w:tcPr>
          <w:p w14:paraId="114C818E" w14:textId="77777777" w:rsidR="00515398" w:rsidRDefault="006711E6">
            <w:pPr>
              <w:pStyle w:val="P68B1DB1-Normal9"/>
              <w:spacing w:after="0" w:line="240" w:lineRule="auto"/>
              <w:rPr>
                <w:rFonts w:eastAsia="Times New Roman" w:cs="Calibri"/>
                <w:noProof/>
                <w:szCs w:val="18"/>
              </w:rPr>
            </w:pPr>
            <w:r>
              <w:rPr>
                <w:noProof/>
              </w:rPr>
              <w:t> 17–4.6. Modernizace a zlepšení odolnosti klíčových hospodářských odvětví – 16628_Central Greece Highway E-65: Úsek Trikala-Egnatia</w:t>
            </w:r>
          </w:p>
        </w:tc>
        <w:tc>
          <w:tcPr>
            <w:tcW w:w="966" w:type="dxa"/>
            <w:tcBorders>
              <w:top w:val="nil"/>
              <w:left w:val="nil"/>
              <w:bottom w:val="single" w:sz="4" w:space="0" w:color="auto"/>
              <w:right w:val="single" w:sz="4" w:space="0" w:color="auto"/>
            </w:tcBorders>
            <w:shd w:val="clear" w:color="auto" w:fill="C6EFCE"/>
            <w:noWrap/>
            <w:hideMark/>
          </w:tcPr>
          <w:p w14:paraId="3F12EC4B" w14:textId="77777777" w:rsidR="00515398" w:rsidRDefault="006711E6">
            <w:pPr>
              <w:pStyle w:val="P68B1DB1-Normal9"/>
              <w:spacing w:after="0" w:line="240" w:lineRule="auto"/>
              <w:rPr>
                <w:rFonts w:eastAsia="Times New Roman" w:cs="Calibri"/>
                <w:noProof/>
                <w:szCs w:val="18"/>
              </w:rPr>
            </w:pPr>
            <w:r>
              <w:rPr>
                <w:noProof/>
              </w:rPr>
              <w:t>Milník</w:t>
            </w:r>
          </w:p>
        </w:tc>
        <w:tc>
          <w:tcPr>
            <w:tcW w:w="1137" w:type="dxa"/>
            <w:tcBorders>
              <w:top w:val="nil"/>
              <w:left w:val="nil"/>
              <w:bottom w:val="single" w:sz="4" w:space="0" w:color="auto"/>
              <w:right w:val="single" w:sz="4" w:space="0" w:color="auto"/>
            </w:tcBorders>
            <w:shd w:val="clear" w:color="auto" w:fill="C6EFCE"/>
            <w:noWrap/>
            <w:hideMark/>
          </w:tcPr>
          <w:p w14:paraId="53FFCC91" w14:textId="77777777" w:rsidR="00515398" w:rsidRDefault="006711E6">
            <w:pPr>
              <w:pStyle w:val="P68B1DB1-Normal9"/>
              <w:spacing w:after="0" w:line="240" w:lineRule="auto"/>
              <w:rPr>
                <w:rFonts w:eastAsia="Times New Roman" w:cs="Calibri"/>
                <w:noProof/>
                <w:szCs w:val="18"/>
              </w:rPr>
            </w:pPr>
            <w:r>
              <w:rPr>
                <w:noProof/>
              </w:rPr>
              <w:t>E-65 prací – dokončení</w:t>
            </w:r>
          </w:p>
        </w:tc>
        <w:tc>
          <w:tcPr>
            <w:tcW w:w="1713" w:type="dxa"/>
            <w:tcBorders>
              <w:top w:val="nil"/>
              <w:left w:val="nil"/>
              <w:bottom w:val="single" w:sz="4" w:space="0" w:color="auto"/>
              <w:right w:val="single" w:sz="4" w:space="0" w:color="auto"/>
            </w:tcBorders>
            <w:shd w:val="clear" w:color="auto" w:fill="C6EFCE"/>
            <w:noWrap/>
            <w:hideMark/>
          </w:tcPr>
          <w:p w14:paraId="1757AFEB" w14:textId="0B7B5125" w:rsidR="00515398" w:rsidRDefault="006711E6">
            <w:pPr>
              <w:pStyle w:val="P68B1DB1-Normal9"/>
              <w:spacing w:after="0" w:line="240" w:lineRule="auto"/>
              <w:rPr>
                <w:rFonts w:eastAsia="Times New Roman" w:cs="Calibri"/>
                <w:noProof/>
                <w:szCs w:val="18"/>
              </w:rPr>
            </w:pPr>
            <w:r>
              <w:rPr>
                <w:noProof/>
              </w:rPr>
              <w:t xml:space="preserve"> dokončení prací</w:t>
            </w:r>
          </w:p>
        </w:tc>
        <w:tc>
          <w:tcPr>
            <w:tcW w:w="1230" w:type="dxa"/>
            <w:tcBorders>
              <w:top w:val="nil"/>
              <w:left w:val="nil"/>
              <w:bottom w:val="single" w:sz="4" w:space="0" w:color="auto"/>
              <w:right w:val="single" w:sz="4" w:space="0" w:color="auto"/>
            </w:tcBorders>
            <w:shd w:val="clear" w:color="auto" w:fill="C6EFCE"/>
            <w:noWrap/>
            <w:hideMark/>
          </w:tcPr>
          <w:p w14:paraId="1A048AAA"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hideMark/>
          </w:tcPr>
          <w:p w14:paraId="3B484964"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hideMark/>
          </w:tcPr>
          <w:p w14:paraId="5F344C8E" w14:textId="77777777" w:rsidR="00515398" w:rsidRDefault="00515398">
            <w:pPr>
              <w:spacing w:after="0" w:line="240" w:lineRule="auto"/>
              <w:rPr>
                <w:rFonts w:eastAsia="Times New Roman" w:cs="Calibri"/>
                <w:noProof/>
                <w:color w:val="006100"/>
                <w:sz w:val="18"/>
                <w:szCs w:val="18"/>
              </w:rPr>
            </w:pPr>
          </w:p>
        </w:tc>
        <w:tc>
          <w:tcPr>
            <w:tcW w:w="850" w:type="dxa"/>
            <w:tcBorders>
              <w:top w:val="nil"/>
              <w:left w:val="nil"/>
              <w:bottom w:val="single" w:sz="4" w:space="0" w:color="auto"/>
              <w:right w:val="single" w:sz="4" w:space="0" w:color="auto"/>
            </w:tcBorders>
            <w:shd w:val="clear" w:color="auto" w:fill="C6EFCE"/>
            <w:noWrap/>
            <w:hideMark/>
          </w:tcPr>
          <w:p w14:paraId="7469CB82"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nil"/>
              <w:left w:val="nil"/>
              <w:bottom w:val="single" w:sz="4" w:space="0" w:color="auto"/>
              <w:right w:val="single" w:sz="4" w:space="0" w:color="auto"/>
            </w:tcBorders>
            <w:shd w:val="clear" w:color="auto" w:fill="C6EFCE"/>
            <w:noWrap/>
            <w:hideMark/>
          </w:tcPr>
          <w:p w14:paraId="19B137F5" w14:textId="77777777" w:rsidR="00515398" w:rsidRDefault="006711E6">
            <w:pPr>
              <w:pStyle w:val="P68B1DB1-Normal9"/>
              <w:spacing w:after="0" w:line="240" w:lineRule="auto"/>
              <w:rPr>
                <w:rFonts w:eastAsia="Times New Roman" w:cs="Calibri"/>
                <w:noProof/>
                <w:szCs w:val="18"/>
              </w:rPr>
            </w:pPr>
            <w:r>
              <w:rPr>
                <w:noProof/>
              </w:rPr>
              <w:t>2025</w:t>
            </w:r>
          </w:p>
        </w:tc>
        <w:tc>
          <w:tcPr>
            <w:tcW w:w="5042" w:type="dxa"/>
            <w:tcBorders>
              <w:top w:val="nil"/>
              <w:left w:val="nil"/>
              <w:bottom w:val="single" w:sz="4" w:space="0" w:color="auto"/>
              <w:right w:val="single" w:sz="4" w:space="0" w:color="auto"/>
            </w:tcBorders>
            <w:shd w:val="clear" w:color="auto" w:fill="C6EFCE"/>
            <w:noWrap/>
            <w:hideMark/>
          </w:tcPr>
          <w:p w14:paraId="3EBC840D" w14:textId="77777777" w:rsidR="00515398" w:rsidRDefault="006711E6">
            <w:pPr>
              <w:pStyle w:val="P68B1DB1-Normal9"/>
              <w:spacing w:after="0" w:line="240" w:lineRule="auto"/>
              <w:rPr>
                <w:rFonts w:eastAsia="Times New Roman" w:cs="Calibri"/>
                <w:noProof/>
                <w:szCs w:val="18"/>
              </w:rPr>
            </w:pPr>
            <w:r>
              <w:rPr>
                <w:noProof/>
              </w:rPr>
              <w:t>Dokončení projektu včetně vedlejších prací (jako jsou všechny stanice pro výběr mýtného, osvětlení a bezpečnostní opatření, která jsou nezbytná pro certifikaci a provoz dálnice).</w:t>
            </w:r>
          </w:p>
        </w:tc>
      </w:tr>
    </w:tbl>
    <w:p w14:paraId="2C9C1C24" w14:textId="77777777" w:rsidR="00515398" w:rsidRDefault="006711E6">
      <w:pPr>
        <w:pStyle w:val="P68B1DB1-Normal6"/>
        <w:keepNext/>
        <w:keepLines/>
        <w:spacing w:before="240" w:after="240" w:line="240" w:lineRule="auto"/>
        <w:jc w:val="both"/>
        <w:outlineLvl w:val="4"/>
        <w:rPr>
          <w:rFonts w:eastAsia="Times New Roman"/>
          <w:noProof/>
        </w:rPr>
      </w:pPr>
      <w:r>
        <w:rPr>
          <w:noProof/>
        </w:rPr>
        <w:t>Nejvyšší investice 7: Modernizace bezpečnosti silničního provozu</w:t>
      </w:r>
    </w:p>
    <w:tbl>
      <w:tblPr>
        <w:tblW w:w="15333" w:type="dxa"/>
        <w:tblInd w:w="113" w:type="dxa"/>
        <w:tblLayout w:type="fixed"/>
        <w:tblLook w:val="04A0" w:firstRow="1" w:lastRow="0" w:firstColumn="1" w:lastColumn="0" w:noHBand="0" w:noVBand="1"/>
      </w:tblPr>
      <w:tblGrid>
        <w:gridCol w:w="1094"/>
        <w:gridCol w:w="1405"/>
        <w:gridCol w:w="1182"/>
        <w:gridCol w:w="1163"/>
        <w:gridCol w:w="1559"/>
        <w:gridCol w:w="709"/>
        <w:gridCol w:w="857"/>
        <w:gridCol w:w="587"/>
        <w:gridCol w:w="846"/>
        <w:gridCol w:w="690"/>
        <w:gridCol w:w="5241"/>
      </w:tblGrid>
      <w:tr w:rsidR="00515398" w14:paraId="15BC920B" w14:textId="77777777">
        <w:trPr>
          <w:trHeight w:val="835"/>
          <w:tblHeader/>
        </w:trPr>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F06538"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6814DF"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(reforma nebo investice)</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F58ED8"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163" w:type="dxa"/>
            <w:vMerge w:val="restart"/>
            <w:tcBorders>
              <w:top w:val="single" w:sz="4" w:space="0" w:color="auto"/>
              <w:left w:val="nil"/>
              <w:bottom w:val="single" w:sz="4" w:space="0" w:color="auto"/>
              <w:right w:val="single" w:sz="4" w:space="0" w:color="auto"/>
            </w:tcBorders>
            <w:shd w:val="clear" w:color="auto" w:fill="BDD7EE"/>
            <w:vAlign w:val="center"/>
            <w:hideMark/>
          </w:tcPr>
          <w:p w14:paraId="3E75DA86"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4D094A"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2153" w:type="dxa"/>
            <w:gridSpan w:val="3"/>
            <w:tcBorders>
              <w:top w:val="single" w:sz="4" w:space="0" w:color="auto"/>
              <w:left w:val="nil"/>
              <w:bottom w:val="single" w:sz="4" w:space="0" w:color="auto"/>
              <w:right w:val="single" w:sz="4" w:space="0" w:color="auto"/>
            </w:tcBorders>
            <w:shd w:val="clear" w:color="auto" w:fill="BDD7EE"/>
            <w:vAlign w:val="center"/>
            <w:hideMark/>
          </w:tcPr>
          <w:p w14:paraId="086A4815"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536" w:type="dxa"/>
            <w:gridSpan w:val="2"/>
            <w:tcBorders>
              <w:top w:val="single" w:sz="4" w:space="0" w:color="auto"/>
              <w:left w:val="nil"/>
              <w:bottom w:val="single" w:sz="4" w:space="0" w:color="auto"/>
              <w:right w:val="single" w:sz="4" w:space="0" w:color="auto"/>
            </w:tcBorders>
            <w:shd w:val="clear" w:color="auto" w:fill="BDD7EE"/>
            <w:vAlign w:val="center"/>
            <w:hideMark/>
          </w:tcPr>
          <w:p w14:paraId="705C0C31"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52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4CA758"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6F0347DA" w14:textId="77777777">
        <w:trPr>
          <w:trHeight w:val="594"/>
          <w:tblHeader/>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7E3B76E0" w14:textId="77777777" w:rsidR="00515398" w:rsidRDefault="00515398">
            <w:pPr>
              <w:spacing w:after="0" w:line="240" w:lineRule="auto"/>
              <w:rPr>
                <w:rFonts w:ascii="Times New Roman" w:eastAsia="Times New Roman" w:hAnsi="Times New Roman" w:cs="Times New Roman"/>
                <w:b/>
                <w:bCs/>
                <w:noProof/>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A4C6922" w14:textId="77777777" w:rsidR="00515398" w:rsidRDefault="00515398">
            <w:pPr>
              <w:spacing w:after="0" w:line="240" w:lineRule="auto"/>
              <w:rPr>
                <w:rFonts w:ascii="Times New Roman" w:eastAsia="Times New Roman" w:hAnsi="Times New Roman" w:cs="Times New Roman"/>
                <w:b/>
                <w:bCs/>
                <w:noProof/>
                <w:sz w:val="18"/>
                <w:szCs w:val="1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706A1DA2" w14:textId="77777777" w:rsidR="00515398" w:rsidRDefault="00515398">
            <w:pPr>
              <w:spacing w:after="0" w:line="240" w:lineRule="auto"/>
              <w:rPr>
                <w:rFonts w:ascii="Times New Roman" w:eastAsia="Times New Roman" w:hAnsi="Times New Roman" w:cs="Times New Roman"/>
                <w:b/>
                <w:bCs/>
                <w:noProof/>
                <w:sz w:val="18"/>
                <w:szCs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1FFB95A" w14:textId="77777777" w:rsidR="00515398" w:rsidRDefault="00515398">
            <w:pPr>
              <w:spacing w:after="0" w:line="240" w:lineRule="auto"/>
              <w:rPr>
                <w:rFonts w:ascii="Times New Roman" w:eastAsia="Times New Roman" w:hAnsi="Times New Roman" w:cs="Times New Roman"/>
                <w:b/>
                <w:bCs/>
                <w:noProo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7681F2" w14:textId="77777777" w:rsidR="00515398" w:rsidRDefault="00515398">
            <w:pPr>
              <w:spacing w:after="0" w:line="240" w:lineRule="auto"/>
              <w:rPr>
                <w:rFonts w:ascii="Times New Roman" w:eastAsia="Times New Roman" w:hAnsi="Times New Roman" w:cs="Times New Roman"/>
                <w:b/>
                <w:bCs/>
                <w:noProof/>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63E8FE"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66EE4E6F"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587" w:type="dxa"/>
            <w:tcBorders>
              <w:top w:val="nil"/>
              <w:left w:val="nil"/>
              <w:bottom w:val="single" w:sz="4" w:space="0" w:color="auto"/>
              <w:right w:val="single" w:sz="4" w:space="0" w:color="auto"/>
            </w:tcBorders>
            <w:shd w:val="clear" w:color="auto" w:fill="BDD7EE"/>
            <w:vAlign w:val="center"/>
            <w:hideMark/>
          </w:tcPr>
          <w:p w14:paraId="5F43E365"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846" w:type="dxa"/>
            <w:tcBorders>
              <w:top w:val="nil"/>
              <w:left w:val="nil"/>
              <w:bottom w:val="single" w:sz="4" w:space="0" w:color="auto"/>
              <w:right w:val="single" w:sz="4" w:space="0" w:color="auto"/>
            </w:tcBorders>
            <w:shd w:val="clear" w:color="auto" w:fill="BDD7EE"/>
            <w:vAlign w:val="center"/>
            <w:hideMark/>
          </w:tcPr>
          <w:p w14:paraId="4A77892F"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690" w:type="dxa"/>
            <w:tcBorders>
              <w:top w:val="nil"/>
              <w:left w:val="nil"/>
              <w:bottom w:val="single" w:sz="4" w:space="0" w:color="auto"/>
              <w:right w:val="single" w:sz="4" w:space="0" w:color="auto"/>
            </w:tcBorders>
            <w:shd w:val="clear" w:color="auto" w:fill="BDD7EE"/>
            <w:vAlign w:val="center"/>
            <w:hideMark/>
          </w:tcPr>
          <w:p w14:paraId="66D6B4B3"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5241" w:type="dxa"/>
            <w:vMerge/>
            <w:tcBorders>
              <w:top w:val="single" w:sz="4" w:space="0" w:color="auto"/>
              <w:bottom w:val="single" w:sz="4" w:space="0" w:color="auto"/>
              <w:right w:val="single" w:sz="4" w:space="0" w:color="auto"/>
            </w:tcBorders>
            <w:vAlign w:val="center"/>
            <w:hideMark/>
          </w:tcPr>
          <w:p w14:paraId="55DF350E"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261E0463" w14:textId="77777777">
        <w:trPr>
          <w:trHeight w:val="313"/>
        </w:trPr>
        <w:tc>
          <w:tcPr>
            <w:tcW w:w="1094" w:type="dxa"/>
            <w:tcBorders>
              <w:top w:val="single" w:sz="4" w:space="0" w:color="auto"/>
              <w:left w:val="single" w:sz="4" w:space="0" w:color="auto"/>
              <w:bottom w:val="single" w:sz="4" w:space="0" w:color="auto"/>
              <w:right w:val="single" w:sz="4" w:space="0" w:color="auto"/>
            </w:tcBorders>
            <w:shd w:val="clear" w:color="auto" w:fill="C6EFCE"/>
            <w:noWrap/>
          </w:tcPr>
          <w:p w14:paraId="6BE87A5E" w14:textId="77777777" w:rsidR="00515398" w:rsidRDefault="006711E6">
            <w:pPr>
              <w:pStyle w:val="P68B1DB1-Normal9"/>
              <w:spacing w:after="0" w:line="240" w:lineRule="auto"/>
              <w:rPr>
                <w:rFonts w:eastAsia="Times New Roman" w:cs="Calibri"/>
                <w:noProof/>
                <w:szCs w:val="18"/>
              </w:rPr>
            </w:pPr>
            <w:r>
              <w:rPr>
                <w:noProof/>
              </w:rPr>
              <w:t>257</w:t>
            </w:r>
          </w:p>
        </w:tc>
        <w:tc>
          <w:tcPr>
            <w:tcW w:w="1405" w:type="dxa"/>
            <w:tcBorders>
              <w:top w:val="single" w:sz="4" w:space="0" w:color="auto"/>
              <w:left w:val="nil"/>
              <w:bottom w:val="single" w:sz="4" w:space="0" w:color="auto"/>
              <w:right w:val="single" w:sz="4" w:space="0" w:color="auto"/>
            </w:tcBorders>
            <w:shd w:val="clear" w:color="auto" w:fill="C6EFCE"/>
            <w:noWrap/>
          </w:tcPr>
          <w:p w14:paraId="50AB51DF"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16631_Zlepšení bezpečnosti silničního provozu</w:t>
            </w:r>
          </w:p>
        </w:tc>
        <w:tc>
          <w:tcPr>
            <w:tcW w:w="1182" w:type="dxa"/>
            <w:tcBorders>
              <w:top w:val="single" w:sz="4" w:space="0" w:color="auto"/>
              <w:left w:val="nil"/>
              <w:bottom w:val="single" w:sz="4" w:space="0" w:color="auto"/>
              <w:right w:val="single" w:sz="4" w:space="0" w:color="auto"/>
            </w:tcBorders>
            <w:shd w:val="clear" w:color="auto" w:fill="C6EFCE"/>
            <w:noWrap/>
          </w:tcPr>
          <w:p w14:paraId="5770BD3D" w14:textId="77777777" w:rsidR="00515398" w:rsidRDefault="006711E6">
            <w:pPr>
              <w:pStyle w:val="P68B1DB1-Normal9"/>
              <w:spacing w:after="0" w:line="240" w:lineRule="auto"/>
              <w:rPr>
                <w:rFonts w:eastAsia="Times New Roman" w:cs="Calibri"/>
                <w:noProof/>
                <w:szCs w:val="18"/>
              </w:rPr>
            </w:pPr>
            <w:r>
              <w:rPr>
                <w:noProof/>
              </w:rPr>
              <w:t>Milník</w:t>
            </w:r>
          </w:p>
        </w:tc>
        <w:tc>
          <w:tcPr>
            <w:tcW w:w="1163" w:type="dxa"/>
            <w:tcBorders>
              <w:top w:val="single" w:sz="4" w:space="0" w:color="auto"/>
              <w:left w:val="nil"/>
              <w:bottom w:val="single" w:sz="4" w:space="0" w:color="auto"/>
              <w:right w:val="single" w:sz="4" w:space="0" w:color="auto"/>
            </w:tcBorders>
            <w:shd w:val="clear" w:color="auto" w:fill="C6EFCE"/>
            <w:noWrap/>
          </w:tcPr>
          <w:p w14:paraId="1B18B636" w14:textId="77777777" w:rsidR="00515398" w:rsidRDefault="006711E6">
            <w:pPr>
              <w:pStyle w:val="P68B1DB1-Normal9"/>
              <w:spacing w:after="0" w:line="240" w:lineRule="auto"/>
              <w:rPr>
                <w:rFonts w:eastAsia="Times New Roman" w:cs="Calibri"/>
                <w:noProof/>
                <w:szCs w:val="18"/>
              </w:rPr>
            </w:pPr>
            <w:r>
              <w:rPr>
                <w:noProof/>
              </w:rPr>
              <w:t xml:space="preserve">Zadání zakázky v oblasti bezpečnosti </w:t>
            </w:r>
            <w:r>
              <w:rPr>
                <w:noProof/>
              </w:rPr>
              <w:t>silničního provozu – první soubor zakázek</w:t>
            </w:r>
          </w:p>
        </w:tc>
        <w:tc>
          <w:tcPr>
            <w:tcW w:w="1559" w:type="dxa"/>
            <w:tcBorders>
              <w:top w:val="single" w:sz="4" w:space="0" w:color="auto"/>
              <w:left w:val="nil"/>
              <w:bottom w:val="single" w:sz="4" w:space="0" w:color="auto"/>
              <w:right w:val="single" w:sz="4" w:space="0" w:color="auto"/>
            </w:tcBorders>
            <w:shd w:val="clear" w:color="auto" w:fill="C6EFCE"/>
            <w:noWrap/>
          </w:tcPr>
          <w:p w14:paraId="1E13026C" w14:textId="77777777" w:rsidR="00515398" w:rsidRDefault="006711E6">
            <w:pPr>
              <w:pStyle w:val="P68B1DB1-Normal9"/>
              <w:spacing w:after="0" w:line="240" w:lineRule="auto"/>
              <w:rPr>
                <w:rFonts w:eastAsia="Times New Roman" w:cs="Calibri"/>
                <w:noProof/>
                <w:szCs w:val="18"/>
              </w:rPr>
            </w:pPr>
            <w:r>
              <w:rPr>
                <w:noProof/>
              </w:rPr>
              <w:t>Oznámení o zadání zakázek na nejméně 2300 lokalit.</w:t>
            </w:r>
          </w:p>
        </w:tc>
        <w:tc>
          <w:tcPr>
            <w:tcW w:w="709" w:type="dxa"/>
            <w:tcBorders>
              <w:top w:val="single" w:sz="4" w:space="0" w:color="auto"/>
              <w:left w:val="nil"/>
              <w:bottom w:val="single" w:sz="4" w:space="0" w:color="auto"/>
              <w:right w:val="single" w:sz="4" w:space="0" w:color="auto"/>
            </w:tcBorders>
            <w:shd w:val="clear" w:color="auto" w:fill="C6EFCE"/>
            <w:noWrap/>
          </w:tcPr>
          <w:p w14:paraId="5A50A3AD"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2A417C3"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4C306D9B"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78E99E02" w14:textId="77777777" w:rsidR="00515398" w:rsidRDefault="006711E6">
            <w:pPr>
              <w:pStyle w:val="P68B1DB1-Normal9"/>
              <w:spacing w:after="0" w:line="240" w:lineRule="auto"/>
              <w:rPr>
                <w:rFonts w:eastAsia="Times New Roman" w:cs="Calibri"/>
                <w:noProof/>
                <w:szCs w:val="18"/>
              </w:rPr>
            </w:pPr>
            <w:r>
              <w:rPr>
                <w:noProof/>
              </w:rPr>
              <w:t>ČTVRTLETÍ</w:t>
            </w:r>
          </w:p>
        </w:tc>
        <w:tc>
          <w:tcPr>
            <w:tcW w:w="690" w:type="dxa"/>
            <w:tcBorders>
              <w:top w:val="nil"/>
              <w:left w:val="nil"/>
              <w:bottom w:val="single" w:sz="4" w:space="0" w:color="auto"/>
              <w:right w:val="single" w:sz="4" w:space="0" w:color="auto"/>
            </w:tcBorders>
            <w:shd w:val="clear" w:color="auto" w:fill="C6EFCE"/>
            <w:noWrap/>
          </w:tcPr>
          <w:p w14:paraId="355FB69A" w14:textId="77777777" w:rsidR="00515398" w:rsidRDefault="006711E6">
            <w:pPr>
              <w:pStyle w:val="P68B1DB1-Normal9"/>
              <w:spacing w:after="0" w:line="240" w:lineRule="auto"/>
              <w:rPr>
                <w:rFonts w:eastAsia="Times New Roman" w:cs="Calibri"/>
                <w:noProof/>
                <w:szCs w:val="18"/>
              </w:rPr>
            </w:pPr>
            <w:r>
              <w:rPr>
                <w:noProof/>
              </w:rPr>
              <w:t>2023</w:t>
            </w:r>
          </w:p>
        </w:tc>
        <w:tc>
          <w:tcPr>
            <w:tcW w:w="5241" w:type="dxa"/>
            <w:tcBorders>
              <w:top w:val="nil"/>
              <w:left w:val="nil"/>
              <w:bottom w:val="single" w:sz="4" w:space="0" w:color="auto"/>
              <w:right w:val="single" w:sz="4" w:space="0" w:color="auto"/>
            </w:tcBorders>
            <w:shd w:val="clear" w:color="auto" w:fill="C6EFCE"/>
            <w:noWrap/>
          </w:tcPr>
          <w:p w14:paraId="33ECFFCC" w14:textId="77777777" w:rsidR="00515398" w:rsidRDefault="006711E6">
            <w:pPr>
              <w:pStyle w:val="P68B1DB1-Normal9"/>
              <w:spacing w:after="0" w:line="240" w:lineRule="auto"/>
              <w:rPr>
                <w:rFonts w:eastAsia="Times New Roman" w:cs="Calibri"/>
                <w:noProof/>
                <w:szCs w:val="18"/>
              </w:rPr>
            </w:pPr>
            <w:r>
              <w:rPr>
                <w:noProof/>
              </w:rPr>
              <w:t>Zakázky zadávané nejméně 2300 lokalitám zajišťujícím a) zlepšení bezpečnosti silničního provozu v rámci programu „Program zlepšení bezpečnosti si</w:t>
            </w:r>
            <w:r>
              <w:rPr>
                <w:noProof/>
              </w:rPr>
              <w:t>lničního provozu (PEVOA)“ na přibližně 7000 nebezpečných místech; b) drobná zlepšení pro zbytek 2 500 km</w:t>
            </w:r>
          </w:p>
        </w:tc>
      </w:tr>
      <w:tr w:rsidR="00515398" w14:paraId="70110F73" w14:textId="77777777">
        <w:trPr>
          <w:trHeight w:val="313"/>
        </w:trPr>
        <w:tc>
          <w:tcPr>
            <w:tcW w:w="1094" w:type="dxa"/>
            <w:tcBorders>
              <w:top w:val="nil"/>
              <w:left w:val="single" w:sz="4" w:space="0" w:color="auto"/>
              <w:bottom w:val="single" w:sz="4" w:space="0" w:color="auto"/>
              <w:right w:val="single" w:sz="4" w:space="0" w:color="auto"/>
            </w:tcBorders>
            <w:shd w:val="clear" w:color="auto" w:fill="C6EFCE"/>
            <w:noWrap/>
          </w:tcPr>
          <w:p w14:paraId="689B042F" w14:textId="77777777" w:rsidR="00515398" w:rsidRDefault="006711E6">
            <w:pPr>
              <w:pStyle w:val="P68B1DB1-Normal9"/>
              <w:spacing w:after="0" w:line="240" w:lineRule="auto"/>
              <w:rPr>
                <w:rFonts w:eastAsia="Times New Roman" w:cs="Calibri"/>
                <w:noProof/>
                <w:szCs w:val="18"/>
              </w:rPr>
            </w:pPr>
            <w:r>
              <w:rPr>
                <w:noProof/>
              </w:rPr>
              <w:t>258</w:t>
            </w:r>
          </w:p>
        </w:tc>
        <w:tc>
          <w:tcPr>
            <w:tcW w:w="1405" w:type="dxa"/>
            <w:tcBorders>
              <w:top w:val="nil"/>
              <w:left w:val="nil"/>
              <w:bottom w:val="single" w:sz="4" w:space="0" w:color="auto"/>
              <w:right w:val="single" w:sz="4" w:space="0" w:color="auto"/>
            </w:tcBorders>
            <w:shd w:val="clear" w:color="auto" w:fill="C6EFCE"/>
            <w:noWrap/>
          </w:tcPr>
          <w:p w14:paraId="1DFC5E16"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16631_Zlepšení bezpečnosti silničního provozu</w:t>
            </w:r>
          </w:p>
        </w:tc>
        <w:tc>
          <w:tcPr>
            <w:tcW w:w="1182" w:type="dxa"/>
            <w:tcBorders>
              <w:top w:val="nil"/>
              <w:left w:val="nil"/>
              <w:bottom w:val="single" w:sz="4" w:space="0" w:color="auto"/>
              <w:right w:val="single" w:sz="4" w:space="0" w:color="auto"/>
            </w:tcBorders>
            <w:shd w:val="clear" w:color="auto" w:fill="C6EFCE"/>
            <w:noWrap/>
          </w:tcPr>
          <w:p w14:paraId="75B231C1" w14:textId="77777777" w:rsidR="00515398" w:rsidRDefault="006711E6">
            <w:pPr>
              <w:pStyle w:val="P68B1DB1-Normal9"/>
              <w:spacing w:after="0" w:line="240" w:lineRule="auto"/>
              <w:rPr>
                <w:rFonts w:eastAsia="Times New Roman" w:cs="Calibri"/>
                <w:noProof/>
                <w:szCs w:val="18"/>
              </w:rPr>
            </w:pPr>
            <w:r>
              <w:rPr>
                <w:noProof/>
              </w:rPr>
              <w:t>Milník</w:t>
            </w:r>
          </w:p>
        </w:tc>
        <w:tc>
          <w:tcPr>
            <w:tcW w:w="1163" w:type="dxa"/>
            <w:tcBorders>
              <w:top w:val="nil"/>
              <w:left w:val="nil"/>
              <w:bottom w:val="single" w:sz="4" w:space="0" w:color="auto"/>
              <w:right w:val="single" w:sz="4" w:space="0" w:color="auto"/>
            </w:tcBorders>
            <w:shd w:val="clear" w:color="auto" w:fill="C6EFCE"/>
            <w:noWrap/>
          </w:tcPr>
          <w:p w14:paraId="502BA90E" w14:textId="77777777" w:rsidR="00515398" w:rsidRDefault="006711E6">
            <w:pPr>
              <w:pStyle w:val="P68B1DB1-Normal9"/>
              <w:spacing w:after="0" w:line="240" w:lineRule="auto"/>
              <w:rPr>
                <w:rFonts w:eastAsia="Times New Roman" w:cs="Calibri"/>
                <w:noProof/>
                <w:szCs w:val="18"/>
              </w:rPr>
            </w:pPr>
            <w:r>
              <w:rPr>
                <w:noProof/>
              </w:rPr>
              <w:t>Zadávání zakázek v</w:t>
            </w:r>
            <w:r>
              <w:rPr>
                <w:noProof/>
              </w:rPr>
              <w:t xml:space="preserve"> oblasti bezpečnosti silničního provozu – všechny zakázky</w:t>
            </w:r>
          </w:p>
        </w:tc>
        <w:tc>
          <w:tcPr>
            <w:tcW w:w="1559" w:type="dxa"/>
            <w:tcBorders>
              <w:top w:val="nil"/>
              <w:left w:val="nil"/>
              <w:bottom w:val="single" w:sz="4" w:space="0" w:color="auto"/>
              <w:right w:val="single" w:sz="4" w:space="0" w:color="auto"/>
            </w:tcBorders>
            <w:shd w:val="clear" w:color="auto" w:fill="C6EFCE"/>
            <w:noWrap/>
          </w:tcPr>
          <w:p w14:paraId="36016650" w14:textId="77777777" w:rsidR="00515398" w:rsidRDefault="006711E6">
            <w:pPr>
              <w:pStyle w:val="P68B1DB1-Normal9"/>
              <w:spacing w:after="0" w:line="240" w:lineRule="auto"/>
              <w:rPr>
                <w:rFonts w:eastAsia="Times New Roman" w:cs="Calibri"/>
                <w:noProof/>
                <w:szCs w:val="18"/>
              </w:rPr>
            </w:pPr>
            <w:r>
              <w:rPr>
                <w:noProof/>
              </w:rPr>
              <w:t>Oznámení o zadání 100 % zakázek</w:t>
            </w:r>
          </w:p>
        </w:tc>
        <w:tc>
          <w:tcPr>
            <w:tcW w:w="709" w:type="dxa"/>
            <w:tcBorders>
              <w:top w:val="nil"/>
              <w:left w:val="nil"/>
              <w:bottom w:val="single" w:sz="4" w:space="0" w:color="auto"/>
              <w:right w:val="single" w:sz="4" w:space="0" w:color="auto"/>
            </w:tcBorders>
            <w:shd w:val="clear" w:color="auto" w:fill="C6EFCE"/>
            <w:noWrap/>
          </w:tcPr>
          <w:p w14:paraId="6EBED7F0"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A6EF9F7"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E78423B"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6691D8E7" w14:textId="77777777" w:rsidR="00515398" w:rsidRDefault="006711E6">
            <w:pPr>
              <w:pStyle w:val="P68B1DB1-Normal9"/>
              <w:spacing w:after="0" w:line="240" w:lineRule="auto"/>
              <w:rPr>
                <w:rFonts w:eastAsia="Times New Roman" w:cs="Calibri"/>
                <w:noProof/>
                <w:szCs w:val="18"/>
              </w:rPr>
            </w:pPr>
            <w:r>
              <w:rPr>
                <w:noProof/>
              </w:rPr>
              <w:t>ČTVRTLETÍ</w:t>
            </w:r>
          </w:p>
        </w:tc>
        <w:tc>
          <w:tcPr>
            <w:tcW w:w="690" w:type="dxa"/>
            <w:tcBorders>
              <w:top w:val="nil"/>
              <w:left w:val="nil"/>
              <w:bottom w:val="single" w:sz="4" w:space="0" w:color="auto"/>
              <w:right w:val="single" w:sz="4" w:space="0" w:color="auto"/>
            </w:tcBorders>
            <w:shd w:val="clear" w:color="auto" w:fill="C6EFCE"/>
            <w:noWrap/>
          </w:tcPr>
          <w:p w14:paraId="043AFF59" w14:textId="77777777" w:rsidR="00515398" w:rsidRDefault="006711E6">
            <w:pPr>
              <w:pStyle w:val="P68B1DB1-Normal9"/>
              <w:spacing w:after="0" w:line="240" w:lineRule="auto"/>
              <w:rPr>
                <w:rFonts w:eastAsia="Times New Roman" w:cs="Calibri"/>
                <w:noProof/>
                <w:szCs w:val="18"/>
              </w:rPr>
            </w:pPr>
            <w:r>
              <w:rPr>
                <w:noProof/>
              </w:rPr>
              <w:t>2024</w:t>
            </w:r>
          </w:p>
        </w:tc>
        <w:tc>
          <w:tcPr>
            <w:tcW w:w="5241" w:type="dxa"/>
            <w:tcBorders>
              <w:top w:val="nil"/>
              <w:left w:val="nil"/>
              <w:bottom w:val="single" w:sz="4" w:space="0" w:color="auto"/>
              <w:right w:val="single" w:sz="4" w:space="0" w:color="auto"/>
            </w:tcBorders>
            <w:shd w:val="clear" w:color="auto" w:fill="C6EFCE"/>
            <w:noWrap/>
          </w:tcPr>
          <w:p w14:paraId="66629C3F" w14:textId="6436F9A2" w:rsidR="00515398" w:rsidRDefault="006711E6">
            <w:pPr>
              <w:pStyle w:val="P68B1DB1-Normal9"/>
              <w:spacing w:after="0" w:line="240" w:lineRule="auto"/>
              <w:rPr>
                <w:rFonts w:eastAsia="Times New Roman" w:cs="Calibri"/>
                <w:noProof/>
                <w:szCs w:val="18"/>
              </w:rPr>
            </w:pPr>
            <w:r>
              <w:rPr>
                <w:noProof/>
              </w:rPr>
              <w:t>Zakázky zadávané za účelem a) zlepšení bezpečnosti silničního provozu na nejméně 7780 nebezpečných místech; b) inteligentní osvětlovací infrastruktu</w:t>
            </w:r>
            <w:r>
              <w:rPr>
                <w:noProof/>
              </w:rPr>
              <w:t>ra pro 31938 sloupů</w:t>
            </w:r>
          </w:p>
        </w:tc>
      </w:tr>
      <w:tr w:rsidR="00515398" w14:paraId="59177803" w14:textId="77777777">
        <w:trPr>
          <w:trHeight w:val="313"/>
        </w:trPr>
        <w:tc>
          <w:tcPr>
            <w:tcW w:w="1094" w:type="dxa"/>
            <w:tcBorders>
              <w:top w:val="nil"/>
              <w:left w:val="single" w:sz="4" w:space="0" w:color="auto"/>
              <w:bottom w:val="single" w:sz="4" w:space="0" w:color="auto"/>
              <w:right w:val="single" w:sz="4" w:space="0" w:color="auto"/>
            </w:tcBorders>
            <w:shd w:val="clear" w:color="auto" w:fill="C6EFCE"/>
            <w:noWrap/>
            <w:hideMark/>
          </w:tcPr>
          <w:p w14:paraId="598AA490" w14:textId="77777777" w:rsidR="00515398" w:rsidRDefault="006711E6">
            <w:pPr>
              <w:pStyle w:val="P68B1DB1-Normal9"/>
              <w:spacing w:after="0" w:line="240" w:lineRule="auto"/>
              <w:rPr>
                <w:noProof/>
              </w:rPr>
            </w:pPr>
            <w:r>
              <w:rPr>
                <w:noProof/>
              </w:rPr>
              <w:t>259</w:t>
            </w:r>
          </w:p>
          <w:p w14:paraId="46F89B15" w14:textId="77777777" w:rsidR="00515398" w:rsidRDefault="00515398">
            <w:pPr>
              <w:rPr>
                <w:rFonts w:eastAsia="Times New Roman" w:cs="Calibri"/>
                <w:noProof/>
                <w:sz w:val="18"/>
                <w:szCs w:val="18"/>
              </w:rPr>
            </w:pPr>
          </w:p>
        </w:tc>
        <w:tc>
          <w:tcPr>
            <w:tcW w:w="1405" w:type="dxa"/>
            <w:tcBorders>
              <w:top w:val="nil"/>
              <w:left w:val="nil"/>
              <w:bottom w:val="single" w:sz="4" w:space="0" w:color="auto"/>
              <w:right w:val="single" w:sz="4" w:space="0" w:color="auto"/>
            </w:tcBorders>
            <w:shd w:val="clear" w:color="auto" w:fill="C6EFCE"/>
            <w:noWrap/>
            <w:hideMark/>
          </w:tcPr>
          <w:p w14:paraId="4A625D14" w14:textId="2C61BA44"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16631_Zlepšení bezpečnosti silničního provozu</w:t>
            </w:r>
          </w:p>
        </w:tc>
        <w:tc>
          <w:tcPr>
            <w:tcW w:w="1182" w:type="dxa"/>
            <w:tcBorders>
              <w:top w:val="nil"/>
              <w:left w:val="nil"/>
              <w:bottom w:val="single" w:sz="4" w:space="0" w:color="auto"/>
              <w:right w:val="single" w:sz="4" w:space="0" w:color="auto"/>
            </w:tcBorders>
            <w:shd w:val="clear" w:color="auto" w:fill="C6EFCE"/>
            <w:noWrap/>
            <w:hideMark/>
          </w:tcPr>
          <w:p w14:paraId="3A99AA0C" w14:textId="77777777" w:rsidR="00515398" w:rsidRDefault="006711E6">
            <w:pPr>
              <w:pStyle w:val="P68B1DB1-Normal9"/>
              <w:spacing w:after="0" w:line="240" w:lineRule="auto"/>
              <w:rPr>
                <w:rFonts w:eastAsia="Times New Roman" w:cs="Calibri"/>
                <w:noProof/>
                <w:szCs w:val="18"/>
              </w:rPr>
            </w:pPr>
            <w:r>
              <w:rPr>
                <w:noProof/>
              </w:rPr>
              <w:t>Milník</w:t>
            </w:r>
          </w:p>
        </w:tc>
        <w:tc>
          <w:tcPr>
            <w:tcW w:w="1163" w:type="dxa"/>
            <w:tcBorders>
              <w:top w:val="nil"/>
              <w:left w:val="nil"/>
              <w:bottom w:val="single" w:sz="4" w:space="0" w:color="auto"/>
              <w:right w:val="single" w:sz="4" w:space="0" w:color="auto"/>
            </w:tcBorders>
            <w:shd w:val="clear" w:color="auto" w:fill="C6EFCE"/>
            <w:noWrap/>
            <w:hideMark/>
          </w:tcPr>
          <w:p w14:paraId="341D69C6" w14:textId="77777777" w:rsidR="00515398" w:rsidRDefault="006711E6">
            <w:pPr>
              <w:pStyle w:val="P68B1DB1-Normal9"/>
              <w:spacing w:after="0" w:line="240" w:lineRule="auto"/>
              <w:rPr>
                <w:rFonts w:eastAsia="Times New Roman" w:cs="Calibri"/>
                <w:noProof/>
                <w:szCs w:val="18"/>
              </w:rPr>
            </w:pPr>
            <w:r>
              <w:rPr>
                <w:noProof/>
              </w:rPr>
              <w:t>Dokončení projektu bezpečnosti silničního provozu</w:t>
            </w:r>
          </w:p>
        </w:tc>
        <w:tc>
          <w:tcPr>
            <w:tcW w:w="1559" w:type="dxa"/>
            <w:tcBorders>
              <w:top w:val="nil"/>
              <w:left w:val="nil"/>
              <w:bottom w:val="single" w:sz="4" w:space="0" w:color="auto"/>
              <w:right w:val="single" w:sz="4" w:space="0" w:color="auto"/>
            </w:tcBorders>
            <w:shd w:val="clear" w:color="auto" w:fill="C6EFCE"/>
            <w:noWrap/>
            <w:hideMark/>
          </w:tcPr>
          <w:p w14:paraId="676F9B7B" w14:textId="070C1159" w:rsidR="00515398" w:rsidRDefault="006711E6">
            <w:pPr>
              <w:pStyle w:val="P68B1DB1-Normal9"/>
              <w:spacing w:after="0" w:line="240" w:lineRule="auto"/>
              <w:rPr>
                <w:rFonts w:eastAsia="Times New Roman" w:cs="Calibri"/>
                <w:noProof/>
                <w:szCs w:val="18"/>
                <w:highlight w:val="yellow"/>
              </w:rPr>
            </w:pPr>
            <w:r>
              <w:rPr>
                <w:noProof/>
              </w:rPr>
              <w:t>dokončení prací</w:t>
            </w:r>
          </w:p>
        </w:tc>
        <w:tc>
          <w:tcPr>
            <w:tcW w:w="709" w:type="dxa"/>
            <w:tcBorders>
              <w:top w:val="nil"/>
              <w:left w:val="nil"/>
              <w:bottom w:val="single" w:sz="4" w:space="0" w:color="auto"/>
              <w:right w:val="single" w:sz="4" w:space="0" w:color="auto"/>
            </w:tcBorders>
            <w:shd w:val="clear" w:color="auto" w:fill="C6EFCE"/>
            <w:noWrap/>
            <w:hideMark/>
          </w:tcPr>
          <w:p w14:paraId="3FACB39F"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5F73B0DA"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587" w:type="dxa"/>
            <w:tcBorders>
              <w:top w:val="nil"/>
              <w:left w:val="nil"/>
              <w:bottom w:val="single" w:sz="4" w:space="0" w:color="auto"/>
              <w:right w:val="single" w:sz="4" w:space="0" w:color="auto"/>
            </w:tcBorders>
            <w:shd w:val="clear" w:color="auto" w:fill="C6EFCE"/>
            <w:noWrap/>
            <w:hideMark/>
          </w:tcPr>
          <w:p w14:paraId="74549015"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46" w:type="dxa"/>
            <w:tcBorders>
              <w:top w:val="nil"/>
              <w:left w:val="nil"/>
              <w:bottom w:val="single" w:sz="4" w:space="0" w:color="auto"/>
              <w:right w:val="single" w:sz="4" w:space="0" w:color="auto"/>
            </w:tcBorders>
            <w:shd w:val="clear" w:color="auto" w:fill="C6EFCE"/>
            <w:noWrap/>
            <w:hideMark/>
          </w:tcPr>
          <w:p w14:paraId="6B285D41" w14:textId="77777777" w:rsidR="00515398" w:rsidRDefault="006711E6">
            <w:pPr>
              <w:pStyle w:val="P68B1DB1-Normal9"/>
              <w:spacing w:after="0" w:line="240" w:lineRule="auto"/>
              <w:rPr>
                <w:rFonts w:eastAsia="Times New Roman" w:cs="Calibri"/>
                <w:noProof/>
                <w:szCs w:val="18"/>
              </w:rPr>
            </w:pPr>
            <w:r>
              <w:rPr>
                <w:noProof/>
              </w:rPr>
              <w:t>ČTVRTLETÍ ČTVRT </w:t>
            </w:r>
          </w:p>
        </w:tc>
        <w:tc>
          <w:tcPr>
            <w:tcW w:w="690" w:type="dxa"/>
            <w:tcBorders>
              <w:top w:val="nil"/>
              <w:left w:val="nil"/>
              <w:bottom w:val="single" w:sz="4" w:space="0" w:color="auto"/>
              <w:right w:val="single" w:sz="4" w:space="0" w:color="auto"/>
            </w:tcBorders>
            <w:shd w:val="clear" w:color="auto" w:fill="C6EFCE"/>
            <w:noWrap/>
            <w:hideMark/>
          </w:tcPr>
          <w:p w14:paraId="068E688C" w14:textId="3C33992C" w:rsidR="00515398" w:rsidRDefault="006711E6">
            <w:pPr>
              <w:pStyle w:val="P68B1DB1-Normal9"/>
              <w:spacing w:after="0" w:line="240" w:lineRule="auto"/>
              <w:rPr>
                <w:rFonts w:eastAsia="Times New Roman" w:cs="Calibri"/>
                <w:noProof/>
                <w:szCs w:val="18"/>
              </w:rPr>
            </w:pPr>
            <w:r>
              <w:rPr>
                <w:noProof/>
              </w:rPr>
              <w:t>2025</w:t>
            </w:r>
          </w:p>
        </w:tc>
        <w:tc>
          <w:tcPr>
            <w:tcW w:w="5241" w:type="dxa"/>
            <w:tcBorders>
              <w:top w:val="nil"/>
              <w:left w:val="nil"/>
              <w:bottom w:val="single" w:sz="4" w:space="0" w:color="auto"/>
              <w:right w:val="single" w:sz="4" w:space="0" w:color="auto"/>
            </w:tcBorders>
            <w:shd w:val="clear" w:color="auto" w:fill="C6EFCE"/>
            <w:noWrap/>
            <w:hideMark/>
          </w:tcPr>
          <w:p w14:paraId="204D85EC" w14:textId="2B3D5E0D" w:rsidR="00515398" w:rsidRDefault="006711E6">
            <w:pPr>
              <w:pStyle w:val="P68B1DB1-Normal9"/>
              <w:spacing w:after="0" w:line="240" w:lineRule="auto"/>
              <w:rPr>
                <w:rFonts w:eastAsia="Times New Roman" w:cs="Calibri"/>
                <w:noProof/>
                <w:szCs w:val="18"/>
              </w:rPr>
            </w:pPr>
            <w:r>
              <w:rPr>
                <w:noProof/>
              </w:rPr>
              <w:t>Dokončení projektu a dosažení a) zlepšení bezpečnosti silničního provozu na nejméně 7780 nebezpečných místech; b) 31938 inteligentních LED osvětlovacích sloupů</w:t>
            </w:r>
          </w:p>
        </w:tc>
      </w:tr>
    </w:tbl>
    <w:p w14:paraId="7463FDA7" w14:textId="77777777" w:rsidR="00515398" w:rsidRDefault="006711E6">
      <w:pPr>
        <w:pStyle w:val="P68B1DB1-Normal6"/>
        <w:keepNext/>
        <w:keepLines/>
        <w:spacing w:before="240" w:after="240" w:line="240" w:lineRule="auto"/>
        <w:jc w:val="both"/>
        <w:outlineLvl w:val="4"/>
        <w:rPr>
          <w:rFonts w:eastAsia="Times New Roman"/>
          <w:noProof/>
        </w:rPr>
      </w:pPr>
      <w:r>
        <w:rPr>
          <w:noProof/>
        </w:rPr>
        <w:t>Nejvyšší investice 8: Severní dálnice v Cretanu (severní dálnice Cretan)</w:t>
      </w:r>
    </w:p>
    <w:tbl>
      <w:tblPr>
        <w:tblW w:w="15618" w:type="dxa"/>
        <w:jc w:val="center"/>
        <w:tblLook w:val="04A0" w:firstRow="1" w:lastRow="0" w:firstColumn="1" w:lastColumn="0" w:noHBand="0" w:noVBand="1"/>
      </w:tblPr>
      <w:tblGrid>
        <w:gridCol w:w="1129"/>
        <w:gridCol w:w="1314"/>
        <w:gridCol w:w="967"/>
        <w:gridCol w:w="1137"/>
        <w:gridCol w:w="1368"/>
        <w:gridCol w:w="1700"/>
        <w:gridCol w:w="1249"/>
        <w:gridCol w:w="838"/>
        <w:gridCol w:w="1233"/>
        <w:gridCol w:w="852"/>
        <w:gridCol w:w="3894"/>
      </w:tblGrid>
      <w:tr w:rsidR="00515398" w14:paraId="12E7C184" w14:textId="77777777">
        <w:trPr>
          <w:trHeight w:val="939"/>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06E575"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9D81AA"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40729"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1396C5"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8BEC77"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378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3FB7675"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2085" w:type="dxa"/>
            <w:gridSpan w:val="2"/>
            <w:tcBorders>
              <w:top w:val="single" w:sz="4" w:space="0" w:color="auto"/>
              <w:left w:val="nil"/>
              <w:bottom w:val="single" w:sz="4" w:space="0" w:color="auto"/>
              <w:right w:val="single" w:sz="4" w:space="0" w:color="auto"/>
            </w:tcBorders>
            <w:shd w:val="clear" w:color="auto" w:fill="BDD7EE"/>
            <w:vAlign w:val="center"/>
            <w:hideMark/>
          </w:tcPr>
          <w:p w14:paraId="10FC4F8E"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84C78A"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33F08BA6" w14:textId="77777777">
        <w:trPr>
          <w:trHeight w:val="431"/>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FF7AA43" w14:textId="77777777" w:rsidR="00515398" w:rsidRDefault="00515398">
            <w:pPr>
              <w:spacing w:after="0" w:line="240" w:lineRule="auto"/>
              <w:rPr>
                <w:rFonts w:ascii="Times New Roman" w:eastAsia="Times New Roman" w:hAnsi="Times New Roman" w:cs="Times New Roman"/>
                <w:b/>
                <w:bCs/>
                <w:noProof/>
                <w:sz w:val="18"/>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3B4BA6DB"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604CE338"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0B5B603" w14:textId="77777777" w:rsidR="00515398" w:rsidRDefault="00515398">
            <w:pPr>
              <w:spacing w:after="0" w:line="240" w:lineRule="auto"/>
              <w:rPr>
                <w:rFonts w:ascii="Times New Roman" w:eastAsia="Times New Roman" w:hAnsi="Times New Roman" w:cs="Times New Roman"/>
                <w:b/>
                <w:bCs/>
                <w:noProof/>
                <w:sz w:val="18"/>
                <w:szCs w:val="18"/>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56143C53" w14:textId="77777777" w:rsidR="00515398" w:rsidRDefault="00515398">
            <w:pPr>
              <w:spacing w:after="0" w:line="240" w:lineRule="auto"/>
              <w:rPr>
                <w:rFonts w:ascii="Times New Roman" w:eastAsia="Times New Roman" w:hAnsi="Times New Roman" w:cs="Times New Roman"/>
                <w:b/>
                <w:bCs/>
                <w:noProof/>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15B0E93"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1249" w:type="dxa"/>
            <w:tcBorders>
              <w:top w:val="nil"/>
              <w:left w:val="nil"/>
              <w:bottom w:val="single" w:sz="4" w:space="0" w:color="auto"/>
              <w:right w:val="single" w:sz="4" w:space="0" w:color="auto"/>
            </w:tcBorders>
            <w:shd w:val="clear" w:color="auto" w:fill="BDD7EE"/>
            <w:vAlign w:val="center"/>
            <w:hideMark/>
          </w:tcPr>
          <w:p w14:paraId="7D4AFB36"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838" w:type="dxa"/>
            <w:tcBorders>
              <w:top w:val="nil"/>
              <w:left w:val="nil"/>
              <w:bottom w:val="single" w:sz="4" w:space="0" w:color="auto"/>
              <w:right w:val="single" w:sz="4" w:space="0" w:color="auto"/>
            </w:tcBorders>
            <w:shd w:val="clear" w:color="auto" w:fill="BDD7EE"/>
            <w:vAlign w:val="center"/>
            <w:hideMark/>
          </w:tcPr>
          <w:p w14:paraId="40943057"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1233" w:type="dxa"/>
            <w:tcBorders>
              <w:top w:val="nil"/>
              <w:left w:val="nil"/>
              <w:bottom w:val="single" w:sz="4" w:space="0" w:color="auto"/>
              <w:right w:val="single" w:sz="4" w:space="0" w:color="auto"/>
            </w:tcBorders>
            <w:shd w:val="clear" w:color="auto" w:fill="BDD7EE"/>
            <w:vAlign w:val="center"/>
            <w:hideMark/>
          </w:tcPr>
          <w:p w14:paraId="100F5ED6"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852" w:type="dxa"/>
            <w:tcBorders>
              <w:top w:val="nil"/>
              <w:left w:val="nil"/>
              <w:bottom w:val="single" w:sz="4" w:space="0" w:color="auto"/>
              <w:right w:val="single" w:sz="4" w:space="0" w:color="auto"/>
            </w:tcBorders>
            <w:shd w:val="clear" w:color="auto" w:fill="BDD7EE"/>
            <w:vAlign w:val="center"/>
            <w:hideMark/>
          </w:tcPr>
          <w:p w14:paraId="38B5FA6E"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3894" w:type="dxa"/>
            <w:vMerge/>
            <w:tcBorders>
              <w:top w:val="single" w:sz="4" w:space="0" w:color="auto"/>
              <w:bottom w:val="single" w:sz="4" w:space="0" w:color="auto"/>
              <w:right w:val="single" w:sz="4" w:space="0" w:color="auto"/>
            </w:tcBorders>
            <w:vAlign w:val="center"/>
            <w:hideMark/>
          </w:tcPr>
          <w:p w14:paraId="38551AC3"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31D253DB" w14:textId="77777777">
        <w:trPr>
          <w:trHeight w:val="2161"/>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E2A2CDB" w14:textId="77777777" w:rsidR="00515398" w:rsidRDefault="006711E6">
            <w:pPr>
              <w:pStyle w:val="P68B1DB1-Normal9"/>
              <w:spacing w:after="0" w:line="240" w:lineRule="auto"/>
              <w:rPr>
                <w:rFonts w:eastAsia="Times New Roman" w:cs="Calibri"/>
                <w:noProof/>
                <w:szCs w:val="18"/>
              </w:rPr>
            </w:pPr>
            <w:r>
              <w:rPr>
                <w:noProof/>
              </w:rPr>
              <w:t>260</w:t>
            </w:r>
          </w:p>
        </w:tc>
        <w:tc>
          <w:tcPr>
            <w:tcW w:w="1252" w:type="dxa"/>
            <w:tcBorders>
              <w:top w:val="single" w:sz="4" w:space="0" w:color="auto"/>
              <w:left w:val="nil"/>
              <w:bottom w:val="single" w:sz="4" w:space="0" w:color="auto"/>
              <w:right w:val="single" w:sz="4" w:space="0" w:color="auto"/>
            </w:tcBorders>
            <w:shd w:val="clear" w:color="auto" w:fill="C6EFCE"/>
            <w:noWrap/>
          </w:tcPr>
          <w:p w14:paraId="2307A753"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16630_Severní dálnice Krétánu</w:t>
            </w:r>
          </w:p>
        </w:tc>
        <w:tc>
          <w:tcPr>
            <w:tcW w:w="966" w:type="dxa"/>
            <w:tcBorders>
              <w:top w:val="single" w:sz="4" w:space="0" w:color="auto"/>
              <w:left w:val="nil"/>
              <w:bottom w:val="single" w:sz="4" w:space="0" w:color="auto"/>
              <w:right w:val="single" w:sz="4" w:space="0" w:color="auto"/>
            </w:tcBorders>
            <w:shd w:val="clear" w:color="auto" w:fill="C6EFCE"/>
            <w:noWrap/>
          </w:tcPr>
          <w:p w14:paraId="77AAE5DA" w14:textId="77777777" w:rsidR="00515398" w:rsidRDefault="006711E6">
            <w:pPr>
              <w:pStyle w:val="P68B1DB1-Normal9"/>
              <w:spacing w:after="0" w:line="240" w:lineRule="auto"/>
              <w:rPr>
                <w:rFonts w:eastAsia="Times New Roman" w:cs="Calibri"/>
                <w:noProof/>
                <w:szCs w:val="18"/>
              </w:rPr>
            </w:pPr>
            <w:r>
              <w:rPr>
                <w:noProof/>
              </w:rPr>
              <w:t>Milník</w:t>
            </w:r>
          </w:p>
        </w:tc>
        <w:tc>
          <w:tcPr>
            <w:tcW w:w="1137" w:type="dxa"/>
            <w:tcBorders>
              <w:top w:val="single" w:sz="4" w:space="0" w:color="auto"/>
              <w:left w:val="nil"/>
              <w:bottom w:val="single" w:sz="4" w:space="0" w:color="auto"/>
              <w:right w:val="single" w:sz="4" w:space="0" w:color="auto"/>
            </w:tcBorders>
            <w:shd w:val="clear" w:color="auto" w:fill="C6EFCE"/>
            <w:noWrap/>
          </w:tcPr>
          <w:p w14:paraId="7240E011" w14:textId="77777777" w:rsidR="00515398" w:rsidRDefault="006711E6">
            <w:pPr>
              <w:pStyle w:val="P68B1DB1-Normal9"/>
              <w:spacing w:after="0" w:line="240" w:lineRule="auto"/>
              <w:rPr>
                <w:rFonts w:eastAsia="Times New Roman" w:cs="Calibri"/>
                <w:noProof/>
                <w:szCs w:val="18"/>
              </w:rPr>
            </w:pPr>
            <w:r>
              <w:rPr>
                <w:noProof/>
              </w:rPr>
              <w:t>Oznámení o zadání zakázek na tři dílčí projekty BOAK</w:t>
            </w:r>
          </w:p>
        </w:tc>
        <w:tc>
          <w:tcPr>
            <w:tcW w:w="1368" w:type="dxa"/>
            <w:tcBorders>
              <w:top w:val="single" w:sz="4" w:space="0" w:color="auto"/>
              <w:left w:val="nil"/>
              <w:bottom w:val="single" w:sz="4" w:space="0" w:color="auto"/>
              <w:right w:val="single" w:sz="4" w:space="0" w:color="auto"/>
            </w:tcBorders>
            <w:shd w:val="clear" w:color="auto" w:fill="C6EFCE"/>
            <w:noWrap/>
          </w:tcPr>
          <w:p w14:paraId="3DE0E064" w14:textId="77777777" w:rsidR="00515398" w:rsidRDefault="006711E6">
            <w:pPr>
              <w:pStyle w:val="P68B1DB1-Normal9"/>
              <w:spacing w:after="0" w:line="240" w:lineRule="auto"/>
              <w:rPr>
                <w:rFonts w:eastAsia="Times New Roman" w:cs="Calibri"/>
                <w:noProof/>
                <w:szCs w:val="18"/>
              </w:rPr>
            </w:pPr>
            <w:r>
              <w:rPr>
                <w:noProof/>
              </w:rPr>
              <w:t>Oznámení o zadání zakázek</w:t>
            </w:r>
          </w:p>
        </w:tc>
        <w:tc>
          <w:tcPr>
            <w:tcW w:w="1700" w:type="dxa"/>
            <w:tcBorders>
              <w:top w:val="single" w:sz="4" w:space="0" w:color="auto"/>
              <w:left w:val="nil"/>
              <w:bottom w:val="single" w:sz="4" w:space="0" w:color="auto"/>
              <w:right w:val="single" w:sz="4" w:space="0" w:color="auto"/>
            </w:tcBorders>
            <w:shd w:val="clear" w:color="auto" w:fill="C6EFCE"/>
            <w:noWrap/>
          </w:tcPr>
          <w:p w14:paraId="770D2BAD" w14:textId="77777777" w:rsidR="00515398" w:rsidRDefault="00515398">
            <w:pPr>
              <w:spacing w:after="0" w:line="240" w:lineRule="auto"/>
              <w:rPr>
                <w:rFonts w:eastAsia="Times New Roman" w:cs="Calibri"/>
                <w:noProof/>
                <w:color w:val="006100"/>
                <w:sz w:val="18"/>
                <w:szCs w:val="18"/>
              </w:rPr>
            </w:pPr>
          </w:p>
        </w:tc>
        <w:tc>
          <w:tcPr>
            <w:tcW w:w="1249" w:type="dxa"/>
            <w:tcBorders>
              <w:top w:val="nil"/>
              <w:left w:val="nil"/>
              <w:bottom w:val="single" w:sz="4" w:space="0" w:color="auto"/>
              <w:right w:val="single" w:sz="4" w:space="0" w:color="auto"/>
            </w:tcBorders>
            <w:shd w:val="clear" w:color="auto" w:fill="C6EFCE"/>
            <w:noWrap/>
          </w:tcPr>
          <w:p w14:paraId="4F517366" w14:textId="77777777" w:rsidR="00515398" w:rsidRDefault="00515398">
            <w:pPr>
              <w:spacing w:after="0" w:line="240" w:lineRule="auto"/>
              <w:rPr>
                <w:rFonts w:eastAsia="Times New Roman" w:cs="Calibri"/>
                <w:noProof/>
                <w:color w:val="006100"/>
                <w:sz w:val="18"/>
                <w:szCs w:val="18"/>
              </w:rPr>
            </w:pPr>
          </w:p>
        </w:tc>
        <w:tc>
          <w:tcPr>
            <w:tcW w:w="838" w:type="dxa"/>
            <w:tcBorders>
              <w:top w:val="nil"/>
              <w:left w:val="nil"/>
              <w:bottom w:val="single" w:sz="4" w:space="0" w:color="auto"/>
              <w:right w:val="single" w:sz="4" w:space="0" w:color="auto"/>
            </w:tcBorders>
            <w:shd w:val="clear" w:color="auto" w:fill="C6EFCE"/>
            <w:noWrap/>
          </w:tcPr>
          <w:p w14:paraId="02C4EB19" w14:textId="77777777" w:rsidR="00515398" w:rsidRDefault="00515398">
            <w:pPr>
              <w:spacing w:after="0" w:line="240" w:lineRule="auto"/>
              <w:rPr>
                <w:rFonts w:eastAsia="Times New Roman" w:cs="Calibri"/>
                <w:noProof/>
                <w:color w:val="006100"/>
                <w:sz w:val="18"/>
                <w:szCs w:val="18"/>
              </w:rPr>
            </w:pPr>
          </w:p>
        </w:tc>
        <w:tc>
          <w:tcPr>
            <w:tcW w:w="1233" w:type="dxa"/>
            <w:tcBorders>
              <w:top w:val="nil"/>
              <w:left w:val="nil"/>
              <w:bottom w:val="single" w:sz="4" w:space="0" w:color="auto"/>
              <w:right w:val="single" w:sz="4" w:space="0" w:color="auto"/>
            </w:tcBorders>
            <w:shd w:val="clear" w:color="auto" w:fill="C6EFCE"/>
            <w:noWrap/>
          </w:tcPr>
          <w:p w14:paraId="577BC5CB" w14:textId="77777777" w:rsidR="00515398" w:rsidRDefault="006711E6">
            <w:pPr>
              <w:pStyle w:val="P68B1DB1-Normal9"/>
              <w:spacing w:after="0" w:line="240" w:lineRule="auto"/>
              <w:rPr>
                <w:rFonts w:eastAsia="Times New Roman" w:cs="Calibri"/>
                <w:noProof/>
                <w:szCs w:val="18"/>
              </w:rPr>
            </w:pPr>
            <w:r>
              <w:rPr>
                <w:noProof/>
              </w:rPr>
              <w:t>ČTVRTLETÍ</w:t>
            </w:r>
          </w:p>
        </w:tc>
        <w:tc>
          <w:tcPr>
            <w:tcW w:w="852" w:type="dxa"/>
            <w:tcBorders>
              <w:top w:val="nil"/>
              <w:left w:val="nil"/>
              <w:bottom w:val="single" w:sz="4" w:space="0" w:color="auto"/>
              <w:right w:val="single" w:sz="4" w:space="0" w:color="auto"/>
            </w:tcBorders>
            <w:shd w:val="clear" w:color="auto" w:fill="C6EFCE"/>
            <w:noWrap/>
          </w:tcPr>
          <w:p w14:paraId="425FE0EE" w14:textId="77777777" w:rsidR="00515398" w:rsidRDefault="006711E6">
            <w:pPr>
              <w:pStyle w:val="P68B1DB1-Normal9"/>
              <w:spacing w:after="0" w:line="240" w:lineRule="auto"/>
              <w:rPr>
                <w:rFonts w:eastAsia="Times New Roman" w:cs="Calibri"/>
                <w:noProof/>
                <w:szCs w:val="18"/>
              </w:rPr>
            </w:pPr>
            <w:r>
              <w:rPr>
                <w:noProof/>
              </w:rPr>
              <w:t>2023</w:t>
            </w:r>
          </w:p>
        </w:tc>
        <w:tc>
          <w:tcPr>
            <w:tcW w:w="3894" w:type="dxa"/>
            <w:tcBorders>
              <w:top w:val="single" w:sz="4" w:space="0" w:color="auto"/>
              <w:left w:val="nil"/>
              <w:bottom w:val="single" w:sz="4" w:space="0" w:color="auto"/>
              <w:right w:val="single" w:sz="4" w:space="0" w:color="auto"/>
            </w:tcBorders>
            <w:shd w:val="clear" w:color="auto" w:fill="C6EFCE"/>
            <w:noWrap/>
          </w:tcPr>
          <w:p w14:paraId="7344CF51" w14:textId="77777777" w:rsidR="00515398" w:rsidRDefault="006711E6">
            <w:pPr>
              <w:pStyle w:val="P68B1DB1-Normal9"/>
              <w:spacing w:after="0" w:line="240" w:lineRule="auto"/>
              <w:rPr>
                <w:rFonts w:eastAsia="Times New Roman" w:cs="Calibri"/>
                <w:noProof/>
                <w:szCs w:val="18"/>
              </w:rPr>
            </w:pPr>
            <w:r>
              <w:rPr>
                <w:noProof/>
              </w:rPr>
              <w:t xml:space="preserve">Oznámení o zadání zakázek na a) koncesní </w:t>
            </w:r>
            <w:r>
              <w:rPr>
                <w:noProof/>
              </w:rPr>
              <w:t>smlouvu; b) partnerství veřejného a soukromého sektoru; a c) veřejné práce.</w:t>
            </w:r>
          </w:p>
        </w:tc>
      </w:tr>
      <w:tr w:rsidR="00515398" w14:paraId="44F500C6" w14:textId="77777777">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hideMark/>
          </w:tcPr>
          <w:p w14:paraId="36C610C6" w14:textId="77777777" w:rsidR="00515398" w:rsidRDefault="006711E6">
            <w:pPr>
              <w:pStyle w:val="P68B1DB1-Normal9"/>
              <w:spacing w:after="0" w:line="240" w:lineRule="auto"/>
              <w:rPr>
                <w:rFonts w:eastAsia="Times New Roman" w:cs="Calibri"/>
                <w:noProof/>
                <w:szCs w:val="18"/>
              </w:rPr>
            </w:pPr>
            <w:r>
              <w:rPr>
                <w:noProof/>
              </w:rPr>
              <w:t>262</w:t>
            </w:r>
          </w:p>
        </w:tc>
        <w:tc>
          <w:tcPr>
            <w:tcW w:w="1252" w:type="dxa"/>
            <w:tcBorders>
              <w:top w:val="nil"/>
              <w:left w:val="nil"/>
              <w:bottom w:val="single" w:sz="4" w:space="0" w:color="auto"/>
              <w:right w:val="single" w:sz="4" w:space="0" w:color="auto"/>
            </w:tcBorders>
            <w:shd w:val="clear" w:color="auto" w:fill="C6EFCE"/>
            <w:noWrap/>
            <w:hideMark/>
          </w:tcPr>
          <w:p w14:paraId="677E4CDA"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16630_Severní dálnice Krétánu</w:t>
            </w:r>
          </w:p>
        </w:tc>
        <w:tc>
          <w:tcPr>
            <w:tcW w:w="966" w:type="dxa"/>
            <w:tcBorders>
              <w:top w:val="nil"/>
              <w:left w:val="nil"/>
              <w:bottom w:val="single" w:sz="4" w:space="0" w:color="auto"/>
              <w:right w:val="single" w:sz="4" w:space="0" w:color="auto"/>
            </w:tcBorders>
            <w:shd w:val="clear" w:color="auto" w:fill="C6EFCE"/>
            <w:noWrap/>
            <w:hideMark/>
          </w:tcPr>
          <w:p w14:paraId="735727A0" w14:textId="77777777" w:rsidR="00515398" w:rsidRDefault="006711E6">
            <w:pPr>
              <w:pStyle w:val="P68B1DB1-Normal9"/>
              <w:spacing w:after="0" w:line="240" w:lineRule="auto"/>
              <w:rPr>
                <w:rFonts w:eastAsia="Times New Roman" w:cs="Calibri"/>
                <w:noProof/>
                <w:szCs w:val="18"/>
              </w:rPr>
            </w:pPr>
            <w:r>
              <w:rPr>
                <w:noProof/>
              </w:rPr>
              <w:t>Milník</w:t>
            </w:r>
          </w:p>
        </w:tc>
        <w:tc>
          <w:tcPr>
            <w:tcW w:w="1137" w:type="dxa"/>
            <w:tcBorders>
              <w:top w:val="nil"/>
              <w:left w:val="nil"/>
              <w:bottom w:val="single" w:sz="4" w:space="0" w:color="auto"/>
              <w:right w:val="single" w:sz="4" w:space="0" w:color="auto"/>
            </w:tcBorders>
            <w:shd w:val="clear" w:color="auto" w:fill="C6EFCE"/>
            <w:noWrap/>
            <w:hideMark/>
          </w:tcPr>
          <w:p w14:paraId="71981C8F" w14:textId="77777777" w:rsidR="00515398" w:rsidRDefault="006711E6">
            <w:pPr>
              <w:pStyle w:val="P68B1DB1-Normal9"/>
              <w:spacing w:after="0" w:line="240" w:lineRule="auto"/>
              <w:rPr>
                <w:rFonts w:eastAsia="Times New Roman" w:cs="Calibri"/>
                <w:noProof/>
                <w:szCs w:val="18"/>
              </w:rPr>
            </w:pPr>
            <w:r>
              <w:rPr>
                <w:noProof/>
              </w:rPr>
              <w:t>Dokončení projektu BOAK</w:t>
            </w:r>
          </w:p>
        </w:tc>
        <w:tc>
          <w:tcPr>
            <w:tcW w:w="1368" w:type="dxa"/>
            <w:tcBorders>
              <w:top w:val="nil"/>
              <w:left w:val="nil"/>
              <w:bottom w:val="single" w:sz="4" w:space="0" w:color="auto"/>
              <w:right w:val="single" w:sz="4" w:space="0" w:color="auto"/>
            </w:tcBorders>
            <w:shd w:val="clear" w:color="auto" w:fill="C6EFCE"/>
            <w:noWrap/>
            <w:hideMark/>
          </w:tcPr>
          <w:p w14:paraId="738C8877" w14:textId="00630969" w:rsidR="00515398" w:rsidRDefault="006711E6">
            <w:pPr>
              <w:pStyle w:val="P68B1DB1-Normal9"/>
              <w:spacing w:after="0" w:line="240" w:lineRule="auto"/>
              <w:rPr>
                <w:rFonts w:eastAsia="Times New Roman" w:cs="Calibri"/>
                <w:noProof/>
                <w:szCs w:val="18"/>
              </w:rPr>
            </w:pPr>
            <w:r>
              <w:rPr>
                <w:noProof/>
              </w:rPr>
              <w:t xml:space="preserve">Dokončení prací </w:t>
            </w:r>
          </w:p>
        </w:tc>
        <w:tc>
          <w:tcPr>
            <w:tcW w:w="1700" w:type="dxa"/>
            <w:tcBorders>
              <w:top w:val="nil"/>
              <w:left w:val="nil"/>
              <w:bottom w:val="single" w:sz="4" w:space="0" w:color="auto"/>
              <w:right w:val="single" w:sz="4" w:space="0" w:color="auto"/>
            </w:tcBorders>
            <w:shd w:val="clear" w:color="auto" w:fill="C6EFCE"/>
            <w:noWrap/>
            <w:hideMark/>
          </w:tcPr>
          <w:p w14:paraId="715C3A6F" w14:textId="77777777" w:rsidR="00515398" w:rsidRDefault="00515398">
            <w:pPr>
              <w:spacing w:after="0" w:line="240" w:lineRule="auto"/>
              <w:rPr>
                <w:rFonts w:eastAsia="Times New Roman" w:cs="Calibri"/>
                <w:noProof/>
                <w:color w:val="006100"/>
                <w:sz w:val="18"/>
                <w:szCs w:val="18"/>
              </w:rPr>
            </w:pPr>
          </w:p>
        </w:tc>
        <w:tc>
          <w:tcPr>
            <w:tcW w:w="1249" w:type="dxa"/>
            <w:tcBorders>
              <w:top w:val="nil"/>
              <w:left w:val="nil"/>
              <w:bottom w:val="single" w:sz="4" w:space="0" w:color="auto"/>
              <w:right w:val="single" w:sz="4" w:space="0" w:color="auto"/>
            </w:tcBorders>
            <w:shd w:val="clear" w:color="auto" w:fill="C6EFCE"/>
            <w:noWrap/>
            <w:hideMark/>
          </w:tcPr>
          <w:p w14:paraId="7A3AA23E" w14:textId="77777777" w:rsidR="00515398" w:rsidRDefault="00515398">
            <w:pPr>
              <w:spacing w:after="0" w:line="240" w:lineRule="auto"/>
              <w:rPr>
                <w:rFonts w:eastAsia="Times New Roman" w:cs="Calibri"/>
                <w:noProof/>
                <w:color w:val="006100"/>
                <w:sz w:val="18"/>
                <w:szCs w:val="18"/>
              </w:rPr>
            </w:pPr>
          </w:p>
        </w:tc>
        <w:tc>
          <w:tcPr>
            <w:tcW w:w="838" w:type="dxa"/>
            <w:tcBorders>
              <w:top w:val="nil"/>
              <w:left w:val="nil"/>
              <w:bottom w:val="single" w:sz="4" w:space="0" w:color="auto"/>
              <w:right w:val="single" w:sz="4" w:space="0" w:color="auto"/>
            </w:tcBorders>
            <w:shd w:val="clear" w:color="auto" w:fill="C6EFCE"/>
            <w:noWrap/>
            <w:hideMark/>
          </w:tcPr>
          <w:p w14:paraId="366F1059" w14:textId="77777777" w:rsidR="00515398" w:rsidRDefault="00515398">
            <w:pPr>
              <w:spacing w:after="0" w:line="240" w:lineRule="auto"/>
              <w:rPr>
                <w:rFonts w:eastAsia="Times New Roman" w:cs="Calibri"/>
                <w:noProof/>
                <w:color w:val="006100"/>
                <w:sz w:val="18"/>
                <w:szCs w:val="18"/>
              </w:rPr>
            </w:pPr>
          </w:p>
        </w:tc>
        <w:tc>
          <w:tcPr>
            <w:tcW w:w="1233" w:type="dxa"/>
            <w:tcBorders>
              <w:top w:val="nil"/>
              <w:left w:val="nil"/>
              <w:bottom w:val="single" w:sz="4" w:space="0" w:color="auto"/>
              <w:right w:val="single" w:sz="4" w:space="0" w:color="auto"/>
            </w:tcBorders>
            <w:shd w:val="clear" w:color="auto" w:fill="C6EFCE"/>
            <w:noWrap/>
            <w:hideMark/>
          </w:tcPr>
          <w:p w14:paraId="5DD2E87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2" w:type="dxa"/>
            <w:tcBorders>
              <w:top w:val="nil"/>
              <w:left w:val="nil"/>
              <w:bottom w:val="single" w:sz="4" w:space="0" w:color="auto"/>
              <w:right w:val="single" w:sz="4" w:space="0" w:color="auto"/>
            </w:tcBorders>
            <w:shd w:val="clear" w:color="auto" w:fill="C6EFCE"/>
            <w:noWrap/>
            <w:hideMark/>
          </w:tcPr>
          <w:p w14:paraId="7F2E1285" w14:textId="77777777" w:rsidR="00515398" w:rsidRDefault="006711E6">
            <w:pPr>
              <w:pStyle w:val="P68B1DB1-Normal9"/>
              <w:spacing w:after="0" w:line="240" w:lineRule="auto"/>
              <w:rPr>
                <w:rFonts w:eastAsia="Times New Roman" w:cs="Calibri"/>
                <w:noProof/>
                <w:szCs w:val="18"/>
              </w:rPr>
            </w:pPr>
            <w:r>
              <w:rPr>
                <w:noProof/>
              </w:rPr>
              <w:t>2025</w:t>
            </w:r>
          </w:p>
        </w:tc>
        <w:tc>
          <w:tcPr>
            <w:tcW w:w="3894" w:type="dxa"/>
            <w:tcBorders>
              <w:top w:val="nil"/>
              <w:left w:val="nil"/>
              <w:bottom w:val="single" w:sz="4" w:space="0" w:color="auto"/>
              <w:right w:val="single" w:sz="4" w:space="0" w:color="auto"/>
            </w:tcBorders>
            <w:shd w:val="clear" w:color="auto" w:fill="C6EFCE"/>
            <w:noWrap/>
            <w:hideMark/>
          </w:tcPr>
          <w:p w14:paraId="228EA264" w14:textId="726CA8A1" w:rsidR="00515398" w:rsidRDefault="006711E6">
            <w:pPr>
              <w:spacing w:after="0" w:line="240" w:lineRule="auto"/>
              <w:rPr>
                <w:noProof/>
                <w:color w:val="006100"/>
                <w:sz w:val="18"/>
                <w:szCs w:val="18"/>
              </w:rPr>
            </w:pPr>
            <w:r>
              <w:rPr>
                <w:noProof/>
                <w:color w:val="006100"/>
                <w:sz w:val="18"/>
                <w:szCs w:val="18"/>
              </w:rPr>
              <w:t>Dílčí projekt č. 3: (Neapolis-Agios Nikolaos) dokončen a v provozu. Druhý dílčí projekt: (Hersonisos – Neapolis) dokončení:</w:t>
            </w:r>
            <w:r>
              <w:rPr>
                <w:noProof/>
              </w:rPr>
              <w:t xml:space="preserve"> </w:t>
            </w:r>
            <w:r>
              <w:rPr>
                <w:noProof/>
                <w:color w:val="006100"/>
                <w:sz w:val="18"/>
                <w:szCs w:val="18"/>
              </w:rPr>
              <w:t>všechny návrhy a šetření pro dílčí projekt,</w:t>
            </w:r>
          </w:p>
          <w:p w14:paraId="54F88BD3" w14:textId="54403DDF" w:rsidR="00515398" w:rsidRDefault="006711E6">
            <w:pPr>
              <w:spacing w:after="0" w:line="240" w:lineRule="auto"/>
              <w:rPr>
                <w:noProof/>
                <w:color w:val="006100"/>
                <w:sz w:val="18"/>
                <w:szCs w:val="18"/>
              </w:rPr>
            </w:pPr>
            <w:r>
              <w:rPr>
                <w:noProof/>
                <w:color w:val="006100"/>
                <w:sz w:val="18"/>
                <w:szCs w:val="18"/>
              </w:rPr>
              <w:t>a)</w:t>
            </w:r>
            <w:r>
              <w:rPr>
                <w:noProof/>
              </w:rPr>
              <w:t xml:space="preserve"> </w:t>
            </w:r>
            <w:r>
              <w:rPr>
                <w:noProof/>
                <w:color w:val="006100"/>
                <w:sz w:val="18"/>
                <w:szCs w:val="18"/>
              </w:rPr>
              <w:t xml:space="preserve">Fáze A a fáze B výkopových prací a dočasných podpůrných prací tunelů T1 a T2 </w:t>
            </w:r>
          </w:p>
          <w:p w14:paraId="3323D14A" w14:textId="4732C176" w:rsidR="00515398" w:rsidRDefault="006711E6">
            <w:pPr>
              <w:spacing w:after="0" w:line="240" w:lineRule="auto"/>
              <w:rPr>
                <w:noProof/>
                <w:color w:val="006100"/>
                <w:sz w:val="18"/>
                <w:szCs w:val="18"/>
              </w:rPr>
            </w:pPr>
            <w:r>
              <w:rPr>
                <w:noProof/>
                <w:color w:val="006100"/>
                <w:sz w:val="18"/>
                <w:szCs w:val="18"/>
              </w:rPr>
              <w:t>b)</w:t>
            </w:r>
            <w:r>
              <w:rPr>
                <w:noProof/>
              </w:rPr>
              <w:t xml:space="preserve"> </w:t>
            </w:r>
            <w:r>
              <w:rPr>
                <w:noProof/>
                <w:color w:val="006100"/>
                <w:sz w:val="18"/>
                <w:szCs w:val="18"/>
              </w:rPr>
              <w:t>most C6. .</w:t>
            </w:r>
          </w:p>
          <w:p w14:paraId="258975F9" w14:textId="4D8E1E20" w:rsidR="00515398" w:rsidRDefault="006711E6">
            <w:pPr>
              <w:pStyle w:val="P68B1DB1-Normal10"/>
              <w:spacing w:after="0" w:line="240" w:lineRule="auto"/>
              <w:rPr>
                <w:rFonts w:eastAsia="Times New Roman" w:cs="Calibri"/>
                <w:noProof/>
              </w:rPr>
            </w:pPr>
            <w:r>
              <w:rPr>
                <w:noProof/>
              </w:rPr>
              <w:t> U prvního dílčího projektu (Chania-Heraklion) musí být dokončeny tyto práce:</w:t>
            </w:r>
          </w:p>
          <w:p w14:paraId="257F9C76" w14:textId="77777777" w:rsidR="00515398" w:rsidRDefault="00515398">
            <w:pPr>
              <w:spacing w:after="0" w:line="240" w:lineRule="auto"/>
              <w:rPr>
                <w:rFonts w:eastAsia="Times New Roman" w:cs="Calibri"/>
                <w:noProof/>
                <w:color w:val="006100"/>
                <w:sz w:val="18"/>
                <w:szCs w:val="18"/>
              </w:rPr>
            </w:pPr>
          </w:p>
          <w:p w14:paraId="60FF9C11" w14:textId="5FD571A6" w:rsidR="00515398" w:rsidRDefault="006711E6">
            <w:pPr>
              <w:pStyle w:val="P68B1DB1-Normal10"/>
              <w:spacing w:after="0" w:line="240" w:lineRule="auto"/>
              <w:rPr>
                <w:noProof/>
              </w:rPr>
            </w:pPr>
            <w:r>
              <w:rPr>
                <w:noProof/>
              </w:rPr>
              <w:t>1. Všechny práce ve stávajících průchodech s výjimkou elektromechanických instalací (např. sloupy dálkového osvětlení, reflexní značení, napájecí kabely):</w:t>
            </w:r>
          </w:p>
          <w:p w14:paraId="49131A68" w14:textId="511703A6" w:rsidR="00515398" w:rsidRDefault="006711E6">
            <w:pPr>
              <w:pStyle w:val="P68B1DB1-Normal10"/>
              <w:spacing w:after="0" w:line="240" w:lineRule="auto"/>
              <w:rPr>
                <w:noProof/>
              </w:rPr>
            </w:pPr>
            <w:r>
              <w:rPr>
                <w:noProof/>
              </w:rPr>
              <w:t xml:space="preserve">a) Chania </w:t>
            </w:r>
            <w:r>
              <w:rPr>
                <w:noProof/>
              </w:rPr>
              <w:t>Bypass (1Y,2Y), délka úseků: 8,0 km,</w:t>
            </w:r>
          </w:p>
          <w:p w14:paraId="7CE8E6A3" w14:textId="70C926C9" w:rsidR="00515398" w:rsidRDefault="006711E6">
            <w:pPr>
              <w:pStyle w:val="P68B1DB1-Normal10"/>
              <w:spacing w:after="0" w:line="240" w:lineRule="auto"/>
              <w:rPr>
                <w:noProof/>
              </w:rPr>
            </w:pPr>
            <w:r>
              <w:rPr>
                <w:noProof/>
              </w:rPr>
              <w:t xml:space="preserve">b) Rethymnon Bypass (10Y,11Y), délka úseků: 6,8 km a </w:t>
            </w:r>
          </w:p>
          <w:p w14:paraId="0DE4F9C6" w14:textId="2F297E1E" w:rsidR="00515398" w:rsidRDefault="006711E6">
            <w:pPr>
              <w:pStyle w:val="P68B1DB1-Normal10"/>
              <w:spacing w:after="0" w:line="240" w:lineRule="auto"/>
              <w:rPr>
                <w:noProof/>
              </w:rPr>
            </w:pPr>
            <w:r>
              <w:rPr>
                <w:noProof/>
              </w:rPr>
              <w:t xml:space="preserve">C) Heraklion Bypass (23Y), délka průřezu: 8,5 km. </w:t>
            </w:r>
          </w:p>
          <w:p w14:paraId="244ECC77" w14:textId="3FA05BC1" w:rsidR="00515398" w:rsidRDefault="006711E6">
            <w:pPr>
              <w:pStyle w:val="P68B1DB1-Normal10"/>
              <w:spacing w:after="0" w:line="240" w:lineRule="auto"/>
              <w:rPr>
                <w:noProof/>
              </w:rPr>
            </w:pPr>
            <w:r>
              <w:rPr>
                <w:noProof/>
              </w:rPr>
              <w:t>Práce v zeměpisné jednotce 23Y nezahrnují výstavbu tunelu Kako Oros.</w:t>
            </w:r>
          </w:p>
          <w:p w14:paraId="7E06B928" w14:textId="12900405" w:rsidR="00515398" w:rsidRDefault="006711E6">
            <w:pPr>
              <w:pStyle w:val="P68B1DB1-Normal10"/>
              <w:spacing w:after="0" w:line="240" w:lineRule="auto"/>
              <w:rPr>
                <w:noProof/>
              </w:rPr>
            </w:pPr>
            <w:r>
              <w:rPr>
                <w:noProof/>
              </w:rPr>
              <w:t xml:space="preserve">2. Výkopové práce a dočasné podpůrné práce v </w:t>
            </w:r>
            <w:r>
              <w:rPr>
                <w:noProof/>
              </w:rPr>
              <w:t>celkové délce 600 m v tunelu T1 (oddíl Souda – Vřízky, pododdíl 4N, I/C Plataniou – I/C Východní Apteros).</w:t>
            </w:r>
          </w:p>
          <w:p w14:paraId="52AC6F3B" w14:textId="65AAABFB" w:rsidR="00515398" w:rsidRDefault="006711E6">
            <w:pPr>
              <w:pStyle w:val="P68B1DB1-Normal10"/>
              <w:spacing w:after="0" w:line="240" w:lineRule="auto"/>
              <w:rPr>
                <w:noProof/>
              </w:rPr>
            </w:pPr>
            <w:r>
              <w:rPr>
                <w:noProof/>
              </w:rPr>
              <w:t>3. Zásahy v oblasti bezpečnosti silničního provozu ve 280 lokalitách.</w:t>
            </w:r>
          </w:p>
          <w:p w14:paraId="63E0DFC2" w14:textId="2AF55575" w:rsidR="00515398" w:rsidRDefault="00515398">
            <w:pPr>
              <w:spacing w:after="0" w:line="240" w:lineRule="auto"/>
              <w:rPr>
                <w:rFonts w:eastAsia="Times New Roman" w:cs="Calibri"/>
                <w:noProof/>
                <w:color w:val="006100"/>
                <w:sz w:val="18"/>
                <w:szCs w:val="18"/>
              </w:rPr>
            </w:pPr>
          </w:p>
        </w:tc>
      </w:tr>
    </w:tbl>
    <w:p w14:paraId="6C9A29C7" w14:textId="327ECE26" w:rsidR="00515398" w:rsidRDefault="00515398">
      <w:pPr>
        <w:spacing w:before="120" w:after="0" w:line="240" w:lineRule="auto"/>
        <w:jc w:val="both"/>
        <w:rPr>
          <w:rFonts w:ascii="Times New Roman" w:hAnsi="Times New Roman" w:cs="Times New Roman"/>
          <w:noProof/>
          <w:sz w:val="24"/>
        </w:rPr>
      </w:pPr>
    </w:p>
    <w:p w14:paraId="45B767A3" w14:textId="77777777" w:rsidR="00515398" w:rsidRDefault="006711E6">
      <w:pPr>
        <w:pStyle w:val="P68B1DB1-Normal18"/>
        <w:rPr>
          <w:noProof/>
        </w:rPr>
      </w:pPr>
      <w:r>
        <w:rPr>
          <w:noProof/>
        </w:rPr>
        <w:br w:type="page"/>
      </w:r>
    </w:p>
    <w:p w14:paraId="65A9B05E"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24: Infrastruktura</w:t>
      </w:r>
    </w:p>
    <w:p w14:paraId="39DFE59C" w14:textId="77777777" w:rsidR="00515398" w:rsidRDefault="00515398">
      <w:pPr>
        <w:spacing w:before="120" w:after="0" w:line="240" w:lineRule="auto"/>
        <w:jc w:val="both"/>
        <w:rPr>
          <w:rFonts w:ascii="Times New Roman" w:hAnsi="Times New Roman" w:cs="Times New Roman"/>
          <w:noProof/>
          <w:sz w:val="24"/>
        </w:rPr>
      </w:pPr>
    </w:p>
    <w:p w14:paraId="5D7854E2" w14:textId="77777777" w:rsidR="00515398" w:rsidRDefault="006711E6">
      <w:pPr>
        <w:pStyle w:val="P68B1DB1-Normal42"/>
        <w:spacing w:after="0" w:line="240" w:lineRule="auto"/>
        <w:rPr>
          <w:rFonts w:cs="Times New Roman"/>
          <w:noProof/>
          <w:sz w:val="28"/>
          <w:szCs w:val="28"/>
        </w:rPr>
      </w:pPr>
      <w:r>
        <w:rPr>
          <w:noProof/>
        </w:rPr>
        <w:t>Podskupina 1 (digitální transformace)</w:t>
      </w:r>
    </w:p>
    <w:p w14:paraId="6C5D3951" w14:textId="77777777" w:rsidR="00515398" w:rsidRDefault="006711E6">
      <w:pPr>
        <w:pStyle w:val="P68B1DB1-Normal37"/>
        <w:numPr>
          <w:ilvl w:val="0"/>
          <w:numId w:val="32"/>
        </w:numPr>
        <w:spacing w:before="120" w:after="0" w:line="240" w:lineRule="auto"/>
        <w:jc w:val="both"/>
        <w:rPr>
          <w:rFonts w:cs="Times New Roman"/>
          <w:noProof/>
        </w:rPr>
      </w:pPr>
      <w:r>
        <w:rPr>
          <w:noProof/>
        </w:rPr>
        <w:t>Inteligentní infrastruktura se zaměřením na životní prostředí a kulturu (ID: 16960)</w:t>
      </w:r>
    </w:p>
    <w:p w14:paraId="4F6CC2C0" w14:textId="77777777" w:rsidR="00515398" w:rsidRDefault="006711E6">
      <w:pPr>
        <w:pStyle w:val="P68B1DB1-Normal37"/>
        <w:numPr>
          <w:ilvl w:val="0"/>
          <w:numId w:val="32"/>
        </w:numPr>
        <w:spacing w:before="120" w:after="0" w:line="240" w:lineRule="auto"/>
        <w:jc w:val="both"/>
        <w:rPr>
          <w:rFonts w:cs="Times New Roman"/>
          <w:noProof/>
        </w:rPr>
      </w:pPr>
      <w:r>
        <w:rPr>
          <w:noProof/>
        </w:rPr>
        <w:t>Inteligentní mosty (ID: 16949)</w:t>
      </w:r>
    </w:p>
    <w:p w14:paraId="1A781000" w14:textId="77777777" w:rsidR="00515398" w:rsidRDefault="006711E6">
      <w:pPr>
        <w:pStyle w:val="P68B1DB1-Normal37"/>
        <w:numPr>
          <w:ilvl w:val="0"/>
          <w:numId w:val="32"/>
        </w:numPr>
        <w:spacing w:before="120" w:after="0" w:line="240" w:lineRule="auto"/>
        <w:ind w:left="714" w:hanging="357"/>
        <w:jc w:val="both"/>
        <w:rPr>
          <w:rFonts w:cs="Times New Roman"/>
          <w:noProof/>
        </w:rPr>
      </w:pPr>
      <w:r>
        <w:rPr>
          <w:noProof/>
        </w:rPr>
        <w:t>Zjednodušení postupů Ministerstva infrastruktury a dopravy (ID: 16786)</w:t>
      </w:r>
    </w:p>
    <w:p w14:paraId="0B0A9816" w14:textId="77777777" w:rsidR="00515398" w:rsidRDefault="006711E6">
      <w:pPr>
        <w:pStyle w:val="P68B1DB1-Normal37"/>
        <w:numPr>
          <w:ilvl w:val="0"/>
          <w:numId w:val="32"/>
        </w:numPr>
        <w:spacing w:before="120" w:after="120" w:line="240" w:lineRule="auto"/>
        <w:jc w:val="both"/>
        <w:rPr>
          <w:rFonts w:cs="Times New Roman"/>
          <w:noProof/>
        </w:rPr>
      </w:pPr>
      <w:r>
        <w:rPr>
          <w:noProof/>
        </w:rPr>
        <w:t>Digitální integrovaný systém řízení programů pro správu technických pr</w:t>
      </w:r>
      <w:r>
        <w:rPr>
          <w:noProof/>
        </w:rPr>
        <w:t>ací a strukturálních prostředků Ministerstva infrastruktury a dopravy (ID:16937)</w:t>
      </w:r>
    </w:p>
    <w:p w14:paraId="30792D6E" w14:textId="77777777" w:rsidR="00515398" w:rsidRDefault="006711E6">
      <w:pPr>
        <w:pStyle w:val="P68B1DB1-Normal42"/>
        <w:spacing w:after="0" w:line="240" w:lineRule="auto"/>
        <w:rPr>
          <w:rFonts w:cs="Times New Roman"/>
          <w:noProof/>
          <w:sz w:val="28"/>
          <w:szCs w:val="28"/>
        </w:rPr>
      </w:pPr>
      <w:r>
        <w:rPr>
          <w:noProof/>
        </w:rPr>
        <w:t>Podskupina 2 (železnice a letiště)</w:t>
      </w:r>
    </w:p>
    <w:p w14:paraId="33D09999" w14:textId="77777777" w:rsidR="00515398" w:rsidRDefault="006711E6">
      <w:pPr>
        <w:pStyle w:val="P68B1DB1-Normal37"/>
        <w:numPr>
          <w:ilvl w:val="0"/>
          <w:numId w:val="33"/>
        </w:numPr>
        <w:spacing w:before="120" w:after="0" w:line="240" w:lineRule="auto"/>
        <w:jc w:val="both"/>
        <w:rPr>
          <w:rFonts w:cs="Times New Roman"/>
          <w:noProof/>
        </w:rPr>
      </w:pPr>
      <w:r>
        <w:rPr>
          <w:noProof/>
        </w:rPr>
        <w:t>Obnova přístupnosti v důsledku ničivých účinků bouře „DANIEL“ (opatření ID 16999)</w:t>
      </w:r>
    </w:p>
    <w:p w14:paraId="64A144BE" w14:textId="77777777" w:rsidR="00515398" w:rsidRDefault="006711E6">
      <w:pPr>
        <w:pStyle w:val="P68B1DB1-Normal37"/>
        <w:numPr>
          <w:ilvl w:val="0"/>
          <w:numId w:val="33"/>
        </w:numPr>
        <w:spacing w:before="120" w:after="0" w:line="240" w:lineRule="auto"/>
        <w:jc w:val="both"/>
        <w:rPr>
          <w:rFonts w:cs="Times New Roman"/>
          <w:noProof/>
        </w:rPr>
      </w:pPr>
      <w:r>
        <w:rPr>
          <w:noProof/>
        </w:rPr>
        <w:t>Organizační reforma v železničním odvětví (ID: 16982)</w:t>
      </w:r>
    </w:p>
    <w:p w14:paraId="19D715C7" w14:textId="77777777" w:rsidR="00515398" w:rsidRDefault="006711E6">
      <w:pPr>
        <w:pStyle w:val="P68B1DB1-Normal37"/>
        <w:numPr>
          <w:ilvl w:val="0"/>
          <w:numId w:val="33"/>
        </w:numPr>
        <w:spacing w:before="120" w:after="0" w:line="240" w:lineRule="auto"/>
        <w:jc w:val="both"/>
        <w:rPr>
          <w:rFonts w:cs="Times New Roman"/>
          <w:noProof/>
        </w:rPr>
      </w:pPr>
      <w:r>
        <w:rPr>
          <w:noProof/>
        </w:rPr>
        <w:t>Digi</w:t>
      </w:r>
      <w:r>
        <w:rPr>
          <w:noProof/>
        </w:rPr>
        <w:t>tální transformace řecké organizace pro železnice (ID: 16959)</w:t>
      </w:r>
    </w:p>
    <w:p w14:paraId="6B6B2438" w14:textId="77777777" w:rsidR="00515398" w:rsidRDefault="006711E6">
      <w:pPr>
        <w:pStyle w:val="P68B1DB1-Normal37"/>
        <w:numPr>
          <w:ilvl w:val="0"/>
          <w:numId w:val="33"/>
        </w:numPr>
        <w:spacing w:before="120" w:after="0" w:line="240" w:lineRule="auto"/>
        <w:jc w:val="both"/>
        <w:rPr>
          <w:rFonts w:cs="Times New Roman"/>
          <w:noProof/>
        </w:rPr>
      </w:pPr>
      <w:r>
        <w:rPr>
          <w:noProof/>
        </w:rPr>
        <w:t>Modernizace příměstské železnice Západní Attiky (ID: 16892)</w:t>
      </w:r>
    </w:p>
    <w:p w14:paraId="085969A4" w14:textId="77777777" w:rsidR="00515398" w:rsidRDefault="006711E6">
      <w:pPr>
        <w:pStyle w:val="P68B1DB1-Normal37"/>
        <w:numPr>
          <w:ilvl w:val="0"/>
          <w:numId w:val="33"/>
        </w:numPr>
        <w:spacing w:before="120" w:after="0" w:line="240" w:lineRule="auto"/>
        <w:jc w:val="both"/>
        <w:rPr>
          <w:rFonts w:cs="Times New Roman"/>
          <w:noProof/>
        </w:rPr>
      </w:pPr>
      <w:r>
        <w:rPr>
          <w:noProof/>
        </w:rPr>
        <w:t>Program agentury EASA pro zajištění souladu (ID: 16833)</w:t>
      </w:r>
    </w:p>
    <w:p w14:paraId="69365E44" w14:textId="77777777" w:rsidR="00515398" w:rsidRDefault="00515398">
      <w:pPr>
        <w:spacing w:before="120" w:after="0" w:line="240" w:lineRule="auto"/>
        <w:jc w:val="both"/>
        <w:rPr>
          <w:rFonts w:ascii="Times New Roman" w:hAnsi="Times New Roman" w:cs="Times New Roman"/>
          <w:noProof/>
        </w:rPr>
      </w:pPr>
    </w:p>
    <w:tbl>
      <w:tblPr>
        <w:tblW w:w="16013" w:type="dxa"/>
        <w:jc w:val="center"/>
        <w:tblLook w:val="04A0" w:firstRow="1" w:lastRow="0" w:firstColumn="1" w:lastColumn="0" w:noHBand="0" w:noVBand="1"/>
      </w:tblPr>
      <w:tblGrid>
        <w:gridCol w:w="1027"/>
        <w:gridCol w:w="2229"/>
        <w:gridCol w:w="1134"/>
        <w:gridCol w:w="1842"/>
        <w:gridCol w:w="2127"/>
        <w:gridCol w:w="992"/>
        <w:gridCol w:w="857"/>
        <w:gridCol w:w="844"/>
        <w:gridCol w:w="984"/>
        <w:gridCol w:w="713"/>
        <w:gridCol w:w="3402"/>
      </w:tblGrid>
      <w:tr w:rsidR="00515398" w14:paraId="19C7DB0C" w14:textId="77777777">
        <w:trPr>
          <w:trHeight w:val="65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CB3E8D"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2B9DFC"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(reforma nebo investice)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58A291"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615C3D"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1C2F2F"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E4AD931"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187B2118"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B14599"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02B87BC3" w14:textId="77777777">
        <w:trPr>
          <w:trHeight w:val="701"/>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32B1462" w14:textId="77777777" w:rsidR="00515398" w:rsidRDefault="00515398">
            <w:pPr>
              <w:spacing w:after="0" w:line="240" w:lineRule="auto"/>
              <w:rPr>
                <w:rFonts w:ascii="Times New Roman" w:eastAsia="Times New Roman" w:hAnsi="Times New Roman" w:cs="Times New Roman"/>
                <w:b/>
                <w:bCs/>
                <w:noProof/>
                <w:sz w:val="18"/>
                <w:szCs w:val="18"/>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46B9AFD8"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9BCCCE" w14:textId="77777777" w:rsidR="00515398" w:rsidRDefault="00515398">
            <w:pPr>
              <w:spacing w:after="0" w:line="240" w:lineRule="auto"/>
              <w:rPr>
                <w:rFonts w:ascii="Times New Roman" w:eastAsia="Times New Roman" w:hAnsi="Times New Roman" w:cs="Times New Roman"/>
                <w:b/>
                <w:bCs/>
                <w:noProof/>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0CE4C8" w14:textId="77777777" w:rsidR="00515398" w:rsidRDefault="00515398">
            <w:pPr>
              <w:spacing w:after="0" w:line="240" w:lineRule="auto"/>
              <w:rPr>
                <w:rFonts w:ascii="Times New Roman" w:eastAsia="Times New Roman" w:hAnsi="Times New Roman" w:cs="Times New Roman"/>
                <w:b/>
                <w:bCs/>
                <w:noProof/>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9B1C6B6" w14:textId="77777777" w:rsidR="00515398" w:rsidRDefault="00515398">
            <w:pPr>
              <w:spacing w:after="0" w:line="240" w:lineRule="auto"/>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4213032"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842E692"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84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9946B45"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84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DE4160C"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7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22EBE59"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3402" w:type="dxa"/>
            <w:vMerge/>
            <w:tcBorders>
              <w:top w:val="single" w:sz="4" w:space="0" w:color="auto"/>
              <w:bottom w:val="single" w:sz="4" w:space="0" w:color="auto"/>
              <w:right w:val="single" w:sz="4" w:space="0" w:color="auto"/>
            </w:tcBorders>
            <w:vAlign w:val="center"/>
            <w:hideMark/>
          </w:tcPr>
          <w:p w14:paraId="46493D10"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0313E29F"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A709F5C" w14:textId="77777777" w:rsidR="00515398" w:rsidRDefault="006711E6">
            <w:pPr>
              <w:pStyle w:val="P68B1DB1-Normal9"/>
              <w:spacing w:after="0" w:line="240" w:lineRule="auto"/>
              <w:rPr>
                <w:rFonts w:eastAsia="Times New Roman" w:cs="Calibri"/>
                <w:noProof/>
                <w:szCs w:val="18"/>
              </w:rPr>
            </w:pPr>
            <w:r>
              <w:rPr>
                <w:noProof/>
              </w:rPr>
              <w:t>263</w:t>
            </w:r>
          </w:p>
        </w:tc>
        <w:tc>
          <w:tcPr>
            <w:tcW w:w="2229" w:type="dxa"/>
            <w:tcBorders>
              <w:top w:val="single" w:sz="4" w:space="0" w:color="auto"/>
              <w:left w:val="nil"/>
              <w:bottom w:val="single" w:sz="4" w:space="0" w:color="auto"/>
              <w:right w:val="single" w:sz="4" w:space="0" w:color="auto"/>
            </w:tcBorders>
            <w:shd w:val="clear" w:color="auto" w:fill="C6EFCE"/>
            <w:noWrap/>
          </w:tcPr>
          <w:p w14:paraId="4D9E7D1E"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w:t>
            </w:r>
            <w:r>
              <w:rPr>
                <w:noProof/>
              </w:rPr>
              <w:t>hospodářských odvětví – 16982_Organizační reforma v odvětví železniční dopravy</w:t>
            </w:r>
          </w:p>
        </w:tc>
        <w:tc>
          <w:tcPr>
            <w:tcW w:w="1134" w:type="dxa"/>
            <w:tcBorders>
              <w:top w:val="single" w:sz="4" w:space="0" w:color="auto"/>
              <w:left w:val="nil"/>
              <w:bottom w:val="single" w:sz="4" w:space="0" w:color="auto"/>
              <w:right w:val="single" w:sz="4" w:space="0" w:color="auto"/>
            </w:tcBorders>
            <w:shd w:val="clear" w:color="auto" w:fill="C6EFCE"/>
            <w:noWrap/>
          </w:tcPr>
          <w:p w14:paraId="5432B9A5"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3908CF4D" w14:textId="77777777" w:rsidR="00515398" w:rsidRDefault="006711E6">
            <w:pPr>
              <w:pStyle w:val="P68B1DB1-Normal9"/>
              <w:spacing w:after="0" w:line="240" w:lineRule="auto"/>
              <w:rPr>
                <w:rFonts w:eastAsia="Times New Roman" w:cs="Calibri"/>
                <w:noProof/>
                <w:szCs w:val="18"/>
              </w:rPr>
            </w:pPr>
            <w:r>
              <w:rPr>
                <w:noProof/>
              </w:rPr>
              <w:t>Plán reformy železnic</w:t>
            </w:r>
          </w:p>
        </w:tc>
        <w:tc>
          <w:tcPr>
            <w:tcW w:w="2127" w:type="dxa"/>
            <w:tcBorders>
              <w:top w:val="single" w:sz="4" w:space="0" w:color="auto"/>
              <w:left w:val="nil"/>
              <w:bottom w:val="single" w:sz="4" w:space="0" w:color="auto"/>
              <w:right w:val="single" w:sz="4" w:space="0" w:color="auto"/>
            </w:tcBorders>
            <w:shd w:val="clear" w:color="auto" w:fill="C6EFCE"/>
            <w:noWrap/>
          </w:tcPr>
          <w:p w14:paraId="22058714" w14:textId="77777777" w:rsidR="00515398" w:rsidRDefault="006711E6">
            <w:pPr>
              <w:pStyle w:val="P68B1DB1-Normal9"/>
              <w:spacing w:after="0" w:line="240" w:lineRule="auto"/>
              <w:rPr>
                <w:rFonts w:eastAsia="Times New Roman" w:cs="Calibri"/>
                <w:noProof/>
                <w:szCs w:val="18"/>
              </w:rPr>
            </w:pPr>
            <w:r>
              <w:rPr>
                <w:noProof/>
              </w:rPr>
              <w:t>Plán provádění</w:t>
            </w:r>
          </w:p>
        </w:tc>
        <w:tc>
          <w:tcPr>
            <w:tcW w:w="992" w:type="dxa"/>
            <w:tcBorders>
              <w:top w:val="single" w:sz="4" w:space="0" w:color="auto"/>
              <w:left w:val="nil"/>
              <w:bottom w:val="single" w:sz="4" w:space="0" w:color="auto"/>
              <w:right w:val="single" w:sz="4" w:space="0" w:color="auto"/>
            </w:tcBorders>
            <w:shd w:val="clear" w:color="auto" w:fill="C6EFCE"/>
            <w:noWrap/>
          </w:tcPr>
          <w:p w14:paraId="491BD664"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BFCA926"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36F1E315"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8A17305" w14:textId="77777777" w:rsidR="00515398" w:rsidRDefault="006711E6">
            <w:pPr>
              <w:pStyle w:val="P68B1DB1-Normal9"/>
              <w:spacing w:after="0" w:line="240" w:lineRule="auto"/>
              <w:rPr>
                <w:rFonts w:eastAsia="Times New Roman" w:cs="Calibri"/>
                <w:noProof/>
                <w:szCs w:val="18"/>
              </w:rPr>
            </w:pPr>
            <w:r>
              <w:rPr>
                <w:noProof/>
              </w:rPr>
              <w:t>ČTVRTLETÍ 3</w:t>
            </w:r>
          </w:p>
        </w:tc>
        <w:tc>
          <w:tcPr>
            <w:tcW w:w="713" w:type="dxa"/>
            <w:tcBorders>
              <w:top w:val="single" w:sz="4" w:space="0" w:color="auto"/>
              <w:left w:val="nil"/>
              <w:bottom w:val="single" w:sz="4" w:space="0" w:color="auto"/>
              <w:right w:val="single" w:sz="4" w:space="0" w:color="auto"/>
            </w:tcBorders>
            <w:shd w:val="clear" w:color="auto" w:fill="C6EFCE"/>
            <w:noWrap/>
          </w:tcPr>
          <w:p w14:paraId="64C67136" w14:textId="77777777" w:rsidR="00515398" w:rsidRDefault="006711E6">
            <w:pPr>
              <w:pStyle w:val="P68B1DB1-Normal9"/>
              <w:spacing w:after="0" w:line="240" w:lineRule="auto"/>
              <w:rPr>
                <w:rFonts w:eastAsia="Times New Roman" w:cs="Calibri"/>
                <w:noProof/>
                <w:szCs w:val="18"/>
              </w:rPr>
            </w:pPr>
            <w:r>
              <w:rPr>
                <w:noProof/>
              </w:rPr>
              <w:t>2021</w:t>
            </w:r>
          </w:p>
        </w:tc>
        <w:tc>
          <w:tcPr>
            <w:tcW w:w="3402" w:type="dxa"/>
            <w:tcBorders>
              <w:top w:val="single" w:sz="4" w:space="0" w:color="auto"/>
              <w:left w:val="nil"/>
              <w:bottom w:val="single" w:sz="4" w:space="0" w:color="auto"/>
              <w:right w:val="single" w:sz="4" w:space="0" w:color="auto"/>
            </w:tcBorders>
            <w:shd w:val="clear" w:color="auto" w:fill="C6EFCE"/>
            <w:noWrap/>
          </w:tcPr>
          <w:p w14:paraId="2BF22220" w14:textId="77777777" w:rsidR="00515398" w:rsidRDefault="006711E6">
            <w:pPr>
              <w:pStyle w:val="P68B1DB1-Normal9"/>
              <w:spacing w:after="0" w:line="240" w:lineRule="auto"/>
              <w:rPr>
                <w:rFonts w:eastAsia="Times New Roman" w:cs="Calibri"/>
                <w:noProof/>
                <w:szCs w:val="18"/>
              </w:rPr>
            </w:pPr>
            <w:r>
              <w:rPr>
                <w:noProof/>
              </w:rPr>
              <w:t>Podskupina dvě: Příprava plánu s kroky k úplné reorganizaci společností OSE a ERGOSE.</w:t>
            </w:r>
          </w:p>
        </w:tc>
      </w:tr>
      <w:tr w:rsidR="00515398" w14:paraId="70A09876"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2CE99BB2" w14:textId="77777777" w:rsidR="00515398" w:rsidRDefault="006711E6">
            <w:pPr>
              <w:pStyle w:val="P68B1DB1-Normal9"/>
              <w:spacing w:after="0" w:line="240" w:lineRule="auto"/>
              <w:rPr>
                <w:rFonts w:eastAsia="Times New Roman" w:cs="Calibri"/>
                <w:noProof/>
                <w:szCs w:val="18"/>
              </w:rPr>
            </w:pPr>
            <w:r>
              <w:rPr>
                <w:noProof/>
              </w:rPr>
              <w:t>264</w:t>
            </w:r>
          </w:p>
        </w:tc>
        <w:tc>
          <w:tcPr>
            <w:tcW w:w="2229" w:type="dxa"/>
            <w:tcBorders>
              <w:top w:val="nil"/>
              <w:left w:val="nil"/>
              <w:bottom w:val="single" w:sz="4" w:space="0" w:color="auto"/>
              <w:right w:val="single" w:sz="4" w:space="0" w:color="auto"/>
            </w:tcBorders>
            <w:shd w:val="clear" w:color="auto" w:fill="C6EFCE"/>
            <w:noWrap/>
          </w:tcPr>
          <w:p w14:paraId="1906BC68" w14:textId="77777777" w:rsidR="00515398" w:rsidRDefault="006711E6">
            <w:pPr>
              <w:pStyle w:val="P68B1DB1-Normal9"/>
              <w:spacing w:after="0" w:line="240" w:lineRule="auto"/>
              <w:rPr>
                <w:rFonts w:eastAsia="Times New Roman" w:cs="Calibri"/>
                <w:noProof/>
                <w:szCs w:val="18"/>
              </w:rPr>
            </w:pPr>
            <w:r>
              <w:rPr>
                <w:noProof/>
              </w:rPr>
              <w:t xml:space="preserve">17–4.6. Modernizace a </w:t>
            </w:r>
            <w:r>
              <w:rPr>
                <w:noProof/>
              </w:rPr>
              <w:t>zlepšení odolnosti klíčových hospodářských odvětví – 16982_Organizační reforma v odvětví železniční dopravy</w:t>
            </w:r>
          </w:p>
        </w:tc>
        <w:tc>
          <w:tcPr>
            <w:tcW w:w="1134" w:type="dxa"/>
            <w:tcBorders>
              <w:top w:val="nil"/>
              <w:left w:val="nil"/>
              <w:bottom w:val="single" w:sz="4" w:space="0" w:color="auto"/>
              <w:right w:val="single" w:sz="4" w:space="0" w:color="auto"/>
            </w:tcBorders>
            <w:shd w:val="clear" w:color="auto" w:fill="C6EFCE"/>
            <w:noWrap/>
          </w:tcPr>
          <w:p w14:paraId="3276A9DD"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nil"/>
              <w:left w:val="nil"/>
              <w:bottom w:val="single" w:sz="4" w:space="0" w:color="auto"/>
              <w:right w:val="single" w:sz="4" w:space="0" w:color="auto"/>
            </w:tcBorders>
            <w:shd w:val="clear" w:color="auto" w:fill="C6EFCE"/>
            <w:noWrap/>
          </w:tcPr>
          <w:p w14:paraId="0D5F5316" w14:textId="77777777" w:rsidR="00515398" w:rsidRDefault="006711E6">
            <w:pPr>
              <w:pStyle w:val="P68B1DB1-Normal9"/>
              <w:spacing w:after="0" w:line="240" w:lineRule="auto"/>
              <w:rPr>
                <w:rFonts w:eastAsia="Times New Roman" w:cs="Calibri"/>
                <w:noProof/>
                <w:szCs w:val="18"/>
              </w:rPr>
            </w:pPr>
            <w:r>
              <w:rPr>
                <w:noProof/>
              </w:rPr>
              <w:t>Zákon o reformě železnic</w:t>
            </w:r>
          </w:p>
        </w:tc>
        <w:tc>
          <w:tcPr>
            <w:tcW w:w="2127" w:type="dxa"/>
            <w:tcBorders>
              <w:top w:val="nil"/>
              <w:left w:val="nil"/>
              <w:bottom w:val="single" w:sz="4" w:space="0" w:color="auto"/>
              <w:right w:val="single" w:sz="4" w:space="0" w:color="auto"/>
            </w:tcBorders>
            <w:shd w:val="clear" w:color="auto" w:fill="C6EFCE"/>
            <w:noWrap/>
          </w:tcPr>
          <w:p w14:paraId="1D0337A1" w14:textId="77777777" w:rsidR="00515398" w:rsidRDefault="006711E6">
            <w:pPr>
              <w:pStyle w:val="P68B1DB1-Normal9"/>
              <w:spacing w:after="0" w:line="240" w:lineRule="auto"/>
              <w:rPr>
                <w:rFonts w:eastAsia="Times New Roman" w:cs="Calibri"/>
                <w:noProof/>
                <w:szCs w:val="18"/>
              </w:rPr>
            </w:pPr>
            <w:r>
              <w:rPr>
                <w:noProof/>
              </w:rPr>
              <w:t xml:space="preserve">Vstup primárního a sekundárního práva v platnost </w:t>
            </w:r>
          </w:p>
        </w:tc>
        <w:tc>
          <w:tcPr>
            <w:tcW w:w="992" w:type="dxa"/>
            <w:tcBorders>
              <w:top w:val="nil"/>
              <w:left w:val="nil"/>
              <w:bottom w:val="single" w:sz="4" w:space="0" w:color="auto"/>
              <w:right w:val="single" w:sz="4" w:space="0" w:color="auto"/>
            </w:tcBorders>
            <w:shd w:val="clear" w:color="auto" w:fill="C6EFCE"/>
            <w:noWrap/>
          </w:tcPr>
          <w:p w14:paraId="1F79DDA7"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2139120F" w14:textId="77777777" w:rsidR="00515398" w:rsidRDefault="00515398">
            <w:pPr>
              <w:spacing w:after="0" w:line="240" w:lineRule="auto"/>
              <w:rPr>
                <w:rFonts w:eastAsia="Times New Roman" w:cs="Calibri"/>
                <w:noProof/>
                <w:color w:val="006100"/>
                <w:sz w:val="18"/>
                <w:szCs w:val="18"/>
              </w:rPr>
            </w:pPr>
          </w:p>
        </w:tc>
        <w:tc>
          <w:tcPr>
            <w:tcW w:w="844" w:type="dxa"/>
            <w:tcBorders>
              <w:top w:val="nil"/>
              <w:left w:val="nil"/>
              <w:bottom w:val="single" w:sz="4" w:space="0" w:color="auto"/>
              <w:right w:val="single" w:sz="4" w:space="0" w:color="auto"/>
            </w:tcBorders>
            <w:shd w:val="clear" w:color="auto" w:fill="C6EFCE"/>
            <w:noWrap/>
          </w:tcPr>
          <w:p w14:paraId="25767A61"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D41A62B" w14:textId="77777777" w:rsidR="00515398" w:rsidRDefault="006711E6">
            <w:pPr>
              <w:pStyle w:val="P68B1DB1-Normal9"/>
              <w:spacing w:after="0" w:line="240" w:lineRule="auto"/>
              <w:rPr>
                <w:rFonts w:eastAsia="Times New Roman" w:cs="Calibri"/>
                <w:noProof/>
                <w:szCs w:val="18"/>
              </w:rPr>
            </w:pPr>
            <w:r>
              <w:rPr>
                <w:noProof/>
              </w:rPr>
              <w:t>ČTVRTLETÍ</w:t>
            </w:r>
          </w:p>
        </w:tc>
        <w:tc>
          <w:tcPr>
            <w:tcW w:w="713" w:type="dxa"/>
            <w:tcBorders>
              <w:top w:val="nil"/>
              <w:left w:val="nil"/>
              <w:bottom w:val="single" w:sz="4" w:space="0" w:color="auto"/>
              <w:right w:val="single" w:sz="4" w:space="0" w:color="auto"/>
            </w:tcBorders>
            <w:shd w:val="clear" w:color="auto" w:fill="C6EFCE"/>
            <w:noWrap/>
          </w:tcPr>
          <w:p w14:paraId="6A908BAC" w14:textId="77777777" w:rsidR="00515398" w:rsidRDefault="006711E6">
            <w:pPr>
              <w:pStyle w:val="P68B1DB1-Normal9"/>
              <w:spacing w:after="0" w:line="240" w:lineRule="auto"/>
              <w:rPr>
                <w:rFonts w:eastAsia="Times New Roman" w:cs="Calibri"/>
                <w:noProof/>
                <w:szCs w:val="18"/>
              </w:rPr>
            </w:pPr>
            <w:r>
              <w:rPr>
                <w:noProof/>
              </w:rPr>
              <w:t>2022</w:t>
            </w:r>
          </w:p>
        </w:tc>
        <w:tc>
          <w:tcPr>
            <w:tcW w:w="3402" w:type="dxa"/>
            <w:tcBorders>
              <w:top w:val="nil"/>
              <w:left w:val="nil"/>
              <w:bottom w:val="single" w:sz="4" w:space="0" w:color="auto"/>
              <w:right w:val="single" w:sz="4" w:space="0" w:color="auto"/>
            </w:tcBorders>
            <w:shd w:val="clear" w:color="auto" w:fill="C6EFCE"/>
            <w:noWrap/>
          </w:tcPr>
          <w:p w14:paraId="464B2D56" w14:textId="77777777" w:rsidR="00515398" w:rsidRDefault="006711E6">
            <w:pPr>
              <w:pStyle w:val="P68B1DB1-Normal9"/>
              <w:spacing w:after="0" w:line="240" w:lineRule="auto"/>
              <w:rPr>
                <w:rFonts w:eastAsia="Times New Roman" w:cs="Calibri"/>
                <w:noProof/>
                <w:szCs w:val="18"/>
              </w:rPr>
            </w:pPr>
            <w:r>
              <w:rPr>
                <w:noProof/>
              </w:rPr>
              <w:t xml:space="preserve">Podskupina dvě: Organizační reforma v </w:t>
            </w:r>
            <w:r>
              <w:rPr>
                <w:noProof/>
              </w:rPr>
              <w:t>železničním odvětví;</w:t>
            </w:r>
          </w:p>
          <w:p w14:paraId="4D170CA4" w14:textId="77777777" w:rsidR="00515398" w:rsidRDefault="00515398">
            <w:pPr>
              <w:spacing w:after="0" w:line="240" w:lineRule="auto"/>
              <w:rPr>
                <w:rFonts w:eastAsia="Times New Roman" w:cs="Calibri"/>
                <w:noProof/>
                <w:color w:val="006100"/>
                <w:sz w:val="18"/>
                <w:szCs w:val="18"/>
              </w:rPr>
            </w:pPr>
          </w:p>
          <w:p w14:paraId="084CC599" w14:textId="77777777" w:rsidR="00515398" w:rsidRDefault="00515398">
            <w:pPr>
              <w:spacing w:after="0" w:line="240" w:lineRule="auto"/>
              <w:rPr>
                <w:rFonts w:eastAsia="Times New Roman" w:cs="Calibri"/>
                <w:noProof/>
                <w:color w:val="006100"/>
                <w:sz w:val="18"/>
                <w:szCs w:val="18"/>
              </w:rPr>
            </w:pPr>
          </w:p>
          <w:p w14:paraId="04454624" w14:textId="77777777" w:rsidR="00515398" w:rsidRDefault="006711E6">
            <w:pPr>
              <w:pStyle w:val="P68B1DB1-Normal9"/>
              <w:spacing w:after="0" w:line="240" w:lineRule="auto"/>
              <w:rPr>
                <w:rFonts w:eastAsia="Times New Roman" w:cs="Calibri"/>
                <w:noProof/>
                <w:szCs w:val="18"/>
              </w:rPr>
            </w:pPr>
            <w:r>
              <w:rPr>
                <w:noProof/>
              </w:rPr>
              <w:t>Vstup v platnost primárních a sekundárních právních předpisů pro reformu obou společností, která jim umožní rozvíjet, provozovat a udržovat moderní železniční síť.</w:t>
            </w:r>
          </w:p>
        </w:tc>
      </w:tr>
      <w:tr w:rsidR="00515398" w14:paraId="48A8CD7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52CBD47" w14:textId="77777777" w:rsidR="00515398" w:rsidRDefault="006711E6">
            <w:pPr>
              <w:pStyle w:val="P68B1DB1-Normal9"/>
              <w:spacing w:after="0" w:line="240" w:lineRule="auto"/>
              <w:rPr>
                <w:rFonts w:eastAsia="Times New Roman" w:cs="Calibri"/>
                <w:noProof/>
                <w:szCs w:val="18"/>
              </w:rPr>
            </w:pPr>
            <w:r>
              <w:rPr>
                <w:noProof/>
              </w:rPr>
              <w:t>267</w:t>
            </w:r>
          </w:p>
        </w:tc>
        <w:tc>
          <w:tcPr>
            <w:tcW w:w="2229" w:type="dxa"/>
            <w:tcBorders>
              <w:top w:val="single" w:sz="4" w:space="0" w:color="auto"/>
              <w:left w:val="nil"/>
              <w:bottom w:val="single" w:sz="4" w:space="0" w:color="auto"/>
              <w:right w:val="single" w:sz="4" w:space="0" w:color="auto"/>
            </w:tcBorders>
            <w:shd w:val="clear" w:color="auto" w:fill="C6EFCE"/>
            <w:noWrap/>
          </w:tcPr>
          <w:p w14:paraId="506643EE"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w:t>
            </w:r>
            <w:r>
              <w:rPr>
                <w:noProof/>
              </w:rPr>
              <w:t xml:space="preserve"> odvětví – 16833_Provádění oprav v oblasti dodržování předpisů agenturou EASA</w:t>
            </w:r>
          </w:p>
        </w:tc>
        <w:tc>
          <w:tcPr>
            <w:tcW w:w="1134" w:type="dxa"/>
            <w:tcBorders>
              <w:top w:val="single" w:sz="4" w:space="0" w:color="auto"/>
              <w:left w:val="nil"/>
              <w:bottom w:val="single" w:sz="4" w:space="0" w:color="auto"/>
              <w:right w:val="single" w:sz="4" w:space="0" w:color="auto"/>
            </w:tcBorders>
            <w:shd w:val="clear" w:color="auto" w:fill="C6EFCE"/>
            <w:noWrap/>
          </w:tcPr>
          <w:p w14:paraId="7E48D41A"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4AFDF70F" w14:textId="77777777" w:rsidR="00515398" w:rsidRDefault="006711E6">
            <w:pPr>
              <w:pStyle w:val="P68B1DB1-Normal9"/>
              <w:spacing w:after="0" w:line="240" w:lineRule="auto"/>
              <w:rPr>
                <w:rFonts w:eastAsia="Times New Roman" w:cs="Calibri"/>
                <w:noProof/>
                <w:szCs w:val="18"/>
              </w:rPr>
            </w:pPr>
            <w:r>
              <w:rPr>
                <w:noProof/>
              </w:rPr>
              <w:t>Oznámení o udělení ceny za práce Agentury Evropské unie pro bezpečnost letectví (EASA) na regionálních letištích</w:t>
            </w:r>
          </w:p>
        </w:tc>
        <w:tc>
          <w:tcPr>
            <w:tcW w:w="2127" w:type="dxa"/>
            <w:tcBorders>
              <w:top w:val="single" w:sz="4" w:space="0" w:color="auto"/>
              <w:left w:val="nil"/>
              <w:bottom w:val="single" w:sz="4" w:space="0" w:color="auto"/>
              <w:right w:val="single" w:sz="4" w:space="0" w:color="auto"/>
            </w:tcBorders>
            <w:shd w:val="clear" w:color="auto" w:fill="C6EFCE"/>
            <w:noWrap/>
          </w:tcPr>
          <w:p w14:paraId="0BFBDFFB" w14:textId="77777777" w:rsidR="00515398" w:rsidRDefault="006711E6">
            <w:pPr>
              <w:pStyle w:val="P68B1DB1-Normal9"/>
              <w:spacing w:after="0" w:line="240" w:lineRule="auto"/>
              <w:rPr>
                <w:rFonts w:eastAsia="Times New Roman" w:cs="Calibri"/>
                <w:noProof/>
                <w:szCs w:val="18"/>
              </w:rPr>
            </w:pPr>
            <w:r>
              <w:rPr>
                <w:noProof/>
              </w:rPr>
              <w:t>Oznámení o zadání zakázek</w:t>
            </w:r>
          </w:p>
        </w:tc>
        <w:tc>
          <w:tcPr>
            <w:tcW w:w="992" w:type="dxa"/>
            <w:tcBorders>
              <w:top w:val="single" w:sz="4" w:space="0" w:color="auto"/>
              <w:left w:val="nil"/>
              <w:bottom w:val="single" w:sz="4" w:space="0" w:color="auto"/>
              <w:right w:val="single" w:sz="4" w:space="0" w:color="auto"/>
            </w:tcBorders>
            <w:shd w:val="clear" w:color="auto" w:fill="C6EFCE"/>
            <w:noWrap/>
          </w:tcPr>
          <w:p w14:paraId="58CC5861"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26763EC"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37110AD"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399A2AC" w14:textId="77777777" w:rsidR="00515398" w:rsidRDefault="006711E6">
            <w:pPr>
              <w:pStyle w:val="P68B1DB1-Normal9"/>
              <w:spacing w:after="0" w:line="240" w:lineRule="auto"/>
              <w:rPr>
                <w:rFonts w:eastAsia="Times New Roman" w:cs="Calibri"/>
                <w:noProof/>
                <w:szCs w:val="18"/>
              </w:rPr>
            </w:pPr>
            <w:r>
              <w:rPr>
                <w:noProof/>
              </w:rPr>
              <w:t>ČTVRTLETÍ</w:t>
            </w:r>
          </w:p>
        </w:tc>
        <w:tc>
          <w:tcPr>
            <w:tcW w:w="713" w:type="dxa"/>
            <w:tcBorders>
              <w:top w:val="single" w:sz="4" w:space="0" w:color="auto"/>
              <w:left w:val="nil"/>
              <w:bottom w:val="single" w:sz="4" w:space="0" w:color="auto"/>
              <w:right w:val="single" w:sz="4" w:space="0" w:color="auto"/>
            </w:tcBorders>
            <w:shd w:val="clear" w:color="auto" w:fill="C6EFCE"/>
            <w:noWrap/>
          </w:tcPr>
          <w:p w14:paraId="18029AEC" w14:textId="77777777" w:rsidR="00515398" w:rsidRDefault="006711E6">
            <w:pPr>
              <w:pStyle w:val="P68B1DB1-Normal9"/>
              <w:spacing w:after="0" w:line="240" w:lineRule="auto"/>
              <w:rPr>
                <w:rFonts w:eastAsia="Times New Roman" w:cs="Calibri"/>
                <w:noProof/>
                <w:szCs w:val="18"/>
              </w:rPr>
            </w:pPr>
            <w:r>
              <w:rPr>
                <w:noProof/>
              </w:rPr>
              <w:t>2023</w:t>
            </w:r>
          </w:p>
        </w:tc>
        <w:tc>
          <w:tcPr>
            <w:tcW w:w="3402" w:type="dxa"/>
            <w:tcBorders>
              <w:top w:val="single" w:sz="4" w:space="0" w:color="auto"/>
              <w:left w:val="nil"/>
              <w:bottom w:val="single" w:sz="4" w:space="0" w:color="auto"/>
              <w:right w:val="single" w:sz="4" w:space="0" w:color="auto"/>
            </w:tcBorders>
            <w:shd w:val="clear" w:color="auto" w:fill="C6EFCE"/>
            <w:noWrap/>
          </w:tcPr>
          <w:p w14:paraId="36FDFB91" w14:textId="77777777" w:rsidR="00515398" w:rsidRDefault="006711E6">
            <w:pPr>
              <w:pStyle w:val="P68B1DB1-Normal10"/>
              <w:spacing w:after="0" w:line="240" w:lineRule="auto"/>
              <w:rPr>
                <w:rFonts w:eastAsia="Times New Roman" w:cs="Calibri"/>
                <w:noProof/>
              </w:rPr>
            </w:pPr>
            <w:r>
              <w:rPr>
                <w:noProof/>
              </w:rPr>
              <w:t xml:space="preserve">Podskupina </w:t>
            </w:r>
            <w:r>
              <w:rPr>
                <w:noProof/>
              </w:rPr>
              <w:t>dvě: Program souladu Agentury Evropské unie pro bezpečnost letectví (EASA): Všechny podepsané smlouvy na opravy 13 regionálních letišť v souladu s novým nařízením (EU) 2018/1139.</w:t>
            </w:r>
          </w:p>
        </w:tc>
      </w:tr>
      <w:tr w:rsidR="00515398" w14:paraId="518131E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EDFBF6E" w14:textId="77777777" w:rsidR="00515398" w:rsidRDefault="006711E6">
            <w:pPr>
              <w:pStyle w:val="P68B1DB1-Normal9"/>
              <w:spacing w:after="0" w:line="240" w:lineRule="auto"/>
              <w:rPr>
                <w:rFonts w:eastAsia="Times New Roman" w:cs="Calibri"/>
                <w:noProof/>
                <w:szCs w:val="18"/>
              </w:rPr>
            </w:pPr>
            <w:r>
              <w:rPr>
                <w:noProof/>
              </w:rPr>
              <w:t>268</w:t>
            </w:r>
          </w:p>
        </w:tc>
        <w:tc>
          <w:tcPr>
            <w:tcW w:w="2229" w:type="dxa"/>
            <w:tcBorders>
              <w:top w:val="single" w:sz="4" w:space="0" w:color="auto"/>
              <w:left w:val="nil"/>
              <w:bottom w:val="single" w:sz="4" w:space="0" w:color="auto"/>
              <w:right w:val="single" w:sz="4" w:space="0" w:color="auto"/>
            </w:tcBorders>
            <w:shd w:val="clear" w:color="auto" w:fill="C6EFCE"/>
            <w:noWrap/>
          </w:tcPr>
          <w:p w14:paraId="38BF86F9"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w:t>
            </w:r>
            <w:r>
              <w:rPr>
                <w:noProof/>
              </w:rPr>
              <w:t xml:space="preserve"> – 16982_Organizační reforma v odvětví železniční dopravy</w:t>
            </w:r>
          </w:p>
        </w:tc>
        <w:tc>
          <w:tcPr>
            <w:tcW w:w="1134" w:type="dxa"/>
            <w:tcBorders>
              <w:top w:val="single" w:sz="4" w:space="0" w:color="auto"/>
              <w:left w:val="nil"/>
              <w:bottom w:val="single" w:sz="4" w:space="0" w:color="auto"/>
              <w:right w:val="single" w:sz="4" w:space="0" w:color="auto"/>
            </w:tcBorders>
            <w:shd w:val="clear" w:color="auto" w:fill="C6EFCE"/>
            <w:noWrap/>
          </w:tcPr>
          <w:p w14:paraId="26A9D826"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5CD5ED8A" w14:textId="20DC2B38" w:rsidR="00515398" w:rsidRDefault="006711E6">
            <w:pPr>
              <w:pStyle w:val="P68B1DB1-Normal10"/>
              <w:spacing w:after="0" w:line="240" w:lineRule="auto"/>
              <w:rPr>
                <w:rFonts w:eastAsia="Times New Roman" w:cs="Calibri"/>
                <w:noProof/>
              </w:rPr>
            </w:pPr>
            <w:r>
              <w:rPr>
                <w:noProof/>
              </w:rPr>
              <w:t>Prováděcí plán řeckých železnic</w:t>
            </w:r>
          </w:p>
        </w:tc>
        <w:tc>
          <w:tcPr>
            <w:tcW w:w="2127" w:type="dxa"/>
            <w:tcBorders>
              <w:top w:val="single" w:sz="4" w:space="0" w:color="auto"/>
              <w:left w:val="nil"/>
              <w:bottom w:val="single" w:sz="4" w:space="0" w:color="auto"/>
              <w:right w:val="single" w:sz="4" w:space="0" w:color="auto"/>
            </w:tcBorders>
            <w:shd w:val="clear" w:color="auto" w:fill="C6EFCE"/>
            <w:noWrap/>
          </w:tcPr>
          <w:p w14:paraId="1606A8C4" w14:textId="17EADC99" w:rsidR="00515398" w:rsidRDefault="006711E6">
            <w:pPr>
              <w:pStyle w:val="P68B1DB1-Normal10"/>
              <w:spacing w:after="0" w:line="240" w:lineRule="auto"/>
              <w:rPr>
                <w:rFonts w:eastAsia="Times New Roman" w:cs="Calibri"/>
                <w:noProof/>
              </w:rPr>
            </w:pPr>
            <w:r>
              <w:rPr>
                <w:noProof/>
              </w:rPr>
              <w:t xml:space="preserve">Zveřejněný prováděcí plán pro řecké železnice </w:t>
            </w:r>
          </w:p>
          <w:p w14:paraId="188534AF" w14:textId="77777777" w:rsidR="00515398" w:rsidRDefault="00515398">
            <w:pPr>
              <w:spacing w:after="0" w:line="240" w:lineRule="auto"/>
              <w:rPr>
                <w:rFonts w:eastAsia="Times New Roman" w:cs="Calibri"/>
                <w:noProof/>
                <w:color w:val="006100"/>
                <w:sz w:val="18"/>
                <w:szCs w:val="18"/>
              </w:rPr>
            </w:pPr>
          </w:p>
          <w:p w14:paraId="4942CA02" w14:textId="77777777" w:rsidR="00515398" w:rsidRDefault="00515398">
            <w:pPr>
              <w:spacing w:after="0" w:line="240" w:lineRule="auto"/>
              <w:rPr>
                <w:rFonts w:eastAsia="Times New Roman" w:cs="Calibri"/>
                <w:noProof/>
                <w:color w:val="006100"/>
                <w:sz w:val="18"/>
                <w:szCs w:val="18"/>
              </w:rPr>
            </w:pPr>
          </w:p>
          <w:p w14:paraId="224C7D8E"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B79675B"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B7F05CC"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30E20C7"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100C3894" w14:textId="77777777" w:rsidR="00515398" w:rsidRDefault="006711E6">
            <w:pPr>
              <w:pStyle w:val="P68B1DB1-Normal9"/>
              <w:spacing w:after="0" w:line="240" w:lineRule="auto"/>
              <w:rPr>
                <w:rFonts w:eastAsia="Times New Roman" w:cs="Calibri"/>
                <w:noProof/>
                <w:szCs w:val="18"/>
              </w:rPr>
            </w:pPr>
            <w:r>
              <w:rPr>
                <w:noProof/>
              </w:rPr>
              <w:t>ČTVRTLETÍ</w:t>
            </w:r>
          </w:p>
          <w:p w14:paraId="3FE347C7" w14:textId="77777777" w:rsidR="00515398" w:rsidRDefault="00515398">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0D45781C" w14:textId="77777777" w:rsidR="00515398" w:rsidRDefault="006711E6">
            <w:pPr>
              <w:pStyle w:val="P68B1DB1-Normal9"/>
              <w:spacing w:after="0" w:line="240" w:lineRule="auto"/>
              <w:rPr>
                <w:rFonts w:eastAsia="Times New Roman" w:cs="Calibri"/>
                <w:noProof/>
                <w:szCs w:val="18"/>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tcPr>
          <w:p w14:paraId="3D1D8358" w14:textId="0AFB0CCB" w:rsidR="00515398" w:rsidRDefault="006711E6">
            <w:pPr>
              <w:pStyle w:val="P68B1DB1-Normal10"/>
              <w:spacing w:after="0" w:line="240" w:lineRule="auto"/>
              <w:rPr>
                <w:rFonts w:eastAsia="Times New Roman" w:cs="Calibri"/>
                <w:noProof/>
              </w:rPr>
            </w:pPr>
            <w:r>
              <w:rPr>
                <w:noProof/>
              </w:rPr>
              <w:t xml:space="preserve">Zveřejnění prováděcího plánu pro novou jednotnou železniční infrastrukturu (Hellenic Railways) </w:t>
            </w:r>
          </w:p>
          <w:p w14:paraId="30449126" w14:textId="77777777" w:rsidR="00515398" w:rsidRDefault="00515398">
            <w:pPr>
              <w:spacing w:after="0" w:line="240" w:lineRule="auto"/>
              <w:rPr>
                <w:rFonts w:eastAsia="Times New Roman" w:cs="Calibri"/>
                <w:noProof/>
                <w:color w:val="006100"/>
                <w:sz w:val="18"/>
                <w:szCs w:val="18"/>
              </w:rPr>
            </w:pPr>
          </w:p>
        </w:tc>
      </w:tr>
      <w:tr w:rsidR="00515398" w14:paraId="44C22EF2"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4642F40" w14:textId="77777777" w:rsidR="00515398" w:rsidRDefault="006711E6">
            <w:pPr>
              <w:pStyle w:val="P68B1DB1-Normal9"/>
              <w:spacing w:line="240" w:lineRule="auto"/>
              <w:rPr>
                <w:rFonts w:eastAsia="Times New Roman" w:cs="Calibri"/>
                <w:noProof/>
                <w:szCs w:val="18"/>
              </w:rPr>
            </w:pPr>
            <w:r>
              <w:rPr>
                <w:noProof/>
              </w:rPr>
              <w:t>268a</w:t>
            </w:r>
          </w:p>
        </w:tc>
        <w:tc>
          <w:tcPr>
            <w:tcW w:w="2229" w:type="dxa"/>
            <w:tcBorders>
              <w:top w:val="single" w:sz="4" w:space="0" w:color="auto"/>
              <w:left w:val="nil"/>
              <w:bottom w:val="single" w:sz="4" w:space="0" w:color="auto"/>
              <w:right w:val="single" w:sz="4" w:space="0" w:color="auto"/>
            </w:tcBorders>
            <w:shd w:val="clear" w:color="auto" w:fill="C6EFCE"/>
            <w:noWrap/>
          </w:tcPr>
          <w:p w14:paraId="72759D43"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16982_Organizační reforma v odvětví železniční dopravy</w:t>
            </w:r>
          </w:p>
          <w:p w14:paraId="251F0C93" w14:textId="77777777" w:rsidR="00515398" w:rsidRDefault="00515398">
            <w:pPr>
              <w:spacing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3323959" w14:textId="77777777" w:rsidR="00515398" w:rsidRDefault="006711E6">
            <w:pPr>
              <w:pStyle w:val="P68B1DB1-Normal9"/>
              <w:spacing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28CECBEC" w14:textId="497200FA" w:rsidR="00515398" w:rsidRDefault="006711E6">
            <w:pPr>
              <w:pStyle w:val="P68B1DB1-Normal10"/>
              <w:spacing w:line="240" w:lineRule="auto"/>
              <w:rPr>
                <w:rFonts w:eastAsia="Times New Roman" w:cs="Calibri"/>
                <w:noProof/>
              </w:rPr>
            </w:pPr>
            <w:r>
              <w:rPr>
                <w:noProof/>
              </w:rPr>
              <w:t>Právní předpisy</w:t>
            </w:r>
            <w:r>
              <w:rPr>
                <w:noProof/>
              </w:rPr>
              <w:t xml:space="preserve"> pro řecké železnice a uzavření dohody pro technického správce</w:t>
            </w:r>
          </w:p>
        </w:tc>
        <w:tc>
          <w:tcPr>
            <w:tcW w:w="2127" w:type="dxa"/>
            <w:tcBorders>
              <w:top w:val="single" w:sz="4" w:space="0" w:color="auto"/>
              <w:left w:val="nil"/>
              <w:bottom w:val="single" w:sz="4" w:space="0" w:color="auto"/>
              <w:right w:val="single" w:sz="4" w:space="0" w:color="auto"/>
            </w:tcBorders>
            <w:shd w:val="clear" w:color="auto" w:fill="C6EFCE"/>
            <w:noWrap/>
          </w:tcPr>
          <w:p w14:paraId="2071E63E" w14:textId="15C70705" w:rsidR="00515398" w:rsidRDefault="006711E6">
            <w:pPr>
              <w:pStyle w:val="P68B1DB1-Normal10"/>
              <w:spacing w:line="240" w:lineRule="auto"/>
              <w:rPr>
                <w:noProof/>
              </w:rPr>
            </w:pPr>
            <w:r>
              <w:rPr>
                <w:noProof/>
              </w:rPr>
              <w:t xml:space="preserve">Kopie právních předpisů pro řecké železnice a uzavření dohody pro technického správce prostřednictvím přímé dohody s členským státem EU nebo zadavatelem členského státu EU </w:t>
            </w:r>
          </w:p>
        </w:tc>
        <w:tc>
          <w:tcPr>
            <w:tcW w:w="992" w:type="dxa"/>
            <w:tcBorders>
              <w:top w:val="single" w:sz="4" w:space="0" w:color="auto"/>
              <w:left w:val="nil"/>
              <w:bottom w:val="single" w:sz="4" w:space="0" w:color="auto"/>
              <w:right w:val="single" w:sz="4" w:space="0" w:color="auto"/>
            </w:tcBorders>
            <w:shd w:val="clear" w:color="auto" w:fill="C6EFCE"/>
            <w:noWrap/>
          </w:tcPr>
          <w:p w14:paraId="4C9A9344" w14:textId="77777777" w:rsidR="00515398" w:rsidRDefault="00515398">
            <w:pPr>
              <w:spacing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1108120" w14:textId="77777777" w:rsidR="00515398" w:rsidRDefault="00515398">
            <w:pPr>
              <w:spacing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51369844" w14:textId="77777777" w:rsidR="00515398" w:rsidRDefault="00515398">
            <w:pPr>
              <w:spacing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67C5B45" w14:textId="77777777" w:rsidR="00515398" w:rsidRDefault="006711E6">
            <w:pPr>
              <w:pStyle w:val="P68B1DB1-Normal9"/>
              <w:spacing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5BC6357D" w14:textId="77777777" w:rsidR="00515398" w:rsidRDefault="006711E6">
            <w:pPr>
              <w:pStyle w:val="P68B1DB1-Normal9"/>
              <w:spacing w:line="240" w:lineRule="auto"/>
              <w:rPr>
                <w:rFonts w:eastAsia="Times New Roman" w:cs="Calibri"/>
                <w:noProof/>
                <w:szCs w:val="18"/>
              </w:rPr>
            </w:pPr>
            <w:r>
              <w:rPr>
                <w:noProof/>
              </w:rPr>
              <w:t>2</w:t>
            </w:r>
            <w:r>
              <w:rPr>
                <w:noProof/>
              </w:rPr>
              <w:t>024</w:t>
            </w:r>
          </w:p>
        </w:tc>
        <w:tc>
          <w:tcPr>
            <w:tcW w:w="3402" w:type="dxa"/>
            <w:tcBorders>
              <w:top w:val="single" w:sz="4" w:space="0" w:color="auto"/>
              <w:left w:val="nil"/>
              <w:bottom w:val="single" w:sz="4" w:space="0" w:color="auto"/>
              <w:right w:val="single" w:sz="4" w:space="0" w:color="auto"/>
            </w:tcBorders>
            <w:shd w:val="clear" w:color="auto" w:fill="C6EFCE"/>
            <w:noWrap/>
          </w:tcPr>
          <w:p w14:paraId="5DFEEAEE" w14:textId="0F651214" w:rsidR="00515398" w:rsidRDefault="006711E6">
            <w:pPr>
              <w:pStyle w:val="P68B1DB1-Normal10"/>
              <w:spacing w:after="0"/>
              <w:rPr>
                <w:noProof/>
              </w:rPr>
            </w:pPr>
            <w:r>
              <w:rPr>
                <w:noProof/>
              </w:rPr>
              <w:t xml:space="preserve">Vstup v platnost změn zákona č. 4974/2022 a sekundárních právních předpisů pro novou jednotnou společnost působící v oblasti železniční infrastruktury za obvyklých tržních podmínek, jejímž jádrem je společnost OSE („Hellenic Railways“), která zahrnuje </w:t>
            </w:r>
            <w:r>
              <w:rPr>
                <w:noProof/>
              </w:rPr>
              <w:t>ERGOSE. Nová společnost převezme celkovou odpovědnost za otázky bezpečnosti železniční infrastruktury a bude plně spolupracovat s železničními podniky na provádění opatření ke kontrole rizik.</w:t>
            </w:r>
          </w:p>
          <w:p w14:paraId="1787833B" w14:textId="10EC925F" w:rsidR="00515398" w:rsidRDefault="006711E6">
            <w:pPr>
              <w:pStyle w:val="P68B1DB1-Normal10"/>
              <w:spacing w:after="0"/>
              <w:rPr>
                <w:rFonts w:eastAsia="Times New Roman" w:cs="Calibri"/>
                <w:noProof/>
              </w:rPr>
            </w:pPr>
            <w:r>
              <w:rPr>
                <w:noProof/>
              </w:rPr>
              <w:t xml:space="preserve">Souběžně se zahájením procesu jmenování technického manažera na </w:t>
            </w:r>
            <w:r>
              <w:rPr>
                <w:noProof/>
              </w:rPr>
              <w:t xml:space="preserve">podporu provozního zřízení nové společnosti, kterého má být dosaženo uzavřením přímé dohody s členským státem EU nebo veřejným zadavatelem členského státu EU.  </w:t>
            </w:r>
          </w:p>
        </w:tc>
      </w:tr>
      <w:tr w:rsidR="00515398" w14:paraId="1D3A1CF1"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88FE2D0" w14:textId="77777777" w:rsidR="00515398" w:rsidRDefault="006711E6">
            <w:pPr>
              <w:pStyle w:val="P68B1DB1-Normal9"/>
              <w:spacing w:line="240" w:lineRule="auto"/>
              <w:rPr>
                <w:rFonts w:eastAsia="Times New Roman" w:cs="Calibri"/>
                <w:noProof/>
                <w:szCs w:val="18"/>
              </w:rPr>
            </w:pPr>
            <w:r>
              <w:rPr>
                <w:noProof/>
              </w:rPr>
              <w:t>268b</w:t>
            </w:r>
          </w:p>
        </w:tc>
        <w:tc>
          <w:tcPr>
            <w:tcW w:w="2229" w:type="dxa"/>
            <w:tcBorders>
              <w:top w:val="single" w:sz="4" w:space="0" w:color="auto"/>
              <w:left w:val="nil"/>
              <w:bottom w:val="single" w:sz="4" w:space="0" w:color="auto"/>
              <w:right w:val="single" w:sz="4" w:space="0" w:color="auto"/>
            </w:tcBorders>
            <w:shd w:val="clear" w:color="auto" w:fill="C6EFCE"/>
            <w:noWrap/>
          </w:tcPr>
          <w:p w14:paraId="72FD2ACA"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w:t>
            </w:r>
            <w:r>
              <w:rPr>
                <w:noProof/>
              </w:rPr>
              <w:t>16982_Organizační reforma v odvětví železniční dopravy</w:t>
            </w:r>
          </w:p>
          <w:p w14:paraId="755F706E" w14:textId="77777777" w:rsidR="00515398" w:rsidRDefault="00515398">
            <w:pPr>
              <w:spacing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69691F46" w14:textId="77777777" w:rsidR="00515398" w:rsidRDefault="006711E6">
            <w:pPr>
              <w:pStyle w:val="P68B1DB1-Normal9"/>
              <w:spacing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00E1AF41" w14:textId="5EB810C4" w:rsidR="00515398" w:rsidRDefault="006711E6">
            <w:pPr>
              <w:pStyle w:val="P68B1DB1-Normal10"/>
              <w:spacing w:line="240" w:lineRule="auto"/>
              <w:rPr>
                <w:rFonts w:eastAsia="Times New Roman" w:cs="Calibri"/>
                <w:noProof/>
              </w:rPr>
            </w:pPr>
            <w:r>
              <w:rPr>
                <w:noProof/>
              </w:rPr>
              <w:t>Přijetí víceletého investičního programu, podpis nového smluvního ujednání</w:t>
            </w:r>
          </w:p>
          <w:p w14:paraId="6D0CF686" w14:textId="77777777" w:rsidR="00515398" w:rsidRDefault="00515398">
            <w:pPr>
              <w:spacing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noWrap/>
          </w:tcPr>
          <w:p w14:paraId="255A6F70" w14:textId="70385C47" w:rsidR="00515398" w:rsidRDefault="006711E6">
            <w:pPr>
              <w:pStyle w:val="P68B1DB1-Normal10"/>
              <w:spacing w:line="240" w:lineRule="auto"/>
              <w:rPr>
                <w:rFonts w:eastAsia="Times New Roman" w:cs="Calibri"/>
                <w:noProof/>
              </w:rPr>
            </w:pPr>
            <w:r>
              <w:rPr>
                <w:noProof/>
              </w:rPr>
              <w:t xml:space="preserve">Kopie přijatého představenstvem řeckých železnic, víceletý investiční program a kopie podepsaného nového smluvního </w:t>
            </w:r>
            <w:r>
              <w:rPr>
                <w:noProof/>
              </w:rPr>
              <w:t>ujednání</w:t>
            </w:r>
          </w:p>
          <w:p w14:paraId="1971EB57" w14:textId="77777777" w:rsidR="00515398" w:rsidRDefault="00515398">
            <w:pPr>
              <w:spacing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425E1F4E" w14:textId="77777777" w:rsidR="00515398" w:rsidRDefault="00515398">
            <w:pPr>
              <w:spacing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FE3BDBE" w14:textId="77777777" w:rsidR="00515398" w:rsidRDefault="00515398">
            <w:pPr>
              <w:spacing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EF2E3A9" w14:textId="77777777" w:rsidR="00515398" w:rsidRDefault="00515398">
            <w:pPr>
              <w:spacing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714A8BA" w14:textId="77777777" w:rsidR="00515398" w:rsidRDefault="006711E6">
            <w:pPr>
              <w:pStyle w:val="P68B1DB1-Normal9"/>
              <w:spacing w:line="240" w:lineRule="auto"/>
              <w:rPr>
                <w:rFonts w:eastAsia="Times New Roman" w:cs="Calibri"/>
                <w:noProof/>
                <w:szCs w:val="18"/>
              </w:rPr>
            </w:pPr>
            <w:r>
              <w:rPr>
                <w:noProof/>
              </w:rPr>
              <w:t>ČTVRTLETÍ</w:t>
            </w:r>
          </w:p>
        </w:tc>
        <w:tc>
          <w:tcPr>
            <w:tcW w:w="713" w:type="dxa"/>
            <w:tcBorders>
              <w:top w:val="single" w:sz="4" w:space="0" w:color="auto"/>
              <w:left w:val="nil"/>
              <w:bottom w:val="single" w:sz="4" w:space="0" w:color="auto"/>
              <w:right w:val="single" w:sz="4" w:space="0" w:color="auto"/>
            </w:tcBorders>
            <w:shd w:val="clear" w:color="auto" w:fill="C6EFCE"/>
            <w:noWrap/>
          </w:tcPr>
          <w:p w14:paraId="4E99DBB5" w14:textId="77777777" w:rsidR="00515398" w:rsidRDefault="006711E6">
            <w:pPr>
              <w:pStyle w:val="P68B1DB1-Normal9"/>
              <w:spacing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7F8E9D6B" w14:textId="49A9A3C9" w:rsidR="00515398" w:rsidRDefault="006711E6">
            <w:pPr>
              <w:pStyle w:val="P68B1DB1-Normal10"/>
              <w:spacing w:line="240" w:lineRule="auto"/>
              <w:rPr>
                <w:rFonts w:eastAsia="Times New Roman" w:cs="Calibri"/>
                <w:noProof/>
              </w:rPr>
            </w:pPr>
            <w:r>
              <w:rPr>
                <w:noProof/>
              </w:rPr>
              <w:t>Přijetí víceletého programu s očekávanými strategickými investicemi a údržbou představenstvem řeckých železnic; podpis smluvního ujednání podle směrnice EU 34/2022 s konkrétními milníky a klíčovými ukazateli výkonnosti, včetně d</w:t>
            </w:r>
            <w:r>
              <w:rPr>
                <w:noProof/>
              </w:rPr>
              <w:t>okončení investic do klíčových bezpečnostních systémů a infrastruktur, pravidelné údržby, spokojenosti zákazníků, posílení kvality náboru a správy a řízení společnosti.</w:t>
            </w:r>
          </w:p>
        </w:tc>
      </w:tr>
      <w:tr w:rsidR="00515398" w14:paraId="05CF0E40"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97501D2" w14:textId="77777777" w:rsidR="00515398" w:rsidRDefault="006711E6">
            <w:pPr>
              <w:pStyle w:val="P68B1DB1-Normal9"/>
              <w:spacing w:line="240" w:lineRule="auto"/>
              <w:rPr>
                <w:rFonts w:eastAsia="Times New Roman" w:cs="Calibri"/>
                <w:noProof/>
                <w:szCs w:val="18"/>
              </w:rPr>
            </w:pPr>
            <w:r>
              <w:rPr>
                <w:noProof/>
              </w:rPr>
              <w:t>268c</w:t>
            </w:r>
          </w:p>
        </w:tc>
        <w:tc>
          <w:tcPr>
            <w:tcW w:w="2229" w:type="dxa"/>
            <w:tcBorders>
              <w:top w:val="single" w:sz="4" w:space="0" w:color="auto"/>
              <w:left w:val="nil"/>
              <w:bottom w:val="single" w:sz="4" w:space="0" w:color="auto"/>
              <w:right w:val="single" w:sz="4" w:space="0" w:color="auto"/>
            </w:tcBorders>
            <w:shd w:val="clear" w:color="auto" w:fill="C6EFCE"/>
            <w:noWrap/>
          </w:tcPr>
          <w:p w14:paraId="78D3BEEF"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w:t>
            </w:r>
            <w:r>
              <w:rPr>
                <w:noProof/>
              </w:rPr>
              <w:t>16982_Organizační reforma v odvětví železniční dopravy</w:t>
            </w:r>
          </w:p>
          <w:p w14:paraId="6E50DB5F" w14:textId="77777777" w:rsidR="00515398" w:rsidRDefault="00515398">
            <w:pPr>
              <w:spacing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2EFCB1CA" w14:textId="77777777" w:rsidR="00515398" w:rsidRDefault="006711E6">
            <w:pPr>
              <w:pStyle w:val="P68B1DB1-Normal9"/>
              <w:spacing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2F3D69FA" w14:textId="77777777" w:rsidR="00515398" w:rsidRDefault="006711E6">
            <w:pPr>
              <w:pStyle w:val="P68B1DB1-Normal9"/>
              <w:spacing w:line="240" w:lineRule="auto"/>
              <w:rPr>
                <w:rFonts w:eastAsia="Times New Roman" w:cs="Calibri"/>
                <w:noProof/>
                <w:szCs w:val="18"/>
              </w:rPr>
            </w:pPr>
            <w:r>
              <w:rPr>
                <w:noProof/>
              </w:rPr>
              <w:t>Dokončení organizační reformy železnic</w:t>
            </w:r>
          </w:p>
          <w:p w14:paraId="62175C42" w14:textId="77777777" w:rsidR="00515398" w:rsidRDefault="00515398">
            <w:pPr>
              <w:spacing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noWrap/>
          </w:tcPr>
          <w:p w14:paraId="353B31E9" w14:textId="0BFD30E9" w:rsidR="00515398" w:rsidRDefault="006711E6">
            <w:pPr>
              <w:pStyle w:val="P68B1DB1-Normal10"/>
              <w:spacing w:line="240" w:lineRule="auto"/>
              <w:rPr>
                <w:noProof/>
              </w:rPr>
            </w:pPr>
            <w:r>
              <w:rPr>
                <w:noProof/>
              </w:rPr>
              <w:t>Zpráva potvrzující plné zprovoznění řeckých železnic</w:t>
            </w:r>
          </w:p>
        </w:tc>
        <w:tc>
          <w:tcPr>
            <w:tcW w:w="992" w:type="dxa"/>
            <w:tcBorders>
              <w:top w:val="single" w:sz="4" w:space="0" w:color="auto"/>
              <w:left w:val="nil"/>
              <w:bottom w:val="single" w:sz="4" w:space="0" w:color="auto"/>
              <w:right w:val="single" w:sz="4" w:space="0" w:color="auto"/>
            </w:tcBorders>
            <w:shd w:val="clear" w:color="auto" w:fill="C6EFCE"/>
            <w:noWrap/>
          </w:tcPr>
          <w:p w14:paraId="3AF67AA2" w14:textId="77777777" w:rsidR="00515398" w:rsidRDefault="00515398">
            <w:pPr>
              <w:spacing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CCB5B2A" w14:textId="77777777" w:rsidR="00515398" w:rsidRDefault="00515398">
            <w:pPr>
              <w:spacing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0752A95" w14:textId="77777777" w:rsidR="00515398" w:rsidRDefault="00515398">
            <w:pPr>
              <w:spacing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9EF652D" w14:textId="77777777" w:rsidR="00515398" w:rsidRDefault="006711E6">
            <w:pPr>
              <w:pStyle w:val="P68B1DB1-Normal9"/>
              <w:spacing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20096164" w14:textId="77777777" w:rsidR="00515398" w:rsidRDefault="006711E6">
            <w:pPr>
              <w:pStyle w:val="P68B1DB1-Normal9"/>
              <w:spacing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22E9FE57" w14:textId="0B4A1AC9" w:rsidR="00515398" w:rsidRDefault="006711E6">
            <w:pPr>
              <w:pStyle w:val="P68B1DB1-Normal10"/>
              <w:spacing w:line="240" w:lineRule="auto"/>
              <w:rPr>
                <w:rFonts w:eastAsia="Times New Roman" w:cs="Calibri"/>
                <w:noProof/>
              </w:rPr>
            </w:pPr>
            <w:r>
              <w:rPr>
                <w:noProof/>
              </w:rPr>
              <w:t xml:space="preserve">Dokončení organizační reformy v železničním odvětví. Nová sloučená </w:t>
            </w:r>
            <w:r>
              <w:rPr>
                <w:noProof/>
              </w:rPr>
              <w:t>společnost železniční infrastruktury bude plně funkční.</w:t>
            </w:r>
          </w:p>
        </w:tc>
      </w:tr>
      <w:tr w:rsidR="00515398" w14:paraId="1E79EC0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3625B07" w14:textId="77777777" w:rsidR="00515398" w:rsidRDefault="006711E6">
            <w:pPr>
              <w:pStyle w:val="P68B1DB1-Normal9"/>
              <w:spacing w:after="0" w:line="240" w:lineRule="auto"/>
              <w:rPr>
                <w:rFonts w:eastAsia="Times New Roman" w:cs="Calibri"/>
                <w:noProof/>
                <w:szCs w:val="18"/>
              </w:rPr>
            </w:pPr>
            <w:r>
              <w:rPr>
                <w:noProof/>
              </w:rPr>
              <w:t>269</w:t>
            </w:r>
          </w:p>
        </w:tc>
        <w:tc>
          <w:tcPr>
            <w:tcW w:w="2229" w:type="dxa"/>
            <w:tcBorders>
              <w:top w:val="single" w:sz="4" w:space="0" w:color="auto"/>
              <w:left w:val="nil"/>
              <w:bottom w:val="single" w:sz="4" w:space="0" w:color="auto"/>
              <w:right w:val="single" w:sz="4" w:space="0" w:color="auto"/>
            </w:tcBorders>
            <w:shd w:val="clear" w:color="auto" w:fill="C6EFCE"/>
            <w:noWrap/>
          </w:tcPr>
          <w:p w14:paraId="1F4B1B13"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w:t>
            </w:r>
          </w:p>
          <w:p w14:paraId="1F5A6160" w14:textId="77777777" w:rsidR="00515398" w:rsidRDefault="006711E6">
            <w:pPr>
              <w:pStyle w:val="P68B1DB1-Normal9"/>
              <w:spacing w:after="0" w:line="240" w:lineRule="auto"/>
              <w:rPr>
                <w:rFonts w:eastAsia="Times New Roman" w:cs="Calibri"/>
                <w:noProof/>
                <w:szCs w:val="18"/>
              </w:rPr>
            </w:pPr>
            <w:r>
              <w:rPr>
                <w:noProof/>
              </w:rPr>
              <w:t>16833_Provádění oprav v oblasti dodržování předpisů EASA</w:t>
            </w:r>
          </w:p>
        </w:tc>
        <w:tc>
          <w:tcPr>
            <w:tcW w:w="1134" w:type="dxa"/>
            <w:tcBorders>
              <w:top w:val="single" w:sz="4" w:space="0" w:color="auto"/>
              <w:left w:val="nil"/>
              <w:bottom w:val="single" w:sz="4" w:space="0" w:color="auto"/>
              <w:right w:val="single" w:sz="4" w:space="0" w:color="auto"/>
            </w:tcBorders>
            <w:shd w:val="clear" w:color="auto" w:fill="C6EFCE"/>
            <w:noWrap/>
          </w:tcPr>
          <w:p w14:paraId="69565F90"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319D004A" w14:textId="3534916A" w:rsidR="00515398" w:rsidRDefault="006711E6">
            <w:pPr>
              <w:pStyle w:val="P68B1DB1-Normal10"/>
              <w:spacing w:after="0" w:line="240" w:lineRule="auto"/>
              <w:rPr>
                <w:rFonts w:eastAsia="Times New Roman" w:cs="Calibri"/>
                <w:noProof/>
              </w:rPr>
            </w:pPr>
            <w:r>
              <w:rPr>
                <w:noProof/>
              </w:rPr>
              <w:t xml:space="preserve">Dokončení oprav v oblasti dodržování předpisů EASA </w:t>
            </w:r>
          </w:p>
        </w:tc>
        <w:tc>
          <w:tcPr>
            <w:tcW w:w="2127" w:type="dxa"/>
            <w:tcBorders>
              <w:top w:val="single" w:sz="4" w:space="0" w:color="auto"/>
              <w:left w:val="nil"/>
              <w:bottom w:val="single" w:sz="4" w:space="0" w:color="auto"/>
              <w:right w:val="single" w:sz="4" w:space="0" w:color="auto"/>
            </w:tcBorders>
            <w:shd w:val="clear" w:color="auto" w:fill="C6EFCE"/>
            <w:noWrap/>
          </w:tcPr>
          <w:p w14:paraId="6F20DCB7" w14:textId="34F25714" w:rsidR="00515398" w:rsidRDefault="006711E6">
            <w:pPr>
              <w:pStyle w:val="P68B1DB1-Normal10"/>
              <w:spacing w:after="0" w:line="240" w:lineRule="auto"/>
              <w:rPr>
                <w:noProof/>
              </w:rPr>
            </w:pPr>
            <w:r>
              <w:rPr>
                <w:noProof/>
              </w:rPr>
              <w:t>Rozhodnutí řeckého úřadu pro civilní letectví (HCAA) o zrušení 169 dokumentů o schválení odchylky a akčních dokumentů (DAAD)</w:t>
            </w:r>
          </w:p>
        </w:tc>
        <w:tc>
          <w:tcPr>
            <w:tcW w:w="992" w:type="dxa"/>
            <w:tcBorders>
              <w:top w:val="single" w:sz="4" w:space="0" w:color="auto"/>
              <w:left w:val="nil"/>
              <w:bottom w:val="single" w:sz="4" w:space="0" w:color="auto"/>
              <w:right w:val="single" w:sz="4" w:space="0" w:color="auto"/>
            </w:tcBorders>
            <w:shd w:val="clear" w:color="auto" w:fill="C6EFCE"/>
            <w:noWrap/>
          </w:tcPr>
          <w:p w14:paraId="5AC03D68"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C00B266"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61C8B0F2"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B390F19"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07053476"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6DBA4870" w14:textId="76DDF6E4" w:rsidR="00515398" w:rsidRDefault="006711E6">
            <w:pPr>
              <w:pStyle w:val="P68B1DB1-Normal10"/>
              <w:spacing w:after="0" w:line="240" w:lineRule="auto"/>
              <w:rPr>
                <w:rFonts w:eastAsia="Times New Roman" w:cs="Calibri"/>
                <w:noProof/>
              </w:rPr>
            </w:pPr>
            <w:r>
              <w:rPr>
                <w:noProof/>
              </w:rPr>
              <w:t>Veškeré opravy v rámci stávajících hranic 13 letišť musí být dokončeny a příslušné dokumenty o schválení od</w:t>
            </w:r>
            <w:r>
              <w:rPr>
                <w:noProof/>
              </w:rPr>
              <w:t>chylek a akčních dokumentech (DAAD) se rozhodnutími řeckého úřadu pro civilní letectví (HCAA) zruší.</w:t>
            </w:r>
          </w:p>
        </w:tc>
      </w:tr>
      <w:tr w:rsidR="00515398" w14:paraId="47B834D1"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60550E" w14:textId="77777777" w:rsidR="00515398" w:rsidRDefault="006711E6">
            <w:pPr>
              <w:pStyle w:val="P68B1DB1-Normal9"/>
              <w:spacing w:after="0" w:line="240" w:lineRule="auto"/>
              <w:rPr>
                <w:rFonts w:eastAsia="Times New Roman" w:cs="Calibri"/>
                <w:noProof/>
                <w:szCs w:val="18"/>
              </w:rPr>
            </w:pPr>
            <w:r>
              <w:rPr>
                <w:noProof/>
              </w:rPr>
              <w:t>271</w:t>
            </w:r>
          </w:p>
        </w:tc>
        <w:tc>
          <w:tcPr>
            <w:tcW w:w="2229" w:type="dxa"/>
            <w:tcBorders>
              <w:top w:val="single" w:sz="4" w:space="0" w:color="auto"/>
              <w:left w:val="nil"/>
              <w:bottom w:val="single" w:sz="4" w:space="0" w:color="auto"/>
              <w:right w:val="single" w:sz="4" w:space="0" w:color="auto"/>
            </w:tcBorders>
            <w:shd w:val="clear" w:color="auto" w:fill="C6EFCE"/>
            <w:noWrap/>
          </w:tcPr>
          <w:p w14:paraId="78ABE0BC" w14:textId="77777777" w:rsidR="00515398" w:rsidRDefault="006711E6">
            <w:pPr>
              <w:pStyle w:val="P68B1DB1-Normal9"/>
              <w:spacing w:after="0" w:line="240" w:lineRule="auto"/>
              <w:rPr>
                <w:rFonts w:eastAsia="Times New Roman"/>
                <w:noProof/>
                <w:szCs w:val="18"/>
                <w:highlight w:val="yellow"/>
              </w:rPr>
            </w:pPr>
            <w:r>
              <w:rPr>
                <w:noProof/>
              </w:rPr>
              <w:t>17–4.6. Modernizace a zlepšení odolnosti klíčových hospodářských odvětví – 16892_Modernizace příměstské železniční dopravy Západní Attiky</w:t>
            </w:r>
          </w:p>
        </w:tc>
        <w:tc>
          <w:tcPr>
            <w:tcW w:w="1134" w:type="dxa"/>
            <w:tcBorders>
              <w:top w:val="single" w:sz="4" w:space="0" w:color="auto"/>
              <w:left w:val="nil"/>
              <w:bottom w:val="single" w:sz="4" w:space="0" w:color="auto"/>
              <w:right w:val="single" w:sz="4" w:space="0" w:color="auto"/>
            </w:tcBorders>
            <w:shd w:val="clear" w:color="auto" w:fill="C6EFCE"/>
            <w:noWrap/>
          </w:tcPr>
          <w:p w14:paraId="74D986A7"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580FA655" w14:textId="0A23A3C3" w:rsidR="00515398" w:rsidRDefault="006711E6">
            <w:pPr>
              <w:pStyle w:val="P68B1DB1-Normal30"/>
              <w:spacing w:after="0" w:line="240" w:lineRule="auto"/>
              <w:rPr>
                <w:rFonts w:ascii="Times New Roman" w:hAnsi="Times New Roman"/>
                <w:noProof/>
                <w:sz w:val="24"/>
                <w:szCs w:val="24"/>
              </w:rPr>
            </w:pPr>
            <w:r>
              <w:rPr>
                <w:noProof/>
              </w:rPr>
              <w:t>Dokončení části železniční trati West Attica z Ano Liossia po začátek úseku ELPE Elefsina a od konce úseku ELPE Elefsina k novému nádraží Megara</w:t>
            </w:r>
          </w:p>
        </w:tc>
        <w:tc>
          <w:tcPr>
            <w:tcW w:w="2127" w:type="dxa"/>
            <w:tcBorders>
              <w:top w:val="single" w:sz="4" w:space="0" w:color="auto"/>
              <w:left w:val="nil"/>
              <w:bottom w:val="single" w:sz="4" w:space="0" w:color="auto"/>
              <w:right w:val="single" w:sz="4" w:space="0" w:color="auto"/>
            </w:tcBorders>
            <w:shd w:val="clear" w:color="auto" w:fill="C6EFCE"/>
            <w:noWrap/>
          </w:tcPr>
          <w:p w14:paraId="6B6CF9D8" w14:textId="3C557360" w:rsidR="00515398" w:rsidRDefault="006711E6">
            <w:pPr>
              <w:pStyle w:val="P68B1DB1-Normal10"/>
              <w:spacing w:after="0" w:line="240" w:lineRule="auto"/>
              <w:rPr>
                <w:noProof/>
              </w:rPr>
            </w:pPr>
            <w:r>
              <w:rPr>
                <w:noProof/>
              </w:rPr>
              <w:t>Dokončení prací</w:t>
            </w:r>
          </w:p>
        </w:tc>
        <w:tc>
          <w:tcPr>
            <w:tcW w:w="992" w:type="dxa"/>
            <w:tcBorders>
              <w:top w:val="single" w:sz="4" w:space="0" w:color="auto"/>
              <w:left w:val="nil"/>
              <w:bottom w:val="single" w:sz="4" w:space="0" w:color="auto"/>
              <w:right w:val="single" w:sz="4" w:space="0" w:color="auto"/>
            </w:tcBorders>
            <w:shd w:val="clear" w:color="auto" w:fill="C6EFCE"/>
            <w:noWrap/>
          </w:tcPr>
          <w:p w14:paraId="4EB9D40C"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A089E82"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47B5CC60"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46E4EF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36D886F7"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2BBE89C6" w14:textId="35380F1B" w:rsidR="00515398" w:rsidRDefault="006711E6">
            <w:pPr>
              <w:spacing w:after="0" w:line="240" w:lineRule="auto"/>
              <w:rPr>
                <w:rFonts w:eastAsia="Times New Roman" w:cs="Calibri"/>
                <w:noProof/>
                <w:color w:val="006100"/>
                <w:sz w:val="18"/>
                <w:szCs w:val="18"/>
              </w:rPr>
            </w:pPr>
            <w:r>
              <w:rPr>
                <w:noProof/>
                <w:color w:val="006100"/>
                <w:sz w:val="18"/>
                <w:szCs w:val="18"/>
              </w:rPr>
              <w:t>Dokončení infrastrukturních a superstrukturních prací, elektrifikace, s</w:t>
            </w:r>
            <w:r>
              <w:rPr>
                <w:noProof/>
                <w:color w:val="006100"/>
                <w:sz w:val="18"/>
                <w:szCs w:val="18"/>
              </w:rPr>
              <w:t>ignalizace a telekomunikační systémy (kromě systému pro informování cestujících) v části předměstské železniční trati Západ Attika</w:t>
            </w:r>
            <w:r>
              <w:rPr>
                <w:rFonts w:ascii="Times New Roman" w:hAnsi="Times New Roman"/>
                <w:noProof/>
                <w:sz w:val="24"/>
                <w:szCs w:val="24"/>
              </w:rPr>
              <w:t xml:space="preserve"> </w:t>
            </w:r>
            <w:r>
              <w:rPr>
                <w:noProof/>
                <w:color w:val="006100"/>
                <w:sz w:val="18"/>
                <w:szCs w:val="18"/>
              </w:rPr>
              <w:t xml:space="preserve">od Ano </w:t>
            </w:r>
            <w:r>
              <w:rPr>
                <w:rFonts w:asciiTheme="minorHAnsi" w:eastAsiaTheme="minorEastAsia" w:hAnsiTheme="minorHAnsi" w:cstheme="minorBidi"/>
                <w:noProof/>
                <w:color w:val="006100"/>
                <w:sz w:val="18"/>
                <w:szCs w:val="18"/>
              </w:rPr>
              <w:t xml:space="preserve">Liossia po začátek úseku ELPE Elefsina a od konce úseku ELPE Elefsina po novou </w:t>
            </w:r>
            <w:r>
              <w:rPr>
                <w:noProof/>
                <w:color w:val="006100"/>
                <w:sz w:val="18"/>
                <w:szCs w:val="18"/>
              </w:rPr>
              <w:t xml:space="preserve">stanici Megara. </w:t>
            </w:r>
          </w:p>
        </w:tc>
      </w:tr>
      <w:tr w:rsidR="00515398" w14:paraId="7DF54C7F" w14:textId="77777777">
        <w:trPr>
          <w:trHeight w:val="796"/>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0CEFF23" w14:textId="77777777" w:rsidR="00515398" w:rsidRDefault="006711E6">
            <w:pPr>
              <w:pStyle w:val="P68B1DB1-Normal9"/>
              <w:spacing w:after="0" w:line="240" w:lineRule="auto"/>
              <w:rPr>
                <w:rFonts w:eastAsia="Times New Roman" w:cs="Calibri"/>
                <w:noProof/>
                <w:szCs w:val="18"/>
              </w:rPr>
            </w:pPr>
            <w:r>
              <w:rPr>
                <w:noProof/>
              </w:rPr>
              <w:t>272</w:t>
            </w:r>
          </w:p>
        </w:tc>
        <w:tc>
          <w:tcPr>
            <w:tcW w:w="2229" w:type="dxa"/>
            <w:tcBorders>
              <w:top w:val="single" w:sz="4" w:space="0" w:color="auto"/>
              <w:left w:val="nil"/>
              <w:bottom w:val="single" w:sz="4" w:space="0" w:color="auto"/>
              <w:right w:val="single" w:sz="4" w:space="0" w:color="auto"/>
            </w:tcBorders>
            <w:shd w:val="clear" w:color="auto" w:fill="C6EFCE"/>
            <w:noWrap/>
          </w:tcPr>
          <w:p w14:paraId="70E828EA" w14:textId="4BE571F0" w:rsidR="00515398" w:rsidRDefault="006711E6">
            <w:pPr>
              <w:pStyle w:val="P68B1DB1-Normal9"/>
              <w:spacing w:after="0" w:line="240" w:lineRule="auto"/>
              <w:rPr>
                <w:rFonts w:eastAsia="Times New Roman" w:cs="Calibri"/>
                <w:noProof/>
                <w:szCs w:val="18"/>
              </w:rPr>
            </w:pPr>
            <w:r>
              <w:rPr>
                <w:noProof/>
              </w:rPr>
              <w:t xml:space="preserve">17–4.6. </w:t>
            </w:r>
            <w:r>
              <w:rPr>
                <w:noProof/>
              </w:rPr>
              <w:t>Modernizace a zlepšení odolnosti klíčových hospodářských odvětví – 16949_Inteligentní mosty</w:t>
            </w:r>
          </w:p>
        </w:tc>
        <w:tc>
          <w:tcPr>
            <w:tcW w:w="1134" w:type="dxa"/>
            <w:tcBorders>
              <w:top w:val="single" w:sz="4" w:space="0" w:color="auto"/>
              <w:left w:val="nil"/>
              <w:bottom w:val="single" w:sz="4" w:space="0" w:color="auto"/>
              <w:right w:val="single" w:sz="4" w:space="0" w:color="auto"/>
            </w:tcBorders>
            <w:shd w:val="clear" w:color="auto" w:fill="C6EFCE"/>
            <w:noWrap/>
          </w:tcPr>
          <w:p w14:paraId="157681E9"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7E628682" w14:textId="77777777" w:rsidR="00515398" w:rsidRDefault="006711E6">
            <w:pPr>
              <w:pStyle w:val="P68B1DB1-Normal9"/>
              <w:spacing w:after="0" w:line="240" w:lineRule="auto"/>
              <w:rPr>
                <w:rFonts w:eastAsia="Times New Roman" w:cs="Calibri"/>
                <w:noProof/>
                <w:szCs w:val="18"/>
              </w:rPr>
            </w:pPr>
            <w:r>
              <w:rPr>
                <w:noProof/>
              </w:rPr>
              <w:t>Dokončení fáze I projektu inteligentních mostů</w:t>
            </w:r>
          </w:p>
        </w:tc>
        <w:tc>
          <w:tcPr>
            <w:tcW w:w="2127" w:type="dxa"/>
            <w:tcBorders>
              <w:top w:val="single" w:sz="4" w:space="0" w:color="auto"/>
              <w:left w:val="nil"/>
              <w:bottom w:val="single" w:sz="4" w:space="0" w:color="auto"/>
              <w:right w:val="single" w:sz="4" w:space="0" w:color="auto"/>
            </w:tcBorders>
            <w:shd w:val="clear" w:color="auto" w:fill="C6EFCE"/>
            <w:noWrap/>
          </w:tcPr>
          <w:p w14:paraId="24CF1247" w14:textId="3F0B8334" w:rsidR="00515398" w:rsidRDefault="006711E6">
            <w:pPr>
              <w:pStyle w:val="P68B1DB1-Normal9"/>
              <w:spacing w:after="0" w:line="240" w:lineRule="auto"/>
              <w:rPr>
                <w:rFonts w:eastAsia="Times New Roman" w:cs="Calibri"/>
                <w:noProof/>
                <w:szCs w:val="18"/>
              </w:rPr>
            </w:pPr>
            <w:r>
              <w:rPr>
                <w:noProof/>
              </w:rPr>
              <w:t>Dokončení prací</w:t>
            </w:r>
          </w:p>
        </w:tc>
        <w:tc>
          <w:tcPr>
            <w:tcW w:w="992" w:type="dxa"/>
            <w:tcBorders>
              <w:top w:val="single" w:sz="4" w:space="0" w:color="auto"/>
              <w:left w:val="nil"/>
              <w:bottom w:val="single" w:sz="4" w:space="0" w:color="auto"/>
              <w:right w:val="single" w:sz="4" w:space="0" w:color="auto"/>
            </w:tcBorders>
            <w:shd w:val="clear" w:color="auto" w:fill="C6EFCE"/>
            <w:noWrap/>
          </w:tcPr>
          <w:p w14:paraId="36FCFABF"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22C39C5"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15B0FFE1"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42550EE3"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5429047D"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449E0A13" w14:textId="77777777" w:rsidR="00515398" w:rsidRDefault="006711E6">
            <w:pPr>
              <w:pStyle w:val="P68B1DB1-Normal9"/>
              <w:spacing w:after="0" w:line="240" w:lineRule="auto"/>
              <w:rPr>
                <w:rFonts w:eastAsia="Times New Roman" w:cs="Calibri"/>
                <w:noProof/>
                <w:szCs w:val="18"/>
              </w:rPr>
            </w:pPr>
            <w:r>
              <w:rPr>
                <w:noProof/>
              </w:rPr>
              <w:t xml:space="preserve">Podskupina 1: Dokončení první fáze projektu inteligentních mostů </w:t>
            </w:r>
            <w:r>
              <w:rPr>
                <w:noProof/>
              </w:rPr>
              <w:t>zajišťující inteligentní preventivní údržbu mostů v několika regionech země.</w:t>
            </w:r>
          </w:p>
        </w:tc>
      </w:tr>
      <w:tr w:rsidR="00515398" w14:paraId="37A4843D"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849CEC" w14:textId="77777777" w:rsidR="00515398" w:rsidRDefault="006711E6">
            <w:pPr>
              <w:pStyle w:val="P68B1DB1-Normal9"/>
              <w:spacing w:after="0" w:line="240" w:lineRule="auto"/>
              <w:rPr>
                <w:rFonts w:eastAsia="Times New Roman" w:cs="Calibri"/>
                <w:noProof/>
                <w:szCs w:val="18"/>
              </w:rPr>
            </w:pPr>
            <w:r>
              <w:rPr>
                <w:noProof/>
              </w:rPr>
              <w:t>272a</w:t>
            </w:r>
          </w:p>
        </w:tc>
        <w:tc>
          <w:tcPr>
            <w:tcW w:w="2229" w:type="dxa"/>
            <w:tcBorders>
              <w:top w:val="single" w:sz="4" w:space="0" w:color="auto"/>
              <w:left w:val="nil"/>
              <w:bottom w:val="single" w:sz="4" w:space="0" w:color="auto"/>
              <w:right w:val="single" w:sz="4" w:space="0" w:color="auto"/>
            </w:tcBorders>
            <w:shd w:val="clear" w:color="auto" w:fill="C6EFCE"/>
            <w:noWrap/>
          </w:tcPr>
          <w:p w14:paraId="4BFBDD02" w14:textId="37B52C98"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16949_Inteligentní mosty</w:t>
            </w:r>
          </w:p>
        </w:tc>
        <w:tc>
          <w:tcPr>
            <w:tcW w:w="1134" w:type="dxa"/>
            <w:tcBorders>
              <w:top w:val="single" w:sz="4" w:space="0" w:color="auto"/>
              <w:left w:val="nil"/>
              <w:bottom w:val="single" w:sz="4" w:space="0" w:color="auto"/>
              <w:right w:val="single" w:sz="4" w:space="0" w:color="auto"/>
            </w:tcBorders>
            <w:shd w:val="clear" w:color="auto" w:fill="C6EFCE"/>
            <w:noWrap/>
          </w:tcPr>
          <w:p w14:paraId="185A653A"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5EEA3131" w14:textId="77777777" w:rsidR="00515398" w:rsidRDefault="006711E6">
            <w:pPr>
              <w:pStyle w:val="P68B1DB1-Normal9"/>
              <w:spacing w:after="0" w:line="240" w:lineRule="auto"/>
              <w:rPr>
                <w:rFonts w:eastAsia="Times New Roman" w:cs="Calibri"/>
                <w:noProof/>
                <w:szCs w:val="18"/>
              </w:rPr>
            </w:pPr>
            <w:r>
              <w:rPr>
                <w:noProof/>
              </w:rPr>
              <w:t>Dokončení projektu inteligentních mostů – fáze II</w:t>
            </w:r>
          </w:p>
        </w:tc>
        <w:tc>
          <w:tcPr>
            <w:tcW w:w="2127" w:type="dxa"/>
            <w:tcBorders>
              <w:top w:val="single" w:sz="4" w:space="0" w:color="auto"/>
              <w:left w:val="nil"/>
              <w:bottom w:val="single" w:sz="4" w:space="0" w:color="auto"/>
              <w:right w:val="single" w:sz="4" w:space="0" w:color="auto"/>
            </w:tcBorders>
            <w:shd w:val="clear" w:color="auto" w:fill="C6EFCE"/>
            <w:noWrap/>
          </w:tcPr>
          <w:p w14:paraId="596E1DCF" w14:textId="142EF3C9" w:rsidR="00515398" w:rsidRDefault="006711E6">
            <w:pPr>
              <w:pStyle w:val="P68B1DB1-Normal9"/>
              <w:spacing w:after="0" w:line="240" w:lineRule="auto"/>
              <w:rPr>
                <w:rFonts w:eastAsia="Times New Roman" w:cs="Calibri"/>
                <w:noProof/>
                <w:szCs w:val="18"/>
              </w:rPr>
            </w:pPr>
            <w:r>
              <w:rPr>
                <w:noProof/>
              </w:rPr>
              <w:t xml:space="preserve">Dokončení prací </w:t>
            </w:r>
          </w:p>
        </w:tc>
        <w:tc>
          <w:tcPr>
            <w:tcW w:w="992" w:type="dxa"/>
            <w:tcBorders>
              <w:top w:val="single" w:sz="4" w:space="0" w:color="auto"/>
              <w:left w:val="nil"/>
              <w:bottom w:val="single" w:sz="4" w:space="0" w:color="auto"/>
              <w:right w:val="single" w:sz="4" w:space="0" w:color="auto"/>
            </w:tcBorders>
            <w:shd w:val="clear" w:color="auto" w:fill="C6EFCE"/>
            <w:noWrap/>
          </w:tcPr>
          <w:p w14:paraId="707A7573"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4F8A228"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7171A93A"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307607F6" w14:textId="77777777" w:rsidR="00515398" w:rsidRDefault="006711E6">
            <w:pPr>
              <w:pStyle w:val="P68B1DB1-Normal9"/>
              <w:spacing w:after="0" w:line="240" w:lineRule="auto"/>
              <w:rPr>
                <w:rFonts w:eastAsia="Times New Roman" w:cs="Calibri"/>
                <w:noProof/>
                <w:szCs w:val="18"/>
              </w:rPr>
            </w:pPr>
            <w:r>
              <w:rPr>
                <w:noProof/>
              </w:rPr>
              <w:t>ČTVRTLETÍ 3</w:t>
            </w:r>
          </w:p>
        </w:tc>
        <w:tc>
          <w:tcPr>
            <w:tcW w:w="713" w:type="dxa"/>
            <w:tcBorders>
              <w:top w:val="single" w:sz="4" w:space="0" w:color="auto"/>
              <w:left w:val="nil"/>
              <w:bottom w:val="single" w:sz="4" w:space="0" w:color="auto"/>
              <w:right w:val="single" w:sz="4" w:space="0" w:color="auto"/>
            </w:tcBorders>
            <w:shd w:val="clear" w:color="auto" w:fill="C6EFCE"/>
            <w:noWrap/>
          </w:tcPr>
          <w:p w14:paraId="3B1C45CE"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46AEB6B8" w14:textId="77777777" w:rsidR="00515398" w:rsidRDefault="006711E6">
            <w:pPr>
              <w:pStyle w:val="P68B1DB1-Normal9"/>
              <w:spacing w:after="0" w:line="240" w:lineRule="auto"/>
              <w:rPr>
                <w:rFonts w:eastAsia="Times New Roman" w:cs="Calibri"/>
                <w:noProof/>
                <w:szCs w:val="18"/>
              </w:rPr>
            </w:pPr>
            <w:r>
              <w:rPr>
                <w:noProof/>
              </w:rPr>
              <w:t xml:space="preserve">Dokončení fáze II projektu inteligentních mostů, která poskytuje mosty s bezdrátovými senzory napájenými solárními panely. </w:t>
            </w:r>
          </w:p>
        </w:tc>
      </w:tr>
      <w:tr w:rsidR="00515398" w14:paraId="25FCFD1F"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3D71F85E" w14:textId="77777777" w:rsidR="00515398" w:rsidRDefault="006711E6">
            <w:pPr>
              <w:pStyle w:val="P68B1DB1-Normal9"/>
              <w:spacing w:after="0" w:line="240" w:lineRule="auto"/>
              <w:rPr>
                <w:rFonts w:eastAsia="Times New Roman" w:cs="Calibri"/>
                <w:noProof/>
                <w:szCs w:val="18"/>
              </w:rPr>
            </w:pPr>
            <w:r>
              <w:rPr>
                <w:noProof/>
              </w:rPr>
              <w:t>274</w:t>
            </w:r>
          </w:p>
        </w:tc>
        <w:tc>
          <w:tcPr>
            <w:tcW w:w="2229" w:type="dxa"/>
            <w:tcBorders>
              <w:top w:val="single" w:sz="4" w:space="0" w:color="auto"/>
              <w:left w:val="nil"/>
              <w:bottom w:val="single" w:sz="4" w:space="0" w:color="auto"/>
              <w:right w:val="single" w:sz="4" w:space="0" w:color="auto"/>
            </w:tcBorders>
            <w:shd w:val="clear" w:color="auto" w:fill="C6EFCE"/>
            <w:noWrap/>
          </w:tcPr>
          <w:p w14:paraId="585210AE"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16959_Digitální transformace </w:t>
            </w:r>
            <w:r>
              <w:rPr>
                <w:noProof/>
              </w:rPr>
              <w:t>řecké organizace železnic</w:t>
            </w:r>
          </w:p>
        </w:tc>
        <w:tc>
          <w:tcPr>
            <w:tcW w:w="1134" w:type="dxa"/>
            <w:tcBorders>
              <w:top w:val="single" w:sz="4" w:space="0" w:color="auto"/>
              <w:left w:val="nil"/>
              <w:bottom w:val="single" w:sz="4" w:space="0" w:color="auto"/>
              <w:right w:val="single" w:sz="4" w:space="0" w:color="auto"/>
            </w:tcBorders>
            <w:shd w:val="clear" w:color="auto" w:fill="C6EFCE"/>
            <w:noWrap/>
          </w:tcPr>
          <w:p w14:paraId="5F56B794"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1CCD96D6" w14:textId="77777777" w:rsidR="00515398" w:rsidRDefault="006711E6">
            <w:pPr>
              <w:pStyle w:val="P68B1DB1-Normal9"/>
              <w:spacing w:after="0" w:line="240" w:lineRule="auto"/>
              <w:rPr>
                <w:rFonts w:eastAsia="Times New Roman" w:cs="Calibri"/>
                <w:noProof/>
                <w:szCs w:val="18"/>
              </w:rPr>
            </w:pPr>
            <w:r>
              <w:rPr>
                <w:noProof/>
              </w:rPr>
              <w:t>Dokončení digitální transformace projektu OSE</w:t>
            </w:r>
          </w:p>
        </w:tc>
        <w:tc>
          <w:tcPr>
            <w:tcW w:w="2127" w:type="dxa"/>
            <w:tcBorders>
              <w:top w:val="single" w:sz="4" w:space="0" w:color="auto"/>
              <w:left w:val="nil"/>
              <w:bottom w:val="single" w:sz="4" w:space="0" w:color="auto"/>
              <w:right w:val="single" w:sz="4" w:space="0" w:color="auto"/>
            </w:tcBorders>
            <w:shd w:val="clear" w:color="auto" w:fill="C6EFCE"/>
            <w:noWrap/>
          </w:tcPr>
          <w:p w14:paraId="16206311" w14:textId="77777777" w:rsidR="00515398" w:rsidRDefault="006711E6">
            <w:pPr>
              <w:pStyle w:val="P68B1DB1-Normal9"/>
              <w:spacing w:after="0" w:line="240" w:lineRule="auto"/>
              <w:rPr>
                <w:rFonts w:eastAsia="Times New Roman" w:cs="Calibri"/>
                <w:noProof/>
                <w:szCs w:val="18"/>
              </w:rPr>
            </w:pPr>
            <w:r>
              <w:rPr>
                <w:noProof/>
              </w:rPr>
              <w:t>Zpráva OSE o dokončení.</w:t>
            </w:r>
          </w:p>
          <w:p w14:paraId="7385360D" w14:textId="77777777" w:rsidR="00515398" w:rsidRDefault="00515398">
            <w:pPr>
              <w:spacing w:after="0" w:line="240" w:lineRule="auto"/>
              <w:rPr>
                <w:rFonts w:eastAsia="Times New Roman" w:cs="Calibri"/>
                <w:noProof/>
                <w:color w:val="006100"/>
                <w:sz w:val="18"/>
                <w:szCs w:val="18"/>
              </w:rPr>
            </w:pPr>
          </w:p>
          <w:p w14:paraId="58777760"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A2B7204"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FC202FA"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00F93705"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3C07A94"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3A2B6FB6"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2F69665F" w14:textId="77777777" w:rsidR="00515398" w:rsidRDefault="006711E6">
            <w:pPr>
              <w:pStyle w:val="P68B1DB1-Normal9"/>
              <w:spacing w:after="0" w:line="240" w:lineRule="auto"/>
              <w:rPr>
                <w:rFonts w:eastAsia="Times New Roman" w:cs="Calibri"/>
                <w:noProof/>
                <w:szCs w:val="18"/>
              </w:rPr>
            </w:pPr>
            <w:r>
              <w:rPr>
                <w:noProof/>
              </w:rPr>
              <w:t xml:space="preserve">Dokončení projektu digitalizace OSE: </w:t>
            </w:r>
          </w:p>
          <w:p w14:paraId="79890866" w14:textId="684B354B" w:rsidR="00515398" w:rsidRDefault="006711E6">
            <w:pPr>
              <w:pStyle w:val="P68B1DB1-Normal10"/>
              <w:spacing w:after="0" w:line="240" w:lineRule="auto"/>
              <w:rPr>
                <w:rFonts w:eastAsia="Times New Roman" w:cs="Calibri"/>
                <w:noProof/>
              </w:rPr>
            </w:pPr>
            <w:r>
              <w:rPr>
                <w:noProof/>
              </w:rPr>
              <w:t>1. Systém pro správu jízdenek a telematiku;</w:t>
            </w:r>
          </w:p>
          <w:p w14:paraId="1914329C" w14:textId="77777777" w:rsidR="00515398" w:rsidRDefault="006711E6">
            <w:pPr>
              <w:pStyle w:val="P68B1DB1-Normal9"/>
              <w:spacing w:after="0" w:line="240" w:lineRule="auto"/>
              <w:rPr>
                <w:rFonts w:eastAsia="Times New Roman" w:cs="Calibri"/>
                <w:noProof/>
                <w:szCs w:val="18"/>
              </w:rPr>
            </w:pPr>
            <w:r>
              <w:rPr>
                <w:noProof/>
              </w:rPr>
              <w:t xml:space="preserve"> 2. Infrastruktura inteligentních stanic;</w:t>
            </w:r>
          </w:p>
          <w:p w14:paraId="36E64065" w14:textId="77777777" w:rsidR="00515398" w:rsidRDefault="006711E6">
            <w:pPr>
              <w:pStyle w:val="P68B1DB1-Normal9"/>
              <w:spacing w:after="0" w:line="240" w:lineRule="auto"/>
              <w:rPr>
                <w:rFonts w:eastAsia="Times New Roman" w:cs="Calibri"/>
                <w:noProof/>
                <w:szCs w:val="18"/>
              </w:rPr>
            </w:pPr>
            <w:r>
              <w:rPr>
                <w:noProof/>
              </w:rPr>
              <w:t xml:space="preserve"> 3. Služby v oblasti zkušeností se zákazníky;</w:t>
            </w:r>
          </w:p>
          <w:p w14:paraId="3A414599" w14:textId="77777777" w:rsidR="00515398" w:rsidRDefault="006711E6">
            <w:pPr>
              <w:pStyle w:val="P68B1DB1-Normal9"/>
              <w:spacing w:after="0" w:line="240" w:lineRule="auto"/>
              <w:rPr>
                <w:rFonts w:eastAsia="Times New Roman" w:cs="Calibri"/>
                <w:noProof/>
                <w:szCs w:val="18"/>
              </w:rPr>
            </w:pPr>
            <w:r>
              <w:rPr>
                <w:noProof/>
              </w:rPr>
              <w:t xml:space="preserve"> 4. Zavedení a provozování telekomunikační sítě pro vysokorychlostní internet na vlakových nádražích a stanicích;</w:t>
            </w:r>
          </w:p>
          <w:p w14:paraId="7517CF6D" w14:textId="77777777" w:rsidR="00515398" w:rsidRDefault="006711E6">
            <w:pPr>
              <w:pStyle w:val="P68B1DB1-Normal9"/>
              <w:spacing w:after="0" w:line="240" w:lineRule="auto"/>
              <w:rPr>
                <w:rFonts w:eastAsia="Times New Roman" w:cs="Calibri"/>
                <w:noProof/>
                <w:szCs w:val="18"/>
              </w:rPr>
            </w:pPr>
            <w:r>
              <w:rPr>
                <w:noProof/>
              </w:rPr>
              <w:t>5. OSE Vehicle Telematics System (Vehicle Telematics System)</w:t>
            </w:r>
          </w:p>
          <w:p w14:paraId="2D7D886D" w14:textId="28485ED5" w:rsidR="00515398" w:rsidRDefault="006711E6">
            <w:pPr>
              <w:pStyle w:val="P68B1DB1-Normal10"/>
              <w:spacing w:after="0" w:line="240" w:lineRule="auto"/>
              <w:rPr>
                <w:rFonts w:eastAsia="Times New Roman" w:cs="Calibri"/>
                <w:noProof/>
              </w:rPr>
            </w:pPr>
            <w:r>
              <w:rPr>
                <w:noProof/>
              </w:rPr>
              <w:t xml:space="preserve"> Instalační služby; </w:t>
            </w:r>
          </w:p>
          <w:p w14:paraId="1C5C4216" w14:textId="4AF2599D" w:rsidR="00515398" w:rsidRDefault="006711E6">
            <w:pPr>
              <w:pStyle w:val="P68B1DB1-Normal10"/>
              <w:spacing w:after="0" w:line="240" w:lineRule="auto"/>
              <w:rPr>
                <w:rFonts w:eastAsia="Times New Roman" w:cs="Calibri"/>
                <w:noProof/>
              </w:rPr>
            </w:pPr>
            <w:r>
              <w:rPr>
                <w:noProof/>
              </w:rPr>
              <w:t>6. Služby odbo</w:t>
            </w:r>
            <w:r>
              <w:rPr>
                <w:noProof/>
              </w:rPr>
              <w:t>rné přípravy; a pokud</w:t>
            </w:r>
          </w:p>
          <w:p w14:paraId="43E792F1" w14:textId="21435AA6" w:rsidR="00515398" w:rsidRDefault="006711E6">
            <w:pPr>
              <w:pStyle w:val="P68B1DB1-Normal30"/>
              <w:spacing w:after="0" w:line="240" w:lineRule="auto"/>
              <w:rPr>
                <w:noProof/>
              </w:rPr>
            </w:pPr>
            <w:r>
              <w:rPr>
                <w:noProof/>
              </w:rPr>
              <w:t>7. Dokončení modernizace bezpečnostní infrastruktury deseti železničních tunelů pomocí inteligentních systémů.</w:t>
            </w:r>
          </w:p>
        </w:tc>
      </w:tr>
      <w:tr w:rsidR="00515398" w14:paraId="7F9D61A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587525E" w14:textId="77777777" w:rsidR="00515398" w:rsidRDefault="006711E6">
            <w:pPr>
              <w:pStyle w:val="P68B1DB1-Normal9"/>
              <w:spacing w:after="0" w:line="240" w:lineRule="auto"/>
              <w:rPr>
                <w:rFonts w:eastAsia="Times New Roman" w:cs="Calibri"/>
                <w:noProof/>
                <w:szCs w:val="18"/>
              </w:rPr>
            </w:pPr>
            <w:r>
              <w:rPr>
                <w:noProof/>
              </w:rPr>
              <w:t>275</w:t>
            </w:r>
          </w:p>
        </w:tc>
        <w:tc>
          <w:tcPr>
            <w:tcW w:w="2229" w:type="dxa"/>
            <w:tcBorders>
              <w:top w:val="single" w:sz="4" w:space="0" w:color="auto"/>
              <w:left w:val="nil"/>
              <w:bottom w:val="single" w:sz="4" w:space="0" w:color="auto"/>
              <w:right w:val="single" w:sz="4" w:space="0" w:color="auto"/>
            </w:tcBorders>
            <w:shd w:val="clear" w:color="auto" w:fill="C6EFCE"/>
            <w:noWrap/>
          </w:tcPr>
          <w:p w14:paraId="636FE49F"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16960_Inteligentní infrastruktura se </w:t>
            </w:r>
            <w:r>
              <w:rPr>
                <w:noProof/>
              </w:rPr>
              <w:t>zaměřením na životní prostředí a kulturu</w:t>
            </w:r>
          </w:p>
        </w:tc>
        <w:tc>
          <w:tcPr>
            <w:tcW w:w="1134" w:type="dxa"/>
            <w:tcBorders>
              <w:top w:val="single" w:sz="4" w:space="0" w:color="auto"/>
              <w:left w:val="nil"/>
              <w:bottom w:val="single" w:sz="4" w:space="0" w:color="auto"/>
              <w:right w:val="single" w:sz="4" w:space="0" w:color="auto"/>
            </w:tcBorders>
            <w:shd w:val="clear" w:color="auto" w:fill="C6EFCE"/>
            <w:noWrap/>
          </w:tcPr>
          <w:p w14:paraId="56A286FF"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3421B94F" w14:textId="77777777" w:rsidR="00515398" w:rsidRDefault="006711E6">
            <w:pPr>
              <w:pStyle w:val="P68B1DB1-Normal9"/>
              <w:spacing w:after="0" w:line="240" w:lineRule="auto"/>
              <w:rPr>
                <w:rFonts w:eastAsia="Times New Roman" w:cs="Calibri"/>
                <w:noProof/>
                <w:szCs w:val="18"/>
              </w:rPr>
            </w:pPr>
            <w:r>
              <w:rPr>
                <w:noProof/>
              </w:rPr>
              <w:t>Dokončení projektu inteligentní infrastruktury</w:t>
            </w:r>
          </w:p>
        </w:tc>
        <w:tc>
          <w:tcPr>
            <w:tcW w:w="2127" w:type="dxa"/>
            <w:tcBorders>
              <w:top w:val="single" w:sz="4" w:space="0" w:color="auto"/>
              <w:left w:val="nil"/>
              <w:bottom w:val="single" w:sz="4" w:space="0" w:color="auto"/>
              <w:right w:val="single" w:sz="4" w:space="0" w:color="auto"/>
            </w:tcBorders>
            <w:shd w:val="clear" w:color="auto" w:fill="C6EFCE"/>
            <w:noWrap/>
          </w:tcPr>
          <w:p w14:paraId="0CCEC8EB" w14:textId="4AD52E4E" w:rsidR="00515398" w:rsidRDefault="006711E6">
            <w:pPr>
              <w:pStyle w:val="P68B1DB1-Normal9"/>
              <w:spacing w:after="0" w:line="240" w:lineRule="auto"/>
              <w:rPr>
                <w:rFonts w:eastAsia="Times New Roman" w:cs="Calibri"/>
                <w:noProof/>
                <w:szCs w:val="18"/>
              </w:rPr>
            </w:pPr>
            <w:r>
              <w:rPr>
                <w:noProof/>
              </w:rPr>
              <w:t>Dokončení dílčích projektů</w:t>
            </w:r>
          </w:p>
        </w:tc>
        <w:tc>
          <w:tcPr>
            <w:tcW w:w="992" w:type="dxa"/>
            <w:tcBorders>
              <w:top w:val="single" w:sz="4" w:space="0" w:color="auto"/>
              <w:left w:val="nil"/>
              <w:bottom w:val="single" w:sz="4" w:space="0" w:color="auto"/>
              <w:right w:val="single" w:sz="4" w:space="0" w:color="auto"/>
            </w:tcBorders>
            <w:shd w:val="clear" w:color="auto" w:fill="C6EFCE"/>
            <w:noWrap/>
          </w:tcPr>
          <w:p w14:paraId="73FEA234"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AA1A5FF"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7669D9E9"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55D9BB4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1CF2618C"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1994E7AB" w14:textId="77777777" w:rsidR="00515398" w:rsidRDefault="006711E6">
            <w:pPr>
              <w:pStyle w:val="P68B1DB1-Normal9"/>
              <w:spacing w:after="0" w:line="240" w:lineRule="auto"/>
              <w:rPr>
                <w:rFonts w:eastAsia="Times New Roman" w:cs="Calibri"/>
                <w:noProof/>
                <w:szCs w:val="18"/>
              </w:rPr>
            </w:pPr>
            <w:r>
              <w:rPr>
                <w:noProof/>
              </w:rPr>
              <w:t>Všechny dokončené dílčí projekty:</w:t>
            </w:r>
          </w:p>
          <w:p w14:paraId="00883A41" w14:textId="77777777" w:rsidR="00515398" w:rsidRDefault="006711E6">
            <w:pPr>
              <w:pStyle w:val="P68B1DB1-Normal9"/>
              <w:spacing w:after="0" w:line="240" w:lineRule="auto"/>
              <w:rPr>
                <w:rFonts w:eastAsia="Times New Roman" w:cs="Calibri"/>
                <w:noProof/>
                <w:szCs w:val="18"/>
              </w:rPr>
            </w:pPr>
            <w:r>
              <w:rPr>
                <w:noProof/>
              </w:rPr>
              <w:t xml:space="preserve">1. Informační systém pro vymezení vodních toků s cílem přispět k ochraně </w:t>
            </w:r>
            <w:r>
              <w:rPr>
                <w:noProof/>
              </w:rPr>
              <w:t>přírody a biologické rozmanitosti;</w:t>
            </w:r>
          </w:p>
          <w:p w14:paraId="052F8CC2" w14:textId="77777777" w:rsidR="00515398" w:rsidRDefault="006711E6">
            <w:pPr>
              <w:pStyle w:val="P68B1DB1-Normal9"/>
              <w:spacing w:after="0" w:line="240" w:lineRule="auto"/>
              <w:rPr>
                <w:rFonts w:eastAsia="Times New Roman" w:cs="Calibri"/>
                <w:noProof/>
                <w:szCs w:val="18"/>
              </w:rPr>
            </w:pPr>
            <w:r>
              <w:rPr>
                <w:noProof/>
              </w:rPr>
              <w:t>2. Digital Bank for Building Plot Ration transactions (Digitální banka pro transakce s ratingem budov);</w:t>
            </w:r>
          </w:p>
          <w:p w14:paraId="0C37AA59" w14:textId="77777777" w:rsidR="00515398" w:rsidRDefault="006711E6">
            <w:pPr>
              <w:pStyle w:val="P68B1DB1-Normal9"/>
              <w:spacing w:after="0" w:line="240" w:lineRule="auto"/>
              <w:rPr>
                <w:rFonts w:eastAsia="Times New Roman" w:cs="Calibri"/>
                <w:noProof/>
                <w:szCs w:val="18"/>
              </w:rPr>
            </w:pPr>
            <w:r>
              <w:rPr>
                <w:noProof/>
              </w:rPr>
              <w:t>3. Jednotná digitální mapa;</w:t>
            </w:r>
          </w:p>
          <w:p w14:paraId="4E8EDC53" w14:textId="6F5E565A" w:rsidR="00515398" w:rsidRDefault="006711E6">
            <w:pPr>
              <w:pStyle w:val="P68B1DB1-Normal9"/>
              <w:spacing w:after="0" w:line="240" w:lineRule="auto"/>
              <w:rPr>
                <w:rFonts w:eastAsia="Times New Roman" w:cs="Calibri"/>
                <w:noProof/>
                <w:szCs w:val="18"/>
              </w:rPr>
            </w:pPr>
            <w:r>
              <w:rPr>
                <w:noProof/>
              </w:rPr>
              <w:t>4. Digitální měření a monitorování látek znečišťujících ovzduší a znečištění moří za účel</w:t>
            </w:r>
            <w:r>
              <w:rPr>
                <w:noProof/>
              </w:rPr>
              <w:t xml:space="preserve">em optimalizace </w:t>
            </w:r>
            <w:r>
              <w:rPr>
                <w:rFonts w:eastAsia="Times New Roman" w:cs="Calibri"/>
                <w:noProof/>
                <w:szCs w:val="18"/>
              </w:rPr>
              <w:t>vnitrostátních monitorovacích systémů v souladu s požadavky právních předpisů EU</w:t>
            </w:r>
            <w:r>
              <w:rPr>
                <w:noProof/>
              </w:rPr>
              <w:t>; a pokud</w:t>
            </w:r>
          </w:p>
          <w:p w14:paraId="38443994" w14:textId="1123A9BE" w:rsidR="00515398" w:rsidRDefault="006711E6">
            <w:pPr>
              <w:pStyle w:val="P68B1DB1-Normal9"/>
              <w:spacing w:after="0" w:line="240" w:lineRule="auto"/>
              <w:rPr>
                <w:noProof/>
              </w:rPr>
            </w:pPr>
            <w:r>
              <w:rPr>
                <w:noProof/>
              </w:rPr>
              <w:t>5. Inteligentní infrastruktura a rozvoj interaktivních digitálních služeb a produkce digitálního obsahu na podporu kulturních výstav s rozšířenou a vi</w:t>
            </w:r>
            <w:r>
              <w:rPr>
                <w:noProof/>
              </w:rPr>
              <w:t>rtuální realitou muzeí;</w:t>
            </w:r>
          </w:p>
          <w:p w14:paraId="59A73B5E" w14:textId="252CB853" w:rsidR="00515398" w:rsidRDefault="006711E6">
            <w:pPr>
              <w:pStyle w:val="P68B1DB1-Normal17"/>
              <w:spacing w:after="0" w:line="240" w:lineRule="auto"/>
              <w:rPr>
                <w:noProof/>
              </w:rPr>
            </w:pPr>
            <w:r>
              <w:rPr>
                <w:noProof/>
              </w:rPr>
              <w:t>6. Sledování nelegální výstavby a výstavby.</w:t>
            </w:r>
          </w:p>
        </w:tc>
      </w:tr>
      <w:tr w:rsidR="00515398" w14:paraId="20812AC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3B95CED" w14:textId="77777777" w:rsidR="00515398" w:rsidRDefault="006711E6">
            <w:pPr>
              <w:pStyle w:val="P68B1DB1-Normal9"/>
              <w:spacing w:after="0" w:line="240" w:lineRule="auto"/>
              <w:rPr>
                <w:rFonts w:eastAsia="Times New Roman" w:cs="Calibri"/>
                <w:noProof/>
                <w:szCs w:val="18"/>
              </w:rPr>
            </w:pPr>
            <w:r>
              <w:rPr>
                <w:noProof/>
              </w:rPr>
              <w:t>276</w:t>
            </w:r>
          </w:p>
        </w:tc>
        <w:tc>
          <w:tcPr>
            <w:tcW w:w="2229" w:type="dxa"/>
            <w:tcBorders>
              <w:top w:val="single" w:sz="4" w:space="0" w:color="auto"/>
              <w:left w:val="nil"/>
              <w:bottom w:val="single" w:sz="4" w:space="0" w:color="auto"/>
              <w:right w:val="single" w:sz="4" w:space="0" w:color="auto"/>
            </w:tcBorders>
            <w:shd w:val="clear" w:color="auto" w:fill="C6EFCE"/>
            <w:noWrap/>
          </w:tcPr>
          <w:p w14:paraId="092ECEBC"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16937_Digital Integrated Program Management System for the Administration of the Technical Works and </w:t>
            </w:r>
            <w:r>
              <w:rPr>
                <w:noProof/>
              </w:rPr>
              <w:t>Structural Assets of the Ministry of Infrastructure and Transport (Integrovaný digitální systém řízení programů pro správu technických prací a strukturálních aktiv Ministerstva infrastruktury a dopravy)</w:t>
            </w:r>
          </w:p>
        </w:tc>
        <w:tc>
          <w:tcPr>
            <w:tcW w:w="1134" w:type="dxa"/>
            <w:tcBorders>
              <w:top w:val="single" w:sz="4" w:space="0" w:color="auto"/>
              <w:left w:val="nil"/>
              <w:bottom w:val="single" w:sz="4" w:space="0" w:color="auto"/>
              <w:right w:val="single" w:sz="4" w:space="0" w:color="auto"/>
            </w:tcBorders>
            <w:shd w:val="clear" w:color="auto" w:fill="C6EFCE"/>
            <w:noWrap/>
          </w:tcPr>
          <w:p w14:paraId="63BDC595"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0251C351" w14:textId="77777777" w:rsidR="00515398" w:rsidRDefault="006711E6">
            <w:pPr>
              <w:pStyle w:val="P68B1DB1-Normal9"/>
              <w:spacing w:after="0" w:line="240" w:lineRule="auto"/>
              <w:rPr>
                <w:rFonts w:eastAsia="Times New Roman" w:cs="Calibri"/>
                <w:noProof/>
                <w:szCs w:val="18"/>
              </w:rPr>
            </w:pPr>
            <w:r>
              <w:rPr>
                <w:noProof/>
              </w:rPr>
              <w:t>Dokončení systému PMIS pro ministerstvo infras</w:t>
            </w:r>
            <w:r>
              <w:rPr>
                <w:noProof/>
              </w:rPr>
              <w:t>truktury</w:t>
            </w:r>
          </w:p>
        </w:tc>
        <w:tc>
          <w:tcPr>
            <w:tcW w:w="2127" w:type="dxa"/>
            <w:tcBorders>
              <w:top w:val="single" w:sz="4" w:space="0" w:color="auto"/>
              <w:left w:val="nil"/>
              <w:bottom w:val="single" w:sz="4" w:space="0" w:color="auto"/>
              <w:right w:val="single" w:sz="4" w:space="0" w:color="auto"/>
            </w:tcBorders>
            <w:shd w:val="clear" w:color="auto" w:fill="C6EFCE"/>
            <w:noWrap/>
          </w:tcPr>
          <w:p w14:paraId="15BEBA45" w14:textId="77777777" w:rsidR="00515398" w:rsidRDefault="006711E6">
            <w:pPr>
              <w:pStyle w:val="P68B1DB1-Normal9"/>
              <w:spacing w:after="0" w:line="240" w:lineRule="auto"/>
              <w:rPr>
                <w:rFonts w:eastAsia="Times New Roman" w:cs="Calibri"/>
                <w:noProof/>
                <w:szCs w:val="18"/>
              </w:rPr>
            </w:pPr>
            <w:r>
              <w:rPr>
                <w:noProof/>
              </w:rPr>
              <w:t>Zpráva ministerstva infrastruktury o dokončení</w:t>
            </w:r>
          </w:p>
        </w:tc>
        <w:tc>
          <w:tcPr>
            <w:tcW w:w="992" w:type="dxa"/>
            <w:tcBorders>
              <w:top w:val="single" w:sz="4" w:space="0" w:color="auto"/>
              <w:left w:val="nil"/>
              <w:bottom w:val="single" w:sz="4" w:space="0" w:color="auto"/>
              <w:right w:val="single" w:sz="4" w:space="0" w:color="auto"/>
            </w:tcBorders>
            <w:shd w:val="clear" w:color="auto" w:fill="C6EFCE"/>
            <w:noWrap/>
          </w:tcPr>
          <w:p w14:paraId="50FC9341"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04A9F936"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07CA42DE"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7574059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7F07E5AB"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6D02D3B8" w14:textId="77777777" w:rsidR="00515398" w:rsidRDefault="006711E6">
            <w:pPr>
              <w:pStyle w:val="P68B1DB1-Normal9"/>
              <w:spacing w:after="0" w:line="240" w:lineRule="auto"/>
              <w:rPr>
                <w:rFonts w:eastAsia="Times New Roman" w:cs="Calibri"/>
                <w:noProof/>
                <w:szCs w:val="18"/>
              </w:rPr>
            </w:pPr>
            <w:r>
              <w:rPr>
                <w:noProof/>
              </w:rPr>
              <w:t>Poskytování nejmodernějšího informačního systému PMIS (Portfolio Management Information System) pro ministerstvo infrastruktury.</w:t>
            </w:r>
          </w:p>
        </w:tc>
      </w:tr>
      <w:tr w:rsidR="00515398" w14:paraId="2802CD2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6524A7E" w14:textId="77777777" w:rsidR="00515398" w:rsidRDefault="006711E6">
            <w:pPr>
              <w:pStyle w:val="P68B1DB1-Normal9"/>
              <w:spacing w:after="0" w:line="240" w:lineRule="auto"/>
              <w:rPr>
                <w:rFonts w:eastAsia="Times New Roman" w:cs="Calibri"/>
                <w:noProof/>
                <w:szCs w:val="18"/>
              </w:rPr>
            </w:pPr>
            <w:r>
              <w:rPr>
                <w:noProof/>
              </w:rPr>
              <w:t>277</w:t>
            </w:r>
          </w:p>
        </w:tc>
        <w:tc>
          <w:tcPr>
            <w:tcW w:w="2229" w:type="dxa"/>
            <w:tcBorders>
              <w:top w:val="single" w:sz="4" w:space="0" w:color="auto"/>
              <w:left w:val="single" w:sz="4" w:space="0" w:color="auto"/>
              <w:bottom w:val="single" w:sz="4" w:space="0" w:color="auto"/>
              <w:right w:val="single" w:sz="4" w:space="0" w:color="auto"/>
            </w:tcBorders>
            <w:shd w:val="clear" w:color="auto" w:fill="C6EFCE"/>
            <w:noWrap/>
          </w:tcPr>
          <w:p w14:paraId="6E007A78"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w:t>
            </w:r>
            <w:r>
              <w:rPr>
                <w:noProof/>
              </w:rPr>
              <w:t>klíčových hospodářských odvětví – 16786_Zjednodušení postupů Ministerstva infrastruktury a dopravy</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23673E5D"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single" w:sz="4" w:space="0" w:color="auto"/>
              <w:bottom w:val="single" w:sz="4" w:space="0" w:color="auto"/>
              <w:right w:val="single" w:sz="4" w:space="0" w:color="auto"/>
            </w:tcBorders>
            <w:shd w:val="clear" w:color="auto" w:fill="C6EFCE"/>
            <w:noWrap/>
          </w:tcPr>
          <w:p w14:paraId="4AD0377F" w14:textId="77777777" w:rsidR="00515398" w:rsidRDefault="006711E6">
            <w:pPr>
              <w:pStyle w:val="P68B1DB1-Normal9"/>
              <w:spacing w:after="0" w:line="240" w:lineRule="auto"/>
              <w:rPr>
                <w:rFonts w:eastAsia="Times New Roman" w:cs="Calibri"/>
                <w:noProof/>
                <w:szCs w:val="18"/>
              </w:rPr>
            </w:pPr>
            <w:r>
              <w:rPr>
                <w:noProof/>
              </w:rPr>
              <w:t>Zjednodušení postupů pro Ministerstvo dopravy</w:t>
            </w:r>
          </w:p>
        </w:tc>
        <w:tc>
          <w:tcPr>
            <w:tcW w:w="2127" w:type="dxa"/>
            <w:tcBorders>
              <w:top w:val="single" w:sz="4" w:space="0" w:color="auto"/>
              <w:left w:val="single" w:sz="4" w:space="0" w:color="auto"/>
              <w:bottom w:val="single" w:sz="4" w:space="0" w:color="auto"/>
              <w:right w:val="single" w:sz="4" w:space="0" w:color="auto"/>
            </w:tcBorders>
            <w:shd w:val="clear" w:color="auto" w:fill="C6EFCE"/>
            <w:noWrap/>
          </w:tcPr>
          <w:p w14:paraId="30EDE871" w14:textId="042A515A" w:rsidR="00515398" w:rsidRDefault="006711E6">
            <w:pPr>
              <w:pStyle w:val="P68B1DB1-Normal9"/>
              <w:spacing w:after="0" w:line="240" w:lineRule="auto"/>
              <w:rPr>
                <w:rFonts w:eastAsia="Times New Roman" w:cs="Calibri"/>
                <w:noProof/>
                <w:szCs w:val="18"/>
              </w:rPr>
            </w:pPr>
            <w:r>
              <w:rPr>
                <w:noProof/>
              </w:rPr>
              <w:t>Zpráva Ministerstva infrastruktury a dopravy o dokončení</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31FB00B5"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C6EFCE"/>
            <w:noWrap/>
          </w:tcPr>
          <w:p w14:paraId="0556E870"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C6EFCE"/>
            <w:noWrap/>
          </w:tcPr>
          <w:p w14:paraId="721FCB81"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8CF0441"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single" w:sz="4" w:space="0" w:color="auto"/>
              <w:bottom w:val="single" w:sz="4" w:space="0" w:color="auto"/>
              <w:right w:val="single" w:sz="4" w:space="0" w:color="auto"/>
            </w:tcBorders>
            <w:shd w:val="clear" w:color="auto" w:fill="C6EFCE"/>
            <w:noWrap/>
          </w:tcPr>
          <w:p w14:paraId="48E31D23" w14:textId="203398FF" w:rsidR="00515398" w:rsidRDefault="006711E6">
            <w:pPr>
              <w:pStyle w:val="P68B1DB1-Normal10"/>
              <w:spacing w:after="0" w:line="240" w:lineRule="auto"/>
              <w:rPr>
                <w:rFonts w:eastAsia="Times New Roman" w:cs="Calibri"/>
                <w:noProof/>
              </w:rPr>
            </w:pPr>
            <w:r>
              <w:rPr>
                <w:noProof/>
              </w:rPr>
              <w:t>2024</w:t>
            </w:r>
          </w:p>
        </w:tc>
        <w:tc>
          <w:tcPr>
            <w:tcW w:w="3402" w:type="dxa"/>
            <w:tcBorders>
              <w:top w:val="single" w:sz="4" w:space="0" w:color="auto"/>
              <w:left w:val="single" w:sz="4" w:space="0" w:color="auto"/>
              <w:bottom w:val="single" w:sz="4" w:space="0" w:color="auto"/>
              <w:right w:val="single" w:sz="4" w:space="0" w:color="auto"/>
            </w:tcBorders>
            <w:shd w:val="clear" w:color="auto" w:fill="C6EFCE"/>
            <w:noWrap/>
          </w:tcPr>
          <w:p w14:paraId="4BE1944B" w14:textId="52BEA770" w:rsidR="00515398" w:rsidRDefault="006711E6">
            <w:pPr>
              <w:pStyle w:val="P68B1DB1-Normal9"/>
              <w:spacing w:after="0" w:line="240" w:lineRule="auto"/>
              <w:rPr>
                <w:rFonts w:eastAsia="Times New Roman" w:cs="Calibri"/>
                <w:noProof/>
                <w:szCs w:val="18"/>
              </w:rPr>
            </w:pPr>
            <w:r>
              <w:rPr>
                <w:noProof/>
              </w:rPr>
              <w:t xml:space="preserve">Provést digitální </w:t>
            </w:r>
            <w:r>
              <w:rPr>
                <w:noProof/>
              </w:rPr>
              <w:t>transformaci a zjednodušit postupy.</w:t>
            </w:r>
          </w:p>
        </w:tc>
      </w:tr>
      <w:tr w:rsidR="00515398" w14:paraId="6AF6CE6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0E8504B9" w14:textId="77777777" w:rsidR="00515398" w:rsidRDefault="006711E6">
            <w:pPr>
              <w:pStyle w:val="P68B1DB1-Normal9"/>
              <w:spacing w:after="0" w:line="240" w:lineRule="auto"/>
              <w:rPr>
                <w:rFonts w:eastAsia="Times New Roman" w:cs="Calibri"/>
                <w:noProof/>
                <w:szCs w:val="18"/>
              </w:rPr>
            </w:pPr>
            <w:r>
              <w:rPr>
                <w:noProof/>
              </w:rPr>
              <w:t>349</w:t>
            </w:r>
          </w:p>
          <w:p w14:paraId="2012DF7C" w14:textId="77777777" w:rsidR="00515398" w:rsidRDefault="00515398">
            <w:pPr>
              <w:spacing w:after="0" w:line="240" w:lineRule="auto"/>
              <w:rPr>
                <w:rFonts w:eastAsia="Times New Roman" w:cs="Calibri"/>
                <w:noProof/>
                <w:color w:val="006100"/>
                <w:sz w:val="18"/>
                <w:szCs w:val="18"/>
              </w:rPr>
            </w:pPr>
          </w:p>
          <w:p w14:paraId="0F146D52" w14:textId="77777777" w:rsidR="00515398" w:rsidRDefault="00515398">
            <w:pPr>
              <w:spacing w:after="0" w:line="240" w:lineRule="auto"/>
              <w:rPr>
                <w:rFonts w:eastAsia="Times New Roman" w:cs="Calibri"/>
                <w:noProof/>
                <w:color w:val="006100"/>
                <w:sz w:val="18"/>
                <w:szCs w:val="18"/>
              </w:rPr>
            </w:pPr>
          </w:p>
        </w:tc>
        <w:tc>
          <w:tcPr>
            <w:tcW w:w="2229" w:type="dxa"/>
            <w:tcBorders>
              <w:top w:val="single" w:sz="4" w:space="0" w:color="auto"/>
              <w:left w:val="nil"/>
              <w:bottom w:val="single" w:sz="4" w:space="0" w:color="auto"/>
              <w:right w:val="single" w:sz="4" w:space="0" w:color="auto"/>
            </w:tcBorders>
            <w:shd w:val="clear" w:color="auto" w:fill="C6EFCE"/>
            <w:noWrap/>
          </w:tcPr>
          <w:p w14:paraId="1DB28B07" w14:textId="77777777" w:rsidR="00515398" w:rsidRDefault="006711E6">
            <w:pPr>
              <w:pStyle w:val="P68B1DB1-Normal9"/>
              <w:spacing w:after="0" w:line="240" w:lineRule="auto"/>
              <w:rPr>
                <w:rFonts w:eastAsia="Times New Roman" w:cs="Calibri"/>
                <w:noProof/>
                <w:szCs w:val="18"/>
              </w:rPr>
            </w:pPr>
            <w:r>
              <w:rPr>
                <w:noProof/>
              </w:rPr>
              <w:t xml:space="preserve">4.6. Modernizace a zlepšení odolnosti klíčových hospodářských odvětví – 16999_Obnova přístupnosti v návaznosti na ničivé dopady bouře „DANIEL“  </w:t>
            </w:r>
          </w:p>
          <w:p w14:paraId="658C53C6" w14:textId="77777777" w:rsidR="00515398" w:rsidRDefault="00515398">
            <w:pPr>
              <w:spacing w:after="0" w:line="240" w:lineRule="auto"/>
              <w:rPr>
                <w:rFonts w:eastAsia="Times New Roman" w:cs="Calibri"/>
                <w:noProof/>
                <w:color w:val="006100"/>
                <w:sz w:val="18"/>
                <w:szCs w:val="18"/>
              </w:rPr>
            </w:pPr>
          </w:p>
          <w:p w14:paraId="5376B0AA"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0B644C84"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noWrap/>
          </w:tcPr>
          <w:p w14:paraId="21D826DE" w14:textId="77777777" w:rsidR="00515398" w:rsidRDefault="006711E6">
            <w:pPr>
              <w:pStyle w:val="P68B1DB1-Normal9"/>
              <w:spacing w:after="0" w:line="240" w:lineRule="auto"/>
              <w:rPr>
                <w:rFonts w:eastAsia="Times New Roman" w:cs="Calibri"/>
                <w:noProof/>
                <w:szCs w:val="18"/>
              </w:rPr>
            </w:pPr>
            <w:r>
              <w:rPr>
                <w:noProof/>
              </w:rPr>
              <w:t>Dokončeny projekty obnovy silnic</w:t>
            </w:r>
          </w:p>
          <w:p w14:paraId="7C57CDFD" w14:textId="77777777" w:rsidR="00515398" w:rsidRDefault="00515398">
            <w:pPr>
              <w:spacing w:after="0" w:line="240" w:lineRule="auto"/>
              <w:rPr>
                <w:rFonts w:eastAsia="Times New Roman" w:cs="Calibri"/>
                <w:noProof/>
                <w:color w:val="006100"/>
                <w:sz w:val="18"/>
                <w:szCs w:val="18"/>
              </w:rPr>
            </w:pPr>
          </w:p>
          <w:p w14:paraId="4F865DB8" w14:textId="77777777" w:rsidR="00515398" w:rsidRDefault="00515398">
            <w:pPr>
              <w:spacing w:after="0"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noWrap/>
          </w:tcPr>
          <w:p w14:paraId="7D5CDF62" w14:textId="30CF98F8" w:rsidR="00515398" w:rsidRDefault="006711E6">
            <w:pPr>
              <w:pStyle w:val="P68B1DB1-Normal10"/>
              <w:spacing w:after="0" w:line="240" w:lineRule="auto"/>
              <w:rPr>
                <w:rFonts w:eastAsia="Times New Roman" w:cs="Calibri"/>
                <w:noProof/>
              </w:rPr>
            </w:pPr>
            <w:r>
              <w:rPr>
                <w:noProof/>
              </w:rPr>
              <w:t>Dokončení prací</w:t>
            </w:r>
          </w:p>
          <w:p w14:paraId="6EF2AE9B"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F2161D3"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6EB2BCAF"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noWrap/>
          </w:tcPr>
          <w:p w14:paraId="59FD681B"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98FA84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noWrap/>
          </w:tcPr>
          <w:p w14:paraId="4736944A"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noWrap/>
          </w:tcPr>
          <w:p w14:paraId="13E3AA16" w14:textId="00D20097" w:rsidR="00515398" w:rsidRDefault="006711E6">
            <w:pPr>
              <w:pStyle w:val="P68B1DB1-Normal10"/>
              <w:spacing w:after="0" w:line="240" w:lineRule="auto"/>
              <w:rPr>
                <w:rFonts w:eastAsia="Times New Roman" w:cs="Calibri"/>
                <w:noProof/>
              </w:rPr>
            </w:pPr>
            <w:r>
              <w:rPr>
                <w:noProof/>
              </w:rPr>
              <w:t xml:space="preserve">Dokončení prací na obnově a odolnosti silniční sítě v oblastech postižených bouří „DANIEL“. </w:t>
            </w:r>
          </w:p>
          <w:p w14:paraId="2000C13F" w14:textId="77777777" w:rsidR="00515398" w:rsidRDefault="00515398">
            <w:pPr>
              <w:spacing w:after="0" w:line="240" w:lineRule="auto"/>
              <w:rPr>
                <w:rFonts w:eastAsia="Times New Roman" w:cs="Calibri"/>
                <w:noProof/>
                <w:color w:val="006100"/>
                <w:sz w:val="18"/>
                <w:szCs w:val="18"/>
              </w:rPr>
            </w:pPr>
          </w:p>
          <w:p w14:paraId="58024AA7" w14:textId="77777777" w:rsidR="00515398" w:rsidRDefault="00515398">
            <w:pPr>
              <w:spacing w:after="0" w:line="240" w:lineRule="auto"/>
              <w:rPr>
                <w:rFonts w:eastAsia="Times New Roman" w:cs="Calibri"/>
                <w:noProof/>
                <w:color w:val="006100"/>
                <w:sz w:val="18"/>
                <w:szCs w:val="18"/>
              </w:rPr>
            </w:pPr>
          </w:p>
        </w:tc>
      </w:tr>
      <w:tr w:rsidR="00515398" w14:paraId="22B9A19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tcPr>
          <w:p w14:paraId="1959D257" w14:textId="77777777" w:rsidR="00515398" w:rsidRDefault="006711E6">
            <w:pPr>
              <w:pStyle w:val="P68B1DB1-Normal9"/>
              <w:spacing w:after="0" w:line="240" w:lineRule="auto"/>
              <w:rPr>
                <w:rFonts w:eastAsia="Times New Roman" w:cs="Calibri"/>
                <w:noProof/>
                <w:szCs w:val="18"/>
              </w:rPr>
            </w:pPr>
            <w:r>
              <w:rPr>
                <w:noProof/>
              </w:rPr>
              <w:t>350</w:t>
            </w:r>
          </w:p>
          <w:p w14:paraId="25E703A3" w14:textId="77777777" w:rsidR="00515398" w:rsidRDefault="00515398">
            <w:pPr>
              <w:spacing w:after="0" w:line="240" w:lineRule="auto"/>
              <w:rPr>
                <w:rFonts w:eastAsia="Times New Roman" w:cs="Calibri"/>
                <w:noProof/>
                <w:color w:val="006100"/>
                <w:sz w:val="18"/>
                <w:szCs w:val="18"/>
              </w:rPr>
            </w:pPr>
          </w:p>
        </w:tc>
        <w:tc>
          <w:tcPr>
            <w:tcW w:w="2229" w:type="dxa"/>
            <w:tcBorders>
              <w:top w:val="single" w:sz="4" w:space="0" w:color="auto"/>
              <w:left w:val="nil"/>
              <w:bottom w:val="single" w:sz="4" w:space="0" w:color="auto"/>
              <w:right w:val="single" w:sz="4" w:space="0" w:color="auto"/>
            </w:tcBorders>
            <w:shd w:val="clear" w:color="auto" w:fill="C6EFCE"/>
          </w:tcPr>
          <w:p w14:paraId="2A834840" w14:textId="77777777" w:rsidR="00515398" w:rsidRDefault="006711E6">
            <w:pPr>
              <w:pStyle w:val="P68B1DB1-Normal9"/>
              <w:spacing w:after="0" w:line="240" w:lineRule="auto"/>
              <w:rPr>
                <w:rFonts w:eastAsia="Times New Roman" w:cs="Calibri"/>
                <w:noProof/>
                <w:szCs w:val="18"/>
              </w:rPr>
            </w:pPr>
            <w:r>
              <w:rPr>
                <w:noProof/>
              </w:rPr>
              <w:t xml:space="preserve"> — 4.6. Modernizace a zlepšení odolnosti klíčových hospodářských odvětví – 16999_Obnova přístupnosti v návaznosti na ničivé dopady bouře „DANIEL“  </w:t>
            </w:r>
          </w:p>
          <w:p w14:paraId="09779665"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tcPr>
          <w:p w14:paraId="4BD15DAF" w14:textId="77777777" w:rsidR="00515398" w:rsidRDefault="006711E6">
            <w:pPr>
              <w:pStyle w:val="P68B1DB1-Normal9"/>
              <w:spacing w:after="0" w:line="240" w:lineRule="auto"/>
              <w:rPr>
                <w:rFonts w:eastAsia="Times New Roman" w:cs="Calibri"/>
                <w:noProof/>
                <w:szCs w:val="18"/>
              </w:rPr>
            </w:pPr>
            <w:r>
              <w:rPr>
                <w:noProof/>
              </w:rPr>
              <w:t>Milník</w:t>
            </w:r>
          </w:p>
        </w:tc>
        <w:tc>
          <w:tcPr>
            <w:tcW w:w="1842" w:type="dxa"/>
            <w:tcBorders>
              <w:top w:val="single" w:sz="4" w:space="0" w:color="auto"/>
              <w:left w:val="nil"/>
              <w:bottom w:val="single" w:sz="4" w:space="0" w:color="auto"/>
              <w:right w:val="single" w:sz="4" w:space="0" w:color="auto"/>
            </w:tcBorders>
            <w:shd w:val="clear" w:color="auto" w:fill="C6EFCE"/>
          </w:tcPr>
          <w:p w14:paraId="3A03D6DF" w14:textId="77777777" w:rsidR="00515398" w:rsidRDefault="006711E6">
            <w:pPr>
              <w:pStyle w:val="P68B1DB1-Normal9"/>
              <w:spacing w:after="0" w:line="240" w:lineRule="auto"/>
              <w:rPr>
                <w:rFonts w:eastAsia="Times New Roman" w:cs="Calibri"/>
                <w:noProof/>
                <w:szCs w:val="18"/>
              </w:rPr>
            </w:pPr>
            <w:r>
              <w:rPr>
                <w:noProof/>
              </w:rPr>
              <w:t>Dokončení projektů obnovy železnic</w:t>
            </w:r>
          </w:p>
          <w:p w14:paraId="4056E9C0" w14:textId="77777777" w:rsidR="00515398" w:rsidRDefault="00515398">
            <w:pPr>
              <w:spacing w:after="0" w:line="240" w:lineRule="auto"/>
              <w:rPr>
                <w:rFonts w:eastAsia="Times New Roman" w:cs="Calibri"/>
                <w:noProof/>
                <w:color w:val="006100"/>
                <w:sz w:val="18"/>
                <w:szCs w:val="18"/>
              </w:rPr>
            </w:pPr>
          </w:p>
        </w:tc>
        <w:tc>
          <w:tcPr>
            <w:tcW w:w="2127" w:type="dxa"/>
            <w:tcBorders>
              <w:top w:val="single" w:sz="4" w:space="0" w:color="auto"/>
              <w:left w:val="nil"/>
              <w:bottom w:val="single" w:sz="4" w:space="0" w:color="auto"/>
              <w:right w:val="single" w:sz="4" w:space="0" w:color="auto"/>
            </w:tcBorders>
            <w:shd w:val="clear" w:color="auto" w:fill="C6EFCE"/>
          </w:tcPr>
          <w:p w14:paraId="61524231" w14:textId="136D4C9E" w:rsidR="00515398" w:rsidRDefault="006711E6">
            <w:pPr>
              <w:pStyle w:val="P68B1DB1-Normal10"/>
              <w:spacing w:after="0" w:line="240" w:lineRule="auto"/>
              <w:rPr>
                <w:rFonts w:eastAsia="Times New Roman" w:cs="Calibri"/>
                <w:noProof/>
              </w:rPr>
            </w:pPr>
            <w:r>
              <w:rPr>
                <w:noProof/>
              </w:rPr>
              <w:t>Dokončení prací</w:t>
            </w:r>
          </w:p>
          <w:p w14:paraId="2BC22AAB" w14:textId="77777777" w:rsidR="00515398" w:rsidRDefault="00515398">
            <w:pPr>
              <w:spacing w:after="0" w:line="240" w:lineRule="auto"/>
              <w:rPr>
                <w:rFonts w:eastAsia="Times New Roman" w:cs="Calibri"/>
                <w:noProof/>
                <w:color w:val="006100"/>
                <w:sz w:val="18"/>
                <w:szCs w:val="18"/>
              </w:rPr>
            </w:pPr>
          </w:p>
          <w:p w14:paraId="52EBA5EE"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tcPr>
          <w:p w14:paraId="35498410"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tcPr>
          <w:p w14:paraId="605C232A" w14:textId="77777777" w:rsidR="00515398" w:rsidRDefault="00515398">
            <w:pPr>
              <w:spacing w:after="0" w:line="240" w:lineRule="auto"/>
              <w:rPr>
                <w:rFonts w:eastAsia="Times New Roman" w:cs="Calibri"/>
                <w:noProof/>
                <w:color w:val="006100"/>
                <w:sz w:val="18"/>
                <w:szCs w:val="18"/>
              </w:rPr>
            </w:pPr>
          </w:p>
        </w:tc>
        <w:tc>
          <w:tcPr>
            <w:tcW w:w="844" w:type="dxa"/>
            <w:tcBorders>
              <w:top w:val="single" w:sz="4" w:space="0" w:color="auto"/>
              <w:left w:val="nil"/>
              <w:bottom w:val="single" w:sz="4" w:space="0" w:color="auto"/>
              <w:right w:val="single" w:sz="4" w:space="0" w:color="auto"/>
            </w:tcBorders>
            <w:shd w:val="clear" w:color="auto" w:fill="C6EFCE"/>
          </w:tcPr>
          <w:p w14:paraId="49BDFBCB" w14:textId="77777777" w:rsidR="00515398" w:rsidRDefault="00515398">
            <w:pPr>
              <w:spacing w:after="0" w:line="240" w:lineRule="auto"/>
              <w:rPr>
                <w:rFonts w:eastAsia="Times New Roman" w:cs="Calibri"/>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tcPr>
          <w:p w14:paraId="1871660D"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13" w:type="dxa"/>
            <w:tcBorders>
              <w:top w:val="single" w:sz="4" w:space="0" w:color="auto"/>
              <w:left w:val="nil"/>
              <w:bottom w:val="single" w:sz="4" w:space="0" w:color="auto"/>
              <w:right w:val="single" w:sz="4" w:space="0" w:color="auto"/>
            </w:tcBorders>
            <w:shd w:val="clear" w:color="auto" w:fill="C6EFCE"/>
          </w:tcPr>
          <w:p w14:paraId="5164C941" w14:textId="77777777" w:rsidR="00515398" w:rsidRDefault="006711E6">
            <w:pPr>
              <w:pStyle w:val="P68B1DB1-Normal9"/>
              <w:spacing w:after="0" w:line="240" w:lineRule="auto"/>
              <w:rPr>
                <w:rFonts w:eastAsia="Times New Roman" w:cs="Calibri"/>
                <w:noProof/>
                <w:szCs w:val="18"/>
              </w:rPr>
            </w:pPr>
            <w:r>
              <w:rPr>
                <w:noProof/>
              </w:rPr>
              <w:t>2025</w:t>
            </w:r>
          </w:p>
        </w:tc>
        <w:tc>
          <w:tcPr>
            <w:tcW w:w="3402" w:type="dxa"/>
            <w:tcBorders>
              <w:top w:val="single" w:sz="4" w:space="0" w:color="auto"/>
              <w:left w:val="nil"/>
              <w:bottom w:val="single" w:sz="4" w:space="0" w:color="auto"/>
              <w:right w:val="single" w:sz="4" w:space="0" w:color="auto"/>
            </w:tcBorders>
            <w:shd w:val="clear" w:color="auto" w:fill="C6EFCE"/>
          </w:tcPr>
          <w:p w14:paraId="7D6D6AA4" w14:textId="1B24C25F" w:rsidR="00515398" w:rsidRDefault="006711E6">
            <w:pPr>
              <w:spacing w:after="0" w:line="240" w:lineRule="auto"/>
              <w:rPr>
                <w:rFonts w:eastAsia="Times New Roman" w:cs="Calibri"/>
                <w:noProof/>
                <w:color w:val="006100"/>
                <w:sz w:val="18"/>
                <w:szCs w:val="18"/>
              </w:rPr>
            </w:pPr>
            <w:r>
              <w:rPr>
                <w:noProof/>
                <w:color w:val="006100"/>
                <w:sz w:val="18"/>
                <w:szCs w:val="18"/>
              </w:rPr>
              <w:t xml:space="preserve">Dokončení prací na </w:t>
            </w:r>
            <w:r>
              <w:rPr>
                <w:noProof/>
                <w:color w:val="006100"/>
                <w:sz w:val="18"/>
                <w:szCs w:val="18"/>
              </w:rPr>
              <w:t>obnově a odolnosti železniční sítě</w:t>
            </w:r>
            <w:r>
              <w:rPr>
                <w:rFonts w:asciiTheme="minorHAnsi" w:eastAsiaTheme="minorEastAsia" w:hAnsiTheme="minorHAnsi" w:cstheme="minorBidi"/>
                <w:noProof/>
                <w:color w:val="006100"/>
                <w:sz w:val="18"/>
                <w:szCs w:val="18"/>
              </w:rPr>
              <w:t xml:space="preserve"> v </w:t>
            </w:r>
            <w:r>
              <w:rPr>
                <w:noProof/>
                <w:color w:val="006100"/>
                <w:sz w:val="18"/>
                <w:szCs w:val="18"/>
              </w:rPr>
              <w:t>oblastech postižených bouří „DANIEL“, a zejména úseků z Domokosu do Krannony na trati Atény – Soluň hlavní osy, Paleofarsalos-Kalambaka</w:t>
            </w:r>
            <w:r>
              <w:rPr>
                <w:rFonts w:ascii="Times New Roman" w:hAnsi="Times New Roman"/>
                <w:noProof/>
                <w:sz w:val="24"/>
                <w:szCs w:val="24"/>
              </w:rPr>
              <w:t xml:space="preserve"> </w:t>
            </w:r>
            <w:r>
              <w:rPr>
                <w:rFonts w:asciiTheme="minorHAnsi" w:eastAsiaTheme="minorEastAsia" w:hAnsiTheme="minorHAnsi" w:cstheme="minorBidi"/>
                <w:noProof/>
                <w:color w:val="006100"/>
                <w:sz w:val="18"/>
                <w:szCs w:val="18"/>
              </w:rPr>
              <w:t>a Pelion.</w:t>
            </w:r>
            <w:r>
              <w:rPr>
                <w:noProof/>
                <w:color w:val="006100"/>
                <w:sz w:val="18"/>
                <w:szCs w:val="18"/>
              </w:rPr>
              <w:t xml:space="preserve"> </w:t>
            </w:r>
          </w:p>
          <w:p w14:paraId="64611568" w14:textId="6C416A82" w:rsidR="00515398" w:rsidRDefault="006711E6">
            <w:pPr>
              <w:pStyle w:val="P68B1DB1-Normal10"/>
              <w:spacing w:after="0" w:line="240" w:lineRule="auto"/>
              <w:rPr>
                <w:noProof/>
              </w:rPr>
            </w:pPr>
            <w:r>
              <w:rPr>
                <w:noProof/>
              </w:rPr>
              <w:t>Vypracování plánu zadávání veřejných zakázek pro všechny doprovodné inve</w:t>
            </w:r>
            <w:r>
              <w:rPr>
                <w:noProof/>
              </w:rPr>
              <w:t xml:space="preserve">stice do bezpečnosti železnic a pro pravidelnou údržbu. </w:t>
            </w:r>
          </w:p>
          <w:p w14:paraId="1346EB32" w14:textId="06065077" w:rsidR="00515398" w:rsidRDefault="00515398">
            <w:pPr>
              <w:spacing w:after="0" w:line="240" w:lineRule="auto"/>
              <w:rPr>
                <w:noProof/>
                <w:color w:val="006100"/>
                <w:sz w:val="18"/>
                <w:szCs w:val="18"/>
              </w:rPr>
            </w:pPr>
          </w:p>
        </w:tc>
      </w:tr>
    </w:tbl>
    <w:p w14:paraId="46785806" w14:textId="77777777" w:rsidR="00515398" w:rsidRDefault="00515398">
      <w:pPr>
        <w:spacing w:before="120" w:after="0" w:line="240" w:lineRule="auto"/>
        <w:jc w:val="both"/>
        <w:rPr>
          <w:rFonts w:ascii="Times New Roman" w:hAnsi="Times New Roman" w:cs="Times New Roman"/>
          <w:noProof/>
          <w:sz w:val="24"/>
          <w:szCs w:val="24"/>
        </w:rPr>
      </w:pPr>
    </w:p>
    <w:p w14:paraId="11D5ACEF"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25: Kultura</w:t>
      </w:r>
    </w:p>
    <w:p w14:paraId="4D57FCA1" w14:textId="77777777" w:rsidR="00515398" w:rsidRDefault="006711E6">
      <w:pPr>
        <w:pStyle w:val="P68B1DB1-Normal4"/>
        <w:numPr>
          <w:ilvl w:val="0"/>
          <w:numId w:val="31"/>
        </w:numPr>
        <w:spacing w:before="120" w:after="0" w:line="240" w:lineRule="auto"/>
        <w:jc w:val="both"/>
        <w:rPr>
          <w:rFonts w:cs="Times New Roman"/>
          <w:noProof/>
        </w:rPr>
      </w:pPr>
      <w:r>
        <w:rPr>
          <w:noProof/>
        </w:rPr>
        <w:t>Reforma práce v kulturním odvětví (ID:16715)</w:t>
      </w:r>
    </w:p>
    <w:p w14:paraId="438381FB" w14:textId="77777777" w:rsidR="00515398" w:rsidRDefault="006711E6">
      <w:pPr>
        <w:pStyle w:val="P68B1DB1-Normal4"/>
        <w:numPr>
          <w:ilvl w:val="0"/>
          <w:numId w:val="31"/>
        </w:numPr>
        <w:spacing w:before="120" w:after="0" w:line="240" w:lineRule="auto"/>
        <w:jc w:val="both"/>
        <w:rPr>
          <w:rFonts w:cs="Times New Roman"/>
          <w:noProof/>
        </w:rPr>
      </w:pPr>
      <w:r>
        <w:rPr>
          <w:noProof/>
        </w:rPr>
        <w:t>Kultura jako hnací síla růstu (ID: 16293)</w:t>
      </w:r>
    </w:p>
    <w:p w14:paraId="271E5DB1" w14:textId="77777777" w:rsidR="00515398" w:rsidRDefault="006711E6">
      <w:pPr>
        <w:pStyle w:val="P68B1DB1-Normal4"/>
        <w:numPr>
          <w:ilvl w:val="0"/>
          <w:numId w:val="31"/>
        </w:numPr>
        <w:spacing w:before="120" w:after="0" w:line="240" w:lineRule="auto"/>
        <w:jc w:val="both"/>
        <w:rPr>
          <w:rFonts w:cs="Times New Roman"/>
          <w:noProof/>
        </w:rPr>
      </w:pPr>
      <w:r>
        <w:rPr>
          <w:noProof/>
        </w:rPr>
        <w:t>Muzeum podvodních starožitností (ID: 16486)</w:t>
      </w:r>
    </w:p>
    <w:p w14:paraId="52FD0B2B" w14:textId="77777777" w:rsidR="00515398" w:rsidRDefault="006711E6">
      <w:pPr>
        <w:pStyle w:val="P68B1DB1-Normal4"/>
        <w:numPr>
          <w:ilvl w:val="0"/>
          <w:numId w:val="31"/>
        </w:numPr>
        <w:spacing w:before="120" w:after="0" w:line="240" w:lineRule="auto"/>
        <w:jc w:val="both"/>
        <w:rPr>
          <w:rFonts w:cs="Times New Roman"/>
          <w:noProof/>
        </w:rPr>
      </w:pPr>
      <w:r>
        <w:rPr>
          <w:noProof/>
        </w:rPr>
        <w:t xml:space="preserve">Využívání „umělců na předpis“, podpora </w:t>
      </w:r>
      <w:r>
        <w:rPr>
          <w:noProof/>
        </w:rPr>
        <w:t>sociální soudržnosti a využívání stříbrné ekonomiky (ID: 16735)</w:t>
      </w:r>
    </w:p>
    <w:p w14:paraId="50A24F7B" w14:textId="77777777" w:rsidR="00515398" w:rsidRDefault="006711E6">
      <w:pPr>
        <w:pStyle w:val="P68B1DB1-Normal4"/>
        <w:numPr>
          <w:ilvl w:val="0"/>
          <w:numId w:val="31"/>
        </w:numPr>
        <w:spacing w:before="120" w:after="0" w:line="240" w:lineRule="auto"/>
        <w:jc w:val="both"/>
        <w:rPr>
          <w:rFonts w:cs="Times New Roman"/>
          <w:noProof/>
        </w:rPr>
      </w:pPr>
      <w:r>
        <w:rPr>
          <w:noProof/>
        </w:rPr>
        <w:t>Modernizace infrastruktury, obnova vybavení a modernizace kvality služeb poskytovaných HOCRED (ID: 16536)</w:t>
      </w:r>
    </w:p>
    <w:p w14:paraId="7DCFF9DF" w14:textId="77777777" w:rsidR="00515398" w:rsidRDefault="006711E6">
      <w:pPr>
        <w:pStyle w:val="P68B1DB1-Normal4"/>
        <w:numPr>
          <w:ilvl w:val="0"/>
          <w:numId w:val="31"/>
        </w:numPr>
        <w:spacing w:before="120" w:after="0" w:line="240" w:lineRule="auto"/>
        <w:jc w:val="both"/>
        <w:rPr>
          <w:rFonts w:cs="Times New Roman"/>
          <w:noProof/>
        </w:rPr>
      </w:pPr>
      <w:r>
        <w:rPr>
          <w:noProof/>
        </w:rPr>
        <w:t>Ochrana kulturních památek a archeologických nalezišť před změnou klimatu (2. skupina)</w:t>
      </w:r>
      <w:r>
        <w:rPr>
          <w:noProof/>
        </w:rPr>
        <w:t xml:space="preserve"> (ID: 16433)</w:t>
      </w:r>
    </w:p>
    <w:p w14:paraId="2EB1D833" w14:textId="77777777" w:rsidR="00515398" w:rsidRDefault="006711E6">
      <w:pPr>
        <w:pStyle w:val="P68B1DB1-Normal4"/>
        <w:numPr>
          <w:ilvl w:val="0"/>
          <w:numId w:val="31"/>
        </w:numPr>
        <w:spacing w:before="120" w:after="0" w:line="240" w:lineRule="auto"/>
        <w:jc w:val="both"/>
        <w:rPr>
          <w:rFonts w:cs="Times New Roman"/>
          <w:noProof/>
        </w:rPr>
      </w:pPr>
      <w:r>
        <w:rPr>
          <w:noProof/>
        </w:rPr>
        <w:t>Modernizace vysokoškolského uměleckého vzdělávání (ID: 16725)</w:t>
      </w:r>
    </w:p>
    <w:p w14:paraId="77BFDD7D" w14:textId="77777777" w:rsidR="00515398" w:rsidRDefault="006711E6">
      <w:pPr>
        <w:pStyle w:val="P68B1DB1-Normal4"/>
        <w:numPr>
          <w:ilvl w:val="0"/>
          <w:numId w:val="31"/>
        </w:numPr>
        <w:spacing w:before="120" w:after="0" w:line="240" w:lineRule="auto"/>
        <w:jc w:val="both"/>
        <w:rPr>
          <w:rFonts w:cs="Times New Roman"/>
          <w:noProof/>
        </w:rPr>
      </w:pPr>
      <w:r>
        <w:rPr>
          <w:noProof/>
        </w:rPr>
        <w:t>Kulturní trasy v Emblematických archeologických lokalitách a památkách (ID: 16485)</w:t>
      </w:r>
    </w:p>
    <w:p w14:paraId="16A0F0C2" w14:textId="77777777" w:rsidR="00515398" w:rsidRDefault="006711E6">
      <w:pPr>
        <w:pStyle w:val="P68B1DB1-Normal4"/>
        <w:numPr>
          <w:ilvl w:val="0"/>
          <w:numId w:val="31"/>
        </w:numPr>
        <w:spacing w:before="120" w:after="0" w:line="240" w:lineRule="auto"/>
        <w:jc w:val="both"/>
        <w:rPr>
          <w:rFonts w:cs="Times New Roman"/>
          <w:noProof/>
        </w:rPr>
      </w:pPr>
      <w:r>
        <w:rPr>
          <w:noProof/>
        </w:rPr>
        <w:t>Obnova – zachování – Zlepšení památek Acropolis (ID: 16435)</w:t>
      </w:r>
    </w:p>
    <w:p w14:paraId="37410F21" w14:textId="77777777" w:rsidR="00515398" w:rsidRDefault="00515398">
      <w:pPr>
        <w:spacing w:before="120" w:after="0" w:line="240" w:lineRule="auto"/>
        <w:jc w:val="both"/>
        <w:rPr>
          <w:rFonts w:ascii="Times New Roman" w:hAnsi="Times New Roman" w:cs="Times New Roman"/>
          <w:noProof/>
          <w:sz w:val="24"/>
        </w:rPr>
      </w:pPr>
    </w:p>
    <w:tbl>
      <w:tblPr>
        <w:tblW w:w="15871" w:type="dxa"/>
        <w:jc w:val="center"/>
        <w:tblLook w:val="04A0" w:firstRow="1" w:lastRow="0" w:firstColumn="1" w:lastColumn="0" w:noHBand="0" w:noVBand="1"/>
      </w:tblPr>
      <w:tblGrid>
        <w:gridCol w:w="1027"/>
        <w:gridCol w:w="1717"/>
        <w:gridCol w:w="1008"/>
        <w:gridCol w:w="1415"/>
        <w:gridCol w:w="1549"/>
        <w:gridCol w:w="1397"/>
        <w:gridCol w:w="1058"/>
        <w:gridCol w:w="992"/>
        <w:gridCol w:w="1134"/>
        <w:gridCol w:w="851"/>
        <w:gridCol w:w="3950"/>
      </w:tblGrid>
      <w:tr w:rsidR="00515398" w14:paraId="27D7AC8F" w14:textId="77777777">
        <w:trPr>
          <w:trHeight w:val="615"/>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EE37DC"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E1C8B7"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w:t>
            </w:r>
            <w:r>
              <w:rPr>
                <w:noProof/>
              </w:rPr>
              <w:t>reforma nebo investice)</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DDED7F"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ECF2E3"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2EA875"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344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C0180F9"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14:paraId="00BD9C97"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39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2CEEF4"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2CB459D7" w14:textId="77777777">
        <w:trPr>
          <w:trHeight w:val="516"/>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1803A57A" w14:textId="77777777" w:rsidR="00515398" w:rsidRDefault="00515398">
            <w:pPr>
              <w:spacing w:after="0" w:line="240" w:lineRule="auto"/>
              <w:rPr>
                <w:rFonts w:ascii="Times New Roman" w:eastAsia="Times New Roman" w:hAnsi="Times New Roman" w:cs="Times New Roman"/>
                <w:b/>
                <w:bCs/>
                <w:noProof/>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EF0045C" w14:textId="77777777" w:rsidR="00515398" w:rsidRDefault="00515398">
            <w:pPr>
              <w:spacing w:after="0" w:line="240" w:lineRule="auto"/>
              <w:rPr>
                <w:rFonts w:ascii="Times New Roman" w:eastAsia="Times New Roman" w:hAnsi="Times New Roman" w:cs="Times New Roman"/>
                <w:b/>
                <w:bCs/>
                <w:noProof/>
                <w:sz w:val="18"/>
                <w:szCs w:val="18"/>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8E4271C" w14:textId="77777777" w:rsidR="00515398" w:rsidRDefault="00515398">
            <w:pPr>
              <w:spacing w:after="0" w:line="240" w:lineRule="auto"/>
              <w:rPr>
                <w:rFonts w:ascii="Times New Roman" w:eastAsia="Times New Roman" w:hAnsi="Times New Roman" w:cs="Times New Roman"/>
                <w:b/>
                <w:bCs/>
                <w:noProof/>
                <w:sz w:val="18"/>
                <w:szCs w:val="18"/>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23BD2BB3" w14:textId="77777777" w:rsidR="00515398" w:rsidRDefault="00515398">
            <w:pPr>
              <w:spacing w:after="0" w:line="240" w:lineRule="auto"/>
              <w:rPr>
                <w:rFonts w:ascii="Times New Roman" w:eastAsia="Times New Roman" w:hAnsi="Times New Roman" w:cs="Times New Roman"/>
                <w:b/>
                <w:bCs/>
                <w:noProof/>
                <w:sz w:val="18"/>
                <w:szCs w:val="18"/>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2B42334B" w14:textId="77777777" w:rsidR="00515398" w:rsidRDefault="00515398">
            <w:pPr>
              <w:spacing w:after="0" w:line="240" w:lineRule="auto"/>
              <w:rPr>
                <w:rFonts w:ascii="Times New Roman" w:eastAsia="Times New Roman" w:hAnsi="Times New Roman" w:cs="Times New Roman"/>
                <w:b/>
                <w:bCs/>
                <w:noProof/>
                <w:sz w:val="18"/>
                <w:szCs w:val="18"/>
              </w:rPr>
            </w:pPr>
          </w:p>
        </w:tc>
        <w:tc>
          <w:tcPr>
            <w:tcW w:w="139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5B67FBE"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105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54F580A"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FF1646E"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AA69FE8"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5518037"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3950" w:type="dxa"/>
            <w:vMerge/>
            <w:tcBorders>
              <w:top w:val="single" w:sz="4" w:space="0" w:color="auto"/>
              <w:left w:val="single" w:sz="4" w:space="0" w:color="auto"/>
              <w:bottom w:val="single" w:sz="4" w:space="0" w:color="auto"/>
              <w:right w:val="single" w:sz="4" w:space="0" w:color="auto"/>
            </w:tcBorders>
            <w:vAlign w:val="center"/>
            <w:hideMark/>
          </w:tcPr>
          <w:p w14:paraId="62B09E43"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99CE1B8"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DE75D5B" w14:textId="77777777" w:rsidR="00515398" w:rsidRDefault="006711E6">
            <w:pPr>
              <w:pStyle w:val="P68B1DB1-Normal9"/>
              <w:spacing w:after="0" w:line="240" w:lineRule="auto"/>
              <w:rPr>
                <w:rFonts w:eastAsia="Times New Roman" w:cs="Calibri"/>
                <w:noProof/>
                <w:szCs w:val="18"/>
              </w:rPr>
            </w:pPr>
            <w:r>
              <w:rPr>
                <w:noProof/>
              </w:rPr>
              <w:t>278</w:t>
            </w:r>
          </w:p>
        </w:tc>
        <w:tc>
          <w:tcPr>
            <w:tcW w:w="1615" w:type="dxa"/>
            <w:tcBorders>
              <w:top w:val="single" w:sz="4" w:space="0" w:color="auto"/>
              <w:left w:val="nil"/>
              <w:bottom w:val="single" w:sz="4" w:space="0" w:color="auto"/>
              <w:right w:val="single" w:sz="4" w:space="0" w:color="auto"/>
            </w:tcBorders>
            <w:shd w:val="clear" w:color="auto" w:fill="C6EFCE"/>
            <w:noWrap/>
          </w:tcPr>
          <w:p w14:paraId="4FF53424" w14:textId="77777777" w:rsidR="00515398" w:rsidRDefault="006711E6">
            <w:pPr>
              <w:pStyle w:val="P68B1DB1-Normal9"/>
              <w:spacing w:after="0" w:line="240" w:lineRule="auto"/>
              <w:rPr>
                <w:rFonts w:eastAsia="Times New Roman" w:cs="Calibri"/>
                <w:noProof/>
                <w:szCs w:val="18"/>
              </w:rPr>
            </w:pPr>
            <w:r>
              <w:rPr>
                <w:noProof/>
              </w:rPr>
              <w:t xml:space="preserve">17–4.6. </w:t>
            </w:r>
            <w:r>
              <w:rPr>
                <w:noProof/>
              </w:rPr>
              <w:t>Modernizace a zlepšení odolnosti klíčových hospodářských odvětví – 16715_Reforma v oblasti kultury</w:t>
            </w:r>
          </w:p>
        </w:tc>
        <w:tc>
          <w:tcPr>
            <w:tcW w:w="1008" w:type="dxa"/>
            <w:tcBorders>
              <w:top w:val="single" w:sz="4" w:space="0" w:color="auto"/>
              <w:left w:val="nil"/>
              <w:bottom w:val="single" w:sz="4" w:space="0" w:color="auto"/>
              <w:right w:val="single" w:sz="4" w:space="0" w:color="auto"/>
            </w:tcBorders>
            <w:shd w:val="clear" w:color="auto" w:fill="C6EFCE"/>
            <w:noWrap/>
          </w:tcPr>
          <w:p w14:paraId="0CDE18E1"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single" w:sz="4" w:space="0" w:color="auto"/>
              <w:left w:val="nil"/>
              <w:bottom w:val="single" w:sz="4" w:space="0" w:color="auto"/>
              <w:right w:val="single" w:sz="4" w:space="0" w:color="auto"/>
            </w:tcBorders>
            <w:shd w:val="clear" w:color="auto" w:fill="C6EFCE"/>
            <w:noWrap/>
          </w:tcPr>
          <w:p w14:paraId="3F6D345F" w14:textId="77777777" w:rsidR="00515398" w:rsidRDefault="006711E6">
            <w:pPr>
              <w:pStyle w:val="P68B1DB1-Normal9"/>
              <w:spacing w:after="0" w:line="240" w:lineRule="auto"/>
              <w:rPr>
                <w:rFonts w:eastAsia="Times New Roman" w:cs="Calibri"/>
                <w:noProof/>
                <w:szCs w:val="18"/>
              </w:rPr>
            </w:pPr>
            <w:r>
              <w:rPr>
                <w:noProof/>
              </w:rPr>
              <w:t>Právní předpisy pro reformu práce v kulturním odvětví</w:t>
            </w:r>
          </w:p>
        </w:tc>
        <w:tc>
          <w:tcPr>
            <w:tcW w:w="1549" w:type="dxa"/>
            <w:tcBorders>
              <w:top w:val="single" w:sz="4" w:space="0" w:color="auto"/>
              <w:left w:val="nil"/>
              <w:bottom w:val="single" w:sz="4" w:space="0" w:color="auto"/>
              <w:right w:val="single" w:sz="4" w:space="0" w:color="auto"/>
            </w:tcBorders>
            <w:shd w:val="clear" w:color="auto" w:fill="C6EFCE"/>
            <w:noWrap/>
          </w:tcPr>
          <w:p w14:paraId="5B7F0909" w14:textId="77777777" w:rsidR="00515398" w:rsidRDefault="006711E6">
            <w:pPr>
              <w:pStyle w:val="P68B1DB1-Normal9"/>
              <w:spacing w:after="0" w:line="240" w:lineRule="auto"/>
              <w:rPr>
                <w:rFonts w:eastAsia="Times New Roman" w:cs="Calibri"/>
                <w:noProof/>
                <w:szCs w:val="18"/>
              </w:rPr>
            </w:pPr>
            <w:r>
              <w:rPr>
                <w:noProof/>
              </w:rPr>
              <w:t xml:space="preserve">Vstup v platnost právních předpisů a sekundárních právních předpisů a zavedení systému </w:t>
            </w:r>
            <w:r>
              <w:rPr>
                <w:noProof/>
              </w:rPr>
              <w:t>věrohodného hodnocení statusu „tvůrčího nebo kulturního odborníka“</w:t>
            </w:r>
          </w:p>
        </w:tc>
        <w:tc>
          <w:tcPr>
            <w:tcW w:w="1397" w:type="dxa"/>
            <w:tcBorders>
              <w:top w:val="single" w:sz="4" w:space="0" w:color="auto"/>
              <w:left w:val="nil"/>
              <w:bottom w:val="single" w:sz="4" w:space="0" w:color="auto"/>
              <w:right w:val="single" w:sz="4" w:space="0" w:color="auto"/>
            </w:tcBorders>
            <w:shd w:val="clear" w:color="auto" w:fill="C6EFCE"/>
            <w:noWrap/>
          </w:tcPr>
          <w:p w14:paraId="338A8705"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646AA21B"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69D9D719"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651DCC7F" w14:textId="77777777" w:rsidR="00515398" w:rsidRDefault="006711E6">
            <w:pPr>
              <w:pStyle w:val="P68B1DB1-Normal9"/>
              <w:spacing w:after="0" w:line="240" w:lineRule="auto"/>
              <w:rPr>
                <w:rFonts w:eastAsia="Times New Roman" w:cs="Calibri"/>
                <w:noProof/>
                <w:szCs w:val="18"/>
              </w:rPr>
            </w:pPr>
            <w:r>
              <w:rPr>
                <w:noProof/>
              </w:rPr>
              <w:t>ČTVRTLETÍ 3</w:t>
            </w:r>
          </w:p>
        </w:tc>
        <w:tc>
          <w:tcPr>
            <w:tcW w:w="851" w:type="dxa"/>
            <w:tcBorders>
              <w:top w:val="single" w:sz="4" w:space="0" w:color="auto"/>
              <w:left w:val="nil"/>
              <w:bottom w:val="single" w:sz="4" w:space="0" w:color="auto"/>
              <w:right w:val="single" w:sz="4" w:space="0" w:color="auto"/>
            </w:tcBorders>
            <w:shd w:val="clear" w:color="auto" w:fill="C6EFCE"/>
            <w:noWrap/>
          </w:tcPr>
          <w:p w14:paraId="433B0BFD" w14:textId="77777777" w:rsidR="00515398" w:rsidRDefault="006711E6">
            <w:pPr>
              <w:pStyle w:val="P68B1DB1-Normal9"/>
              <w:spacing w:after="0" w:line="240" w:lineRule="auto"/>
              <w:rPr>
                <w:rFonts w:eastAsia="Times New Roman" w:cs="Calibri"/>
                <w:noProof/>
                <w:szCs w:val="18"/>
              </w:rPr>
            </w:pPr>
            <w:r>
              <w:rPr>
                <w:noProof/>
              </w:rPr>
              <w:t>2022</w:t>
            </w:r>
          </w:p>
        </w:tc>
        <w:tc>
          <w:tcPr>
            <w:tcW w:w="3950" w:type="dxa"/>
            <w:tcBorders>
              <w:top w:val="single" w:sz="4" w:space="0" w:color="auto"/>
              <w:left w:val="nil"/>
              <w:bottom w:val="single" w:sz="4" w:space="0" w:color="auto"/>
              <w:right w:val="single" w:sz="4" w:space="0" w:color="auto"/>
            </w:tcBorders>
            <w:shd w:val="clear" w:color="auto" w:fill="C6EFCE"/>
            <w:noWrap/>
          </w:tcPr>
          <w:p w14:paraId="4B47B94F" w14:textId="77777777" w:rsidR="00515398" w:rsidRDefault="006711E6">
            <w:pPr>
              <w:pStyle w:val="P68B1DB1-Normal9"/>
              <w:spacing w:after="0" w:line="240" w:lineRule="auto"/>
              <w:rPr>
                <w:rFonts w:eastAsia="Times New Roman" w:cs="Calibri"/>
                <w:noProof/>
                <w:szCs w:val="18"/>
              </w:rPr>
            </w:pPr>
            <w:r>
              <w:rPr>
                <w:noProof/>
              </w:rPr>
              <w:t>Vstup v platnost právních předpisů týkajících se reformy práce v kulturním odvětví, včetně definice statusu „profesionálů v oblasti tvorby nebo kultury“ a přiměřených da</w:t>
            </w:r>
            <w:r>
              <w:rPr>
                <w:noProof/>
              </w:rPr>
              <w:t>ňových pobídek a pobídek v oblasti sociálního zabezpečení.</w:t>
            </w:r>
          </w:p>
        </w:tc>
      </w:tr>
      <w:tr w:rsidR="00515398" w14:paraId="3585EB1E"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328C1767" w14:textId="77777777" w:rsidR="00515398" w:rsidRDefault="006711E6">
            <w:pPr>
              <w:pStyle w:val="P68B1DB1-Normal10"/>
              <w:spacing w:after="0" w:line="240" w:lineRule="auto"/>
              <w:rPr>
                <w:rFonts w:eastAsia="Times New Roman" w:cs="Calibri"/>
                <w:noProof/>
              </w:rPr>
            </w:pPr>
            <w:r>
              <w:rPr>
                <w:noProof/>
              </w:rPr>
              <w:t>279</w:t>
            </w:r>
          </w:p>
        </w:tc>
        <w:tc>
          <w:tcPr>
            <w:tcW w:w="1615" w:type="dxa"/>
            <w:tcBorders>
              <w:top w:val="nil"/>
              <w:left w:val="nil"/>
              <w:bottom w:val="single" w:sz="4" w:space="0" w:color="auto"/>
              <w:right w:val="single" w:sz="4" w:space="0" w:color="auto"/>
            </w:tcBorders>
            <w:shd w:val="clear" w:color="auto" w:fill="C6EFCE"/>
            <w:noWrap/>
          </w:tcPr>
          <w:p w14:paraId="436A8FCD"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16486_Muzeum podvodních starožitností</w:t>
            </w:r>
          </w:p>
        </w:tc>
        <w:tc>
          <w:tcPr>
            <w:tcW w:w="1008" w:type="dxa"/>
            <w:tcBorders>
              <w:top w:val="nil"/>
              <w:left w:val="nil"/>
              <w:bottom w:val="single" w:sz="4" w:space="0" w:color="auto"/>
              <w:right w:val="single" w:sz="4" w:space="0" w:color="auto"/>
            </w:tcBorders>
            <w:shd w:val="clear" w:color="auto" w:fill="C6EFCE"/>
            <w:noWrap/>
          </w:tcPr>
          <w:p w14:paraId="6A1B8CF4"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nil"/>
              <w:left w:val="nil"/>
              <w:bottom w:val="single" w:sz="4" w:space="0" w:color="auto"/>
              <w:right w:val="single" w:sz="4" w:space="0" w:color="auto"/>
            </w:tcBorders>
            <w:shd w:val="clear" w:color="auto" w:fill="C6EFCE"/>
            <w:noWrap/>
          </w:tcPr>
          <w:p w14:paraId="3DFB528B" w14:textId="77777777" w:rsidR="00515398" w:rsidRDefault="006711E6">
            <w:pPr>
              <w:pStyle w:val="P68B1DB1-Normal9"/>
              <w:spacing w:after="0" w:line="240" w:lineRule="auto"/>
              <w:rPr>
                <w:rFonts w:eastAsia="Times New Roman" w:cs="Calibri"/>
                <w:noProof/>
                <w:szCs w:val="18"/>
              </w:rPr>
            </w:pPr>
            <w:r>
              <w:rPr>
                <w:noProof/>
              </w:rPr>
              <w:t>Zadání zakázky muzeu podvodních starožitností</w:t>
            </w:r>
          </w:p>
        </w:tc>
        <w:tc>
          <w:tcPr>
            <w:tcW w:w="1549" w:type="dxa"/>
            <w:tcBorders>
              <w:top w:val="nil"/>
              <w:left w:val="nil"/>
              <w:bottom w:val="single" w:sz="4" w:space="0" w:color="auto"/>
              <w:right w:val="single" w:sz="4" w:space="0" w:color="auto"/>
            </w:tcBorders>
            <w:shd w:val="clear" w:color="auto" w:fill="C6EFCE"/>
            <w:noWrap/>
          </w:tcPr>
          <w:p w14:paraId="6D9A7988" w14:textId="13459F19" w:rsidR="00515398" w:rsidRDefault="006711E6">
            <w:pPr>
              <w:pStyle w:val="P68B1DB1-Normal9"/>
              <w:spacing w:after="0" w:line="240" w:lineRule="auto"/>
              <w:rPr>
                <w:rFonts w:eastAsia="Times New Roman" w:cs="Calibri"/>
                <w:noProof/>
                <w:szCs w:val="18"/>
              </w:rPr>
            </w:pPr>
            <w:r>
              <w:rPr>
                <w:noProof/>
                <w:szCs w:val="18"/>
              </w:rPr>
              <w:t xml:space="preserve">Oznámení o udělení ceny </w:t>
            </w:r>
            <w:r>
              <w:rPr>
                <w:noProof/>
                <w:szCs w:val="18"/>
              </w:rPr>
              <w:t>muzeu podvodních starožitností</w:t>
            </w:r>
            <w:r>
              <w:rPr>
                <w:rFonts w:asciiTheme="minorHAnsi" w:hAnsiTheme="minorHAnsi"/>
                <w:noProof/>
              </w:rPr>
              <w:t xml:space="preserve">a </w:t>
            </w:r>
            <w:r>
              <w:rPr>
                <w:rFonts w:asciiTheme="minorHAnsi" w:eastAsiaTheme="minorEastAsia" w:hAnsiTheme="minorHAnsi" w:cstheme="minorBidi"/>
                <w:noProof/>
                <w:szCs w:val="18"/>
              </w:rPr>
              <w:t xml:space="preserve"> technické specifikace zveřejněné</w:t>
            </w:r>
            <w:r>
              <w:rPr>
                <w:rFonts w:asciiTheme="minorHAnsi" w:hAnsiTheme="minorHAnsi"/>
                <w:noProof/>
              </w:rPr>
              <w:t xml:space="preserve"> </w:t>
            </w:r>
            <w:r>
              <w:rPr>
                <w:noProof/>
                <w:szCs w:val="18"/>
              </w:rPr>
              <w:t>v dílech na muzeu podvodních starožitností</w:t>
            </w:r>
          </w:p>
        </w:tc>
        <w:tc>
          <w:tcPr>
            <w:tcW w:w="1397" w:type="dxa"/>
            <w:tcBorders>
              <w:top w:val="nil"/>
              <w:left w:val="nil"/>
              <w:bottom w:val="single" w:sz="4" w:space="0" w:color="auto"/>
              <w:right w:val="single" w:sz="4" w:space="0" w:color="auto"/>
            </w:tcBorders>
            <w:shd w:val="clear" w:color="auto" w:fill="C6EFCE"/>
            <w:noWrap/>
          </w:tcPr>
          <w:p w14:paraId="5A354AD8" w14:textId="77777777" w:rsidR="00515398" w:rsidRDefault="00515398">
            <w:pPr>
              <w:spacing w:after="0" w:line="240" w:lineRule="auto"/>
              <w:rPr>
                <w:rFonts w:eastAsia="Times New Roman" w:cs="Calibri"/>
                <w:noProof/>
                <w:color w:val="006100"/>
                <w:sz w:val="18"/>
                <w:szCs w:val="18"/>
              </w:rPr>
            </w:pPr>
          </w:p>
        </w:tc>
        <w:tc>
          <w:tcPr>
            <w:tcW w:w="1058" w:type="dxa"/>
            <w:tcBorders>
              <w:top w:val="nil"/>
              <w:left w:val="nil"/>
              <w:bottom w:val="single" w:sz="4" w:space="0" w:color="auto"/>
              <w:right w:val="single" w:sz="4" w:space="0" w:color="auto"/>
            </w:tcBorders>
            <w:shd w:val="clear" w:color="auto" w:fill="C6EFCE"/>
            <w:noWrap/>
          </w:tcPr>
          <w:p w14:paraId="498524CC"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13E18845" w14:textId="77777777" w:rsidR="00515398" w:rsidRDefault="00515398">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4E35709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nil"/>
              <w:left w:val="nil"/>
              <w:bottom w:val="single" w:sz="4" w:space="0" w:color="auto"/>
              <w:right w:val="single" w:sz="4" w:space="0" w:color="auto"/>
            </w:tcBorders>
            <w:shd w:val="clear" w:color="auto" w:fill="C6EFCE"/>
            <w:noWrap/>
          </w:tcPr>
          <w:p w14:paraId="732D5387" w14:textId="77777777" w:rsidR="00515398" w:rsidRDefault="006711E6">
            <w:pPr>
              <w:pStyle w:val="P68B1DB1-Normal9"/>
              <w:spacing w:after="0" w:line="240" w:lineRule="auto"/>
              <w:rPr>
                <w:rFonts w:eastAsia="Times New Roman" w:cs="Calibri"/>
                <w:noProof/>
                <w:szCs w:val="18"/>
              </w:rPr>
            </w:pPr>
            <w:r>
              <w:rPr>
                <w:noProof/>
              </w:rPr>
              <w:t>2023</w:t>
            </w:r>
          </w:p>
        </w:tc>
        <w:tc>
          <w:tcPr>
            <w:tcW w:w="3950" w:type="dxa"/>
            <w:tcBorders>
              <w:top w:val="nil"/>
              <w:left w:val="nil"/>
              <w:bottom w:val="single" w:sz="4" w:space="0" w:color="auto"/>
              <w:right w:val="single" w:sz="4" w:space="0" w:color="auto"/>
            </w:tcBorders>
            <w:shd w:val="clear" w:color="auto" w:fill="C6EFCE"/>
            <w:noWrap/>
          </w:tcPr>
          <w:p w14:paraId="2CEA59DB" w14:textId="77777777" w:rsidR="00515398" w:rsidRDefault="006711E6">
            <w:pPr>
              <w:pStyle w:val="P68B1DB1-Normal9"/>
              <w:spacing w:after="0" w:line="240" w:lineRule="auto"/>
              <w:rPr>
                <w:rFonts w:eastAsia="Times New Roman" w:cs="Calibri"/>
                <w:noProof/>
                <w:szCs w:val="18"/>
              </w:rPr>
            </w:pPr>
            <w:r>
              <w:rPr>
                <w:noProof/>
              </w:rPr>
              <w:t xml:space="preserve">Zadání zakázky na muzeum podvodních starožitností. </w:t>
            </w:r>
          </w:p>
        </w:tc>
      </w:tr>
      <w:tr w:rsidR="00515398" w14:paraId="3444DCE6" w14:textId="77777777">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14:paraId="6D99BF74" w14:textId="77777777" w:rsidR="00515398" w:rsidRDefault="006711E6">
            <w:pPr>
              <w:pStyle w:val="P68B1DB1-Normal9"/>
              <w:spacing w:after="0" w:line="240" w:lineRule="auto"/>
              <w:rPr>
                <w:rFonts w:eastAsia="Times New Roman" w:cs="Calibri"/>
                <w:noProof/>
                <w:szCs w:val="18"/>
              </w:rPr>
            </w:pPr>
            <w:r>
              <w:rPr>
                <w:noProof/>
              </w:rPr>
              <w:t>280</w:t>
            </w:r>
          </w:p>
        </w:tc>
        <w:tc>
          <w:tcPr>
            <w:tcW w:w="1615" w:type="dxa"/>
            <w:tcBorders>
              <w:top w:val="nil"/>
              <w:left w:val="nil"/>
              <w:bottom w:val="single" w:sz="4" w:space="0" w:color="auto"/>
              <w:right w:val="single" w:sz="4" w:space="0" w:color="auto"/>
            </w:tcBorders>
            <w:shd w:val="clear" w:color="auto" w:fill="C6EFCE"/>
            <w:noWrap/>
          </w:tcPr>
          <w:p w14:paraId="3E52B203"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w:t>
            </w:r>
            <w:r>
              <w:rPr>
                <w:noProof/>
              </w:rPr>
              <w:t>odvětví – 16293_Kultura jako hnací síla růstu</w:t>
            </w:r>
          </w:p>
        </w:tc>
        <w:tc>
          <w:tcPr>
            <w:tcW w:w="1008" w:type="dxa"/>
            <w:tcBorders>
              <w:top w:val="nil"/>
              <w:left w:val="nil"/>
              <w:bottom w:val="single" w:sz="4" w:space="0" w:color="auto"/>
              <w:right w:val="single" w:sz="4" w:space="0" w:color="auto"/>
            </w:tcBorders>
            <w:shd w:val="clear" w:color="auto" w:fill="C6EFCE"/>
            <w:noWrap/>
          </w:tcPr>
          <w:p w14:paraId="0583F416"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nil"/>
              <w:left w:val="nil"/>
              <w:bottom w:val="single" w:sz="4" w:space="0" w:color="auto"/>
              <w:right w:val="single" w:sz="4" w:space="0" w:color="auto"/>
            </w:tcBorders>
            <w:shd w:val="clear" w:color="auto" w:fill="C6EFCE"/>
            <w:noWrap/>
          </w:tcPr>
          <w:p w14:paraId="32379F0C" w14:textId="77777777" w:rsidR="00515398" w:rsidRDefault="006711E6">
            <w:pPr>
              <w:pStyle w:val="P68B1DB1-Normal9"/>
              <w:spacing w:after="0" w:line="240" w:lineRule="auto"/>
              <w:rPr>
                <w:rFonts w:eastAsia="Times New Roman" w:cs="Calibri"/>
                <w:noProof/>
                <w:szCs w:val="18"/>
              </w:rPr>
            </w:pPr>
            <w:r>
              <w:rPr>
                <w:noProof/>
              </w:rPr>
              <w:t>Značka a platforma pro současnou řeckou kulturu</w:t>
            </w:r>
          </w:p>
        </w:tc>
        <w:tc>
          <w:tcPr>
            <w:tcW w:w="1549" w:type="dxa"/>
            <w:tcBorders>
              <w:top w:val="nil"/>
              <w:left w:val="nil"/>
              <w:bottom w:val="single" w:sz="4" w:space="0" w:color="auto"/>
              <w:right w:val="single" w:sz="4" w:space="0" w:color="auto"/>
            </w:tcBorders>
            <w:shd w:val="clear" w:color="auto" w:fill="C6EFCE"/>
            <w:noWrap/>
          </w:tcPr>
          <w:p w14:paraId="1ADD6BE6" w14:textId="77777777" w:rsidR="00515398" w:rsidRDefault="006711E6">
            <w:pPr>
              <w:pStyle w:val="P68B1DB1-Normal9"/>
              <w:spacing w:after="0" w:line="240" w:lineRule="auto"/>
              <w:rPr>
                <w:rFonts w:eastAsia="Times New Roman" w:cs="Calibri"/>
                <w:noProof/>
                <w:szCs w:val="18"/>
              </w:rPr>
            </w:pPr>
            <w:r>
              <w:rPr>
                <w:noProof/>
              </w:rPr>
              <w:t xml:space="preserve">Report on Contemporary Greek Culture Branding, Green design platform (Zelené designové platformy), řecké hudební databáze a obnoveného řeckého programu </w:t>
            </w:r>
            <w:r>
              <w:rPr>
                <w:noProof/>
              </w:rPr>
              <w:t>překladu literatury.</w:t>
            </w:r>
          </w:p>
        </w:tc>
        <w:tc>
          <w:tcPr>
            <w:tcW w:w="1397" w:type="dxa"/>
            <w:tcBorders>
              <w:top w:val="nil"/>
              <w:left w:val="nil"/>
              <w:bottom w:val="single" w:sz="4" w:space="0" w:color="auto"/>
              <w:right w:val="single" w:sz="4" w:space="0" w:color="auto"/>
            </w:tcBorders>
            <w:shd w:val="clear" w:color="auto" w:fill="C6EFCE"/>
            <w:noWrap/>
          </w:tcPr>
          <w:p w14:paraId="3B81168B" w14:textId="77777777" w:rsidR="00515398" w:rsidRDefault="00515398">
            <w:pPr>
              <w:spacing w:after="0" w:line="240" w:lineRule="auto"/>
              <w:rPr>
                <w:rFonts w:eastAsia="Times New Roman" w:cs="Calibri"/>
                <w:noProof/>
                <w:color w:val="006100"/>
                <w:sz w:val="18"/>
                <w:szCs w:val="18"/>
              </w:rPr>
            </w:pPr>
          </w:p>
        </w:tc>
        <w:tc>
          <w:tcPr>
            <w:tcW w:w="1058" w:type="dxa"/>
            <w:tcBorders>
              <w:top w:val="nil"/>
              <w:left w:val="nil"/>
              <w:bottom w:val="single" w:sz="4" w:space="0" w:color="auto"/>
              <w:right w:val="single" w:sz="4" w:space="0" w:color="auto"/>
            </w:tcBorders>
            <w:shd w:val="clear" w:color="auto" w:fill="C6EFCE"/>
            <w:noWrap/>
          </w:tcPr>
          <w:p w14:paraId="624AB0FB" w14:textId="77777777" w:rsidR="00515398" w:rsidRDefault="00515398">
            <w:pPr>
              <w:spacing w:after="0" w:line="240" w:lineRule="auto"/>
              <w:rPr>
                <w:rFonts w:eastAsia="Times New Roman" w:cs="Calibri"/>
                <w:noProof/>
                <w:color w:val="006100"/>
                <w:sz w:val="18"/>
                <w:szCs w:val="18"/>
              </w:rPr>
            </w:pPr>
          </w:p>
        </w:tc>
        <w:tc>
          <w:tcPr>
            <w:tcW w:w="992" w:type="dxa"/>
            <w:tcBorders>
              <w:top w:val="nil"/>
              <w:left w:val="nil"/>
              <w:bottom w:val="single" w:sz="4" w:space="0" w:color="auto"/>
              <w:right w:val="single" w:sz="4" w:space="0" w:color="auto"/>
            </w:tcBorders>
            <w:shd w:val="clear" w:color="auto" w:fill="C6EFCE"/>
            <w:noWrap/>
          </w:tcPr>
          <w:p w14:paraId="667468E5" w14:textId="77777777" w:rsidR="00515398" w:rsidRDefault="00515398">
            <w:pPr>
              <w:spacing w:after="0" w:line="240" w:lineRule="auto"/>
              <w:rPr>
                <w:rFonts w:eastAsia="Times New Roman" w:cs="Calibri"/>
                <w:noProof/>
                <w:color w:val="006100"/>
                <w:sz w:val="18"/>
                <w:szCs w:val="18"/>
              </w:rPr>
            </w:pPr>
          </w:p>
        </w:tc>
        <w:tc>
          <w:tcPr>
            <w:tcW w:w="1134" w:type="dxa"/>
            <w:tcBorders>
              <w:top w:val="nil"/>
              <w:left w:val="nil"/>
              <w:bottom w:val="single" w:sz="4" w:space="0" w:color="auto"/>
              <w:right w:val="single" w:sz="4" w:space="0" w:color="auto"/>
            </w:tcBorders>
            <w:shd w:val="clear" w:color="auto" w:fill="C6EFCE"/>
            <w:noWrap/>
          </w:tcPr>
          <w:p w14:paraId="1AE8FF9F"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nil"/>
              <w:left w:val="nil"/>
              <w:bottom w:val="single" w:sz="4" w:space="0" w:color="auto"/>
              <w:right w:val="single" w:sz="4" w:space="0" w:color="auto"/>
            </w:tcBorders>
            <w:shd w:val="clear" w:color="auto" w:fill="C6EFCE"/>
            <w:noWrap/>
          </w:tcPr>
          <w:p w14:paraId="77A335D9" w14:textId="77777777" w:rsidR="00515398" w:rsidRDefault="006711E6">
            <w:pPr>
              <w:pStyle w:val="P68B1DB1-Normal9"/>
              <w:spacing w:after="0" w:line="240" w:lineRule="auto"/>
              <w:rPr>
                <w:rFonts w:eastAsia="Times New Roman" w:cs="Calibri"/>
                <w:noProof/>
                <w:szCs w:val="18"/>
              </w:rPr>
            </w:pPr>
            <w:r>
              <w:rPr>
                <w:noProof/>
              </w:rPr>
              <w:t>2024</w:t>
            </w:r>
          </w:p>
        </w:tc>
        <w:tc>
          <w:tcPr>
            <w:tcW w:w="3950" w:type="dxa"/>
            <w:tcBorders>
              <w:top w:val="nil"/>
              <w:left w:val="nil"/>
              <w:bottom w:val="single" w:sz="4" w:space="0" w:color="auto"/>
              <w:right w:val="single" w:sz="4" w:space="0" w:color="auto"/>
            </w:tcBorders>
            <w:shd w:val="clear" w:color="auto" w:fill="C6EFCE"/>
            <w:noWrap/>
          </w:tcPr>
          <w:p w14:paraId="4B55C3C9" w14:textId="77777777" w:rsidR="00515398" w:rsidRDefault="006711E6">
            <w:pPr>
              <w:pStyle w:val="P68B1DB1-Normal9"/>
              <w:spacing w:after="0" w:line="240" w:lineRule="auto"/>
              <w:rPr>
                <w:rFonts w:eastAsia="Times New Roman" w:cs="Calibri"/>
                <w:noProof/>
                <w:szCs w:val="18"/>
              </w:rPr>
            </w:pPr>
            <w:r>
              <w:rPr>
                <w:noProof/>
              </w:rPr>
              <w:t xml:space="preserve">Kultura jako hnací síla růstu: Vyvinula se, zřídila Řecká platforma pro design, řecká hudební databáze a aktualizovaný program překladu řecké literatury. </w:t>
            </w:r>
          </w:p>
        </w:tc>
      </w:tr>
      <w:tr w:rsidR="00515398" w14:paraId="61BDB7A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50DB2617" w14:textId="77777777" w:rsidR="00515398" w:rsidRDefault="006711E6">
            <w:pPr>
              <w:pStyle w:val="P68B1DB1-Normal9"/>
              <w:spacing w:after="0" w:line="240" w:lineRule="auto"/>
              <w:rPr>
                <w:rFonts w:eastAsia="Times New Roman" w:cs="Calibri"/>
                <w:noProof/>
                <w:szCs w:val="18"/>
              </w:rPr>
            </w:pPr>
            <w:r>
              <w:rPr>
                <w:noProof/>
              </w:rPr>
              <w:t>283</w:t>
            </w:r>
          </w:p>
        </w:tc>
        <w:tc>
          <w:tcPr>
            <w:tcW w:w="1615" w:type="dxa"/>
            <w:tcBorders>
              <w:top w:val="single" w:sz="4" w:space="0" w:color="auto"/>
              <w:left w:val="nil"/>
              <w:bottom w:val="single" w:sz="4" w:space="0" w:color="auto"/>
              <w:right w:val="single" w:sz="4" w:space="0" w:color="auto"/>
            </w:tcBorders>
            <w:shd w:val="clear" w:color="auto" w:fill="C6EFCE"/>
            <w:noWrap/>
          </w:tcPr>
          <w:p w14:paraId="02512596"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w:t>
            </w:r>
            <w:r>
              <w:rPr>
                <w:noProof/>
              </w:rPr>
              <w:t>hospodářských odvětví – 16293_Kultura jako hnací síla růstu</w:t>
            </w:r>
          </w:p>
        </w:tc>
        <w:tc>
          <w:tcPr>
            <w:tcW w:w="1008" w:type="dxa"/>
            <w:tcBorders>
              <w:top w:val="single" w:sz="4" w:space="0" w:color="auto"/>
              <w:left w:val="nil"/>
              <w:bottom w:val="single" w:sz="4" w:space="0" w:color="auto"/>
              <w:right w:val="single" w:sz="4" w:space="0" w:color="auto"/>
            </w:tcBorders>
            <w:shd w:val="clear" w:color="auto" w:fill="C6EFCE"/>
            <w:noWrap/>
          </w:tcPr>
          <w:p w14:paraId="7E1BAE2D"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single" w:sz="4" w:space="0" w:color="auto"/>
              <w:left w:val="nil"/>
              <w:bottom w:val="single" w:sz="4" w:space="0" w:color="auto"/>
              <w:right w:val="single" w:sz="4" w:space="0" w:color="auto"/>
            </w:tcBorders>
            <w:shd w:val="clear" w:color="auto" w:fill="C6EFCE"/>
            <w:noWrap/>
          </w:tcPr>
          <w:p w14:paraId="06F5E785" w14:textId="77777777" w:rsidR="00515398" w:rsidRDefault="006711E6">
            <w:pPr>
              <w:pStyle w:val="P68B1DB1-Normal9"/>
              <w:spacing w:after="0" w:line="240" w:lineRule="auto"/>
              <w:rPr>
                <w:rFonts w:eastAsia="Times New Roman" w:cs="Calibri"/>
                <w:noProof/>
                <w:szCs w:val="18"/>
              </w:rPr>
            </w:pPr>
            <w:r>
              <w:rPr>
                <w:noProof/>
              </w:rPr>
              <w:t>Kultura jako hnací síla růstu</w:t>
            </w:r>
          </w:p>
        </w:tc>
        <w:tc>
          <w:tcPr>
            <w:tcW w:w="1549" w:type="dxa"/>
            <w:tcBorders>
              <w:top w:val="single" w:sz="4" w:space="0" w:color="auto"/>
              <w:left w:val="nil"/>
              <w:bottom w:val="single" w:sz="4" w:space="0" w:color="auto"/>
              <w:right w:val="single" w:sz="4" w:space="0" w:color="auto"/>
            </w:tcBorders>
            <w:shd w:val="clear" w:color="auto" w:fill="C6EFCE"/>
            <w:noWrap/>
          </w:tcPr>
          <w:p w14:paraId="22BF8467" w14:textId="77777777" w:rsidR="00515398" w:rsidRDefault="006711E6">
            <w:pPr>
              <w:pStyle w:val="P68B1DB1-Normal9"/>
              <w:spacing w:after="0" w:line="240" w:lineRule="auto"/>
              <w:rPr>
                <w:rFonts w:eastAsia="Times New Roman" w:cs="Calibri"/>
                <w:noProof/>
                <w:szCs w:val="18"/>
              </w:rPr>
            </w:pPr>
            <w:r>
              <w:rPr>
                <w:noProof/>
              </w:rPr>
              <w:t>Zprávy o dokončení všech dílčích projektů, včetně dokladů o platbě a výsledků auditů investic, osvědčení příjemců o dokončení investice</w:t>
            </w:r>
          </w:p>
        </w:tc>
        <w:tc>
          <w:tcPr>
            <w:tcW w:w="1397" w:type="dxa"/>
            <w:tcBorders>
              <w:top w:val="single" w:sz="4" w:space="0" w:color="auto"/>
              <w:left w:val="nil"/>
              <w:bottom w:val="single" w:sz="4" w:space="0" w:color="auto"/>
              <w:right w:val="single" w:sz="4" w:space="0" w:color="auto"/>
            </w:tcBorders>
            <w:shd w:val="clear" w:color="auto" w:fill="C6EFCE"/>
            <w:noWrap/>
          </w:tcPr>
          <w:p w14:paraId="284727E7"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4CD2A381"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47D77CDB"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0DDB41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44531B6B"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434FA6C5" w14:textId="77777777" w:rsidR="00515398" w:rsidRDefault="006711E6">
            <w:pPr>
              <w:pStyle w:val="P68B1DB1-Normal9"/>
              <w:spacing w:after="0" w:line="240" w:lineRule="auto"/>
              <w:rPr>
                <w:noProof/>
              </w:rPr>
            </w:pPr>
            <w:r>
              <w:rPr>
                <w:noProof/>
              </w:rPr>
              <w:t xml:space="preserve">Dokončení kultury jako hnací síly růstu </w:t>
            </w:r>
            <w:sdt>
              <w:sdtPr>
                <w:rPr>
                  <w:rFonts w:eastAsia="Times New Roman" w:cs="Calibri"/>
                  <w:noProof/>
                  <w:szCs w:val="18"/>
                  <w:shd w:val="clear" w:color="auto" w:fill="E6E6E6"/>
                  <w:lang w:val="en-GB"/>
                </w:rPr>
                <w:tag w:val="goog_rdk_42"/>
                <w:id w:val="660356159"/>
              </w:sdtPr>
              <w:sdtEndPr/>
              <w:sdtContent>
                <w:r>
                  <w:rPr>
                    <w:noProof/>
                  </w:rPr>
                  <w:t>finalizace všech příslušných dílčích projektů</w:t>
                </w:r>
              </w:sdtContent>
            </w:sdt>
            <w:r>
              <w:rPr>
                <w:noProof/>
              </w:rPr>
              <w:t xml:space="preserve">: poskytování podpory při provádění pilotních projektů v rámci vybraných regionálních strategií kulturních a kreativních odvětví, modernizace infrastruktury kulturních </w:t>
            </w:r>
            <w:r>
              <w:rPr>
                <w:noProof/>
              </w:rPr>
              <w:t xml:space="preserve">památek a pořádání seminářů pro odborníky v kulturních a tvůrčích odvětvích; poskytování podpory místním řemeslným ekosystémům zlepšením infrastruktury, poskytováním školicích programů, mapováním a rozvojem integrované vnitrostátní strategie řemesel podle </w:t>
            </w:r>
            <w:r>
              <w:rPr>
                <w:noProof/>
              </w:rPr>
              <w:t>regionů; rozšíření využívání archeologických nalezišť a památek jako míst konání akcí prostřednictvím modernizace vybraných archeologických nalezišť a památek a zlepšení jejich digitální infrastruktury; propagace filmového průmyslu poskytováním finanční po</w:t>
            </w:r>
            <w:r>
              <w:rPr>
                <w:noProof/>
              </w:rPr>
              <w:t>dpory na produkci vybraných řeckých filmů; posílení řecké kulturní značky a vývozu, mimo jiné rozvojem digitálního materiálu a propagací platformy současné řecké kultury a všech souvisejících dílčích platforem, poskytování finanční podpory na účast a propa</w:t>
            </w:r>
            <w:r>
              <w:rPr>
                <w:noProof/>
              </w:rPr>
              <w:t>gaci řecké produkce v zahraničí.</w:t>
            </w:r>
          </w:p>
        </w:tc>
      </w:tr>
      <w:tr w:rsidR="00515398" w14:paraId="7ACB620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3C0EBC" w14:textId="77777777" w:rsidR="00515398" w:rsidRDefault="006711E6">
            <w:pPr>
              <w:pStyle w:val="P68B1DB1-Normal9"/>
              <w:spacing w:after="0" w:line="240" w:lineRule="auto"/>
              <w:rPr>
                <w:rFonts w:eastAsia="Times New Roman" w:cs="Calibri"/>
                <w:noProof/>
                <w:szCs w:val="18"/>
              </w:rPr>
            </w:pPr>
            <w:r>
              <w:rPr>
                <w:noProof/>
              </w:rPr>
              <w:t>284</w:t>
            </w:r>
          </w:p>
        </w:tc>
        <w:tc>
          <w:tcPr>
            <w:tcW w:w="1615" w:type="dxa"/>
            <w:tcBorders>
              <w:top w:val="single" w:sz="4" w:space="0" w:color="auto"/>
              <w:left w:val="nil"/>
              <w:bottom w:val="single" w:sz="4" w:space="0" w:color="auto"/>
              <w:right w:val="single" w:sz="4" w:space="0" w:color="auto"/>
            </w:tcBorders>
            <w:shd w:val="clear" w:color="auto" w:fill="C6EFCE"/>
            <w:noWrap/>
          </w:tcPr>
          <w:p w14:paraId="090E268E"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16536_Modernizace infrastruktury, obnova vybavení a modernizace kvality služeb poskytovaných HOCRED Stores – bývalé ARF Stores (On-spot and </w:t>
            </w:r>
            <w:r>
              <w:rPr>
                <w:noProof/>
              </w:rPr>
              <w:t>electronic)</w:t>
            </w:r>
          </w:p>
        </w:tc>
        <w:tc>
          <w:tcPr>
            <w:tcW w:w="1008" w:type="dxa"/>
            <w:tcBorders>
              <w:top w:val="single" w:sz="4" w:space="0" w:color="auto"/>
              <w:left w:val="nil"/>
              <w:bottom w:val="single" w:sz="4" w:space="0" w:color="auto"/>
              <w:right w:val="single" w:sz="4" w:space="0" w:color="auto"/>
            </w:tcBorders>
            <w:shd w:val="clear" w:color="auto" w:fill="C6EFCE"/>
            <w:noWrap/>
          </w:tcPr>
          <w:p w14:paraId="7EE9CA68"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single" w:sz="4" w:space="0" w:color="auto"/>
              <w:left w:val="nil"/>
              <w:bottom w:val="single" w:sz="4" w:space="0" w:color="auto"/>
              <w:right w:val="single" w:sz="4" w:space="0" w:color="auto"/>
            </w:tcBorders>
            <w:shd w:val="clear" w:color="auto" w:fill="C6EFCE"/>
            <w:noWrap/>
          </w:tcPr>
          <w:p w14:paraId="6A06FA27" w14:textId="77777777" w:rsidR="00515398" w:rsidRDefault="006711E6">
            <w:pPr>
              <w:pStyle w:val="P68B1DB1-Normal9"/>
              <w:spacing w:after="0" w:line="240" w:lineRule="auto"/>
              <w:rPr>
                <w:rFonts w:eastAsia="Times New Roman" w:cs="Calibri"/>
                <w:noProof/>
                <w:szCs w:val="18"/>
              </w:rPr>
            </w:pPr>
            <w:r>
              <w:rPr>
                <w:noProof/>
              </w:rPr>
              <w:t xml:space="preserve">Modernizace Řecké organizace pro rozvoj kulturních zdrojů (HOCRED) </w:t>
            </w:r>
          </w:p>
        </w:tc>
        <w:tc>
          <w:tcPr>
            <w:tcW w:w="1549" w:type="dxa"/>
            <w:tcBorders>
              <w:top w:val="single" w:sz="4" w:space="0" w:color="auto"/>
              <w:left w:val="nil"/>
              <w:bottom w:val="single" w:sz="4" w:space="0" w:color="auto"/>
              <w:right w:val="single" w:sz="4" w:space="0" w:color="auto"/>
            </w:tcBorders>
            <w:shd w:val="clear" w:color="auto" w:fill="C6EFCE"/>
            <w:noWrap/>
          </w:tcPr>
          <w:p w14:paraId="28B7AC78" w14:textId="77777777" w:rsidR="00515398" w:rsidRDefault="006711E6">
            <w:pPr>
              <w:pStyle w:val="P68B1DB1-Normal9"/>
              <w:spacing w:after="0" w:line="240" w:lineRule="auto"/>
              <w:rPr>
                <w:rFonts w:eastAsia="Times New Roman" w:cs="Calibri"/>
                <w:noProof/>
                <w:szCs w:val="18"/>
              </w:rPr>
            </w:pPr>
            <w:r>
              <w:rPr>
                <w:noProof/>
              </w:rPr>
              <w:t>Zprávy o dokončení, včetně dokladů o platbě a výsledků auditů investic, osvědčení příjemců o dokončení investice.</w:t>
            </w:r>
          </w:p>
        </w:tc>
        <w:tc>
          <w:tcPr>
            <w:tcW w:w="1397" w:type="dxa"/>
            <w:tcBorders>
              <w:top w:val="single" w:sz="4" w:space="0" w:color="auto"/>
              <w:left w:val="nil"/>
              <w:bottom w:val="single" w:sz="4" w:space="0" w:color="auto"/>
              <w:right w:val="single" w:sz="4" w:space="0" w:color="auto"/>
            </w:tcBorders>
            <w:shd w:val="clear" w:color="auto" w:fill="C6EFCE"/>
            <w:noWrap/>
          </w:tcPr>
          <w:p w14:paraId="29604C90"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6E660966"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5B838D22"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60CA2D9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4743C456"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0DCFDFDA" w14:textId="77777777" w:rsidR="00515398" w:rsidRDefault="006711E6">
            <w:pPr>
              <w:pStyle w:val="P68B1DB1-Normal43"/>
              <w:spacing w:after="0" w:line="240" w:lineRule="auto"/>
              <w:rPr>
                <w:noProof/>
                <w:color w:val="006100"/>
              </w:rPr>
            </w:pPr>
            <w:r>
              <w:rPr>
                <w:noProof/>
                <w:color w:val="006100"/>
              </w:rPr>
              <w:t xml:space="preserve">Zlepšení operací Řecké </w:t>
            </w:r>
            <w:r>
              <w:rPr>
                <w:noProof/>
                <w:color w:val="006100"/>
              </w:rPr>
              <w:t>organizace pro rozvoj kulturních zdrojů (HOCRED), včetně energeticky účinných renovací, výstavby a modernizace infrastruktury a poskytování vybavení pro fyzické a on-line obchody a modernizace kvality služeb.</w:t>
            </w:r>
            <w:r>
              <w:rPr>
                <w:noProof/>
              </w:rPr>
              <w:t xml:space="preserve"> </w:t>
            </w:r>
          </w:p>
        </w:tc>
      </w:tr>
      <w:tr w:rsidR="00515398" w14:paraId="58F1908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77D3482" w14:textId="77777777" w:rsidR="00515398" w:rsidRDefault="006711E6">
            <w:pPr>
              <w:pStyle w:val="P68B1DB1-Normal9"/>
              <w:spacing w:after="0" w:line="240" w:lineRule="auto"/>
              <w:rPr>
                <w:rFonts w:eastAsia="Times New Roman" w:cs="Calibri"/>
                <w:noProof/>
                <w:szCs w:val="18"/>
              </w:rPr>
            </w:pPr>
            <w:r>
              <w:rPr>
                <w:noProof/>
              </w:rPr>
              <w:t>285</w:t>
            </w:r>
          </w:p>
        </w:tc>
        <w:tc>
          <w:tcPr>
            <w:tcW w:w="1615" w:type="dxa"/>
            <w:tcBorders>
              <w:top w:val="single" w:sz="4" w:space="0" w:color="auto"/>
              <w:left w:val="nil"/>
              <w:bottom w:val="single" w:sz="4" w:space="0" w:color="auto"/>
              <w:right w:val="single" w:sz="4" w:space="0" w:color="auto"/>
            </w:tcBorders>
            <w:shd w:val="clear" w:color="auto" w:fill="C6EFCE"/>
            <w:noWrap/>
          </w:tcPr>
          <w:p w14:paraId="49544A73"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w:t>
            </w:r>
            <w:r>
              <w:rPr>
                <w:noProof/>
              </w:rPr>
              <w:t>klíčových hospodářských odvětví – 16725_Zlepšování vysokoškolského vzdělávání v oblasti umění</w:t>
            </w:r>
          </w:p>
        </w:tc>
        <w:tc>
          <w:tcPr>
            <w:tcW w:w="1008" w:type="dxa"/>
            <w:tcBorders>
              <w:top w:val="single" w:sz="4" w:space="0" w:color="auto"/>
              <w:left w:val="nil"/>
              <w:bottom w:val="single" w:sz="4" w:space="0" w:color="auto"/>
              <w:right w:val="single" w:sz="4" w:space="0" w:color="auto"/>
            </w:tcBorders>
            <w:shd w:val="clear" w:color="auto" w:fill="C6EFCE"/>
            <w:noWrap/>
          </w:tcPr>
          <w:p w14:paraId="41B8F4D8"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single" w:sz="4" w:space="0" w:color="auto"/>
              <w:left w:val="nil"/>
              <w:bottom w:val="single" w:sz="4" w:space="0" w:color="auto"/>
              <w:right w:val="single" w:sz="4" w:space="0" w:color="auto"/>
            </w:tcBorders>
            <w:shd w:val="clear" w:color="auto" w:fill="C6EFCE"/>
            <w:noWrap/>
          </w:tcPr>
          <w:p w14:paraId="6F95DEDA" w14:textId="77777777" w:rsidR="00515398" w:rsidRDefault="006711E6">
            <w:pPr>
              <w:pStyle w:val="P68B1DB1-Normal9"/>
              <w:spacing w:after="0" w:line="240" w:lineRule="auto"/>
              <w:rPr>
                <w:rFonts w:eastAsia="Times New Roman" w:cs="Calibri"/>
                <w:noProof/>
                <w:szCs w:val="18"/>
              </w:rPr>
            </w:pPr>
            <w:r>
              <w:rPr>
                <w:noProof/>
              </w:rPr>
              <w:t>Zvýšení vyššího uměleckého vzdělávání</w:t>
            </w:r>
          </w:p>
        </w:tc>
        <w:tc>
          <w:tcPr>
            <w:tcW w:w="1549" w:type="dxa"/>
            <w:tcBorders>
              <w:top w:val="single" w:sz="4" w:space="0" w:color="auto"/>
              <w:left w:val="nil"/>
              <w:bottom w:val="single" w:sz="4" w:space="0" w:color="auto"/>
              <w:right w:val="single" w:sz="4" w:space="0" w:color="auto"/>
            </w:tcBorders>
            <w:shd w:val="clear" w:color="auto" w:fill="C6EFCE"/>
            <w:noWrap/>
          </w:tcPr>
          <w:p w14:paraId="63934FF9" w14:textId="77777777" w:rsidR="00515398" w:rsidRDefault="006711E6">
            <w:pPr>
              <w:pStyle w:val="P68B1DB1-Normal9"/>
              <w:spacing w:after="0" w:line="240" w:lineRule="auto"/>
              <w:rPr>
                <w:rFonts w:eastAsia="Times New Roman" w:cs="Calibri"/>
                <w:noProof/>
                <w:szCs w:val="18"/>
              </w:rPr>
            </w:pPr>
            <w:r>
              <w:rPr>
                <w:noProof/>
              </w:rPr>
              <w:t xml:space="preserve">Zpráva o dokončení, včetně </w:t>
            </w:r>
          </w:p>
          <w:p w14:paraId="256FEA30" w14:textId="77777777" w:rsidR="00515398" w:rsidRDefault="006711E6">
            <w:pPr>
              <w:pStyle w:val="P68B1DB1-Normal9"/>
              <w:spacing w:after="0" w:line="240" w:lineRule="auto"/>
              <w:rPr>
                <w:rFonts w:eastAsia="Times New Roman" w:cs="Calibri"/>
                <w:noProof/>
                <w:szCs w:val="18"/>
              </w:rPr>
            </w:pPr>
            <w:r>
              <w:rPr>
                <w:noProof/>
              </w:rPr>
              <w:t xml:space="preserve">a) doklady o platbě a výsledky auditů investic, osvědčení příjemců o dokončení investic; </w:t>
            </w:r>
            <w:r>
              <w:rPr>
                <w:noProof/>
              </w:rPr>
              <w:t>a pokud</w:t>
            </w:r>
          </w:p>
          <w:p w14:paraId="5177E809" w14:textId="77777777" w:rsidR="00515398" w:rsidRDefault="006711E6">
            <w:pPr>
              <w:pStyle w:val="P68B1DB1-Normal9"/>
              <w:spacing w:after="0" w:line="240" w:lineRule="auto"/>
              <w:rPr>
                <w:rFonts w:eastAsia="Times New Roman" w:cs="Calibri"/>
                <w:noProof/>
                <w:szCs w:val="18"/>
              </w:rPr>
            </w:pPr>
            <w:r>
              <w:rPr>
                <w:noProof/>
              </w:rPr>
              <w:t>b) zdokumentované revize právního rámce s odkazy na Úřední věstník.</w:t>
            </w:r>
          </w:p>
        </w:tc>
        <w:tc>
          <w:tcPr>
            <w:tcW w:w="1397" w:type="dxa"/>
            <w:tcBorders>
              <w:top w:val="single" w:sz="4" w:space="0" w:color="auto"/>
              <w:left w:val="nil"/>
              <w:bottom w:val="single" w:sz="4" w:space="0" w:color="auto"/>
              <w:right w:val="single" w:sz="4" w:space="0" w:color="auto"/>
            </w:tcBorders>
            <w:shd w:val="clear" w:color="auto" w:fill="C6EFCE"/>
            <w:noWrap/>
          </w:tcPr>
          <w:p w14:paraId="000D8EBE"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2329D0F6"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16424137"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06CCA5E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7405A7B2"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17FF3F84" w14:textId="338D130B" w:rsidR="00515398" w:rsidRDefault="006711E6">
            <w:pPr>
              <w:pStyle w:val="P68B1DB1-Normal9"/>
              <w:spacing w:after="0" w:line="240" w:lineRule="auto"/>
              <w:rPr>
                <w:rFonts w:asciiTheme="minorHAnsi" w:eastAsiaTheme="minorEastAsia" w:hAnsiTheme="minorHAnsi" w:cstheme="minorBidi"/>
                <w:noProof/>
                <w:szCs w:val="18"/>
              </w:rPr>
            </w:pPr>
            <w:r>
              <w:rPr>
                <w:rFonts w:asciiTheme="minorHAnsi" w:hAnsiTheme="minorHAnsi"/>
                <w:noProof/>
              </w:rPr>
              <w:t>Vstup v platnost právních předpisů pro a) zřízení univerzity výkonných umění a b) přezkum a aktualizaci</w:t>
            </w:r>
            <w:r>
              <w:rPr>
                <w:noProof/>
              </w:rPr>
              <w:t xml:space="preserve"> </w:t>
            </w:r>
            <w:r>
              <w:rPr>
                <w:rFonts w:asciiTheme="minorHAnsi" w:hAnsiTheme="minorHAnsi"/>
                <w:noProof/>
              </w:rPr>
              <w:t>učebních osnov této instituce vyššího uměleckého vzd</w:t>
            </w:r>
            <w:r>
              <w:rPr>
                <w:rFonts w:asciiTheme="minorHAnsi" w:hAnsiTheme="minorHAnsi"/>
                <w:noProof/>
              </w:rPr>
              <w:t>ělávání.</w:t>
            </w:r>
          </w:p>
          <w:p w14:paraId="36347B81" w14:textId="77777777" w:rsidR="00515398" w:rsidRDefault="00515398">
            <w:pPr>
              <w:spacing w:after="0" w:line="240" w:lineRule="auto"/>
              <w:rPr>
                <w:rFonts w:asciiTheme="minorHAnsi" w:eastAsiaTheme="minorEastAsia" w:hAnsiTheme="minorHAnsi" w:cstheme="minorBidi"/>
                <w:noProof/>
                <w:color w:val="006100"/>
                <w:sz w:val="18"/>
                <w:szCs w:val="18"/>
              </w:rPr>
            </w:pPr>
          </w:p>
          <w:p w14:paraId="1672C175" w14:textId="77777777" w:rsidR="00515398" w:rsidRDefault="006711E6">
            <w:pPr>
              <w:pStyle w:val="P68B1DB1-Normal33"/>
              <w:spacing w:after="0" w:line="240" w:lineRule="auto"/>
              <w:rPr>
                <w:rFonts w:eastAsiaTheme="minorEastAsia" w:cstheme="minorBidi"/>
                <w:noProof/>
                <w:szCs w:val="18"/>
              </w:rPr>
            </w:pPr>
            <w:r>
              <w:rPr>
                <w:noProof/>
              </w:rPr>
              <w:t xml:space="preserve">Dokončení modernizace budovy Národní školy Dance a Státní konzervatoře v Soluni. </w:t>
            </w:r>
          </w:p>
          <w:p w14:paraId="4B7464D1" w14:textId="77777777" w:rsidR="00515398" w:rsidRDefault="00515398">
            <w:pPr>
              <w:spacing w:after="0" w:line="240" w:lineRule="auto"/>
              <w:rPr>
                <w:rFonts w:asciiTheme="minorHAnsi" w:eastAsiaTheme="minorEastAsia" w:hAnsiTheme="minorHAnsi" w:cstheme="minorBidi"/>
                <w:noProof/>
                <w:color w:val="006100"/>
                <w:sz w:val="18"/>
                <w:szCs w:val="18"/>
              </w:rPr>
            </w:pPr>
          </w:p>
          <w:p w14:paraId="4B4C926C" w14:textId="462065F0" w:rsidR="00515398" w:rsidRDefault="006711E6">
            <w:pPr>
              <w:pStyle w:val="P68B1DB1-Normal33"/>
              <w:spacing w:after="0" w:line="240" w:lineRule="auto"/>
              <w:rPr>
                <w:rFonts w:eastAsiaTheme="minorEastAsia" w:cstheme="minorBidi"/>
                <w:noProof/>
                <w:szCs w:val="18"/>
              </w:rPr>
            </w:pPr>
            <w:r>
              <w:rPr>
                <w:noProof/>
              </w:rPr>
              <w:t>Dokončení modernizace hlavních státních vzdělávacích institucí (Škola Národního divadla, státní divadelní dělník severního Řecka, Vysoká škola Marble Crafts of Tin</w:t>
            </w:r>
            <w:r>
              <w:rPr>
                <w:noProof/>
              </w:rPr>
              <w:t>os)</w:t>
            </w:r>
          </w:p>
          <w:p w14:paraId="539A13AC" w14:textId="77777777" w:rsidR="00515398" w:rsidRDefault="00515398">
            <w:pPr>
              <w:spacing w:after="0" w:line="240" w:lineRule="auto"/>
              <w:rPr>
                <w:rFonts w:asciiTheme="minorHAnsi" w:hAnsiTheme="minorHAnsi"/>
                <w:noProof/>
                <w:color w:val="006100"/>
                <w:sz w:val="18"/>
              </w:rPr>
            </w:pPr>
          </w:p>
        </w:tc>
      </w:tr>
      <w:tr w:rsidR="00515398" w14:paraId="603E410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642DCEB" w14:textId="77777777" w:rsidR="00515398" w:rsidRDefault="006711E6">
            <w:pPr>
              <w:pStyle w:val="P68B1DB1-Normal9"/>
              <w:spacing w:after="0" w:line="240" w:lineRule="auto"/>
              <w:rPr>
                <w:rFonts w:eastAsia="Times New Roman" w:cs="Calibri"/>
                <w:noProof/>
                <w:szCs w:val="18"/>
              </w:rPr>
            </w:pPr>
            <w:r>
              <w:rPr>
                <w:noProof/>
              </w:rPr>
              <w:t>287</w:t>
            </w:r>
          </w:p>
        </w:tc>
        <w:tc>
          <w:tcPr>
            <w:tcW w:w="1615" w:type="dxa"/>
            <w:tcBorders>
              <w:top w:val="single" w:sz="4" w:space="0" w:color="auto"/>
              <w:left w:val="nil"/>
              <w:bottom w:val="single" w:sz="4" w:space="0" w:color="auto"/>
              <w:right w:val="single" w:sz="4" w:space="0" w:color="auto"/>
            </w:tcBorders>
            <w:shd w:val="clear" w:color="auto" w:fill="C6EFCE"/>
            <w:noWrap/>
          </w:tcPr>
          <w:p w14:paraId="0E21F499"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16486_Muzeum podvodních starožitností</w:t>
            </w:r>
          </w:p>
        </w:tc>
        <w:tc>
          <w:tcPr>
            <w:tcW w:w="1008" w:type="dxa"/>
            <w:tcBorders>
              <w:top w:val="single" w:sz="4" w:space="0" w:color="auto"/>
              <w:left w:val="nil"/>
              <w:bottom w:val="single" w:sz="4" w:space="0" w:color="auto"/>
              <w:right w:val="single" w:sz="4" w:space="0" w:color="auto"/>
            </w:tcBorders>
            <w:shd w:val="clear" w:color="auto" w:fill="C6EFCE"/>
            <w:noWrap/>
          </w:tcPr>
          <w:p w14:paraId="47B14129"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single" w:sz="4" w:space="0" w:color="auto"/>
              <w:left w:val="nil"/>
              <w:bottom w:val="single" w:sz="4" w:space="0" w:color="auto"/>
              <w:right w:val="single" w:sz="4" w:space="0" w:color="auto"/>
            </w:tcBorders>
            <w:shd w:val="clear" w:color="auto" w:fill="C6EFCE"/>
            <w:noWrap/>
          </w:tcPr>
          <w:p w14:paraId="761DA8D8" w14:textId="77777777" w:rsidR="00515398" w:rsidRDefault="006711E6">
            <w:pPr>
              <w:pStyle w:val="P68B1DB1-Normal9"/>
              <w:spacing w:after="0" w:line="240" w:lineRule="auto"/>
              <w:rPr>
                <w:rFonts w:eastAsia="Times New Roman" w:cs="Calibri"/>
                <w:noProof/>
                <w:szCs w:val="18"/>
              </w:rPr>
            </w:pPr>
            <w:r>
              <w:rPr>
                <w:noProof/>
              </w:rPr>
              <w:t>Muzeum podvodních starožitností</w:t>
            </w:r>
          </w:p>
        </w:tc>
        <w:tc>
          <w:tcPr>
            <w:tcW w:w="1549" w:type="dxa"/>
            <w:tcBorders>
              <w:top w:val="single" w:sz="4" w:space="0" w:color="auto"/>
              <w:left w:val="nil"/>
              <w:bottom w:val="single" w:sz="4" w:space="0" w:color="auto"/>
              <w:right w:val="single" w:sz="4" w:space="0" w:color="auto"/>
            </w:tcBorders>
            <w:shd w:val="clear" w:color="auto" w:fill="C6EFCE"/>
            <w:noWrap/>
          </w:tcPr>
          <w:p w14:paraId="6AE35656" w14:textId="77777777" w:rsidR="00515398" w:rsidRDefault="006711E6">
            <w:pPr>
              <w:pStyle w:val="P68B1DB1-Normal9"/>
              <w:spacing w:after="0" w:line="240" w:lineRule="auto"/>
              <w:rPr>
                <w:rFonts w:eastAsia="Times New Roman" w:cs="Calibri"/>
                <w:noProof/>
                <w:szCs w:val="18"/>
              </w:rPr>
            </w:pPr>
            <w:r>
              <w:rPr>
                <w:noProof/>
              </w:rPr>
              <w:t xml:space="preserve">Zpráva o dokončení, včetně </w:t>
            </w:r>
          </w:p>
          <w:p w14:paraId="2E74026D" w14:textId="77777777" w:rsidR="00515398" w:rsidRDefault="006711E6">
            <w:pPr>
              <w:pStyle w:val="P68B1DB1-Normal9"/>
              <w:spacing w:after="0" w:line="240" w:lineRule="auto"/>
              <w:rPr>
                <w:rFonts w:eastAsia="Times New Roman" w:cs="Calibri"/>
                <w:noProof/>
                <w:szCs w:val="18"/>
              </w:rPr>
            </w:pPr>
            <w:r>
              <w:rPr>
                <w:noProof/>
              </w:rPr>
              <w:t>(1a) Osvědčení o dokončení investice; a pokud</w:t>
            </w:r>
          </w:p>
          <w:p w14:paraId="338DD9B4" w14:textId="77777777" w:rsidR="00515398" w:rsidRDefault="006711E6">
            <w:pPr>
              <w:pStyle w:val="P68B1DB1-Normal9"/>
              <w:spacing w:after="0" w:line="240" w:lineRule="auto"/>
              <w:rPr>
                <w:rFonts w:eastAsia="Times New Roman" w:cs="Calibri"/>
                <w:noProof/>
                <w:szCs w:val="18"/>
              </w:rPr>
            </w:pPr>
            <w:r>
              <w:rPr>
                <w:noProof/>
              </w:rPr>
              <w:t xml:space="preserve">1b) Certifikace děl </w:t>
            </w:r>
            <w:r>
              <w:rPr>
                <w:noProof/>
              </w:rPr>
              <w:t>pro stálou výstavu, konzervačních prací a dokumentace a publikací podporujících výstavu.</w:t>
            </w:r>
          </w:p>
        </w:tc>
        <w:tc>
          <w:tcPr>
            <w:tcW w:w="1397" w:type="dxa"/>
            <w:tcBorders>
              <w:top w:val="single" w:sz="4" w:space="0" w:color="auto"/>
              <w:left w:val="nil"/>
              <w:bottom w:val="single" w:sz="4" w:space="0" w:color="auto"/>
              <w:right w:val="single" w:sz="4" w:space="0" w:color="auto"/>
            </w:tcBorders>
            <w:shd w:val="clear" w:color="auto" w:fill="C6EFCE"/>
            <w:noWrap/>
          </w:tcPr>
          <w:p w14:paraId="63E59A84"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7A65A8C5"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29088035"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462B47CC"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056E2F16"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6F110787" w14:textId="77777777" w:rsidR="00515398" w:rsidRDefault="006711E6">
            <w:pPr>
              <w:pStyle w:val="P68B1DB1-Normal9"/>
              <w:spacing w:after="0" w:line="240" w:lineRule="auto"/>
              <w:rPr>
                <w:rFonts w:eastAsia="Times New Roman" w:cs="Calibri"/>
                <w:noProof/>
                <w:szCs w:val="18"/>
              </w:rPr>
            </w:pPr>
            <w:r>
              <w:rPr>
                <w:noProof/>
              </w:rPr>
              <w:t xml:space="preserve">Dokončení muzea podvodních starožitností: (1a) dokončení prací v oblasti energetické účinnosti a </w:t>
            </w:r>
          </w:p>
          <w:p w14:paraId="7B5AAA25" w14:textId="77777777" w:rsidR="00515398" w:rsidRDefault="006711E6">
            <w:pPr>
              <w:spacing w:after="0" w:line="240" w:lineRule="auto"/>
              <w:rPr>
                <w:rFonts w:eastAsia="Times New Roman" w:cs="Calibri"/>
                <w:noProof/>
                <w:color w:val="006100"/>
                <w:sz w:val="18"/>
                <w:szCs w:val="18"/>
              </w:rPr>
            </w:pPr>
            <w:r>
              <w:rPr>
                <w:noProof/>
                <w:color w:val="006100"/>
                <w:sz w:val="18"/>
              </w:rPr>
              <w:t>(1b) organizace stálé expozice, která</w:t>
            </w:r>
            <w:r>
              <w:rPr>
                <w:rFonts w:ascii="Times New Roman" w:hAnsi="Times New Roman"/>
                <w:noProof/>
                <w:sz w:val="24"/>
              </w:rPr>
              <w:t xml:space="preserve"> </w:t>
            </w:r>
            <w:r>
              <w:rPr>
                <w:noProof/>
                <w:color w:val="006100"/>
                <w:sz w:val="18"/>
              </w:rPr>
              <w:t>přináší</w:t>
            </w:r>
            <w:r>
              <w:rPr>
                <w:noProof/>
                <w:color w:val="006100"/>
                <w:sz w:val="18"/>
              </w:rPr>
              <w:t xml:space="preserve"> významnou přidanou hodnotu pro cestovní ruch a kulturu pro Pireus a širší Atény.</w:t>
            </w:r>
          </w:p>
        </w:tc>
      </w:tr>
      <w:tr w:rsidR="00515398" w14:paraId="366FF075"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F529A6A" w14:textId="77777777" w:rsidR="00515398" w:rsidRDefault="006711E6">
            <w:pPr>
              <w:pStyle w:val="P68B1DB1-Normal9"/>
              <w:spacing w:after="0" w:line="240" w:lineRule="auto"/>
              <w:rPr>
                <w:rFonts w:eastAsia="Times New Roman" w:cs="Calibri"/>
                <w:noProof/>
                <w:szCs w:val="18"/>
              </w:rPr>
            </w:pPr>
            <w:r>
              <w:rPr>
                <w:noProof/>
              </w:rPr>
              <w:t>288</w:t>
            </w:r>
          </w:p>
        </w:tc>
        <w:tc>
          <w:tcPr>
            <w:tcW w:w="1615" w:type="dxa"/>
            <w:tcBorders>
              <w:top w:val="single" w:sz="4" w:space="0" w:color="auto"/>
              <w:left w:val="nil"/>
              <w:bottom w:val="single" w:sz="4" w:space="0" w:color="auto"/>
              <w:right w:val="single" w:sz="4" w:space="0" w:color="auto"/>
            </w:tcBorders>
            <w:shd w:val="clear" w:color="auto" w:fill="C6EFCE"/>
            <w:noWrap/>
          </w:tcPr>
          <w:p w14:paraId="2EFAB6AA"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16485_Kulturní trasy v Emblematických archeologických lokalitách a památkách</w:t>
            </w:r>
          </w:p>
        </w:tc>
        <w:tc>
          <w:tcPr>
            <w:tcW w:w="1008" w:type="dxa"/>
            <w:tcBorders>
              <w:top w:val="single" w:sz="4" w:space="0" w:color="auto"/>
              <w:left w:val="nil"/>
              <w:bottom w:val="single" w:sz="4" w:space="0" w:color="auto"/>
              <w:right w:val="single" w:sz="4" w:space="0" w:color="auto"/>
            </w:tcBorders>
            <w:shd w:val="clear" w:color="auto" w:fill="C6EFCE"/>
            <w:noWrap/>
          </w:tcPr>
          <w:p w14:paraId="633E6FA6"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single" w:sz="4" w:space="0" w:color="auto"/>
              <w:left w:val="nil"/>
              <w:bottom w:val="single" w:sz="4" w:space="0" w:color="auto"/>
              <w:right w:val="single" w:sz="4" w:space="0" w:color="auto"/>
            </w:tcBorders>
            <w:shd w:val="clear" w:color="auto" w:fill="C6EFCE"/>
            <w:noWrap/>
          </w:tcPr>
          <w:p w14:paraId="6D4E0F9D" w14:textId="77777777" w:rsidR="00515398" w:rsidRDefault="006711E6">
            <w:pPr>
              <w:pStyle w:val="P68B1DB1-Normal9"/>
              <w:spacing w:after="0" w:line="240" w:lineRule="auto"/>
              <w:rPr>
                <w:rFonts w:eastAsia="Times New Roman" w:cs="Calibri"/>
                <w:noProof/>
                <w:szCs w:val="18"/>
              </w:rPr>
            </w:pPr>
            <w:r>
              <w:rPr>
                <w:noProof/>
              </w:rPr>
              <w:t xml:space="preserve">Kulturní </w:t>
            </w:r>
            <w:r>
              <w:rPr>
                <w:noProof/>
              </w:rPr>
              <w:t>trasy v Emblematických archeologických lokalitách</w:t>
            </w:r>
          </w:p>
        </w:tc>
        <w:tc>
          <w:tcPr>
            <w:tcW w:w="1549" w:type="dxa"/>
            <w:tcBorders>
              <w:top w:val="single" w:sz="4" w:space="0" w:color="auto"/>
              <w:left w:val="nil"/>
              <w:bottom w:val="single" w:sz="4" w:space="0" w:color="auto"/>
              <w:right w:val="single" w:sz="4" w:space="0" w:color="auto"/>
            </w:tcBorders>
            <w:shd w:val="clear" w:color="auto" w:fill="C6EFCE"/>
            <w:noWrap/>
          </w:tcPr>
          <w:p w14:paraId="66B9F1D8" w14:textId="77777777" w:rsidR="00515398" w:rsidRDefault="006711E6">
            <w:pPr>
              <w:pStyle w:val="P68B1DB1-Normal9"/>
              <w:spacing w:after="0" w:line="240" w:lineRule="auto"/>
              <w:rPr>
                <w:rFonts w:eastAsia="Times New Roman" w:cs="Calibri"/>
                <w:noProof/>
                <w:szCs w:val="18"/>
              </w:rPr>
            </w:pPr>
            <w:r>
              <w:rPr>
                <w:noProof/>
              </w:rPr>
              <w:t>Zpráva o dokončení, včetně certifikace příjemců o dokončení investice.</w:t>
            </w:r>
          </w:p>
        </w:tc>
        <w:tc>
          <w:tcPr>
            <w:tcW w:w="1397" w:type="dxa"/>
            <w:tcBorders>
              <w:top w:val="single" w:sz="4" w:space="0" w:color="auto"/>
              <w:left w:val="nil"/>
              <w:bottom w:val="single" w:sz="4" w:space="0" w:color="auto"/>
              <w:right w:val="single" w:sz="4" w:space="0" w:color="auto"/>
            </w:tcBorders>
            <w:shd w:val="clear" w:color="auto" w:fill="C6EFCE"/>
            <w:noWrap/>
          </w:tcPr>
          <w:p w14:paraId="067FD665"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71509BE2"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C7919F9"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0CE63C74"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77A9DD31"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4A97A3B3" w14:textId="77777777" w:rsidR="00515398" w:rsidRDefault="006711E6">
            <w:pPr>
              <w:pStyle w:val="P68B1DB1-Normal9"/>
              <w:spacing w:after="0" w:line="240" w:lineRule="auto"/>
              <w:rPr>
                <w:rFonts w:eastAsia="Times New Roman" w:cs="Calibri"/>
                <w:noProof/>
                <w:szCs w:val="18"/>
              </w:rPr>
            </w:pPr>
            <w:r>
              <w:rPr>
                <w:noProof/>
              </w:rPr>
              <w:t xml:space="preserve">Dokončení kulturních tras: poskytování pěti geograficky rozložených kulturních tras tematickým narativům z </w:t>
            </w:r>
            <w:r>
              <w:rPr>
                <w:noProof/>
              </w:rPr>
              <w:t>řecké historie, včetně zachování a restaurování vybraných památek, modernizace služeb a infrastruktury, rozvoje interaktivních digitálních aplikací a začlenění umění a kulturních akcí.</w:t>
            </w:r>
          </w:p>
        </w:tc>
      </w:tr>
      <w:tr w:rsidR="00515398" w14:paraId="00FF62EB"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F687797" w14:textId="5620F6A8" w:rsidR="00515398" w:rsidRDefault="006711E6">
            <w:pPr>
              <w:pStyle w:val="P68B1DB1-Normal9"/>
              <w:spacing w:after="0" w:line="240" w:lineRule="auto"/>
              <w:rPr>
                <w:rFonts w:eastAsia="Times New Roman" w:cs="Calibri"/>
                <w:noProof/>
                <w:szCs w:val="18"/>
              </w:rPr>
            </w:pPr>
            <w:r>
              <w:rPr>
                <w:noProof/>
              </w:rPr>
              <w:t>289</w:t>
            </w:r>
          </w:p>
        </w:tc>
        <w:tc>
          <w:tcPr>
            <w:tcW w:w="1615" w:type="dxa"/>
            <w:tcBorders>
              <w:top w:val="single" w:sz="4" w:space="0" w:color="auto"/>
              <w:left w:val="nil"/>
              <w:bottom w:val="single" w:sz="4" w:space="0" w:color="auto"/>
              <w:right w:val="single" w:sz="4" w:space="0" w:color="auto"/>
            </w:tcBorders>
            <w:shd w:val="clear" w:color="auto" w:fill="C6EFCE"/>
            <w:noWrap/>
          </w:tcPr>
          <w:p w14:paraId="65C0D9CF"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w:t>
            </w:r>
            <w:r>
              <w:rPr>
                <w:noProof/>
              </w:rPr>
              <w:t>odvětví – 16735_Využívání „umělců na předpis“, podpora sociální soudržnosti a využívání stříbrné ekonomiky</w:t>
            </w:r>
          </w:p>
        </w:tc>
        <w:tc>
          <w:tcPr>
            <w:tcW w:w="1008" w:type="dxa"/>
            <w:tcBorders>
              <w:top w:val="single" w:sz="4" w:space="0" w:color="auto"/>
              <w:left w:val="nil"/>
              <w:bottom w:val="single" w:sz="4" w:space="0" w:color="auto"/>
              <w:right w:val="single" w:sz="4" w:space="0" w:color="auto"/>
            </w:tcBorders>
            <w:shd w:val="clear" w:color="auto" w:fill="C6EFCE"/>
            <w:noWrap/>
          </w:tcPr>
          <w:p w14:paraId="3270C114" w14:textId="77777777" w:rsidR="00515398" w:rsidRDefault="006711E6">
            <w:pPr>
              <w:pStyle w:val="P68B1DB1-Normal9"/>
              <w:spacing w:after="0" w:line="240" w:lineRule="auto"/>
              <w:rPr>
                <w:rFonts w:eastAsia="Times New Roman" w:cs="Calibri"/>
                <w:noProof/>
                <w:szCs w:val="18"/>
              </w:rPr>
            </w:pPr>
            <w:r>
              <w:rPr>
                <w:noProof/>
              </w:rPr>
              <w:t>Milník</w:t>
            </w:r>
          </w:p>
        </w:tc>
        <w:tc>
          <w:tcPr>
            <w:tcW w:w="1290" w:type="dxa"/>
            <w:tcBorders>
              <w:top w:val="single" w:sz="4" w:space="0" w:color="auto"/>
              <w:left w:val="nil"/>
              <w:bottom w:val="single" w:sz="4" w:space="0" w:color="auto"/>
              <w:right w:val="single" w:sz="4" w:space="0" w:color="auto"/>
            </w:tcBorders>
            <w:shd w:val="clear" w:color="auto" w:fill="C6EFCE"/>
            <w:noWrap/>
          </w:tcPr>
          <w:p w14:paraId="2AABDECE" w14:textId="77777777" w:rsidR="00515398" w:rsidRDefault="006711E6">
            <w:pPr>
              <w:pStyle w:val="P68B1DB1-Normal9"/>
              <w:spacing w:after="0" w:line="240" w:lineRule="auto"/>
              <w:rPr>
                <w:rFonts w:eastAsia="Times New Roman" w:cs="Calibri"/>
                <w:noProof/>
                <w:szCs w:val="18"/>
              </w:rPr>
            </w:pPr>
            <w:r>
              <w:rPr>
                <w:noProof/>
              </w:rPr>
              <w:t>S využitím „umělců na předpis“,</w:t>
            </w:r>
          </w:p>
        </w:tc>
        <w:tc>
          <w:tcPr>
            <w:tcW w:w="1549" w:type="dxa"/>
            <w:tcBorders>
              <w:top w:val="single" w:sz="4" w:space="0" w:color="auto"/>
              <w:left w:val="nil"/>
              <w:bottom w:val="single" w:sz="4" w:space="0" w:color="auto"/>
              <w:right w:val="single" w:sz="4" w:space="0" w:color="auto"/>
            </w:tcBorders>
            <w:shd w:val="clear" w:color="auto" w:fill="C6EFCE"/>
            <w:noWrap/>
          </w:tcPr>
          <w:p w14:paraId="1E8F43B4" w14:textId="77777777" w:rsidR="00515398" w:rsidRDefault="006711E6">
            <w:pPr>
              <w:pStyle w:val="P68B1DB1-Normal9"/>
              <w:spacing w:after="0" w:line="240" w:lineRule="auto"/>
              <w:rPr>
                <w:rFonts w:eastAsia="Times New Roman" w:cs="Calibri"/>
                <w:noProof/>
                <w:szCs w:val="18"/>
              </w:rPr>
            </w:pPr>
            <w:r>
              <w:rPr>
                <w:noProof/>
              </w:rPr>
              <w:t>Zpráva o dokončení, včetně certifikace příjemců o dokončení investice.</w:t>
            </w:r>
          </w:p>
        </w:tc>
        <w:tc>
          <w:tcPr>
            <w:tcW w:w="1397" w:type="dxa"/>
            <w:tcBorders>
              <w:top w:val="single" w:sz="4" w:space="0" w:color="auto"/>
              <w:left w:val="nil"/>
              <w:bottom w:val="single" w:sz="4" w:space="0" w:color="auto"/>
              <w:right w:val="single" w:sz="4" w:space="0" w:color="auto"/>
            </w:tcBorders>
            <w:shd w:val="clear" w:color="auto" w:fill="C6EFCE"/>
            <w:noWrap/>
          </w:tcPr>
          <w:p w14:paraId="79251313"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1E59B312"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237740E"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546C37F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56ABFABC"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1EBEEFBE" w14:textId="77777777" w:rsidR="00515398" w:rsidRDefault="006711E6">
            <w:pPr>
              <w:pStyle w:val="P68B1DB1-Normal9"/>
              <w:spacing w:after="0" w:line="240" w:lineRule="auto"/>
              <w:rPr>
                <w:rFonts w:eastAsia="Times New Roman" w:cs="Calibri"/>
                <w:noProof/>
                <w:szCs w:val="18"/>
              </w:rPr>
            </w:pPr>
            <w:r>
              <w:rPr>
                <w:noProof/>
              </w:rPr>
              <w:t xml:space="preserve">Dokončení </w:t>
            </w:r>
            <w:r>
              <w:rPr>
                <w:noProof/>
              </w:rPr>
              <w:t>zlepšení infrastruktury na vybraných místech s cílem zlepšit fyzický přístup a poskytnout systémy prohlídek s průvodcem pomocí pomůcek pro sluch a vidění na kulturních místech, jako jsou muzea, divadla, festivaly, archeologická naleziště; a dokončení vývoj</w:t>
            </w:r>
            <w:r>
              <w:rPr>
                <w:noProof/>
              </w:rPr>
              <w:t>e digitálního portálu pro návštěvníky se zdravotním postižením. Dokončení článků o předepisování, včetně podpory intervencí, které využívají umění a kulturu k podpoře zotavení z problémů v oblasti duševního zdraví, poskytování vzdělávacích programů a semin</w:t>
            </w:r>
            <w:r>
              <w:rPr>
                <w:noProof/>
              </w:rPr>
              <w:t>ářů pro odborníky v tomto odvětví.</w:t>
            </w:r>
          </w:p>
          <w:p w14:paraId="1DFFFFA7" w14:textId="77777777" w:rsidR="00515398" w:rsidRDefault="00515398">
            <w:pPr>
              <w:spacing w:after="0" w:line="240" w:lineRule="auto"/>
              <w:rPr>
                <w:rFonts w:eastAsia="Times New Roman" w:cs="Calibri"/>
                <w:noProof/>
                <w:color w:val="006100"/>
                <w:sz w:val="18"/>
                <w:szCs w:val="18"/>
              </w:rPr>
            </w:pPr>
          </w:p>
        </w:tc>
      </w:tr>
      <w:tr w:rsidR="00515398" w14:paraId="28BFEDA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0827C27" w14:textId="77777777" w:rsidR="00515398" w:rsidRDefault="006711E6">
            <w:pPr>
              <w:pStyle w:val="P68B1DB1-Normal9"/>
              <w:spacing w:after="0" w:line="240" w:lineRule="auto"/>
              <w:rPr>
                <w:rFonts w:eastAsia="Times New Roman" w:cs="Calibri"/>
                <w:noProof/>
                <w:szCs w:val="18"/>
              </w:rPr>
            </w:pPr>
            <w:r>
              <w:rPr>
                <w:noProof/>
              </w:rPr>
              <w:t>290</w:t>
            </w:r>
          </w:p>
        </w:tc>
        <w:tc>
          <w:tcPr>
            <w:tcW w:w="1615" w:type="dxa"/>
            <w:tcBorders>
              <w:top w:val="single" w:sz="4" w:space="0" w:color="auto"/>
              <w:left w:val="nil"/>
              <w:bottom w:val="single" w:sz="4" w:space="0" w:color="auto"/>
              <w:right w:val="single" w:sz="4" w:space="0" w:color="auto"/>
            </w:tcBorders>
            <w:shd w:val="clear" w:color="auto" w:fill="C6EFCE"/>
            <w:noWrap/>
          </w:tcPr>
          <w:p w14:paraId="08E1D983"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16433_Ochrana kulturních památek a archeologických nalezišť před změnou klimatu</w:t>
            </w:r>
          </w:p>
        </w:tc>
        <w:tc>
          <w:tcPr>
            <w:tcW w:w="1008" w:type="dxa"/>
            <w:tcBorders>
              <w:top w:val="single" w:sz="4" w:space="0" w:color="auto"/>
              <w:left w:val="nil"/>
              <w:bottom w:val="single" w:sz="4" w:space="0" w:color="auto"/>
              <w:right w:val="single" w:sz="4" w:space="0" w:color="auto"/>
            </w:tcBorders>
            <w:shd w:val="clear" w:color="auto" w:fill="C6EFCE"/>
            <w:noWrap/>
          </w:tcPr>
          <w:p w14:paraId="5B622066" w14:textId="77777777" w:rsidR="00515398" w:rsidRDefault="006711E6">
            <w:pPr>
              <w:pStyle w:val="P68B1DB1-Normal9"/>
              <w:spacing w:after="0" w:line="240" w:lineRule="auto"/>
              <w:rPr>
                <w:rFonts w:eastAsia="Times New Roman" w:cs="Calibri"/>
                <w:noProof/>
                <w:szCs w:val="18"/>
              </w:rPr>
            </w:pPr>
            <w:r>
              <w:rPr>
                <w:noProof/>
              </w:rPr>
              <w:t xml:space="preserve">Milník </w:t>
            </w:r>
          </w:p>
        </w:tc>
        <w:tc>
          <w:tcPr>
            <w:tcW w:w="1290" w:type="dxa"/>
            <w:tcBorders>
              <w:top w:val="single" w:sz="4" w:space="0" w:color="auto"/>
              <w:left w:val="nil"/>
              <w:bottom w:val="single" w:sz="4" w:space="0" w:color="auto"/>
              <w:right w:val="single" w:sz="4" w:space="0" w:color="auto"/>
            </w:tcBorders>
            <w:shd w:val="clear" w:color="auto" w:fill="C6EFCE"/>
            <w:noWrap/>
          </w:tcPr>
          <w:p w14:paraId="5E81D087" w14:textId="77777777" w:rsidR="00515398" w:rsidRDefault="006711E6">
            <w:pPr>
              <w:pStyle w:val="P68B1DB1-Normal9"/>
              <w:spacing w:after="0" w:line="240" w:lineRule="auto"/>
              <w:rPr>
                <w:rFonts w:eastAsia="Times New Roman" w:cs="Calibri"/>
                <w:noProof/>
                <w:szCs w:val="18"/>
              </w:rPr>
            </w:pPr>
            <w:r>
              <w:rPr>
                <w:noProof/>
              </w:rPr>
              <w:t>Ochrana kulturních památek před změnou klimatu</w:t>
            </w:r>
          </w:p>
        </w:tc>
        <w:tc>
          <w:tcPr>
            <w:tcW w:w="1549" w:type="dxa"/>
            <w:tcBorders>
              <w:top w:val="single" w:sz="4" w:space="0" w:color="auto"/>
              <w:left w:val="nil"/>
              <w:bottom w:val="single" w:sz="4" w:space="0" w:color="auto"/>
              <w:right w:val="single" w:sz="4" w:space="0" w:color="auto"/>
            </w:tcBorders>
            <w:shd w:val="clear" w:color="auto" w:fill="C6EFCE"/>
            <w:noWrap/>
          </w:tcPr>
          <w:p w14:paraId="3529C554" w14:textId="77777777" w:rsidR="00515398" w:rsidRDefault="006711E6">
            <w:pPr>
              <w:pStyle w:val="P68B1DB1-Normal9"/>
              <w:spacing w:after="0" w:line="240" w:lineRule="auto"/>
              <w:rPr>
                <w:rFonts w:eastAsia="Times New Roman" w:cs="Calibri"/>
                <w:noProof/>
                <w:szCs w:val="18"/>
              </w:rPr>
            </w:pPr>
            <w:r>
              <w:rPr>
                <w:noProof/>
              </w:rPr>
              <w:t xml:space="preserve">Zpráva o dokončení, včetně kopií plánů přizpůsobení se změně klimatu, dokladů o platbě a výsledků auditů investičních osvědčení o dokončení investic </w:t>
            </w:r>
          </w:p>
        </w:tc>
        <w:tc>
          <w:tcPr>
            <w:tcW w:w="1397" w:type="dxa"/>
            <w:tcBorders>
              <w:top w:val="single" w:sz="4" w:space="0" w:color="auto"/>
              <w:left w:val="nil"/>
              <w:bottom w:val="single" w:sz="4" w:space="0" w:color="auto"/>
              <w:right w:val="single" w:sz="4" w:space="0" w:color="auto"/>
            </w:tcBorders>
            <w:shd w:val="clear" w:color="auto" w:fill="C6EFCE"/>
            <w:noWrap/>
          </w:tcPr>
          <w:p w14:paraId="1E83EBC7"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45F8F6FA"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7B27ABCF"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3BF71FF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1292BCB9"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225EC533" w14:textId="77777777" w:rsidR="00515398" w:rsidRDefault="006711E6">
            <w:pPr>
              <w:pStyle w:val="P68B1DB1-Normal9"/>
              <w:spacing w:after="0" w:line="240" w:lineRule="auto"/>
              <w:rPr>
                <w:rFonts w:eastAsia="Times New Roman" w:cs="Calibri"/>
                <w:noProof/>
                <w:szCs w:val="18"/>
              </w:rPr>
            </w:pPr>
            <w:r>
              <w:rPr>
                <w:noProof/>
              </w:rPr>
              <w:t>Dokončení ochrany kulturních památek před změnou klimatu, včetně vypracování plánů</w:t>
            </w:r>
            <w:r>
              <w:rPr>
                <w:noProof/>
              </w:rPr>
              <w:t xml:space="preserve"> přizpůsobení se změně klimatu pro lokality kulturního dědictví, čímž se zachová přínos lokalit kulturního dědictví k hospodářské činnosti, včetně prostorového a časového posouzení klimatických rizik a identifikace zranitelných míst kulturního dědictví.</w:t>
            </w:r>
          </w:p>
        </w:tc>
      </w:tr>
      <w:tr w:rsidR="00515398" w14:paraId="6CCCF39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60CD504" w14:textId="77777777" w:rsidR="00515398" w:rsidRDefault="006711E6">
            <w:pPr>
              <w:pStyle w:val="P68B1DB1-Normal9"/>
              <w:spacing w:after="0" w:line="240" w:lineRule="auto"/>
              <w:rPr>
                <w:rFonts w:eastAsia="Times New Roman" w:cs="Calibri"/>
                <w:noProof/>
                <w:szCs w:val="18"/>
              </w:rPr>
            </w:pPr>
            <w:r>
              <w:rPr>
                <w:noProof/>
              </w:rPr>
              <w:t>291</w:t>
            </w:r>
          </w:p>
        </w:tc>
        <w:tc>
          <w:tcPr>
            <w:tcW w:w="1615" w:type="dxa"/>
            <w:tcBorders>
              <w:top w:val="single" w:sz="4" w:space="0" w:color="auto"/>
              <w:left w:val="nil"/>
              <w:bottom w:val="single" w:sz="4" w:space="0" w:color="auto"/>
              <w:right w:val="single" w:sz="4" w:space="0" w:color="auto"/>
            </w:tcBorders>
            <w:shd w:val="clear" w:color="auto" w:fill="C6EFCE"/>
            <w:noWrap/>
          </w:tcPr>
          <w:p w14:paraId="1554E0E2"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16435_Obnova – Zachování – Zlepšení památek Akropolis</w:t>
            </w:r>
          </w:p>
        </w:tc>
        <w:tc>
          <w:tcPr>
            <w:tcW w:w="1008" w:type="dxa"/>
            <w:tcBorders>
              <w:top w:val="single" w:sz="4" w:space="0" w:color="auto"/>
              <w:left w:val="nil"/>
              <w:bottom w:val="single" w:sz="4" w:space="0" w:color="auto"/>
              <w:right w:val="single" w:sz="4" w:space="0" w:color="auto"/>
            </w:tcBorders>
            <w:shd w:val="clear" w:color="auto" w:fill="C6EFCE"/>
            <w:noWrap/>
          </w:tcPr>
          <w:p w14:paraId="7443FD30" w14:textId="77777777" w:rsidR="00515398" w:rsidRDefault="006711E6">
            <w:pPr>
              <w:pStyle w:val="P68B1DB1-Normal9"/>
              <w:spacing w:after="0" w:line="240" w:lineRule="auto"/>
              <w:rPr>
                <w:rFonts w:eastAsia="Times New Roman" w:cs="Calibri"/>
                <w:noProof/>
                <w:szCs w:val="18"/>
              </w:rPr>
            </w:pPr>
            <w:r>
              <w:rPr>
                <w:noProof/>
              </w:rPr>
              <w:t>Milník</w:t>
            </w:r>
          </w:p>
          <w:p w14:paraId="6F551864" w14:textId="77777777" w:rsidR="00515398" w:rsidRDefault="00515398">
            <w:pPr>
              <w:spacing w:after="0" w:line="240" w:lineRule="auto"/>
              <w:rPr>
                <w:rFonts w:eastAsia="Times New Roman" w:cs="Calibri"/>
                <w:noProof/>
                <w:color w:val="006100"/>
                <w:sz w:val="18"/>
                <w:szCs w:val="18"/>
              </w:rPr>
            </w:pPr>
          </w:p>
        </w:tc>
        <w:tc>
          <w:tcPr>
            <w:tcW w:w="1290" w:type="dxa"/>
            <w:tcBorders>
              <w:top w:val="single" w:sz="4" w:space="0" w:color="auto"/>
              <w:left w:val="nil"/>
              <w:bottom w:val="single" w:sz="4" w:space="0" w:color="auto"/>
              <w:right w:val="single" w:sz="4" w:space="0" w:color="auto"/>
            </w:tcBorders>
            <w:shd w:val="clear" w:color="auto" w:fill="C6EFCE"/>
            <w:noWrap/>
          </w:tcPr>
          <w:p w14:paraId="2E959B35" w14:textId="77777777" w:rsidR="00515398" w:rsidRDefault="006711E6">
            <w:pPr>
              <w:pStyle w:val="P68B1DB1-Normal9"/>
              <w:spacing w:after="0" w:line="240" w:lineRule="auto"/>
              <w:rPr>
                <w:rFonts w:eastAsia="Times New Roman" w:cs="Calibri"/>
                <w:noProof/>
                <w:szCs w:val="18"/>
              </w:rPr>
            </w:pPr>
            <w:r>
              <w:rPr>
                <w:noProof/>
              </w:rPr>
              <w:t>Obnova – zachování – Zlepšení akropolis</w:t>
            </w:r>
          </w:p>
        </w:tc>
        <w:tc>
          <w:tcPr>
            <w:tcW w:w="1549" w:type="dxa"/>
            <w:tcBorders>
              <w:top w:val="single" w:sz="4" w:space="0" w:color="auto"/>
              <w:left w:val="nil"/>
              <w:bottom w:val="single" w:sz="4" w:space="0" w:color="auto"/>
              <w:right w:val="single" w:sz="4" w:space="0" w:color="auto"/>
            </w:tcBorders>
            <w:shd w:val="clear" w:color="auto" w:fill="C6EFCE"/>
            <w:noWrap/>
          </w:tcPr>
          <w:p w14:paraId="3C7002DE" w14:textId="77777777" w:rsidR="00515398" w:rsidRDefault="006711E6">
            <w:pPr>
              <w:pStyle w:val="P68B1DB1-Normal9"/>
              <w:spacing w:after="0" w:line="240" w:lineRule="auto"/>
              <w:rPr>
                <w:rFonts w:eastAsia="Times New Roman" w:cs="Calibri"/>
                <w:noProof/>
                <w:szCs w:val="18"/>
              </w:rPr>
            </w:pPr>
            <w:r>
              <w:rPr>
                <w:noProof/>
              </w:rPr>
              <w:t xml:space="preserve">Zpráva o dokončení, včetně dokladů o platbě a výsledků auditů investic, </w:t>
            </w:r>
            <w:r>
              <w:rPr>
                <w:noProof/>
              </w:rPr>
              <w:t>certifikace dokončení investice.</w:t>
            </w:r>
          </w:p>
        </w:tc>
        <w:tc>
          <w:tcPr>
            <w:tcW w:w="1397" w:type="dxa"/>
            <w:tcBorders>
              <w:top w:val="single" w:sz="4" w:space="0" w:color="auto"/>
              <w:left w:val="nil"/>
              <w:bottom w:val="single" w:sz="4" w:space="0" w:color="auto"/>
              <w:right w:val="single" w:sz="4" w:space="0" w:color="auto"/>
            </w:tcBorders>
            <w:shd w:val="clear" w:color="auto" w:fill="C6EFCE"/>
            <w:noWrap/>
          </w:tcPr>
          <w:p w14:paraId="302AC47C" w14:textId="77777777" w:rsidR="00515398" w:rsidRDefault="00515398">
            <w:pPr>
              <w:spacing w:after="0" w:line="240" w:lineRule="auto"/>
              <w:rPr>
                <w:rFonts w:eastAsia="Times New Roman" w:cs="Calibri"/>
                <w:noProof/>
                <w:color w:val="006100"/>
                <w:sz w:val="18"/>
                <w:szCs w:val="18"/>
              </w:rPr>
            </w:pPr>
          </w:p>
        </w:tc>
        <w:tc>
          <w:tcPr>
            <w:tcW w:w="1058" w:type="dxa"/>
            <w:tcBorders>
              <w:top w:val="single" w:sz="4" w:space="0" w:color="auto"/>
              <w:left w:val="nil"/>
              <w:bottom w:val="single" w:sz="4" w:space="0" w:color="auto"/>
              <w:right w:val="single" w:sz="4" w:space="0" w:color="auto"/>
            </w:tcBorders>
            <w:shd w:val="clear" w:color="auto" w:fill="C6EFCE"/>
            <w:noWrap/>
          </w:tcPr>
          <w:p w14:paraId="73C0879C" w14:textId="77777777" w:rsidR="00515398" w:rsidRDefault="00515398">
            <w:pPr>
              <w:spacing w:after="0" w:line="240" w:lineRule="auto"/>
              <w:rPr>
                <w:rFonts w:eastAsia="Times New Roman"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14:paraId="3C1F5F36"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1A94780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51" w:type="dxa"/>
            <w:tcBorders>
              <w:top w:val="single" w:sz="4" w:space="0" w:color="auto"/>
              <w:left w:val="nil"/>
              <w:bottom w:val="single" w:sz="4" w:space="0" w:color="auto"/>
              <w:right w:val="single" w:sz="4" w:space="0" w:color="auto"/>
            </w:tcBorders>
            <w:shd w:val="clear" w:color="auto" w:fill="C6EFCE"/>
            <w:noWrap/>
          </w:tcPr>
          <w:p w14:paraId="4CCE77F8" w14:textId="77777777" w:rsidR="00515398" w:rsidRDefault="006711E6">
            <w:pPr>
              <w:pStyle w:val="P68B1DB1-Normal9"/>
              <w:spacing w:after="0" w:line="240" w:lineRule="auto"/>
              <w:rPr>
                <w:rFonts w:eastAsia="Times New Roman" w:cs="Calibri"/>
                <w:noProof/>
                <w:szCs w:val="18"/>
              </w:rPr>
            </w:pPr>
            <w:r>
              <w:rPr>
                <w:noProof/>
              </w:rPr>
              <w:t>2025</w:t>
            </w:r>
          </w:p>
        </w:tc>
        <w:tc>
          <w:tcPr>
            <w:tcW w:w="3950" w:type="dxa"/>
            <w:tcBorders>
              <w:top w:val="single" w:sz="4" w:space="0" w:color="auto"/>
              <w:left w:val="nil"/>
              <w:bottom w:val="single" w:sz="4" w:space="0" w:color="auto"/>
              <w:right w:val="single" w:sz="4" w:space="0" w:color="auto"/>
            </w:tcBorders>
            <w:shd w:val="clear" w:color="auto" w:fill="C6EFCE"/>
            <w:noWrap/>
          </w:tcPr>
          <w:p w14:paraId="27DD387E" w14:textId="77777777" w:rsidR="00515398" w:rsidRDefault="006711E6">
            <w:pPr>
              <w:pStyle w:val="P68B1DB1-Normal9"/>
              <w:spacing w:after="0" w:line="240" w:lineRule="auto"/>
              <w:rPr>
                <w:rFonts w:eastAsia="Times New Roman" w:cs="Calibri"/>
                <w:noProof/>
                <w:szCs w:val="18"/>
              </w:rPr>
            </w:pPr>
            <w:r>
              <w:rPr>
                <w:noProof/>
              </w:rPr>
              <w:t>Dokončení restaurování památek Akropolis za účelem zachování památky proti změně klimatu, včetně restauračních prací pro Parthenon a zdi, zachování konkrétních částí lokality, konsol</w:t>
            </w:r>
            <w:r>
              <w:rPr>
                <w:noProof/>
              </w:rPr>
              <w:t xml:space="preserve">idace a stabilizace horninových mas a zlepšení přístupu návštěvníků. </w:t>
            </w:r>
          </w:p>
        </w:tc>
      </w:tr>
    </w:tbl>
    <w:p w14:paraId="31386336" w14:textId="77777777" w:rsidR="00515398" w:rsidRDefault="00515398">
      <w:pPr>
        <w:spacing w:before="120" w:after="0" w:line="240" w:lineRule="auto"/>
        <w:jc w:val="both"/>
        <w:rPr>
          <w:rFonts w:ascii="Times New Roman" w:hAnsi="Times New Roman" w:cs="Times New Roman"/>
          <w:noProof/>
          <w:sz w:val="24"/>
        </w:rPr>
        <w:sectPr w:rsidR="00515398" w:rsidSect="00271D33">
          <w:headerReference w:type="even" r:id="rId277"/>
          <w:headerReference w:type="default" r:id="rId278"/>
          <w:footerReference w:type="even" r:id="rId279"/>
          <w:footerReference w:type="default" r:id="rId280"/>
          <w:headerReference w:type="first" r:id="rId281"/>
          <w:footerReference w:type="first" r:id="rId282"/>
          <w:pgSz w:w="16839" w:h="11907" w:orient="landscape"/>
          <w:pgMar w:top="720" w:right="720" w:bottom="720" w:left="720" w:header="709" w:footer="500" w:gutter="0"/>
          <w:cols w:space="720"/>
          <w:docGrid w:linePitch="360"/>
        </w:sectPr>
      </w:pPr>
    </w:p>
    <w:p w14:paraId="5B42D918" w14:textId="77777777" w:rsidR="00515398" w:rsidRDefault="00515398">
      <w:pPr>
        <w:spacing w:before="120" w:after="0" w:line="240" w:lineRule="auto"/>
        <w:jc w:val="both"/>
        <w:rPr>
          <w:rFonts w:ascii="Times New Roman" w:hAnsi="Times New Roman" w:cs="Times New Roman"/>
          <w:noProof/>
          <w:sz w:val="24"/>
        </w:rPr>
      </w:pPr>
    </w:p>
    <w:p w14:paraId="2E8F5CB0"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26: Cestovní ruch a lodní doprava</w:t>
      </w:r>
    </w:p>
    <w:p w14:paraId="4CE3A627" w14:textId="77777777" w:rsidR="00515398" w:rsidRDefault="006711E6">
      <w:pPr>
        <w:pStyle w:val="P68B1DB1-Normal4"/>
        <w:numPr>
          <w:ilvl w:val="0"/>
          <w:numId w:val="31"/>
        </w:numPr>
        <w:spacing w:before="120" w:after="0" w:line="240" w:lineRule="auto"/>
        <w:jc w:val="both"/>
        <w:rPr>
          <w:rFonts w:cs="Times New Roman"/>
          <w:noProof/>
        </w:rPr>
      </w:pPr>
      <w:r>
        <w:rPr>
          <w:noProof/>
        </w:rPr>
        <w:t xml:space="preserve">Rozvoj cestovního ruchu (zahrnuje dílčí projekt Aktualizace intervencí v </w:t>
      </w:r>
      <w:r>
        <w:rPr>
          <w:noProof/>
        </w:rPr>
        <w:t>turistických přístavech) (ID: 16931)</w:t>
      </w:r>
    </w:p>
    <w:p w14:paraId="5469F451" w14:textId="77777777" w:rsidR="00515398" w:rsidRDefault="006711E6">
      <w:pPr>
        <w:pStyle w:val="P68B1DB1-Normal4"/>
        <w:numPr>
          <w:ilvl w:val="0"/>
          <w:numId w:val="31"/>
        </w:numPr>
        <w:spacing w:before="120" w:after="0" w:line="240" w:lineRule="auto"/>
        <w:jc w:val="both"/>
        <w:rPr>
          <w:rFonts w:cs="Times New Roman"/>
          <w:noProof/>
        </w:rPr>
      </w:pPr>
      <w:r>
        <w:rPr>
          <w:noProof/>
        </w:rPr>
        <w:t>Rekvalifikace a prohlubování dovedností v cestovním ruchu (ID: 16921)</w:t>
      </w:r>
    </w:p>
    <w:p w14:paraId="7FCEB292" w14:textId="77777777" w:rsidR="00515398" w:rsidRDefault="006711E6">
      <w:pPr>
        <w:pStyle w:val="P68B1DB1-Normal4"/>
        <w:numPr>
          <w:ilvl w:val="0"/>
          <w:numId w:val="31"/>
        </w:numPr>
        <w:spacing w:before="120" w:after="0" w:line="240" w:lineRule="auto"/>
        <w:jc w:val="both"/>
        <w:rPr>
          <w:rFonts w:cs="Times New Roman"/>
          <w:noProof/>
        </w:rPr>
      </w:pPr>
      <w:r>
        <w:rPr>
          <w:noProof/>
        </w:rPr>
        <w:t>Modernizace regionálních přístavů (ID: 16975)</w:t>
      </w:r>
    </w:p>
    <w:p w14:paraId="37A58180" w14:textId="77777777" w:rsidR="00515398" w:rsidRDefault="006711E6">
      <w:pPr>
        <w:pStyle w:val="P68B1DB1-Normal4"/>
        <w:numPr>
          <w:ilvl w:val="0"/>
          <w:numId w:val="31"/>
        </w:numPr>
        <w:spacing w:before="120" w:after="120" w:line="240" w:lineRule="auto"/>
        <w:jc w:val="both"/>
        <w:rPr>
          <w:rFonts w:cs="Times New Roman"/>
          <w:noProof/>
        </w:rPr>
      </w:pPr>
      <w:r>
        <w:rPr>
          <w:noProof/>
        </w:rPr>
        <w:t>Hlavní plán obnovy řeckého vozového parku osobní dopravy (ID: 16944)</w:t>
      </w:r>
    </w:p>
    <w:p w14:paraId="6365EC15" w14:textId="77777777" w:rsidR="00515398" w:rsidRDefault="00515398">
      <w:pPr>
        <w:spacing w:before="120" w:after="0" w:line="240" w:lineRule="auto"/>
        <w:jc w:val="both"/>
        <w:rPr>
          <w:rFonts w:ascii="Times New Roman" w:hAnsi="Times New Roman" w:cs="Times New Roman"/>
          <w:noProof/>
          <w:sz w:val="24"/>
        </w:rPr>
      </w:pPr>
    </w:p>
    <w:tbl>
      <w:tblPr>
        <w:tblW w:w="16219" w:type="dxa"/>
        <w:jc w:val="center"/>
        <w:tblLook w:val="04A0" w:firstRow="1" w:lastRow="0" w:firstColumn="1" w:lastColumn="0" w:noHBand="0" w:noVBand="1"/>
      </w:tblPr>
      <w:tblGrid>
        <w:gridCol w:w="1027"/>
        <w:gridCol w:w="1712"/>
        <w:gridCol w:w="1424"/>
        <w:gridCol w:w="1274"/>
        <w:gridCol w:w="1741"/>
        <w:gridCol w:w="1741"/>
        <w:gridCol w:w="857"/>
        <w:gridCol w:w="713"/>
        <w:gridCol w:w="986"/>
        <w:gridCol w:w="662"/>
        <w:gridCol w:w="4305"/>
      </w:tblGrid>
      <w:tr w:rsidR="00515398" w14:paraId="0D4DDB06" w14:textId="77777777">
        <w:trPr>
          <w:trHeight w:val="594"/>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1EC0A3"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D11358" w14:textId="77777777" w:rsidR="00515398" w:rsidRDefault="006711E6">
            <w:pPr>
              <w:pStyle w:val="P68B1DB1-Normal7"/>
              <w:spacing w:after="0" w:line="240" w:lineRule="auto"/>
              <w:jc w:val="center"/>
              <w:rPr>
                <w:rFonts w:eastAsia="Times New Roman" w:cs="Times New Roman"/>
                <w:noProof/>
                <w:szCs w:val="18"/>
              </w:rPr>
            </w:pPr>
            <w:r>
              <w:rPr>
                <w:noProof/>
              </w:rPr>
              <w:t>Související opatře</w:t>
            </w:r>
            <w:r>
              <w:rPr>
                <w:noProof/>
              </w:rPr>
              <w:t>ní (reforma nebo investice)</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DFE08D"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B642F0"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32B021"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331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A9BABA4"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648" w:type="dxa"/>
            <w:gridSpan w:val="2"/>
            <w:tcBorders>
              <w:top w:val="single" w:sz="4" w:space="0" w:color="auto"/>
              <w:left w:val="nil"/>
              <w:bottom w:val="single" w:sz="4" w:space="0" w:color="auto"/>
              <w:right w:val="single" w:sz="4" w:space="0" w:color="auto"/>
            </w:tcBorders>
            <w:shd w:val="clear" w:color="auto" w:fill="BDD7EE"/>
            <w:vAlign w:val="center"/>
            <w:hideMark/>
          </w:tcPr>
          <w:p w14:paraId="7114A19F"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43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931F2"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0B469217" w14:textId="77777777">
        <w:trPr>
          <w:trHeight w:val="508"/>
          <w:tblHeader/>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7ED81AF1" w14:textId="77777777" w:rsidR="00515398" w:rsidRDefault="00515398">
            <w:pPr>
              <w:spacing w:after="0" w:line="240" w:lineRule="auto"/>
              <w:rPr>
                <w:rFonts w:ascii="Times New Roman" w:eastAsia="Times New Roman" w:hAnsi="Times New Roman" w:cs="Times New Roman"/>
                <w:b/>
                <w:bCs/>
                <w:noProof/>
                <w:sz w:val="18"/>
                <w:szCs w:val="18"/>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438E7E5F" w14:textId="77777777" w:rsidR="00515398" w:rsidRDefault="00515398">
            <w:pPr>
              <w:spacing w:after="0" w:line="240" w:lineRule="auto"/>
              <w:rPr>
                <w:rFonts w:ascii="Times New Roman" w:eastAsia="Times New Roman" w:hAnsi="Times New Roman" w:cs="Times New Roman"/>
                <w:b/>
                <w:bCs/>
                <w:noProof/>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4C92CEDD" w14:textId="77777777" w:rsidR="00515398" w:rsidRDefault="00515398">
            <w:pPr>
              <w:spacing w:after="0" w:line="240" w:lineRule="auto"/>
              <w:rPr>
                <w:rFonts w:ascii="Times New Roman" w:eastAsia="Times New Roman" w:hAnsi="Times New Roman" w:cs="Times New Roman"/>
                <w:b/>
                <w:bCs/>
                <w:noProof/>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3716D1A6" w14:textId="77777777" w:rsidR="00515398" w:rsidRDefault="00515398">
            <w:pPr>
              <w:spacing w:after="0" w:line="240" w:lineRule="auto"/>
              <w:rPr>
                <w:rFonts w:ascii="Times New Roman" w:eastAsia="Times New Roman" w:hAnsi="Times New Roman" w:cs="Times New Roman"/>
                <w:b/>
                <w:bCs/>
                <w:noProof/>
                <w:sz w:val="18"/>
                <w:szCs w:val="18"/>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14:paraId="01758D39" w14:textId="77777777" w:rsidR="00515398" w:rsidRDefault="00515398">
            <w:pPr>
              <w:spacing w:after="0" w:line="240" w:lineRule="auto"/>
              <w:rPr>
                <w:rFonts w:ascii="Times New Roman" w:eastAsia="Times New Roman" w:hAnsi="Times New Roman" w:cs="Times New Roman"/>
                <w:b/>
                <w:bCs/>
                <w:noProof/>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5B774DD"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857" w:type="dxa"/>
            <w:tcBorders>
              <w:top w:val="nil"/>
              <w:left w:val="nil"/>
              <w:bottom w:val="single" w:sz="4" w:space="0" w:color="auto"/>
              <w:right w:val="single" w:sz="4" w:space="0" w:color="auto"/>
            </w:tcBorders>
            <w:shd w:val="clear" w:color="auto" w:fill="BDD7EE"/>
            <w:vAlign w:val="center"/>
            <w:hideMark/>
          </w:tcPr>
          <w:p w14:paraId="3A0AFBC2"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713" w:type="dxa"/>
            <w:tcBorders>
              <w:top w:val="nil"/>
              <w:left w:val="nil"/>
              <w:bottom w:val="single" w:sz="4" w:space="0" w:color="auto"/>
              <w:right w:val="single" w:sz="4" w:space="0" w:color="auto"/>
            </w:tcBorders>
            <w:shd w:val="clear" w:color="auto" w:fill="BDD7EE"/>
            <w:vAlign w:val="center"/>
            <w:hideMark/>
          </w:tcPr>
          <w:p w14:paraId="52690CAB"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986" w:type="dxa"/>
            <w:tcBorders>
              <w:top w:val="nil"/>
              <w:left w:val="nil"/>
              <w:bottom w:val="single" w:sz="4" w:space="0" w:color="auto"/>
              <w:right w:val="single" w:sz="4" w:space="0" w:color="auto"/>
            </w:tcBorders>
            <w:shd w:val="clear" w:color="auto" w:fill="BDD7EE"/>
            <w:vAlign w:val="center"/>
            <w:hideMark/>
          </w:tcPr>
          <w:p w14:paraId="2317CD58"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662" w:type="dxa"/>
            <w:tcBorders>
              <w:top w:val="nil"/>
              <w:left w:val="nil"/>
              <w:bottom w:val="single" w:sz="4" w:space="0" w:color="auto"/>
              <w:right w:val="single" w:sz="4" w:space="0" w:color="auto"/>
            </w:tcBorders>
            <w:shd w:val="clear" w:color="auto" w:fill="BDD7EE"/>
            <w:vAlign w:val="center"/>
            <w:hideMark/>
          </w:tcPr>
          <w:p w14:paraId="632D7EE9"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4305" w:type="dxa"/>
            <w:vMerge/>
            <w:tcBorders>
              <w:top w:val="single" w:sz="4" w:space="0" w:color="auto"/>
              <w:bottom w:val="single" w:sz="4" w:space="0" w:color="auto"/>
              <w:right w:val="single" w:sz="4" w:space="0" w:color="auto"/>
            </w:tcBorders>
            <w:vAlign w:val="center"/>
            <w:hideMark/>
          </w:tcPr>
          <w:p w14:paraId="636A9798"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3F25A25E"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2D5F371A" w14:textId="77777777" w:rsidR="00515398" w:rsidRDefault="006711E6">
            <w:pPr>
              <w:pStyle w:val="P68B1DB1-Normal9"/>
              <w:spacing w:after="0" w:line="240" w:lineRule="auto"/>
              <w:rPr>
                <w:rFonts w:eastAsia="Times New Roman" w:cs="Calibri"/>
                <w:noProof/>
                <w:szCs w:val="18"/>
              </w:rPr>
            </w:pPr>
            <w:r>
              <w:rPr>
                <w:noProof/>
              </w:rPr>
              <w:t>292</w:t>
            </w:r>
          </w:p>
        </w:tc>
        <w:tc>
          <w:tcPr>
            <w:tcW w:w="1489" w:type="dxa"/>
            <w:tcBorders>
              <w:top w:val="single" w:sz="4" w:space="0" w:color="auto"/>
              <w:left w:val="nil"/>
              <w:bottom w:val="single" w:sz="4" w:space="0" w:color="auto"/>
              <w:right w:val="single" w:sz="4" w:space="0" w:color="auto"/>
            </w:tcBorders>
            <w:shd w:val="clear" w:color="auto" w:fill="C6EFCE"/>
            <w:noWrap/>
          </w:tcPr>
          <w:p w14:paraId="38D1A382" w14:textId="77777777" w:rsidR="00515398" w:rsidRDefault="006711E6">
            <w:pPr>
              <w:pStyle w:val="P68B1DB1-Normal9"/>
              <w:spacing w:after="0" w:line="240" w:lineRule="auto"/>
              <w:rPr>
                <w:rFonts w:eastAsia="Times New Roman" w:cs="Calibri"/>
                <w:noProof/>
                <w:szCs w:val="18"/>
              </w:rPr>
            </w:pPr>
            <w:r>
              <w:rPr>
                <w:noProof/>
              </w:rPr>
              <w:t xml:space="preserve">17–4.6. </w:t>
            </w:r>
            <w:r>
              <w:rPr>
                <w:noProof/>
              </w:rPr>
              <w:t>Modernizace a zlepšení odolnosti klíčových hospodářských odvětví – 16931_Rozvoj cestovního ruchu</w:t>
            </w:r>
          </w:p>
        </w:tc>
        <w:tc>
          <w:tcPr>
            <w:tcW w:w="1424" w:type="dxa"/>
            <w:tcBorders>
              <w:top w:val="single" w:sz="4" w:space="0" w:color="auto"/>
              <w:left w:val="nil"/>
              <w:bottom w:val="single" w:sz="4" w:space="0" w:color="auto"/>
              <w:right w:val="single" w:sz="4" w:space="0" w:color="auto"/>
            </w:tcBorders>
            <w:shd w:val="clear" w:color="auto" w:fill="C6EFCE"/>
            <w:noWrap/>
          </w:tcPr>
          <w:p w14:paraId="5D7A7B81" w14:textId="77777777" w:rsidR="00515398" w:rsidRDefault="006711E6">
            <w:pPr>
              <w:pStyle w:val="P68B1DB1-Normal9"/>
              <w:spacing w:after="0" w:line="240" w:lineRule="auto"/>
              <w:rPr>
                <w:rFonts w:eastAsia="Times New Roman" w:cs="Calibri"/>
                <w:noProof/>
                <w:szCs w:val="18"/>
              </w:rPr>
            </w:pPr>
            <w:r>
              <w:rPr>
                <w:noProof/>
              </w:rPr>
              <w:t>Milník</w:t>
            </w:r>
          </w:p>
          <w:p w14:paraId="3EE0F66E" w14:textId="77777777" w:rsidR="00515398" w:rsidRDefault="00515398">
            <w:pPr>
              <w:spacing w:after="0" w:line="240" w:lineRule="auto"/>
              <w:rPr>
                <w:rFonts w:eastAsia="Times New Roman" w:cs="Calibri"/>
                <w:noProof/>
                <w:color w:val="006100"/>
                <w:sz w:val="18"/>
                <w:szCs w:val="18"/>
              </w:rPr>
            </w:pPr>
          </w:p>
        </w:tc>
        <w:tc>
          <w:tcPr>
            <w:tcW w:w="1274" w:type="dxa"/>
            <w:tcBorders>
              <w:top w:val="single" w:sz="4" w:space="0" w:color="auto"/>
              <w:left w:val="nil"/>
              <w:bottom w:val="single" w:sz="4" w:space="0" w:color="auto"/>
              <w:right w:val="single" w:sz="4" w:space="0" w:color="auto"/>
            </w:tcBorders>
            <w:shd w:val="clear" w:color="auto" w:fill="C6EFCE"/>
            <w:noWrap/>
          </w:tcPr>
          <w:p w14:paraId="575AA962" w14:textId="77777777" w:rsidR="00515398" w:rsidRDefault="006711E6">
            <w:pPr>
              <w:pStyle w:val="P68B1DB1-Normal9"/>
              <w:spacing w:after="0" w:line="240" w:lineRule="auto"/>
              <w:rPr>
                <w:rFonts w:eastAsia="Times New Roman" w:cs="Calibri"/>
                <w:noProof/>
                <w:szCs w:val="18"/>
              </w:rPr>
            </w:pPr>
            <w:r>
              <w:rPr>
                <w:noProof/>
              </w:rPr>
              <w:t>Rozvoj cestovního ruchu: reformy turistických přístavů</w:t>
            </w:r>
          </w:p>
        </w:tc>
        <w:tc>
          <w:tcPr>
            <w:tcW w:w="1741" w:type="dxa"/>
            <w:tcBorders>
              <w:top w:val="single" w:sz="4" w:space="0" w:color="auto"/>
              <w:left w:val="nil"/>
              <w:bottom w:val="single" w:sz="4" w:space="0" w:color="auto"/>
              <w:right w:val="single" w:sz="4" w:space="0" w:color="auto"/>
            </w:tcBorders>
            <w:shd w:val="clear" w:color="auto" w:fill="C6EFCE"/>
            <w:noWrap/>
          </w:tcPr>
          <w:p w14:paraId="4C21031F" w14:textId="77777777" w:rsidR="00515398" w:rsidRDefault="006711E6">
            <w:pPr>
              <w:pStyle w:val="P68B1DB1-Normal9"/>
              <w:spacing w:after="0" w:line="240" w:lineRule="auto"/>
              <w:rPr>
                <w:rFonts w:eastAsia="Times New Roman" w:cs="Calibri"/>
                <w:noProof/>
                <w:szCs w:val="18"/>
              </w:rPr>
            </w:pPr>
            <w:r>
              <w:rPr>
                <w:noProof/>
              </w:rPr>
              <w:t>1. Vstup v platnost změn zákona 2160/1993 o turistických přístavech.</w:t>
            </w:r>
          </w:p>
          <w:p w14:paraId="29819308" w14:textId="77777777" w:rsidR="00515398" w:rsidRDefault="006711E6">
            <w:pPr>
              <w:pStyle w:val="P68B1DB1-Normal9"/>
              <w:spacing w:after="0" w:line="240" w:lineRule="auto"/>
              <w:rPr>
                <w:rFonts w:eastAsia="Times New Roman" w:cs="Calibri"/>
                <w:noProof/>
                <w:szCs w:val="18"/>
              </w:rPr>
            </w:pPr>
            <w:r>
              <w:rPr>
                <w:noProof/>
              </w:rPr>
              <w:t xml:space="preserve">2. Vstup v platnost změn </w:t>
            </w:r>
            <w:r>
              <w:rPr>
                <w:noProof/>
              </w:rPr>
              <w:t>zákonů 4179/2013 a 4276/2014 týkajících se lyžařských středisek.</w:t>
            </w:r>
          </w:p>
          <w:p w14:paraId="6AF25A6B" w14:textId="77777777" w:rsidR="00515398" w:rsidRDefault="006711E6">
            <w:pPr>
              <w:pStyle w:val="P68B1DB1-Normal9"/>
              <w:spacing w:after="0" w:line="240" w:lineRule="auto"/>
              <w:rPr>
                <w:rFonts w:eastAsia="Times New Roman" w:cs="Calibri"/>
                <w:noProof/>
                <w:szCs w:val="18"/>
              </w:rPr>
            </w:pPr>
            <w:r>
              <w:rPr>
                <w:noProof/>
              </w:rPr>
              <w:t>3 Zpráva o zřízení kanceláře pro řízení projektu.</w:t>
            </w:r>
          </w:p>
        </w:tc>
        <w:tc>
          <w:tcPr>
            <w:tcW w:w="1741" w:type="dxa"/>
            <w:tcBorders>
              <w:top w:val="single" w:sz="4" w:space="0" w:color="auto"/>
              <w:left w:val="nil"/>
              <w:bottom w:val="single" w:sz="4" w:space="0" w:color="auto"/>
              <w:right w:val="single" w:sz="4" w:space="0" w:color="auto"/>
            </w:tcBorders>
            <w:shd w:val="clear" w:color="auto" w:fill="C6EFCE"/>
            <w:noWrap/>
          </w:tcPr>
          <w:p w14:paraId="6E83A3C5"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4B2EA1CB" w14:textId="77777777" w:rsidR="00515398" w:rsidRDefault="00515398">
            <w:pPr>
              <w:spacing w:after="0" w:line="240" w:lineRule="auto"/>
              <w:rPr>
                <w:rFonts w:eastAsia="Times New Roman" w:cs="Calibri"/>
                <w:noProof/>
                <w:color w:val="006100"/>
                <w:sz w:val="18"/>
                <w:szCs w:val="18"/>
              </w:rPr>
            </w:pPr>
          </w:p>
        </w:tc>
        <w:tc>
          <w:tcPr>
            <w:tcW w:w="713" w:type="dxa"/>
            <w:tcBorders>
              <w:top w:val="nil"/>
              <w:left w:val="nil"/>
              <w:bottom w:val="single" w:sz="4" w:space="0" w:color="auto"/>
              <w:right w:val="single" w:sz="4" w:space="0" w:color="auto"/>
            </w:tcBorders>
            <w:shd w:val="clear" w:color="auto" w:fill="C6EFCE"/>
            <w:noWrap/>
          </w:tcPr>
          <w:p w14:paraId="5701D1DF" w14:textId="77777777" w:rsidR="00515398" w:rsidRDefault="00515398">
            <w:pPr>
              <w:spacing w:after="0" w:line="240" w:lineRule="auto"/>
              <w:rPr>
                <w:rFonts w:eastAsia="Times New Roman" w:cs="Calibri"/>
                <w:noProof/>
                <w:color w:val="006100"/>
                <w:sz w:val="18"/>
                <w:szCs w:val="18"/>
              </w:rPr>
            </w:pPr>
          </w:p>
        </w:tc>
        <w:tc>
          <w:tcPr>
            <w:tcW w:w="986" w:type="dxa"/>
            <w:tcBorders>
              <w:top w:val="nil"/>
              <w:left w:val="nil"/>
              <w:bottom w:val="single" w:sz="4" w:space="0" w:color="auto"/>
              <w:right w:val="single" w:sz="4" w:space="0" w:color="auto"/>
            </w:tcBorders>
            <w:shd w:val="clear" w:color="auto" w:fill="C6EFCE"/>
            <w:noWrap/>
          </w:tcPr>
          <w:p w14:paraId="7BDD2BC7" w14:textId="77777777" w:rsidR="00515398" w:rsidRDefault="006711E6">
            <w:pPr>
              <w:pStyle w:val="P68B1DB1-Normal9"/>
              <w:spacing w:after="0" w:line="240" w:lineRule="auto"/>
              <w:rPr>
                <w:rFonts w:eastAsia="Times New Roman" w:cs="Calibri"/>
                <w:noProof/>
                <w:szCs w:val="18"/>
              </w:rPr>
            </w:pPr>
            <w:r>
              <w:rPr>
                <w:noProof/>
              </w:rPr>
              <w:t>ČTVRTLETÍ 1</w:t>
            </w:r>
          </w:p>
        </w:tc>
        <w:tc>
          <w:tcPr>
            <w:tcW w:w="662" w:type="dxa"/>
            <w:tcBorders>
              <w:top w:val="nil"/>
              <w:left w:val="nil"/>
              <w:bottom w:val="single" w:sz="4" w:space="0" w:color="auto"/>
              <w:right w:val="single" w:sz="4" w:space="0" w:color="auto"/>
            </w:tcBorders>
            <w:shd w:val="clear" w:color="auto" w:fill="C6EFCE"/>
            <w:noWrap/>
          </w:tcPr>
          <w:p w14:paraId="6EE57457" w14:textId="77777777" w:rsidR="00515398" w:rsidRDefault="006711E6">
            <w:pPr>
              <w:pStyle w:val="P68B1DB1-Normal9"/>
              <w:spacing w:after="0" w:line="240" w:lineRule="auto"/>
              <w:rPr>
                <w:rFonts w:eastAsia="Times New Roman" w:cs="Calibri"/>
                <w:noProof/>
                <w:szCs w:val="18"/>
              </w:rPr>
            </w:pPr>
            <w:r>
              <w:rPr>
                <w:noProof/>
              </w:rPr>
              <w:t>2022</w:t>
            </w:r>
          </w:p>
        </w:tc>
        <w:tc>
          <w:tcPr>
            <w:tcW w:w="4305" w:type="dxa"/>
            <w:tcBorders>
              <w:top w:val="single" w:sz="4" w:space="0" w:color="auto"/>
              <w:left w:val="nil"/>
              <w:bottom w:val="single" w:sz="4" w:space="0" w:color="auto"/>
              <w:right w:val="single" w:sz="4" w:space="0" w:color="auto"/>
            </w:tcBorders>
            <w:shd w:val="clear" w:color="auto" w:fill="C6EFCE"/>
            <w:noWrap/>
          </w:tcPr>
          <w:p w14:paraId="73AD21F7" w14:textId="77777777" w:rsidR="00515398" w:rsidRDefault="006711E6">
            <w:pPr>
              <w:pStyle w:val="P68B1DB1-Normal9"/>
              <w:spacing w:after="0" w:line="240" w:lineRule="auto"/>
              <w:rPr>
                <w:rFonts w:cs="Calibri"/>
                <w:noProof/>
                <w:szCs w:val="18"/>
              </w:rPr>
            </w:pPr>
            <w:r>
              <w:rPr>
                <w:noProof/>
              </w:rPr>
              <w:t>(1) Rozvoj cestovního ruchu: Vstup v platnost právních předpisů za účelem reformy právního rámce pro zákon o turistických</w:t>
            </w:r>
            <w:r>
              <w:rPr>
                <w:noProof/>
              </w:rPr>
              <w:t xml:space="preserve"> přístavech s cílem podpořit nové investice, včetně změny ustanovení týkajících se licencí na instalaci a provoz v souladu se zákonem č. 4442/2016 o udělování investičních licencí.</w:t>
            </w:r>
          </w:p>
          <w:p w14:paraId="53FD0461" w14:textId="77777777" w:rsidR="00515398" w:rsidRDefault="006711E6">
            <w:pPr>
              <w:spacing w:after="0" w:line="240" w:lineRule="auto"/>
              <w:rPr>
                <w:rFonts w:cs="Calibri"/>
                <w:noProof/>
                <w:color w:val="006100"/>
                <w:sz w:val="18"/>
                <w:szCs w:val="18"/>
              </w:rPr>
            </w:pPr>
            <w:r>
              <w:rPr>
                <w:noProof/>
                <w:color w:val="006100"/>
                <w:sz w:val="18"/>
              </w:rPr>
              <w:t>(2) Rozvoj cestovního ruchu: Vstup v platnost právních předpisů za účelem r</w:t>
            </w:r>
            <w:r>
              <w:rPr>
                <w:noProof/>
                <w:color w:val="006100"/>
                <w:sz w:val="18"/>
              </w:rPr>
              <w:t>eformy právního rámce pro lyžařská střediska s cílem podpořit nové investice, včetně změny ustanovení týkajících se udělování licencí na instalaci a provoz v souladu se zákonem č. 4442/2016 o udělování investičních licencí.</w:t>
            </w:r>
            <w:r>
              <w:rPr>
                <w:rFonts w:ascii="Times New Roman" w:hAnsi="Times New Roman"/>
                <w:noProof/>
                <w:sz w:val="24"/>
              </w:rPr>
              <w:t xml:space="preserve"> </w:t>
            </w:r>
          </w:p>
          <w:p w14:paraId="2C9DDCA0" w14:textId="77777777" w:rsidR="00515398" w:rsidRDefault="006711E6">
            <w:pPr>
              <w:pStyle w:val="P68B1DB1-Normal9"/>
              <w:spacing w:after="0" w:line="240" w:lineRule="auto"/>
              <w:rPr>
                <w:rFonts w:eastAsia="Times New Roman" w:cs="Calibri"/>
                <w:noProof/>
                <w:szCs w:val="18"/>
              </w:rPr>
            </w:pPr>
            <w:r>
              <w:rPr>
                <w:noProof/>
              </w:rPr>
              <w:t>(3) Rozvoj cestovního ruchu: Zř</w:t>
            </w:r>
            <w:r>
              <w:rPr>
                <w:noProof/>
              </w:rPr>
              <w:t>ízení kanceláře pro řízení projektů pro dohled nad investicemi do modernizace turistických přístavů.</w:t>
            </w:r>
          </w:p>
        </w:tc>
      </w:tr>
      <w:tr w:rsidR="00515398" w14:paraId="3134A3F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1BBF2960" w14:textId="77777777" w:rsidR="00515398" w:rsidRDefault="006711E6">
            <w:pPr>
              <w:pStyle w:val="P68B1DB1-Normal9"/>
              <w:spacing w:after="0" w:line="240" w:lineRule="auto"/>
              <w:rPr>
                <w:rFonts w:eastAsia="Times New Roman" w:cs="Calibri"/>
                <w:noProof/>
                <w:szCs w:val="18"/>
              </w:rPr>
            </w:pPr>
            <w:r>
              <w:rPr>
                <w:noProof/>
              </w:rPr>
              <w:t>294</w:t>
            </w:r>
          </w:p>
        </w:tc>
        <w:tc>
          <w:tcPr>
            <w:tcW w:w="1489" w:type="dxa"/>
            <w:tcBorders>
              <w:top w:val="single" w:sz="4" w:space="0" w:color="auto"/>
              <w:left w:val="nil"/>
              <w:bottom w:val="single" w:sz="4" w:space="0" w:color="auto"/>
              <w:right w:val="single" w:sz="4" w:space="0" w:color="auto"/>
            </w:tcBorders>
            <w:shd w:val="clear" w:color="auto" w:fill="C6EFCE"/>
            <w:noWrap/>
          </w:tcPr>
          <w:p w14:paraId="0FA303F9"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16944_Hlavní plán obnovy řeckého vozového parku osobní dopravy</w:t>
            </w:r>
          </w:p>
        </w:tc>
        <w:tc>
          <w:tcPr>
            <w:tcW w:w="1424" w:type="dxa"/>
            <w:tcBorders>
              <w:top w:val="single" w:sz="4" w:space="0" w:color="auto"/>
              <w:left w:val="nil"/>
              <w:bottom w:val="single" w:sz="4" w:space="0" w:color="auto"/>
              <w:right w:val="single" w:sz="4" w:space="0" w:color="auto"/>
            </w:tcBorders>
            <w:shd w:val="clear" w:color="auto" w:fill="C6EFCE"/>
            <w:noWrap/>
          </w:tcPr>
          <w:p w14:paraId="7BDC0E7E" w14:textId="77777777" w:rsidR="00515398" w:rsidRDefault="006711E6">
            <w:pPr>
              <w:pStyle w:val="P68B1DB1-Normal9"/>
              <w:spacing w:after="0" w:line="240" w:lineRule="auto"/>
              <w:rPr>
                <w:rFonts w:eastAsia="Times New Roman" w:cs="Calibri"/>
                <w:noProof/>
                <w:szCs w:val="18"/>
              </w:rPr>
            </w:pPr>
            <w:r>
              <w:rPr>
                <w:noProof/>
              </w:rPr>
              <w:t>Milník</w:t>
            </w:r>
          </w:p>
        </w:tc>
        <w:tc>
          <w:tcPr>
            <w:tcW w:w="1274" w:type="dxa"/>
            <w:tcBorders>
              <w:top w:val="single" w:sz="4" w:space="0" w:color="auto"/>
              <w:left w:val="nil"/>
              <w:bottom w:val="single" w:sz="4" w:space="0" w:color="auto"/>
              <w:right w:val="single" w:sz="4" w:space="0" w:color="auto"/>
            </w:tcBorders>
            <w:shd w:val="clear" w:color="auto" w:fill="C6EFCE"/>
            <w:noWrap/>
          </w:tcPr>
          <w:p w14:paraId="4424E9F7" w14:textId="77777777" w:rsidR="00515398" w:rsidRDefault="006711E6">
            <w:pPr>
              <w:pStyle w:val="P68B1DB1-Normal9"/>
              <w:spacing w:after="0" w:line="240" w:lineRule="auto"/>
              <w:rPr>
                <w:rFonts w:eastAsia="Times New Roman" w:cs="Calibri"/>
                <w:noProof/>
                <w:szCs w:val="18"/>
              </w:rPr>
            </w:pPr>
            <w:r>
              <w:rPr>
                <w:noProof/>
              </w:rPr>
              <w:t>Hlavní plán pro řeckou osobní lodní dopravu</w:t>
            </w:r>
          </w:p>
        </w:tc>
        <w:tc>
          <w:tcPr>
            <w:tcW w:w="1741" w:type="dxa"/>
            <w:tcBorders>
              <w:top w:val="single" w:sz="4" w:space="0" w:color="auto"/>
              <w:left w:val="nil"/>
              <w:bottom w:val="single" w:sz="4" w:space="0" w:color="auto"/>
              <w:right w:val="single" w:sz="4" w:space="0" w:color="auto"/>
            </w:tcBorders>
            <w:shd w:val="clear" w:color="auto" w:fill="C6EFCE"/>
            <w:noWrap/>
          </w:tcPr>
          <w:p w14:paraId="57307BAD" w14:textId="77777777" w:rsidR="00515398" w:rsidRDefault="006711E6">
            <w:pPr>
              <w:pStyle w:val="P68B1DB1-Normal9"/>
              <w:spacing w:after="0" w:line="240" w:lineRule="auto"/>
              <w:rPr>
                <w:rFonts w:eastAsia="Times New Roman" w:cs="Calibri"/>
                <w:noProof/>
                <w:szCs w:val="18"/>
              </w:rPr>
            </w:pPr>
            <w:r>
              <w:rPr>
                <w:noProof/>
              </w:rPr>
              <w:t>Dokončená zpráva a shrnutí konzultací.</w:t>
            </w:r>
          </w:p>
        </w:tc>
        <w:tc>
          <w:tcPr>
            <w:tcW w:w="1741" w:type="dxa"/>
            <w:tcBorders>
              <w:top w:val="single" w:sz="4" w:space="0" w:color="auto"/>
              <w:left w:val="nil"/>
              <w:bottom w:val="single" w:sz="4" w:space="0" w:color="auto"/>
              <w:right w:val="single" w:sz="4" w:space="0" w:color="auto"/>
            </w:tcBorders>
            <w:shd w:val="clear" w:color="auto" w:fill="C6EFCE"/>
            <w:noWrap/>
          </w:tcPr>
          <w:p w14:paraId="7A05789B"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3EF0CD91" w14:textId="77777777" w:rsidR="00515398" w:rsidRDefault="00515398">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370B05DF" w14:textId="77777777" w:rsidR="00515398" w:rsidRDefault="00515398">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3CED1FD1" w14:textId="77777777" w:rsidR="00515398" w:rsidRDefault="006711E6">
            <w:pPr>
              <w:pStyle w:val="P68B1DB1-Normal9"/>
              <w:spacing w:after="0" w:line="240" w:lineRule="auto"/>
              <w:rPr>
                <w:rFonts w:eastAsia="Times New Roman" w:cs="Calibri"/>
                <w:noProof/>
                <w:szCs w:val="18"/>
              </w:rPr>
            </w:pPr>
            <w:r>
              <w:rPr>
                <w:noProof/>
              </w:rPr>
              <w:t>ČTVRTLETÍ</w:t>
            </w:r>
          </w:p>
        </w:tc>
        <w:tc>
          <w:tcPr>
            <w:tcW w:w="662" w:type="dxa"/>
            <w:tcBorders>
              <w:top w:val="single" w:sz="4" w:space="0" w:color="auto"/>
              <w:left w:val="nil"/>
              <w:bottom w:val="single" w:sz="4" w:space="0" w:color="auto"/>
              <w:right w:val="single" w:sz="4" w:space="0" w:color="auto"/>
            </w:tcBorders>
            <w:shd w:val="clear" w:color="auto" w:fill="C6EFCE"/>
            <w:noWrap/>
          </w:tcPr>
          <w:p w14:paraId="6FEA6CAA" w14:textId="77777777" w:rsidR="00515398" w:rsidRDefault="006711E6">
            <w:pPr>
              <w:pStyle w:val="P68B1DB1-Normal9"/>
              <w:spacing w:after="0" w:line="240" w:lineRule="auto"/>
              <w:rPr>
                <w:rFonts w:eastAsia="Times New Roman" w:cs="Calibri"/>
                <w:noProof/>
                <w:szCs w:val="18"/>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0F57AA80" w14:textId="77777777" w:rsidR="00515398" w:rsidRDefault="006711E6">
            <w:pPr>
              <w:pStyle w:val="P68B1DB1-Normal9"/>
              <w:spacing w:after="0" w:line="240" w:lineRule="auto"/>
              <w:rPr>
                <w:rFonts w:eastAsia="Times New Roman" w:cs="Calibri"/>
                <w:noProof/>
                <w:szCs w:val="18"/>
              </w:rPr>
            </w:pPr>
            <w:r>
              <w:rPr>
                <w:noProof/>
              </w:rPr>
              <w:t>Hlavní plán obnovy řeckého vozového parku osobní dopravy: Ukončení projektu</w:t>
            </w:r>
          </w:p>
        </w:tc>
      </w:tr>
      <w:tr w:rsidR="00515398" w14:paraId="0CB0AD57"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B837F7E" w14:textId="77777777" w:rsidR="00515398" w:rsidRDefault="006711E6">
            <w:pPr>
              <w:pStyle w:val="P68B1DB1-Normal9"/>
              <w:spacing w:after="0" w:line="240" w:lineRule="auto"/>
              <w:rPr>
                <w:rFonts w:eastAsia="Times New Roman" w:cs="Calibri"/>
                <w:noProof/>
                <w:szCs w:val="18"/>
              </w:rPr>
            </w:pPr>
            <w:r>
              <w:rPr>
                <w:noProof/>
              </w:rPr>
              <w:t>295</w:t>
            </w:r>
          </w:p>
        </w:tc>
        <w:tc>
          <w:tcPr>
            <w:tcW w:w="1489" w:type="dxa"/>
            <w:tcBorders>
              <w:top w:val="single" w:sz="4" w:space="0" w:color="auto"/>
              <w:left w:val="nil"/>
              <w:bottom w:val="single" w:sz="4" w:space="0" w:color="auto"/>
              <w:right w:val="single" w:sz="4" w:space="0" w:color="auto"/>
            </w:tcBorders>
            <w:shd w:val="clear" w:color="auto" w:fill="C6EFCE"/>
            <w:noWrap/>
          </w:tcPr>
          <w:p w14:paraId="0EBEDE2B"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w:t>
            </w:r>
            <w:r>
              <w:rPr>
                <w:noProof/>
              </w:rPr>
              <w:t xml:space="preserve"> 16931_Rozvoj cestovního ruchu</w:t>
            </w:r>
          </w:p>
        </w:tc>
        <w:tc>
          <w:tcPr>
            <w:tcW w:w="1424" w:type="dxa"/>
            <w:tcBorders>
              <w:top w:val="single" w:sz="4" w:space="0" w:color="auto"/>
              <w:left w:val="nil"/>
              <w:bottom w:val="single" w:sz="4" w:space="0" w:color="auto"/>
              <w:right w:val="single" w:sz="4" w:space="0" w:color="auto"/>
            </w:tcBorders>
            <w:shd w:val="clear" w:color="auto" w:fill="C6EFCE"/>
            <w:noWrap/>
          </w:tcPr>
          <w:p w14:paraId="4B5DBF7C" w14:textId="77777777" w:rsidR="00515398" w:rsidRDefault="006711E6">
            <w:pPr>
              <w:pStyle w:val="P68B1DB1-Normal9"/>
              <w:spacing w:after="0" w:line="240" w:lineRule="auto"/>
              <w:rPr>
                <w:rFonts w:eastAsia="Times New Roman" w:cs="Calibri"/>
                <w:noProof/>
                <w:szCs w:val="18"/>
              </w:rPr>
            </w:pPr>
            <w:r>
              <w:rPr>
                <w:noProof/>
              </w:rPr>
              <w:t>Milník</w:t>
            </w:r>
          </w:p>
        </w:tc>
        <w:tc>
          <w:tcPr>
            <w:tcW w:w="1274" w:type="dxa"/>
            <w:tcBorders>
              <w:top w:val="single" w:sz="4" w:space="0" w:color="auto"/>
              <w:left w:val="nil"/>
              <w:bottom w:val="single" w:sz="4" w:space="0" w:color="auto"/>
              <w:right w:val="single" w:sz="4" w:space="0" w:color="auto"/>
            </w:tcBorders>
            <w:shd w:val="clear" w:color="auto" w:fill="C6EFCE"/>
            <w:noWrap/>
          </w:tcPr>
          <w:p w14:paraId="6687C3CC" w14:textId="63F372F7" w:rsidR="00515398" w:rsidRDefault="006711E6">
            <w:pPr>
              <w:pStyle w:val="P68B1DB1-Normal9"/>
              <w:spacing w:after="0" w:line="240" w:lineRule="auto"/>
              <w:rPr>
                <w:rFonts w:eastAsia="Times New Roman" w:cs="Calibri"/>
                <w:noProof/>
                <w:szCs w:val="18"/>
              </w:rPr>
            </w:pPr>
            <w:r>
              <w:rPr>
                <w:noProof/>
              </w:rPr>
              <w:t>Rozvoj cestovního ruchu: Zveřejnění rozhodnutí o schválení turistických přístavů</w:t>
            </w:r>
          </w:p>
        </w:tc>
        <w:tc>
          <w:tcPr>
            <w:tcW w:w="1741" w:type="dxa"/>
            <w:tcBorders>
              <w:top w:val="single" w:sz="4" w:space="0" w:color="auto"/>
              <w:left w:val="nil"/>
              <w:bottom w:val="single" w:sz="4" w:space="0" w:color="auto"/>
              <w:right w:val="single" w:sz="4" w:space="0" w:color="auto"/>
            </w:tcBorders>
            <w:shd w:val="clear" w:color="auto" w:fill="C6EFCE"/>
            <w:noWrap/>
          </w:tcPr>
          <w:p w14:paraId="016F5B74" w14:textId="0D8E5236" w:rsidR="00515398" w:rsidRDefault="006711E6">
            <w:pPr>
              <w:pStyle w:val="P68B1DB1-Normal9"/>
              <w:spacing w:after="0" w:line="240" w:lineRule="auto"/>
              <w:rPr>
                <w:rFonts w:eastAsia="Times New Roman" w:cs="Calibri"/>
                <w:noProof/>
                <w:szCs w:val="18"/>
              </w:rPr>
            </w:pPr>
            <w:r>
              <w:rPr>
                <w:noProof/>
              </w:rPr>
              <w:t xml:space="preserve">Rozhodnutí o schválení </w:t>
            </w:r>
          </w:p>
        </w:tc>
        <w:tc>
          <w:tcPr>
            <w:tcW w:w="1741" w:type="dxa"/>
            <w:tcBorders>
              <w:top w:val="single" w:sz="4" w:space="0" w:color="auto"/>
              <w:left w:val="nil"/>
              <w:bottom w:val="single" w:sz="4" w:space="0" w:color="auto"/>
              <w:right w:val="single" w:sz="4" w:space="0" w:color="auto"/>
            </w:tcBorders>
            <w:shd w:val="clear" w:color="auto" w:fill="C6EFCE"/>
            <w:noWrap/>
          </w:tcPr>
          <w:p w14:paraId="28142BA9"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28DBC6EB" w14:textId="77777777" w:rsidR="00515398" w:rsidRDefault="00515398">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126AE028" w14:textId="77777777" w:rsidR="00515398" w:rsidRDefault="00515398">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292611E5" w14:textId="77777777" w:rsidR="00515398" w:rsidRDefault="006711E6">
            <w:pPr>
              <w:pStyle w:val="P68B1DB1-Normal9"/>
              <w:spacing w:after="0" w:line="240" w:lineRule="auto"/>
              <w:rPr>
                <w:rFonts w:eastAsia="Times New Roman" w:cs="Calibri"/>
                <w:noProof/>
                <w:szCs w:val="18"/>
              </w:rPr>
            </w:pPr>
            <w:r>
              <w:rPr>
                <w:noProof/>
              </w:rPr>
              <w:t>ČTVRTLETÍ</w:t>
            </w:r>
          </w:p>
        </w:tc>
        <w:tc>
          <w:tcPr>
            <w:tcW w:w="662" w:type="dxa"/>
            <w:tcBorders>
              <w:top w:val="single" w:sz="4" w:space="0" w:color="auto"/>
              <w:left w:val="nil"/>
              <w:bottom w:val="single" w:sz="4" w:space="0" w:color="auto"/>
              <w:right w:val="single" w:sz="4" w:space="0" w:color="auto"/>
            </w:tcBorders>
            <w:shd w:val="clear" w:color="auto" w:fill="C6EFCE"/>
            <w:noWrap/>
          </w:tcPr>
          <w:p w14:paraId="34895898" w14:textId="77777777" w:rsidR="00515398" w:rsidRDefault="006711E6">
            <w:pPr>
              <w:pStyle w:val="P68B1DB1-Normal9"/>
              <w:spacing w:after="0" w:line="240" w:lineRule="auto"/>
              <w:rPr>
                <w:rFonts w:eastAsia="Times New Roman" w:cs="Calibri"/>
                <w:noProof/>
                <w:szCs w:val="18"/>
              </w:rPr>
            </w:pPr>
            <w:r>
              <w:rPr>
                <w:noProof/>
              </w:rPr>
              <w:t>2024</w:t>
            </w:r>
          </w:p>
        </w:tc>
        <w:tc>
          <w:tcPr>
            <w:tcW w:w="4305" w:type="dxa"/>
            <w:tcBorders>
              <w:top w:val="single" w:sz="4" w:space="0" w:color="auto"/>
              <w:left w:val="nil"/>
              <w:bottom w:val="single" w:sz="4" w:space="0" w:color="auto"/>
              <w:right w:val="single" w:sz="4" w:space="0" w:color="auto"/>
            </w:tcBorders>
            <w:shd w:val="clear" w:color="auto" w:fill="C6EFCE"/>
            <w:noWrap/>
          </w:tcPr>
          <w:p w14:paraId="14188B9C" w14:textId="27F4AB59" w:rsidR="00515398" w:rsidRDefault="006711E6">
            <w:pPr>
              <w:pStyle w:val="P68B1DB1-Normal9"/>
              <w:spacing w:after="0" w:line="240" w:lineRule="auto"/>
              <w:rPr>
                <w:rFonts w:eastAsia="Times New Roman" w:cs="Calibri"/>
                <w:noProof/>
                <w:szCs w:val="18"/>
              </w:rPr>
            </w:pPr>
            <w:r>
              <w:rPr>
                <w:noProof/>
              </w:rPr>
              <w:t xml:space="preserve">Zveřejnění rozhodnutí o schválení vybraných příjemců s cílem modernizovat infrastrukturu turistických přístavů a zlepšit mimo jiné jejich energetickou účinnost. </w:t>
            </w:r>
          </w:p>
        </w:tc>
      </w:tr>
      <w:tr w:rsidR="00515398" w14:paraId="165EC936"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70F68D46" w14:textId="77777777" w:rsidR="00515398" w:rsidRDefault="006711E6">
            <w:pPr>
              <w:pStyle w:val="P68B1DB1-Normal9"/>
              <w:spacing w:after="0" w:line="240" w:lineRule="auto"/>
              <w:rPr>
                <w:rFonts w:eastAsia="Times New Roman" w:cs="Calibri"/>
                <w:noProof/>
                <w:szCs w:val="18"/>
              </w:rPr>
            </w:pPr>
            <w:r>
              <w:rPr>
                <w:noProof/>
              </w:rPr>
              <w:t>296</w:t>
            </w:r>
          </w:p>
        </w:tc>
        <w:tc>
          <w:tcPr>
            <w:tcW w:w="1489" w:type="dxa"/>
            <w:tcBorders>
              <w:top w:val="single" w:sz="4" w:space="0" w:color="auto"/>
              <w:left w:val="nil"/>
              <w:bottom w:val="single" w:sz="4" w:space="0" w:color="auto"/>
              <w:right w:val="single" w:sz="4" w:space="0" w:color="auto"/>
            </w:tcBorders>
            <w:shd w:val="clear" w:color="auto" w:fill="C6EFCE"/>
            <w:noWrap/>
          </w:tcPr>
          <w:p w14:paraId="3D96B47F"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hospodářských odvětví – </w:t>
            </w:r>
            <w:r>
              <w:rPr>
                <w:noProof/>
              </w:rPr>
              <w:t>16921_Rekvalifikace a prohlubování dovedností v cestovním ruchu</w:t>
            </w:r>
          </w:p>
        </w:tc>
        <w:tc>
          <w:tcPr>
            <w:tcW w:w="1424" w:type="dxa"/>
            <w:tcBorders>
              <w:top w:val="single" w:sz="4" w:space="0" w:color="auto"/>
              <w:left w:val="nil"/>
              <w:bottom w:val="single" w:sz="4" w:space="0" w:color="auto"/>
              <w:right w:val="single" w:sz="4" w:space="0" w:color="auto"/>
            </w:tcBorders>
            <w:shd w:val="clear" w:color="auto" w:fill="C6EFCE"/>
            <w:noWrap/>
          </w:tcPr>
          <w:p w14:paraId="59974A52" w14:textId="77777777" w:rsidR="00515398" w:rsidRDefault="006711E6">
            <w:pPr>
              <w:pStyle w:val="P68B1DB1-Normal9"/>
              <w:spacing w:after="0" w:line="240" w:lineRule="auto"/>
              <w:rPr>
                <w:rFonts w:eastAsia="Times New Roman" w:cs="Calibri"/>
                <w:noProof/>
                <w:szCs w:val="18"/>
              </w:rPr>
            </w:pPr>
            <w:r>
              <w:rPr>
                <w:noProof/>
              </w:rPr>
              <w:t>Cílová</w:t>
            </w:r>
          </w:p>
        </w:tc>
        <w:tc>
          <w:tcPr>
            <w:tcW w:w="1274" w:type="dxa"/>
            <w:tcBorders>
              <w:top w:val="single" w:sz="4" w:space="0" w:color="auto"/>
              <w:left w:val="nil"/>
              <w:bottom w:val="single" w:sz="4" w:space="0" w:color="auto"/>
              <w:right w:val="single" w:sz="4" w:space="0" w:color="auto"/>
            </w:tcBorders>
            <w:shd w:val="clear" w:color="auto" w:fill="C6EFCE"/>
            <w:noWrap/>
          </w:tcPr>
          <w:p w14:paraId="1C0B11FE" w14:textId="77777777" w:rsidR="00515398" w:rsidRDefault="006711E6">
            <w:pPr>
              <w:pStyle w:val="P68B1DB1-Normal9"/>
              <w:spacing w:after="0" w:line="240" w:lineRule="auto"/>
              <w:rPr>
                <w:rFonts w:eastAsia="Times New Roman" w:cs="Calibri"/>
                <w:noProof/>
                <w:szCs w:val="18"/>
              </w:rPr>
            </w:pPr>
            <w:r>
              <w:rPr>
                <w:noProof/>
              </w:rPr>
              <w:t>Rekvalifikace a prohlubování dovedností v cestovním ruchu (dokončení)</w:t>
            </w:r>
          </w:p>
        </w:tc>
        <w:tc>
          <w:tcPr>
            <w:tcW w:w="1741" w:type="dxa"/>
            <w:tcBorders>
              <w:top w:val="single" w:sz="4" w:space="0" w:color="auto"/>
              <w:left w:val="nil"/>
              <w:bottom w:val="single" w:sz="4" w:space="0" w:color="auto"/>
              <w:right w:val="single" w:sz="4" w:space="0" w:color="auto"/>
            </w:tcBorders>
            <w:shd w:val="clear" w:color="auto" w:fill="C6EFCE"/>
            <w:noWrap/>
          </w:tcPr>
          <w:p w14:paraId="6FBE0DD2" w14:textId="77777777" w:rsidR="00515398" w:rsidRDefault="00515398">
            <w:pPr>
              <w:spacing w:after="0" w:line="240" w:lineRule="auto"/>
              <w:rPr>
                <w:rFonts w:eastAsia="Times New Roman" w:cs="Calibri"/>
                <w:noProof/>
                <w:color w:val="006100"/>
                <w:sz w:val="18"/>
                <w:szCs w:val="18"/>
              </w:rPr>
            </w:pPr>
          </w:p>
        </w:tc>
        <w:tc>
          <w:tcPr>
            <w:tcW w:w="1741" w:type="dxa"/>
            <w:tcBorders>
              <w:top w:val="single" w:sz="4" w:space="0" w:color="auto"/>
              <w:left w:val="nil"/>
              <w:bottom w:val="single" w:sz="4" w:space="0" w:color="auto"/>
              <w:right w:val="single" w:sz="4" w:space="0" w:color="auto"/>
            </w:tcBorders>
            <w:shd w:val="clear" w:color="auto" w:fill="C6EFCE"/>
            <w:noWrap/>
          </w:tcPr>
          <w:p w14:paraId="6925153E" w14:textId="77777777" w:rsidR="00515398" w:rsidRDefault="006711E6">
            <w:pPr>
              <w:pStyle w:val="P68B1DB1-Normal9"/>
              <w:spacing w:after="0" w:line="240" w:lineRule="auto"/>
              <w:rPr>
                <w:rFonts w:eastAsia="Times New Roman" w:cs="Calibri"/>
                <w:noProof/>
                <w:szCs w:val="18"/>
              </w:rPr>
            </w:pPr>
            <w:r>
              <w:rPr>
                <w:noProof/>
              </w:rPr>
              <w:t>Počet účastníků, kteří úspěšně absolvovali školení</w:t>
            </w:r>
          </w:p>
        </w:tc>
        <w:tc>
          <w:tcPr>
            <w:tcW w:w="857" w:type="dxa"/>
            <w:tcBorders>
              <w:top w:val="single" w:sz="4" w:space="0" w:color="auto"/>
              <w:left w:val="nil"/>
              <w:bottom w:val="single" w:sz="4" w:space="0" w:color="auto"/>
              <w:right w:val="single" w:sz="4" w:space="0" w:color="auto"/>
            </w:tcBorders>
            <w:shd w:val="clear" w:color="auto" w:fill="C6EFCE"/>
            <w:noWrap/>
          </w:tcPr>
          <w:p w14:paraId="4EACD15A" w14:textId="77777777" w:rsidR="00515398" w:rsidRDefault="006711E6">
            <w:pPr>
              <w:pStyle w:val="P68B1DB1-Normal9"/>
              <w:spacing w:after="0" w:line="240" w:lineRule="auto"/>
              <w:rPr>
                <w:rFonts w:eastAsia="Times New Roman" w:cs="Calibri"/>
                <w:noProof/>
                <w:szCs w:val="18"/>
              </w:rPr>
            </w:pPr>
            <w:r>
              <w:rPr>
                <w:noProof/>
              </w:rPr>
              <w:t>0</w:t>
            </w:r>
          </w:p>
        </w:tc>
        <w:tc>
          <w:tcPr>
            <w:tcW w:w="713" w:type="dxa"/>
            <w:tcBorders>
              <w:top w:val="single" w:sz="4" w:space="0" w:color="auto"/>
              <w:left w:val="nil"/>
              <w:bottom w:val="single" w:sz="4" w:space="0" w:color="auto"/>
              <w:right w:val="single" w:sz="4" w:space="0" w:color="auto"/>
            </w:tcBorders>
            <w:shd w:val="clear" w:color="auto" w:fill="C6EFCE"/>
            <w:noWrap/>
          </w:tcPr>
          <w:p w14:paraId="56E83DC4" w14:textId="77777777" w:rsidR="00515398" w:rsidRDefault="006711E6">
            <w:pPr>
              <w:pStyle w:val="P68B1DB1-Normal9"/>
              <w:spacing w:after="0" w:line="240" w:lineRule="auto"/>
              <w:rPr>
                <w:rFonts w:eastAsia="Times New Roman" w:cs="Calibri"/>
                <w:noProof/>
                <w:szCs w:val="18"/>
              </w:rPr>
            </w:pPr>
            <w:r>
              <w:rPr>
                <w:noProof/>
              </w:rPr>
              <w:t>18 000</w:t>
            </w:r>
          </w:p>
        </w:tc>
        <w:tc>
          <w:tcPr>
            <w:tcW w:w="986" w:type="dxa"/>
            <w:tcBorders>
              <w:top w:val="single" w:sz="4" w:space="0" w:color="auto"/>
              <w:left w:val="nil"/>
              <w:bottom w:val="single" w:sz="4" w:space="0" w:color="auto"/>
              <w:right w:val="single" w:sz="4" w:space="0" w:color="auto"/>
            </w:tcBorders>
            <w:shd w:val="clear" w:color="auto" w:fill="C6EFCE"/>
            <w:noWrap/>
          </w:tcPr>
          <w:p w14:paraId="26965A67"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62" w:type="dxa"/>
            <w:tcBorders>
              <w:top w:val="single" w:sz="4" w:space="0" w:color="auto"/>
              <w:left w:val="nil"/>
              <w:bottom w:val="single" w:sz="4" w:space="0" w:color="auto"/>
              <w:right w:val="single" w:sz="4" w:space="0" w:color="auto"/>
            </w:tcBorders>
            <w:shd w:val="clear" w:color="auto" w:fill="C6EFCE"/>
            <w:noWrap/>
          </w:tcPr>
          <w:p w14:paraId="7116DEDB" w14:textId="77777777" w:rsidR="00515398" w:rsidRDefault="006711E6">
            <w:pPr>
              <w:pStyle w:val="P68B1DB1-Normal9"/>
              <w:spacing w:after="0" w:line="240" w:lineRule="auto"/>
              <w:rPr>
                <w:rFonts w:eastAsia="Times New Roman" w:cs="Calibri"/>
                <w:noProof/>
                <w:szCs w:val="18"/>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157075AA" w14:textId="77777777" w:rsidR="00515398" w:rsidRDefault="006711E6">
            <w:pPr>
              <w:pStyle w:val="P68B1DB1-Normal9"/>
              <w:spacing w:after="0" w:line="240" w:lineRule="auto"/>
              <w:rPr>
                <w:rFonts w:eastAsia="Times New Roman" w:cs="Calibri"/>
                <w:noProof/>
                <w:szCs w:val="18"/>
              </w:rPr>
            </w:pPr>
            <w:r>
              <w:rPr>
                <w:noProof/>
              </w:rPr>
              <w:t xml:space="preserve">Zvyšování kvalifikace a </w:t>
            </w:r>
            <w:r>
              <w:rPr>
                <w:noProof/>
              </w:rPr>
              <w:t>rekvalifikace v cestovním ruchu: Dokončení školení doložené zprávou o dokončení s podrobnou statistickou přílohou dokončených kurzů a úspěšných absolvování podle poskytovatele a kvalifikace.</w:t>
            </w:r>
          </w:p>
        </w:tc>
      </w:tr>
      <w:tr w:rsidR="00515398" w14:paraId="7BF12D83"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4D59D6E9" w14:textId="77777777" w:rsidR="00515398" w:rsidRDefault="006711E6">
            <w:pPr>
              <w:pStyle w:val="P68B1DB1-Normal9"/>
              <w:spacing w:after="0" w:line="240" w:lineRule="auto"/>
              <w:rPr>
                <w:rFonts w:eastAsia="Times New Roman" w:cs="Calibri"/>
                <w:noProof/>
                <w:szCs w:val="18"/>
              </w:rPr>
            </w:pPr>
            <w:r>
              <w:rPr>
                <w:noProof/>
              </w:rPr>
              <w:t>297</w:t>
            </w:r>
          </w:p>
        </w:tc>
        <w:tc>
          <w:tcPr>
            <w:tcW w:w="1489" w:type="dxa"/>
            <w:tcBorders>
              <w:top w:val="single" w:sz="4" w:space="0" w:color="auto"/>
              <w:left w:val="nil"/>
              <w:bottom w:val="single" w:sz="4" w:space="0" w:color="auto"/>
              <w:right w:val="single" w:sz="4" w:space="0" w:color="auto"/>
            </w:tcBorders>
            <w:shd w:val="clear" w:color="auto" w:fill="C6EFCE"/>
            <w:noWrap/>
          </w:tcPr>
          <w:p w14:paraId="0A968EA0" w14:textId="77777777" w:rsidR="00515398" w:rsidRDefault="006711E6">
            <w:pPr>
              <w:pStyle w:val="P68B1DB1-Normal9"/>
              <w:spacing w:after="0" w:line="240" w:lineRule="auto"/>
              <w:rPr>
                <w:rFonts w:eastAsia="Times New Roman" w:cs="Calibri"/>
                <w:noProof/>
                <w:szCs w:val="18"/>
              </w:rPr>
            </w:pPr>
            <w:r>
              <w:rPr>
                <w:noProof/>
              </w:rPr>
              <w:t xml:space="preserve">17–4.6. Modernizace a zlepšení odolnosti klíčových </w:t>
            </w:r>
            <w:r>
              <w:rPr>
                <w:noProof/>
              </w:rPr>
              <w:t>hospodářských odvětví – 16931_Rozvoj cestovního ruchu</w:t>
            </w:r>
          </w:p>
        </w:tc>
        <w:tc>
          <w:tcPr>
            <w:tcW w:w="1424" w:type="dxa"/>
            <w:tcBorders>
              <w:top w:val="single" w:sz="4" w:space="0" w:color="auto"/>
              <w:left w:val="nil"/>
              <w:bottom w:val="single" w:sz="4" w:space="0" w:color="auto"/>
              <w:right w:val="single" w:sz="4" w:space="0" w:color="auto"/>
            </w:tcBorders>
            <w:shd w:val="clear" w:color="auto" w:fill="C6EFCE"/>
            <w:noWrap/>
          </w:tcPr>
          <w:p w14:paraId="4CEA4BC4" w14:textId="77777777" w:rsidR="00515398" w:rsidRDefault="006711E6">
            <w:pPr>
              <w:pStyle w:val="P68B1DB1-Normal9"/>
              <w:spacing w:after="0" w:line="240" w:lineRule="auto"/>
              <w:rPr>
                <w:rFonts w:eastAsia="Times New Roman" w:cs="Calibri"/>
                <w:noProof/>
                <w:szCs w:val="18"/>
              </w:rPr>
            </w:pPr>
            <w:r>
              <w:rPr>
                <w:noProof/>
              </w:rPr>
              <w:t>Milník</w:t>
            </w:r>
          </w:p>
        </w:tc>
        <w:tc>
          <w:tcPr>
            <w:tcW w:w="1274" w:type="dxa"/>
            <w:tcBorders>
              <w:top w:val="single" w:sz="4" w:space="0" w:color="auto"/>
              <w:left w:val="nil"/>
              <w:bottom w:val="single" w:sz="4" w:space="0" w:color="auto"/>
              <w:right w:val="single" w:sz="4" w:space="0" w:color="auto"/>
            </w:tcBorders>
            <w:shd w:val="clear" w:color="auto" w:fill="C6EFCE"/>
            <w:noWrap/>
          </w:tcPr>
          <w:p w14:paraId="53698E85" w14:textId="77777777" w:rsidR="00515398" w:rsidRDefault="006711E6">
            <w:pPr>
              <w:pStyle w:val="P68B1DB1-Normal9"/>
              <w:spacing w:after="0" w:line="240" w:lineRule="auto"/>
              <w:rPr>
                <w:rFonts w:eastAsia="Times New Roman" w:cs="Calibri"/>
                <w:noProof/>
                <w:szCs w:val="18"/>
              </w:rPr>
            </w:pPr>
            <w:r>
              <w:rPr>
                <w:noProof/>
              </w:rPr>
              <w:t>Dokončení projektu rozvoje cestovního ruchu</w:t>
            </w:r>
          </w:p>
        </w:tc>
        <w:tc>
          <w:tcPr>
            <w:tcW w:w="1741" w:type="dxa"/>
            <w:tcBorders>
              <w:top w:val="single" w:sz="4" w:space="0" w:color="auto"/>
              <w:left w:val="nil"/>
              <w:bottom w:val="single" w:sz="4" w:space="0" w:color="auto"/>
              <w:right w:val="single" w:sz="4" w:space="0" w:color="auto"/>
            </w:tcBorders>
            <w:shd w:val="clear" w:color="auto" w:fill="C6EFCE"/>
            <w:noWrap/>
          </w:tcPr>
          <w:p w14:paraId="32FD03B6" w14:textId="469E4BB3" w:rsidR="00515398" w:rsidRDefault="006711E6">
            <w:pPr>
              <w:pStyle w:val="P68B1DB1-Normal9"/>
              <w:spacing w:after="0" w:line="240" w:lineRule="auto"/>
              <w:rPr>
                <w:rFonts w:eastAsia="Times New Roman" w:cs="Calibri"/>
                <w:noProof/>
                <w:szCs w:val="18"/>
              </w:rPr>
            </w:pPr>
            <w:r>
              <w:rPr>
                <w:noProof/>
              </w:rPr>
              <w:t>Dokončení investic</w:t>
            </w:r>
          </w:p>
        </w:tc>
        <w:tc>
          <w:tcPr>
            <w:tcW w:w="1741" w:type="dxa"/>
            <w:tcBorders>
              <w:top w:val="single" w:sz="4" w:space="0" w:color="auto"/>
              <w:left w:val="nil"/>
              <w:bottom w:val="single" w:sz="4" w:space="0" w:color="auto"/>
              <w:right w:val="single" w:sz="4" w:space="0" w:color="auto"/>
            </w:tcBorders>
            <w:shd w:val="clear" w:color="auto" w:fill="C6EFCE"/>
            <w:noWrap/>
          </w:tcPr>
          <w:p w14:paraId="2F8428A5"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7C181F60" w14:textId="77777777" w:rsidR="00515398" w:rsidRDefault="00515398">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4478931F" w14:textId="77777777" w:rsidR="00515398" w:rsidRDefault="00515398">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60B0DFC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662" w:type="dxa"/>
            <w:tcBorders>
              <w:top w:val="single" w:sz="4" w:space="0" w:color="auto"/>
              <w:left w:val="nil"/>
              <w:bottom w:val="single" w:sz="4" w:space="0" w:color="auto"/>
              <w:right w:val="single" w:sz="4" w:space="0" w:color="auto"/>
            </w:tcBorders>
            <w:shd w:val="clear" w:color="auto" w:fill="C6EFCE"/>
            <w:noWrap/>
          </w:tcPr>
          <w:p w14:paraId="7C86CFFA" w14:textId="77777777" w:rsidR="00515398" w:rsidRDefault="006711E6">
            <w:pPr>
              <w:pStyle w:val="P68B1DB1-Normal9"/>
              <w:spacing w:after="0" w:line="240" w:lineRule="auto"/>
              <w:rPr>
                <w:rFonts w:eastAsia="Times New Roman" w:cs="Calibri"/>
                <w:noProof/>
                <w:szCs w:val="18"/>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5AE5AA79" w14:textId="77777777" w:rsidR="00515398" w:rsidRDefault="006711E6">
            <w:pPr>
              <w:pStyle w:val="P68B1DB1-Normal9"/>
              <w:spacing w:after="0" w:line="240" w:lineRule="auto"/>
              <w:rPr>
                <w:rFonts w:eastAsia="Times New Roman" w:cs="Calibri"/>
                <w:noProof/>
                <w:szCs w:val="18"/>
              </w:rPr>
            </w:pPr>
            <w:r>
              <w:rPr>
                <w:noProof/>
              </w:rPr>
              <w:t xml:space="preserve">Rozvoj cestovního ruchu: </w:t>
            </w:r>
          </w:p>
          <w:p w14:paraId="37C9B927" w14:textId="77777777" w:rsidR="00515398" w:rsidRDefault="006711E6">
            <w:pPr>
              <w:pStyle w:val="P68B1DB1-Normal9"/>
              <w:spacing w:after="0" w:line="240" w:lineRule="auto"/>
              <w:rPr>
                <w:rFonts w:eastAsia="Times New Roman" w:cs="Calibri"/>
                <w:noProof/>
                <w:szCs w:val="18"/>
              </w:rPr>
            </w:pPr>
            <w:r>
              <w:rPr>
                <w:noProof/>
              </w:rPr>
              <w:t xml:space="preserve">(1a) Dokončení konkrétních modernizačních prací v turistických přístavech s cílem </w:t>
            </w:r>
            <w:r>
              <w:rPr>
                <w:noProof/>
              </w:rPr>
              <w:t>podpořit cestovní ruch a soukromé investice.</w:t>
            </w:r>
          </w:p>
          <w:p w14:paraId="50D0D4CC" w14:textId="41CAEF17" w:rsidR="00515398" w:rsidRDefault="006711E6">
            <w:pPr>
              <w:spacing w:after="0" w:line="240" w:lineRule="auto"/>
              <w:rPr>
                <w:rFonts w:eastAsia="Times New Roman" w:cs="Calibri"/>
                <w:noProof/>
                <w:color w:val="006100"/>
                <w:sz w:val="18"/>
                <w:szCs w:val="18"/>
              </w:rPr>
            </w:pPr>
            <w:r>
              <w:rPr>
                <w:noProof/>
                <w:color w:val="006100"/>
                <w:sz w:val="18"/>
              </w:rPr>
              <w:t>(1b) Dokončení dalších intervencí v oblasti cestovního ruchu</w:t>
            </w:r>
            <w:r>
              <w:rPr>
                <w:rFonts w:ascii="Times New Roman" w:hAnsi="Times New Roman"/>
                <w:noProof/>
                <w:sz w:val="24"/>
              </w:rPr>
              <w:t xml:space="preserve"> </w:t>
            </w:r>
            <w:r>
              <w:rPr>
                <w:noProof/>
                <w:color w:val="006100"/>
                <w:sz w:val="18"/>
              </w:rPr>
              <w:t>na podporu alternativních forem cestovního ruchu a prodloužení sezóny, včetně:</w:t>
            </w:r>
          </w:p>
          <w:p w14:paraId="768088D2" w14:textId="0534BFA9" w:rsidR="00515398" w:rsidRDefault="006711E6">
            <w:pPr>
              <w:pStyle w:val="P68B1DB1-Normal35"/>
              <w:spacing w:before="120" w:after="0" w:line="240" w:lineRule="auto"/>
              <w:rPr>
                <w:rFonts w:eastAsia="Times New Roman" w:cs="Calibri"/>
                <w:noProof/>
                <w:color w:val="006100"/>
                <w:szCs w:val="18"/>
              </w:rPr>
            </w:pPr>
            <w:r>
              <w:rPr>
                <w:noProof/>
                <w:color w:val="006100"/>
              </w:rPr>
              <w:t>Zelený rozvoj: vytvoření místních úřadů pro správu místa určení a střed</w:t>
            </w:r>
            <w:r>
              <w:rPr>
                <w:noProof/>
                <w:color w:val="006100"/>
              </w:rPr>
              <w:t>isek pro sledování udržitelného cestovního ruchu; rozvoj horského cestovního ruchu zahrnující energeticky účinné renovace veřejné a soukromé infrastruktury/vybavení a/nebo instalaci nových kapacit obnovitelných zdrojů energie; cestovní ruch v oblasti zdrav</w:t>
            </w:r>
            <w:r>
              <w:rPr>
                <w:noProof/>
                <w:color w:val="006100"/>
              </w:rPr>
              <w:t>í a wellness prostřednictvím využití tepelného jara; podpora agroturistiky a gastronomie.</w:t>
            </w:r>
          </w:p>
          <w:p w14:paraId="3C0DE403" w14:textId="53A95DCE" w:rsidR="00515398" w:rsidRDefault="006711E6">
            <w:pPr>
              <w:pStyle w:val="P68B1DB1-Normal9"/>
              <w:spacing w:after="0" w:line="240" w:lineRule="auto"/>
              <w:rPr>
                <w:rFonts w:eastAsia="Times New Roman" w:cs="Calibri"/>
                <w:noProof/>
                <w:szCs w:val="18"/>
              </w:rPr>
            </w:pPr>
            <w:r>
              <w:rPr>
                <w:noProof/>
              </w:rPr>
              <w:t>Modrý rozvoj: modernizovat intervence s cílem zlepšit infrastrukturu a služby nabízené v přístavech, dostupnost pláží pro starší osoby a osoby se zdravotním postižení</w:t>
            </w:r>
            <w:r>
              <w:rPr>
                <w:noProof/>
              </w:rPr>
              <w:t>m a podpořit rozvoj potápěčského a podmořského cestovního ruchu.</w:t>
            </w:r>
          </w:p>
        </w:tc>
      </w:tr>
      <w:tr w:rsidR="00515398" w14:paraId="6C10F16A" w14:textId="77777777">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14:paraId="6E6C0667" w14:textId="77777777" w:rsidR="00515398" w:rsidRDefault="006711E6">
            <w:pPr>
              <w:pStyle w:val="P68B1DB1-Normal9"/>
              <w:spacing w:after="0" w:line="240" w:lineRule="auto"/>
              <w:rPr>
                <w:rFonts w:eastAsia="Times New Roman" w:cs="Calibri"/>
                <w:noProof/>
                <w:szCs w:val="18"/>
              </w:rPr>
            </w:pPr>
            <w:r>
              <w:rPr>
                <w:noProof/>
              </w:rPr>
              <w:t>298</w:t>
            </w:r>
          </w:p>
        </w:tc>
        <w:tc>
          <w:tcPr>
            <w:tcW w:w="1489" w:type="dxa"/>
            <w:tcBorders>
              <w:top w:val="single" w:sz="4" w:space="0" w:color="auto"/>
              <w:left w:val="nil"/>
              <w:bottom w:val="single" w:sz="4" w:space="0" w:color="auto"/>
              <w:right w:val="single" w:sz="4" w:space="0" w:color="auto"/>
            </w:tcBorders>
            <w:shd w:val="clear" w:color="auto" w:fill="C6EFCE"/>
            <w:noWrap/>
          </w:tcPr>
          <w:p w14:paraId="413E9B86"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16975_Zlepšovací intervence pro regionální přístavy</w:t>
            </w:r>
          </w:p>
        </w:tc>
        <w:tc>
          <w:tcPr>
            <w:tcW w:w="1424" w:type="dxa"/>
            <w:tcBorders>
              <w:top w:val="single" w:sz="4" w:space="0" w:color="auto"/>
              <w:left w:val="nil"/>
              <w:bottom w:val="single" w:sz="4" w:space="0" w:color="auto"/>
              <w:right w:val="single" w:sz="4" w:space="0" w:color="auto"/>
            </w:tcBorders>
            <w:shd w:val="clear" w:color="auto" w:fill="C6EFCE"/>
            <w:noWrap/>
          </w:tcPr>
          <w:p w14:paraId="19E13222" w14:textId="23809682" w:rsidR="00515398" w:rsidRDefault="006711E6">
            <w:pPr>
              <w:pStyle w:val="P68B1DB1-Normal10"/>
              <w:spacing w:after="0" w:line="240" w:lineRule="auto"/>
              <w:rPr>
                <w:rFonts w:eastAsia="Times New Roman" w:cs="Calibri"/>
                <w:noProof/>
              </w:rPr>
            </w:pPr>
            <w:r>
              <w:rPr>
                <w:noProof/>
              </w:rPr>
              <w:t>Milník</w:t>
            </w:r>
          </w:p>
        </w:tc>
        <w:tc>
          <w:tcPr>
            <w:tcW w:w="1274" w:type="dxa"/>
            <w:tcBorders>
              <w:top w:val="single" w:sz="4" w:space="0" w:color="auto"/>
              <w:left w:val="nil"/>
              <w:bottom w:val="single" w:sz="4" w:space="0" w:color="auto"/>
              <w:right w:val="single" w:sz="4" w:space="0" w:color="auto"/>
            </w:tcBorders>
            <w:shd w:val="clear" w:color="auto" w:fill="C6EFCE"/>
            <w:noWrap/>
          </w:tcPr>
          <w:p w14:paraId="6F4CFCA5" w14:textId="77777777" w:rsidR="00515398" w:rsidRDefault="006711E6">
            <w:pPr>
              <w:pStyle w:val="P68B1DB1-Normal9"/>
              <w:spacing w:after="0" w:line="240" w:lineRule="auto"/>
              <w:rPr>
                <w:rFonts w:eastAsia="Times New Roman" w:cs="Calibri"/>
                <w:noProof/>
                <w:szCs w:val="18"/>
              </w:rPr>
            </w:pPr>
            <w:r>
              <w:rPr>
                <w:noProof/>
              </w:rPr>
              <w:t>Modernizace regionálních přístavů</w:t>
            </w:r>
          </w:p>
        </w:tc>
        <w:tc>
          <w:tcPr>
            <w:tcW w:w="1741" w:type="dxa"/>
            <w:tcBorders>
              <w:top w:val="single" w:sz="4" w:space="0" w:color="auto"/>
              <w:left w:val="nil"/>
              <w:bottom w:val="single" w:sz="4" w:space="0" w:color="auto"/>
              <w:right w:val="single" w:sz="4" w:space="0" w:color="auto"/>
            </w:tcBorders>
            <w:shd w:val="clear" w:color="auto" w:fill="C6EFCE"/>
            <w:noWrap/>
          </w:tcPr>
          <w:p w14:paraId="77852BEA" w14:textId="43C4CAD7" w:rsidR="00515398" w:rsidRDefault="006711E6">
            <w:pPr>
              <w:pStyle w:val="P68B1DB1-Normal30"/>
              <w:spacing w:after="0" w:line="240" w:lineRule="auto"/>
              <w:rPr>
                <w:noProof/>
              </w:rPr>
            </w:pPr>
            <w:r>
              <w:rPr>
                <w:noProof/>
              </w:rPr>
              <w:t xml:space="preserve">Dokončení </w:t>
            </w:r>
            <w:r>
              <w:rPr>
                <w:noProof/>
              </w:rPr>
              <w:t>modernizace regionálních přístavů</w:t>
            </w:r>
          </w:p>
        </w:tc>
        <w:tc>
          <w:tcPr>
            <w:tcW w:w="1741" w:type="dxa"/>
            <w:tcBorders>
              <w:top w:val="single" w:sz="4" w:space="0" w:color="auto"/>
              <w:left w:val="nil"/>
              <w:bottom w:val="single" w:sz="4" w:space="0" w:color="auto"/>
              <w:right w:val="single" w:sz="4" w:space="0" w:color="auto"/>
            </w:tcBorders>
            <w:shd w:val="clear" w:color="auto" w:fill="C6EFCE"/>
            <w:noWrap/>
          </w:tcPr>
          <w:p w14:paraId="4AF2B874" w14:textId="4734A8AB"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C9B0B23" w14:textId="4A3775F9" w:rsidR="00515398" w:rsidRDefault="00515398">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4307251E" w14:textId="4CB5A0BB" w:rsidR="00515398" w:rsidRDefault="00515398">
            <w:pPr>
              <w:spacing w:after="0" w:line="240" w:lineRule="auto"/>
              <w:rPr>
                <w:rFonts w:eastAsia="Times New Roman" w:cs="Calibri"/>
                <w:noProof/>
                <w:color w:val="006100"/>
                <w:sz w:val="18"/>
                <w:szCs w:val="18"/>
              </w:rPr>
            </w:pPr>
          </w:p>
        </w:tc>
        <w:tc>
          <w:tcPr>
            <w:tcW w:w="986" w:type="dxa"/>
            <w:tcBorders>
              <w:top w:val="single" w:sz="4" w:space="0" w:color="auto"/>
              <w:left w:val="nil"/>
              <w:bottom w:val="single" w:sz="4" w:space="0" w:color="auto"/>
              <w:right w:val="single" w:sz="4" w:space="0" w:color="auto"/>
            </w:tcBorders>
            <w:shd w:val="clear" w:color="auto" w:fill="C6EFCE"/>
            <w:noWrap/>
          </w:tcPr>
          <w:p w14:paraId="0427BCDB" w14:textId="77777777" w:rsidR="00515398" w:rsidRDefault="006711E6">
            <w:pPr>
              <w:pStyle w:val="P68B1DB1-Normal10"/>
              <w:spacing w:after="0" w:line="240" w:lineRule="auto"/>
              <w:rPr>
                <w:rFonts w:eastAsia="Times New Roman" w:cs="Calibri"/>
                <w:noProof/>
              </w:rPr>
            </w:pPr>
            <w:r>
              <w:rPr>
                <w:noProof/>
              </w:rPr>
              <w:t>ČTVRTLETÍ ČTVRT</w:t>
            </w:r>
          </w:p>
        </w:tc>
        <w:tc>
          <w:tcPr>
            <w:tcW w:w="662" w:type="dxa"/>
            <w:tcBorders>
              <w:top w:val="single" w:sz="4" w:space="0" w:color="auto"/>
              <w:left w:val="nil"/>
              <w:bottom w:val="single" w:sz="4" w:space="0" w:color="auto"/>
              <w:right w:val="single" w:sz="4" w:space="0" w:color="auto"/>
            </w:tcBorders>
            <w:shd w:val="clear" w:color="auto" w:fill="C6EFCE"/>
            <w:noWrap/>
          </w:tcPr>
          <w:p w14:paraId="0384BF94" w14:textId="77777777" w:rsidR="00515398" w:rsidRDefault="006711E6">
            <w:pPr>
              <w:pStyle w:val="P68B1DB1-Normal10"/>
              <w:spacing w:after="0" w:line="240" w:lineRule="auto"/>
              <w:rPr>
                <w:rFonts w:eastAsia="Times New Roman" w:cs="Calibri"/>
                <w:noProof/>
              </w:rPr>
            </w:pPr>
            <w:r>
              <w:rPr>
                <w:noProof/>
              </w:rPr>
              <w:t>2025</w:t>
            </w:r>
          </w:p>
        </w:tc>
        <w:tc>
          <w:tcPr>
            <w:tcW w:w="4305" w:type="dxa"/>
            <w:tcBorders>
              <w:top w:val="single" w:sz="4" w:space="0" w:color="auto"/>
              <w:left w:val="nil"/>
              <w:bottom w:val="single" w:sz="4" w:space="0" w:color="auto"/>
              <w:right w:val="single" w:sz="4" w:space="0" w:color="auto"/>
            </w:tcBorders>
            <w:shd w:val="clear" w:color="auto" w:fill="C6EFCE"/>
            <w:noWrap/>
          </w:tcPr>
          <w:p w14:paraId="16B65614" w14:textId="24AC808F" w:rsidR="00515398" w:rsidRDefault="006711E6">
            <w:pPr>
              <w:pStyle w:val="P68B1DB1-Normal10"/>
              <w:spacing w:after="0" w:line="240" w:lineRule="auto"/>
              <w:rPr>
                <w:rFonts w:eastAsia="Times New Roman" w:cs="Calibri"/>
                <w:noProof/>
              </w:rPr>
            </w:pPr>
            <w:r>
              <w:rPr>
                <w:noProof/>
              </w:rPr>
              <w:t>Dokončení třinácti modernizací regionálních přístavů.</w:t>
            </w:r>
          </w:p>
        </w:tc>
      </w:tr>
    </w:tbl>
    <w:p w14:paraId="610A5988" w14:textId="77777777" w:rsidR="00515398" w:rsidRDefault="00515398">
      <w:pPr>
        <w:spacing w:before="120" w:after="0" w:line="240" w:lineRule="auto"/>
        <w:jc w:val="both"/>
        <w:rPr>
          <w:rFonts w:ascii="Times New Roman" w:hAnsi="Times New Roman" w:cs="Times New Roman"/>
          <w:noProof/>
          <w:sz w:val="24"/>
        </w:rPr>
      </w:pPr>
    </w:p>
    <w:p w14:paraId="18E0E5F4" w14:textId="77777777" w:rsidR="00515398" w:rsidRDefault="00515398">
      <w:pPr>
        <w:keepNext/>
        <w:keepLines/>
        <w:spacing w:before="40" w:after="0" w:line="240" w:lineRule="auto"/>
        <w:jc w:val="both"/>
        <w:outlineLvl w:val="4"/>
        <w:rPr>
          <w:rFonts w:ascii="Cambria" w:hAnsi="Cambria"/>
          <w:noProof/>
          <w:color w:val="365F91"/>
          <w:sz w:val="24"/>
        </w:rPr>
        <w:sectPr w:rsidR="00515398" w:rsidSect="00271D33">
          <w:headerReference w:type="even" r:id="rId283"/>
          <w:headerReference w:type="default" r:id="rId284"/>
          <w:footerReference w:type="even" r:id="rId285"/>
          <w:footerReference w:type="default" r:id="rId286"/>
          <w:headerReference w:type="first" r:id="rId287"/>
          <w:footerReference w:type="first" r:id="rId288"/>
          <w:pgSz w:w="16839" w:h="11907" w:orient="landscape"/>
          <w:pgMar w:top="720" w:right="720" w:bottom="720" w:left="720" w:header="709" w:footer="217" w:gutter="0"/>
          <w:cols w:space="720"/>
          <w:docGrid w:linePitch="360"/>
        </w:sectPr>
      </w:pPr>
    </w:p>
    <w:p w14:paraId="06E28AB3"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27: Průmysl a investice</w:t>
      </w:r>
    </w:p>
    <w:p w14:paraId="3BEFAC53" w14:textId="77777777" w:rsidR="00515398" w:rsidRDefault="006711E6">
      <w:pPr>
        <w:pStyle w:val="P68B1DB1-Normal4"/>
        <w:numPr>
          <w:ilvl w:val="0"/>
          <w:numId w:val="30"/>
        </w:numPr>
        <w:spacing w:before="120" w:after="0" w:line="240" w:lineRule="auto"/>
        <w:jc w:val="both"/>
        <w:rPr>
          <w:rFonts w:cs="Times New Roman"/>
          <w:noProof/>
        </w:rPr>
      </w:pPr>
      <w:r>
        <w:rPr>
          <w:noProof/>
        </w:rPr>
        <w:t xml:space="preserve">Změna právního rámce pro přilákání strategických </w:t>
      </w:r>
      <w:r>
        <w:rPr>
          <w:noProof/>
        </w:rPr>
        <w:t>investic (ID: 16593)</w:t>
      </w:r>
    </w:p>
    <w:p w14:paraId="09AD2F96" w14:textId="77777777" w:rsidR="00515398" w:rsidRDefault="006711E6">
      <w:pPr>
        <w:pStyle w:val="P68B1DB1-Normal4"/>
        <w:numPr>
          <w:ilvl w:val="0"/>
          <w:numId w:val="30"/>
        </w:numPr>
        <w:spacing w:before="120" w:after="0" w:line="240" w:lineRule="auto"/>
        <w:jc w:val="both"/>
        <w:rPr>
          <w:rFonts w:cs="Times New Roman"/>
          <w:noProof/>
        </w:rPr>
      </w:pPr>
      <w:r>
        <w:rPr>
          <w:noProof/>
        </w:rPr>
        <w:t>Nové průmyslové parky (ID: 16634)</w:t>
      </w:r>
    </w:p>
    <w:p w14:paraId="54074876" w14:textId="77777777" w:rsidR="00515398" w:rsidRDefault="006711E6">
      <w:pPr>
        <w:pStyle w:val="P68B1DB1-Normal4"/>
        <w:numPr>
          <w:ilvl w:val="0"/>
          <w:numId w:val="30"/>
        </w:numPr>
        <w:spacing w:before="120" w:after="120" w:line="240" w:lineRule="auto"/>
        <w:jc w:val="both"/>
        <w:rPr>
          <w:rFonts w:cs="Times New Roman"/>
          <w:noProof/>
        </w:rPr>
      </w:pPr>
      <w:r>
        <w:rPr>
          <w:noProof/>
        </w:rPr>
        <w:t>Urychlení inteligentní výroby (ID: 16721)</w:t>
      </w:r>
    </w:p>
    <w:tbl>
      <w:tblPr>
        <w:tblW w:w="15502" w:type="dxa"/>
        <w:jc w:val="center"/>
        <w:tblLayout w:type="fixed"/>
        <w:tblLook w:val="04A0" w:firstRow="1" w:lastRow="0" w:firstColumn="1" w:lastColumn="0" w:noHBand="0" w:noVBand="1"/>
      </w:tblPr>
      <w:tblGrid>
        <w:gridCol w:w="1186"/>
        <w:gridCol w:w="1517"/>
        <w:gridCol w:w="1298"/>
        <w:gridCol w:w="1396"/>
        <w:gridCol w:w="1823"/>
        <w:gridCol w:w="866"/>
        <w:gridCol w:w="857"/>
        <w:gridCol w:w="691"/>
        <w:gridCol w:w="851"/>
        <w:gridCol w:w="709"/>
        <w:gridCol w:w="4308"/>
      </w:tblGrid>
      <w:tr w:rsidR="00515398" w14:paraId="42C02D50" w14:textId="77777777">
        <w:trPr>
          <w:trHeight w:val="839"/>
          <w:tblHeader/>
          <w:jc w:val="center"/>
        </w:trPr>
        <w:tc>
          <w:tcPr>
            <w:tcW w:w="11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73AED5"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0704AA"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(reforma nebo investice)</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4A94B9"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384212"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4B5D3E"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241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A44EFE9"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01B49610" w14:textId="77777777" w:rsidR="00515398" w:rsidRDefault="006711E6">
            <w:pPr>
              <w:pStyle w:val="P68B1DB1-Normal7"/>
              <w:spacing w:after="0" w:line="240" w:lineRule="auto"/>
              <w:jc w:val="center"/>
              <w:rPr>
                <w:rFonts w:eastAsia="Times New Roman" w:cs="Times New Roman"/>
                <w:noProof/>
                <w:szCs w:val="18"/>
              </w:rPr>
            </w:pPr>
            <w:r>
              <w:rPr>
                <w:noProof/>
              </w:rPr>
              <w:t>Orientačn</w:t>
            </w:r>
            <w:r>
              <w:rPr>
                <w:noProof/>
              </w:rPr>
              <w:t xml:space="preserve">í harmonogram pro dokončení </w:t>
            </w:r>
          </w:p>
        </w:tc>
        <w:tc>
          <w:tcPr>
            <w:tcW w:w="43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EDA42E"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32FBF5AC" w14:textId="77777777">
        <w:trPr>
          <w:trHeight w:val="456"/>
          <w:tblHeader/>
          <w:jc w:val="center"/>
        </w:trPr>
        <w:tc>
          <w:tcPr>
            <w:tcW w:w="1186" w:type="dxa"/>
            <w:vMerge/>
            <w:tcBorders>
              <w:top w:val="single" w:sz="4" w:space="0" w:color="auto"/>
              <w:left w:val="single" w:sz="4" w:space="0" w:color="auto"/>
              <w:bottom w:val="single" w:sz="4" w:space="0" w:color="auto"/>
              <w:right w:val="single" w:sz="4" w:space="0" w:color="auto"/>
            </w:tcBorders>
            <w:vAlign w:val="center"/>
            <w:hideMark/>
          </w:tcPr>
          <w:p w14:paraId="61973429" w14:textId="77777777" w:rsidR="00515398" w:rsidRDefault="00515398">
            <w:pPr>
              <w:spacing w:after="0" w:line="240" w:lineRule="auto"/>
              <w:rPr>
                <w:rFonts w:ascii="Times New Roman" w:eastAsia="Times New Roman" w:hAnsi="Times New Roman" w:cs="Times New Roman"/>
                <w:b/>
                <w:bCs/>
                <w:noProof/>
                <w:sz w:val="18"/>
                <w:szCs w:val="18"/>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00B8FF36" w14:textId="77777777" w:rsidR="00515398" w:rsidRDefault="00515398">
            <w:pPr>
              <w:spacing w:after="0" w:line="240" w:lineRule="auto"/>
              <w:rPr>
                <w:rFonts w:ascii="Times New Roman" w:eastAsia="Times New Roman" w:hAnsi="Times New Roman" w:cs="Times New Roman"/>
                <w:b/>
                <w:bCs/>
                <w:noProof/>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14:paraId="542366D3" w14:textId="77777777" w:rsidR="00515398" w:rsidRDefault="00515398">
            <w:pPr>
              <w:spacing w:after="0" w:line="240" w:lineRule="auto"/>
              <w:rPr>
                <w:rFonts w:ascii="Times New Roman" w:eastAsia="Times New Roman" w:hAnsi="Times New Roman" w:cs="Times New Roman"/>
                <w:b/>
                <w:bCs/>
                <w:noProof/>
                <w:sz w:val="18"/>
                <w:szCs w:val="18"/>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6D2C8CEF" w14:textId="77777777" w:rsidR="00515398" w:rsidRDefault="00515398">
            <w:pPr>
              <w:spacing w:after="0" w:line="240" w:lineRule="auto"/>
              <w:rPr>
                <w:rFonts w:ascii="Times New Roman" w:eastAsia="Times New Roman" w:hAnsi="Times New Roman" w:cs="Times New Roman"/>
                <w:b/>
                <w:bCs/>
                <w:noProof/>
                <w:sz w:val="18"/>
                <w:szCs w:val="18"/>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127A1C9" w14:textId="77777777" w:rsidR="00515398" w:rsidRDefault="00515398">
            <w:pPr>
              <w:spacing w:after="0" w:line="240" w:lineRule="auto"/>
              <w:rPr>
                <w:rFonts w:ascii="Times New Roman" w:eastAsia="Times New Roman" w:hAnsi="Times New Roman" w:cs="Times New Roman"/>
                <w:b/>
                <w:bCs/>
                <w:noProof/>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68AB0"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85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6B366A5"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69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B758037"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5C48144"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E9FEBE3"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4308" w:type="dxa"/>
            <w:vMerge/>
            <w:tcBorders>
              <w:top w:val="single" w:sz="4" w:space="0" w:color="auto"/>
              <w:left w:val="single" w:sz="4" w:space="0" w:color="auto"/>
              <w:bottom w:val="single" w:sz="4" w:space="0" w:color="auto"/>
              <w:right w:val="single" w:sz="4" w:space="0" w:color="auto"/>
            </w:tcBorders>
            <w:vAlign w:val="center"/>
            <w:hideMark/>
          </w:tcPr>
          <w:p w14:paraId="082949AC"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DAB1F8A"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070C8514" w14:textId="77777777" w:rsidR="00515398" w:rsidRDefault="006711E6">
            <w:pPr>
              <w:pStyle w:val="P68B1DB1-Normal9"/>
              <w:spacing w:after="0" w:line="240" w:lineRule="auto"/>
              <w:rPr>
                <w:rFonts w:eastAsia="Times New Roman" w:cs="Calibri"/>
                <w:noProof/>
                <w:szCs w:val="18"/>
              </w:rPr>
            </w:pPr>
            <w:r>
              <w:rPr>
                <w:noProof/>
              </w:rPr>
              <w:t>299</w:t>
            </w:r>
          </w:p>
        </w:tc>
        <w:tc>
          <w:tcPr>
            <w:tcW w:w="1517" w:type="dxa"/>
            <w:tcBorders>
              <w:top w:val="single" w:sz="4" w:space="0" w:color="auto"/>
              <w:left w:val="nil"/>
              <w:bottom w:val="single" w:sz="4" w:space="0" w:color="auto"/>
              <w:right w:val="single" w:sz="4" w:space="0" w:color="auto"/>
            </w:tcBorders>
            <w:shd w:val="clear" w:color="auto" w:fill="C6EFCE"/>
            <w:noWrap/>
          </w:tcPr>
          <w:p w14:paraId="065A0F95"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16593_Změna právního rámce pro přilákání strategických investic</w:t>
            </w:r>
          </w:p>
        </w:tc>
        <w:tc>
          <w:tcPr>
            <w:tcW w:w="1298" w:type="dxa"/>
            <w:tcBorders>
              <w:top w:val="single" w:sz="4" w:space="0" w:color="auto"/>
              <w:left w:val="nil"/>
              <w:bottom w:val="single" w:sz="4" w:space="0" w:color="auto"/>
              <w:right w:val="single" w:sz="4" w:space="0" w:color="auto"/>
            </w:tcBorders>
            <w:shd w:val="clear" w:color="auto" w:fill="C6EFCE"/>
            <w:noWrap/>
          </w:tcPr>
          <w:p w14:paraId="48148D43"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single" w:sz="4" w:space="0" w:color="auto"/>
              <w:left w:val="nil"/>
              <w:bottom w:val="single" w:sz="4" w:space="0" w:color="auto"/>
              <w:right w:val="single" w:sz="4" w:space="0" w:color="auto"/>
            </w:tcBorders>
            <w:shd w:val="clear" w:color="auto" w:fill="C6EFCE"/>
            <w:noWrap/>
          </w:tcPr>
          <w:p w14:paraId="577C1DC7" w14:textId="77777777" w:rsidR="00515398" w:rsidRDefault="006711E6">
            <w:pPr>
              <w:pStyle w:val="P68B1DB1-Normal9"/>
              <w:spacing w:after="0" w:line="240" w:lineRule="auto"/>
              <w:rPr>
                <w:rFonts w:eastAsia="Times New Roman" w:cs="Calibri"/>
                <w:noProof/>
                <w:szCs w:val="18"/>
              </w:rPr>
            </w:pPr>
            <w:r>
              <w:rPr>
                <w:noProof/>
              </w:rPr>
              <w:t>Strategické investice – legislativní reforma</w:t>
            </w:r>
          </w:p>
        </w:tc>
        <w:tc>
          <w:tcPr>
            <w:tcW w:w="1823" w:type="dxa"/>
            <w:tcBorders>
              <w:top w:val="single" w:sz="4" w:space="0" w:color="auto"/>
              <w:left w:val="nil"/>
              <w:bottom w:val="single" w:sz="4" w:space="0" w:color="auto"/>
              <w:right w:val="single" w:sz="4" w:space="0" w:color="auto"/>
            </w:tcBorders>
            <w:shd w:val="clear" w:color="auto" w:fill="C6EFCE"/>
            <w:noWrap/>
          </w:tcPr>
          <w:p w14:paraId="4F8F3E59" w14:textId="77777777" w:rsidR="00515398" w:rsidRDefault="006711E6">
            <w:pPr>
              <w:pStyle w:val="P68B1DB1-Normal9"/>
              <w:spacing w:after="0" w:line="240" w:lineRule="auto"/>
              <w:rPr>
                <w:rFonts w:eastAsia="Times New Roman" w:cs="Calibri"/>
                <w:noProof/>
                <w:szCs w:val="18"/>
              </w:rPr>
            </w:pPr>
            <w:r>
              <w:rPr>
                <w:noProof/>
              </w:rPr>
              <w:t>Vstup legislativních změn v platnost</w:t>
            </w:r>
          </w:p>
        </w:tc>
        <w:tc>
          <w:tcPr>
            <w:tcW w:w="866" w:type="dxa"/>
            <w:tcBorders>
              <w:top w:val="single" w:sz="4" w:space="0" w:color="auto"/>
              <w:left w:val="nil"/>
              <w:bottom w:val="single" w:sz="4" w:space="0" w:color="auto"/>
              <w:right w:val="single" w:sz="4" w:space="0" w:color="auto"/>
            </w:tcBorders>
            <w:shd w:val="clear" w:color="auto" w:fill="C6EFCE"/>
            <w:noWrap/>
          </w:tcPr>
          <w:p w14:paraId="4557BB1E"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1B23F1F" w14:textId="77777777" w:rsidR="00515398" w:rsidRDefault="00515398">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3E2C5E34" w14:textId="77777777" w:rsidR="00515398" w:rsidRDefault="00515398">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4726D7D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383342F9" w14:textId="77777777" w:rsidR="00515398" w:rsidRDefault="006711E6">
            <w:pPr>
              <w:pStyle w:val="P68B1DB1-Normal9"/>
              <w:spacing w:after="0" w:line="240" w:lineRule="auto"/>
              <w:rPr>
                <w:rFonts w:eastAsia="Times New Roman" w:cs="Calibri"/>
                <w:noProof/>
                <w:szCs w:val="18"/>
              </w:rPr>
            </w:pPr>
            <w:r>
              <w:rPr>
                <w:noProof/>
              </w:rPr>
              <w:t>2021</w:t>
            </w:r>
          </w:p>
        </w:tc>
        <w:tc>
          <w:tcPr>
            <w:tcW w:w="4308" w:type="dxa"/>
            <w:tcBorders>
              <w:top w:val="single" w:sz="4" w:space="0" w:color="auto"/>
              <w:left w:val="nil"/>
              <w:bottom w:val="single" w:sz="4" w:space="0" w:color="auto"/>
              <w:right w:val="single" w:sz="4" w:space="0" w:color="auto"/>
            </w:tcBorders>
            <w:shd w:val="clear" w:color="auto" w:fill="C6EFCE"/>
            <w:noWrap/>
          </w:tcPr>
          <w:p w14:paraId="219D2B91" w14:textId="77777777" w:rsidR="00515398" w:rsidRDefault="006711E6">
            <w:pPr>
              <w:pStyle w:val="P68B1DB1-Normal9"/>
              <w:spacing w:after="0" w:line="240" w:lineRule="auto"/>
              <w:rPr>
                <w:rFonts w:eastAsia="Times New Roman" w:cs="Calibri"/>
                <w:noProof/>
                <w:szCs w:val="18"/>
              </w:rPr>
            </w:pPr>
            <w:r>
              <w:rPr>
                <w:noProof/>
              </w:rPr>
              <w:t xml:space="preserve">Vstup v platnost legislativních změn za účelem reformy legislativního rámce pro přilákání strategických investic (zákon č. 3894/2010 a zákon </w:t>
            </w:r>
            <w:r>
              <w:rPr>
                <w:noProof/>
              </w:rPr>
              <w:t xml:space="preserve">č. 4608/2019), mimo jiné prostřednictvím právní kodifikace s cílem vytvořit jednotný a soudržný rámec a právních změn s cílem zavést novou kategorii strategických investic „Emblematic Investment of Great Significance“. </w:t>
            </w:r>
          </w:p>
          <w:p w14:paraId="259D1CBD" w14:textId="77777777" w:rsidR="00515398" w:rsidRDefault="00515398">
            <w:pPr>
              <w:spacing w:after="0" w:line="240" w:lineRule="auto"/>
              <w:rPr>
                <w:rFonts w:eastAsia="Times New Roman" w:cs="Calibri"/>
                <w:noProof/>
                <w:color w:val="006100"/>
                <w:sz w:val="18"/>
                <w:szCs w:val="18"/>
              </w:rPr>
            </w:pPr>
          </w:p>
          <w:p w14:paraId="176447F1" w14:textId="77777777" w:rsidR="00515398" w:rsidRDefault="006711E6">
            <w:pPr>
              <w:pStyle w:val="P68B1DB1-Normal9"/>
              <w:spacing w:after="0" w:line="240" w:lineRule="auto"/>
              <w:rPr>
                <w:rFonts w:eastAsia="Times New Roman" w:cs="Calibri"/>
                <w:noProof/>
                <w:szCs w:val="18"/>
              </w:rPr>
            </w:pPr>
            <w:r>
              <w:rPr>
                <w:noProof/>
              </w:rPr>
              <w:t xml:space="preserve">Reforma strategického investičního </w:t>
            </w:r>
            <w:r>
              <w:rPr>
                <w:noProof/>
              </w:rPr>
              <w:t>rámce rovněž zavede ustanovení, která pomohou urychlit správní postup týkající se schvalování a udělování licencí pro strategickou investici (tj. zlepšit zrychlený postup). Do zákona se zavedou nové kategorie strategických investic na základě kritérií přis</w:t>
            </w:r>
            <w:r>
              <w:rPr>
                <w:noProof/>
              </w:rPr>
              <w:t>pívajících k inovacím nebo šíření technologií, využívání obnovitelných zdrojů energie a přechodu na nízkouhlíkové hospodářství a/nebo k významné podpoře konkurenceschopnosti řeckého hospodářství na mezinárodní úrovni.</w:t>
            </w:r>
          </w:p>
          <w:p w14:paraId="7D28B4C0" w14:textId="77777777" w:rsidR="00515398" w:rsidRDefault="00515398">
            <w:pPr>
              <w:spacing w:after="0" w:line="240" w:lineRule="auto"/>
              <w:rPr>
                <w:rFonts w:eastAsia="Times New Roman" w:cs="Calibri"/>
                <w:noProof/>
                <w:color w:val="006100"/>
                <w:sz w:val="18"/>
                <w:szCs w:val="18"/>
                <w:highlight w:val="yellow"/>
              </w:rPr>
            </w:pPr>
          </w:p>
        </w:tc>
      </w:tr>
      <w:tr w:rsidR="00515398" w14:paraId="74F7DD34"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48E5B94A" w14:textId="77777777" w:rsidR="00515398" w:rsidRDefault="006711E6">
            <w:pPr>
              <w:pStyle w:val="P68B1DB1-Normal9"/>
              <w:spacing w:after="0" w:line="240" w:lineRule="auto"/>
              <w:rPr>
                <w:rFonts w:eastAsia="Times New Roman" w:cs="Calibri"/>
                <w:noProof/>
                <w:szCs w:val="18"/>
              </w:rPr>
            </w:pPr>
            <w:r>
              <w:rPr>
                <w:noProof/>
              </w:rPr>
              <w:t>300</w:t>
            </w:r>
          </w:p>
        </w:tc>
        <w:tc>
          <w:tcPr>
            <w:tcW w:w="1517" w:type="dxa"/>
            <w:tcBorders>
              <w:top w:val="nil"/>
              <w:left w:val="nil"/>
              <w:bottom w:val="single" w:sz="4" w:space="0" w:color="auto"/>
              <w:right w:val="single" w:sz="4" w:space="0" w:color="auto"/>
            </w:tcBorders>
            <w:shd w:val="clear" w:color="auto" w:fill="C6EFCE"/>
            <w:noWrap/>
          </w:tcPr>
          <w:p w14:paraId="300222A7" w14:textId="4DE425A1" w:rsidR="00515398" w:rsidRDefault="006711E6">
            <w:pPr>
              <w:pStyle w:val="P68B1DB1-Normal9"/>
              <w:spacing w:after="0" w:line="240" w:lineRule="auto"/>
              <w:rPr>
                <w:rFonts w:eastAsia="Times New Roman" w:cs="Calibri"/>
                <w:noProof/>
                <w:szCs w:val="18"/>
              </w:rPr>
            </w:pPr>
            <w:r>
              <w:rPr>
                <w:noProof/>
              </w:rPr>
              <w:t xml:space="preserve">17–4.6. Modernizace a zlepšení </w:t>
            </w:r>
            <w:r>
              <w:rPr>
                <w:noProof/>
              </w:rPr>
              <w:t>odolnosti klíčových hospodářských odvětví -16721_Urychlení inteligentní výroby</w:t>
            </w:r>
          </w:p>
        </w:tc>
        <w:tc>
          <w:tcPr>
            <w:tcW w:w="1298" w:type="dxa"/>
            <w:tcBorders>
              <w:top w:val="nil"/>
              <w:left w:val="nil"/>
              <w:bottom w:val="single" w:sz="4" w:space="0" w:color="auto"/>
              <w:right w:val="single" w:sz="4" w:space="0" w:color="auto"/>
            </w:tcBorders>
            <w:shd w:val="clear" w:color="auto" w:fill="C6EFCE"/>
            <w:noWrap/>
          </w:tcPr>
          <w:p w14:paraId="5CF8212E"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nil"/>
              <w:left w:val="nil"/>
              <w:bottom w:val="single" w:sz="4" w:space="0" w:color="auto"/>
              <w:right w:val="single" w:sz="4" w:space="0" w:color="auto"/>
            </w:tcBorders>
            <w:shd w:val="clear" w:color="auto" w:fill="C6EFCE"/>
            <w:noWrap/>
          </w:tcPr>
          <w:p w14:paraId="361DCA9D" w14:textId="77777777" w:rsidR="00515398" w:rsidRDefault="006711E6">
            <w:pPr>
              <w:pStyle w:val="P68B1DB1-Normal9"/>
              <w:spacing w:after="0" w:line="240" w:lineRule="auto"/>
              <w:rPr>
                <w:rFonts w:eastAsia="Times New Roman"/>
                <w:noProof/>
                <w:szCs w:val="18"/>
              </w:rPr>
            </w:pPr>
            <w:r>
              <w:rPr>
                <w:noProof/>
              </w:rPr>
              <w:t>Vyhlášení výzev k předkládání návrhů na výrobu</w:t>
            </w:r>
          </w:p>
        </w:tc>
        <w:tc>
          <w:tcPr>
            <w:tcW w:w="1823" w:type="dxa"/>
            <w:tcBorders>
              <w:top w:val="nil"/>
              <w:left w:val="nil"/>
              <w:bottom w:val="single" w:sz="4" w:space="0" w:color="auto"/>
              <w:right w:val="single" w:sz="4" w:space="0" w:color="auto"/>
            </w:tcBorders>
            <w:shd w:val="clear" w:color="auto" w:fill="C6EFCE"/>
            <w:noWrap/>
          </w:tcPr>
          <w:p w14:paraId="2FF2A7E7" w14:textId="77777777" w:rsidR="00515398" w:rsidRDefault="006711E6">
            <w:pPr>
              <w:pStyle w:val="P68B1DB1-Normal9"/>
              <w:spacing w:after="0" w:line="240" w:lineRule="auto"/>
              <w:rPr>
                <w:rFonts w:eastAsia="Times New Roman" w:cs="Calibri"/>
                <w:noProof/>
                <w:szCs w:val="18"/>
              </w:rPr>
            </w:pPr>
            <w:r>
              <w:rPr>
                <w:noProof/>
              </w:rPr>
              <w:t xml:space="preserve">Vyhlášení výzev pro výrobní podniky </w:t>
            </w:r>
          </w:p>
        </w:tc>
        <w:tc>
          <w:tcPr>
            <w:tcW w:w="866" w:type="dxa"/>
            <w:tcBorders>
              <w:top w:val="nil"/>
              <w:left w:val="nil"/>
              <w:bottom w:val="single" w:sz="4" w:space="0" w:color="auto"/>
              <w:right w:val="single" w:sz="4" w:space="0" w:color="auto"/>
            </w:tcBorders>
            <w:shd w:val="clear" w:color="auto" w:fill="C6EFCE"/>
            <w:noWrap/>
          </w:tcPr>
          <w:p w14:paraId="0B200B9C"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676A061C" w14:textId="77777777" w:rsidR="00515398" w:rsidRDefault="00515398">
            <w:pPr>
              <w:spacing w:after="0" w:line="240" w:lineRule="auto"/>
              <w:rPr>
                <w:rFonts w:eastAsia="Times New Roman" w:cs="Calibri"/>
                <w:noProof/>
                <w:color w:val="006100"/>
                <w:sz w:val="18"/>
                <w:szCs w:val="18"/>
              </w:rPr>
            </w:pPr>
          </w:p>
        </w:tc>
        <w:tc>
          <w:tcPr>
            <w:tcW w:w="691" w:type="dxa"/>
            <w:tcBorders>
              <w:top w:val="nil"/>
              <w:left w:val="nil"/>
              <w:bottom w:val="single" w:sz="4" w:space="0" w:color="auto"/>
              <w:right w:val="single" w:sz="4" w:space="0" w:color="auto"/>
            </w:tcBorders>
            <w:shd w:val="clear" w:color="auto" w:fill="C6EFCE"/>
            <w:noWrap/>
          </w:tcPr>
          <w:p w14:paraId="697940FA"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6BBEAABB" w14:textId="77777777" w:rsidR="00515398" w:rsidRDefault="006711E6">
            <w:pPr>
              <w:pStyle w:val="P68B1DB1-Normal9"/>
              <w:spacing w:after="0" w:line="240" w:lineRule="auto"/>
              <w:rPr>
                <w:rFonts w:eastAsia="Times New Roman" w:cs="Calibri"/>
                <w:noProof/>
                <w:szCs w:val="18"/>
              </w:rPr>
            </w:pPr>
            <w:r>
              <w:rPr>
                <w:noProof/>
              </w:rPr>
              <w:t>ČTVRTLETÍ 1</w:t>
            </w:r>
          </w:p>
        </w:tc>
        <w:tc>
          <w:tcPr>
            <w:tcW w:w="709" w:type="dxa"/>
            <w:tcBorders>
              <w:top w:val="nil"/>
              <w:left w:val="nil"/>
              <w:bottom w:val="single" w:sz="4" w:space="0" w:color="auto"/>
              <w:right w:val="single" w:sz="4" w:space="0" w:color="auto"/>
            </w:tcBorders>
            <w:shd w:val="clear" w:color="auto" w:fill="C6EFCE"/>
            <w:noWrap/>
          </w:tcPr>
          <w:p w14:paraId="0CA8C810" w14:textId="77777777" w:rsidR="00515398" w:rsidRDefault="006711E6">
            <w:pPr>
              <w:pStyle w:val="P68B1DB1-Normal9"/>
              <w:spacing w:after="0" w:line="240" w:lineRule="auto"/>
              <w:rPr>
                <w:rFonts w:eastAsia="Times New Roman" w:cs="Calibri"/>
                <w:noProof/>
                <w:szCs w:val="18"/>
              </w:rPr>
            </w:pPr>
            <w:r>
              <w:rPr>
                <w:noProof/>
              </w:rPr>
              <w:t>2022</w:t>
            </w:r>
          </w:p>
        </w:tc>
        <w:tc>
          <w:tcPr>
            <w:tcW w:w="4308" w:type="dxa"/>
            <w:tcBorders>
              <w:top w:val="nil"/>
              <w:left w:val="nil"/>
              <w:bottom w:val="single" w:sz="4" w:space="0" w:color="auto"/>
              <w:right w:val="single" w:sz="4" w:space="0" w:color="auto"/>
            </w:tcBorders>
            <w:shd w:val="clear" w:color="auto" w:fill="C6EFCE"/>
            <w:noWrap/>
          </w:tcPr>
          <w:p w14:paraId="420FD8AB" w14:textId="77777777" w:rsidR="00515398" w:rsidRDefault="006711E6">
            <w:pPr>
              <w:pStyle w:val="P68B1DB1-Normal9"/>
              <w:spacing w:after="0" w:line="240" w:lineRule="auto"/>
              <w:rPr>
                <w:rFonts w:eastAsia="Times New Roman" w:cs="Calibri"/>
                <w:noProof/>
                <w:szCs w:val="18"/>
              </w:rPr>
            </w:pPr>
            <w:r>
              <w:rPr>
                <w:noProof/>
              </w:rPr>
              <w:t xml:space="preserve">Vyhlášení všech konkurenčních výzev k předkládání návrhů pro </w:t>
            </w:r>
            <w:r>
              <w:rPr>
                <w:noProof/>
              </w:rPr>
              <w:t>výrobní odvětví do investic týkajících se digitalizace výrobních linek, automatizace a propojení dodavatelských řetězců, navrhování a výroby inteligentních výrobků a služeb, zavádění inteligentních výrobních technologií v oblasti ultrarychlostních mechanic</w:t>
            </w:r>
            <w:r>
              <w:rPr>
                <w:noProof/>
              </w:rPr>
              <w:t>kých, laboratorních a výrobních zařízení sítě 5G, vybavení pro kontrolu kvality, IKT a softwarových zařízení, softwarových licencí, licencí na cloud computing, prováděcích služeb pro novou infrastrukturu IT a S/W, náklady na služby v oblasti bezpečnosti IT</w:t>
            </w:r>
            <w:r>
              <w:rPr>
                <w:noProof/>
              </w:rPr>
              <w:t>, návrh produktu, duševní vlastnictví, patent a certifikaci, s mandátem včetně kritérií způsobilosti, která zajišťují, že vybrané projekty splňují technické pokyny k zásadě „významně nepoškozovat“ (2021/C58/01) prostřednictvím seznamu výjimek a požadavku s</w:t>
            </w:r>
            <w:r>
              <w:rPr>
                <w:noProof/>
              </w:rPr>
              <w:t>ouladu s příslušnými právními předpisy EU a vnitrostátními právními předpisy v oblasti životního prostředí.</w:t>
            </w:r>
          </w:p>
        </w:tc>
      </w:tr>
      <w:tr w:rsidR="00515398" w14:paraId="343FDF45"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63EDFFDC" w14:textId="77777777" w:rsidR="00515398" w:rsidRDefault="006711E6">
            <w:pPr>
              <w:pStyle w:val="P68B1DB1-Normal9"/>
              <w:spacing w:after="0" w:line="240" w:lineRule="auto"/>
              <w:rPr>
                <w:rFonts w:eastAsia="Times New Roman" w:cs="Calibri"/>
                <w:noProof/>
                <w:szCs w:val="18"/>
              </w:rPr>
            </w:pPr>
            <w:r>
              <w:rPr>
                <w:noProof/>
              </w:rPr>
              <w:t>301</w:t>
            </w:r>
          </w:p>
        </w:tc>
        <w:tc>
          <w:tcPr>
            <w:tcW w:w="1517" w:type="dxa"/>
            <w:tcBorders>
              <w:top w:val="nil"/>
              <w:left w:val="nil"/>
              <w:bottom w:val="single" w:sz="4" w:space="0" w:color="auto"/>
              <w:right w:val="single" w:sz="4" w:space="0" w:color="auto"/>
            </w:tcBorders>
            <w:shd w:val="clear" w:color="auto" w:fill="C6EFCE"/>
            <w:noWrap/>
          </w:tcPr>
          <w:p w14:paraId="3C7D9162"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16634_Nové průmyslové parky</w:t>
            </w:r>
          </w:p>
          <w:p w14:paraId="383F3D1C" w14:textId="77777777" w:rsidR="00515398" w:rsidRDefault="00515398">
            <w:pPr>
              <w:spacing w:after="0" w:line="240" w:lineRule="auto"/>
              <w:rPr>
                <w:rFonts w:eastAsia="Times New Roman" w:cs="Calibri"/>
                <w:noProof/>
                <w:color w:val="006100"/>
                <w:sz w:val="18"/>
                <w:szCs w:val="18"/>
              </w:rPr>
            </w:pPr>
          </w:p>
        </w:tc>
        <w:tc>
          <w:tcPr>
            <w:tcW w:w="1298" w:type="dxa"/>
            <w:tcBorders>
              <w:top w:val="nil"/>
              <w:left w:val="nil"/>
              <w:bottom w:val="single" w:sz="4" w:space="0" w:color="auto"/>
              <w:right w:val="single" w:sz="4" w:space="0" w:color="auto"/>
            </w:tcBorders>
            <w:shd w:val="clear" w:color="auto" w:fill="C6EFCE"/>
            <w:noWrap/>
          </w:tcPr>
          <w:p w14:paraId="6D183336"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nil"/>
              <w:left w:val="nil"/>
              <w:bottom w:val="single" w:sz="4" w:space="0" w:color="auto"/>
              <w:right w:val="single" w:sz="4" w:space="0" w:color="auto"/>
            </w:tcBorders>
            <w:shd w:val="clear" w:color="auto" w:fill="C6EFCE"/>
            <w:noWrap/>
          </w:tcPr>
          <w:p w14:paraId="547188DD" w14:textId="77777777" w:rsidR="00515398" w:rsidRDefault="006711E6">
            <w:pPr>
              <w:pStyle w:val="P68B1DB1-Normal9"/>
              <w:spacing w:after="0" w:line="240" w:lineRule="auto"/>
              <w:rPr>
                <w:rFonts w:eastAsia="Times New Roman" w:cs="Calibri"/>
                <w:noProof/>
                <w:szCs w:val="18"/>
              </w:rPr>
            </w:pPr>
            <w:r>
              <w:rPr>
                <w:noProof/>
              </w:rPr>
              <w:t xml:space="preserve">Vyhlášení výzev pro průmyslové </w:t>
            </w:r>
            <w:r>
              <w:rPr>
                <w:noProof/>
              </w:rPr>
              <w:t>parky</w:t>
            </w:r>
          </w:p>
        </w:tc>
        <w:tc>
          <w:tcPr>
            <w:tcW w:w="1823" w:type="dxa"/>
            <w:tcBorders>
              <w:top w:val="nil"/>
              <w:left w:val="nil"/>
              <w:bottom w:val="single" w:sz="4" w:space="0" w:color="auto"/>
              <w:right w:val="single" w:sz="4" w:space="0" w:color="auto"/>
            </w:tcBorders>
            <w:shd w:val="clear" w:color="auto" w:fill="C6EFCE"/>
            <w:noWrap/>
          </w:tcPr>
          <w:p w14:paraId="229C7601" w14:textId="77777777" w:rsidR="00515398" w:rsidRDefault="006711E6">
            <w:pPr>
              <w:pStyle w:val="P68B1DB1-Normal9"/>
              <w:spacing w:after="0" w:line="240" w:lineRule="auto"/>
              <w:rPr>
                <w:rFonts w:eastAsia="Times New Roman" w:cs="Calibri"/>
                <w:noProof/>
                <w:szCs w:val="18"/>
              </w:rPr>
            </w:pPr>
            <w:r>
              <w:rPr>
                <w:noProof/>
              </w:rPr>
              <w:t xml:space="preserve">Vyhlášení výzev k předkládání návrhů na průmyslové parky </w:t>
            </w:r>
          </w:p>
        </w:tc>
        <w:tc>
          <w:tcPr>
            <w:tcW w:w="866" w:type="dxa"/>
            <w:tcBorders>
              <w:top w:val="nil"/>
              <w:left w:val="nil"/>
              <w:bottom w:val="single" w:sz="4" w:space="0" w:color="auto"/>
              <w:right w:val="single" w:sz="4" w:space="0" w:color="auto"/>
            </w:tcBorders>
            <w:shd w:val="clear" w:color="auto" w:fill="C6EFCE"/>
            <w:noWrap/>
          </w:tcPr>
          <w:p w14:paraId="6767D788"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15C46E13" w14:textId="77777777" w:rsidR="00515398" w:rsidRDefault="00515398">
            <w:pPr>
              <w:spacing w:after="0" w:line="240" w:lineRule="auto"/>
              <w:rPr>
                <w:rFonts w:eastAsia="Times New Roman" w:cs="Calibri"/>
                <w:noProof/>
                <w:color w:val="006100"/>
                <w:sz w:val="18"/>
                <w:szCs w:val="18"/>
              </w:rPr>
            </w:pPr>
          </w:p>
        </w:tc>
        <w:tc>
          <w:tcPr>
            <w:tcW w:w="691" w:type="dxa"/>
            <w:tcBorders>
              <w:top w:val="nil"/>
              <w:left w:val="nil"/>
              <w:bottom w:val="single" w:sz="4" w:space="0" w:color="auto"/>
              <w:right w:val="single" w:sz="4" w:space="0" w:color="auto"/>
            </w:tcBorders>
            <w:shd w:val="clear" w:color="auto" w:fill="C6EFCE"/>
            <w:noWrap/>
          </w:tcPr>
          <w:p w14:paraId="2BBF976F"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70215091" w14:textId="77777777" w:rsidR="00515398" w:rsidRDefault="006711E6">
            <w:pPr>
              <w:pStyle w:val="P68B1DB1-Normal9"/>
              <w:spacing w:after="0" w:line="240" w:lineRule="auto"/>
              <w:rPr>
                <w:rFonts w:eastAsia="Times New Roman" w:cs="Calibri"/>
                <w:noProof/>
                <w:szCs w:val="18"/>
              </w:rPr>
            </w:pPr>
            <w:r>
              <w:rPr>
                <w:noProof/>
              </w:rPr>
              <w:t>ČTVRTLETÍ 1</w:t>
            </w:r>
          </w:p>
        </w:tc>
        <w:tc>
          <w:tcPr>
            <w:tcW w:w="709" w:type="dxa"/>
            <w:tcBorders>
              <w:top w:val="nil"/>
              <w:left w:val="nil"/>
              <w:bottom w:val="single" w:sz="4" w:space="0" w:color="auto"/>
              <w:right w:val="single" w:sz="4" w:space="0" w:color="auto"/>
            </w:tcBorders>
            <w:shd w:val="clear" w:color="auto" w:fill="C6EFCE"/>
            <w:noWrap/>
          </w:tcPr>
          <w:p w14:paraId="491CC34F" w14:textId="77777777" w:rsidR="00515398" w:rsidRDefault="006711E6">
            <w:pPr>
              <w:pStyle w:val="P68B1DB1-Normal9"/>
              <w:spacing w:after="0" w:line="240" w:lineRule="auto"/>
              <w:rPr>
                <w:rFonts w:eastAsia="Times New Roman" w:cs="Calibri"/>
                <w:noProof/>
                <w:szCs w:val="18"/>
              </w:rPr>
            </w:pPr>
            <w:r>
              <w:rPr>
                <w:noProof/>
              </w:rPr>
              <w:t>2022</w:t>
            </w:r>
          </w:p>
        </w:tc>
        <w:tc>
          <w:tcPr>
            <w:tcW w:w="4308" w:type="dxa"/>
            <w:tcBorders>
              <w:top w:val="nil"/>
              <w:left w:val="nil"/>
              <w:bottom w:val="single" w:sz="4" w:space="0" w:color="auto"/>
              <w:right w:val="single" w:sz="4" w:space="0" w:color="auto"/>
            </w:tcBorders>
            <w:shd w:val="clear" w:color="auto" w:fill="C6EFCE"/>
            <w:noWrap/>
          </w:tcPr>
          <w:p w14:paraId="6F7D989F" w14:textId="77777777" w:rsidR="00515398" w:rsidRDefault="006711E6">
            <w:pPr>
              <w:pStyle w:val="P68B1DB1-Normal9"/>
              <w:spacing w:after="0" w:line="240" w:lineRule="auto"/>
              <w:rPr>
                <w:rFonts w:eastAsia="Times New Roman"/>
                <w:noProof/>
                <w:szCs w:val="18"/>
              </w:rPr>
            </w:pPr>
            <w:r>
              <w:rPr>
                <w:noProof/>
              </w:rPr>
              <w:t>Vyhlášení všech konkurenčních výzev k předkládání návrhů na rozvoj průmyslových parků pro investice do a) infrastruktury pro zřízení parků nové generace (včetně pořízení po</w:t>
            </w:r>
            <w:r>
              <w:rPr>
                <w:noProof/>
              </w:rPr>
              <w:t>zemků) se zvláštními kritérii energetické účinnosti pro výstavbu nových budov a energetickou účinnost a demonstračních projektů ve velkých podnicích a podpůrných opatření, b) infrastruktury pro digitální transformaci a vytváření inteligentních průmyslových</w:t>
            </w:r>
            <w:r>
              <w:rPr>
                <w:noProof/>
              </w:rPr>
              <w:t xml:space="preserve"> oblastí, c) solární energie z obnovitelných zdrojů, d) hospodaření s vodou a zachování vodních zdrojů (investice musí mít průměrný index úniků z infrastruktury (ILI) of &amp; = 1,5), e) systémy odvádění a čištění odpadních vod splňující kritéria energetické ú</w:t>
            </w:r>
            <w:r>
              <w:rPr>
                <w:noProof/>
              </w:rPr>
              <w:t>činnosti, f) elektromobilita (vývoj čerpacích sítí pro elektrická nebo vodíková vozidla nebo čerpací stanice pro biometan pro dopravu), g) projekty na obnovu průmyslových areálů a kontaminovaných pozemků. Podmínky zadání včetně kritérií způsobilosti zajist</w:t>
            </w:r>
            <w:r>
              <w:rPr>
                <w:noProof/>
              </w:rPr>
              <w:t>í, aby vybrané projekty byly v souladu s technickými pokyny „významně nepoškozovat“ (2021/C58/01) prostřednictvím seznamu vyloučení a požadavku souladu s příslušnými právními předpisy EU a vnitrostátními právními předpisy v oblasti životního prostředí.</w:t>
            </w:r>
          </w:p>
          <w:p w14:paraId="4054ED52" w14:textId="77777777" w:rsidR="00515398" w:rsidRDefault="00515398">
            <w:pPr>
              <w:spacing w:after="0" w:line="240" w:lineRule="auto"/>
              <w:rPr>
                <w:rFonts w:eastAsia="Times New Roman" w:cs="Calibri"/>
                <w:noProof/>
                <w:color w:val="006100"/>
                <w:sz w:val="18"/>
                <w:szCs w:val="18"/>
              </w:rPr>
            </w:pPr>
          </w:p>
          <w:p w14:paraId="15212973" w14:textId="77777777" w:rsidR="00515398" w:rsidRDefault="006711E6">
            <w:pPr>
              <w:pStyle w:val="P68B1DB1-Normal9"/>
              <w:spacing w:after="0" w:line="240" w:lineRule="auto"/>
              <w:rPr>
                <w:rFonts w:eastAsia="Times New Roman" w:cs="Calibri"/>
                <w:noProof/>
                <w:szCs w:val="18"/>
              </w:rPr>
            </w:pPr>
            <w:r>
              <w:rPr>
                <w:noProof/>
              </w:rPr>
              <w:t>Vý</w:t>
            </w:r>
            <w:r>
              <w:rPr>
                <w:noProof/>
              </w:rPr>
              <w:t>stavba nových budov musí být v souladu s potřebou primární energie, která je alespoň o 20 % nižší než požadavek na budovy s téměř nulovou spotřebou energie (budova s téměř nulovou spotřebou energie, vnitrostátní směrnice). V případě výstavby systémů odpadn</w:t>
            </w:r>
            <w:r>
              <w:rPr>
                <w:noProof/>
              </w:rPr>
              <w:t>ích vod mezi koncovými body musí mít opatření nulovou spotřebu energie a v případě obnovy systémů počátečních odpadních vod musí opatření vést ke snížení průměrné spotřeby energie alespoň o 10 % (pouze prostřednictvím opatření v oblasti energetické účinnos</w:t>
            </w:r>
            <w:r>
              <w:rPr>
                <w:noProof/>
              </w:rPr>
              <w:t>ti, a nikoli na základě podstatných změn nebo změn zatížení). Investice do elektromobility jsou v souladu se směrnicí (EU) 2018/2001 a týkají se alternativních paliv pro dopravu.</w:t>
            </w:r>
          </w:p>
        </w:tc>
      </w:tr>
      <w:tr w:rsidR="00515398" w14:paraId="10077B77"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14:paraId="11652047" w14:textId="77777777" w:rsidR="00515398" w:rsidRDefault="006711E6">
            <w:pPr>
              <w:pStyle w:val="P68B1DB1-Normal9"/>
              <w:spacing w:after="0" w:line="240" w:lineRule="auto"/>
              <w:rPr>
                <w:rFonts w:eastAsia="Times New Roman" w:cs="Calibri"/>
                <w:noProof/>
                <w:szCs w:val="18"/>
              </w:rPr>
            </w:pPr>
            <w:r>
              <w:rPr>
                <w:noProof/>
              </w:rPr>
              <w:t>302</w:t>
            </w:r>
          </w:p>
        </w:tc>
        <w:tc>
          <w:tcPr>
            <w:tcW w:w="1517" w:type="dxa"/>
            <w:tcBorders>
              <w:top w:val="nil"/>
              <w:left w:val="nil"/>
              <w:bottom w:val="single" w:sz="4" w:space="0" w:color="auto"/>
              <w:right w:val="single" w:sz="4" w:space="0" w:color="auto"/>
            </w:tcBorders>
            <w:shd w:val="clear" w:color="auto" w:fill="C6EFCE"/>
            <w:noWrap/>
          </w:tcPr>
          <w:p w14:paraId="6F93FED5"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w:t>
            </w:r>
            <w:r>
              <w:rPr>
                <w:noProof/>
              </w:rPr>
              <w:t xml:space="preserve"> – 16634_Nové průmyslové parky</w:t>
            </w:r>
          </w:p>
        </w:tc>
        <w:tc>
          <w:tcPr>
            <w:tcW w:w="1298" w:type="dxa"/>
            <w:tcBorders>
              <w:top w:val="nil"/>
              <w:left w:val="nil"/>
              <w:bottom w:val="single" w:sz="4" w:space="0" w:color="auto"/>
              <w:right w:val="single" w:sz="4" w:space="0" w:color="auto"/>
            </w:tcBorders>
            <w:shd w:val="clear" w:color="auto" w:fill="C6EFCE"/>
            <w:noWrap/>
          </w:tcPr>
          <w:p w14:paraId="1BA436AE"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nil"/>
              <w:left w:val="nil"/>
              <w:bottom w:val="single" w:sz="4" w:space="0" w:color="auto"/>
              <w:right w:val="single" w:sz="4" w:space="0" w:color="auto"/>
            </w:tcBorders>
            <w:shd w:val="clear" w:color="auto" w:fill="C6EFCE"/>
            <w:noWrap/>
          </w:tcPr>
          <w:p w14:paraId="05D26A16" w14:textId="77777777" w:rsidR="00515398" w:rsidRDefault="006711E6">
            <w:pPr>
              <w:pStyle w:val="P68B1DB1-Normal9"/>
              <w:spacing w:after="0" w:line="240" w:lineRule="auto"/>
              <w:rPr>
                <w:rFonts w:eastAsia="Times New Roman" w:cs="Calibri"/>
                <w:noProof/>
                <w:szCs w:val="18"/>
              </w:rPr>
            </w:pPr>
            <w:r>
              <w:rPr>
                <w:noProof/>
              </w:rPr>
              <w:t>Průmyslové parky – legislativní reforma (primární právo)</w:t>
            </w:r>
          </w:p>
        </w:tc>
        <w:tc>
          <w:tcPr>
            <w:tcW w:w="1823" w:type="dxa"/>
            <w:tcBorders>
              <w:top w:val="nil"/>
              <w:left w:val="nil"/>
              <w:bottom w:val="single" w:sz="4" w:space="0" w:color="auto"/>
              <w:right w:val="single" w:sz="4" w:space="0" w:color="auto"/>
            </w:tcBorders>
            <w:shd w:val="clear" w:color="auto" w:fill="C6EFCE"/>
            <w:noWrap/>
          </w:tcPr>
          <w:p w14:paraId="743C7C4C" w14:textId="77777777" w:rsidR="00515398" w:rsidRDefault="006711E6">
            <w:pPr>
              <w:pStyle w:val="P68B1DB1-Normal9"/>
              <w:spacing w:after="0" w:line="240" w:lineRule="auto"/>
              <w:rPr>
                <w:rFonts w:eastAsia="Times New Roman" w:cs="Calibri"/>
                <w:noProof/>
                <w:szCs w:val="18"/>
              </w:rPr>
            </w:pPr>
            <w:r>
              <w:rPr>
                <w:noProof/>
              </w:rPr>
              <w:t>Zveřejnění právních předpisů v Úředním věstníku</w:t>
            </w:r>
          </w:p>
        </w:tc>
        <w:tc>
          <w:tcPr>
            <w:tcW w:w="866" w:type="dxa"/>
            <w:tcBorders>
              <w:top w:val="nil"/>
              <w:left w:val="nil"/>
              <w:bottom w:val="single" w:sz="4" w:space="0" w:color="auto"/>
              <w:right w:val="single" w:sz="4" w:space="0" w:color="auto"/>
            </w:tcBorders>
            <w:shd w:val="clear" w:color="auto" w:fill="C6EFCE"/>
            <w:noWrap/>
          </w:tcPr>
          <w:p w14:paraId="4F795330"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C7941B5" w14:textId="77777777" w:rsidR="00515398" w:rsidRDefault="00515398">
            <w:pPr>
              <w:spacing w:after="0" w:line="240" w:lineRule="auto"/>
              <w:rPr>
                <w:rFonts w:eastAsia="Times New Roman" w:cs="Calibri"/>
                <w:noProof/>
                <w:color w:val="006100"/>
                <w:sz w:val="18"/>
                <w:szCs w:val="18"/>
              </w:rPr>
            </w:pPr>
          </w:p>
        </w:tc>
        <w:tc>
          <w:tcPr>
            <w:tcW w:w="691" w:type="dxa"/>
            <w:tcBorders>
              <w:top w:val="nil"/>
              <w:left w:val="nil"/>
              <w:bottom w:val="single" w:sz="4" w:space="0" w:color="auto"/>
              <w:right w:val="single" w:sz="4" w:space="0" w:color="auto"/>
            </w:tcBorders>
            <w:shd w:val="clear" w:color="auto" w:fill="C6EFCE"/>
            <w:noWrap/>
          </w:tcPr>
          <w:p w14:paraId="52DAC4D3" w14:textId="77777777" w:rsidR="00515398" w:rsidRDefault="00515398">
            <w:pPr>
              <w:spacing w:after="0" w:line="240" w:lineRule="auto"/>
              <w:rPr>
                <w:rFonts w:eastAsia="Times New Roman" w:cs="Calibri"/>
                <w:noProof/>
                <w:color w:val="006100"/>
                <w:sz w:val="18"/>
                <w:szCs w:val="18"/>
              </w:rPr>
            </w:pPr>
          </w:p>
        </w:tc>
        <w:tc>
          <w:tcPr>
            <w:tcW w:w="851" w:type="dxa"/>
            <w:tcBorders>
              <w:top w:val="nil"/>
              <w:left w:val="nil"/>
              <w:bottom w:val="single" w:sz="4" w:space="0" w:color="auto"/>
              <w:right w:val="single" w:sz="4" w:space="0" w:color="auto"/>
            </w:tcBorders>
            <w:shd w:val="clear" w:color="auto" w:fill="C6EFCE"/>
            <w:noWrap/>
          </w:tcPr>
          <w:p w14:paraId="2DBDA719" w14:textId="77777777" w:rsidR="00515398" w:rsidRDefault="006711E6">
            <w:pPr>
              <w:pStyle w:val="P68B1DB1-Normal9"/>
              <w:spacing w:after="0" w:line="240" w:lineRule="auto"/>
              <w:rPr>
                <w:rFonts w:eastAsia="Times New Roman" w:cs="Calibri"/>
                <w:noProof/>
                <w:szCs w:val="18"/>
              </w:rPr>
            </w:pPr>
            <w:r>
              <w:rPr>
                <w:noProof/>
              </w:rPr>
              <w:t>ČTVRTLETÍ 3</w:t>
            </w:r>
          </w:p>
        </w:tc>
        <w:tc>
          <w:tcPr>
            <w:tcW w:w="709" w:type="dxa"/>
            <w:tcBorders>
              <w:top w:val="nil"/>
              <w:left w:val="nil"/>
              <w:bottom w:val="single" w:sz="4" w:space="0" w:color="auto"/>
              <w:right w:val="single" w:sz="4" w:space="0" w:color="auto"/>
            </w:tcBorders>
            <w:shd w:val="clear" w:color="auto" w:fill="C6EFCE"/>
            <w:noWrap/>
          </w:tcPr>
          <w:p w14:paraId="5FC038C1" w14:textId="77777777" w:rsidR="00515398" w:rsidRDefault="006711E6">
            <w:pPr>
              <w:pStyle w:val="P68B1DB1-Normal9"/>
              <w:spacing w:after="0" w:line="240" w:lineRule="auto"/>
              <w:rPr>
                <w:rFonts w:eastAsia="Times New Roman" w:cs="Calibri"/>
                <w:noProof/>
                <w:szCs w:val="18"/>
              </w:rPr>
            </w:pPr>
            <w:r>
              <w:rPr>
                <w:noProof/>
              </w:rPr>
              <w:t>2022</w:t>
            </w:r>
          </w:p>
        </w:tc>
        <w:tc>
          <w:tcPr>
            <w:tcW w:w="4308" w:type="dxa"/>
            <w:tcBorders>
              <w:top w:val="nil"/>
              <w:left w:val="nil"/>
              <w:bottom w:val="single" w:sz="4" w:space="0" w:color="auto"/>
              <w:right w:val="single" w:sz="4" w:space="0" w:color="auto"/>
            </w:tcBorders>
            <w:shd w:val="clear" w:color="auto" w:fill="C6EFCE"/>
            <w:noWrap/>
          </w:tcPr>
          <w:p w14:paraId="6C4E39AC" w14:textId="77777777" w:rsidR="00515398" w:rsidRDefault="006711E6">
            <w:pPr>
              <w:pStyle w:val="P68B1DB1-Normal9"/>
              <w:spacing w:after="0" w:line="240" w:lineRule="auto"/>
              <w:rPr>
                <w:rFonts w:eastAsia="Times New Roman" w:cs="Calibri"/>
                <w:noProof/>
                <w:szCs w:val="18"/>
              </w:rPr>
            </w:pPr>
            <w:r>
              <w:rPr>
                <w:noProof/>
              </w:rPr>
              <w:t>Přijetí primárních právních předpisů ke zlepšení regulačního rámce pro průmyslové obchodní parky, včetně řešení právní nejistoty, řešení otázek správy a poskytování účinných pobídek pro řešení neformálních průmyslových spojování</w:t>
            </w:r>
          </w:p>
        </w:tc>
      </w:tr>
      <w:tr w:rsidR="00515398" w14:paraId="15E64A6E"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14:paraId="0A184100" w14:textId="77777777" w:rsidR="00515398" w:rsidRDefault="006711E6">
            <w:pPr>
              <w:pStyle w:val="P68B1DB1-Normal9"/>
              <w:spacing w:after="0" w:line="240" w:lineRule="auto"/>
              <w:rPr>
                <w:rFonts w:eastAsia="Times New Roman" w:cs="Calibri"/>
                <w:noProof/>
                <w:szCs w:val="18"/>
              </w:rPr>
            </w:pPr>
            <w:r>
              <w:rPr>
                <w:noProof/>
              </w:rPr>
              <w:t>303</w:t>
            </w:r>
          </w:p>
        </w:tc>
        <w:tc>
          <w:tcPr>
            <w:tcW w:w="1517" w:type="dxa"/>
            <w:tcBorders>
              <w:top w:val="nil"/>
              <w:left w:val="nil"/>
              <w:bottom w:val="single" w:sz="4" w:space="0" w:color="auto"/>
              <w:right w:val="single" w:sz="4" w:space="0" w:color="auto"/>
            </w:tcBorders>
            <w:shd w:val="clear" w:color="auto" w:fill="C6EFCE"/>
            <w:noWrap/>
            <w:hideMark/>
          </w:tcPr>
          <w:p w14:paraId="5F825C63" w14:textId="77777777" w:rsidR="00515398" w:rsidRDefault="006711E6">
            <w:pPr>
              <w:pStyle w:val="P68B1DB1-Normal9"/>
              <w:spacing w:after="0" w:line="240" w:lineRule="auto"/>
              <w:rPr>
                <w:rFonts w:eastAsia="Times New Roman" w:cs="Calibri"/>
                <w:noProof/>
                <w:szCs w:val="18"/>
              </w:rPr>
            </w:pPr>
            <w:r>
              <w:rPr>
                <w:noProof/>
              </w:rPr>
              <w:t xml:space="preserve">17–4.6. Modernizace a </w:t>
            </w:r>
            <w:r>
              <w:rPr>
                <w:noProof/>
              </w:rPr>
              <w:t>zlepšení odolnosti klíčových hospodářských odvětví – 16593_Změna právního rámce pro přilákání strategických investic</w:t>
            </w:r>
          </w:p>
        </w:tc>
        <w:tc>
          <w:tcPr>
            <w:tcW w:w="1298" w:type="dxa"/>
            <w:tcBorders>
              <w:top w:val="nil"/>
              <w:left w:val="nil"/>
              <w:bottom w:val="single" w:sz="4" w:space="0" w:color="auto"/>
              <w:right w:val="single" w:sz="4" w:space="0" w:color="auto"/>
            </w:tcBorders>
            <w:shd w:val="clear" w:color="auto" w:fill="C6EFCE"/>
            <w:noWrap/>
            <w:hideMark/>
          </w:tcPr>
          <w:p w14:paraId="271F356E"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nil"/>
              <w:left w:val="nil"/>
              <w:bottom w:val="single" w:sz="4" w:space="0" w:color="auto"/>
              <w:right w:val="single" w:sz="4" w:space="0" w:color="auto"/>
            </w:tcBorders>
            <w:shd w:val="clear" w:color="auto" w:fill="C6EFCE"/>
            <w:noWrap/>
            <w:hideMark/>
          </w:tcPr>
          <w:p w14:paraId="73519347" w14:textId="77777777" w:rsidR="00515398" w:rsidRDefault="006711E6">
            <w:pPr>
              <w:pStyle w:val="P68B1DB1-Normal9"/>
              <w:spacing w:after="0" w:line="240" w:lineRule="auto"/>
              <w:rPr>
                <w:rFonts w:eastAsia="Times New Roman" w:cs="Calibri"/>
                <w:noProof/>
                <w:szCs w:val="18"/>
              </w:rPr>
            </w:pPr>
            <w:r>
              <w:rPr>
                <w:noProof/>
              </w:rPr>
              <w:t>Strategické investice – výběr způsobilých projektů</w:t>
            </w:r>
          </w:p>
        </w:tc>
        <w:tc>
          <w:tcPr>
            <w:tcW w:w="1823" w:type="dxa"/>
            <w:tcBorders>
              <w:top w:val="nil"/>
              <w:left w:val="nil"/>
              <w:bottom w:val="single" w:sz="4" w:space="0" w:color="auto"/>
              <w:right w:val="single" w:sz="4" w:space="0" w:color="auto"/>
            </w:tcBorders>
            <w:shd w:val="clear" w:color="auto" w:fill="C6EFCE"/>
            <w:noWrap/>
            <w:hideMark/>
          </w:tcPr>
          <w:p w14:paraId="1B8BEE3A" w14:textId="77777777" w:rsidR="00515398" w:rsidRDefault="006711E6">
            <w:pPr>
              <w:pStyle w:val="P68B1DB1-Normal9"/>
              <w:spacing w:after="0" w:line="240" w:lineRule="auto"/>
              <w:rPr>
                <w:rFonts w:eastAsia="Times New Roman" w:cs="Calibri"/>
                <w:noProof/>
                <w:szCs w:val="18"/>
              </w:rPr>
            </w:pPr>
            <w:r>
              <w:rPr>
                <w:noProof/>
              </w:rPr>
              <w:t xml:space="preserve"> Výběr „Emblematických investic velkého významu“ způsobilých pro financování </w:t>
            </w:r>
          </w:p>
        </w:tc>
        <w:tc>
          <w:tcPr>
            <w:tcW w:w="866" w:type="dxa"/>
            <w:tcBorders>
              <w:top w:val="nil"/>
              <w:left w:val="nil"/>
              <w:bottom w:val="single" w:sz="4" w:space="0" w:color="auto"/>
              <w:right w:val="single" w:sz="4" w:space="0" w:color="auto"/>
            </w:tcBorders>
            <w:shd w:val="clear" w:color="auto" w:fill="C6EFCE"/>
            <w:noWrap/>
            <w:hideMark/>
          </w:tcPr>
          <w:p w14:paraId="623EDC0B"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208C7BF2"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691" w:type="dxa"/>
            <w:tcBorders>
              <w:top w:val="nil"/>
              <w:left w:val="nil"/>
              <w:bottom w:val="single" w:sz="4" w:space="0" w:color="auto"/>
              <w:right w:val="single" w:sz="4" w:space="0" w:color="auto"/>
            </w:tcBorders>
            <w:shd w:val="clear" w:color="auto" w:fill="C6EFCE"/>
            <w:noWrap/>
            <w:hideMark/>
          </w:tcPr>
          <w:p w14:paraId="487BC69C"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51" w:type="dxa"/>
            <w:tcBorders>
              <w:top w:val="nil"/>
              <w:left w:val="nil"/>
              <w:bottom w:val="single" w:sz="4" w:space="0" w:color="auto"/>
              <w:right w:val="single" w:sz="4" w:space="0" w:color="auto"/>
            </w:tcBorders>
            <w:shd w:val="clear" w:color="auto" w:fill="C6EFCE"/>
            <w:noWrap/>
            <w:hideMark/>
          </w:tcPr>
          <w:p w14:paraId="4F7F2464"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nil"/>
              <w:left w:val="nil"/>
              <w:bottom w:val="single" w:sz="4" w:space="0" w:color="auto"/>
              <w:right w:val="single" w:sz="4" w:space="0" w:color="auto"/>
            </w:tcBorders>
            <w:shd w:val="clear" w:color="auto" w:fill="C6EFCE"/>
            <w:noWrap/>
            <w:hideMark/>
          </w:tcPr>
          <w:p w14:paraId="5BA3E260" w14:textId="77777777" w:rsidR="00515398" w:rsidRDefault="006711E6">
            <w:pPr>
              <w:pStyle w:val="P68B1DB1-Normal9"/>
              <w:spacing w:after="0" w:line="240" w:lineRule="auto"/>
              <w:rPr>
                <w:rFonts w:eastAsia="Times New Roman" w:cs="Calibri"/>
                <w:noProof/>
                <w:szCs w:val="18"/>
              </w:rPr>
            </w:pPr>
            <w:r>
              <w:rPr>
                <w:noProof/>
              </w:rPr>
              <w:t>2023</w:t>
            </w:r>
          </w:p>
        </w:tc>
        <w:tc>
          <w:tcPr>
            <w:tcW w:w="4308" w:type="dxa"/>
            <w:tcBorders>
              <w:top w:val="nil"/>
              <w:left w:val="nil"/>
              <w:bottom w:val="single" w:sz="4" w:space="0" w:color="auto"/>
              <w:right w:val="single" w:sz="4" w:space="0" w:color="auto"/>
            </w:tcBorders>
            <w:shd w:val="clear" w:color="auto" w:fill="C6EFCE"/>
            <w:noWrap/>
            <w:hideMark/>
          </w:tcPr>
          <w:p w14:paraId="393052BE" w14:textId="40F9B482" w:rsidR="00515398" w:rsidRDefault="006711E6">
            <w:pPr>
              <w:pStyle w:val="P68B1DB1-Normal10"/>
              <w:spacing w:after="0" w:line="240" w:lineRule="auto"/>
              <w:rPr>
                <w:rFonts w:eastAsia="Times New Roman" w:cs="Calibri"/>
                <w:noProof/>
              </w:rPr>
            </w:pPr>
            <w:r>
              <w:rPr>
                <w:noProof/>
              </w:rPr>
              <w:t>Výběr „Emblematic Investments of Great Significance“ na základě rozhodnutí Meziministerského výboru pro strategické investice (osvědčené zveřejněním rozhodnutí). Pokud jde o investice do energetiky, způsobilé investice zahrnují inve</w:t>
            </w:r>
            <w:r>
              <w:rPr>
                <w:noProof/>
              </w:rPr>
              <w:t xml:space="preserve">stice do a) infrastruktury se specifickými energetickými kritérii pro výstavbu nových budov, b) projektů hybridní výroby energie z obnovitelných zdrojů na nepropojených ostrovech, c) investic do výroby zeleného vodíku, d) systémů pro skladování elektrické </w:t>
            </w:r>
            <w:r>
              <w:rPr>
                <w:noProof/>
              </w:rPr>
              <w:t>energie vyrobených z obnovitelných zdrojů nebo e) zařízení větrných parků na moři a fotovoltaických parků na moři v souladu s technickými pokyny „významně nepoškozovat“ (2021/C58/01) prostřednictvím seznamu výjimek a požadavku souladu s příslušnými právním</w:t>
            </w:r>
            <w:r>
              <w:rPr>
                <w:noProof/>
              </w:rPr>
              <w:t xml:space="preserve">i předpisy EU a vnitrostátními právními předpisy v oblasti životního prostředí. </w:t>
            </w:r>
          </w:p>
          <w:p w14:paraId="0DE32303" w14:textId="77777777" w:rsidR="00515398" w:rsidRDefault="00515398">
            <w:pPr>
              <w:spacing w:after="0" w:line="240" w:lineRule="auto"/>
              <w:rPr>
                <w:rFonts w:eastAsia="Times New Roman" w:cs="Calibri"/>
                <w:noProof/>
                <w:color w:val="006100"/>
                <w:sz w:val="18"/>
                <w:szCs w:val="18"/>
              </w:rPr>
            </w:pPr>
          </w:p>
          <w:p w14:paraId="5DC2D15A" w14:textId="77777777" w:rsidR="00515398" w:rsidRDefault="006711E6">
            <w:pPr>
              <w:pStyle w:val="P68B1DB1-Normal9"/>
              <w:spacing w:after="0" w:line="240" w:lineRule="auto"/>
              <w:rPr>
                <w:rFonts w:eastAsia="Times New Roman" w:cs="Calibri"/>
                <w:noProof/>
                <w:szCs w:val="18"/>
              </w:rPr>
            </w:pPr>
            <w:r>
              <w:rPr>
                <w:noProof/>
              </w:rPr>
              <w:t xml:space="preserve">Výstavba nových budov musí být v souladu s potřebou primární energie, která je alespoň o 20 % nižší než požadavek na budovy s téměř nulovou spotřebou energie (budova s téměř </w:t>
            </w:r>
            <w:r>
              <w:rPr>
                <w:noProof/>
              </w:rPr>
              <w:t>nulovou spotřebou energie, vnitrostátní směrnice).</w:t>
            </w:r>
          </w:p>
        </w:tc>
      </w:tr>
      <w:tr w:rsidR="00515398" w14:paraId="742B9B2D" w14:textId="77777777">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14:paraId="3EC2248B" w14:textId="77777777" w:rsidR="00515398" w:rsidRDefault="006711E6">
            <w:pPr>
              <w:pStyle w:val="P68B1DB1-Normal9"/>
              <w:spacing w:after="0" w:line="240" w:lineRule="auto"/>
              <w:rPr>
                <w:rFonts w:eastAsia="Times New Roman" w:cs="Calibri"/>
                <w:noProof/>
                <w:szCs w:val="18"/>
              </w:rPr>
            </w:pPr>
            <w:r>
              <w:rPr>
                <w:noProof/>
              </w:rPr>
              <w:t>304</w:t>
            </w:r>
          </w:p>
        </w:tc>
        <w:tc>
          <w:tcPr>
            <w:tcW w:w="1517" w:type="dxa"/>
            <w:tcBorders>
              <w:top w:val="nil"/>
              <w:left w:val="nil"/>
              <w:bottom w:val="single" w:sz="4" w:space="0" w:color="auto"/>
              <w:right w:val="single" w:sz="4" w:space="0" w:color="auto"/>
            </w:tcBorders>
            <w:shd w:val="clear" w:color="auto" w:fill="C6EFCE"/>
            <w:noWrap/>
            <w:hideMark/>
          </w:tcPr>
          <w:p w14:paraId="3900C662"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16634_Nové průmyslové parky</w:t>
            </w:r>
          </w:p>
        </w:tc>
        <w:tc>
          <w:tcPr>
            <w:tcW w:w="1298" w:type="dxa"/>
            <w:tcBorders>
              <w:top w:val="nil"/>
              <w:left w:val="nil"/>
              <w:bottom w:val="single" w:sz="4" w:space="0" w:color="auto"/>
              <w:right w:val="single" w:sz="4" w:space="0" w:color="auto"/>
            </w:tcBorders>
            <w:shd w:val="clear" w:color="auto" w:fill="C6EFCE"/>
            <w:noWrap/>
            <w:hideMark/>
          </w:tcPr>
          <w:p w14:paraId="6DC767EE"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nil"/>
              <w:left w:val="nil"/>
              <w:bottom w:val="single" w:sz="4" w:space="0" w:color="auto"/>
              <w:right w:val="single" w:sz="4" w:space="0" w:color="auto"/>
            </w:tcBorders>
            <w:shd w:val="clear" w:color="auto" w:fill="C6EFCE"/>
            <w:noWrap/>
            <w:hideMark/>
          </w:tcPr>
          <w:p w14:paraId="15EAF67F" w14:textId="77777777" w:rsidR="00515398" w:rsidRDefault="006711E6">
            <w:pPr>
              <w:pStyle w:val="P68B1DB1-Normal9"/>
              <w:spacing w:after="0" w:line="240" w:lineRule="auto"/>
              <w:rPr>
                <w:rFonts w:eastAsia="Times New Roman" w:cs="Calibri"/>
                <w:noProof/>
                <w:szCs w:val="18"/>
              </w:rPr>
            </w:pPr>
            <w:r>
              <w:rPr>
                <w:noProof/>
              </w:rPr>
              <w:t>Průmyslové parky – legislativní reforma (sekundární právní předpisy)</w:t>
            </w:r>
          </w:p>
        </w:tc>
        <w:tc>
          <w:tcPr>
            <w:tcW w:w="1823" w:type="dxa"/>
            <w:tcBorders>
              <w:top w:val="nil"/>
              <w:left w:val="nil"/>
              <w:bottom w:val="single" w:sz="4" w:space="0" w:color="auto"/>
              <w:right w:val="single" w:sz="4" w:space="0" w:color="auto"/>
            </w:tcBorders>
            <w:shd w:val="clear" w:color="auto" w:fill="C6EFCE"/>
            <w:noWrap/>
            <w:hideMark/>
          </w:tcPr>
          <w:p w14:paraId="71FF224D" w14:textId="77777777" w:rsidR="00515398" w:rsidRDefault="006711E6">
            <w:pPr>
              <w:pStyle w:val="P68B1DB1-Normal9"/>
              <w:spacing w:after="0" w:line="240" w:lineRule="auto"/>
              <w:rPr>
                <w:rFonts w:eastAsia="Times New Roman" w:cs="Calibri"/>
                <w:noProof/>
                <w:szCs w:val="18"/>
              </w:rPr>
            </w:pPr>
            <w:r>
              <w:rPr>
                <w:noProof/>
              </w:rPr>
              <w:t xml:space="preserve">Vstup všech požadovaných právních předpisů v platnost </w:t>
            </w:r>
          </w:p>
        </w:tc>
        <w:tc>
          <w:tcPr>
            <w:tcW w:w="866" w:type="dxa"/>
            <w:tcBorders>
              <w:top w:val="nil"/>
              <w:left w:val="nil"/>
              <w:bottom w:val="single" w:sz="4" w:space="0" w:color="auto"/>
              <w:right w:val="single" w:sz="4" w:space="0" w:color="auto"/>
            </w:tcBorders>
            <w:shd w:val="clear" w:color="auto" w:fill="C6EFCE"/>
            <w:noWrap/>
            <w:hideMark/>
          </w:tcPr>
          <w:p w14:paraId="63D3DEB4"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57" w:type="dxa"/>
            <w:tcBorders>
              <w:top w:val="nil"/>
              <w:left w:val="nil"/>
              <w:bottom w:val="single" w:sz="4" w:space="0" w:color="auto"/>
              <w:right w:val="single" w:sz="4" w:space="0" w:color="auto"/>
            </w:tcBorders>
            <w:shd w:val="clear" w:color="auto" w:fill="C6EFCE"/>
            <w:noWrap/>
            <w:hideMark/>
          </w:tcPr>
          <w:p w14:paraId="52138D9C"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691" w:type="dxa"/>
            <w:tcBorders>
              <w:top w:val="nil"/>
              <w:left w:val="nil"/>
              <w:bottom w:val="single" w:sz="4" w:space="0" w:color="auto"/>
              <w:right w:val="single" w:sz="4" w:space="0" w:color="auto"/>
            </w:tcBorders>
            <w:shd w:val="clear" w:color="auto" w:fill="C6EFCE"/>
            <w:noWrap/>
            <w:hideMark/>
          </w:tcPr>
          <w:p w14:paraId="532C7AEE" w14:textId="77777777" w:rsidR="00515398" w:rsidRDefault="006711E6">
            <w:pPr>
              <w:pStyle w:val="P68B1DB1-Normal9"/>
              <w:spacing w:after="0" w:line="240" w:lineRule="auto"/>
              <w:rPr>
                <w:rFonts w:eastAsia="Times New Roman" w:cs="Calibri"/>
                <w:noProof/>
                <w:szCs w:val="18"/>
              </w:rPr>
            </w:pPr>
            <w:r>
              <w:rPr>
                <w:noProof/>
              </w:rPr>
              <w:t xml:space="preserve"> </w:t>
            </w:r>
          </w:p>
        </w:tc>
        <w:tc>
          <w:tcPr>
            <w:tcW w:w="851" w:type="dxa"/>
            <w:tcBorders>
              <w:top w:val="nil"/>
              <w:left w:val="nil"/>
              <w:bottom w:val="single" w:sz="4" w:space="0" w:color="auto"/>
              <w:right w:val="single" w:sz="4" w:space="0" w:color="auto"/>
            </w:tcBorders>
            <w:shd w:val="clear" w:color="auto" w:fill="C6EFCE"/>
            <w:noWrap/>
            <w:hideMark/>
          </w:tcPr>
          <w:p w14:paraId="6C74CD75" w14:textId="77777777" w:rsidR="00515398" w:rsidRDefault="006711E6">
            <w:pPr>
              <w:pStyle w:val="P68B1DB1-Normal9"/>
              <w:spacing w:after="0" w:line="240" w:lineRule="auto"/>
              <w:rPr>
                <w:rFonts w:eastAsia="Times New Roman" w:cs="Calibri"/>
                <w:noProof/>
                <w:szCs w:val="18"/>
              </w:rPr>
            </w:pPr>
            <w:r>
              <w:rPr>
                <w:noProof/>
              </w:rPr>
              <w:t>ČTVRTLETÍ</w:t>
            </w:r>
          </w:p>
        </w:tc>
        <w:tc>
          <w:tcPr>
            <w:tcW w:w="709" w:type="dxa"/>
            <w:tcBorders>
              <w:top w:val="nil"/>
              <w:left w:val="nil"/>
              <w:bottom w:val="single" w:sz="4" w:space="0" w:color="auto"/>
              <w:right w:val="single" w:sz="4" w:space="0" w:color="auto"/>
            </w:tcBorders>
            <w:shd w:val="clear" w:color="auto" w:fill="C6EFCE"/>
            <w:noWrap/>
            <w:hideMark/>
          </w:tcPr>
          <w:p w14:paraId="57FAE8E7" w14:textId="77777777" w:rsidR="00515398" w:rsidRDefault="006711E6">
            <w:pPr>
              <w:pStyle w:val="P68B1DB1-Normal9"/>
              <w:spacing w:after="0" w:line="240" w:lineRule="auto"/>
              <w:rPr>
                <w:rFonts w:eastAsia="Times New Roman" w:cs="Calibri"/>
                <w:noProof/>
                <w:szCs w:val="18"/>
              </w:rPr>
            </w:pPr>
            <w:r>
              <w:rPr>
                <w:noProof/>
              </w:rPr>
              <w:t>2024</w:t>
            </w:r>
          </w:p>
        </w:tc>
        <w:tc>
          <w:tcPr>
            <w:tcW w:w="4308" w:type="dxa"/>
            <w:tcBorders>
              <w:top w:val="nil"/>
              <w:left w:val="nil"/>
              <w:bottom w:val="single" w:sz="4" w:space="0" w:color="auto"/>
              <w:right w:val="single" w:sz="4" w:space="0" w:color="auto"/>
            </w:tcBorders>
            <w:shd w:val="clear" w:color="auto" w:fill="C6EFCE"/>
            <w:noWrap/>
            <w:hideMark/>
          </w:tcPr>
          <w:p w14:paraId="4FC5D93B" w14:textId="77777777" w:rsidR="00515398" w:rsidRDefault="006711E6">
            <w:pPr>
              <w:pStyle w:val="P68B1DB1-Normal9"/>
              <w:spacing w:after="0" w:line="240" w:lineRule="auto"/>
              <w:rPr>
                <w:rFonts w:eastAsia="Times New Roman" w:cs="Calibri"/>
                <w:noProof/>
                <w:szCs w:val="18"/>
              </w:rPr>
            </w:pPr>
            <w:r>
              <w:rPr>
                <w:noProof/>
              </w:rPr>
              <w:t>Vstup v platnost všech nezbytných sekundárních právních předpisů s cílem uvést do praxe nový rámec pro zlepšení regulačního rámce pro průmyslové obchodní parky, včetně řešení právn</w:t>
            </w:r>
            <w:r>
              <w:rPr>
                <w:noProof/>
              </w:rPr>
              <w:t>í nejistoty, řešení otázek správy a poskytování účinných pobídek pro řešení neformálních průmyslových koncentrací.</w:t>
            </w:r>
          </w:p>
        </w:tc>
      </w:tr>
      <w:tr w:rsidR="00515398" w14:paraId="65BCA7B5"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040D021B" w14:textId="77777777" w:rsidR="00515398" w:rsidRDefault="006711E6">
            <w:pPr>
              <w:pStyle w:val="P68B1DB1-Normal9"/>
              <w:spacing w:after="0" w:line="240" w:lineRule="auto"/>
              <w:rPr>
                <w:rFonts w:eastAsia="Times New Roman" w:cs="Calibri"/>
                <w:noProof/>
                <w:szCs w:val="18"/>
              </w:rPr>
            </w:pPr>
            <w:r>
              <w:rPr>
                <w:noProof/>
              </w:rPr>
              <w:t>307</w:t>
            </w:r>
          </w:p>
        </w:tc>
        <w:tc>
          <w:tcPr>
            <w:tcW w:w="1517" w:type="dxa"/>
            <w:tcBorders>
              <w:top w:val="single" w:sz="4" w:space="0" w:color="auto"/>
              <w:left w:val="nil"/>
              <w:bottom w:val="single" w:sz="4" w:space="0" w:color="auto"/>
              <w:right w:val="single" w:sz="4" w:space="0" w:color="auto"/>
            </w:tcBorders>
            <w:shd w:val="clear" w:color="auto" w:fill="C6EFCE"/>
            <w:noWrap/>
          </w:tcPr>
          <w:p w14:paraId="02166D9A"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16634_Nové průmyslové parky</w:t>
            </w:r>
          </w:p>
        </w:tc>
        <w:tc>
          <w:tcPr>
            <w:tcW w:w="1298" w:type="dxa"/>
            <w:tcBorders>
              <w:top w:val="single" w:sz="4" w:space="0" w:color="auto"/>
              <w:left w:val="nil"/>
              <w:bottom w:val="single" w:sz="4" w:space="0" w:color="auto"/>
              <w:right w:val="single" w:sz="4" w:space="0" w:color="auto"/>
            </w:tcBorders>
            <w:shd w:val="clear" w:color="auto" w:fill="C6EFCE"/>
            <w:noWrap/>
          </w:tcPr>
          <w:p w14:paraId="31774B5E"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single" w:sz="4" w:space="0" w:color="auto"/>
              <w:left w:val="nil"/>
              <w:bottom w:val="single" w:sz="4" w:space="0" w:color="auto"/>
              <w:right w:val="single" w:sz="4" w:space="0" w:color="auto"/>
            </w:tcBorders>
            <w:shd w:val="clear" w:color="auto" w:fill="C6EFCE"/>
            <w:noWrap/>
          </w:tcPr>
          <w:p w14:paraId="48932540" w14:textId="77777777" w:rsidR="00515398" w:rsidRDefault="006711E6">
            <w:pPr>
              <w:pStyle w:val="P68B1DB1-Normal9"/>
              <w:spacing w:after="0" w:line="240" w:lineRule="auto"/>
              <w:rPr>
                <w:rFonts w:eastAsia="Times New Roman" w:cs="Calibri"/>
                <w:noProof/>
                <w:szCs w:val="18"/>
              </w:rPr>
            </w:pPr>
            <w:r>
              <w:rPr>
                <w:noProof/>
              </w:rPr>
              <w:t xml:space="preserve">Průmyslové parky – </w:t>
            </w:r>
            <w:r>
              <w:rPr>
                <w:noProof/>
              </w:rPr>
              <w:t>realizace investic</w:t>
            </w:r>
          </w:p>
        </w:tc>
        <w:tc>
          <w:tcPr>
            <w:tcW w:w="1823" w:type="dxa"/>
            <w:tcBorders>
              <w:top w:val="single" w:sz="4" w:space="0" w:color="auto"/>
              <w:left w:val="nil"/>
              <w:bottom w:val="single" w:sz="4" w:space="0" w:color="auto"/>
              <w:right w:val="single" w:sz="4" w:space="0" w:color="auto"/>
            </w:tcBorders>
            <w:shd w:val="clear" w:color="auto" w:fill="C6EFCE"/>
            <w:noWrap/>
          </w:tcPr>
          <w:p w14:paraId="5008D966" w14:textId="77777777" w:rsidR="00515398" w:rsidRDefault="006711E6">
            <w:pPr>
              <w:pStyle w:val="P68B1DB1-Normal9"/>
              <w:spacing w:after="0" w:line="240" w:lineRule="auto"/>
              <w:rPr>
                <w:rFonts w:eastAsia="Times New Roman" w:cs="Calibri"/>
                <w:noProof/>
                <w:szCs w:val="18"/>
              </w:rPr>
            </w:pPr>
            <w:r>
              <w:rPr>
                <w:noProof/>
              </w:rPr>
              <w:t xml:space="preserve">Předložit výsledky auditů stavebních prací, osvědčení příjemců o dokončení investic a doklad o platbě k potvrzení realizace vybraných investičních projektů v průmyslových parcích. </w:t>
            </w:r>
          </w:p>
          <w:p w14:paraId="7E88ED07" w14:textId="77777777" w:rsidR="00515398" w:rsidRDefault="00515398">
            <w:pPr>
              <w:spacing w:after="0" w:line="240" w:lineRule="auto"/>
              <w:ind w:left="198" w:hanging="198"/>
              <w:rPr>
                <w:rFonts w:eastAsia="Times New Roman" w:cs="Calibri"/>
                <w:noProof/>
                <w:color w:val="006100"/>
                <w:sz w:val="18"/>
                <w:szCs w:val="18"/>
              </w:rPr>
            </w:pPr>
          </w:p>
        </w:tc>
        <w:tc>
          <w:tcPr>
            <w:tcW w:w="866" w:type="dxa"/>
            <w:tcBorders>
              <w:top w:val="single" w:sz="4" w:space="0" w:color="auto"/>
              <w:left w:val="nil"/>
              <w:bottom w:val="single" w:sz="4" w:space="0" w:color="auto"/>
              <w:right w:val="single" w:sz="4" w:space="0" w:color="auto"/>
            </w:tcBorders>
            <w:shd w:val="clear" w:color="auto" w:fill="C6EFCE"/>
            <w:noWrap/>
          </w:tcPr>
          <w:p w14:paraId="65FA109D"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55C469A" w14:textId="77777777" w:rsidR="00515398" w:rsidRDefault="00515398">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000D6D8C" w14:textId="77777777" w:rsidR="00515398" w:rsidRDefault="00515398">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1E30410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3C3C0AC8" w14:textId="77777777" w:rsidR="00515398" w:rsidRDefault="006711E6">
            <w:pPr>
              <w:pStyle w:val="P68B1DB1-Normal9"/>
              <w:spacing w:after="0" w:line="240" w:lineRule="auto"/>
              <w:rPr>
                <w:rFonts w:eastAsia="Times New Roman" w:cs="Calibri"/>
                <w:noProof/>
                <w:szCs w:val="18"/>
              </w:rPr>
            </w:pPr>
            <w:r>
              <w:rPr>
                <w:noProof/>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66765C37" w14:textId="77777777" w:rsidR="00515398" w:rsidRDefault="006711E6">
            <w:pPr>
              <w:pStyle w:val="P68B1DB1-Normal9"/>
              <w:spacing w:after="0" w:line="240" w:lineRule="auto"/>
              <w:rPr>
                <w:rFonts w:eastAsia="Times New Roman" w:cs="Calibri"/>
                <w:noProof/>
                <w:szCs w:val="18"/>
              </w:rPr>
            </w:pPr>
            <w:r>
              <w:rPr>
                <w:noProof/>
              </w:rPr>
              <w:t xml:space="preserve">Dokončení výstavby všech investičních projektů vybraných v rámci konkurenčních výzev k předkládání návrhů. </w:t>
            </w:r>
          </w:p>
        </w:tc>
      </w:tr>
      <w:tr w:rsidR="00515398" w14:paraId="11D91869"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117AC304" w14:textId="77777777" w:rsidR="00515398" w:rsidRDefault="006711E6">
            <w:pPr>
              <w:pStyle w:val="P68B1DB1-Normal9"/>
              <w:spacing w:after="0" w:line="240" w:lineRule="auto"/>
              <w:rPr>
                <w:rFonts w:eastAsia="Times New Roman" w:cs="Calibri"/>
                <w:noProof/>
                <w:szCs w:val="18"/>
              </w:rPr>
            </w:pPr>
            <w:r>
              <w:rPr>
                <w:noProof/>
              </w:rPr>
              <w:t>308</w:t>
            </w:r>
          </w:p>
        </w:tc>
        <w:tc>
          <w:tcPr>
            <w:tcW w:w="1517" w:type="dxa"/>
            <w:tcBorders>
              <w:top w:val="single" w:sz="4" w:space="0" w:color="auto"/>
              <w:left w:val="nil"/>
              <w:bottom w:val="single" w:sz="4" w:space="0" w:color="auto"/>
              <w:right w:val="single" w:sz="4" w:space="0" w:color="auto"/>
            </w:tcBorders>
            <w:shd w:val="clear" w:color="auto" w:fill="C6EFCE"/>
            <w:noWrap/>
          </w:tcPr>
          <w:p w14:paraId="2D983863"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 odvětví – 16593_Změna právního rámce pro přilákání strategických investic</w:t>
            </w:r>
          </w:p>
        </w:tc>
        <w:tc>
          <w:tcPr>
            <w:tcW w:w="1298" w:type="dxa"/>
            <w:tcBorders>
              <w:top w:val="single" w:sz="4" w:space="0" w:color="auto"/>
              <w:left w:val="nil"/>
              <w:bottom w:val="single" w:sz="4" w:space="0" w:color="auto"/>
              <w:right w:val="single" w:sz="4" w:space="0" w:color="auto"/>
            </w:tcBorders>
            <w:shd w:val="clear" w:color="auto" w:fill="C6EFCE"/>
            <w:noWrap/>
          </w:tcPr>
          <w:p w14:paraId="43B7EFD4"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single" w:sz="4" w:space="0" w:color="auto"/>
              <w:left w:val="nil"/>
              <w:bottom w:val="single" w:sz="4" w:space="0" w:color="auto"/>
              <w:right w:val="single" w:sz="4" w:space="0" w:color="auto"/>
            </w:tcBorders>
            <w:shd w:val="clear" w:color="auto" w:fill="C6EFCE"/>
            <w:noWrap/>
          </w:tcPr>
          <w:p w14:paraId="027864E5" w14:textId="77777777" w:rsidR="00515398" w:rsidRDefault="006711E6">
            <w:pPr>
              <w:pStyle w:val="P68B1DB1-Normal9"/>
              <w:spacing w:after="0" w:line="240" w:lineRule="auto"/>
              <w:rPr>
                <w:rFonts w:eastAsia="Times New Roman" w:cs="Calibri"/>
                <w:noProof/>
                <w:szCs w:val="18"/>
              </w:rPr>
            </w:pPr>
            <w:r>
              <w:rPr>
                <w:noProof/>
              </w:rPr>
              <w:t>Strategické investice – realizace investic</w:t>
            </w:r>
          </w:p>
        </w:tc>
        <w:tc>
          <w:tcPr>
            <w:tcW w:w="1823" w:type="dxa"/>
            <w:tcBorders>
              <w:top w:val="single" w:sz="4" w:space="0" w:color="auto"/>
              <w:left w:val="nil"/>
              <w:bottom w:val="single" w:sz="4" w:space="0" w:color="auto"/>
              <w:right w:val="single" w:sz="4" w:space="0" w:color="auto"/>
            </w:tcBorders>
            <w:shd w:val="clear" w:color="auto" w:fill="C6EFCE"/>
            <w:noWrap/>
          </w:tcPr>
          <w:p w14:paraId="5FC3669A" w14:textId="06C3F624" w:rsidR="00515398" w:rsidRDefault="006711E6">
            <w:pPr>
              <w:pStyle w:val="P68B1DB1-Normal10"/>
              <w:spacing w:after="0" w:line="240" w:lineRule="auto"/>
              <w:rPr>
                <w:rFonts w:eastAsia="Times New Roman" w:cs="Calibri"/>
                <w:noProof/>
              </w:rPr>
            </w:pPr>
            <w:r>
              <w:rPr>
                <w:noProof/>
              </w:rPr>
              <w:t>Poskytnout výsledky auditů stavebních prací a osvědčení příjemců o dokončení investic za účelem potvrzení realizace vybraných investičních projektů v rámci „Emblematic Investments of Great Significance“.</w:t>
            </w:r>
          </w:p>
        </w:tc>
        <w:tc>
          <w:tcPr>
            <w:tcW w:w="866" w:type="dxa"/>
            <w:tcBorders>
              <w:top w:val="single" w:sz="4" w:space="0" w:color="auto"/>
              <w:left w:val="nil"/>
              <w:bottom w:val="single" w:sz="4" w:space="0" w:color="auto"/>
              <w:right w:val="single" w:sz="4" w:space="0" w:color="auto"/>
            </w:tcBorders>
            <w:shd w:val="clear" w:color="auto" w:fill="C6EFCE"/>
            <w:noWrap/>
          </w:tcPr>
          <w:p w14:paraId="664411BD"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5C6970CD" w14:textId="77777777" w:rsidR="00515398" w:rsidRDefault="00515398">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54194CF3" w14:textId="77777777" w:rsidR="00515398" w:rsidRDefault="00515398">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69A9F65E"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385D6A29" w14:textId="77777777" w:rsidR="00515398" w:rsidRDefault="006711E6">
            <w:pPr>
              <w:pStyle w:val="P68B1DB1-Normal9"/>
              <w:spacing w:after="0" w:line="240" w:lineRule="auto"/>
              <w:rPr>
                <w:rFonts w:eastAsia="Times New Roman" w:cs="Calibri"/>
                <w:noProof/>
                <w:szCs w:val="18"/>
              </w:rPr>
            </w:pPr>
            <w:r>
              <w:rPr>
                <w:noProof/>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72BE83F4" w14:textId="26C669F8" w:rsidR="00515398" w:rsidRDefault="006711E6">
            <w:pPr>
              <w:pStyle w:val="P68B1DB1-Normal9"/>
              <w:spacing w:after="0" w:line="240" w:lineRule="auto"/>
              <w:rPr>
                <w:rFonts w:eastAsia="Times New Roman" w:cs="Calibri"/>
                <w:noProof/>
                <w:szCs w:val="18"/>
              </w:rPr>
            </w:pPr>
            <w:r>
              <w:rPr>
                <w:noProof/>
              </w:rPr>
              <w:t>Dokončení výstavby všech Emblematic Investments of Great Significance vybraných v souladu s rozhodnutím o schválení meziresortního výboru pro strategické investice.</w:t>
            </w:r>
          </w:p>
        </w:tc>
      </w:tr>
      <w:tr w:rsidR="00515398" w14:paraId="230123EA" w14:textId="77777777">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14:paraId="508A35DB" w14:textId="77777777" w:rsidR="00515398" w:rsidRDefault="006711E6">
            <w:pPr>
              <w:pStyle w:val="P68B1DB1-Normal9"/>
              <w:spacing w:after="0" w:line="240" w:lineRule="auto"/>
              <w:rPr>
                <w:rFonts w:eastAsia="Times New Roman" w:cs="Calibri"/>
                <w:noProof/>
                <w:szCs w:val="18"/>
              </w:rPr>
            </w:pPr>
            <w:r>
              <w:rPr>
                <w:noProof/>
              </w:rPr>
              <w:t>309</w:t>
            </w:r>
          </w:p>
        </w:tc>
        <w:tc>
          <w:tcPr>
            <w:tcW w:w="1517" w:type="dxa"/>
            <w:tcBorders>
              <w:top w:val="single" w:sz="4" w:space="0" w:color="auto"/>
              <w:left w:val="nil"/>
              <w:bottom w:val="single" w:sz="4" w:space="0" w:color="auto"/>
              <w:right w:val="single" w:sz="4" w:space="0" w:color="auto"/>
            </w:tcBorders>
            <w:shd w:val="clear" w:color="auto" w:fill="C6EFCE"/>
            <w:noWrap/>
          </w:tcPr>
          <w:p w14:paraId="6140F7DC" w14:textId="77777777" w:rsidR="00515398" w:rsidRDefault="006711E6">
            <w:pPr>
              <w:pStyle w:val="P68B1DB1-Normal9"/>
              <w:spacing w:after="0" w:line="240" w:lineRule="auto"/>
              <w:rPr>
                <w:rFonts w:eastAsia="Times New Roman" w:cs="Calibri"/>
                <w:noProof/>
                <w:szCs w:val="18"/>
              </w:rPr>
            </w:pPr>
            <w:r>
              <w:rPr>
                <w:noProof/>
              </w:rPr>
              <w:t>17–4.6. Modernizace a zlepšení odolnosti klíčových hospodářských</w:t>
            </w:r>
            <w:r>
              <w:rPr>
                <w:noProof/>
              </w:rPr>
              <w:t xml:space="preserve"> odvětví – 16721_Urychlení inteligentní výroby</w:t>
            </w:r>
          </w:p>
        </w:tc>
        <w:tc>
          <w:tcPr>
            <w:tcW w:w="1298" w:type="dxa"/>
            <w:tcBorders>
              <w:top w:val="single" w:sz="4" w:space="0" w:color="auto"/>
              <w:left w:val="nil"/>
              <w:bottom w:val="single" w:sz="4" w:space="0" w:color="auto"/>
              <w:right w:val="single" w:sz="4" w:space="0" w:color="auto"/>
            </w:tcBorders>
            <w:shd w:val="clear" w:color="auto" w:fill="C6EFCE"/>
            <w:noWrap/>
          </w:tcPr>
          <w:p w14:paraId="1471A2F1" w14:textId="77777777" w:rsidR="00515398" w:rsidRDefault="006711E6">
            <w:pPr>
              <w:pStyle w:val="P68B1DB1-Normal9"/>
              <w:spacing w:after="0" w:line="240" w:lineRule="auto"/>
              <w:rPr>
                <w:rFonts w:eastAsia="Times New Roman" w:cs="Calibri"/>
                <w:noProof/>
                <w:szCs w:val="18"/>
              </w:rPr>
            </w:pPr>
            <w:r>
              <w:rPr>
                <w:noProof/>
              </w:rPr>
              <w:t>Milník</w:t>
            </w:r>
          </w:p>
        </w:tc>
        <w:tc>
          <w:tcPr>
            <w:tcW w:w="1396" w:type="dxa"/>
            <w:tcBorders>
              <w:top w:val="single" w:sz="4" w:space="0" w:color="auto"/>
              <w:left w:val="nil"/>
              <w:bottom w:val="single" w:sz="4" w:space="0" w:color="auto"/>
              <w:right w:val="single" w:sz="4" w:space="0" w:color="auto"/>
            </w:tcBorders>
            <w:shd w:val="clear" w:color="auto" w:fill="C6EFCE"/>
            <w:noWrap/>
          </w:tcPr>
          <w:p w14:paraId="6684C03B" w14:textId="77777777" w:rsidR="00515398" w:rsidRDefault="006711E6">
            <w:pPr>
              <w:pStyle w:val="P68B1DB1-Normal9"/>
              <w:spacing w:after="0" w:line="240" w:lineRule="auto"/>
              <w:rPr>
                <w:rFonts w:eastAsia="Times New Roman" w:cs="Calibri"/>
                <w:noProof/>
                <w:szCs w:val="18"/>
              </w:rPr>
            </w:pPr>
            <w:r>
              <w:rPr>
                <w:noProof/>
              </w:rPr>
              <w:t>Výroba, odvětví – provádění investic</w:t>
            </w:r>
          </w:p>
        </w:tc>
        <w:tc>
          <w:tcPr>
            <w:tcW w:w="1823" w:type="dxa"/>
            <w:tcBorders>
              <w:top w:val="single" w:sz="4" w:space="0" w:color="auto"/>
              <w:left w:val="nil"/>
              <w:bottom w:val="single" w:sz="4" w:space="0" w:color="auto"/>
              <w:right w:val="single" w:sz="4" w:space="0" w:color="auto"/>
            </w:tcBorders>
            <w:shd w:val="clear" w:color="auto" w:fill="C6EFCE"/>
            <w:noWrap/>
          </w:tcPr>
          <w:p w14:paraId="0DCF789E" w14:textId="77777777" w:rsidR="00515398" w:rsidRDefault="006711E6">
            <w:pPr>
              <w:pStyle w:val="P68B1DB1-Normal9"/>
              <w:spacing w:after="0" w:line="240" w:lineRule="auto"/>
              <w:rPr>
                <w:rFonts w:eastAsia="Times New Roman" w:cs="Calibri"/>
                <w:noProof/>
                <w:szCs w:val="18"/>
              </w:rPr>
            </w:pPr>
            <w:r>
              <w:rPr>
                <w:noProof/>
              </w:rPr>
              <w:t xml:space="preserve">Předložit výsledky auditů intervenčních prací, osvědčení příjemců o dokončení investice a doklad o platbě potvrzující realizaci vybraných investičních projektů v </w:t>
            </w:r>
          </w:p>
          <w:p w14:paraId="6B530F6D" w14:textId="77777777" w:rsidR="00515398" w:rsidRDefault="006711E6">
            <w:pPr>
              <w:pStyle w:val="P68B1DB1-Normal9"/>
              <w:spacing w:after="0" w:line="240" w:lineRule="auto"/>
              <w:rPr>
                <w:rFonts w:eastAsia="Times New Roman" w:cs="Calibri"/>
                <w:noProof/>
                <w:szCs w:val="18"/>
              </w:rPr>
            </w:pPr>
            <w:r>
              <w:rPr>
                <w:noProof/>
              </w:rPr>
              <w:t>výrobní odvětví.</w:t>
            </w:r>
          </w:p>
        </w:tc>
        <w:tc>
          <w:tcPr>
            <w:tcW w:w="866" w:type="dxa"/>
            <w:tcBorders>
              <w:top w:val="single" w:sz="4" w:space="0" w:color="auto"/>
              <w:left w:val="nil"/>
              <w:bottom w:val="single" w:sz="4" w:space="0" w:color="auto"/>
              <w:right w:val="single" w:sz="4" w:space="0" w:color="auto"/>
            </w:tcBorders>
            <w:shd w:val="clear" w:color="auto" w:fill="C6EFCE"/>
            <w:noWrap/>
          </w:tcPr>
          <w:p w14:paraId="6C83B41E"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3A1D5EB" w14:textId="77777777" w:rsidR="00515398" w:rsidRDefault="00515398">
            <w:pPr>
              <w:spacing w:after="0" w:line="240" w:lineRule="auto"/>
              <w:rPr>
                <w:rFonts w:eastAsia="Times New Roman" w:cs="Calibri"/>
                <w:noProof/>
                <w:color w:val="006100"/>
                <w:sz w:val="18"/>
                <w:szCs w:val="18"/>
              </w:rPr>
            </w:pPr>
          </w:p>
        </w:tc>
        <w:tc>
          <w:tcPr>
            <w:tcW w:w="691" w:type="dxa"/>
            <w:tcBorders>
              <w:top w:val="single" w:sz="4" w:space="0" w:color="auto"/>
              <w:left w:val="nil"/>
              <w:bottom w:val="single" w:sz="4" w:space="0" w:color="auto"/>
              <w:right w:val="single" w:sz="4" w:space="0" w:color="auto"/>
            </w:tcBorders>
            <w:shd w:val="clear" w:color="auto" w:fill="C6EFCE"/>
            <w:noWrap/>
          </w:tcPr>
          <w:p w14:paraId="429844F4" w14:textId="77777777" w:rsidR="00515398" w:rsidRDefault="00515398">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669A2166"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9" w:type="dxa"/>
            <w:tcBorders>
              <w:top w:val="single" w:sz="4" w:space="0" w:color="auto"/>
              <w:left w:val="nil"/>
              <w:bottom w:val="single" w:sz="4" w:space="0" w:color="auto"/>
              <w:right w:val="single" w:sz="4" w:space="0" w:color="auto"/>
            </w:tcBorders>
            <w:shd w:val="clear" w:color="auto" w:fill="C6EFCE"/>
            <w:noWrap/>
          </w:tcPr>
          <w:p w14:paraId="42004150" w14:textId="77777777" w:rsidR="00515398" w:rsidRDefault="006711E6">
            <w:pPr>
              <w:pStyle w:val="P68B1DB1-Normal9"/>
              <w:spacing w:after="0" w:line="240" w:lineRule="auto"/>
              <w:rPr>
                <w:rFonts w:eastAsia="Times New Roman" w:cs="Calibri"/>
                <w:noProof/>
                <w:szCs w:val="18"/>
              </w:rPr>
            </w:pPr>
            <w:r>
              <w:rPr>
                <w:noProof/>
              </w:rPr>
              <w:t>2025</w:t>
            </w:r>
          </w:p>
        </w:tc>
        <w:tc>
          <w:tcPr>
            <w:tcW w:w="4308" w:type="dxa"/>
            <w:tcBorders>
              <w:top w:val="single" w:sz="4" w:space="0" w:color="auto"/>
              <w:left w:val="nil"/>
              <w:bottom w:val="single" w:sz="4" w:space="0" w:color="auto"/>
              <w:right w:val="single" w:sz="4" w:space="0" w:color="auto"/>
            </w:tcBorders>
            <w:shd w:val="clear" w:color="auto" w:fill="C6EFCE"/>
            <w:noWrap/>
          </w:tcPr>
          <w:p w14:paraId="1ED66C30" w14:textId="77777777" w:rsidR="00515398" w:rsidRDefault="006711E6">
            <w:pPr>
              <w:pStyle w:val="P68B1DB1-Normal9"/>
              <w:spacing w:after="0" w:line="240" w:lineRule="auto"/>
              <w:rPr>
                <w:rFonts w:eastAsia="Times New Roman" w:cs="Calibri"/>
                <w:noProof/>
                <w:szCs w:val="18"/>
              </w:rPr>
            </w:pPr>
            <w:r>
              <w:rPr>
                <w:noProof/>
              </w:rPr>
              <w:t>Dokončení výstavby všech investičních projektů vybraných v rámci konkurenčních výzev k předkládání návrhů.</w:t>
            </w:r>
          </w:p>
        </w:tc>
      </w:tr>
    </w:tbl>
    <w:p w14:paraId="7DCB7D81" w14:textId="77777777" w:rsidR="00515398" w:rsidRDefault="00515398">
      <w:pPr>
        <w:spacing w:before="120" w:after="0" w:line="240" w:lineRule="auto"/>
        <w:jc w:val="both"/>
        <w:rPr>
          <w:rFonts w:ascii="Times New Roman" w:hAnsi="Times New Roman" w:cs="Times New Roman"/>
          <w:noProof/>
          <w:sz w:val="24"/>
        </w:rPr>
      </w:pPr>
    </w:p>
    <w:p w14:paraId="029AB23B" w14:textId="77777777" w:rsidR="00515398" w:rsidRDefault="00515398">
      <w:pPr>
        <w:spacing w:before="120" w:after="0" w:line="240" w:lineRule="auto"/>
        <w:jc w:val="both"/>
        <w:rPr>
          <w:rFonts w:ascii="Times New Roman" w:hAnsi="Times New Roman" w:cs="Times New Roman"/>
          <w:noProof/>
          <w:sz w:val="24"/>
        </w:rPr>
        <w:sectPr w:rsidR="00515398" w:rsidSect="00271D33">
          <w:headerReference w:type="even" r:id="rId289"/>
          <w:headerReference w:type="default" r:id="rId290"/>
          <w:footerReference w:type="even" r:id="rId291"/>
          <w:footerReference w:type="default" r:id="rId292"/>
          <w:headerReference w:type="first" r:id="rId293"/>
          <w:footerReference w:type="first" r:id="rId294"/>
          <w:pgSz w:w="16839" w:h="11907" w:orient="landscape"/>
          <w:pgMar w:top="720" w:right="720" w:bottom="720" w:left="720" w:header="709" w:footer="709" w:gutter="0"/>
          <w:cols w:space="720"/>
          <w:docGrid w:linePitch="360"/>
        </w:sectPr>
      </w:pPr>
    </w:p>
    <w:p w14:paraId="33E2DA5F" w14:textId="77777777" w:rsidR="00515398" w:rsidRDefault="006711E6">
      <w:pPr>
        <w:pStyle w:val="P68B1DB1-Normal6"/>
        <w:keepNext/>
        <w:keepLines/>
        <w:spacing w:before="40" w:after="0" w:line="240" w:lineRule="auto"/>
        <w:jc w:val="both"/>
        <w:outlineLvl w:val="4"/>
        <w:rPr>
          <w:rFonts w:eastAsia="Times New Roman"/>
          <w:noProof/>
        </w:rPr>
      </w:pPr>
      <w:r>
        <w:rPr>
          <w:noProof/>
        </w:rPr>
        <w:t>Skupina 28: Zemědělství</w:t>
      </w:r>
    </w:p>
    <w:p w14:paraId="20E03AC8" w14:textId="77777777" w:rsidR="00515398" w:rsidRDefault="006711E6">
      <w:pPr>
        <w:pStyle w:val="P68B1DB1-Normal4"/>
        <w:numPr>
          <w:ilvl w:val="0"/>
          <w:numId w:val="27"/>
        </w:numPr>
        <w:spacing w:before="120" w:after="0" w:line="240" w:lineRule="auto"/>
        <w:jc w:val="both"/>
        <w:rPr>
          <w:rFonts w:cs="Times New Roman"/>
          <w:noProof/>
        </w:rPr>
      </w:pPr>
      <w:r>
        <w:rPr>
          <w:noProof/>
        </w:rPr>
        <w:t xml:space="preserve">Hospodářská </w:t>
      </w:r>
      <w:r>
        <w:rPr>
          <w:noProof/>
        </w:rPr>
        <w:t>transformace v odvětví zemědělství (ID: 16626)</w:t>
      </w:r>
    </w:p>
    <w:p w14:paraId="553BD1CD" w14:textId="77777777" w:rsidR="00515398" w:rsidRDefault="006711E6">
      <w:pPr>
        <w:pStyle w:val="P68B1DB1-Normal4"/>
        <w:numPr>
          <w:ilvl w:val="0"/>
          <w:numId w:val="27"/>
        </w:numPr>
        <w:spacing w:before="120" w:after="0" w:line="240" w:lineRule="auto"/>
        <w:jc w:val="both"/>
        <w:rPr>
          <w:rFonts w:cs="Times New Roman"/>
          <w:noProof/>
        </w:rPr>
      </w:pPr>
      <w:r>
        <w:rPr>
          <w:noProof/>
        </w:rPr>
        <w:t>Digitální transformace zemědělsko-potravinářského odvětví (ID: 16653)</w:t>
      </w:r>
    </w:p>
    <w:p w14:paraId="72EC7E13" w14:textId="77777777" w:rsidR="00515398" w:rsidRDefault="006711E6">
      <w:pPr>
        <w:pStyle w:val="P68B1DB1-Normal4"/>
        <w:numPr>
          <w:ilvl w:val="0"/>
          <w:numId w:val="27"/>
        </w:numPr>
        <w:spacing w:before="120" w:after="0" w:line="240" w:lineRule="auto"/>
        <w:jc w:val="both"/>
        <w:rPr>
          <w:rFonts w:cs="Times New Roman"/>
          <w:noProof/>
        </w:rPr>
      </w:pPr>
      <w:r>
        <w:rPr>
          <w:noProof/>
        </w:rPr>
        <w:t>Návrhy opatření v odvětví akvakultury (ID: 16584)</w:t>
      </w:r>
    </w:p>
    <w:p w14:paraId="75AD83E7" w14:textId="77777777" w:rsidR="00515398" w:rsidRDefault="006711E6">
      <w:pPr>
        <w:pStyle w:val="P68B1DB1-Normal4"/>
        <w:numPr>
          <w:ilvl w:val="0"/>
          <w:numId w:val="27"/>
        </w:numPr>
        <w:spacing w:before="120" w:after="120" w:line="240" w:lineRule="auto"/>
        <w:jc w:val="both"/>
        <w:rPr>
          <w:rFonts w:cs="Times New Roman"/>
          <w:noProof/>
        </w:rPr>
      </w:pPr>
      <w:r>
        <w:rPr>
          <w:noProof/>
        </w:rPr>
        <w:t>Investice do vnitrostátní zavlažovací sítě prostřednictvím programů partnerství veřejného</w:t>
      </w:r>
      <w:r>
        <w:rPr>
          <w:noProof/>
        </w:rPr>
        <w:t xml:space="preserve"> a soukromého sektoru (ID: 16285)</w:t>
      </w:r>
    </w:p>
    <w:tbl>
      <w:tblPr>
        <w:tblW w:w="15951" w:type="dxa"/>
        <w:jc w:val="center"/>
        <w:tblLook w:val="04A0" w:firstRow="1" w:lastRow="0" w:firstColumn="1" w:lastColumn="0" w:noHBand="0" w:noVBand="1"/>
      </w:tblPr>
      <w:tblGrid>
        <w:gridCol w:w="1252"/>
        <w:gridCol w:w="1832"/>
        <w:gridCol w:w="1589"/>
        <w:gridCol w:w="1413"/>
        <w:gridCol w:w="1704"/>
        <w:gridCol w:w="927"/>
        <w:gridCol w:w="857"/>
        <w:gridCol w:w="587"/>
        <w:gridCol w:w="984"/>
        <w:gridCol w:w="687"/>
        <w:gridCol w:w="4332"/>
      </w:tblGrid>
      <w:tr w:rsidR="00515398" w14:paraId="146B7067" w14:textId="77777777">
        <w:trPr>
          <w:trHeight w:val="731"/>
          <w:tblHeader/>
          <w:jc w:val="center"/>
        </w:trPr>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AA2F6E"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EA41D6"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(reforma nebo investice)</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EC9566"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2C17B0"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95862B"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234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848ECAF" w14:textId="77777777"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533" w:type="dxa"/>
            <w:gridSpan w:val="2"/>
            <w:tcBorders>
              <w:top w:val="single" w:sz="4" w:space="0" w:color="auto"/>
              <w:left w:val="nil"/>
              <w:bottom w:val="single" w:sz="4" w:space="0" w:color="auto"/>
              <w:right w:val="single" w:sz="4" w:space="0" w:color="auto"/>
            </w:tcBorders>
            <w:shd w:val="clear" w:color="auto" w:fill="BDD7EE"/>
            <w:vAlign w:val="center"/>
            <w:hideMark/>
          </w:tcPr>
          <w:p w14:paraId="50ACDB97"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710221"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21BCD386" w14:textId="77777777">
        <w:trPr>
          <w:trHeight w:val="504"/>
          <w:tblHeader/>
          <w:jc w:val="center"/>
        </w:trPr>
        <w:tc>
          <w:tcPr>
            <w:tcW w:w="1252" w:type="dxa"/>
            <w:vMerge/>
            <w:tcBorders>
              <w:top w:val="single" w:sz="4" w:space="0" w:color="auto"/>
              <w:left w:val="single" w:sz="4" w:space="0" w:color="auto"/>
              <w:bottom w:val="single" w:sz="4" w:space="0" w:color="auto"/>
              <w:right w:val="single" w:sz="4" w:space="0" w:color="auto"/>
            </w:tcBorders>
            <w:vAlign w:val="center"/>
            <w:hideMark/>
          </w:tcPr>
          <w:p w14:paraId="78C3CCAC" w14:textId="77777777" w:rsidR="00515398" w:rsidRDefault="00515398">
            <w:pPr>
              <w:spacing w:after="0" w:line="240" w:lineRule="auto"/>
              <w:rPr>
                <w:rFonts w:ascii="Times New Roman" w:eastAsia="Times New Roman" w:hAnsi="Times New Roman" w:cs="Times New Roman"/>
                <w:b/>
                <w:noProof/>
                <w:sz w:val="18"/>
                <w:szCs w:val="18"/>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0A8FD79A" w14:textId="77777777" w:rsidR="00515398" w:rsidRDefault="00515398">
            <w:pPr>
              <w:spacing w:after="0" w:line="240" w:lineRule="auto"/>
              <w:rPr>
                <w:rFonts w:ascii="Times New Roman" w:eastAsia="Times New Roman" w:hAnsi="Times New Roman" w:cs="Times New Roman"/>
                <w:b/>
                <w:noProof/>
                <w:sz w:val="18"/>
                <w:szCs w:val="18"/>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4B4EDED3" w14:textId="77777777" w:rsidR="00515398" w:rsidRDefault="00515398">
            <w:pPr>
              <w:spacing w:after="0" w:line="240" w:lineRule="auto"/>
              <w:rPr>
                <w:rFonts w:ascii="Times New Roman" w:eastAsia="Times New Roman" w:hAnsi="Times New Roman" w:cs="Times New Roman"/>
                <w:b/>
                <w:noProof/>
                <w:sz w:val="18"/>
                <w:szCs w:val="18"/>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2BC7211E" w14:textId="77777777" w:rsidR="00515398" w:rsidRDefault="00515398">
            <w:pPr>
              <w:spacing w:after="0" w:line="240" w:lineRule="auto"/>
              <w:rPr>
                <w:rFonts w:ascii="Times New Roman" w:eastAsia="Times New Roman" w:hAnsi="Times New Roman" w:cs="Times New Roman"/>
                <w:b/>
                <w:noProof/>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14E34EC" w14:textId="77777777" w:rsidR="00515398" w:rsidRDefault="00515398">
            <w:pPr>
              <w:spacing w:after="0" w:line="240" w:lineRule="auto"/>
              <w:rPr>
                <w:rFonts w:ascii="Times New Roman" w:eastAsia="Times New Roman" w:hAnsi="Times New Roman" w:cs="Times New Roman"/>
                <w:b/>
                <w:noProof/>
                <w:sz w:val="18"/>
                <w:szCs w:val="18"/>
              </w:rPr>
            </w:pPr>
          </w:p>
        </w:tc>
        <w:tc>
          <w:tcPr>
            <w:tcW w:w="89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50FDFB"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14:paraId="3E2C3B29"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14:paraId="41E6577B"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14:paraId="3CB6EBC4"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687" w:type="dxa"/>
            <w:tcBorders>
              <w:top w:val="single" w:sz="4" w:space="0" w:color="auto"/>
              <w:left w:val="nil"/>
              <w:bottom w:val="single" w:sz="4" w:space="0" w:color="auto"/>
              <w:right w:val="single" w:sz="4" w:space="0" w:color="auto"/>
            </w:tcBorders>
            <w:shd w:val="clear" w:color="auto" w:fill="BDD7EE"/>
            <w:vAlign w:val="center"/>
            <w:hideMark/>
          </w:tcPr>
          <w:p w14:paraId="507F8F20"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4332" w:type="dxa"/>
            <w:vMerge/>
            <w:tcBorders>
              <w:top w:val="single" w:sz="4" w:space="0" w:color="auto"/>
              <w:bottom w:val="single" w:sz="4" w:space="0" w:color="auto"/>
              <w:right w:val="single" w:sz="4" w:space="0" w:color="auto"/>
            </w:tcBorders>
            <w:vAlign w:val="center"/>
            <w:hideMark/>
          </w:tcPr>
          <w:p w14:paraId="48A29F0F" w14:textId="77777777" w:rsidR="00515398" w:rsidRDefault="00515398">
            <w:pPr>
              <w:spacing w:after="0" w:line="240" w:lineRule="auto"/>
              <w:rPr>
                <w:rFonts w:ascii="Times New Roman" w:eastAsia="Times New Roman" w:hAnsi="Times New Roman" w:cs="Times New Roman"/>
                <w:b/>
                <w:noProof/>
                <w:sz w:val="18"/>
                <w:szCs w:val="18"/>
              </w:rPr>
            </w:pPr>
          </w:p>
        </w:tc>
      </w:tr>
      <w:tr w:rsidR="00515398" w14:paraId="278178AF" w14:textId="77777777">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40B83AF" w14:textId="77777777" w:rsidR="00515398" w:rsidRDefault="006711E6">
            <w:pPr>
              <w:pStyle w:val="P68B1DB1-Normal9"/>
              <w:spacing w:after="0" w:line="240" w:lineRule="auto"/>
              <w:rPr>
                <w:rFonts w:eastAsia="Times New Roman" w:cs="Calibri"/>
                <w:noProof/>
                <w:szCs w:val="18"/>
              </w:rPr>
            </w:pPr>
            <w:r>
              <w:rPr>
                <w:noProof/>
              </w:rPr>
              <w:t>310</w:t>
            </w:r>
          </w:p>
        </w:tc>
        <w:tc>
          <w:tcPr>
            <w:tcW w:w="1832" w:type="dxa"/>
            <w:tcBorders>
              <w:top w:val="single" w:sz="4" w:space="0" w:color="auto"/>
              <w:left w:val="nil"/>
              <w:bottom w:val="single" w:sz="4" w:space="0" w:color="auto"/>
              <w:right w:val="single" w:sz="4" w:space="0" w:color="auto"/>
            </w:tcBorders>
            <w:shd w:val="clear" w:color="auto" w:fill="C6EFCE"/>
            <w:noWrap/>
          </w:tcPr>
          <w:p w14:paraId="28C7BFC5" w14:textId="77777777" w:rsidR="00515398" w:rsidRDefault="006711E6">
            <w:pPr>
              <w:pStyle w:val="P68B1DB1-Normal9"/>
              <w:spacing w:after="0" w:line="240" w:lineRule="auto"/>
              <w:rPr>
                <w:rFonts w:eastAsia="Times New Roman"/>
                <w:noProof/>
                <w:szCs w:val="18"/>
              </w:rPr>
            </w:pPr>
            <w:r>
              <w:rPr>
                <w:noProof/>
              </w:rPr>
              <w:t>17–4.6. Modernizace a zlepšení odolnosti klíčových hospodářských odvětví – 16626_Hospodářská transformace v odvětví zemědělství</w:t>
            </w:r>
          </w:p>
        </w:tc>
        <w:tc>
          <w:tcPr>
            <w:tcW w:w="1589" w:type="dxa"/>
            <w:tcBorders>
              <w:top w:val="single" w:sz="4" w:space="0" w:color="auto"/>
              <w:left w:val="nil"/>
              <w:bottom w:val="single" w:sz="4" w:space="0" w:color="auto"/>
              <w:right w:val="single" w:sz="4" w:space="0" w:color="auto"/>
            </w:tcBorders>
            <w:shd w:val="clear" w:color="auto" w:fill="C6EFCE"/>
            <w:noWrap/>
          </w:tcPr>
          <w:p w14:paraId="1214B153" w14:textId="77777777" w:rsidR="00515398" w:rsidRDefault="006711E6">
            <w:pPr>
              <w:pStyle w:val="P68B1DB1-Normal9"/>
              <w:spacing w:after="0" w:line="240" w:lineRule="auto"/>
              <w:rPr>
                <w:rFonts w:eastAsia="Times New Roman"/>
                <w:noProof/>
                <w:szCs w:val="18"/>
              </w:rPr>
            </w:pPr>
            <w:r>
              <w:rPr>
                <w:noProof/>
              </w:rPr>
              <w:t>Milník</w:t>
            </w:r>
          </w:p>
        </w:tc>
        <w:tc>
          <w:tcPr>
            <w:tcW w:w="1366" w:type="dxa"/>
            <w:tcBorders>
              <w:top w:val="single" w:sz="4" w:space="0" w:color="auto"/>
              <w:left w:val="nil"/>
              <w:bottom w:val="single" w:sz="4" w:space="0" w:color="auto"/>
              <w:right w:val="single" w:sz="4" w:space="0" w:color="auto"/>
            </w:tcBorders>
            <w:shd w:val="clear" w:color="auto" w:fill="C6EFCE"/>
            <w:noWrap/>
          </w:tcPr>
          <w:p w14:paraId="3EE37EF1" w14:textId="77777777" w:rsidR="00515398" w:rsidRDefault="006711E6">
            <w:pPr>
              <w:pStyle w:val="P68B1DB1-Normal9"/>
              <w:spacing w:after="0" w:line="240" w:lineRule="auto"/>
              <w:rPr>
                <w:rFonts w:eastAsia="Times New Roman"/>
                <w:noProof/>
                <w:szCs w:val="18"/>
              </w:rPr>
            </w:pPr>
            <w:r>
              <w:rPr>
                <w:noProof/>
              </w:rPr>
              <w:t>Hospodářská transformace zemědělství: Zahájení programu</w:t>
            </w:r>
          </w:p>
        </w:tc>
        <w:tc>
          <w:tcPr>
            <w:tcW w:w="1704" w:type="dxa"/>
            <w:tcBorders>
              <w:top w:val="single" w:sz="4" w:space="0" w:color="auto"/>
              <w:left w:val="nil"/>
              <w:bottom w:val="single" w:sz="4" w:space="0" w:color="auto"/>
              <w:right w:val="single" w:sz="4" w:space="0" w:color="auto"/>
            </w:tcBorders>
            <w:shd w:val="clear" w:color="auto" w:fill="C6EFCE"/>
            <w:noWrap/>
          </w:tcPr>
          <w:p w14:paraId="3889A976" w14:textId="77777777" w:rsidR="00515398" w:rsidRDefault="006711E6">
            <w:pPr>
              <w:pStyle w:val="P68B1DB1-Normal9"/>
              <w:spacing w:after="0" w:line="240" w:lineRule="auto"/>
              <w:rPr>
                <w:noProof/>
                <w:szCs w:val="18"/>
              </w:rPr>
            </w:pPr>
            <w:r>
              <w:rPr>
                <w:noProof/>
              </w:rPr>
              <w:t xml:space="preserve">Podepsána </w:t>
            </w:r>
            <w:r>
              <w:rPr>
                <w:noProof/>
              </w:rPr>
              <w:t>smlouva s prováděcím partnerem</w:t>
            </w:r>
          </w:p>
          <w:p w14:paraId="1436D967" w14:textId="77777777" w:rsidR="00515398" w:rsidRDefault="00515398">
            <w:pPr>
              <w:spacing w:after="0" w:line="240" w:lineRule="auto"/>
              <w:rPr>
                <w:rFonts w:cs="Calibri"/>
                <w:noProof/>
                <w:color w:val="006100"/>
                <w:sz w:val="18"/>
                <w:szCs w:val="18"/>
              </w:rPr>
            </w:pPr>
          </w:p>
          <w:p w14:paraId="173F0D7A" w14:textId="77777777" w:rsidR="00515398" w:rsidRDefault="00515398">
            <w:pPr>
              <w:spacing w:after="0" w:line="240" w:lineRule="auto"/>
              <w:rPr>
                <w:rFonts w:eastAsia="Times New Roman" w:cs="Calibri"/>
                <w:noProof/>
                <w:color w:val="006100"/>
                <w:sz w:val="18"/>
                <w:szCs w:val="18"/>
              </w:rPr>
            </w:pPr>
          </w:p>
        </w:tc>
        <w:tc>
          <w:tcPr>
            <w:tcW w:w="899" w:type="dxa"/>
            <w:tcBorders>
              <w:top w:val="single" w:sz="4" w:space="0" w:color="auto"/>
              <w:left w:val="nil"/>
              <w:bottom w:val="single" w:sz="4" w:space="0" w:color="auto"/>
              <w:right w:val="single" w:sz="4" w:space="0" w:color="auto"/>
            </w:tcBorders>
            <w:shd w:val="clear" w:color="auto" w:fill="C6EFCE"/>
            <w:noWrap/>
          </w:tcPr>
          <w:p w14:paraId="68F4B89D"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0F5B6130" w14:textId="77777777" w:rsidR="00515398" w:rsidRDefault="00515398">
            <w:pPr>
              <w:spacing w:after="0" w:line="240" w:lineRule="auto"/>
              <w:rPr>
                <w:rFonts w:eastAsia="Times New Roman" w:cs="Calibri"/>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3FAC3578" w14:textId="77777777" w:rsidR="00515398" w:rsidRDefault="00515398">
            <w:pPr>
              <w:spacing w:after="0" w:line="240" w:lineRule="auto"/>
              <w:rPr>
                <w:rFonts w:eastAsia="Times New Roman" w:cs="Calibri"/>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tcPr>
          <w:p w14:paraId="4C8C1DED" w14:textId="77777777" w:rsidR="00515398" w:rsidRDefault="006711E6">
            <w:pPr>
              <w:pStyle w:val="P68B1DB1-Normal9"/>
              <w:spacing w:after="0" w:line="240" w:lineRule="auto"/>
              <w:rPr>
                <w:rFonts w:eastAsia="Times New Roman"/>
                <w:noProof/>
                <w:szCs w:val="18"/>
              </w:rPr>
            </w:pPr>
            <w:r>
              <w:rPr>
                <w:noProof/>
              </w:rPr>
              <w:t>ČTVRTLETÍ 1</w:t>
            </w:r>
          </w:p>
        </w:tc>
        <w:tc>
          <w:tcPr>
            <w:tcW w:w="687" w:type="dxa"/>
            <w:tcBorders>
              <w:top w:val="nil"/>
              <w:left w:val="nil"/>
              <w:bottom w:val="single" w:sz="4" w:space="0" w:color="auto"/>
              <w:right w:val="single" w:sz="4" w:space="0" w:color="auto"/>
            </w:tcBorders>
            <w:shd w:val="clear" w:color="auto" w:fill="C6EFCE"/>
            <w:noWrap/>
          </w:tcPr>
          <w:p w14:paraId="3664E510" w14:textId="77777777" w:rsidR="00515398" w:rsidRDefault="006711E6">
            <w:pPr>
              <w:pStyle w:val="P68B1DB1-Normal9"/>
              <w:spacing w:after="0" w:line="240" w:lineRule="auto"/>
              <w:rPr>
                <w:rFonts w:eastAsia="Times New Roman"/>
                <w:noProof/>
                <w:szCs w:val="18"/>
              </w:rPr>
            </w:pPr>
            <w:r>
              <w:rPr>
                <w:noProof/>
              </w:rPr>
              <w:t>2022</w:t>
            </w:r>
          </w:p>
        </w:tc>
        <w:tc>
          <w:tcPr>
            <w:tcW w:w="4332" w:type="dxa"/>
            <w:tcBorders>
              <w:top w:val="single" w:sz="4" w:space="0" w:color="auto"/>
              <w:left w:val="nil"/>
              <w:bottom w:val="single" w:sz="4" w:space="0" w:color="auto"/>
              <w:right w:val="single" w:sz="4" w:space="0" w:color="auto"/>
            </w:tcBorders>
            <w:shd w:val="clear" w:color="auto" w:fill="C6EFCE"/>
            <w:noWrap/>
          </w:tcPr>
          <w:p w14:paraId="57B47A17" w14:textId="77777777" w:rsidR="00515398" w:rsidRDefault="006711E6">
            <w:pPr>
              <w:pStyle w:val="P68B1DB1-Normal9"/>
              <w:spacing w:after="0" w:line="240" w:lineRule="auto"/>
              <w:rPr>
                <w:noProof/>
                <w:szCs w:val="18"/>
              </w:rPr>
            </w:pPr>
            <w:r>
              <w:rPr>
                <w:noProof/>
              </w:rPr>
              <w:t>Vyhlášení výzev k hospodářské transformaci zemědělského odvětví:</w:t>
            </w:r>
          </w:p>
          <w:p w14:paraId="41BCB80C" w14:textId="77777777" w:rsidR="00515398" w:rsidRDefault="006711E6">
            <w:pPr>
              <w:pStyle w:val="P68B1DB1-Normal9"/>
              <w:spacing w:after="0" w:line="240" w:lineRule="auto"/>
              <w:rPr>
                <w:noProof/>
                <w:szCs w:val="18"/>
              </w:rPr>
            </w:pPr>
            <w:r>
              <w:rPr>
                <w:noProof/>
              </w:rPr>
              <w:t>Konkurenční výzvy k předkládání návrhů s mandátem, včetně kritérií způsobilosti, která zajišťují, že vybrané projekty splňují technické po</w:t>
            </w:r>
            <w:r>
              <w:rPr>
                <w:noProof/>
              </w:rPr>
              <w:t>kyny „významně nepoškozovat“ (2021/C58/01) prostřednictvím seznamu vyloučení a požadavku souladu s příslušnými právními předpisy EU a vnitrostátními právními předpisy v oblasti životního prostředí.</w:t>
            </w:r>
          </w:p>
          <w:p w14:paraId="7FED6937" w14:textId="77777777" w:rsidR="00515398" w:rsidRDefault="00515398">
            <w:pPr>
              <w:spacing w:after="0" w:line="240" w:lineRule="auto"/>
              <w:rPr>
                <w:noProof/>
                <w:color w:val="006100"/>
                <w:sz w:val="18"/>
                <w:szCs w:val="18"/>
              </w:rPr>
            </w:pPr>
          </w:p>
          <w:p w14:paraId="51EA6069" w14:textId="77777777" w:rsidR="00515398" w:rsidRDefault="006711E6">
            <w:pPr>
              <w:pStyle w:val="P68B1DB1-Normal9"/>
              <w:spacing w:after="0" w:line="240" w:lineRule="auto"/>
              <w:rPr>
                <w:rFonts w:eastAsia="Times New Roman"/>
                <w:noProof/>
                <w:szCs w:val="18"/>
              </w:rPr>
            </w:pPr>
            <w:r>
              <w:rPr>
                <w:noProof/>
              </w:rPr>
              <w:t>Soutěžní výzvy zahrnují tato opatření: opatření souvisejí</w:t>
            </w:r>
            <w:r>
              <w:rPr>
                <w:noProof/>
              </w:rPr>
              <w:t>cí s energetickou modernizací výrobních jednotek, budov a mechanických zařízení s nízkou spotřebou energie, energetickou modernizací zařízení cestovního ruchu (budovy), ekologickými dopravními prostředky (elektrickými automobily, jízdními koly atd.), podpo</w:t>
            </w:r>
            <w:r>
              <w:rPr>
                <w:noProof/>
              </w:rPr>
              <w:t>rou výrobních procesů šetrných k životnímu prostředí a účinným využíváním zdrojů v malých a středních podnicích, obnovitelnou energií (solární), opatřeními pro přizpůsobení se změně klimatu a preventivními opatřeními a řízením rizik souvisejících s klimate</w:t>
            </w:r>
            <w:r>
              <w:rPr>
                <w:noProof/>
              </w:rPr>
              <w:t>m, ochranou biologické rozmanitosti a přírodním dědictvím a zdroji.</w:t>
            </w:r>
          </w:p>
        </w:tc>
      </w:tr>
      <w:tr w:rsidR="00515398" w14:paraId="361EBB4F" w14:textId="77777777">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CFF9191" w14:textId="77777777" w:rsidR="00515398" w:rsidRDefault="006711E6">
            <w:pPr>
              <w:pStyle w:val="P68B1DB1-Normal9"/>
              <w:spacing w:after="0" w:line="240" w:lineRule="auto"/>
              <w:rPr>
                <w:rFonts w:eastAsia="Times New Roman"/>
                <w:noProof/>
                <w:szCs w:val="18"/>
              </w:rPr>
            </w:pPr>
            <w:r>
              <w:rPr>
                <w:noProof/>
              </w:rPr>
              <w:t>311</w:t>
            </w:r>
          </w:p>
        </w:tc>
        <w:tc>
          <w:tcPr>
            <w:tcW w:w="1832" w:type="dxa"/>
            <w:tcBorders>
              <w:top w:val="nil"/>
              <w:left w:val="nil"/>
              <w:bottom w:val="single" w:sz="4" w:space="0" w:color="auto"/>
              <w:right w:val="single" w:sz="4" w:space="0" w:color="auto"/>
            </w:tcBorders>
            <w:shd w:val="clear" w:color="auto" w:fill="C6EFCE"/>
            <w:noWrap/>
            <w:hideMark/>
          </w:tcPr>
          <w:p w14:paraId="63801FCC" w14:textId="77777777" w:rsidR="00515398" w:rsidRDefault="006711E6">
            <w:pPr>
              <w:pStyle w:val="P68B1DB1-Normal9"/>
              <w:spacing w:after="0" w:line="240" w:lineRule="auto"/>
              <w:rPr>
                <w:rFonts w:eastAsia="Times New Roman"/>
                <w:noProof/>
                <w:szCs w:val="18"/>
              </w:rPr>
            </w:pPr>
            <w:r>
              <w:rPr>
                <w:noProof/>
              </w:rPr>
              <w:t xml:space="preserve"> 17–4.6. Modernizace a zlepšení odolnosti klíčových hospodářských odvětví – 16653_Digitální transformace zemědělsko-potravinářského odvětví </w:t>
            </w:r>
          </w:p>
        </w:tc>
        <w:tc>
          <w:tcPr>
            <w:tcW w:w="1589" w:type="dxa"/>
            <w:tcBorders>
              <w:top w:val="nil"/>
              <w:left w:val="nil"/>
              <w:bottom w:val="single" w:sz="4" w:space="0" w:color="auto"/>
              <w:right w:val="single" w:sz="4" w:space="0" w:color="auto"/>
            </w:tcBorders>
            <w:shd w:val="clear" w:color="auto" w:fill="C6EFCE"/>
            <w:noWrap/>
            <w:hideMark/>
          </w:tcPr>
          <w:p w14:paraId="4550B0D2" w14:textId="77777777" w:rsidR="00515398" w:rsidRDefault="006711E6">
            <w:pPr>
              <w:pStyle w:val="P68B1DB1-Normal9"/>
              <w:spacing w:after="0" w:line="240" w:lineRule="auto"/>
              <w:rPr>
                <w:rFonts w:eastAsia="Times New Roman"/>
                <w:noProof/>
                <w:szCs w:val="18"/>
              </w:rPr>
            </w:pPr>
            <w:r>
              <w:rPr>
                <w:noProof/>
              </w:rPr>
              <w:t> Milník</w:t>
            </w:r>
          </w:p>
        </w:tc>
        <w:tc>
          <w:tcPr>
            <w:tcW w:w="1366" w:type="dxa"/>
            <w:tcBorders>
              <w:top w:val="nil"/>
              <w:left w:val="nil"/>
              <w:bottom w:val="single" w:sz="4" w:space="0" w:color="auto"/>
              <w:right w:val="single" w:sz="4" w:space="0" w:color="auto"/>
            </w:tcBorders>
            <w:shd w:val="clear" w:color="auto" w:fill="C6EFCE"/>
            <w:noWrap/>
            <w:hideMark/>
          </w:tcPr>
          <w:p w14:paraId="439C4EB7" w14:textId="77777777" w:rsidR="00515398" w:rsidRDefault="006711E6">
            <w:pPr>
              <w:pStyle w:val="P68B1DB1-Normal9"/>
              <w:spacing w:after="0" w:line="240" w:lineRule="auto"/>
              <w:rPr>
                <w:rFonts w:eastAsia="Times New Roman"/>
                <w:noProof/>
                <w:szCs w:val="18"/>
              </w:rPr>
            </w:pPr>
            <w:r>
              <w:rPr>
                <w:noProof/>
              </w:rPr>
              <w:t xml:space="preserve">Vyhlášení výzvy k digitální transformaci zemědělsko-potravinářského odvětví </w:t>
            </w:r>
          </w:p>
        </w:tc>
        <w:tc>
          <w:tcPr>
            <w:tcW w:w="1704" w:type="dxa"/>
            <w:tcBorders>
              <w:top w:val="nil"/>
              <w:left w:val="nil"/>
              <w:bottom w:val="single" w:sz="4" w:space="0" w:color="auto"/>
              <w:right w:val="single" w:sz="4" w:space="0" w:color="auto"/>
            </w:tcBorders>
            <w:shd w:val="clear" w:color="auto" w:fill="C6EFCE"/>
            <w:noWrap/>
            <w:hideMark/>
          </w:tcPr>
          <w:p w14:paraId="5E84A7EF" w14:textId="77777777" w:rsidR="00515398" w:rsidRDefault="006711E6">
            <w:pPr>
              <w:pStyle w:val="P68B1DB1-Normal9"/>
              <w:spacing w:after="0" w:line="240" w:lineRule="auto"/>
              <w:rPr>
                <w:rFonts w:eastAsia="Times New Roman"/>
                <w:noProof/>
                <w:szCs w:val="18"/>
              </w:rPr>
            </w:pPr>
            <w:r>
              <w:rPr>
                <w:noProof/>
              </w:rPr>
              <w:t xml:space="preserve">Zahájení výzvy </w:t>
            </w:r>
          </w:p>
        </w:tc>
        <w:tc>
          <w:tcPr>
            <w:tcW w:w="899" w:type="dxa"/>
            <w:tcBorders>
              <w:top w:val="nil"/>
              <w:left w:val="nil"/>
              <w:bottom w:val="single" w:sz="4" w:space="0" w:color="auto"/>
              <w:right w:val="single" w:sz="4" w:space="0" w:color="auto"/>
            </w:tcBorders>
            <w:shd w:val="clear" w:color="auto" w:fill="C6EFCE"/>
            <w:noWrap/>
          </w:tcPr>
          <w:p w14:paraId="222B536B"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732BF04E" w14:textId="77777777" w:rsidR="00515398" w:rsidRDefault="00515398">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tcPr>
          <w:p w14:paraId="77AEE8A1" w14:textId="77777777" w:rsidR="00515398" w:rsidRDefault="00515398">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0C1F51EA" w14:textId="61E108D7" w:rsidR="00515398" w:rsidRDefault="006711E6">
            <w:pPr>
              <w:pStyle w:val="P68B1DB1-Normal9"/>
              <w:spacing w:after="0" w:line="240" w:lineRule="auto"/>
              <w:rPr>
                <w:rFonts w:eastAsia="Times New Roman"/>
                <w:noProof/>
                <w:szCs w:val="18"/>
              </w:rPr>
            </w:pPr>
            <w:r>
              <w:rPr>
                <w:noProof/>
              </w:rPr>
              <w:t>ČTVRTLETÍ 3</w:t>
            </w:r>
          </w:p>
        </w:tc>
        <w:tc>
          <w:tcPr>
            <w:tcW w:w="687" w:type="dxa"/>
            <w:tcBorders>
              <w:top w:val="nil"/>
              <w:left w:val="nil"/>
              <w:bottom w:val="single" w:sz="4" w:space="0" w:color="auto"/>
              <w:right w:val="single" w:sz="4" w:space="0" w:color="auto"/>
            </w:tcBorders>
            <w:shd w:val="clear" w:color="auto" w:fill="C6EFCE"/>
            <w:noWrap/>
            <w:hideMark/>
          </w:tcPr>
          <w:p w14:paraId="2896475D" w14:textId="77777777" w:rsidR="00515398" w:rsidRDefault="006711E6">
            <w:pPr>
              <w:pStyle w:val="P68B1DB1-Normal9"/>
              <w:spacing w:after="0" w:line="240" w:lineRule="auto"/>
              <w:rPr>
                <w:rFonts w:eastAsia="Times New Roman"/>
                <w:noProof/>
                <w:szCs w:val="18"/>
              </w:rPr>
            </w:pPr>
            <w:r>
              <w:rPr>
                <w:noProof/>
              </w:rPr>
              <w:t>2022 </w:t>
            </w:r>
          </w:p>
        </w:tc>
        <w:tc>
          <w:tcPr>
            <w:tcW w:w="4332" w:type="dxa"/>
            <w:tcBorders>
              <w:top w:val="nil"/>
              <w:left w:val="nil"/>
              <w:bottom w:val="single" w:sz="4" w:space="0" w:color="auto"/>
              <w:right w:val="single" w:sz="4" w:space="0" w:color="auto"/>
            </w:tcBorders>
            <w:shd w:val="clear" w:color="auto" w:fill="C6EFCE"/>
            <w:noWrap/>
            <w:hideMark/>
          </w:tcPr>
          <w:p w14:paraId="283C8DF5" w14:textId="77777777" w:rsidR="00515398" w:rsidRDefault="006711E6">
            <w:pPr>
              <w:pStyle w:val="P68B1DB1-Normal9"/>
              <w:spacing w:after="0" w:line="240" w:lineRule="auto"/>
              <w:rPr>
                <w:rFonts w:eastAsia="Times New Roman"/>
                <w:noProof/>
                <w:szCs w:val="18"/>
              </w:rPr>
            </w:pPr>
            <w:r>
              <w:rPr>
                <w:noProof/>
              </w:rPr>
              <w:t>Vyhlášení výzvy pro projekt digitální transformace pro rozvoj rozsáhlé otevřené digitální zemědělské infrastruktury a kognitivního zemědělskéh</w:t>
            </w:r>
            <w:r>
              <w:rPr>
                <w:noProof/>
              </w:rPr>
              <w:t>o prostředí pro výrobní proces a hospodaření s přírodními zdroji.</w:t>
            </w:r>
          </w:p>
        </w:tc>
      </w:tr>
      <w:tr w:rsidR="00515398" w14:paraId="001E4AD8" w14:textId="77777777">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36725CE" w14:textId="77777777" w:rsidR="00515398" w:rsidRDefault="006711E6">
            <w:pPr>
              <w:pStyle w:val="P68B1DB1-Normal9"/>
              <w:spacing w:after="0" w:line="240" w:lineRule="auto"/>
              <w:rPr>
                <w:rFonts w:eastAsia="Times New Roman"/>
                <w:noProof/>
                <w:szCs w:val="18"/>
              </w:rPr>
            </w:pPr>
            <w:r>
              <w:rPr>
                <w:noProof/>
              </w:rPr>
              <w:t>313</w:t>
            </w:r>
          </w:p>
        </w:tc>
        <w:tc>
          <w:tcPr>
            <w:tcW w:w="1832" w:type="dxa"/>
            <w:tcBorders>
              <w:top w:val="nil"/>
              <w:left w:val="nil"/>
              <w:bottom w:val="single" w:sz="4" w:space="0" w:color="auto"/>
              <w:right w:val="single" w:sz="4" w:space="0" w:color="auto"/>
            </w:tcBorders>
            <w:shd w:val="clear" w:color="auto" w:fill="C6EFCE"/>
            <w:noWrap/>
            <w:hideMark/>
          </w:tcPr>
          <w:p w14:paraId="47221DD6" w14:textId="77777777" w:rsidR="00515398" w:rsidRDefault="006711E6">
            <w:pPr>
              <w:pStyle w:val="P68B1DB1-Normal9"/>
              <w:spacing w:after="0" w:line="240" w:lineRule="auto"/>
              <w:rPr>
                <w:rFonts w:eastAsia="Times New Roman"/>
                <w:noProof/>
                <w:szCs w:val="18"/>
              </w:rPr>
            </w:pPr>
            <w:r>
              <w:rPr>
                <w:noProof/>
              </w:rPr>
              <w:t> 17–4.6. Modernizace a zlepšení odolnosti klíčových hospodářských odvětví – 16653_Digitální transformace zemědělsko-potravinářského odvětví</w:t>
            </w:r>
          </w:p>
        </w:tc>
        <w:tc>
          <w:tcPr>
            <w:tcW w:w="1589" w:type="dxa"/>
            <w:tcBorders>
              <w:top w:val="nil"/>
              <w:left w:val="nil"/>
              <w:bottom w:val="single" w:sz="4" w:space="0" w:color="auto"/>
              <w:right w:val="single" w:sz="4" w:space="0" w:color="auto"/>
            </w:tcBorders>
            <w:shd w:val="clear" w:color="auto" w:fill="C6EFCE"/>
            <w:noWrap/>
            <w:hideMark/>
          </w:tcPr>
          <w:p w14:paraId="02DF77F5" w14:textId="77777777" w:rsidR="00515398" w:rsidRDefault="006711E6">
            <w:pPr>
              <w:pStyle w:val="P68B1DB1-Normal9"/>
              <w:spacing w:after="0" w:line="240" w:lineRule="auto"/>
              <w:rPr>
                <w:rFonts w:eastAsia="Times New Roman"/>
                <w:noProof/>
                <w:szCs w:val="18"/>
              </w:rPr>
            </w:pPr>
            <w:r>
              <w:rPr>
                <w:noProof/>
              </w:rPr>
              <w:t>Milník</w:t>
            </w:r>
          </w:p>
        </w:tc>
        <w:tc>
          <w:tcPr>
            <w:tcW w:w="1366" w:type="dxa"/>
            <w:tcBorders>
              <w:top w:val="nil"/>
              <w:left w:val="nil"/>
              <w:bottom w:val="single" w:sz="4" w:space="0" w:color="auto"/>
              <w:right w:val="single" w:sz="4" w:space="0" w:color="auto"/>
            </w:tcBorders>
            <w:shd w:val="clear" w:color="auto" w:fill="C6EFCE"/>
            <w:noWrap/>
            <w:hideMark/>
          </w:tcPr>
          <w:p w14:paraId="5209A3FB" w14:textId="77777777" w:rsidR="00515398" w:rsidRDefault="006711E6">
            <w:pPr>
              <w:pStyle w:val="P68B1DB1-Normal9"/>
              <w:spacing w:after="0" w:line="240" w:lineRule="auto"/>
              <w:rPr>
                <w:rFonts w:eastAsia="Times New Roman"/>
                <w:noProof/>
                <w:szCs w:val="18"/>
              </w:rPr>
            </w:pPr>
            <w:r>
              <w:rPr>
                <w:noProof/>
              </w:rPr>
              <w:t xml:space="preserve">Dokončení projektu digitální </w:t>
            </w:r>
            <w:r>
              <w:rPr>
                <w:noProof/>
              </w:rPr>
              <w:t>transformace zemědělství</w:t>
            </w:r>
          </w:p>
        </w:tc>
        <w:tc>
          <w:tcPr>
            <w:tcW w:w="1704" w:type="dxa"/>
            <w:tcBorders>
              <w:top w:val="nil"/>
              <w:left w:val="nil"/>
              <w:bottom w:val="single" w:sz="4" w:space="0" w:color="auto"/>
              <w:right w:val="single" w:sz="4" w:space="0" w:color="auto"/>
            </w:tcBorders>
            <w:shd w:val="clear" w:color="auto" w:fill="C6EFCE"/>
            <w:noWrap/>
            <w:hideMark/>
          </w:tcPr>
          <w:p w14:paraId="56E4B3F1" w14:textId="77777777" w:rsidR="00515398" w:rsidRDefault="006711E6">
            <w:pPr>
              <w:pStyle w:val="P68B1DB1-Normal9"/>
              <w:spacing w:after="0" w:line="240" w:lineRule="auto"/>
              <w:rPr>
                <w:rFonts w:eastAsia="Times New Roman"/>
                <w:noProof/>
                <w:szCs w:val="18"/>
              </w:rPr>
            </w:pPr>
            <w:r>
              <w:rPr>
                <w:noProof/>
              </w:rPr>
              <w:t>Zpráva o dokončení. Vnější digitální zemědělské služby začleněné do platformy Easy Agro Expo.</w:t>
            </w:r>
          </w:p>
        </w:tc>
        <w:tc>
          <w:tcPr>
            <w:tcW w:w="899" w:type="dxa"/>
            <w:tcBorders>
              <w:top w:val="nil"/>
              <w:left w:val="nil"/>
              <w:bottom w:val="single" w:sz="4" w:space="0" w:color="auto"/>
              <w:right w:val="single" w:sz="4" w:space="0" w:color="auto"/>
            </w:tcBorders>
            <w:shd w:val="clear" w:color="auto" w:fill="C6EFCE"/>
            <w:noWrap/>
            <w:hideMark/>
          </w:tcPr>
          <w:p w14:paraId="1ED81AA4"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hideMark/>
          </w:tcPr>
          <w:p w14:paraId="6382C33E" w14:textId="77777777" w:rsidR="00515398" w:rsidRDefault="00515398">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hideMark/>
          </w:tcPr>
          <w:p w14:paraId="2A890E2C" w14:textId="77777777" w:rsidR="00515398" w:rsidRDefault="00515398">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66F16FFF" w14:textId="77777777" w:rsidR="00515398" w:rsidRDefault="006711E6">
            <w:pPr>
              <w:pStyle w:val="P68B1DB1-Normal9"/>
              <w:spacing w:after="0" w:line="240" w:lineRule="auto"/>
              <w:rPr>
                <w:rFonts w:eastAsia="Times New Roman"/>
                <w:noProof/>
                <w:szCs w:val="18"/>
              </w:rPr>
            </w:pPr>
            <w:r>
              <w:rPr>
                <w:noProof/>
              </w:rPr>
              <w:t>ČTVRTLETÍ</w:t>
            </w:r>
          </w:p>
        </w:tc>
        <w:tc>
          <w:tcPr>
            <w:tcW w:w="687" w:type="dxa"/>
            <w:tcBorders>
              <w:top w:val="nil"/>
              <w:left w:val="nil"/>
              <w:bottom w:val="single" w:sz="4" w:space="0" w:color="auto"/>
              <w:right w:val="single" w:sz="4" w:space="0" w:color="auto"/>
            </w:tcBorders>
            <w:shd w:val="clear" w:color="auto" w:fill="C6EFCE"/>
            <w:noWrap/>
            <w:hideMark/>
          </w:tcPr>
          <w:p w14:paraId="57626473" w14:textId="77777777" w:rsidR="00515398" w:rsidRDefault="006711E6">
            <w:pPr>
              <w:pStyle w:val="P68B1DB1-Normal9"/>
              <w:spacing w:after="0" w:line="240" w:lineRule="auto"/>
              <w:rPr>
                <w:rFonts w:eastAsia="Times New Roman"/>
                <w:noProof/>
                <w:szCs w:val="18"/>
              </w:rPr>
            </w:pPr>
            <w:r>
              <w:rPr>
                <w:noProof/>
              </w:rPr>
              <w:t>2025 </w:t>
            </w:r>
          </w:p>
        </w:tc>
        <w:tc>
          <w:tcPr>
            <w:tcW w:w="4332" w:type="dxa"/>
            <w:tcBorders>
              <w:top w:val="nil"/>
              <w:left w:val="nil"/>
              <w:bottom w:val="single" w:sz="4" w:space="0" w:color="auto"/>
              <w:right w:val="single" w:sz="4" w:space="0" w:color="auto"/>
            </w:tcBorders>
            <w:shd w:val="clear" w:color="auto" w:fill="C6EFCE"/>
            <w:noWrap/>
            <w:hideMark/>
          </w:tcPr>
          <w:p w14:paraId="74B46F4F" w14:textId="77777777" w:rsidR="00515398" w:rsidRDefault="006711E6">
            <w:pPr>
              <w:pStyle w:val="P68B1DB1-Normal9"/>
              <w:spacing w:after="0" w:line="240" w:lineRule="auto"/>
              <w:rPr>
                <w:noProof/>
                <w:szCs w:val="18"/>
              </w:rPr>
            </w:pPr>
            <w:r>
              <w:rPr>
                <w:noProof/>
              </w:rPr>
              <w:t>Dokončení obou složek:</w:t>
            </w:r>
          </w:p>
          <w:p w14:paraId="491F1A3E" w14:textId="77777777" w:rsidR="00515398" w:rsidRDefault="006711E6">
            <w:pPr>
              <w:pStyle w:val="P68B1DB1-Normal9"/>
              <w:numPr>
                <w:ilvl w:val="0"/>
                <w:numId w:val="55"/>
              </w:numPr>
              <w:spacing w:before="120" w:after="0" w:line="259" w:lineRule="auto"/>
              <w:ind w:left="476"/>
              <w:contextualSpacing/>
              <w:jc w:val="both"/>
              <w:rPr>
                <w:noProof/>
                <w:szCs w:val="18"/>
              </w:rPr>
            </w:pPr>
            <w:r>
              <w:rPr>
                <w:noProof/>
              </w:rPr>
              <w:t xml:space="preserve">Digitální transformace zemědělského odvětví, která zahrnuje rozvoj rozsáhlé otevřené digitální </w:t>
            </w:r>
            <w:r>
              <w:rPr>
                <w:noProof/>
              </w:rPr>
              <w:t xml:space="preserve">zemědělské infrastruktury s cloudovou (edge computing) infrastrukturou a rozsáhlými schopnostmi zpracování dat (družicových a vzdušných/dronových) dat a multidisciplinárních technologií; </w:t>
            </w:r>
          </w:p>
          <w:p w14:paraId="493E8FC5" w14:textId="77777777" w:rsidR="00515398" w:rsidRDefault="006711E6">
            <w:pPr>
              <w:pStyle w:val="P68B1DB1-Normal9"/>
              <w:numPr>
                <w:ilvl w:val="0"/>
                <w:numId w:val="55"/>
              </w:numPr>
              <w:spacing w:before="120" w:after="0" w:line="259" w:lineRule="auto"/>
              <w:ind w:left="476"/>
              <w:contextualSpacing/>
              <w:jc w:val="both"/>
              <w:rPr>
                <w:rFonts w:eastAsia="Times New Roman"/>
                <w:noProof/>
                <w:szCs w:val="18"/>
              </w:rPr>
            </w:pPr>
            <w:r>
              <w:rPr>
                <w:noProof/>
              </w:rPr>
              <w:t>Zemědělství zaměřené navenek, které zahrnuje zlepšení platformy Easy</w:t>
            </w:r>
            <w:r>
              <w:rPr>
                <w:noProof/>
              </w:rPr>
              <w:t xml:space="preserve"> Agro Expo pro vydávání vývozních certifikátů, vývoj systému pro správu údajů o dovozu a obchodu uvnitř Společenství, vývoj obchodního zpravodajského systému pro dovoz a vývoz a modernizaci portálu pro propagaci produktů v Řecku.</w:t>
            </w:r>
          </w:p>
        </w:tc>
      </w:tr>
      <w:tr w:rsidR="00515398" w14:paraId="6EAA602F" w14:textId="77777777">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14:paraId="2529DE84" w14:textId="77777777" w:rsidR="00515398" w:rsidRDefault="006711E6">
            <w:pPr>
              <w:pStyle w:val="P68B1DB1-Normal9"/>
              <w:spacing w:after="0" w:line="240" w:lineRule="auto"/>
              <w:rPr>
                <w:rFonts w:eastAsia="Times New Roman"/>
                <w:noProof/>
                <w:szCs w:val="18"/>
              </w:rPr>
            </w:pPr>
            <w:r>
              <w:rPr>
                <w:noProof/>
              </w:rPr>
              <w:t>314</w:t>
            </w:r>
          </w:p>
        </w:tc>
        <w:tc>
          <w:tcPr>
            <w:tcW w:w="1832" w:type="dxa"/>
            <w:tcBorders>
              <w:top w:val="nil"/>
              <w:left w:val="nil"/>
              <w:bottom w:val="single" w:sz="4" w:space="0" w:color="auto"/>
              <w:right w:val="single" w:sz="4" w:space="0" w:color="auto"/>
            </w:tcBorders>
            <w:shd w:val="clear" w:color="auto" w:fill="C6EFCE"/>
            <w:noWrap/>
            <w:hideMark/>
          </w:tcPr>
          <w:p w14:paraId="524A4193" w14:textId="77777777" w:rsidR="00515398" w:rsidRDefault="006711E6">
            <w:pPr>
              <w:pStyle w:val="P68B1DB1-Normal9"/>
              <w:spacing w:after="0" w:line="240" w:lineRule="auto"/>
              <w:rPr>
                <w:rFonts w:eastAsia="Times New Roman"/>
                <w:noProof/>
                <w:szCs w:val="18"/>
              </w:rPr>
            </w:pPr>
            <w:r>
              <w:rPr>
                <w:noProof/>
              </w:rPr>
              <w:t>17–4.6. Modernizace a</w:t>
            </w:r>
            <w:r>
              <w:rPr>
                <w:noProof/>
              </w:rPr>
              <w:t xml:space="preserve"> zlepšení odolnosti klíčových hospodářských odvětví – 16626_Hospodářská transformace v odvětví zemědělství</w:t>
            </w:r>
          </w:p>
        </w:tc>
        <w:tc>
          <w:tcPr>
            <w:tcW w:w="1589" w:type="dxa"/>
            <w:tcBorders>
              <w:top w:val="nil"/>
              <w:left w:val="nil"/>
              <w:bottom w:val="single" w:sz="4" w:space="0" w:color="auto"/>
              <w:right w:val="single" w:sz="4" w:space="0" w:color="auto"/>
            </w:tcBorders>
            <w:shd w:val="clear" w:color="auto" w:fill="C6EFCE"/>
            <w:noWrap/>
            <w:hideMark/>
          </w:tcPr>
          <w:p w14:paraId="05C2818B" w14:textId="77777777" w:rsidR="00515398" w:rsidRDefault="006711E6">
            <w:pPr>
              <w:pStyle w:val="P68B1DB1-Normal9"/>
              <w:spacing w:after="0" w:line="240" w:lineRule="auto"/>
              <w:rPr>
                <w:rFonts w:eastAsia="Times New Roman"/>
                <w:noProof/>
                <w:szCs w:val="18"/>
              </w:rPr>
            </w:pPr>
            <w:r>
              <w:rPr>
                <w:noProof/>
              </w:rPr>
              <w:t> Milník</w:t>
            </w:r>
          </w:p>
        </w:tc>
        <w:tc>
          <w:tcPr>
            <w:tcW w:w="1366" w:type="dxa"/>
            <w:tcBorders>
              <w:top w:val="nil"/>
              <w:left w:val="nil"/>
              <w:bottom w:val="single" w:sz="4" w:space="0" w:color="auto"/>
              <w:right w:val="single" w:sz="4" w:space="0" w:color="auto"/>
            </w:tcBorders>
            <w:shd w:val="clear" w:color="auto" w:fill="C6EFCE"/>
            <w:noWrap/>
            <w:hideMark/>
          </w:tcPr>
          <w:p w14:paraId="11F05C82" w14:textId="77777777" w:rsidR="00515398" w:rsidRDefault="006711E6">
            <w:pPr>
              <w:pStyle w:val="P68B1DB1-Normal9"/>
              <w:spacing w:after="0" w:line="240" w:lineRule="auto"/>
              <w:rPr>
                <w:rFonts w:eastAsia="Times New Roman"/>
                <w:noProof/>
                <w:szCs w:val="18"/>
              </w:rPr>
            </w:pPr>
            <w:r>
              <w:rPr>
                <w:noProof/>
              </w:rPr>
              <w:t>Dokončení hospodářské transformace zemědělství</w:t>
            </w:r>
          </w:p>
        </w:tc>
        <w:tc>
          <w:tcPr>
            <w:tcW w:w="1704" w:type="dxa"/>
            <w:tcBorders>
              <w:top w:val="nil"/>
              <w:left w:val="nil"/>
              <w:bottom w:val="single" w:sz="4" w:space="0" w:color="auto"/>
              <w:right w:val="single" w:sz="4" w:space="0" w:color="auto"/>
            </w:tcBorders>
            <w:shd w:val="clear" w:color="auto" w:fill="C6EFCE"/>
            <w:noWrap/>
            <w:hideMark/>
          </w:tcPr>
          <w:p w14:paraId="4D19A4BE" w14:textId="4B150DBA" w:rsidR="00515398" w:rsidRDefault="006711E6">
            <w:pPr>
              <w:pStyle w:val="P68B1DB1-Normal9"/>
              <w:spacing w:after="0" w:line="240" w:lineRule="auto"/>
              <w:rPr>
                <w:rFonts w:eastAsia="Times New Roman"/>
                <w:noProof/>
                <w:szCs w:val="18"/>
              </w:rPr>
            </w:pPr>
            <w:r>
              <w:rPr>
                <w:noProof/>
              </w:rPr>
              <w:t>Uzavření projektu s vydáním osvědčení o auditu poskytnutých Ministerstvem pro rozvoj venkova v</w:t>
            </w:r>
            <w:r>
              <w:rPr>
                <w:noProof/>
              </w:rPr>
              <w:t xml:space="preserve"> souladu s vnitrostátními právními předpisy</w:t>
            </w:r>
          </w:p>
        </w:tc>
        <w:tc>
          <w:tcPr>
            <w:tcW w:w="899" w:type="dxa"/>
            <w:tcBorders>
              <w:top w:val="nil"/>
              <w:left w:val="nil"/>
              <w:bottom w:val="single" w:sz="4" w:space="0" w:color="auto"/>
              <w:right w:val="single" w:sz="4" w:space="0" w:color="auto"/>
            </w:tcBorders>
            <w:shd w:val="clear" w:color="auto" w:fill="C6EFCE"/>
            <w:noWrap/>
            <w:hideMark/>
          </w:tcPr>
          <w:p w14:paraId="6BD1EBBB" w14:textId="77777777" w:rsidR="00515398" w:rsidRDefault="00515398">
            <w:pPr>
              <w:spacing w:after="0" w:line="240" w:lineRule="auto"/>
              <w:rPr>
                <w:rFonts w:eastAsia="Times New Roman"/>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hideMark/>
          </w:tcPr>
          <w:p w14:paraId="6F4D558C" w14:textId="77777777" w:rsidR="00515398" w:rsidRDefault="00515398">
            <w:pPr>
              <w:spacing w:after="0" w:line="240" w:lineRule="auto"/>
              <w:rPr>
                <w:rFonts w:eastAsia="Times New Roman"/>
                <w:noProof/>
                <w:color w:val="006100"/>
                <w:sz w:val="18"/>
                <w:szCs w:val="18"/>
              </w:rPr>
            </w:pPr>
          </w:p>
        </w:tc>
        <w:tc>
          <w:tcPr>
            <w:tcW w:w="587" w:type="dxa"/>
            <w:tcBorders>
              <w:top w:val="nil"/>
              <w:left w:val="nil"/>
              <w:bottom w:val="single" w:sz="4" w:space="0" w:color="auto"/>
              <w:right w:val="single" w:sz="4" w:space="0" w:color="auto"/>
            </w:tcBorders>
            <w:shd w:val="clear" w:color="auto" w:fill="C6EFCE"/>
            <w:noWrap/>
            <w:hideMark/>
          </w:tcPr>
          <w:p w14:paraId="04D7DC5E" w14:textId="77777777" w:rsidR="00515398" w:rsidRDefault="00515398">
            <w:pPr>
              <w:spacing w:after="0" w:line="240" w:lineRule="auto"/>
              <w:rPr>
                <w:rFonts w:eastAsia="Times New Roman"/>
                <w:noProof/>
                <w:color w:val="006100"/>
                <w:sz w:val="18"/>
                <w:szCs w:val="18"/>
              </w:rPr>
            </w:pPr>
          </w:p>
        </w:tc>
        <w:tc>
          <w:tcPr>
            <w:tcW w:w="846" w:type="dxa"/>
            <w:tcBorders>
              <w:top w:val="nil"/>
              <w:left w:val="nil"/>
              <w:bottom w:val="single" w:sz="4" w:space="0" w:color="auto"/>
              <w:right w:val="single" w:sz="4" w:space="0" w:color="auto"/>
            </w:tcBorders>
            <w:shd w:val="clear" w:color="auto" w:fill="C6EFCE"/>
            <w:noWrap/>
            <w:hideMark/>
          </w:tcPr>
          <w:p w14:paraId="682DA30A" w14:textId="77777777" w:rsidR="00515398" w:rsidRDefault="006711E6">
            <w:pPr>
              <w:pStyle w:val="P68B1DB1-Normal9"/>
              <w:spacing w:after="0" w:line="240" w:lineRule="auto"/>
              <w:rPr>
                <w:rFonts w:eastAsia="Times New Roman"/>
                <w:noProof/>
                <w:szCs w:val="18"/>
              </w:rPr>
            </w:pPr>
            <w:r>
              <w:rPr>
                <w:noProof/>
              </w:rPr>
              <w:t>ČTVRTLETÍ ČTVRT</w:t>
            </w:r>
          </w:p>
        </w:tc>
        <w:tc>
          <w:tcPr>
            <w:tcW w:w="687" w:type="dxa"/>
            <w:tcBorders>
              <w:top w:val="nil"/>
              <w:left w:val="nil"/>
              <w:bottom w:val="single" w:sz="4" w:space="0" w:color="auto"/>
              <w:right w:val="single" w:sz="4" w:space="0" w:color="auto"/>
            </w:tcBorders>
            <w:shd w:val="clear" w:color="auto" w:fill="C6EFCE"/>
            <w:noWrap/>
            <w:hideMark/>
          </w:tcPr>
          <w:p w14:paraId="39D4ACDF" w14:textId="77777777" w:rsidR="00515398" w:rsidRDefault="006711E6">
            <w:pPr>
              <w:pStyle w:val="P68B1DB1-Normal9"/>
              <w:spacing w:after="0" w:line="240" w:lineRule="auto"/>
              <w:rPr>
                <w:rFonts w:eastAsia="Times New Roman"/>
                <w:noProof/>
                <w:szCs w:val="18"/>
              </w:rPr>
            </w:pPr>
            <w:r>
              <w:rPr>
                <w:noProof/>
              </w:rPr>
              <w:t>2025</w:t>
            </w:r>
          </w:p>
        </w:tc>
        <w:tc>
          <w:tcPr>
            <w:tcW w:w="4332" w:type="dxa"/>
            <w:tcBorders>
              <w:top w:val="nil"/>
              <w:left w:val="nil"/>
              <w:bottom w:val="single" w:sz="4" w:space="0" w:color="auto"/>
              <w:right w:val="single" w:sz="4" w:space="0" w:color="auto"/>
            </w:tcBorders>
            <w:shd w:val="clear" w:color="auto" w:fill="C6EFCE"/>
            <w:noWrap/>
            <w:hideMark/>
          </w:tcPr>
          <w:p w14:paraId="2EF8B29E" w14:textId="77777777" w:rsidR="00515398" w:rsidRDefault="006711E6">
            <w:pPr>
              <w:pStyle w:val="P68B1DB1-Normal9"/>
              <w:spacing w:before="120" w:after="0" w:line="240" w:lineRule="auto"/>
              <w:jc w:val="both"/>
              <w:rPr>
                <w:noProof/>
                <w:szCs w:val="18"/>
              </w:rPr>
            </w:pPr>
            <w:r>
              <w:rPr>
                <w:noProof/>
              </w:rPr>
              <w:t xml:space="preserve">Hospodářská transformace v odvětví zemědělství: Finanční uzavření všech složek: </w:t>
            </w:r>
          </w:p>
          <w:p w14:paraId="15E91571" w14:textId="77777777" w:rsidR="00515398" w:rsidRDefault="006711E6">
            <w:pPr>
              <w:pStyle w:val="P68B1DB1-Normal9"/>
              <w:spacing w:after="0" w:line="259" w:lineRule="auto"/>
              <w:ind w:left="334"/>
              <w:contextualSpacing/>
              <w:rPr>
                <w:noProof/>
                <w:szCs w:val="18"/>
              </w:rPr>
            </w:pPr>
            <w:r>
              <w:rPr>
                <w:noProof/>
              </w:rPr>
              <w:t>1. Inovace a ekologická transformace v oblasti zpracování zemědělských produktů</w:t>
            </w:r>
          </w:p>
          <w:p w14:paraId="29E852D0" w14:textId="77777777" w:rsidR="00515398" w:rsidRDefault="006711E6">
            <w:pPr>
              <w:pStyle w:val="P68B1DB1-Normal9"/>
              <w:spacing w:after="0" w:line="259" w:lineRule="auto"/>
              <w:ind w:left="334"/>
              <w:contextualSpacing/>
              <w:rPr>
                <w:noProof/>
                <w:szCs w:val="18"/>
              </w:rPr>
            </w:pPr>
            <w:r>
              <w:rPr>
                <w:noProof/>
              </w:rPr>
              <w:t xml:space="preserve">2. Modernizace primárního </w:t>
            </w:r>
            <w:r>
              <w:rPr>
                <w:noProof/>
              </w:rPr>
              <w:t>sektoru</w:t>
            </w:r>
          </w:p>
          <w:p w14:paraId="50BDC955" w14:textId="77777777" w:rsidR="00515398" w:rsidRDefault="006711E6">
            <w:pPr>
              <w:pStyle w:val="P68B1DB1-Normal9"/>
              <w:spacing w:after="0" w:line="259" w:lineRule="auto"/>
              <w:ind w:left="334"/>
              <w:contextualSpacing/>
              <w:rPr>
                <w:noProof/>
                <w:szCs w:val="18"/>
              </w:rPr>
            </w:pPr>
            <w:r>
              <w:rPr>
                <w:noProof/>
              </w:rPr>
              <w:t>3. Zelený venkovský cestovní ruch</w:t>
            </w:r>
          </w:p>
          <w:p w14:paraId="1BE19E91" w14:textId="77777777" w:rsidR="00515398" w:rsidRDefault="006711E6">
            <w:pPr>
              <w:pStyle w:val="P68B1DB1-Normal9"/>
              <w:spacing w:after="0" w:line="259" w:lineRule="auto"/>
              <w:ind w:left="334"/>
              <w:contextualSpacing/>
              <w:rPr>
                <w:noProof/>
                <w:szCs w:val="18"/>
              </w:rPr>
            </w:pPr>
            <w:r>
              <w:rPr>
                <w:noProof/>
              </w:rPr>
              <w:t>4. Restrukturalizace pěstování</w:t>
            </w:r>
          </w:p>
          <w:p w14:paraId="398CEE9A" w14:textId="77777777" w:rsidR="00515398" w:rsidRDefault="006711E6">
            <w:pPr>
              <w:pStyle w:val="P68B1DB1-Normal9"/>
              <w:spacing w:after="0" w:line="259" w:lineRule="auto"/>
              <w:ind w:left="334"/>
              <w:contextualSpacing/>
              <w:rPr>
                <w:noProof/>
                <w:szCs w:val="18"/>
              </w:rPr>
            </w:pPr>
            <w:r>
              <w:rPr>
                <w:noProof/>
              </w:rPr>
              <w:t>5. Genetické zlepšení zvířat</w:t>
            </w:r>
          </w:p>
        </w:tc>
      </w:tr>
      <w:tr w:rsidR="00515398" w14:paraId="318639BB" w14:textId="77777777">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1938EDE7" w14:textId="77777777" w:rsidR="00515398" w:rsidRDefault="006711E6">
            <w:pPr>
              <w:pStyle w:val="P68B1DB1-Normal9"/>
              <w:spacing w:after="0" w:line="240" w:lineRule="auto"/>
              <w:rPr>
                <w:rFonts w:eastAsia="Times New Roman" w:cs="Calibri"/>
                <w:noProof/>
                <w:szCs w:val="18"/>
              </w:rPr>
            </w:pPr>
            <w:r>
              <w:rPr>
                <w:noProof/>
              </w:rPr>
              <w:t>315</w:t>
            </w:r>
          </w:p>
        </w:tc>
        <w:tc>
          <w:tcPr>
            <w:tcW w:w="1832" w:type="dxa"/>
            <w:tcBorders>
              <w:top w:val="single" w:sz="4" w:space="0" w:color="auto"/>
              <w:left w:val="nil"/>
              <w:bottom w:val="single" w:sz="4" w:space="0" w:color="auto"/>
              <w:right w:val="single" w:sz="4" w:space="0" w:color="auto"/>
            </w:tcBorders>
            <w:shd w:val="clear" w:color="auto" w:fill="C6EFCE"/>
            <w:noWrap/>
          </w:tcPr>
          <w:p w14:paraId="380B7017" w14:textId="77777777" w:rsidR="00515398" w:rsidRDefault="006711E6">
            <w:pPr>
              <w:pStyle w:val="P68B1DB1-Normal9"/>
              <w:spacing w:after="0" w:line="240" w:lineRule="auto"/>
              <w:rPr>
                <w:rFonts w:eastAsia="Times New Roman"/>
                <w:noProof/>
                <w:szCs w:val="18"/>
              </w:rPr>
            </w:pPr>
            <w:r>
              <w:rPr>
                <w:noProof/>
              </w:rPr>
              <w:t>17–4.6. Modernizace a zlepšení odolnosti klíčových hospodářských odvětví – 16584_Návrhy opatření v odvětví akvakultury</w:t>
            </w:r>
          </w:p>
        </w:tc>
        <w:tc>
          <w:tcPr>
            <w:tcW w:w="1589" w:type="dxa"/>
            <w:tcBorders>
              <w:top w:val="single" w:sz="4" w:space="0" w:color="auto"/>
              <w:left w:val="nil"/>
              <w:bottom w:val="single" w:sz="4" w:space="0" w:color="auto"/>
              <w:right w:val="single" w:sz="4" w:space="0" w:color="auto"/>
            </w:tcBorders>
            <w:shd w:val="clear" w:color="auto" w:fill="C6EFCE"/>
            <w:noWrap/>
          </w:tcPr>
          <w:p w14:paraId="29D7EC89" w14:textId="77777777" w:rsidR="00515398" w:rsidRDefault="006711E6">
            <w:pPr>
              <w:pStyle w:val="P68B1DB1-Normal9"/>
              <w:spacing w:after="0" w:line="240" w:lineRule="auto"/>
              <w:rPr>
                <w:rFonts w:eastAsia="Times New Roman" w:cs="Calibri"/>
                <w:noProof/>
                <w:szCs w:val="18"/>
              </w:rPr>
            </w:pPr>
            <w:r>
              <w:rPr>
                <w:noProof/>
              </w:rPr>
              <w:t>Milník</w:t>
            </w:r>
          </w:p>
        </w:tc>
        <w:tc>
          <w:tcPr>
            <w:tcW w:w="1366" w:type="dxa"/>
            <w:tcBorders>
              <w:top w:val="single" w:sz="4" w:space="0" w:color="auto"/>
              <w:left w:val="nil"/>
              <w:bottom w:val="single" w:sz="4" w:space="0" w:color="auto"/>
              <w:right w:val="single" w:sz="4" w:space="0" w:color="auto"/>
            </w:tcBorders>
            <w:shd w:val="clear" w:color="auto" w:fill="C6EFCE"/>
            <w:noWrap/>
          </w:tcPr>
          <w:p w14:paraId="5B9A16DD" w14:textId="77777777" w:rsidR="00515398" w:rsidRDefault="006711E6">
            <w:pPr>
              <w:pStyle w:val="P68B1DB1-Normal9"/>
              <w:spacing w:after="0" w:line="240" w:lineRule="auto"/>
              <w:rPr>
                <w:rFonts w:eastAsia="Times New Roman"/>
                <w:noProof/>
                <w:szCs w:val="18"/>
              </w:rPr>
            </w:pPr>
            <w:r>
              <w:rPr>
                <w:noProof/>
              </w:rPr>
              <w:t>Akvakultura dokončena</w:t>
            </w:r>
          </w:p>
        </w:tc>
        <w:tc>
          <w:tcPr>
            <w:tcW w:w="1704" w:type="dxa"/>
            <w:tcBorders>
              <w:top w:val="single" w:sz="4" w:space="0" w:color="auto"/>
              <w:left w:val="nil"/>
              <w:bottom w:val="single" w:sz="4" w:space="0" w:color="auto"/>
              <w:right w:val="single" w:sz="4" w:space="0" w:color="auto"/>
            </w:tcBorders>
            <w:shd w:val="clear" w:color="auto" w:fill="C6EFCE"/>
            <w:noWrap/>
          </w:tcPr>
          <w:p w14:paraId="416C06FC" w14:textId="01BC79C2" w:rsidR="00515398" w:rsidRDefault="006711E6">
            <w:pPr>
              <w:pStyle w:val="P68B1DB1-Normal9"/>
              <w:spacing w:after="0" w:line="240" w:lineRule="auto"/>
              <w:rPr>
                <w:rFonts w:eastAsia="Times New Roman"/>
                <w:noProof/>
                <w:szCs w:val="18"/>
              </w:rPr>
            </w:pPr>
            <w:r>
              <w:rPr>
                <w:noProof/>
              </w:rPr>
              <w:t>Osvědčení o dokončení v souladu s vnitrostátními právními předpisy pro všechny dílčí projekty</w:t>
            </w:r>
          </w:p>
        </w:tc>
        <w:tc>
          <w:tcPr>
            <w:tcW w:w="899" w:type="dxa"/>
            <w:tcBorders>
              <w:top w:val="single" w:sz="4" w:space="0" w:color="auto"/>
              <w:left w:val="nil"/>
              <w:bottom w:val="single" w:sz="4" w:space="0" w:color="auto"/>
              <w:right w:val="single" w:sz="4" w:space="0" w:color="auto"/>
            </w:tcBorders>
            <w:shd w:val="clear" w:color="auto" w:fill="C6EFCE"/>
            <w:noWrap/>
          </w:tcPr>
          <w:p w14:paraId="6854BE32" w14:textId="77777777" w:rsidR="00515398" w:rsidRDefault="00515398">
            <w:pPr>
              <w:spacing w:before="120"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6117D67" w14:textId="77777777" w:rsidR="00515398" w:rsidRDefault="00515398">
            <w:pPr>
              <w:spacing w:after="0" w:line="240" w:lineRule="auto"/>
              <w:rPr>
                <w:rFonts w:eastAsia="Times New Roman"/>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380487D9" w14:textId="77777777" w:rsidR="00515398" w:rsidRDefault="00515398">
            <w:pPr>
              <w:spacing w:after="0" w:line="240" w:lineRule="auto"/>
              <w:rPr>
                <w:rFonts w:eastAsia="Times New Roman"/>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20DC68D9" w14:textId="77777777" w:rsidR="00515398" w:rsidRDefault="006711E6">
            <w:pPr>
              <w:pStyle w:val="P68B1DB1-Normal9"/>
              <w:spacing w:after="0" w:line="240" w:lineRule="auto"/>
              <w:rPr>
                <w:rFonts w:eastAsia="Times New Roman"/>
                <w:noProof/>
                <w:szCs w:val="18"/>
              </w:rPr>
            </w:pPr>
            <w:r>
              <w:rPr>
                <w:noProof/>
              </w:rPr>
              <w:t>ČTVRTLETÍ ČTVRT</w:t>
            </w:r>
          </w:p>
        </w:tc>
        <w:tc>
          <w:tcPr>
            <w:tcW w:w="687" w:type="dxa"/>
            <w:tcBorders>
              <w:top w:val="single" w:sz="4" w:space="0" w:color="auto"/>
              <w:left w:val="nil"/>
              <w:bottom w:val="single" w:sz="4" w:space="0" w:color="auto"/>
              <w:right w:val="single" w:sz="4" w:space="0" w:color="auto"/>
            </w:tcBorders>
            <w:shd w:val="clear" w:color="auto" w:fill="C6EFCE"/>
            <w:noWrap/>
          </w:tcPr>
          <w:p w14:paraId="42AF1E94" w14:textId="77777777" w:rsidR="00515398" w:rsidRDefault="006711E6">
            <w:pPr>
              <w:pStyle w:val="P68B1DB1-Normal9"/>
              <w:spacing w:after="0" w:line="240" w:lineRule="auto"/>
              <w:rPr>
                <w:rFonts w:eastAsia="Times New Roman"/>
                <w:noProof/>
                <w:szCs w:val="18"/>
              </w:rPr>
            </w:pPr>
            <w:r>
              <w:rPr>
                <w:noProof/>
              </w:rPr>
              <w:t>2025</w:t>
            </w:r>
          </w:p>
        </w:tc>
        <w:tc>
          <w:tcPr>
            <w:tcW w:w="4332" w:type="dxa"/>
            <w:tcBorders>
              <w:top w:val="single" w:sz="4" w:space="0" w:color="auto"/>
              <w:left w:val="nil"/>
              <w:bottom w:val="single" w:sz="4" w:space="0" w:color="auto"/>
              <w:right w:val="single" w:sz="4" w:space="0" w:color="auto"/>
            </w:tcBorders>
            <w:shd w:val="clear" w:color="auto" w:fill="C6EFCE"/>
            <w:noWrap/>
          </w:tcPr>
          <w:p w14:paraId="5334F41F" w14:textId="77777777" w:rsidR="00515398" w:rsidRDefault="006711E6">
            <w:pPr>
              <w:pStyle w:val="P68B1DB1-Normal9"/>
              <w:spacing w:after="0" w:line="240" w:lineRule="auto"/>
              <w:rPr>
                <w:noProof/>
                <w:szCs w:val="18"/>
              </w:rPr>
            </w:pPr>
            <w:r>
              <w:rPr>
                <w:noProof/>
              </w:rPr>
              <w:t>Akvakultura: Všechny dokončené akce, které zahrnují modernizaci výrobních jednotek, vybavení, zařízení pro nakládání s odpady, nové techno</w:t>
            </w:r>
            <w:r>
              <w:rPr>
                <w:noProof/>
              </w:rPr>
              <w:t>logie – IKT, podporu nových produktů, přenos know-how, banku genetického materiálu, odborné poradenství.</w:t>
            </w:r>
          </w:p>
        </w:tc>
      </w:tr>
      <w:tr w:rsidR="00515398" w14:paraId="5E9FA4C7" w14:textId="77777777">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05618711" w14:textId="77777777" w:rsidR="00515398" w:rsidRDefault="006711E6">
            <w:pPr>
              <w:pStyle w:val="P68B1DB1-Normal9"/>
              <w:spacing w:after="0" w:line="240" w:lineRule="auto"/>
              <w:rPr>
                <w:rFonts w:eastAsia="Times New Roman" w:cs="Calibri"/>
                <w:noProof/>
                <w:szCs w:val="18"/>
              </w:rPr>
            </w:pPr>
            <w:r>
              <w:rPr>
                <w:noProof/>
              </w:rPr>
              <w:t>316</w:t>
            </w:r>
          </w:p>
        </w:tc>
        <w:tc>
          <w:tcPr>
            <w:tcW w:w="1832" w:type="dxa"/>
            <w:tcBorders>
              <w:top w:val="single" w:sz="4" w:space="0" w:color="auto"/>
              <w:left w:val="nil"/>
              <w:bottom w:val="single" w:sz="4" w:space="0" w:color="auto"/>
              <w:right w:val="single" w:sz="4" w:space="0" w:color="auto"/>
            </w:tcBorders>
            <w:shd w:val="clear" w:color="auto" w:fill="C6EFCE"/>
            <w:noWrap/>
          </w:tcPr>
          <w:p w14:paraId="09873946" w14:textId="77777777" w:rsidR="00515398" w:rsidRDefault="006711E6">
            <w:pPr>
              <w:pStyle w:val="P68B1DB1-Normal9"/>
              <w:spacing w:after="0" w:line="240" w:lineRule="auto"/>
              <w:rPr>
                <w:rFonts w:eastAsia="Times New Roman"/>
                <w:noProof/>
                <w:szCs w:val="18"/>
              </w:rPr>
            </w:pPr>
            <w:r>
              <w:rPr>
                <w:noProof/>
              </w:rPr>
              <w:t xml:space="preserve">4–1.4. Udržitelné využívání zdrojů, odolnost vůči změně klimatu a ochrana životního prostředí – 16285_Investice do vnitrostátní zavlažovací sítě </w:t>
            </w:r>
            <w:r>
              <w:rPr>
                <w:noProof/>
              </w:rPr>
              <w:t>prostřednictvím programů PPP</w:t>
            </w:r>
          </w:p>
        </w:tc>
        <w:tc>
          <w:tcPr>
            <w:tcW w:w="1589" w:type="dxa"/>
            <w:tcBorders>
              <w:top w:val="single" w:sz="4" w:space="0" w:color="auto"/>
              <w:left w:val="nil"/>
              <w:bottom w:val="single" w:sz="4" w:space="0" w:color="auto"/>
              <w:right w:val="single" w:sz="4" w:space="0" w:color="auto"/>
            </w:tcBorders>
            <w:shd w:val="clear" w:color="auto" w:fill="C6EFCE"/>
            <w:noWrap/>
          </w:tcPr>
          <w:p w14:paraId="23ACD858" w14:textId="77777777" w:rsidR="00515398" w:rsidRDefault="006711E6">
            <w:pPr>
              <w:pStyle w:val="P68B1DB1-Normal9"/>
              <w:spacing w:after="0" w:line="240" w:lineRule="auto"/>
              <w:rPr>
                <w:rFonts w:eastAsia="Times New Roman"/>
                <w:noProof/>
                <w:szCs w:val="18"/>
              </w:rPr>
            </w:pPr>
            <w:r>
              <w:rPr>
                <w:noProof/>
              </w:rPr>
              <w:t>Milník</w:t>
            </w:r>
          </w:p>
        </w:tc>
        <w:tc>
          <w:tcPr>
            <w:tcW w:w="1366" w:type="dxa"/>
            <w:tcBorders>
              <w:top w:val="single" w:sz="4" w:space="0" w:color="auto"/>
              <w:left w:val="nil"/>
              <w:bottom w:val="single" w:sz="4" w:space="0" w:color="auto"/>
              <w:right w:val="single" w:sz="4" w:space="0" w:color="auto"/>
            </w:tcBorders>
            <w:shd w:val="clear" w:color="auto" w:fill="C6EFCE"/>
            <w:noWrap/>
          </w:tcPr>
          <w:p w14:paraId="38F47E5D" w14:textId="77777777" w:rsidR="00515398" w:rsidRDefault="006711E6">
            <w:pPr>
              <w:pStyle w:val="P68B1DB1-Normal9"/>
              <w:spacing w:after="0" w:line="240" w:lineRule="auto"/>
              <w:rPr>
                <w:rFonts w:eastAsia="Times New Roman"/>
                <w:noProof/>
                <w:szCs w:val="18"/>
              </w:rPr>
            </w:pPr>
            <w:r>
              <w:rPr>
                <w:noProof/>
              </w:rPr>
              <w:t>Dokončení zavlažování</w:t>
            </w:r>
          </w:p>
        </w:tc>
        <w:tc>
          <w:tcPr>
            <w:tcW w:w="1704" w:type="dxa"/>
            <w:tcBorders>
              <w:top w:val="single" w:sz="4" w:space="0" w:color="auto"/>
              <w:left w:val="nil"/>
              <w:bottom w:val="single" w:sz="4" w:space="0" w:color="auto"/>
              <w:right w:val="single" w:sz="4" w:space="0" w:color="auto"/>
            </w:tcBorders>
            <w:shd w:val="clear" w:color="auto" w:fill="C6EFCE"/>
            <w:noWrap/>
          </w:tcPr>
          <w:p w14:paraId="16A079D3" w14:textId="3697AB25" w:rsidR="00515398" w:rsidRDefault="006711E6">
            <w:pPr>
              <w:pStyle w:val="P68B1DB1-Normal10"/>
              <w:spacing w:after="0" w:line="240" w:lineRule="auto"/>
              <w:rPr>
                <w:rFonts w:eastAsia="Times New Roman" w:cs="Calibri"/>
                <w:noProof/>
              </w:rPr>
            </w:pPr>
            <w:r>
              <w:rPr>
                <w:noProof/>
              </w:rPr>
              <w:t>Dokončení projektů</w:t>
            </w:r>
          </w:p>
        </w:tc>
        <w:tc>
          <w:tcPr>
            <w:tcW w:w="899" w:type="dxa"/>
            <w:tcBorders>
              <w:top w:val="single" w:sz="4" w:space="0" w:color="auto"/>
              <w:left w:val="nil"/>
              <w:bottom w:val="single" w:sz="4" w:space="0" w:color="auto"/>
              <w:right w:val="single" w:sz="4" w:space="0" w:color="auto"/>
            </w:tcBorders>
            <w:shd w:val="clear" w:color="auto" w:fill="C6EFCE"/>
            <w:noWrap/>
          </w:tcPr>
          <w:p w14:paraId="256E446F"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12441352" w14:textId="77777777" w:rsidR="00515398" w:rsidRDefault="00515398">
            <w:pPr>
              <w:spacing w:after="0" w:line="240" w:lineRule="auto"/>
              <w:rPr>
                <w:rFonts w:eastAsia="Times New Roman"/>
                <w:noProof/>
                <w:color w:val="006100"/>
                <w:sz w:val="18"/>
                <w:szCs w:val="18"/>
              </w:rPr>
            </w:pPr>
          </w:p>
        </w:tc>
        <w:tc>
          <w:tcPr>
            <w:tcW w:w="587" w:type="dxa"/>
            <w:tcBorders>
              <w:top w:val="single" w:sz="4" w:space="0" w:color="auto"/>
              <w:left w:val="nil"/>
              <w:bottom w:val="single" w:sz="4" w:space="0" w:color="auto"/>
              <w:right w:val="single" w:sz="4" w:space="0" w:color="auto"/>
            </w:tcBorders>
            <w:shd w:val="clear" w:color="auto" w:fill="C6EFCE"/>
            <w:noWrap/>
          </w:tcPr>
          <w:p w14:paraId="58A5DEB8" w14:textId="77777777" w:rsidR="00515398" w:rsidRDefault="00515398">
            <w:pPr>
              <w:spacing w:after="0" w:line="240" w:lineRule="auto"/>
              <w:rPr>
                <w:rFonts w:eastAsia="Times New Roman"/>
                <w:noProof/>
                <w:color w:val="006100"/>
                <w:sz w:val="18"/>
                <w:szCs w:val="18"/>
              </w:rPr>
            </w:pPr>
          </w:p>
        </w:tc>
        <w:tc>
          <w:tcPr>
            <w:tcW w:w="846" w:type="dxa"/>
            <w:tcBorders>
              <w:top w:val="single" w:sz="4" w:space="0" w:color="auto"/>
              <w:left w:val="nil"/>
              <w:bottom w:val="single" w:sz="4" w:space="0" w:color="auto"/>
              <w:right w:val="single" w:sz="4" w:space="0" w:color="auto"/>
            </w:tcBorders>
            <w:shd w:val="clear" w:color="auto" w:fill="C6EFCE"/>
            <w:noWrap/>
          </w:tcPr>
          <w:p w14:paraId="6E5E1FF1" w14:textId="77777777" w:rsidR="00515398" w:rsidRDefault="006711E6">
            <w:pPr>
              <w:pStyle w:val="P68B1DB1-Normal9"/>
              <w:spacing w:after="0" w:line="240" w:lineRule="auto"/>
              <w:rPr>
                <w:rFonts w:eastAsia="Times New Roman"/>
                <w:noProof/>
                <w:szCs w:val="18"/>
              </w:rPr>
            </w:pPr>
            <w:r>
              <w:rPr>
                <w:noProof/>
              </w:rPr>
              <w:t>ČTVRTLETÍ ČTVRT</w:t>
            </w:r>
          </w:p>
        </w:tc>
        <w:tc>
          <w:tcPr>
            <w:tcW w:w="687" w:type="dxa"/>
            <w:tcBorders>
              <w:top w:val="single" w:sz="4" w:space="0" w:color="auto"/>
              <w:left w:val="nil"/>
              <w:bottom w:val="single" w:sz="4" w:space="0" w:color="auto"/>
              <w:right w:val="single" w:sz="4" w:space="0" w:color="auto"/>
            </w:tcBorders>
            <w:shd w:val="clear" w:color="auto" w:fill="C6EFCE"/>
            <w:noWrap/>
          </w:tcPr>
          <w:p w14:paraId="2BFC5E5B" w14:textId="77777777" w:rsidR="00515398" w:rsidRDefault="006711E6">
            <w:pPr>
              <w:pStyle w:val="P68B1DB1-Normal9"/>
              <w:spacing w:after="0" w:line="240" w:lineRule="auto"/>
              <w:rPr>
                <w:rFonts w:eastAsia="Times New Roman"/>
                <w:noProof/>
                <w:szCs w:val="18"/>
              </w:rPr>
            </w:pPr>
            <w:r>
              <w:rPr>
                <w:noProof/>
              </w:rPr>
              <w:t>2025</w:t>
            </w:r>
          </w:p>
        </w:tc>
        <w:tc>
          <w:tcPr>
            <w:tcW w:w="4332" w:type="dxa"/>
            <w:tcBorders>
              <w:top w:val="single" w:sz="4" w:space="0" w:color="auto"/>
              <w:left w:val="nil"/>
              <w:bottom w:val="single" w:sz="4" w:space="0" w:color="auto"/>
              <w:right w:val="single" w:sz="4" w:space="0" w:color="auto"/>
            </w:tcBorders>
            <w:shd w:val="clear" w:color="auto" w:fill="C6EFCE"/>
            <w:noWrap/>
          </w:tcPr>
          <w:p w14:paraId="0BBCA201" w14:textId="738D6F9A" w:rsidR="00515398" w:rsidRDefault="006711E6">
            <w:pPr>
              <w:pStyle w:val="P68B1DB1-Normal10"/>
              <w:spacing w:after="0" w:line="240" w:lineRule="auto"/>
              <w:rPr>
                <w:noProof/>
              </w:rPr>
            </w:pPr>
            <w:r>
              <w:rPr>
                <w:noProof/>
              </w:rPr>
              <w:t>Zavlažování: Všech pět projektů bylo dokončeno.</w:t>
            </w:r>
          </w:p>
        </w:tc>
      </w:tr>
    </w:tbl>
    <w:p w14:paraId="2D814AC6" w14:textId="77777777" w:rsidR="00515398" w:rsidRDefault="00515398">
      <w:pPr>
        <w:spacing w:before="120" w:after="120" w:line="240" w:lineRule="auto"/>
        <w:ind w:left="709"/>
        <w:jc w:val="both"/>
        <w:rPr>
          <w:rFonts w:ascii="Times New Roman" w:hAnsi="Times New Roman" w:cs="Times New Roman"/>
          <w:noProof/>
          <w:sz w:val="24"/>
          <w:szCs w:val="24"/>
        </w:rPr>
      </w:pPr>
    </w:p>
    <w:p w14:paraId="3077A1E0"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295"/>
          <w:headerReference w:type="default" r:id="rId296"/>
          <w:footerReference w:type="even" r:id="rId297"/>
          <w:footerReference w:type="default" r:id="rId298"/>
          <w:headerReference w:type="first" r:id="rId299"/>
          <w:footerReference w:type="first" r:id="rId300"/>
          <w:pgSz w:w="16839" w:h="11907" w:orient="landscape"/>
          <w:pgMar w:top="720" w:right="720" w:bottom="720" w:left="720" w:header="709" w:footer="501" w:gutter="0"/>
          <w:cols w:space="720"/>
          <w:docGrid w:linePitch="360"/>
        </w:sectPr>
      </w:pPr>
    </w:p>
    <w:p w14:paraId="7889D853" w14:textId="77777777" w:rsidR="00515398" w:rsidRDefault="006711E6">
      <w:pPr>
        <w:pStyle w:val="P68B1DB1-Normal2"/>
        <w:spacing w:before="120" w:after="120" w:line="240" w:lineRule="auto"/>
        <w:ind w:firstLine="6"/>
        <w:jc w:val="both"/>
        <w:outlineLvl w:val="3"/>
        <w:rPr>
          <w:rFonts w:cs="Times New Roman"/>
          <w:bCs/>
          <w:noProof/>
        </w:rPr>
      </w:pPr>
      <w:r>
        <w:rPr>
          <w:noProof/>
        </w:rPr>
        <w:t>R. SLOŽKA 4.7: ZLEPŠIT KONKURENCESCHOPNOST A</w:t>
      </w:r>
      <w:r>
        <w:rPr>
          <w:noProof/>
        </w:rPr>
        <w:t xml:space="preserve"> PODPOŘIT SOUKROMÉ INVESTICE A VÝVOZ</w:t>
      </w:r>
    </w:p>
    <w:p w14:paraId="5B3CF311" w14:textId="77777777" w:rsidR="00515398" w:rsidRDefault="006711E6">
      <w:pPr>
        <w:pStyle w:val="P68B1DB1-Normal4"/>
        <w:spacing w:before="120" w:after="120" w:line="240" w:lineRule="auto"/>
        <w:jc w:val="both"/>
        <w:rPr>
          <w:rFonts w:cs="Times New Roman"/>
          <w:noProof/>
        </w:rPr>
      </w:pPr>
      <w:r>
        <w:rPr>
          <w:noProof/>
        </w:rPr>
        <w:t>Cílem této složky řeckého plánu pro oživení a odolnost je stimulovat soukromé investice a zvýšit hospodářskou extroverzi řešením dlouhodobých strukturálních problémů a vytvořením podnikatelského prostředí příznivého pro</w:t>
      </w:r>
      <w:r>
        <w:rPr>
          <w:noProof/>
        </w:rPr>
        <w:t xml:space="preserve"> rozvoj hospodářské činnosti. Sestává z opatření, která mají podpořit růst velikosti podniků s cílem dosáhnout úspor z rozsahu a pomoci jim proniknout na zahraniční trhy, odstranit nadměrnou administrativní zátěž pro podniky, podpořit dodržování předpisů a</w:t>
      </w:r>
      <w:r>
        <w:rPr>
          <w:noProof/>
        </w:rPr>
        <w:t xml:space="preserve"> rovné podmínky prostřednictvím účinného dozoru nad trhem a vytvořit jednodušší a předvídatelnější regulační rámec. Tato opatření doplňuje návrh na využití úvěrové podpory v rámci Nástroje pro oživení a odolnost k usnadnění poskytování finančních pobídek s</w:t>
      </w:r>
      <w:r>
        <w:rPr>
          <w:noProof/>
        </w:rPr>
        <w:t>oukromému sektoru s cílem podpořit soukromé investice. Očekává se, že tato úvěrová podpora bude do ekonomiky směrována prostřednictvím tří různých kanálů, konkrétně finančních institucí (prostřednictvím nákupu podnikových dluhopisů nebo syndikovaných úvěrů</w:t>
      </w:r>
      <w:r>
        <w:rPr>
          <w:noProof/>
        </w:rPr>
        <w:t>), kapitálové platformy a využití části řeckého vnitrostátního podfondu InvestEU. Tato složka podporuje plnění doporučení pro jednotlivé země týkajícího se veřejných a soukromých investic (doporučení pro jednotlivé země č. 3 z roku 2020 a doporučení pro je</w:t>
      </w:r>
      <w:r>
        <w:rPr>
          <w:noProof/>
        </w:rPr>
        <w:t>dnotlivé země č. 2 z roku 2019). Očekává se, že žádné opatření v této složce významně nepoškozuje environmentální cíle ve smyslu článku 17 nařízení (EU) 2020/852, s přihlédnutím k popisu opatření a zmírňujícím krokům stanoveným v plánu pro oživení a odolno</w:t>
      </w:r>
      <w:r>
        <w:rPr>
          <w:noProof/>
        </w:rPr>
        <w:t>st v souladu s technickými pokyny „významně nepoškozovat“ (2021/C58/01).</w:t>
      </w:r>
    </w:p>
    <w:p w14:paraId="4C45CA63" w14:textId="77777777" w:rsidR="00515398" w:rsidRDefault="006711E6">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R.1. </w:t>
      </w:r>
      <w:r>
        <w:rPr>
          <w:noProof/>
        </w:rPr>
        <w:t xml:space="preserve"> </w:t>
      </w:r>
      <w:r>
        <w:rPr>
          <w:rFonts w:ascii="Times New Roman" w:hAnsi="Times New Roman"/>
          <w:b/>
          <w:noProof/>
          <w:sz w:val="24"/>
          <w:u w:val="single"/>
        </w:rPr>
        <w:t>Popis reforem a investic pro nevratnou finanční podporu</w:t>
      </w:r>
    </w:p>
    <w:p w14:paraId="2C72116E"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Opatření ke zjednodušení podnikatelského prostředí a zlepšení jeho kvality a bezpečnosti (opatření ID 16543)</w:t>
      </w:r>
    </w:p>
    <w:p w14:paraId="2F137E28" w14:textId="2E1AF79E" w:rsidR="00515398" w:rsidRDefault="006711E6">
      <w:pPr>
        <w:pStyle w:val="P68B1DB1-Normal11"/>
        <w:spacing w:before="120" w:after="120" w:line="240" w:lineRule="auto"/>
        <w:jc w:val="both"/>
        <w:rPr>
          <w:rFonts w:ascii="Times New Roman" w:hAnsi="Times New Roman" w:cs="Times New Roman"/>
          <w:noProof/>
        </w:rPr>
      </w:pPr>
      <w:r>
        <w:rPr>
          <w:rFonts w:ascii="Times New Roman" w:hAnsi="Times New Roman"/>
          <w:noProof/>
        </w:rPr>
        <w:t>Cíl</w:t>
      </w:r>
      <w:r>
        <w:rPr>
          <w:rFonts w:ascii="Times New Roman" w:hAnsi="Times New Roman"/>
          <w:noProof/>
        </w:rPr>
        <w:t>em reformy je vytvořit atraktivní podnikatelské prostředí příznivé pro investice, usnadnit vstup podniků na trh a tvorbu pracovních míst a zajistit účinný dozor nad trhem. Reforma zahrnuje soubor opatření, jejichž cílem je zjednodušit postupy a požadavky t</w:t>
      </w:r>
      <w:r>
        <w:rPr>
          <w:rFonts w:ascii="Times New Roman" w:hAnsi="Times New Roman"/>
          <w:noProof/>
        </w:rPr>
        <w:t xml:space="preserve">ýkající se podnikatelské činnosti a zároveň zvýšit regulační jistotu a kvalitu, zejména rozšířením zjednodušení postupů udělování investičních licencí na další hospodářské činnosti, přezkumem legislativního rámce pro provozování výrobní činnosti v regionu </w:t>
      </w:r>
      <w:r>
        <w:rPr>
          <w:rFonts w:ascii="Times New Roman" w:hAnsi="Times New Roman"/>
          <w:noProof/>
        </w:rPr>
        <w:t xml:space="preserve">Attika a administrativní kodifikací roztříštěných právních předpisů o udělování licencí </w:t>
      </w:r>
      <w:r>
        <w:rPr>
          <w:rFonts w:ascii="Times New Roman" w:hAnsi="Times New Roman" w:cs="Times New Roman"/>
          <w:noProof/>
          <w:szCs w:val="24"/>
        </w:rPr>
        <w:t>(</w:t>
      </w:r>
      <w:r>
        <w:rPr>
          <w:rFonts w:ascii="Times New Roman" w:hAnsi="Times New Roman" w:cs="Times New Roman"/>
          <w:i/>
          <w:noProof/>
          <w:szCs w:val="24"/>
        </w:rPr>
        <w:t>Διοικητική κήδικοποίηση</w:t>
      </w:r>
      <w:r>
        <w:rPr>
          <w:rFonts w:ascii="Times New Roman" w:hAnsi="Times New Roman" w:cs="Times New Roman"/>
          <w:noProof/>
          <w:szCs w:val="24"/>
        </w:rPr>
        <w:t xml:space="preserve">). </w:t>
      </w:r>
      <w:r>
        <w:rPr>
          <w:rFonts w:ascii="Times New Roman" w:hAnsi="Times New Roman"/>
          <w:noProof/>
        </w:rPr>
        <w:t xml:space="preserve">Reforma rovněž zahrnuje opatření ke zlepšení rámce dozoru nad trhem, zejména přezkumem politiky kvality v oblasti normalizace, akreditace a </w:t>
      </w:r>
      <w:r>
        <w:rPr>
          <w:rFonts w:ascii="Times New Roman" w:hAnsi="Times New Roman"/>
          <w:noProof/>
        </w:rPr>
        <w:t>shody, posílením struktur dozoru nad trhem a odpovědných orgánů a rozšířením rámce dozoru na nové oblasti inspekcí. Provádění reformy se dokončí do 31. prosince 2025.</w:t>
      </w:r>
    </w:p>
    <w:p w14:paraId="19DB8C2A"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Snadnost podnikání (opatření ID 16591)</w:t>
      </w:r>
    </w:p>
    <w:p w14:paraId="720BEB09" w14:textId="1B946A61" w:rsidR="00515398" w:rsidRDefault="006711E6">
      <w:pPr>
        <w:pStyle w:val="P68B1DB1-Normal4"/>
        <w:spacing w:before="120" w:after="120" w:line="240" w:lineRule="auto"/>
        <w:jc w:val="both"/>
        <w:rPr>
          <w:b/>
          <w:noProof/>
        </w:rPr>
        <w:sectPr w:rsidR="00515398" w:rsidSect="00271D33">
          <w:headerReference w:type="even" r:id="rId301"/>
          <w:headerReference w:type="default" r:id="rId302"/>
          <w:footerReference w:type="even" r:id="rId303"/>
          <w:footerReference w:type="default" r:id="rId304"/>
          <w:headerReference w:type="first" r:id="rId305"/>
          <w:footerReference w:type="first" r:id="rId306"/>
          <w:pgSz w:w="11907" w:h="16839"/>
          <w:pgMar w:top="1134" w:right="1417" w:bottom="1134" w:left="1417" w:header="709" w:footer="327" w:gutter="0"/>
          <w:cols w:space="720"/>
          <w:docGrid w:linePitch="360"/>
        </w:sectPr>
      </w:pPr>
      <w:r>
        <w:rPr>
          <w:noProof/>
        </w:rPr>
        <w:t>Cílem reformy je zlepšit podnikatelské prostředí a zmírnit administrativní a regulační zátěž podniků. Cílem reformy je rovněž zlepšit hodnocení Řecka v mezinárodních ukazatelích, zejména pokud jde o Doing Business Světové banky, konk</w:t>
      </w:r>
      <w:r>
        <w:rPr>
          <w:noProof/>
        </w:rPr>
        <w:t>rétně získávání úvěrů, získávání elektřiny, registraci nemovitostí a získání stavebního povolení, a to zkrácením postupů, času a nákladů a zajištěním stabilního a předvídatelného legislativního rámce. Konkrétně zahrnuje řadu intervencí ke snížení složitost</w:t>
      </w:r>
      <w:r>
        <w:rPr>
          <w:noProof/>
        </w:rPr>
        <w:t>i procesů, nákladů a času souvisejících s každou z výše uvedených oblastí, jakož i odbornou přípravu zaměstnanců veřejného sektoru, kteří se na těchto procesech podílejí, a informační činnosti zaměřené na klíčové zúčastněné strany. Provádění reformy se dok</w:t>
      </w:r>
      <w:r>
        <w:rPr>
          <w:noProof/>
        </w:rPr>
        <w:t>ončí do 30. června 2024.</w:t>
      </w:r>
    </w:p>
    <w:p w14:paraId="4E44A7D6" w14:textId="77777777" w:rsidR="00515398" w:rsidRDefault="006711E6">
      <w:pPr>
        <w:pStyle w:val="P68B1DB1-Normal4"/>
        <w:spacing w:before="120" w:after="120" w:line="240" w:lineRule="auto"/>
        <w:jc w:val="both"/>
        <w:rPr>
          <w:rFonts w:cs="Times New Roman"/>
          <w:noProof/>
        </w:rPr>
      </w:pPr>
      <w:r>
        <w:rPr>
          <w:b/>
          <w:noProof/>
        </w:rPr>
        <w:t>Reforma:</w:t>
      </w:r>
      <w:r>
        <w:rPr>
          <w:noProof/>
        </w:rPr>
        <w:t xml:space="preserve"> Režim pobídek pro produktivitu a extroverzi podniků (zvýšení velikosti podniků) (opatření ID 16598)</w:t>
      </w:r>
    </w:p>
    <w:p w14:paraId="3AE7A86A" w14:textId="77777777" w:rsidR="00515398" w:rsidRDefault="006711E6">
      <w:pPr>
        <w:pStyle w:val="P68B1DB1-Normal4"/>
        <w:spacing w:before="120" w:after="120" w:line="240" w:lineRule="auto"/>
        <w:jc w:val="both"/>
        <w:rPr>
          <w:rFonts w:cs="Times New Roman"/>
          <w:noProof/>
        </w:rPr>
      </w:pPr>
      <w:r>
        <w:rPr>
          <w:noProof/>
        </w:rPr>
        <w:t xml:space="preserve">Cílem reformy je řešit nedostatky spojené s převážně malou velikostí řeckých podniků. Vytváří řadu daňových a dalších </w:t>
      </w:r>
      <w:r>
        <w:rPr>
          <w:noProof/>
        </w:rPr>
        <w:t>pobídek s cílem povzbudit osoby samostatně výdělečně činné, mikropodniky a malé a střední podniky ke zvýšení úspor z rozsahu prostřednictvím fúzí, přeměn, akvizic a programů spolupráce a platforem, jako jsou společné podniky, klastry, které rovněž podporuj</w:t>
      </w:r>
      <w:r>
        <w:rPr>
          <w:noProof/>
        </w:rPr>
        <w:t>í vyšší produktivitu a vyšší vývoz. Provádění reformy se dokončí do 31. března 2022.</w:t>
      </w:r>
    </w:p>
    <w:p w14:paraId="6434C505" w14:textId="77777777" w:rsidR="00515398" w:rsidRDefault="006711E6">
      <w:pPr>
        <w:pStyle w:val="P68B1DB1-Normal44"/>
        <w:spacing w:before="120" w:after="120" w:line="240" w:lineRule="auto"/>
        <w:ind w:left="709"/>
        <w:jc w:val="both"/>
        <w:rPr>
          <w:rFonts w:cs="Times New Roman"/>
          <w:noProof/>
        </w:rPr>
      </w:pPr>
      <w:r>
        <w:rPr>
          <w:noProof/>
        </w:rPr>
        <w:t>.</w:t>
      </w:r>
    </w:p>
    <w:p w14:paraId="57773AD7"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307"/>
          <w:headerReference w:type="default" r:id="rId308"/>
          <w:footerReference w:type="even" r:id="rId309"/>
          <w:footerReference w:type="default" r:id="rId310"/>
          <w:headerReference w:type="first" r:id="rId311"/>
          <w:footerReference w:type="first" r:id="rId312"/>
          <w:pgSz w:w="11907" w:h="16839"/>
          <w:pgMar w:top="1134" w:right="1417" w:bottom="1134" w:left="1417" w:header="709" w:footer="709" w:gutter="0"/>
          <w:cols w:space="720"/>
          <w:docGrid w:linePitch="360"/>
        </w:sectPr>
      </w:pPr>
    </w:p>
    <w:p w14:paraId="141924C6" w14:textId="77777777" w:rsidR="00515398" w:rsidRDefault="006711E6">
      <w:pPr>
        <w:spacing w:before="120" w:after="120" w:line="240" w:lineRule="auto"/>
        <w:ind w:left="709"/>
        <w:jc w:val="both"/>
        <w:rPr>
          <w:rFonts w:ascii="Times New Roman" w:hAnsi="Times New Roman" w:cs="Times New Roman"/>
          <w:b/>
          <w:noProof/>
          <w:sz w:val="24"/>
          <w:u w:val="single"/>
        </w:rPr>
      </w:pPr>
      <w:r>
        <w:rPr>
          <w:rFonts w:ascii="Times New Roman" w:hAnsi="Times New Roman"/>
          <w:b/>
          <w:noProof/>
          <w:sz w:val="24"/>
          <w:u w:val="single"/>
        </w:rPr>
        <w:t xml:space="preserve">R.2. </w:t>
      </w:r>
      <w:r>
        <w:rPr>
          <w:noProof/>
        </w:rPr>
        <w:t xml:space="preserve"> </w:t>
      </w:r>
      <w:r>
        <w:rPr>
          <w:rFonts w:ascii="Times New Roman" w:hAnsi="Times New Roman"/>
          <w:b/>
          <w:noProof/>
          <w:sz w:val="24"/>
          <w:u w:val="single"/>
        </w:rPr>
        <w:t>Milníky, cíle, ukazatele a harmonogram monitorování a provádění nevratné finanční podpory</w:t>
      </w:r>
    </w:p>
    <w:p w14:paraId="23A46B2A" w14:textId="77777777" w:rsidR="00515398" w:rsidRDefault="00515398">
      <w:pPr>
        <w:rPr>
          <w:noProof/>
        </w:rPr>
      </w:pPr>
    </w:p>
    <w:p w14:paraId="75AFFCAD" w14:textId="77777777" w:rsidR="00515398" w:rsidRDefault="006711E6">
      <w:pPr>
        <w:pStyle w:val="P68B1DB1-Normal6"/>
        <w:keepNext/>
        <w:keepLines/>
        <w:spacing w:before="40" w:after="0" w:line="240" w:lineRule="auto"/>
        <w:jc w:val="both"/>
        <w:outlineLvl w:val="4"/>
        <w:rPr>
          <w:noProof/>
        </w:rPr>
      </w:pPr>
      <w:r>
        <w:rPr>
          <w:noProof/>
        </w:rPr>
        <w:t>Klíčová refor</w:t>
      </w:r>
      <w:r>
        <w:rPr>
          <w:noProof/>
        </w:rPr>
        <w:t>ma 10: Opatření ke zjednodušení podnikatelského prostředí a jeho zvýšení kvality a bezpečnosti – Ospravedlnění podnikání</w:t>
      </w:r>
    </w:p>
    <w:p w14:paraId="7B7D718E" w14:textId="77777777" w:rsidR="00515398" w:rsidRDefault="00515398">
      <w:pPr>
        <w:keepNext/>
        <w:keepLines/>
        <w:spacing w:before="40" w:after="0" w:line="240" w:lineRule="auto"/>
        <w:jc w:val="both"/>
        <w:outlineLvl w:val="4"/>
        <w:rPr>
          <w:rFonts w:ascii="Cambria" w:eastAsia="Times New Roman" w:hAnsi="Cambria"/>
          <w:noProof/>
          <w:color w:val="365F91"/>
          <w:sz w:val="24"/>
          <w:szCs w:val="24"/>
        </w:rPr>
      </w:pPr>
    </w:p>
    <w:tbl>
      <w:tblPr>
        <w:tblW w:w="15502" w:type="dxa"/>
        <w:jc w:val="center"/>
        <w:tblLook w:val="04A0" w:firstRow="1" w:lastRow="0" w:firstColumn="1" w:lastColumn="0" w:noHBand="0" w:noVBand="1"/>
      </w:tblPr>
      <w:tblGrid>
        <w:gridCol w:w="1129"/>
        <w:gridCol w:w="1828"/>
        <w:gridCol w:w="967"/>
        <w:gridCol w:w="1592"/>
        <w:gridCol w:w="1694"/>
        <w:gridCol w:w="983"/>
        <w:gridCol w:w="857"/>
        <w:gridCol w:w="827"/>
        <w:gridCol w:w="987"/>
        <w:gridCol w:w="707"/>
        <w:gridCol w:w="4449"/>
      </w:tblGrid>
      <w:tr w:rsidR="00515398" w14:paraId="4EEE6104" w14:textId="77777777">
        <w:trPr>
          <w:trHeight w:val="685"/>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7A4668"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EBB3F5"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63B657"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592" w:type="dxa"/>
            <w:vMerge w:val="restart"/>
            <w:tcBorders>
              <w:top w:val="single" w:sz="4" w:space="0" w:color="auto"/>
              <w:left w:val="nil"/>
              <w:bottom w:val="single" w:sz="4" w:space="0" w:color="auto"/>
              <w:right w:val="single" w:sz="4" w:space="0" w:color="auto"/>
            </w:tcBorders>
            <w:shd w:val="clear" w:color="auto" w:fill="BDD7EE"/>
            <w:vAlign w:val="center"/>
            <w:hideMark/>
          </w:tcPr>
          <w:p w14:paraId="2856F6A8"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4156B6"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667" w:type="dxa"/>
            <w:gridSpan w:val="3"/>
            <w:tcBorders>
              <w:top w:val="single" w:sz="4" w:space="0" w:color="auto"/>
              <w:left w:val="nil"/>
              <w:bottom w:val="single" w:sz="4" w:space="0" w:color="auto"/>
              <w:right w:val="single" w:sz="4" w:space="0" w:color="auto"/>
            </w:tcBorders>
            <w:shd w:val="clear" w:color="auto" w:fill="BDD7EE"/>
            <w:vAlign w:val="center"/>
            <w:hideMark/>
          </w:tcPr>
          <w:p w14:paraId="04A8492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Kvantitativní </w:t>
            </w:r>
            <w:r>
              <w:rPr>
                <w:noProof/>
              </w:rPr>
              <w:t>ukazatele (pro cíle)</w:t>
            </w:r>
          </w:p>
        </w:tc>
        <w:tc>
          <w:tcPr>
            <w:tcW w:w="1694" w:type="dxa"/>
            <w:gridSpan w:val="2"/>
            <w:tcBorders>
              <w:top w:val="single" w:sz="4" w:space="0" w:color="auto"/>
              <w:left w:val="nil"/>
              <w:bottom w:val="single" w:sz="4" w:space="0" w:color="auto"/>
              <w:right w:val="single" w:sz="4" w:space="0" w:color="auto"/>
            </w:tcBorders>
            <w:shd w:val="clear" w:color="auto" w:fill="BDD7EE"/>
            <w:vAlign w:val="center"/>
            <w:hideMark/>
          </w:tcPr>
          <w:p w14:paraId="470A35A1"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4449" w:type="dxa"/>
            <w:vMerge w:val="restart"/>
            <w:tcBorders>
              <w:top w:val="single" w:sz="4" w:space="0" w:color="auto"/>
              <w:left w:val="single" w:sz="4" w:space="0" w:color="auto"/>
              <w:right w:val="single" w:sz="4" w:space="0" w:color="auto"/>
            </w:tcBorders>
            <w:shd w:val="clear" w:color="auto" w:fill="BDD7EE"/>
            <w:vAlign w:val="center"/>
            <w:hideMark/>
          </w:tcPr>
          <w:p w14:paraId="6DB835A1"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2FD958E1" w14:textId="77777777">
        <w:trPr>
          <w:trHeight w:val="458"/>
          <w:tblHeade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0CB64A" w14:textId="77777777" w:rsidR="00515398" w:rsidRDefault="00515398">
            <w:pPr>
              <w:spacing w:after="0" w:line="240" w:lineRule="auto"/>
              <w:rPr>
                <w:rFonts w:ascii="Times New Roman" w:eastAsia="Times New Roman" w:hAnsi="Times New Roman" w:cs="Times New Roman"/>
                <w:b/>
                <w:bCs/>
                <w:noProof/>
                <w:sz w:val="18"/>
                <w:szCs w:val="18"/>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44B9F492" w14:textId="77777777" w:rsidR="00515398" w:rsidRDefault="00515398">
            <w:pPr>
              <w:spacing w:after="0" w:line="240" w:lineRule="auto"/>
              <w:rPr>
                <w:rFonts w:ascii="Times New Roman" w:eastAsia="Times New Roman" w:hAnsi="Times New Roman" w:cs="Times New Roman"/>
                <w:b/>
                <w:bCs/>
                <w:noProof/>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2CE86E04" w14:textId="77777777" w:rsidR="00515398" w:rsidRDefault="00515398">
            <w:pPr>
              <w:spacing w:after="0" w:line="240" w:lineRule="auto"/>
              <w:rPr>
                <w:rFonts w:ascii="Times New Roman" w:eastAsia="Times New Roman" w:hAnsi="Times New Roman" w:cs="Times New Roman"/>
                <w:b/>
                <w:bCs/>
                <w:noProof/>
                <w:sz w:val="18"/>
                <w:szCs w:val="18"/>
              </w:rPr>
            </w:pPr>
          </w:p>
        </w:tc>
        <w:tc>
          <w:tcPr>
            <w:tcW w:w="1592" w:type="dxa"/>
            <w:vMerge/>
            <w:tcBorders>
              <w:top w:val="single" w:sz="4" w:space="0" w:color="auto"/>
              <w:left w:val="nil"/>
              <w:bottom w:val="single" w:sz="4" w:space="0" w:color="auto"/>
              <w:right w:val="single" w:sz="4" w:space="0" w:color="auto"/>
            </w:tcBorders>
            <w:vAlign w:val="center"/>
            <w:hideMark/>
          </w:tcPr>
          <w:p w14:paraId="6BD15549" w14:textId="77777777" w:rsidR="00515398" w:rsidRDefault="00515398">
            <w:pPr>
              <w:spacing w:after="0" w:line="240" w:lineRule="auto"/>
              <w:rPr>
                <w:rFonts w:ascii="Times New Roman" w:eastAsia="Times New Roman" w:hAnsi="Times New Roman" w:cs="Times New Roman"/>
                <w:b/>
                <w:bCs/>
                <w:noProof/>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8C1B672" w14:textId="77777777" w:rsidR="00515398" w:rsidRDefault="00515398">
            <w:pPr>
              <w:spacing w:after="0" w:line="240" w:lineRule="auto"/>
              <w:rPr>
                <w:rFonts w:ascii="Times New Roman" w:eastAsia="Times New Roman" w:hAnsi="Times New Roman" w:cs="Times New Roman"/>
                <w:b/>
                <w:bCs/>
                <w:noProof/>
                <w:sz w:val="18"/>
                <w:szCs w:val="18"/>
              </w:rPr>
            </w:pPr>
          </w:p>
        </w:tc>
        <w:tc>
          <w:tcPr>
            <w:tcW w:w="983" w:type="dxa"/>
            <w:tcBorders>
              <w:top w:val="single" w:sz="4" w:space="0" w:color="auto"/>
              <w:left w:val="nil"/>
              <w:bottom w:val="single" w:sz="4" w:space="0" w:color="auto"/>
              <w:right w:val="single" w:sz="4" w:space="0" w:color="auto"/>
            </w:tcBorders>
            <w:shd w:val="clear" w:color="auto" w:fill="BDD7EE"/>
            <w:vAlign w:val="center"/>
            <w:hideMark/>
          </w:tcPr>
          <w:p w14:paraId="1A812708"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14:paraId="67C31BCB"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827" w:type="dxa"/>
            <w:tcBorders>
              <w:top w:val="single" w:sz="4" w:space="0" w:color="auto"/>
              <w:left w:val="nil"/>
              <w:bottom w:val="single" w:sz="4" w:space="0" w:color="auto"/>
              <w:right w:val="single" w:sz="4" w:space="0" w:color="auto"/>
            </w:tcBorders>
            <w:shd w:val="clear" w:color="auto" w:fill="BDD7EE"/>
            <w:vAlign w:val="center"/>
            <w:hideMark/>
          </w:tcPr>
          <w:p w14:paraId="430E3C4C"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87" w:type="dxa"/>
            <w:tcBorders>
              <w:top w:val="single" w:sz="4" w:space="0" w:color="auto"/>
              <w:left w:val="nil"/>
              <w:bottom w:val="single" w:sz="4" w:space="0" w:color="auto"/>
              <w:right w:val="single" w:sz="4" w:space="0" w:color="auto"/>
            </w:tcBorders>
            <w:shd w:val="clear" w:color="auto" w:fill="BDD7EE"/>
            <w:vAlign w:val="center"/>
            <w:hideMark/>
          </w:tcPr>
          <w:p w14:paraId="142C0BA0"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07" w:type="dxa"/>
            <w:tcBorders>
              <w:top w:val="single" w:sz="4" w:space="0" w:color="auto"/>
              <w:left w:val="nil"/>
              <w:bottom w:val="single" w:sz="4" w:space="0" w:color="auto"/>
              <w:right w:val="single" w:sz="4" w:space="0" w:color="auto"/>
            </w:tcBorders>
            <w:shd w:val="clear" w:color="auto" w:fill="BDD7EE"/>
            <w:vAlign w:val="center"/>
            <w:hideMark/>
          </w:tcPr>
          <w:p w14:paraId="78C6AEB2"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4449" w:type="dxa"/>
            <w:vMerge/>
            <w:tcBorders>
              <w:left w:val="single" w:sz="4" w:space="0" w:color="auto"/>
              <w:bottom w:val="single" w:sz="4" w:space="0" w:color="auto"/>
              <w:right w:val="single" w:sz="4" w:space="0" w:color="auto"/>
            </w:tcBorders>
            <w:vAlign w:val="center"/>
            <w:hideMark/>
          </w:tcPr>
          <w:p w14:paraId="7928DDFE"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62A7FB74" w14:textId="77777777">
        <w:trPr>
          <w:trHeight w:val="309"/>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033701A" w14:textId="77777777" w:rsidR="00515398" w:rsidRDefault="006711E6">
            <w:pPr>
              <w:pStyle w:val="P68B1DB1-Normal9"/>
              <w:spacing w:after="0" w:line="240" w:lineRule="auto"/>
              <w:rPr>
                <w:rFonts w:eastAsia="Times New Roman" w:cs="Calibri"/>
                <w:noProof/>
                <w:szCs w:val="18"/>
              </w:rPr>
            </w:pPr>
            <w:r>
              <w:rPr>
                <w:noProof/>
              </w:rPr>
              <w:t>317</w:t>
            </w:r>
          </w:p>
        </w:tc>
        <w:tc>
          <w:tcPr>
            <w:tcW w:w="1311" w:type="dxa"/>
            <w:tcBorders>
              <w:top w:val="single" w:sz="4" w:space="0" w:color="auto"/>
              <w:left w:val="nil"/>
              <w:bottom w:val="single" w:sz="4" w:space="0" w:color="auto"/>
              <w:right w:val="single" w:sz="4" w:space="0" w:color="auto"/>
            </w:tcBorders>
            <w:shd w:val="clear" w:color="auto" w:fill="C6EFCE"/>
            <w:noWrap/>
          </w:tcPr>
          <w:p w14:paraId="10607069" w14:textId="77777777" w:rsidR="00515398" w:rsidRDefault="006711E6">
            <w:pPr>
              <w:pStyle w:val="P68B1DB1-Normal9"/>
              <w:spacing w:after="0" w:line="240" w:lineRule="auto"/>
              <w:rPr>
                <w:rFonts w:eastAsia="Times New Roman" w:cs="Calibri"/>
                <w:noProof/>
                <w:szCs w:val="18"/>
              </w:rPr>
            </w:pPr>
            <w:r>
              <w:rPr>
                <w:noProof/>
              </w:rPr>
              <w:t xml:space="preserve">18–4.7. Zlepšit konkurenceschopnost a podpořit soukromé investice a vývoz – 16543_Akce ke zjednodušení </w:t>
            </w:r>
            <w:r>
              <w:rPr>
                <w:noProof/>
              </w:rPr>
              <w:t>podnikatelského prostředí a jeho zvýšení kvality a bezpečnosti</w:t>
            </w:r>
          </w:p>
        </w:tc>
        <w:tc>
          <w:tcPr>
            <w:tcW w:w="966" w:type="dxa"/>
            <w:tcBorders>
              <w:top w:val="single" w:sz="4" w:space="0" w:color="auto"/>
              <w:left w:val="nil"/>
              <w:bottom w:val="single" w:sz="4" w:space="0" w:color="auto"/>
              <w:right w:val="single" w:sz="4" w:space="0" w:color="auto"/>
            </w:tcBorders>
            <w:shd w:val="clear" w:color="auto" w:fill="C6EFCE"/>
            <w:noWrap/>
          </w:tcPr>
          <w:p w14:paraId="5EC53340" w14:textId="77777777" w:rsidR="00515398" w:rsidRDefault="006711E6">
            <w:pPr>
              <w:pStyle w:val="P68B1DB1-Normal9"/>
              <w:spacing w:after="0" w:line="240" w:lineRule="auto"/>
              <w:rPr>
                <w:rFonts w:eastAsia="Times New Roman" w:cs="Calibri"/>
                <w:noProof/>
                <w:szCs w:val="18"/>
              </w:rPr>
            </w:pPr>
            <w:r>
              <w:rPr>
                <w:noProof/>
              </w:rPr>
              <w:t>Milník</w:t>
            </w:r>
          </w:p>
        </w:tc>
        <w:tc>
          <w:tcPr>
            <w:tcW w:w="1592" w:type="dxa"/>
            <w:tcBorders>
              <w:top w:val="single" w:sz="4" w:space="0" w:color="auto"/>
              <w:left w:val="nil"/>
              <w:bottom w:val="single" w:sz="4" w:space="0" w:color="auto"/>
              <w:right w:val="single" w:sz="4" w:space="0" w:color="auto"/>
            </w:tcBorders>
            <w:shd w:val="clear" w:color="auto" w:fill="C6EFCE"/>
            <w:noWrap/>
          </w:tcPr>
          <w:p w14:paraId="4E4C068D" w14:textId="77777777" w:rsidR="00515398" w:rsidRDefault="006711E6">
            <w:pPr>
              <w:pStyle w:val="P68B1DB1-Normal9"/>
              <w:spacing w:after="0" w:line="240" w:lineRule="auto"/>
              <w:rPr>
                <w:rFonts w:eastAsia="Times New Roman" w:cs="Calibri"/>
                <w:noProof/>
                <w:szCs w:val="18"/>
              </w:rPr>
            </w:pPr>
            <w:r>
              <w:rPr>
                <w:noProof/>
              </w:rPr>
              <w:t xml:space="preserve">Zavedení politiky jakosti a nového regulačního rámce pro kvalitní infrastrukturu </w:t>
            </w:r>
          </w:p>
        </w:tc>
        <w:tc>
          <w:tcPr>
            <w:tcW w:w="1694" w:type="dxa"/>
            <w:tcBorders>
              <w:top w:val="single" w:sz="4" w:space="0" w:color="auto"/>
              <w:left w:val="nil"/>
              <w:bottom w:val="single" w:sz="4" w:space="0" w:color="auto"/>
              <w:right w:val="single" w:sz="4" w:space="0" w:color="auto"/>
            </w:tcBorders>
            <w:shd w:val="clear" w:color="auto" w:fill="C6EFCE"/>
            <w:noWrap/>
          </w:tcPr>
          <w:p w14:paraId="55A42311" w14:textId="77777777" w:rsidR="00515398" w:rsidRDefault="006711E6">
            <w:pPr>
              <w:pStyle w:val="P68B1DB1-Normal9"/>
              <w:spacing w:after="0" w:line="240" w:lineRule="auto"/>
              <w:rPr>
                <w:rFonts w:eastAsia="Times New Roman" w:cs="Calibri"/>
                <w:noProof/>
                <w:szCs w:val="18"/>
              </w:rPr>
            </w:pPr>
            <w:r>
              <w:rPr>
                <w:noProof/>
              </w:rPr>
              <w:t>Přijmout národní strategii pro kvalitní infrastrukturu v Řecku a přijmout nezbytná zmocňovací nařízení o</w:t>
            </w:r>
            <w:r>
              <w:rPr>
                <w:noProof/>
              </w:rPr>
              <w:t xml:space="preserve"> normalizaci, metrologii, akreditaci a posuzování shody prostřednictvím nezbytných legislativních aktů (uveďte odkaz na Úřední věstník); a přijmout legislativní změny zákona č. 3325/2005 (část B týkající se zřízení, rozšíření a modernizace výrobních činnos</w:t>
            </w:r>
            <w:r>
              <w:rPr>
                <w:noProof/>
              </w:rPr>
              <w:t>tí v regionu Attika)</w:t>
            </w:r>
          </w:p>
        </w:tc>
        <w:tc>
          <w:tcPr>
            <w:tcW w:w="983" w:type="dxa"/>
            <w:tcBorders>
              <w:top w:val="single" w:sz="4" w:space="0" w:color="auto"/>
              <w:left w:val="nil"/>
              <w:bottom w:val="single" w:sz="4" w:space="0" w:color="auto"/>
              <w:right w:val="single" w:sz="4" w:space="0" w:color="auto"/>
            </w:tcBorders>
            <w:shd w:val="clear" w:color="auto" w:fill="C6EFCE"/>
            <w:noWrap/>
          </w:tcPr>
          <w:p w14:paraId="14E226D5" w14:textId="77777777" w:rsidR="00515398" w:rsidRDefault="00515398">
            <w:pPr>
              <w:spacing w:after="0" w:line="240" w:lineRule="auto"/>
              <w:rPr>
                <w:rFonts w:eastAsia="Times New Roman" w:cs="Calibri"/>
                <w:noProof/>
                <w:color w:val="006100"/>
                <w:sz w:val="18"/>
                <w:szCs w:val="18"/>
              </w:rPr>
            </w:pPr>
          </w:p>
        </w:tc>
        <w:tc>
          <w:tcPr>
            <w:tcW w:w="857" w:type="dxa"/>
            <w:tcBorders>
              <w:top w:val="single" w:sz="4" w:space="0" w:color="auto"/>
              <w:left w:val="nil"/>
              <w:bottom w:val="single" w:sz="4" w:space="0" w:color="auto"/>
              <w:right w:val="single" w:sz="4" w:space="0" w:color="auto"/>
            </w:tcBorders>
            <w:shd w:val="clear" w:color="auto" w:fill="C6EFCE"/>
            <w:noWrap/>
          </w:tcPr>
          <w:p w14:paraId="42F8832F" w14:textId="77777777" w:rsidR="00515398" w:rsidRDefault="00515398">
            <w:pPr>
              <w:spacing w:after="0" w:line="240" w:lineRule="auto"/>
              <w:rPr>
                <w:rFonts w:eastAsia="Times New Roman" w:cs="Calibri"/>
                <w:noProof/>
                <w:color w:val="006100"/>
                <w:sz w:val="18"/>
                <w:szCs w:val="18"/>
              </w:rPr>
            </w:pPr>
          </w:p>
        </w:tc>
        <w:tc>
          <w:tcPr>
            <w:tcW w:w="827" w:type="dxa"/>
            <w:tcBorders>
              <w:top w:val="single" w:sz="4" w:space="0" w:color="auto"/>
              <w:left w:val="nil"/>
              <w:bottom w:val="single" w:sz="4" w:space="0" w:color="auto"/>
              <w:right w:val="single" w:sz="4" w:space="0" w:color="auto"/>
            </w:tcBorders>
            <w:shd w:val="clear" w:color="auto" w:fill="C6EFCE"/>
            <w:noWrap/>
          </w:tcPr>
          <w:p w14:paraId="52CD78B1" w14:textId="77777777" w:rsidR="00515398" w:rsidRDefault="00515398">
            <w:pPr>
              <w:spacing w:after="0" w:line="240" w:lineRule="auto"/>
              <w:rPr>
                <w:rFonts w:eastAsia="Times New Roman" w:cs="Calibri"/>
                <w:noProof/>
                <w:color w:val="006100"/>
                <w:sz w:val="18"/>
                <w:szCs w:val="18"/>
              </w:rPr>
            </w:pPr>
          </w:p>
        </w:tc>
        <w:tc>
          <w:tcPr>
            <w:tcW w:w="987" w:type="dxa"/>
            <w:tcBorders>
              <w:top w:val="single" w:sz="4" w:space="0" w:color="auto"/>
              <w:left w:val="nil"/>
              <w:bottom w:val="single" w:sz="4" w:space="0" w:color="auto"/>
              <w:right w:val="single" w:sz="4" w:space="0" w:color="auto"/>
            </w:tcBorders>
            <w:shd w:val="clear" w:color="auto" w:fill="C6EFCE"/>
            <w:noWrap/>
          </w:tcPr>
          <w:p w14:paraId="2F9BF73E" w14:textId="77777777" w:rsidR="00515398" w:rsidRDefault="006711E6">
            <w:pPr>
              <w:pStyle w:val="P68B1DB1-Normal9"/>
              <w:spacing w:after="0" w:line="240" w:lineRule="auto"/>
              <w:rPr>
                <w:rFonts w:eastAsia="Times New Roman" w:cs="Calibri"/>
                <w:noProof/>
                <w:szCs w:val="18"/>
              </w:rPr>
            </w:pPr>
            <w:r>
              <w:rPr>
                <w:noProof/>
              </w:rPr>
              <w:t>ČTVRTLETÍ</w:t>
            </w:r>
          </w:p>
        </w:tc>
        <w:tc>
          <w:tcPr>
            <w:tcW w:w="707" w:type="dxa"/>
            <w:tcBorders>
              <w:top w:val="single" w:sz="4" w:space="0" w:color="auto"/>
              <w:left w:val="nil"/>
              <w:bottom w:val="single" w:sz="4" w:space="0" w:color="auto"/>
              <w:right w:val="single" w:sz="4" w:space="0" w:color="auto"/>
            </w:tcBorders>
            <w:shd w:val="clear" w:color="auto" w:fill="C6EFCE"/>
            <w:noWrap/>
          </w:tcPr>
          <w:p w14:paraId="0D68D04E" w14:textId="77777777" w:rsidR="00515398" w:rsidRDefault="006711E6">
            <w:pPr>
              <w:pStyle w:val="P68B1DB1-Normal9"/>
              <w:spacing w:after="0" w:line="240" w:lineRule="auto"/>
              <w:rPr>
                <w:rFonts w:eastAsia="Times New Roman" w:cs="Calibri"/>
                <w:noProof/>
                <w:szCs w:val="18"/>
              </w:rPr>
            </w:pPr>
            <w:r>
              <w:rPr>
                <w:noProof/>
              </w:rPr>
              <w:t>2024</w:t>
            </w:r>
          </w:p>
        </w:tc>
        <w:tc>
          <w:tcPr>
            <w:tcW w:w="4449" w:type="dxa"/>
            <w:tcBorders>
              <w:top w:val="single" w:sz="4" w:space="0" w:color="auto"/>
              <w:left w:val="nil"/>
              <w:bottom w:val="single" w:sz="4" w:space="0" w:color="auto"/>
              <w:right w:val="single" w:sz="4" w:space="0" w:color="auto"/>
            </w:tcBorders>
            <w:shd w:val="clear" w:color="auto" w:fill="C6EFCE"/>
            <w:noWrap/>
          </w:tcPr>
          <w:p w14:paraId="090BFE75" w14:textId="77777777" w:rsidR="00515398" w:rsidRDefault="006711E6">
            <w:pPr>
              <w:pStyle w:val="P68B1DB1-Normal9"/>
              <w:spacing w:after="0" w:line="240" w:lineRule="auto"/>
              <w:rPr>
                <w:rFonts w:eastAsia="Times New Roman" w:cs="Calibri"/>
                <w:noProof/>
                <w:szCs w:val="18"/>
              </w:rPr>
            </w:pPr>
            <w:r>
              <w:rPr>
                <w:noProof/>
              </w:rPr>
              <w:t>a) vypracovat moderní regulační, organizační a provozní rámec pro kvalitní infrastrukturu v Řecku v souladu s nařízením 765/2008 o akreditaci subjektů posuzování shody; a b) vstup v platnost právních předpisů za účele</w:t>
            </w:r>
            <w:r>
              <w:rPr>
                <w:noProof/>
              </w:rPr>
              <w:t>m reformy regulačního rámce týkajícího se instalace výrobních činností v Attice s cílem odstranit příliš vysoká omezení, která nejsou úměrná cílům politiky.</w:t>
            </w:r>
          </w:p>
          <w:p w14:paraId="2C2D71DF" w14:textId="77777777" w:rsidR="00515398" w:rsidRDefault="00515398">
            <w:pPr>
              <w:spacing w:after="0" w:line="240" w:lineRule="auto"/>
              <w:rPr>
                <w:rFonts w:eastAsia="Times New Roman" w:cs="Calibri"/>
                <w:noProof/>
                <w:color w:val="006100"/>
                <w:sz w:val="18"/>
                <w:szCs w:val="18"/>
              </w:rPr>
            </w:pPr>
          </w:p>
          <w:p w14:paraId="667647A9" w14:textId="77777777" w:rsidR="00515398" w:rsidRDefault="006711E6">
            <w:pPr>
              <w:pStyle w:val="P68B1DB1-Normal9"/>
              <w:spacing w:after="0" w:line="240" w:lineRule="auto"/>
              <w:rPr>
                <w:rFonts w:eastAsia="Times New Roman" w:cs="Calibri"/>
                <w:noProof/>
                <w:szCs w:val="18"/>
              </w:rPr>
            </w:pPr>
            <w:r>
              <w:rPr>
                <w:noProof/>
              </w:rPr>
              <w:t>Oblast působnosti písmene b) zahrnuje zřizování nových průmyslových jednotek a modernizaci stávají</w:t>
            </w:r>
            <w:r>
              <w:rPr>
                <w:noProof/>
              </w:rPr>
              <w:t>cích jednotek provozovaných v Attice, jakož i přemístění a rozšíření stávajících zařízení v Attice.</w:t>
            </w:r>
          </w:p>
        </w:tc>
      </w:tr>
      <w:tr w:rsidR="00515398" w14:paraId="5C4E3E76" w14:textId="77777777">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14:paraId="616681E8" w14:textId="77777777" w:rsidR="00515398" w:rsidRDefault="006711E6">
            <w:pPr>
              <w:pStyle w:val="P68B1DB1-Normal9"/>
              <w:spacing w:after="0" w:line="240" w:lineRule="auto"/>
              <w:rPr>
                <w:rFonts w:eastAsia="Times New Roman" w:cs="Calibri"/>
                <w:noProof/>
                <w:szCs w:val="18"/>
              </w:rPr>
            </w:pPr>
            <w:r>
              <w:rPr>
                <w:noProof/>
              </w:rPr>
              <w:t>318</w:t>
            </w:r>
          </w:p>
        </w:tc>
        <w:tc>
          <w:tcPr>
            <w:tcW w:w="1311" w:type="dxa"/>
            <w:tcBorders>
              <w:top w:val="nil"/>
              <w:left w:val="nil"/>
              <w:bottom w:val="single" w:sz="4" w:space="0" w:color="auto"/>
              <w:right w:val="single" w:sz="4" w:space="0" w:color="auto"/>
            </w:tcBorders>
            <w:shd w:val="clear" w:color="auto" w:fill="C6EFCE"/>
            <w:noWrap/>
          </w:tcPr>
          <w:p w14:paraId="34928948" w14:textId="77777777" w:rsidR="00515398" w:rsidRDefault="006711E6">
            <w:pPr>
              <w:pStyle w:val="P68B1DB1-Normal9"/>
              <w:spacing w:after="0" w:line="240" w:lineRule="auto"/>
              <w:rPr>
                <w:rFonts w:eastAsia="Times New Roman" w:cs="Calibri"/>
                <w:noProof/>
                <w:szCs w:val="18"/>
              </w:rPr>
            </w:pPr>
            <w:r>
              <w:rPr>
                <w:noProof/>
              </w:rPr>
              <w:t>18–4.7. Zlepšit konkurenceschopnost a podpořit soukromé investice a vývoz – 16591_Výsledek podnikání</w:t>
            </w:r>
          </w:p>
        </w:tc>
        <w:tc>
          <w:tcPr>
            <w:tcW w:w="966" w:type="dxa"/>
            <w:tcBorders>
              <w:top w:val="nil"/>
              <w:left w:val="nil"/>
              <w:bottom w:val="single" w:sz="4" w:space="0" w:color="auto"/>
              <w:right w:val="single" w:sz="4" w:space="0" w:color="auto"/>
            </w:tcBorders>
            <w:shd w:val="clear" w:color="auto" w:fill="C6EFCE"/>
            <w:noWrap/>
          </w:tcPr>
          <w:p w14:paraId="74A96D7D" w14:textId="77777777" w:rsidR="00515398" w:rsidRDefault="006711E6">
            <w:pPr>
              <w:pStyle w:val="P68B1DB1-Normal9"/>
              <w:spacing w:after="0" w:line="240" w:lineRule="auto"/>
              <w:rPr>
                <w:rFonts w:eastAsia="Times New Roman" w:cs="Calibri"/>
                <w:noProof/>
                <w:szCs w:val="18"/>
              </w:rPr>
            </w:pPr>
            <w:r>
              <w:rPr>
                <w:noProof/>
              </w:rPr>
              <w:t>Milník</w:t>
            </w:r>
          </w:p>
        </w:tc>
        <w:tc>
          <w:tcPr>
            <w:tcW w:w="1592" w:type="dxa"/>
            <w:tcBorders>
              <w:top w:val="nil"/>
              <w:left w:val="nil"/>
              <w:bottom w:val="single" w:sz="4" w:space="0" w:color="auto"/>
              <w:right w:val="single" w:sz="4" w:space="0" w:color="auto"/>
            </w:tcBorders>
            <w:shd w:val="clear" w:color="auto" w:fill="C6EFCE"/>
            <w:noWrap/>
          </w:tcPr>
          <w:p w14:paraId="22DA488D" w14:textId="77777777" w:rsidR="00515398" w:rsidRDefault="006711E6">
            <w:pPr>
              <w:pStyle w:val="P68B1DB1-Normal9"/>
              <w:spacing w:after="0" w:line="240" w:lineRule="auto"/>
              <w:rPr>
                <w:rFonts w:eastAsia="Times New Roman" w:cs="Calibri"/>
                <w:noProof/>
                <w:szCs w:val="18"/>
              </w:rPr>
            </w:pPr>
            <w:r>
              <w:rPr>
                <w:noProof/>
              </w:rPr>
              <w:t xml:space="preserve">Zlepšení podnikatelského prostředí – </w:t>
            </w:r>
            <w:r>
              <w:rPr>
                <w:noProof/>
              </w:rPr>
              <w:t>usnadnění podnikání</w:t>
            </w:r>
          </w:p>
        </w:tc>
        <w:tc>
          <w:tcPr>
            <w:tcW w:w="1694" w:type="dxa"/>
            <w:tcBorders>
              <w:top w:val="nil"/>
              <w:left w:val="nil"/>
              <w:bottom w:val="single" w:sz="4" w:space="0" w:color="auto"/>
              <w:right w:val="single" w:sz="4" w:space="0" w:color="auto"/>
            </w:tcBorders>
            <w:shd w:val="clear" w:color="auto" w:fill="C6EFCE"/>
            <w:noWrap/>
          </w:tcPr>
          <w:p w14:paraId="2B1E11AE" w14:textId="77777777" w:rsidR="00515398" w:rsidRDefault="006711E6">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rPr>
              <w:t>U akcí, které vyžadují právní předpisy: Zveřejnění právních předpisů v Úředním věstníku (odkaz na Úřední věstník)</w:t>
            </w:r>
          </w:p>
          <w:p w14:paraId="3B990C7D" w14:textId="77777777" w:rsidR="00515398" w:rsidRDefault="006711E6">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rPr>
              <w:t xml:space="preserve">Pro funkce interoperability, platformy a registry: Uvedení systémů do provozu (osvědčeno zprávou) </w:t>
            </w:r>
          </w:p>
          <w:p w14:paraId="7980EDCD" w14:textId="77777777" w:rsidR="00515398" w:rsidRDefault="006711E6">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rPr>
              <w:t xml:space="preserve">Dodání vybavení pro </w:t>
            </w:r>
            <w:r>
              <w:rPr>
                <w:noProof/>
                <w:color w:val="006100"/>
                <w:sz w:val="18"/>
              </w:rPr>
              <w:t>vybavení (vykázané zprávou a dokladem o koupi)</w:t>
            </w:r>
          </w:p>
          <w:p w14:paraId="622FBBDE" w14:textId="77777777" w:rsidR="00515398" w:rsidRDefault="006711E6">
            <w:pPr>
              <w:spacing w:after="0" w:line="240" w:lineRule="auto"/>
              <w:rPr>
                <w:rFonts w:eastAsia="Times New Roman" w:cs="Calibri"/>
                <w:noProof/>
                <w:color w:val="006100"/>
                <w:sz w:val="18"/>
                <w:szCs w:val="18"/>
              </w:rPr>
            </w:pPr>
            <w:r>
              <w:rPr>
                <w:rFonts w:ascii="Times New Roman" w:hAnsi="Times New Roman"/>
                <w:noProof/>
                <w:sz w:val="24"/>
              </w:rPr>
              <w:t>—</w:t>
            </w:r>
            <w:r>
              <w:rPr>
                <w:noProof/>
                <w:color w:val="006100"/>
                <w:sz w:val="18"/>
              </w:rPr>
              <w:t>Dokončení kampaní a vydání pokynů (osvědčených vydanými pokyny/oběžníky)</w:t>
            </w:r>
            <w:r>
              <w:rPr>
                <w:rFonts w:ascii="Times New Roman" w:hAnsi="Times New Roman"/>
                <w:noProof/>
                <w:sz w:val="24"/>
              </w:rPr>
              <w:t xml:space="preserve"> </w:t>
            </w:r>
          </w:p>
        </w:tc>
        <w:tc>
          <w:tcPr>
            <w:tcW w:w="983" w:type="dxa"/>
            <w:tcBorders>
              <w:top w:val="nil"/>
              <w:left w:val="nil"/>
              <w:bottom w:val="single" w:sz="4" w:space="0" w:color="auto"/>
              <w:right w:val="single" w:sz="4" w:space="0" w:color="auto"/>
            </w:tcBorders>
            <w:shd w:val="clear" w:color="auto" w:fill="C6EFCE"/>
            <w:noWrap/>
          </w:tcPr>
          <w:p w14:paraId="5C473127"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32358886" w14:textId="77777777" w:rsidR="00515398" w:rsidRDefault="00515398">
            <w:pPr>
              <w:spacing w:after="0" w:line="240" w:lineRule="auto"/>
              <w:rPr>
                <w:rFonts w:eastAsia="Times New Roman" w:cs="Calibri"/>
                <w:noProof/>
                <w:color w:val="006100"/>
                <w:sz w:val="18"/>
                <w:szCs w:val="18"/>
              </w:rPr>
            </w:pPr>
          </w:p>
        </w:tc>
        <w:tc>
          <w:tcPr>
            <w:tcW w:w="827" w:type="dxa"/>
            <w:tcBorders>
              <w:top w:val="nil"/>
              <w:left w:val="nil"/>
              <w:bottom w:val="single" w:sz="4" w:space="0" w:color="auto"/>
              <w:right w:val="single" w:sz="4" w:space="0" w:color="auto"/>
            </w:tcBorders>
            <w:shd w:val="clear" w:color="auto" w:fill="C6EFCE"/>
            <w:noWrap/>
          </w:tcPr>
          <w:p w14:paraId="4AC350F9" w14:textId="77777777" w:rsidR="00515398" w:rsidRDefault="00515398">
            <w:pPr>
              <w:spacing w:after="0" w:line="240" w:lineRule="auto"/>
              <w:rPr>
                <w:rFonts w:eastAsia="Times New Roman" w:cs="Calibri"/>
                <w:noProof/>
                <w:color w:val="006100"/>
                <w:sz w:val="18"/>
                <w:szCs w:val="18"/>
              </w:rPr>
            </w:pPr>
          </w:p>
        </w:tc>
        <w:tc>
          <w:tcPr>
            <w:tcW w:w="987" w:type="dxa"/>
            <w:tcBorders>
              <w:top w:val="nil"/>
              <w:left w:val="nil"/>
              <w:bottom w:val="single" w:sz="4" w:space="0" w:color="auto"/>
              <w:right w:val="single" w:sz="4" w:space="0" w:color="auto"/>
            </w:tcBorders>
            <w:shd w:val="clear" w:color="auto" w:fill="C6EFCE"/>
            <w:noWrap/>
          </w:tcPr>
          <w:p w14:paraId="4206478F" w14:textId="77777777" w:rsidR="00515398" w:rsidRDefault="006711E6">
            <w:pPr>
              <w:pStyle w:val="P68B1DB1-Normal9"/>
              <w:spacing w:after="0" w:line="240" w:lineRule="auto"/>
              <w:rPr>
                <w:rFonts w:eastAsia="Times New Roman" w:cs="Calibri"/>
                <w:noProof/>
                <w:szCs w:val="18"/>
              </w:rPr>
            </w:pPr>
            <w:r>
              <w:rPr>
                <w:noProof/>
              </w:rPr>
              <w:t>ČTVRTLETÍ</w:t>
            </w:r>
          </w:p>
        </w:tc>
        <w:tc>
          <w:tcPr>
            <w:tcW w:w="707" w:type="dxa"/>
            <w:tcBorders>
              <w:top w:val="nil"/>
              <w:left w:val="nil"/>
              <w:bottom w:val="single" w:sz="4" w:space="0" w:color="auto"/>
              <w:right w:val="single" w:sz="4" w:space="0" w:color="auto"/>
            </w:tcBorders>
            <w:shd w:val="clear" w:color="auto" w:fill="C6EFCE"/>
            <w:noWrap/>
          </w:tcPr>
          <w:p w14:paraId="05F41065" w14:textId="77777777" w:rsidR="00515398" w:rsidRDefault="006711E6">
            <w:pPr>
              <w:pStyle w:val="P68B1DB1-Normal9"/>
              <w:spacing w:after="0" w:line="240" w:lineRule="auto"/>
              <w:rPr>
                <w:rFonts w:eastAsia="Times New Roman" w:cs="Calibri"/>
                <w:noProof/>
                <w:szCs w:val="18"/>
              </w:rPr>
            </w:pPr>
            <w:r>
              <w:rPr>
                <w:noProof/>
              </w:rPr>
              <w:t>2024</w:t>
            </w:r>
          </w:p>
        </w:tc>
        <w:tc>
          <w:tcPr>
            <w:tcW w:w="4449" w:type="dxa"/>
            <w:tcBorders>
              <w:top w:val="nil"/>
              <w:left w:val="nil"/>
              <w:bottom w:val="single" w:sz="4" w:space="0" w:color="auto"/>
              <w:right w:val="single" w:sz="4" w:space="0" w:color="auto"/>
            </w:tcBorders>
            <w:shd w:val="clear" w:color="auto" w:fill="C6EFCE"/>
            <w:noWrap/>
          </w:tcPr>
          <w:p w14:paraId="7F25A531" w14:textId="77777777" w:rsidR="00515398" w:rsidRDefault="006711E6">
            <w:pPr>
              <w:pStyle w:val="P68B1DB1-Normal9"/>
              <w:spacing w:after="0" w:line="240" w:lineRule="auto"/>
              <w:rPr>
                <w:rFonts w:eastAsia="Times New Roman" w:cs="Calibri"/>
                <w:noProof/>
                <w:szCs w:val="18"/>
              </w:rPr>
            </w:pPr>
            <w:r>
              <w:rPr>
                <w:noProof/>
              </w:rPr>
              <w:t xml:space="preserve">Dokončit reformu s cílem snížit složitost postupů, čas a náklady ve čtyřech podoblastech: získání úvěru, elektrické </w:t>
            </w:r>
            <w:r>
              <w:rPr>
                <w:noProof/>
              </w:rPr>
              <w:t>připojení, registrace nemovitosti a získání stavebního povolení</w:t>
            </w:r>
          </w:p>
          <w:p w14:paraId="623F32F9" w14:textId="77777777" w:rsidR="00515398" w:rsidRDefault="006711E6">
            <w:pPr>
              <w:pStyle w:val="P68B1DB1-Normal9"/>
              <w:spacing w:after="0" w:line="240" w:lineRule="auto"/>
              <w:rPr>
                <w:rFonts w:eastAsia="Times New Roman" w:cs="Calibri"/>
                <w:noProof/>
                <w:szCs w:val="18"/>
              </w:rPr>
            </w:pPr>
            <w:r>
              <w:rPr>
                <w:noProof/>
              </w:rPr>
              <w:t>Reforma konkrétně zahrnuje tyto dílčí projekty a akce:</w:t>
            </w:r>
          </w:p>
          <w:p w14:paraId="2D936322" w14:textId="77777777" w:rsidR="00515398" w:rsidRDefault="006711E6">
            <w:pPr>
              <w:pStyle w:val="P68B1DB1-Normal9"/>
              <w:spacing w:after="0" w:line="240" w:lineRule="auto"/>
              <w:rPr>
                <w:rFonts w:eastAsia="Times New Roman" w:cs="Calibri"/>
                <w:noProof/>
                <w:szCs w:val="18"/>
              </w:rPr>
            </w:pPr>
            <w:r>
              <w:rPr>
                <w:noProof/>
              </w:rPr>
              <w:t>1. Získání úvěru</w:t>
            </w:r>
          </w:p>
          <w:p w14:paraId="0A4EDFAE" w14:textId="77777777" w:rsidR="00515398" w:rsidRDefault="006711E6">
            <w:pPr>
              <w:pStyle w:val="P68B1DB1-Normal9"/>
              <w:spacing w:after="0" w:line="240" w:lineRule="auto"/>
              <w:rPr>
                <w:rFonts w:eastAsia="Times New Roman" w:cs="Calibri"/>
                <w:noProof/>
                <w:szCs w:val="18"/>
              </w:rPr>
            </w:pPr>
            <w:r>
              <w:rPr>
                <w:noProof/>
              </w:rPr>
              <w:t>—Vytvořit moderní a spolehlivý regulační rámec pro cenné papíry v movitém majetku</w:t>
            </w:r>
          </w:p>
          <w:p w14:paraId="0EE7BEE6" w14:textId="77777777" w:rsidR="00515398" w:rsidRDefault="006711E6">
            <w:pPr>
              <w:pStyle w:val="P68B1DB1-Normal9"/>
              <w:spacing w:after="0" w:line="240" w:lineRule="auto"/>
              <w:rPr>
                <w:rFonts w:eastAsia="Times New Roman" w:cs="Calibri"/>
                <w:noProof/>
                <w:szCs w:val="18"/>
              </w:rPr>
            </w:pPr>
            <w:r>
              <w:rPr>
                <w:noProof/>
              </w:rPr>
              <w:t>— Zřídit registr zabezpečených transak</w:t>
            </w:r>
            <w:r>
              <w:rPr>
                <w:noProof/>
              </w:rPr>
              <w:t>cí</w:t>
            </w:r>
          </w:p>
          <w:p w14:paraId="6B93493B" w14:textId="77777777" w:rsidR="00515398" w:rsidRDefault="006711E6">
            <w:pPr>
              <w:pStyle w:val="P68B1DB1-Normal9"/>
              <w:spacing w:after="0" w:line="240" w:lineRule="auto"/>
              <w:rPr>
                <w:rFonts w:eastAsia="Times New Roman" w:cs="Calibri"/>
                <w:noProof/>
                <w:szCs w:val="18"/>
              </w:rPr>
            </w:pPr>
            <w:r>
              <w:rPr>
                <w:noProof/>
              </w:rPr>
              <w:t>2. Získání stavebního povolení</w:t>
            </w:r>
          </w:p>
          <w:p w14:paraId="0C6D47CF" w14:textId="77777777" w:rsidR="00515398" w:rsidRDefault="006711E6">
            <w:pPr>
              <w:pStyle w:val="P68B1DB1-Normal9"/>
              <w:spacing w:after="0" w:line="240" w:lineRule="auto"/>
              <w:rPr>
                <w:rFonts w:eastAsia="Times New Roman" w:cs="Calibri"/>
                <w:noProof/>
                <w:szCs w:val="18"/>
              </w:rPr>
            </w:pPr>
            <w:r>
              <w:rPr>
                <w:noProof/>
              </w:rPr>
              <w:t>—Dosáhnout provozní interoperability mezi systémem e-adeies pro stavební povolení a jinými veřejnými systémy</w:t>
            </w:r>
          </w:p>
          <w:p w14:paraId="57688EEA" w14:textId="77777777" w:rsidR="00515398" w:rsidRDefault="006711E6">
            <w:pPr>
              <w:pStyle w:val="P68B1DB1-Normal9"/>
              <w:spacing w:after="0" w:line="240" w:lineRule="auto"/>
              <w:rPr>
                <w:rFonts w:eastAsia="Times New Roman" w:cs="Calibri"/>
                <w:noProof/>
                <w:szCs w:val="18"/>
              </w:rPr>
            </w:pPr>
            <w:r>
              <w:rPr>
                <w:noProof/>
              </w:rPr>
              <w:t>—Provádět informační kampaně se zúčastněnými stranami ze soukromého sektoru</w:t>
            </w:r>
          </w:p>
          <w:p w14:paraId="613F821E" w14:textId="77777777" w:rsidR="00515398" w:rsidRDefault="006711E6">
            <w:pPr>
              <w:pStyle w:val="P68B1DB1-Normal9"/>
              <w:spacing w:after="0" w:line="240" w:lineRule="auto"/>
              <w:rPr>
                <w:rFonts w:eastAsia="Times New Roman" w:cs="Calibri"/>
                <w:noProof/>
                <w:szCs w:val="18"/>
              </w:rPr>
            </w:pPr>
            <w:r>
              <w:rPr>
                <w:noProof/>
              </w:rPr>
              <w:t>Vybavení a odborná příprava zaměstnan</w:t>
            </w:r>
            <w:r>
              <w:rPr>
                <w:noProof/>
              </w:rPr>
              <w:t xml:space="preserve">ců </w:t>
            </w:r>
          </w:p>
          <w:p w14:paraId="5C6FB44E" w14:textId="77777777" w:rsidR="00515398" w:rsidRDefault="006711E6">
            <w:pPr>
              <w:pStyle w:val="P68B1DB1-Normal9"/>
              <w:spacing w:after="0" w:line="240" w:lineRule="auto"/>
              <w:rPr>
                <w:rFonts w:eastAsia="Times New Roman" w:cs="Calibri"/>
                <w:noProof/>
                <w:szCs w:val="18"/>
              </w:rPr>
            </w:pPr>
            <w:r>
              <w:rPr>
                <w:noProof/>
              </w:rPr>
              <w:t>— Pokyny zpřístupněné on-line</w:t>
            </w:r>
          </w:p>
          <w:p w14:paraId="4464F465" w14:textId="77777777" w:rsidR="00515398" w:rsidRDefault="006711E6">
            <w:pPr>
              <w:pStyle w:val="P68B1DB1-Normal9"/>
              <w:spacing w:after="0" w:line="240" w:lineRule="auto"/>
              <w:rPr>
                <w:rFonts w:eastAsia="Times New Roman" w:cs="Calibri"/>
                <w:noProof/>
                <w:szCs w:val="18"/>
              </w:rPr>
            </w:pPr>
            <w:r>
              <w:rPr>
                <w:noProof/>
              </w:rPr>
              <w:t>— Sazebník poplatků dostupný on-line</w:t>
            </w:r>
          </w:p>
          <w:p w14:paraId="70009B48" w14:textId="77777777" w:rsidR="00515398" w:rsidRDefault="006711E6">
            <w:pPr>
              <w:pStyle w:val="P68B1DB1-Normal9"/>
              <w:spacing w:after="0" w:line="240" w:lineRule="auto"/>
              <w:rPr>
                <w:rFonts w:eastAsia="Times New Roman" w:cs="Calibri"/>
                <w:noProof/>
                <w:szCs w:val="18"/>
              </w:rPr>
            </w:pPr>
            <w:r>
              <w:rPr>
                <w:noProof/>
              </w:rPr>
              <w:t>— Instalovat digitální kontrolní funkce pro požární oddělení</w:t>
            </w:r>
          </w:p>
          <w:p w14:paraId="62521C21" w14:textId="77777777" w:rsidR="00515398" w:rsidRDefault="006711E6">
            <w:pPr>
              <w:pStyle w:val="P68B1DB1-Normal9"/>
              <w:spacing w:after="0" w:line="240" w:lineRule="auto"/>
              <w:rPr>
                <w:rFonts w:eastAsia="Times New Roman" w:cs="Calibri"/>
                <w:noProof/>
                <w:szCs w:val="18"/>
              </w:rPr>
            </w:pPr>
            <w:r>
              <w:rPr>
                <w:noProof/>
              </w:rPr>
              <w:t>3. Získávání elektřiny</w:t>
            </w:r>
          </w:p>
          <w:p w14:paraId="030E0B50" w14:textId="77777777" w:rsidR="00515398" w:rsidRDefault="006711E6">
            <w:pPr>
              <w:pStyle w:val="P68B1DB1-Normal9"/>
              <w:spacing w:after="0" w:line="240" w:lineRule="auto"/>
              <w:rPr>
                <w:rFonts w:eastAsia="Times New Roman" w:cs="Calibri"/>
                <w:noProof/>
                <w:szCs w:val="18"/>
              </w:rPr>
            </w:pPr>
            <w:r>
              <w:rPr>
                <w:noProof/>
              </w:rPr>
              <w:t>—Zjednodušit/snížit požadavky na uplatňování na úřad HEDNO a sjednotit systém vykazování metrů čtvere</w:t>
            </w:r>
            <w:r>
              <w:rPr>
                <w:noProof/>
              </w:rPr>
              <w:t>čních obcím</w:t>
            </w:r>
          </w:p>
          <w:p w14:paraId="4CD4B010" w14:textId="77777777" w:rsidR="00515398" w:rsidRDefault="006711E6">
            <w:pPr>
              <w:pStyle w:val="P68B1DB1-Normal9"/>
              <w:spacing w:after="0" w:line="240" w:lineRule="auto"/>
              <w:rPr>
                <w:rFonts w:eastAsia="Times New Roman" w:cs="Calibri"/>
                <w:noProof/>
                <w:szCs w:val="18"/>
              </w:rPr>
            </w:pPr>
            <w:r>
              <w:rPr>
                <w:noProof/>
              </w:rPr>
              <w:t>4. Registrace nemovitosti</w:t>
            </w:r>
          </w:p>
          <w:p w14:paraId="167331E8" w14:textId="77777777" w:rsidR="00515398" w:rsidRDefault="006711E6">
            <w:pPr>
              <w:pStyle w:val="P68B1DB1-Normal9"/>
              <w:spacing w:after="0" w:line="240" w:lineRule="auto"/>
              <w:rPr>
                <w:rFonts w:eastAsia="Times New Roman" w:cs="Calibri"/>
                <w:noProof/>
                <w:szCs w:val="18"/>
              </w:rPr>
            </w:pPr>
            <w:r>
              <w:rPr>
                <w:noProof/>
              </w:rPr>
              <w:t>— Vytvořit elektronickou platformu, která kupujícím umožní splnit všechny požadavky na on-line převod nemovitosti</w:t>
            </w:r>
          </w:p>
        </w:tc>
      </w:tr>
      <w:tr w:rsidR="00515398" w14:paraId="66BCE9BC" w14:textId="77777777">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14:paraId="40BF2303" w14:textId="77777777" w:rsidR="00515398" w:rsidRDefault="006711E6">
            <w:pPr>
              <w:pStyle w:val="P68B1DB1-Normal9"/>
              <w:spacing w:after="0" w:line="240" w:lineRule="auto"/>
              <w:rPr>
                <w:rFonts w:eastAsia="Times New Roman" w:cs="Calibri"/>
                <w:noProof/>
                <w:szCs w:val="18"/>
              </w:rPr>
            </w:pPr>
            <w:r>
              <w:rPr>
                <w:noProof/>
              </w:rPr>
              <w:t>319</w:t>
            </w:r>
          </w:p>
        </w:tc>
        <w:tc>
          <w:tcPr>
            <w:tcW w:w="1311" w:type="dxa"/>
            <w:tcBorders>
              <w:top w:val="nil"/>
              <w:left w:val="nil"/>
              <w:bottom w:val="single" w:sz="4" w:space="0" w:color="auto"/>
              <w:right w:val="single" w:sz="4" w:space="0" w:color="auto"/>
            </w:tcBorders>
            <w:shd w:val="clear" w:color="auto" w:fill="C6EFCE"/>
            <w:noWrap/>
          </w:tcPr>
          <w:p w14:paraId="7FAF0460" w14:textId="77777777" w:rsidR="00515398" w:rsidRDefault="006711E6">
            <w:pPr>
              <w:pStyle w:val="P68B1DB1-Normal9"/>
              <w:spacing w:after="0" w:line="240" w:lineRule="auto"/>
              <w:rPr>
                <w:rFonts w:eastAsia="Times New Roman" w:cs="Calibri"/>
                <w:noProof/>
                <w:szCs w:val="18"/>
              </w:rPr>
            </w:pPr>
            <w:r>
              <w:rPr>
                <w:noProof/>
              </w:rPr>
              <w:t xml:space="preserve">18–4.7. Zlepšit konkurenceschopnost a podpořit soukromé investice a vývoz – 16543_Akce ke </w:t>
            </w:r>
            <w:r>
              <w:rPr>
                <w:noProof/>
              </w:rPr>
              <w:t>zjednodušení podnikatelského prostředí a jeho zvýšení kvality a bezpečnosti</w:t>
            </w:r>
          </w:p>
        </w:tc>
        <w:tc>
          <w:tcPr>
            <w:tcW w:w="966" w:type="dxa"/>
            <w:tcBorders>
              <w:top w:val="nil"/>
              <w:left w:val="nil"/>
              <w:bottom w:val="single" w:sz="4" w:space="0" w:color="auto"/>
              <w:right w:val="single" w:sz="4" w:space="0" w:color="auto"/>
            </w:tcBorders>
            <w:shd w:val="clear" w:color="auto" w:fill="C6EFCE"/>
            <w:noWrap/>
          </w:tcPr>
          <w:p w14:paraId="7847D25B" w14:textId="77777777" w:rsidR="00515398" w:rsidRDefault="006711E6">
            <w:pPr>
              <w:pStyle w:val="P68B1DB1-Normal9"/>
              <w:spacing w:after="0" w:line="240" w:lineRule="auto"/>
              <w:rPr>
                <w:rFonts w:eastAsia="Times New Roman" w:cs="Calibri"/>
                <w:noProof/>
                <w:szCs w:val="18"/>
              </w:rPr>
            </w:pPr>
            <w:r>
              <w:rPr>
                <w:noProof/>
              </w:rPr>
              <w:t>Milník</w:t>
            </w:r>
          </w:p>
        </w:tc>
        <w:tc>
          <w:tcPr>
            <w:tcW w:w="1592" w:type="dxa"/>
            <w:tcBorders>
              <w:top w:val="nil"/>
              <w:left w:val="nil"/>
              <w:bottom w:val="single" w:sz="4" w:space="0" w:color="auto"/>
              <w:right w:val="single" w:sz="4" w:space="0" w:color="auto"/>
            </w:tcBorders>
            <w:shd w:val="clear" w:color="auto" w:fill="C6EFCE"/>
            <w:noWrap/>
          </w:tcPr>
          <w:p w14:paraId="765DD415" w14:textId="77777777" w:rsidR="00515398" w:rsidRDefault="006711E6">
            <w:pPr>
              <w:pStyle w:val="P68B1DB1-Normal9"/>
              <w:spacing w:after="0" w:line="240" w:lineRule="auto"/>
              <w:rPr>
                <w:rFonts w:eastAsia="Times New Roman" w:cs="Calibri"/>
                <w:noProof/>
                <w:szCs w:val="18"/>
              </w:rPr>
            </w:pPr>
            <w:r>
              <w:rPr>
                <w:noProof/>
              </w:rPr>
              <w:t>Zlepšení podnikatelského prostředí – udělování licencí a dozor nad trhem</w:t>
            </w:r>
          </w:p>
        </w:tc>
        <w:tc>
          <w:tcPr>
            <w:tcW w:w="1694" w:type="dxa"/>
            <w:tcBorders>
              <w:top w:val="nil"/>
              <w:left w:val="nil"/>
              <w:bottom w:val="single" w:sz="4" w:space="0" w:color="auto"/>
              <w:right w:val="single" w:sz="4" w:space="0" w:color="auto"/>
            </w:tcBorders>
            <w:shd w:val="clear" w:color="auto" w:fill="C6EFCE"/>
            <w:noWrap/>
          </w:tcPr>
          <w:p w14:paraId="089E208B" w14:textId="77777777" w:rsidR="00515398" w:rsidRDefault="006711E6">
            <w:pPr>
              <w:pStyle w:val="P68B1DB1-Normal9"/>
              <w:spacing w:after="0" w:line="240" w:lineRule="auto"/>
              <w:rPr>
                <w:rFonts w:eastAsia="Times New Roman" w:cs="Calibri"/>
                <w:noProof/>
                <w:szCs w:val="18"/>
              </w:rPr>
            </w:pPr>
            <w:r>
              <w:rPr>
                <w:noProof/>
              </w:rPr>
              <w:t>Zveřejnění právních předpisů v Úředním věstníku (odkaz na Úřední věstník)</w:t>
            </w:r>
          </w:p>
          <w:p w14:paraId="3553322A" w14:textId="77777777" w:rsidR="00515398" w:rsidRDefault="00515398">
            <w:pPr>
              <w:spacing w:after="0" w:line="240" w:lineRule="auto"/>
              <w:rPr>
                <w:rFonts w:eastAsia="Times New Roman" w:cs="Calibri"/>
                <w:noProof/>
                <w:color w:val="006100"/>
                <w:sz w:val="18"/>
                <w:szCs w:val="18"/>
              </w:rPr>
            </w:pPr>
          </w:p>
        </w:tc>
        <w:tc>
          <w:tcPr>
            <w:tcW w:w="983" w:type="dxa"/>
            <w:tcBorders>
              <w:top w:val="nil"/>
              <w:left w:val="nil"/>
              <w:bottom w:val="single" w:sz="4" w:space="0" w:color="auto"/>
              <w:right w:val="single" w:sz="4" w:space="0" w:color="auto"/>
            </w:tcBorders>
            <w:shd w:val="clear" w:color="auto" w:fill="C6EFCE"/>
            <w:noWrap/>
          </w:tcPr>
          <w:p w14:paraId="53B83B8A" w14:textId="77777777" w:rsidR="00515398" w:rsidRDefault="00515398">
            <w:pPr>
              <w:spacing w:after="0" w:line="240" w:lineRule="auto"/>
              <w:rPr>
                <w:rFonts w:eastAsia="Times New Roman" w:cs="Calibri"/>
                <w:noProof/>
                <w:color w:val="006100"/>
                <w:sz w:val="18"/>
                <w:szCs w:val="18"/>
              </w:rPr>
            </w:pPr>
          </w:p>
        </w:tc>
        <w:tc>
          <w:tcPr>
            <w:tcW w:w="857" w:type="dxa"/>
            <w:tcBorders>
              <w:top w:val="nil"/>
              <w:left w:val="nil"/>
              <w:bottom w:val="single" w:sz="4" w:space="0" w:color="auto"/>
              <w:right w:val="single" w:sz="4" w:space="0" w:color="auto"/>
            </w:tcBorders>
            <w:shd w:val="clear" w:color="auto" w:fill="C6EFCE"/>
            <w:noWrap/>
          </w:tcPr>
          <w:p w14:paraId="5DD10582" w14:textId="77777777" w:rsidR="00515398" w:rsidRDefault="00515398">
            <w:pPr>
              <w:spacing w:after="0" w:line="240" w:lineRule="auto"/>
              <w:rPr>
                <w:rFonts w:eastAsia="Times New Roman" w:cs="Calibri"/>
                <w:noProof/>
                <w:color w:val="006100"/>
                <w:sz w:val="18"/>
                <w:szCs w:val="18"/>
              </w:rPr>
            </w:pPr>
          </w:p>
        </w:tc>
        <w:tc>
          <w:tcPr>
            <w:tcW w:w="827" w:type="dxa"/>
            <w:tcBorders>
              <w:top w:val="nil"/>
              <w:left w:val="nil"/>
              <w:bottom w:val="single" w:sz="4" w:space="0" w:color="auto"/>
              <w:right w:val="single" w:sz="4" w:space="0" w:color="auto"/>
            </w:tcBorders>
            <w:shd w:val="clear" w:color="auto" w:fill="C6EFCE"/>
            <w:noWrap/>
          </w:tcPr>
          <w:p w14:paraId="36CD270A" w14:textId="77777777" w:rsidR="00515398" w:rsidRDefault="00515398">
            <w:pPr>
              <w:spacing w:after="0" w:line="240" w:lineRule="auto"/>
              <w:rPr>
                <w:rFonts w:eastAsia="Times New Roman" w:cs="Calibri"/>
                <w:noProof/>
                <w:color w:val="006100"/>
                <w:sz w:val="18"/>
                <w:szCs w:val="18"/>
              </w:rPr>
            </w:pPr>
          </w:p>
        </w:tc>
        <w:tc>
          <w:tcPr>
            <w:tcW w:w="987" w:type="dxa"/>
            <w:tcBorders>
              <w:top w:val="nil"/>
              <w:left w:val="nil"/>
              <w:bottom w:val="single" w:sz="4" w:space="0" w:color="auto"/>
              <w:right w:val="single" w:sz="4" w:space="0" w:color="auto"/>
            </w:tcBorders>
            <w:shd w:val="clear" w:color="auto" w:fill="C6EFCE"/>
            <w:noWrap/>
          </w:tcPr>
          <w:p w14:paraId="775F8A2A"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707" w:type="dxa"/>
            <w:tcBorders>
              <w:top w:val="nil"/>
              <w:left w:val="nil"/>
              <w:bottom w:val="single" w:sz="4" w:space="0" w:color="auto"/>
              <w:right w:val="single" w:sz="4" w:space="0" w:color="auto"/>
            </w:tcBorders>
            <w:shd w:val="clear" w:color="auto" w:fill="C6EFCE"/>
            <w:noWrap/>
          </w:tcPr>
          <w:p w14:paraId="27445DCD" w14:textId="77777777" w:rsidR="00515398" w:rsidRDefault="006711E6">
            <w:pPr>
              <w:pStyle w:val="P68B1DB1-Normal9"/>
              <w:spacing w:after="0" w:line="240" w:lineRule="auto"/>
              <w:rPr>
                <w:rFonts w:eastAsia="Times New Roman" w:cs="Calibri"/>
                <w:noProof/>
                <w:szCs w:val="18"/>
              </w:rPr>
            </w:pPr>
            <w:r>
              <w:rPr>
                <w:noProof/>
              </w:rPr>
              <w:t>2025</w:t>
            </w:r>
          </w:p>
        </w:tc>
        <w:tc>
          <w:tcPr>
            <w:tcW w:w="4449" w:type="dxa"/>
            <w:tcBorders>
              <w:top w:val="nil"/>
              <w:left w:val="nil"/>
              <w:bottom w:val="single" w:sz="4" w:space="0" w:color="auto"/>
              <w:right w:val="single" w:sz="4" w:space="0" w:color="auto"/>
            </w:tcBorders>
            <w:shd w:val="clear" w:color="auto" w:fill="C6EFCE"/>
            <w:noWrap/>
          </w:tcPr>
          <w:p w14:paraId="04CF54B9" w14:textId="77777777" w:rsidR="00515398" w:rsidRDefault="006711E6">
            <w:pPr>
              <w:pStyle w:val="P68B1DB1-Normal9"/>
              <w:spacing w:after="0" w:line="240" w:lineRule="auto"/>
              <w:rPr>
                <w:rFonts w:eastAsia="Times New Roman" w:cs="Calibri"/>
                <w:noProof/>
                <w:szCs w:val="18"/>
              </w:rPr>
            </w:pPr>
            <w:r>
              <w:rPr>
                <w:noProof/>
              </w:rPr>
              <w:t>Vstup v platnost právních předpisů za účelem reformy a přijetí nezbytných opatření k dalšímu zlepšení regulačního rámce pro udělování licencí a účinný dohled nad podniky:</w:t>
            </w:r>
          </w:p>
          <w:p w14:paraId="20F1E91E" w14:textId="77777777" w:rsidR="00515398" w:rsidRDefault="006711E6">
            <w:pPr>
              <w:pStyle w:val="P68B1DB1-Normal9"/>
              <w:spacing w:before="120" w:after="0" w:line="240" w:lineRule="auto"/>
              <w:jc w:val="both"/>
              <w:rPr>
                <w:rFonts w:eastAsia="Times New Roman" w:cs="Calibri"/>
                <w:noProof/>
                <w:szCs w:val="18"/>
              </w:rPr>
            </w:pPr>
            <w:r>
              <w:rPr>
                <w:noProof/>
              </w:rPr>
              <w:t>—provést následné posouzení dopadů reformy udělování licencí, která proběhla do 1. čt</w:t>
            </w:r>
            <w:r>
              <w:rPr>
                <w:noProof/>
              </w:rPr>
              <w:t>vrtletí 2024, a provést politická doporučení,</w:t>
            </w:r>
          </w:p>
          <w:p w14:paraId="7B88E84E" w14:textId="77777777" w:rsidR="00515398" w:rsidRDefault="006711E6">
            <w:pPr>
              <w:pStyle w:val="P68B1DB1-Normal9"/>
              <w:spacing w:after="0" w:line="259" w:lineRule="auto"/>
              <w:ind w:left="12"/>
              <w:contextualSpacing/>
              <w:rPr>
                <w:rFonts w:eastAsia="Times New Roman" w:cs="Calibri"/>
                <w:noProof/>
                <w:szCs w:val="18"/>
              </w:rPr>
            </w:pPr>
            <w:r>
              <w:rPr>
                <w:noProof/>
              </w:rPr>
              <w:t>—přezkoumat a zjednodušit postupy udělování licencí pro nové hospodářské činnosti, které jsou vymezeny v zákoně 4442/16, a to omezením požadavků a osvědčení, odstraněním nehodnotových kroků procesu, zkrácením d</w:t>
            </w:r>
            <w:r>
              <w:rPr>
                <w:noProof/>
              </w:rPr>
              <w:t xml:space="preserve">oby zpracování žádostí a omezením kontrol ex ante pouze na vysoce rizikové činnosti v souladu se zásadami zákonů 4442/2016 a 4512/2018, </w:t>
            </w:r>
          </w:p>
          <w:p w14:paraId="4E44F252" w14:textId="379C3EFB" w:rsidR="00515398" w:rsidRDefault="006711E6">
            <w:pPr>
              <w:pStyle w:val="P68B1DB1-Normal9"/>
              <w:spacing w:after="0" w:line="240" w:lineRule="auto"/>
              <w:rPr>
                <w:rFonts w:eastAsia="Times New Roman" w:cs="Calibri"/>
                <w:noProof/>
                <w:szCs w:val="18"/>
              </w:rPr>
            </w:pPr>
            <w:r>
              <w:rPr>
                <w:noProof/>
              </w:rPr>
              <w:t>správní kodifikace (</w:t>
            </w:r>
            <w:r>
              <w:rPr>
                <w:i/>
                <w:noProof/>
              </w:rPr>
              <w:t>Διοικητική κήδικοποίηση</w:t>
            </w:r>
            <w:r>
              <w:rPr>
                <w:noProof/>
              </w:rPr>
              <w:t xml:space="preserve">) zákonů 3325/2005, 3982/2011, 4302/2014 a 4442/2016, </w:t>
            </w:r>
          </w:p>
          <w:p w14:paraId="4611028A" w14:textId="77777777" w:rsidR="00515398" w:rsidRDefault="006711E6">
            <w:pPr>
              <w:pStyle w:val="P68B1DB1-Normal9"/>
              <w:spacing w:after="0" w:line="240" w:lineRule="auto"/>
              <w:rPr>
                <w:rFonts w:eastAsia="Times New Roman" w:cs="Calibri"/>
                <w:noProof/>
                <w:szCs w:val="18"/>
              </w:rPr>
            </w:pPr>
            <w:r>
              <w:rPr>
                <w:noProof/>
              </w:rPr>
              <w:t>— vypracovat strategi</w:t>
            </w:r>
            <w:r>
              <w:rPr>
                <w:noProof/>
              </w:rPr>
              <w:t xml:space="preserve">i dozoru nad trhem v souladu s nařízením č. 1020/2019 a </w:t>
            </w:r>
          </w:p>
          <w:p w14:paraId="159B3E4E" w14:textId="77777777" w:rsidR="00515398" w:rsidRDefault="006711E6">
            <w:pPr>
              <w:pStyle w:val="P68B1DB1-Normal9"/>
              <w:spacing w:after="0" w:line="240" w:lineRule="auto"/>
              <w:rPr>
                <w:rFonts w:eastAsia="Times New Roman" w:cs="Calibri"/>
                <w:noProof/>
                <w:szCs w:val="18"/>
              </w:rPr>
            </w:pPr>
            <w:r>
              <w:rPr>
                <w:noProof/>
              </w:rPr>
              <w:t>účinné provádění nového systému dohledu nad hospodářskými činnostmi podle právních předpisů 4512/18, a to přijetím příslušných legislativních aktů a zavedením systému hodnocení kontrolních orgánů,</w:t>
            </w:r>
          </w:p>
          <w:p w14:paraId="7FB1E576" w14:textId="77777777" w:rsidR="00515398" w:rsidRDefault="006711E6">
            <w:pPr>
              <w:pStyle w:val="P68B1DB1-Normal9"/>
              <w:spacing w:after="0" w:line="240" w:lineRule="auto"/>
              <w:rPr>
                <w:rFonts w:eastAsia="Times New Roman" w:cs="Calibri"/>
                <w:noProof/>
                <w:szCs w:val="18"/>
              </w:rPr>
            </w:pPr>
            <w:r>
              <w:rPr>
                <w:noProof/>
              </w:rPr>
              <w:t>—z</w:t>
            </w:r>
            <w:r>
              <w:rPr>
                <w:noProof/>
              </w:rPr>
              <w:t>avádět a zavádět nástroje IT s cílem usnadnit procesy funkcí dozoru nad trhem</w:t>
            </w:r>
          </w:p>
        </w:tc>
      </w:tr>
    </w:tbl>
    <w:p w14:paraId="785FB386" w14:textId="77777777" w:rsidR="00515398" w:rsidRDefault="00515398">
      <w:pPr>
        <w:spacing w:before="120" w:after="120" w:line="240" w:lineRule="auto"/>
        <w:ind w:left="709"/>
        <w:jc w:val="both"/>
        <w:rPr>
          <w:rFonts w:ascii="Times New Roman" w:hAnsi="Times New Roman" w:cs="Times New Roman"/>
          <w:noProof/>
          <w:sz w:val="24"/>
          <w:szCs w:val="24"/>
        </w:rPr>
      </w:pPr>
    </w:p>
    <w:p w14:paraId="645818CE" w14:textId="77777777" w:rsidR="00515398" w:rsidRDefault="00515398">
      <w:pPr>
        <w:spacing w:before="120" w:after="120" w:line="240" w:lineRule="auto"/>
        <w:ind w:left="709"/>
        <w:jc w:val="both"/>
        <w:rPr>
          <w:rFonts w:ascii="Times New Roman" w:hAnsi="Times New Roman" w:cs="Times New Roman"/>
          <w:noProof/>
          <w:sz w:val="24"/>
        </w:rPr>
        <w:sectPr w:rsidR="00515398" w:rsidSect="00271D33">
          <w:headerReference w:type="even" r:id="rId313"/>
          <w:headerReference w:type="default" r:id="rId314"/>
          <w:footerReference w:type="even" r:id="rId315"/>
          <w:footerReference w:type="default" r:id="rId316"/>
          <w:headerReference w:type="first" r:id="rId317"/>
          <w:footerReference w:type="first" r:id="rId318"/>
          <w:pgSz w:w="16839" w:h="11907" w:orient="landscape"/>
          <w:pgMar w:top="720" w:right="720" w:bottom="720" w:left="720" w:header="709" w:footer="217" w:gutter="0"/>
          <w:cols w:space="720"/>
          <w:docGrid w:linePitch="360"/>
        </w:sectPr>
      </w:pPr>
    </w:p>
    <w:p w14:paraId="22BC940B"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R.3. </w:t>
      </w:r>
      <w:r>
        <w:rPr>
          <w:noProof/>
        </w:rPr>
        <w:t xml:space="preserve"> </w:t>
      </w:r>
      <w:r>
        <w:rPr>
          <w:rFonts w:ascii="Times New Roman" w:hAnsi="Times New Roman"/>
          <w:b/>
          <w:noProof/>
          <w:sz w:val="24"/>
          <w:u w:val="single"/>
        </w:rPr>
        <w:t xml:space="preserve">Popis reforem a investic pro půjčky </w:t>
      </w:r>
    </w:p>
    <w:p w14:paraId="3788317B"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Úvěrový nástroj (opatření ID 16980)</w:t>
      </w:r>
    </w:p>
    <w:p w14:paraId="7EDEFA18" w14:textId="39174EA8" w:rsidR="00515398" w:rsidRDefault="006711E6">
      <w:pPr>
        <w:pStyle w:val="P68B1DB1-Normal5"/>
        <w:spacing w:before="120" w:after="120" w:line="240" w:lineRule="auto"/>
        <w:jc w:val="both"/>
        <w:rPr>
          <w:rFonts w:cs="Times New Roman"/>
          <w:noProof/>
        </w:rPr>
      </w:pPr>
      <w:r>
        <w:rPr>
          <w:noProof/>
        </w:rPr>
        <w:t xml:space="preserve">Investice se týká </w:t>
      </w:r>
      <w:r>
        <w:rPr>
          <w:noProof/>
        </w:rPr>
        <w:t>využívání úvěrové podpory v rámci Nástroje pro oživení a odolnost s cílem usnadnit poskytování finančních pobídek soukromému sektoru a podpořit soukromé investice. Úvěrový nástroj využívá různých distribučních kanálů, konkrétně finančních institucí (prostř</w:t>
      </w:r>
      <w:r>
        <w:rPr>
          <w:noProof/>
        </w:rPr>
        <w:t xml:space="preserve">ednictvím nákupu podnikových dluhopisů nebo syndikovaných úvěrů, (15428 milionu EUR), kapitálové platformy (500 milionů EUR) a složky členského státu Programu InvestEU (500 milionů EUR). </w:t>
      </w:r>
    </w:p>
    <w:p w14:paraId="4B2D76AF" w14:textId="77777777" w:rsidR="00515398" w:rsidRDefault="006711E6">
      <w:pPr>
        <w:pStyle w:val="P68B1DB1-Normal4"/>
        <w:tabs>
          <w:tab w:val="left" w:pos="0"/>
        </w:tabs>
        <w:spacing w:before="120" w:after="120" w:line="240" w:lineRule="auto"/>
        <w:jc w:val="both"/>
        <w:rPr>
          <w:rFonts w:cs="Times New Roman"/>
          <w:noProof/>
          <w:szCs w:val="24"/>
        </w:rPr>
      </w:pPr>
      <w:r>
        <w:rPr>
          <w:noProof/>
        </w:rPr>
        <w:t>Pokud jde o distribuční kanál finančních institucí, úvěry jsou posky</w:t>
      </w:r>
      <w:r>
        <w:rPr>
          <w:noProof/>
        </w:rPr>
        <w:t xml:space="preserve">továny prostřednictvím mezinárodních finančních institucí (IFI) a komerčních bank (CB). Půjčky poskytnuté státem pokryjí maximálně 50 % investičních nákladů, přičemž účast finančních institucí činí nejméně 30 % a účast dlužníka nejméně 20 %. </w:t>
      </w:r>
    </w:p>
    <w:p w14:paraId="2A2EFD1B" w14:textId="77777777" w:rsidR="00515398" w:rsidRDefault="006711E6">
      <w:pPr>
        <w:pStyle w:val="P68B1DB1-Normal4"/>
        <w:tabs>
          <w:tab w:val="left" w:pos="0"/>
        </w:tabs>
        <w:spacing w:before="120" w:after="120" w:line="240" w:lineRule="auto"/>
        <w:jc w:val="both"/>
        <w:rPr>
          <w:rFonts w:cs="Times New Roman"/>
          <w:noProof/>
          <w:szCs w:val="24"/>
        </w:rPr>
      </w:pPr>
      <w:r>
        <w:rPr>
          <w:noProof/>
        </w:rPr>
        <w:t>Úvěry poskytn</w:t>
      </w:r>
      <w:r>
        <w:rPr>
          <w:noProof/>
        </w:rPr>
        <w:t>uté v rámci úvěrového nástroje splacené během prvních tří let od zřízení úvěrového nástroje mohou být opětovně použity na nové výplaty úvěrů v rámci úvěrového nástroje. V opačném případě jsou veškeré zpětné toky úvěrového nástroje směrovány na oddělený úče</w:t>
      </w:r>
      <w:r>
        <w:rPr>
          <w:noProof/>
        </w:rPr>
        <w:t>t, který se použije výhradně k obsluze veřejného dluhu, a pomáhá tak podpořit udržitelnost veřejných financí.</w:t>
      </w:r>
    </w:p>
    <w:p w14:paraId="67B0AD01" w14:textId="77777777" w:rsidR="00515398" w:rsidRDefault="006711E6">
      <w:pPr>
        <w:pStyle w:val="P68B1DB1-Normal4"/>
        <w:tabs>
          <w:tab w:val="left" w:pos="0"/>
        </w:tabs>
        <w:spacing w:before="120" w:after="120" w:line="240" w:lineRule="auto"/>
        <w:jc w:val="both"/>
        <w:rPr>
          <w:rFonts w:cs="Times New Roman"/>
          <w:noProof/>
          <w:szCs w:val="24"/>
        </w:rPr>
      </w:pPr>
      <w:r>
        <w:rPr>
          <w:noProof/>
        </w:rPr>
        <w:t xml:space="preserve">Z úvěrového nástroje jsou financovány pouze způsobilé projekty. IFI a certifikační subjekt konkrétně zajistí, aby financované investice: </w:t>
      </w:r>
    </w:p>
    <w:p w14:paraId="7FE9E20A" w14:textId="77777777" w:rsidR="00515398" w:rsidRDefault="006711E6">
      <w:pPr>
        <w:pStyle w:val="P68B1DB1-Normal4"/>
        <w:numPr>
          <w:ilvl w:val="0"/>
          <w:numId w:val="69"/>
        </w:numPr>
        <w:tabs>
          <w:tab w:val="left" w:pos="0"/>
        </w:tabs>
        <w:spacing w:before="120" w:after="120" w:line="240" w:lineRule="auto"/>
        <w:jc w:val="both"/>
        <w:rPr>
          <w:rFonts w:cs="Times New Roman"/>
          <w:noProof/>
          <w:szCs w:val="24"/>
        </w:rPr>
      </w:pPr>
      <w:r>
        <w:rPr>
          <w:noProof/>
        </w:rPr>
        <w:t>mít klad</w:t>
      </w:r>
      <w:r>
        <w:rPr>
          <w:noProof/>
        </w:rPr>
        <w:t>nou čistou současnou hodnotu a zajistit, aby rozhodnutí o financování vycházelo ze zdravých ekonomických kritérií;</w:t>
      </w:r>
    </w:p>
    <w:p w14:paraId="4A91A24D" w14:textId="77777777" w:rsidR="00515398" w:rsidRDefault="006711E6">
      <w:pPr>
        <w:pStyle w:val="P68B1DB1-Normal4"/>
        <w:numPr>
          <w:ilvl w:val="0"/>
          <w:numId w:val="69"/>
        </w:numPr>
        <w:tabs>
          <w:tab w:val="left" w:pos="0"/>
        </w:tabs>
        <w:spacing w:before="120" w:after="120" w:line="240" w:lineRule="auto"/>
        <w:jc w:val="both"/>
        <w:rPr>
          <w:rFonts w:cs="Times New Roman"/>
          <w:noProof/>
          <w:szCs w:val="24"/>
        </w:rPr>
      </w:pPr>
      <w:r>
        <w:rPr>
          <w:noProof/>
        </w:rPr>
        <w:t>jsou v souladu s pěti strategickými pilíři stanovenými pro úvěrový nástroj, konkrétně s ekologickou transformací, digitalizací, extroverzí, ú</w:t>
      </w:r>
      <w:r>
        <w:rPr>
          <w:noProof/>
        </w:rPr>
        <w:t>sporami z rozsahu prostřednictvím fúzí a akvizic, inovacemi;</w:t>
      </w:r>
    </w:p>
    <w:p w14:paraId="500C49CD" w14:textId="77777777" w:rsidR="00515398" w:rsidRDefault="006711E6">
      <w:pPr>
        <w:pStyle w:val="P68B1DB1-Normal4"/>
        <w:numPr>
          <w:ilvl w:val="0"/>
          <w:numId w:val="69"/>
        </w:numPr>
        <w:tabs>
          <w:tab w:val="left" w:pos="0"/>
        </w:tabs>
        <w:spacing w:before="120" w:after="120" w:line="240" w:lineRule="auto"/>
        <w:jc w:val="both"/>
        <w:rPr>
          <w:rFonts w:cs="Times New Roman"/>
          <w:noProof/>
          <w:szCs w:val="24"/>
        </w:rPr>
      </w:pPr>
      <w:r>
        <w:rPr>
          <w:noProof/>
        </w:rPr>
        <w:t xml:space="preserve">dodržovat pravidla státní podpory. </w:t>
      </w:r>
    </w:p>
    <w:p w14:paraId="0278118C" w14:textId="77777777" w:rsidR="00515398" w:rsidRDefault="006711E6">
      <w:pPr>
        <w:pStyle w:val="P68B1DB1-Normal4"/>
        <w:spacing w:before="120" w:after="120" w:line="240" w:lineRule="auto"/>
        <w:jc w:val="both"/>
        <w:rPr>
          <w:rFonts w:cs="Times New Roman"/>
          <w:noProof/>
        </w:rPr>
      </w:pPr>
      <w:r>
        <w:rPr>
          <w:noProof/>
        </w:rPr>
        <w:t>Aby bylo zajištěno, že opatření je v souladu s technickými pokyny „významně nepoškozovat“ (2021/C58/01), dohody v rámci úvěrového nástroje:</w:t>
      </w:r>
    </w:p>
    <w:p w14:paraId="5345D3B1" w14:textId="77777777" w:rsidR="00515398" w:rsidRDefault="006711E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 </w:t>
      </w:r>
      <w:r>
        <w:rPr>
          <w:noProof/>
        </w:rPr>
        <w:t xml:space="preserve"> </w:t>
      </w:r>
      <w:r>
        <w:rPr>
          <w:rFonts w:ascii="Times New Roman" w:hAnsi="Times New Roman"/>
          <w:noProof/>
          <w:sz w:val="24"/>
        </w:rPr>
        <w:t>požadovat uplat</w:t>
      </w:r>
      <w:r>
        <w:rPr>
          <w:rFonts w:ascii="Times New Roman" w:hAnsi="Times New Roman"/>
          <w:noProof/>
          <w:sz w:val="24"/>
        </w:rPr>
        <w:t>ňování technických pokynů Komise k prověřování udržitelnosti pro Fond InvestEU;</w:t>
      </w:r>
    </w:p>
    <w:p w14:paraId="38D7111C" w14:textId="77777777" w:rsidR="00515398" w:rsidRDefault="006711E6">
      <w:pPr>
        <w:spacing w:before="120" w:after="120" w:line="240" w:lineRule="auto"/>
        <w:jc w:val="both"/>
        <w:rPr>
          <w:rFonts w:ascii="Times New Roman" w:hAnsi="Times New Roman" w:cs="Times New Roman"/>
          <w:noProof/>
          <w:sz w:val="24"/>
        </w:rPr>
      </w:pPr>
      <w:r>
        <w:rPr>
          <w:rFonts w:ascii="Times New Roman" w:hAnsi="Times New Roman"/>
          <w:noProof/>
          <w:sz w:val="24"/>
          <w:szCs w:val="24"/>
        </w:rPr>
        <w:t xml:space="preserve">II. </w:t>
      </w:r>
      <w:r>
        <w:rPr>
          <w:noProof/>
        </w:rPr>
        <w:t xml:space="preserve"> </w:t>
      </w:r>
      <w:r>
        <w:rPr>
          <w:rFonts w:ascii="Times New Roman" w:hAnsi="Times New Roman"/>
          <w:noProof/>
          <w:sz w:val="24"/>
          <w:szCs w:val="24"/>
        </w:rPr>
        <w:t>vyjmout ze způsobilosti tento seznam činností a aktiv: i) činnosti a aktiva související s fosilními palivy, včetně následného využití</w:t>
      </w:r>
      <w:r>
        <w:rPr>
          <w:rFonts w:ascii="Times New Roman" w:hAnsi="Times New Roman"/>
          <w:noProof/>
          <w:sz w:val="24"/>
          <w:szCs w:val="24"/>
        </w:rPr>
        <w:footnoteReference w:id="39"/>
      </w:r>
      <w:r>
        <w:rPr>
          <w:rFonts w:ascii="Times New Roman" w:hAnsi="Times New Roman"/>
          <w:noProof/>
          <w:sz w:val="24"/>
          <w:szCs w:val="24"/>
        </w:rPr>
        <w:t>; II) činnosti a aktiva v rámci systé</w:t>
      </w:r>
      <w:r>
        <w:rPr>
          <w:rFonts w:ascii="Times New Roman" w:hAnsi="Times New Roman"/>
          <w:noProof/>
          <w:sz w:val="24"/>
          <w:szCs w:val="24"/>
        </w:rPr>
        <w:t>mu EU pro obchodování s emisemi (ETS) dosahující předpokládaných emisí skleníkových plynů, které nejsou nižší než příslušné referenční hodnoty</w:t>
      </w:r>
      <w:r>
        <w:rPr>
          <w:rFonts w:ascii="Times New Roman" w:hAnsi="Times New Roman"/>
          <w:noProof/>
          <w:sz w:val="24"/>
          <w:szCs w:val="24"/>
        </w:rPr>
        <w:footnoteReference w:id="40"/>
      </w:r>
      <w:r>
        <w:rPr>
          <w:rFonts w:ascii="Times New Roman" w:hAnsi="Times New Roman"/>
          <w:noProof/>
          <w:sz w:val="24"/>
          <w:szCs w:val="24"/>
        </w:rPr>
        <w:t>; III) činnosti a aktiva související se skládkami odpadů, spalovnami</w:t>
      </w:r>
      <w:r>
        <w:rPr>
          <w:rFonts w:ascii="Times New Roman" w:hAnsi="Times New Roman"/>
          <w:noProof/>
          <w:sz w:val="24"/>
          <w:szCs w:val="24"/>
        </w:rPr>
        <w:footnoteReference w:id="41"/>
      </w:r>
      <w:r>
        <w:rPr>
          <w:rFonts w:ascii="Times New Roman" w:hAnsi="Times New Roman"/>
          <w:noProof/>
          <w:sz w:val="24"/>
          <w:szCs w:val="24"/>
        </w:rPr>
        <w:t xml:space="preserve"> a zařízeními na mechanicko-biologické zprac</w:t>
      </w:r>
      <w:r>
        <w:rPr>
          <w:rFonts w:ascii="Times New Roman" w:hAnsi="Times New Roman"/>
          <w:noProof/>
          <w:sz w:val="24"/>
          <w:szCs w:val="24"/>
        </w:rPr>
        <w:t>ování odpadu</w:t>
      </w:r>
      <w:r>
        <w:rPr>
          <w:rFonts w:ascii="Times New Roman" w:hAnsi="Times New Roman"/>
          <w:noProof/>
          <w:sz w:val="24"/>
          <w:szCs w:val="24"/>
        </w:rPr>
        <w:footnoteReference w:id="42"/>
      </w:r>
      <w:r>
        <w:rPr>
          <w:rFonts w:ascii="Times New Roman" w:hAnsi="Times New Roman"/>
          <w:noProof/>
          <w:sz w:val="24"/>
          <w:szCs w:val="24"/>
        </w:rPr>
        <w:t>; a iv) činnosti a aktiva, u nichž může dlouhodobé odstraňování odpadů poškodit životní prostředí; a pokud</w:t>
      </w:r>
    </w:p>
    <w:p w14:paraId="74270A3E" w14:textId="77777777" w:rsidR="00515398" w:rsidRDefault="006711E6">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III. </w:t>
      </w:r>
      <w:r>
        <w:rPr>
          <w:noProof/>
        </w:rPr>
        <w:t xml:space="preserve"> </w:t>
      </w:r>
      <w:r>
        <w:rPr>
          <w:rFonts w:ascii="Times New Roman" w:hAnsi="Times New Roman"/>
          <w:noProof/>
          <w:sz w:val="24"/>
        </w:rPr>
        <w:t xml:space="preserve">požadovat ověření souladu projektů s příslušnými právními předpisy EU a vnitrostátními právními předpisy v oblasti životního </w:t>
      </w:r>
      <w:r>
        <w:rPr>
          <w:rFonts w:ascii="Times New Roman" w:hAnsi="Times New Roman"/>
          <w:noProof/>
          <w:sz w:val="24"/>
        </w:rPr>
        <w:t>prostředí u všech transakcí, včetně transakcí vyňatých z ověřování udržitelnosti.</w:t>
      </w:r>
    </w:p>
    <w:p w14:paraId="18C0EB74" w14:textId="28EAFABD" w:rsidR="00515398" w:rsidRDefault="006711E6">
      <w:pPr>
        <w:pStyle w:val="P68B1DB1-Normal4"/>
        <w:spacing w:before="120" w:after="120" w:line="240" w:lineRule="auto"/>
        <w:jc w:val="both"/>
        <w:rPr>
          <w:rFonts w:cs="Times New Roman"/>
          <w:noProof/>
        </w:rPr>
      </w:pPr>
      <w:r>
        <w:rPr>
          <w:noProof/>
        </w:rPr>
        <w:t>Kromě toho úvěrový nástroj stanoví závazek pro distribuční kanál finančních institucí investovat alespoň 41,5 % finančních prostředků na podporu klimatické transformace a 20,</w:t>
      </w:r>
      <w:r>
        <w:rPr>
          <w:noProof/>
        </w:rPr>
        <w:t xml:space="preserve">8 % finančních prostředků na podporu digitální transformace, a to za použití metodiky uvedené v přílohách VI a VII nařízení o Nástroji pro oživení a odolnost. </w:t>
      </w:r>
    </w:p>
    <w:p w14:paraId="3C158F97" w14:textId="59A1DA4F" w:rsidR="00515398" w:rsidRDefault="006711E6">
      <w:pPr>
        <w:pStyle w:val="P68B1DB1-Normal4"/>
        <w:spacing w:before="120" w:after="120" w:line="240" w:lineRule="auto"/>
        <w:jc w:val="both"/>
        <w:rPr>
          <w:rFonts w:cs="Times New Roman"/>
          <w:noProof/>
        </w:rPr>
      </w:pPr>
      <w:r>
        <w:rPr>
          <w:noProof/>
        </w:rPr>
        <w:t>Nezávislí auditoři před každou žádostí o vyplacení ověří soulad se zásadou „významně nepoškozova</w:t>
      </w:r>
      <w:r>
        <w:rPr>
          <w:noProof/>
        </w:rPr>
        <w:t>t“ a se 41,5 % klimatickým cílem a 20,8 % digitálním cílem.</w:t>
      </w:r>
    </w:p>
    <w:p w14:paraId="22327484" w14:textId="57E31635" w:rsidR="00515398" w:rsidRDefault="006711E6">
      <w:pPr>
        <w:pStyle w:val="P68B1DB1-Normal4"/>
        <w:spacing w:before="120" w:after="120" w:line="240" w:lineRule="auto"/>
        <w:jc w:val="both"/>
        <w:rPr>
          <w:rFonts w:cs="Times New Roman"/>
          <w:noProof/>
        </w:rPr>
      </w:pPr>
      <w:r>
        <w:rPr>
          <w:noProof/>
        </w:rPr>
        <w:t>Investice musí být provedena do 30. června 2026.</w:t>
      </w:r>
    </w:p>
    <w:p w14:paraId="04ACAB92" w14:textId="77777777" w:rsidR="00515398" w:rsidRDefault="00515398">
      <w:pPr>
        <w:spacing w:before="120" w:after="120" w:line="240" w:lineRule="auto"/>
        <w:jc w:val="both"/>
        <w:rPr>
          <w:rFonts w:ascii="Times New Roman" w:hAnsi="Times New Roman" w:cs="Times New Roman"/>
          <w:i/>
          <w:noProof/>
          <w:sz w:val="24"/>
          <w:u w:val="single"/>
        </w:rPr>
      </w:pPr>
    </w:p>
    <w:p w14:paraId="6F3EBBAE" w14:textId="77777777" w:rsidR="00515398" w:rsidRDefault="00515398">
      <w:pPr>
        <w:spacing w:before="120" w:after="120" w:line="240" w:lineRule="auto"/>
        <w:jc w:val="both"/>
        <w:rPr>
          <w:rFonts w:ascii="Times New Roman" w:hAnsi="Times New Roman" w:cs="Times New Roman"/>
          <w:i/>
          <w:noProof/>
          <w:sz w:val="24"/>
          <w:u w:val="single"/>
        </w:rPr>
      </w:pPr>
    </w:p>
    <w:p w14:paraId="54B2F287" w14:textId="77777777" w:rsidR="00515398" w:rsidRDefault="00515398">
      <w:pPr>
        <w:spacing w:after="160" w:line="259" w:lineRule="auto"/>
        <w:ind w:left="709"/>
        <w:contextualSpacing/>
        <w:jc w:val="both"/>
        <w:rPr>
          <w:noProof/>
        </w:rPr>
      </w:pPr>
    </w:p>
    <w:p w14:paraId="22C8E1E5" w14:textId="77777777" w:rsidR="00515398" w:rsidRDefault="00515398">
      <w:pPr>
        <w:spacing w:after="160" w:line="259" w:lineRule="auto"/>
        <w:ind w:left="709"/>
        <w:contextualSpacing/>
        <w:jc w:val="both"/>
        <w:rPr>
          <w:noProof/>
        </w:rPr>
        <w:sectPr w:rsidR="00515398" w:rsidSect="00271D33">
          <w:headerReference w:type="even" r:id="rId319"/>
          <w:headerReference w:type="default" r:id="rId320"/>
          <w:footerReference w:type="even" r:id="rId321"/>
          <w:footerReference w:type="default" r:id="rId322"/>
          <w:headerReference w:type="first" r:id="rId323"/>
          <w:footerReference w:type="first" r:id="rId324"/>
          <w:pgSz w:w="11907" w:h="16839"/>
          <w:pgMar w:top="1134" w:right="1417" w:bottom="1134" w:left="1417" w:header="709" w:footer="326" w:gutter="0"/>
          <w:cols w:space="720"/>
          <w:docGrid w:linePitch="360"/>
        </w:sectPr>
      </w:pPr>
    </w:p>
    <w:p w14:paraId="0F8EC1AC" w14:textId="77777777" w:rsidR="00515398" w:rsidRDefault="006711E6">
      <w:pPr>
        <w:spacing w:before="120" w:after="120" w:line="240" w:lineRule="auto"/>
        <w:ind w:left="709"/>
        <w:jc w:val="both"/>
        <w:rPr>
          <w:rFonts w:ascii="Times New Roman" w:hAnsi="Times New Roman" w:cs="Times New Roman"/>
          <w:b/>
          <w:bCs/>
          <w:noProof/>
          <w:sz w:val="24"/>
          <w:u w:val="single"/>
        </w:rPr>
      </w:pPr>
      <w:r>
        <w:rPr>
          <w:rFonts w:ascii="Times New Roman" w:hAnsi="Times New Roman"/>
          <w:b/>
          <w:noProof/>
          <w:sz w:val="24"/>
          <w:u w:val="single"/>
        </w:rPr>
        <w:t xml:space="preserve">R.4. </w:t>
      </w:r>
      <w:r>
        <w:rPr>
          <w:noProof/>
        </w:rPr>
        <w:t xml:space="preserve"> </w:t>
      </w:r>
      <w:r>
        <w:rPr>
          <w:rFonts w:ascii="Times New Roman" w:hAnsi="Times New Roman"/>
          <w:b/>
          <w:noProof/>
          <w:sz w:val="24"/>
          <w:u w:val="single"/>
        </w:rPr>
        <w:t xml:space="preserve">Milníky, cíle, ukazatele a harmonogram monitorování a provádění půjčky </w:t>
      </w:r>
    </w:p>
    <w:p w14:paraId="72A88ECA" w14:textId="3140E4A3" w:rsidR="00515398" w:rsidRDefault="006711E6">
      <w:pPr>
        <w:pStyle w:val="P68B1DB1-Normal6"/>
        <w:keepNext/>
        <w:keepLines/>
        <w:spacing w:before="40" w:after="240" w:line="240" w:lineRule="auto"/>
        <w:jc w:val="both"/>
        <w:outlineLvl w:val="4"/>
        <w:rPr>
          <w:rFonts w:eastAsia="Times New Roman"/>
          <w:noProof/>
        </w:rPr>
      </w:pPr>
      <w:r>
        <w:rPr>
          <w:noProof/>
        </w:rPr>
        <w:t>Úvěrový</w:t>
      </w:r>
      <w:r>
        <w:rPr>
          <w:noProof/>
        </w:rPr>
        <w:t xml:space="preserve"> nástroj (16980)</w:t>
      </w:r>
    </w:p>
    <w:tbl>
      <w:tblPr>
        <w:tblW w:w="15883" w:type="dxa"/>
        <w:jc w:val="center"/>
        <w:tblLayout w:type="fixed"/>
        <w:tblLook w:val="04A0" w:firstRow="1" w:lastRow="0" w:firstColumn="1" w:lastColumn="0" w:noHBand="0" w:noVBand="1"/>
      </w:tblPr>
      <w:tblGrid>
        <w:gridCol w:w="846"/>
        <w:gridCol w:w="1429"/>
        <w:gridCol w:w="1200"/>
        <w:gridCol w:w="1340"/>
        <w:gridCol w:w="1660"/>
        <w:gridCol w:w="1080"/>
        <w:gridCol w:w="1080"/>
        <w:gridCol w:w="840"/>
        <w:gridCol w:w="960"/>
        <w:gridCol w:w="840"/>
        <w:gridCol w:w="4608"/>
      </w:tblGrid>
      <w:tr w:rsidR="00515398" w14:paraId="459DB7F9" w14:textId="77777777">
        <w:trPr>
          <w:trHeight w:val="810"/>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7ADB23" w14:textId="47B22A1B" w:rsidR="00515398" w:rsidRDefault="006711E6">
            <w:pPr>
              <w:pStyle w:val="P68B1DB1-Normal16"/>
              <w:spacing w:after="0" w:line="240" w:lineRule="auto"/>
              <w:jc w:val="center"/>
              <w:rPr>
                <w:rFonts w:eastAsia="Times New Roman" w:cs="Times New Roman"/>
                <w:noProof/>
                <w:szCs w:val="20"/>
              </w:rPr>
            </w:pPr>
            <w:r>
              <w:rPr>
                <w:noProof/>
              </w:rPr>
              <w:t>Poř. Č.</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359C04" w14:textId="77777777" w:rsidR="00515398" w:rsidRDefault="006711E6">
            <w:pPr>
              <w:pStyle w:val="P68B1DB1-Normal16"/>
              <w:spacing w:after="0" w:line="240" w:lineRule="auto"/>
              <w:jc w:val="center"/>
              <w:rPr>
                <w:rFonts w:eastAsia="Times New Roman" w:cs="Times New Roman"/>
                <w:noProof/>
                <w:szCs w:val="20"/>
              </w:rPr>
            </w:pPr>
            <w:r>
              <w:rPr>
                <w:noProof/>
              </w:rPr>
              <w:t>Související opatření (reforma nebo investice)</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AF182C" w14:textId="77777777" w:rsidR="00515398" w:rsidRDefault="006711E6">
            <w:pPr>
              <w:pStyle w:val="P68B1DB1-Normal16"/>
              <w:spacing w:after="0" w:line="240" w:lineRule="auto"/>
              <w:jc w:val="center"/>
              <w:rPr>
                <w:rFonts w:eastAsia="Times New Roman" w:cs="Times New Roman"/>
                <w:noProof/>
                <w:szCs w:val="20"/>
              </w:rPr>
            </w:pPr>
            <w:r>
              <w:rPr>
                <w:noProof/>
              </w:rPr>
              <w:t>Milník/cíl</w:t>
            </w:r>
          </w:p>
        </w:tc>
        <w:tc>
          <w:tcPr>
            <w:tcW w:w="1340" w:type="dxa"/>
            <w:vMerge w:val="restart"/>
            <w:tcBorders>
              <w:top w:val="single" w:sz="4" w:space="0" w:color="auto"/>
              <w:left w:val="nil"/>
              <w:bottom w:val="single" w:sz="4" w:space="0" w:color="auto"/>
              <w:right w:val="single" w:sz="4" w:space="0" w:color="auto"/>
            </w:tcBorders>
            <w:shd w:val="clear" w:color="auto" w:fill="BDD7EE"/>
            <w:vAlign w:val="center"/>
            <w:hideMark/>
          </w:tcPr>
          <w:p w14:paraId="163F3E35" w14:textId="77777777" w:rsidR="00515398" w:rsidRDefault="006711E6">
            <w:pPr>
              <w:pStyle w:val="P68B1DB1-Normal16"/>
              <w:spacing w:after="0" w:line="240" w:lineRule="auto"/>
              <w:jc w:val="center"/>
              <w:rPr>
                <w:rFonts w:eastAsia="Times New Roman" w:cs="Times New Roman"/>
                <w:noProof/>
                <w:szCs w:val="20"/>
              </w:rPr>
            </w:pPr>
            <w:r>
              <w:rPr>
                <w:noProof/>
              </w:rPr>
              <w:t>Jméno</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423227" w14:textId="77777777" w:rsidR="00515398" w:rsidRDefault="006711E6">
            <w:pPr>
              <w:pStyle w:val="P68B1DB1-Normal16"/>
              <w:spacing w:after="0" w:line="240" w:lineRule="auto"/>
              <w:jc w:val="center"/>
              <w:rPr>
                <w:rFonts w:eastAsia="Times New Roman" w:cs="Times New Roman"/>
                <w:noProof/>
                <w:szCs w:val="20"/>
              </w:rPr>
            </w:pPr>
            <w:r>
              <w:rPr>
                <w:noProof/>
              </w:rPr>
              <w:t>Kvalitativní ukazatele (pro milníky)</w:t>
            </w:r>
          </w:p>
        </w:tc>
        <w:tc>
          <w:tcPr>
            <w:tcW w:w="3000" w:type="dxa"/>
            <w:gridSpan w:val="3"/>
            <w:tcBorders>
              <w:top w:val="single" w:sz="4" w:space="0" w:color="auto"/>
              <w:left w:val="nil"/>
              <w:bottom w:val="single" w:sz="4" w:space="0" w:color="auto"/>
              <w:right w:val="single" w:sz="4" w:space="0" w:color="auto"/>
            </w:tcBorders>
            <w:shd w:val="clear" w:color="auto" w:fill="BDD7EE"/>
            <w:vAlign w:val="center"/>
            <w:hideMark/>
          </w:tcPr>
          <w:p w14:paraId="6D8AACCD" w14:textId="77777777" w:rsidR="00515398" w:rsidRDefault="006711E6">
            <w:pPr>
              <w:pStyle w:val="P68B1DB1-Normal16"/>
              <w:spacing w:after="0" w:line="240" w:lineRule="auto"/>
              <w:jc w:val="center"/>
              <w:rPr>
                <w:rFonts w:eastAsia="Times New Roman" w:cs="Times New Roman"/>
                <w:noProof/>
                <w:szCs w:val="20"/>
              </w:rPr>
            </w:pPr>
            <w:r>
              <w:rPr>
                <w:noProof/>
              </w:rPr>
              <w:t>Kvantitativní ukazatele (pro cíle)</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14:paraId="7C141BDF" w14:textId="77777777" w:rsidR="00515398" w:rsidRDefault="006711E6">
            <w:pPr>
              <w:pStyle w:val="P68B1DB1-Normal16"/>
              <w:spacing w:after="0" w:line="240" w:lineRule="auto"/>
              <w:jc w:val="center"/>
              <w:rPr>
                <w:rFonts w:eastAsia="Times New Roman" w:cs="Times New Roman"/>
                <w:noProof/>
                <w:szCs w:val="20"/>
              </w:rPr>
            </w:pPr>
            <w:r>
              <w:rPr>
                <w:noProof/>
              </w:rPr>
              <w:t>Orientační harmonogram pro dokončení</w:t>
            </w:r>
          </w:p>
        </w:tc>
        <w:tc>
          <w:tcPr>
            <w:tcW w:w="46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7E2D54" w14:textId="77777777" w:rsidR="00515398" w:rsidRDefault="006711E6">
            <w:pPr>
              <w:pStyle w:val="P68B1DB1-Normal16"/>
              <w:spacing w:after="0" w:line="240" w:lineRule="auto"/>
              <w:jc w:val="center"/>
              <w:rPr>
                <w:rFonts w:eastAsia="Times New Roman" w:cs="Times New Roman"/>
                <w:noProof/>
                <w:szCs w:val="20"/>
              </w:rPr>
            </w:pPr>
            <w:r>
              <w:rPr>
                <w:noProof/>
              </w:rPr>
              <w:t>Popis každého milníku a cíle</w:t>
            </w:r>
          </w:p>
        </w:tc>
      </w:tr>
      <w:tr w:rsidR="00515398" w14:paraId="66222D1C" w14:textId="77777777">
        <w:trPr>
          <w:trHeight w:val="581"/>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EA797BC" w14:textId="77777777" w:rsidR="00515398" w:rsidRDefault="00515398">
            <w:pPr>
              <w:spacing w:after="0" w:line="240" w:lineRule="auto"/>
              <w:rPr>
                <w:rFonts w:ascii="Times New Roman" w:eastAsia="Times New Roman" w:hAnsi="Times New Roman" w:cs="Times New Roman"/>
                <w:b/>
                <w:bCs/>
                <w:noProof/>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0E74DDB1" w14:textId="77777777" w:rsidR="00515398" w:rsidRDefault="00515398">
            <w:pPr>
              <w:spacing w:after="0" w:line="240" w:lineRule="auto"/>
              <w:rPr>
                <w:rFonts w:ascii="Times New Roman" w:eastAsia="Times New Roman" w:hAnsi="Times New Roman" w:cs="Times New Roman"/>
                <w:b/>
                <w:bCs/>
                <w:noProof/>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4699356" w14:textId="77777777" w:rsidR="00515398" w:rsidRDefault="00515398">
            <w:pPr>
              <w:spacing w:after="0" w:line="240" w:lineRule="auto"/>
              <w:rPr>
                <w:rFonts w:ascii="Times New Roman" w:eastAsia="Times New Roman" w:hAnsi="Times New Roman" w:cs="Times New Roman"/>
                <w:b/>
                <w:bCs/>
                <w:noProof/>
                <w:sz w:val="24"/>
                <w:szCs w:val="24"/>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51462162" w14:textId="77777777" w:rsidR="00515398" w:rsidRDefault="00515398">
            <w:pPr>
              <w:spacing w:after="0" w:line="240" w:lineRule="auto"/>
              <w:rPr>
                <w:rFonts w:ascii="Times New Roman" w:eastAsia="Times New Roman" w:hAnsi="Times New Roman" w:cs="Times New Roman"/>
                <w:b/>
                <w:bCs/>
                <w:noProof/>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A7B8FF6" w14:textId="77777777" w:rsidR="00515398" w:rsidRDefault="00515398">
            <w:pPr>
              <w:spacing w:after="0" w:line="240" w:lineRule="auto"/>
              <w:rPr>
                <w:rFonts w:ascii="Times New Roman" w:eastAsia="Times New Roman" w:hAnsi="Times New Roman" w:cs="Times New Roman"/>
                <w:b/>
                <w:bCs/>
                <w:noProof/>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14E7E4C"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108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B5010B5"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w:t>
            </w:r>
            <w:r>
              <w:rPr>
                <w:noProof/>
              </w:rPr>
              <w:t>stav</w:t>
            </w:r>
          </w:p>
        </w:tc>
        <w:tc>
          <w:tcPr>
            <w:tcW w:w="8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99DED8F" w14:textId="77777777" w:rsidR="00515398" w:rsidRDefault="006711E6">
            <w:pPr>
              <w:pStyle w:val="P68B1DB1-Normal7"/>
              <w:spacing w:after="0" w:line="240" w:lineRule="auto"/>
              <w:jc w:val="center"/>
              <w:rPr>
                <w:rFonts w:eastAsia="Times New Roman" w:cs="Times New Roman"/>
                <w:noProof/>
                <w:szCs w:val="18"/>
              </w:rPr>
            </w:pPr>
            <w:r>
              <w:rPr>
                <w:noProof/>
              </w:rPr>
              <w:t>Cíl</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AAF5FE4"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84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4FE789B"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4608" w:type="dxa"/>
            <w:vMerge/>
            <w:tcBorders>
              <w:top w:val="single" w:sz="4" w:space="0" w:color="auto"/>
              <w:left w:val="single" w:sz="4" w:space="0" w:color="auto"/>
              <w:bottom w:val="single" w:sz="4" w:space="0" w:color="auto"/>
              <w:right w:val="single" w:sz="4" w:space="0" w:color="auto"/>
            </w:tcBorders>
            <w:vAlign w:val="center"/>
            <w:hideMark/>
          </w:tcPr>
          <w:p w14:paraId="7165B6C9" w14:textId="77777777" w:rsidR="00515398" w:rsidRDefault="00515398">
            <w:pPr>
              <w:spacing w:after="0" w:line="240" w:lineRule="auto"/>
              <w:rPr>
                <w:rFonts w:ascii="Times New Roman" w:eastAsia="Times New Roman" w:hAnsi="Times New Roman" w:cs="Times New Roman"/>
                <w:b/>
                <w:bCs/>
                <w:noProof/>
                <w:sz w:val="24"/>
                <w:szCs w:val="24"/>
              </w:rPr>
            </w:pPr>
          </w:p>
        </w:tc>
      </w:tr>
      <w:tr w:rsidR="00515398" w14:paraId="019A9153"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829812F" w14:textId="77777777" w:rsidR="00515398" w:rsidRDefault="006711E6">
            <w:pPr>
              <w:pStyle w:val="P68B1DB1-Normal9"/>
              <w:spacing w:after="0" w:line="240" w:lineRule="auto"/>
              <w:rPr>
                <w:rFonts w:eastAsia="Times New Roman" w:cs="Calibri"/>
                <w:noProof/>
              </w:rPr>
            </w:pPr>
            <w:r>
              <w:rPr>
                <w:noProof/>
              </w:rPr>
              <w:t>320</w:t>
            </w:r>
          </w:p>
        </w:tc>
        <w:tc>
          <w:tcPr>
            <w:tcW w:w="1429" w:type="dxa"/>
            <w:tcBorders>
              <w:top w:val="single" w:sz="4" w:space="0" w:color="auto"/>
              <w:left w:val="nil"/>
              <w:bottom w:val="single" w:sz="4" w:space="0" w:color="auto"/>
              <w:right w:val="single" w:sz="4" w:space="0" w:color="auto"/>
            </w:tcBorders>
            <w:shd w:val="clear" w:color="auto" w:fill="C6EFCE"/>
            <w:noWrap/>
          </w:tcPr>
          <w:p w14:paraId="7B4DC522" w14:textId="77777777"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71909A1E" w14:textId="77777777" w:rsidR="00515398" w:rsidRDefault="006711E6">
            <w:pPr>
              <w:pStyle w:val="P68B1DB1-Normal9"/>
              <w:spacing w:after="0" w:line="240" w:lineRule="auto"/>
              <w:rPr>
                <w:rFonts w:eastAsia="Times New Roman" w:cs="Calibri"/>
                <w:noProof/>
                <w:szCs w:val="18"/>
              </w:rPr>
            </w:pPr>
            <w:r>
              <w:rPr>
                <w:noProof/>
              </w:rPr>
              <w:t>Milník</w:t>
            </w:r>
          </w:p>
        </w:tc>
        <w:tc>
          <w:tcPr>
            <w:tcW w:w="1340" w:type="dxa"/>
            <w:tcBorders>
              <w:top w:val="single" w:sz="4" w:space="0" w:color="auto"/>
              <w:left w:val="nil"/>
              <w:bottom w:val="single" w:sz="4" w:space="0" w:color="auto"/>
              <w:right w:val="single" w:sz="4" w:space="0" w:color="auto"/>
            </w:tcBorders>
            <w:shd w:val="clear" w:color="auto" w:fill="C6EFCE"/>
            <w:noWrap/>
          </w:tcPr>
          <w:p w14:paraId="537558F9" w14:textId="77777777" w:rsidR="00515398" w:rsidRDefault="006711E6">
            <w:pPr>
              <w:pStyle w:val="P68B1DB1-Normal9"/>
              <w:spacing w:after="0" w:line="240" w:lineRule="auto"/>
              <w:rPr>
                <w:rFonts w:eastAsia="Times New Roman" w:cs="Calibri"/>
                <w:noProof/>
                <w:szCs w:val="18"/>
              </w:rPr>
            </w:pPr>
            <w:r>
              <w:rPr>
                <w:noProof/>
              </w:rPr>
              <w:t>Provozní dohody s mezinárodními finančními institucemi</w:t>
            </w:r>
          </w:p>
        </w:tc>
        <w:tc>
          <w:tcPr>
            <w:tcW w:w="1660" w:type="dxa"/>
            <w:tcBorders>
              <w:top w:val="single" w:sz="4" w:space="0" w:color="auto"/>
              <w:left w:val="nil"/>
              <w:bottom w:val="single" w:sz="4" w:space="0" w:color="auto"/>
              <w:right w:val="single" w:sz="4" w:space="0" w:color="auto"/>
            </w:tcBorders>
            <w:shd w:val="clear" w:color="auto" w:fill="C6EFCE"/>
            <w:noWrap/>
          </w:tcPr>
          <w:p w14:paraId="57E32DD5" w14:textId="77777777" w:rsidR="00515398" w:rsidRDefault="006711E6">
            <w:pPr>
              <w:pStyle w:val="P68B1DB1-Normal9"/>
              <w:spacing w:after="0" w:line="240" w:lineRule="auto"/>
              <w:rPr>
                <w:rFonts w:eastAsia="Times New Roman" w:cs="Calibri"/>
                <w:noProof/>
                <w:szCs w:val="18"/>
              </w:rPr>
            </w:pPr>
            <w:r>
              <w:rPr>
                <w:noProof/>
              </w:rPr>
              <w:t xml:space="preserve">Byla podepsána operativní dohoda s jednou </w:t>
            </w:r>
            <w:r>
              <w:rPr>
                <w:noProof/>
              </w:rPr>
              <w:t>mezinárodní finanční institucí</w:t>
            </w:r>
          </w:p>
        </w:tc>
        <w:tc>
          <w:tcPr>
            <w:tcW w:w="1080" w:type="dxa"/>
            <w:tcBorders>
              <w:top w:val="single" w:sz="4" w:space="0" w:color="auto"/>
              <w:left w:val="nil"/>
              <w:bottom w:val="single" w:sz="4" w:space="0" w:color="auto"/>
              <w:right w:val="single" w:sz="4" w:space="0" w:color="auto"/>
            </w:tcBorders>
            <w:shd w:val="clear" w:color="auto" w:fill="C6EFCE"/>
            <w:noWrap/>
          </w:tcPr>
          <w:p w14:paraId="41623B5E"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08C49B5" w14:textId="77777777" w:rsidR="00515398" w:rsidRDefault="00515398">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50F4864F"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4FD171B8" w14:textId="77777777" w:rsidR="00515398" w:rsidRDefault="006711E6">
            <w:pPr>
              <w:pStyle w:val="P68B1DB1-Normal9"/>
              <w:spacing w:after="0" w:line="240" w:lineRule="auto"/>
              <w:rPr>
                <w:rFonts w:eastAsia="Times New Roman" w:cs="Calibri"/>
                <w:noProof/>
                <w:szCs w:val="18"/>
              </w:rPr>
            </w:pPr>
            <w:r>
              <w:rPr>
                <w:noProof/>
              </w:rPr>
              <w:t>ČTVRTLETÍ 3</w:t>
            </w:r>
          </w:p>
        </w:tc>
        <w:tc>
          <w:tcPr>
            <w:tcW w:w="840" w:type="dxa"/>
            <w:tcBorders>
              <w:top w:val="single" w:sz="4" w:space="0" w:color="auto"/>
              <w:left w:val="nil"/>
              <w:bottom w:val="single" w:sz="4" w:space="0" w:color="auto"/>
              <w:right w:val="single" w:sz="4" w:space="0" w:color="auto"/>
            </w:tcBorders>
            <w:shd w:val="clear" w:color="auto" w:fill="C6EFCE"/>
            <w:noWrap/>
          </w:tcPr>
          <w:p w14:paraId="310484B3" w14:textId="77777777" w:rsidR="00515398" w:rsidRDefault="006711E6">
            <w:pPr>
              <w:pStyle w:val="P68B1DB1-Normal9"/>
              <w:spacing w:after="0" w:line="240" w:lineRule="auto"/>
              <w:rPr>
                <w:rFonts w:eastAsia="Times New Roman" w:cs="Calibri"/>
                <w:noProof/>
                <w:szCs w:val="18"/>
              </w:rPr>
            </w:pPr>
            <w:r>
              <w:rPr>
                <w:noProof/>
              </w:rPr>
              <w:t>2021</w:t>
            </w:r>
          </w:p>
        </w:tc>
        <w:tc>
          <w:tcPr>
            <w:tcW w:w="4608" w:type="dxa"/>
            <w:tcBorders>
              <w:top w:val="single" w:sz="4" w:space="0" w:color="auto"/>
              <w:left w:val="nil"/>
              <w:bottom w:val="single" w:sz="4" w:space="0" w:color="auto"/>
              <w:right w:val="single" w:sz="4" w:space="0" w:color="auto"/>
            </w:tcBorders>
            <w:shd w:val="clear" w:color="auto" w:fill="C6EFCE"/>
            <w:noWrap/>
          </w:tcPr>
          <w:p w14:paraId="15638D3D" w14:textId="77777777" w:rsidR="00515398" w:rsidRDefault="006711E6">
            <w:pPr>
              <w:pStyle w:val="P68B1DB1-Normal9"/>
              <w:spacing w:after="0" w:line="240" w:lineRule="auto"/>
              <w:rPr>
                <w:rFonts w:eastAsia="Times New Roman" w:cs="Calibri"/>
                <w:noProof/>
                <w:szCs w:val="18"/>
              </w:rPr>
            </w:pPr>
            <w:r>
              <w:rPr>
                <w:noProof/>
              </w:rPr>
              <w:t xml:space="preserve">Přijmout rámcové provozní ujednání, které se použije pro všechny úvěrové smlouvy s mezinárodními finančními institucemi, a podepsat provozní dohody mezi ministerstvem financí a alespoň jednou mezinárodní </w:t>
            </w:r>
            <w:r>
              <w:rPr>
                <w:noProof/>
              </w:rPr>
              <w:t>finanční institucí. Rámcové provozní ujednání stanoví:</w:t>
            </w:r>
          </w:p>
          <w:p w14:paraId="272E1835" w14:textId="77777777" w:rsidR="00515398" w:rsidRDefault="006711E6">
            <w:pPr>
              <w:pStyle w:val="P68B1DB1-Normal9"/>
              <w:spacing w:after="0" w:line="240" w:lineRule="auto"/>
              <w:rPr>
                <w:rFonts w:eastAsia="Times New Roman" w:cs="Calibri"/>
                <w:noProof/>
                <w:szCs w:val="18"/>
              </w:rPr>
            </w:pPr>
            <w:r>
              <w:rPr>
                <w:noProof/>
              </w:rPr>
              <w:t xml:space="preserve">a) Kritéria pro správu, výběr, monitorování a audit a sdílení ztrát: </w:t>
            </w:r>
          </w:p>
          <w:p w14:paraId="2E6361D3" w14:textId="77777777" w:rsidR="00515398" w:rsidRDefault="006711E6">
            <w:pPr>
              <w:pStyle w:val="P68B1DB1-Normal9"/>
              <w:numPr>
                <w:ilvl w:val="0"/>
                <w:numId w:val="70"/>
              </w:numPr>
              <w:tabs>
                <w:tab w:val="left" w:pos="0"/>
              </w:tabs>
              <w:spacing w:after="0" w:line="240" w:lineRule="auto"/>
              <w:jc w:val="both"/>
              <w:rPr>
                <w:rFonts w:eastAsia="Times New Roman" w:cs="Calibri"/>
                <w:noProof/>
                <w:szCs w:val="18"/>
              </w:rPr>
            </w:pPr>
            <w:r>
              <w:rPr>
                <w:noProof/>
              </w:rPr>
              <w:t>Správní rámec:</w:t>
            </w:r>
          </w:p>
          <w:p w14:paraId="35ACBAD0" w14:textId="77777777" w:rsidR="00515398" w:rsidRDefault="006711E6">
            <w:pPr>
              <w:pStyle w:val="P68B1DB1-Normal9"/>
              <w:numPr>
                <w:ilvl w:val="1"/>
                <w:numId w:val="70"/>
              </w:numPr>
              <w:tabs>
                <w:tab w:val="left" w:pos="0"/>
              </w:tabs>
              <w:spacing w:after="0" w:line="240" w:lineRule="auto"/>
              <w:jc w:val="both"/>
              <w:rPr>
                <w:rFonts w:eastAsia="Times New Roman" w:cs="Calibri"/>
                <w:noProof/>
                <w:szCs w:val="18"/>
              </w:rPr>
            </w:pPr>
            <w:r>
              <w:rPr>
                <w:noProof/>
              </w:rPr>
              <w:t>Rozhodování je založeno na řádných hospodářských kritériích a probíhá za obvyklých tržních podmínek ze strany vlády.</w:t>
            </w:r>
          </w:p>
          <w:p w14:paraId="3E878B43" w14:textId="77777777" w:rsidR="00515398" w:rsidRDefault="006711E6">
            <w:pPr>
              <w:pStyle w:val="P68B1DB1-Normal9"/>
              <w:numPr>
                <w:ilvl w:val="1"/>
                <w:numId w:val="70"/>
              </w:numPr>
              <w:tabs>
                <w:tab w:val="left" w:pos="0"/>
              </w:tabs>
              <w:spacing w:after="0" w:line="240" w:lineRule="auto"/>
              <w:jc w:val="both"/>
              <w:rPr>
                <w:rFonts w:eastAsia="Times New Roman" w:cs="Calibri"/>
                <w:noProof/>
                <w:szCs w:val="18"/>
              </w:rPr>
            </w:pPr>
            <w:r>
              <w:rPr>
                <w:noProof/>
              </w:rPr>
              <w:t>Mezinárodní finanční instituce hodnotí žádosti o financování a rozhodují na základě svých interních kritérií. Mezinárodní finanční instituce zajistí, aby financované investice měly kladnou čistou současnou hodnotu, byly v souladu se strategickými pilíři ú</w:t>
            </w:r>
            <w:r>
              <w:rPr>
                <w:noProof/>
              </w:rPr>
              <w:t>věrového nástroje a aby byly v souladu s pravidly státní podpory.</w:t>
            </w:r>
          </w:p>
          <w:p w14:paraId="70F6710A" w14:textId="77777777" w:rsidR="00515398" w:rsidRDefault="006711E6">
            <w:pPr>
              <w:pStyle w:val="P68B1DB1-Normal9"/>
              <w:numPr>
                <w:ilvl w:val="1"/>
                <w:numId w:val="70"/>
              </w:numPr>
              <w:tabs>
                <w:tab w:val="left" w:pos="0"/>
              </w:tabs>
              <w:spacing w:after="0" w:line="240" w:lineRule="auto"/>
              <w:jc w:val="both"/>
              <w:rPr>
                <w:rFonts w:eastAsia="Times New Roman" w:cs="Calibri"/>
                <w:noProof/>
                <w:szCs w:val="18"/>
              </w:rPr>
            </w:pPr>
            <w:r>
              <w:rPr>
                <w:noProof/>
              </w:rPr>
              <w:t xml:space="preserve">Provádění monitoruje specializovaný výbor investiční rady, aniž by byl zapojen do výběrového řízení. Mezinárodní finanční instituce pravidelně podávají zprávy výboru investiční rady. </w:t>
            </w:r>
          </w:p>
          <w:p w14:paraId="395B7575" w14:textId="77777777" w:rsidR="00515398" w:rsidRDefault="006711E6">
            <w:pPr>
              <w:pStyle w:val="P68B1DB1-Normal9"/>
              <w:numPr>
                <w:ilvl w:val="0"/>
                <w:numId w:val="70"/>
              </w:numPr>
              <w:tabs>
                <w:tab w:val="left" w:pos="0"/>
              </w:tabs>
              <w:spacing w:after="0" w:line="240" w:lineRule="auto"/>
              <w:jc w:val="both"/>
              <w:rPr>
                <w:rFonts w:eastAsia="Times New Roman" w:cs="Calibri"/>
                <w:noProof/>
                <w:szCs w:val="18"/>
              </w:rPr>
            </w:pPr>
            <w:r>
              <w:rPr>
                <w:noProof/>
              </w:rPr>
              <w:t>Výše v</w:t>
            </w:r>
            <w:r>
              <w:rPr>
                <w:noProof/>
              </w:rPr>
              <w:t>ýplaty, která se uskuteční v tranších, a způsoby monitorování a auditu:</w:t>
            </w:r>
          </w:p>
          <w:p w14:paraId="04B5E7D8" w14:textId="77777777" w:rsidR="00515398" w:rsidRDefault="006711E6">
            <w:pPr>
              <w:pStyle w:val="P68B1DB1-Normal9"/>
              <w:numPr>
                <w:ilvl w:val="1"/>
                <w:numId w:val="70"/>
              </w:numPr>
              <w:tabs>
                <w:tab w:val="left" w:pos="0"/>
              </w:tabs>
              <w:spacing w:after="0" w:line="240" w:lineRule="auto"/>
              <w:jc w:val="both"/>
              <w:rPr>
                <w:rFonts w:eastAsia="Times New Roman" w:cs="Calibri"/>
                <w:noProof/>
                <w:szCs w:val="18"/>
              </w:rPr>
            </w:pPr>
            <w:r>
              <w:rPr>
                <w:noProof/>
              </w:rPr>
              <w:t>Stanoví se klíčové ukazatele výkonnosti (KPI) pro monitorování vyplacených úvěrů, které mohou rovněž sloužit jako referenční hodnoty pro podmíněné uvolnění dalších tranší.</w:t>
            </w:r>
          </w:p>
          <w:p w14:paraId="518BF0E1" w14:textId="77777777" w:rsidR="00515398" w:rsidRDefault="006711E6">
            <w:pPr>
              <w:pStyle w:val="P68B1DB1-Normal9"/>
              <w:numPr>
                <w:ilvl w:val="1"/>
                <w:numId w:val="70"/>
              </w:numPr>
              <w:tabs>
                <w:tab w:val="left" w:pos="0"/>
              </w:tabs>
              <w:spacing w:after="0" w:line="240" w:lineRule="auto"/>
              <w:jc w:val="both"/>
              <w:rPr>
                <w:rFonts w:eastAsia="Times New Roman" w:cs="Calibri"/>
                <w:noProof/>
                <w:szCs w:val="18"/>
              </w:rPr>
            </w:pPr>
            <w:r>
              <w:rPr>
                <w:noProof/>
              </w:rPr>
              <w:t>Předpokládaj</w:t>
            </w:r>
            <w:r>
              <w:rPr>
                <w:noProof/>
              </w:rPr>
              <w:t>í se tři úrovně kontrol způsobilosti: i) posouzení finanční institucí poskytující financování; II) posouzení nezávislým certifikovaným auditorem před poskytnutím financování; a iii) hodnocení ex post nezávislým certifikovaným auditorem.</w:t>
            </w:r>
            <w:r>
              <w:rPr>
                <w:noProof/>
                <w:highlight w:val="yellow"/>
              </w:rPr>
              <w:t xml:space="preserve"> </w:t>
            </w:r>
            <w:r>
              <w:rPr>
                <w:noProof/>
              </w:rPr>
              <w:t xml:space="preserve">Nezávislí auditoři </w:t>
            </w:r>
            <w:r>
              <w:rPr>
                <w:noProof/>
              </w:rPr>
              <w:t xml:space="preserve">posoudí způsobilost investic podle výběrových kritérií a souladu s příslušnými pravidly státní podpory. </w:t>
            </w:r>
          </w:p>
          <w:p w14:paraId="00A4D669" w14:textId="77777777" w:rsidR="00515398" w:rsidRDefault="006711E6">
            <w:pPr>
              <w:pStyle w:val="P68B1DB1-Normal9"/>
              <w:numPr>
                <w:ilvl w:val="0"/>
                <w:numId w:val="70"/>
              </w:numPr>
              <w:tabs>
                <w:tab w:val="left" w:pos="0"/>
              </w:tabs>
              <w:spacing w:after="0" w:line="240" w:lineRule="auto"/>
              <w:jc w:val="both"/>
              <w:rPr>
                <w:rFonts w:eastAsia="Times New Roman" w:cs="Calibri"/>
                <w:noProof/>
                <w:szCs w:val="18"/>
              </w:rPr>
            </w:pPr>
            <w:r>
              <w:rPr>
                <w:noProof/>
              </w:rPr>
              <w:t xml:space="preserve">Ztráty z úvěrů (dluhopisů nebo syndikovaných): Stát a MFI se účastní pari passu. Veškerá rozhodnutí týkající se restrukturalizace se přidělí finančním </w:t>
            </w:r>
            <w:r>
              <w:rPr>
                <w:noProof/>
              </w:rPr>
              <w:t xml:space="preserve">institucím. </w:t>
            </w:r>
          </w:p>
          <w:p w14:paraId="4EC2387C" w14:textId="77777777" w:rsidR="00515398" w:rsidRDefault="006711E6">
            <w:pPr>
              <w:pStyle w:val="P68B1DB1-Normal9"/>
              <w:numPr>
                <w:ilvl w:val="0"/>
                <w:numId w:val="70"/>
              </w:numPr>
              <w:tabs>
                <w:tab w:val="left" w:pos="0"/>
              </w:tabs>
              <w:spacing w:after="0" w:line="240" w:lineRule="auto"/>
              <w:jc w:val="both"/>
              <w:rPr>
                <w:rFonts w:eastAsia="Times New Roman" w:cs="Calibri"/>
                <w:noProof/>
                <w:szCs w:val="18"/>
              </w:rPr>
            </w:pPr>
            <w:r>
              <w:rPr>
                <w:noProof/>
              </w:rPr>
              <w:t xml:space="preserve">Refinancování nesplacených úvěrů je vyloučeno. </w:t>
            </w:r>
          </w:p>
          <w:p w14:paraId="0BFDCBB0" w14:textId="3B89EF22" w:rsidR="00515398" w:rsidRDefault="006711E6">
            <w:pPr>
              <w:pStyle w:val="P68B1DB1-Normal9"/>
              <w:tabs>
                <w:tab w:val="left" w:pos="0"/>
              </w:tabs>
              <w:spacing w:after="0" w:line="240" w:lineRule="auto"/>
              <w:jc w:val="both"/>
              <w:rPr>
                <w:rFonts w:eastAsia="Times New Roman" w:cs="Calibri"/>
                <w:noProof/>
                <w:szCs w:val="18"/>
              </w:rPr>
            </w:pPr>
            <w:r>
              <w:rPr>
                <w:noProof/>
              </w:rPr>
              <w:t xml:space="preserve">b) kritéria výběru pro soulad s technickými pokyny „významně nepoškozovat“ (2021/C58/01) podporovaných činností, která vyžadují použití ověření udržitelnosti, seznamu výjimek a povinných kontrol </w:t>
            </w:r>
            <w:r>
              <w:rPr>
                <w:noProof/>
              </w:rPr>
              <w:t>souladu s příslušnými právními předpisy EU a vnitrostátními právními předpisy v oblasti životního prostředí prováděnými nezávislým auditorem.</w:t>
            </w:r>
          </w:p>
          <w:p w14:paraId="227BC753" w14:textId="7F33A6C1" w:rsidR="00515398" w:rsidRDefault="006711E6">
            <w:pPr>
              <w:pStyle w:val="P68B1DB1-Normal9"/>
              <w:spacing w:after="0" w:line="240" w:lineRule="auto"/>
              <w:rPr>
                <w:rFonts w:eastAsia="Times New Roman" w:cs="Calibri"/>
                <w:noProof/>
                <w:szCs w:val="18"/>
              </w:rPr>
            </w:pPr>
            <w:r>
              <w:rPr>
                <w:noProof/>
              </w:rPr>
              <w:t xml:space="preserve">C) závazek investovat alespoň 38,5 % finančních prostředků na podporu klimatické transformace a 20,8 % finančních </w:t>
            </w:r>
            <w:r>
              <w:rPr>
                <w:noProof/>
              </w:rPr>
              <w:t>prostředků na podporu digitální transformace, a to za použití metodiky uvedené v přílohách VI a VII nařízení o Nástroji pro oživení a odolnost.</w:t>
            </w:r>
          </w:p>
        </w:tc>
      </w:tr>
      <w:tr w:rsidR="00515398" w14:paraId="4904AD25" w14:textId="77777777">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tcPr>
          <w:p w14:paraId="21C5CC49" w14:textId="77777777" w:rsidR="00515398" w:rsidRDefault="006711E6">
            <w:pPr>
              <w:pStyle w:val="P68B1DB1-Normal9"/>
              <w:spacing w:after="0" w:line="240" w:lineRule="auto"/>
              <w:rPr>
                <w:rFonts w:eastAsia="Times New Roman" w:cs="Calibri"/>
                <w:noProof/>
              </w:rPr>
            </w:pPr>
            <w:r>
              <w:rPr>
                <w:noProof/>
              </w:rPr>
              <w:t>321</w:t>
            </w:r>
          </w:p>
        </w:tc>
        <w:tc>
          <w:tcPr>
            <w:tcW w:w="1429" w:type="dxa"/>
            <w:tcBorders>
              <w:top w:val="nil"/>
              <w:left w:val="nil"/>
              <w:bottom w:val="single" w:sz="4" w:space="0" w:color="auto"/>
              <w:right w:val="single" w:sz="4" w:space="0" w:color="auto"/>
            </w:tcBorders>
            <w:shd w:val="clear" w:color="auto" w:fill="C6EFCE"/>
            <w:noWrap/>
          </w:tcPr>
          <w:p w14:paraId="3C3AC9AA" w14:textId="77777777" w:rsidR="00515398" w:rsidRDefault="006711E6">
            <w:pPr>
              <w:pStyle w:val="P68B1DB1-Normal9"/>
              <w:spacing w:after="0" w:line="240" w:lineRule="auto"/>
              <w:rPr>
                <w:rFonts w:eastAsia="Times New Roman" w:cs="Calibri"/>
                <w:noProof/>
                <w:szCs w:val="18"/>
              </w:rPr>
            </w:pPr>
            <w:r>
              <w:rPr>
                <w:noProof/>
              </w:rPr>
              <w:t xml:space="preserve">4.7. Zlepšit konkurenceschopnost a podpořit soukromé investice a vývoz – 16980_úvěrový nástroj pro oživení </w:t>
            </w:r>
            <w:r>
              <w:rPr>
                <w:noProof/>
              </w:rPr>
              <w:t>a odolnost</w:t>
            </w:r>
          </w:p>
        </w:tc>
        <w:tc>
          <w:tcPr>
            <w:tcW w:w="1200" w:type="dxa"/>
            <w:tcBorders>
              <w:top w:val="nil"/>
              <w:left w:val="nil"/>
              <w:bottom w:val="single" w:sz="4" w:space="0" w:color="auto"/>
              <w:right w:val="single" w:sz="4" w:space="0" w:color="auto"/>
            </w:tcBorders>
            <w:shd w:val="clear" w:color="auto" w:fill="C6EFCE"/>
            <w:noWrap/>
          </w:tcPr>
          <w:p w14:paraId="36574621" w14:textId="77777777" w:rsidR="00515398" w:rsidRDefault="006711E6">
            <w:pPr>
              <w:pStyle w:val="P68B1DB1-Normal9"/>
              <w:spacing w:after="0" w:line="240" w:lineRule="auto"/>
              <w:rPr>
                <w:rFonts w:eastAsia="Times New Roman" w:cs="Calibri"/>
                <w:noProof/>
                <w:szCs w:val="18"/>
              </w:rPr>
            </w:pPr>
            <w:r>
              <w:rPr>
                <w:noProof/>
              </w:rPr>
              <w:t>Milník</w:t>
            </w:r>
          </w:p>
        </w:tc>
        <w:tc>
          <w:tcPr>
            <w:tcW w:w="1340" w:type="dxa"/>
            <w:tcBorders>
              <w:top w:val="nil"/>
              <w:left w:val="nil"/>
              <w:bottom w:val="single" w:sz="4" w:space="0" w:color="auto"/>
              <w:right w:val="single" w:sz="4" w:space="0" w:color="auto"/>
            </w:tcBorders>
            <w:shd w:val="clear" w:color="auto" w:fill="C6EFCE"/>
            <w:noWrap/>
          </w:tcPr>
          <w:p w14:paraId="4D2A272B" w14:textId="77777777" w:rsidR="00515398" w:rsidRDefault="006711E6">
            <w:pPr>
              <w:pStyle w:val="P68B1DB1-Normal9"/>
              <w:spacing w:after="0" w:line="240" w:lineRule="auto"/>
              <w:rPr>
                <w:rFonts w:eastAsia="Times New Roman" w:cs="Calibri"/>
                <w:noProof/>
                <w:szCs w:val="18"/>
              </w:rPr>
            </w:pPr>
            <w:r>
              <w:rPr>
                <w:noProof/>
              </w:rPr>
              <w:t>Zahájení výzvy komerčních bank</w:t>
            </w:r>
          </w:p>
        </w:tc>
        <w:tc>
          <w:tcPr>
            <w:tcW w:w="1660" w:type="dxa"/>
            <w:tcBorders>
              <w:top w:val="nil"/>
              <w:left w:val="nil"/>
              <w:bottom w:val="single" w:sz="4" w:space="0" w:color="auto"/>
              <w:right w:val="single" w:sz="4" w:space="0" w:color="auto"/>
            </w:tcBorders>
            <w:shd w:val="clear" w:color="auto" w:fill="C6EFCE"/>
            <w:noWrap/>
          </w:tcPr>
          <w:p w14:paraId="652D8BE3" w14:textId="77777777" w:rsidR="00515398" w:rsidRDefault="006711E6">
            <w:pPr>
              <w:pStyle w:val="P68B1DB1-Normal9"/>
              <w:spacing w:after="0" w:line="240" w:lineRule="auto"/>
              <w:rPr>
                <w:rFonts w:eastAsia="Times New Roman" w:cs="Calibri"/>
                <w:noProof/>
                <w:szCs w:val="18"/>
              </w:rPr>
            </w:pPr>
            <w:r>
              <w:rPr>
                <w:noProof/>
              </w:rPr>
              <w:t>Zahájení výzvy</w:t>
            </w:r>
          </w:p>
        </w:tc>
        <w:tc>
          <w:tcPr>
            <w:tcW w:w="1080" w:type="dxa"/>
            <w:tcBorders>
              <w:top w:val="nil"/>
              <w:left w:val="nil"/>
              <w:bottom w:val="single" w:sz="4" w:space="0" w:color="auto"/>
              <w:right w:val="single" w:sz="4" w:space="0" w:color="auto"/>
            </w:tcBorders>
            <w:shd w:val="clear" w:color="auto" w:fill="C6EFCE"/>
            <w:noWrap/>
          </w:tcPr>
          <w:p w14:paraId="1F5C798E" w14:textId="77777777" w:rsidR="00515398" w:rsidRDefault="00515398">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noWrap/>
          </w:tcPr>
          <w:p w14:paraId="39AFFA41" w14:textId="77777777" w:rsidR="00515398" w:rsidRDefault="00515398">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tcPr>
          <w:p w14:paraId="2F2055E6"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068C1A92" w14:textId="77777777" w:rsidR="00515398" w:rsidRDefault="006711E6">
            <w:pPr>
              <w:pStyle w:val="P68B1DB1-Normal9"/>
              <w:spacing w:after="0" w:line="240" w:lineRule="auto"/>
              <w:rPr>
                <w:rFonts w:eastAsia="Times New Roman" w:cs="Calibri"/>
                <w:noProof/>
                <w:szCs w:val="18"/>
              </w:rPr>
            </w:pPr>
            <w:r>
              <w:rPr>
                <w:noProof/>
              </w:rPr>
              <w:t>ČTVRTLETÍ 3</w:t>
            </w:r>
          </w:p>
        </w:tc>
        <w:tc>
          <w:tcPr>
            <w:tcW w:w="840" w:type="dxa"/>
            <w:tcBorders>
              <w:top w:val="nil"/>
              <w:left w:val="nil"/>
              <w:bottom w:val="single" w:sz="4" w:space="0" w:color="auto"/>
              <w:right w:val="single" w:sz="4" w:space="0" w:color="auto"/>
            </w:tcBorders>
            <w:shd w:val="clear" w:color="auto" w:fill="C6EFCE"/>
            <w:noWrap/>
          </w:tcPr>
          <w:p w14:paraId="47E4077D" w14:textId="77777777" w:rsidR="00515398" w:rsidRDefault="006711E6">
            <w:pPr>
              <w:pStyle w:val="P68B1DB1-Normal9"/>
              <w:spacing w:after="0" w:line="240" w:lineRule="auto"/>
              <w:rPr>
                <w:rFonts w:eastAsia="Times New Roman" w:cs="Calibri"/>
                <w:noProof/>
                <w:szCs w:val="18"/>
              </w:rPr>
            </w:pPr>
            <w:r>
              <w:rPr>
                <w:noProof/>
              </w:rPr>
              <w:t>2021</w:t>
            </w:r>
          </w:p>
        </w:tc>
        <w:tc>
          <w:tcPr>
            <w:tcW w:w="4608" w:type="dxa"/>
            <w:tcBorders>
              <w:top w:val="nil"/>
              <w:left w:val="nil"/>
              <w:bottom w:val="single" w:sz="4" w:space="0" w:color="auto"/>
              <w:right w:val="single" w:sz="4" w:space="0" w:color="auto"/>
            </w:tcBorders>
            <w:shd w:val="clear" w:color="auto" w:fill="C6EFCE"/>
            <w:noWrap/>
          </w:tcPr>
          <w:p w14:paraId="120025F2" w14:textId="77777777" w:rsidR="00515398" w:rsidRDefault="006711E6">
            <w:pPr>
              <w:pStyle w:val="P68B1DB1-Normal9"/>
              <w:spacing w:after="0" w:line="240" w:lineRule="auto"/>
              <w:rPr>
                <w:rFonts w:eastAsia="Times New Roman" w:cs="Calibri"/>
                <w:noProof/>
                <w:szCs w:val="18"/>
              </w:rPr>
            </w:pPr>
            <w:r>
              <w:rPr>
                <w:noProof/>
              </w:rPr>
              <w:t>Přijmout rámcové provozní ujednání, které se použije pro všechny úvěrové smlouvy s komerčními bankami, a zveřejnit výzvu k výběru komerčních bank, včetně:</w:t>
            </w:r>
          </w:p>
          <w:p w14:paraId="2ABC7F18" w14:textId="77777777" w:rsidR="00515398" w:rsidRDefault="006711E6">
            <w:pPr>
              <w:pStyle w:val="P68B1DB1-Normal9"/>
              <w:spacing w:after="0" w:line="240" w:lineRule="auto"/>
              <w:rPr>
                <w:rFonts w:eastAsia="Times New Roman" w:cs="Calibri"/>
                <w:noProof/>
                <w:szCs w:val="18"/>
              </w:rPr>
            </w:pPr>
            <w:r>
              <w:rPr>
                <w:noProof/>
              </w:rPr>
              <w:t>a) Kritéria pro s</w:t>
            </w:r>
            <w:r>
              <w:rPr>
                <w:noProof/>
              </w:rPr>
              <w:t>právu, výběr, monitorování a audit a sdílení ztrát podle stejných zásad jako pro úvěry poskytované prostřednictvím mezinárodních finančních institucí, jak je popsáno výše (milník č. 320). Za úvěry poskytnuté komerčními bankami v rámci úvěrového nástroje se</w:t>
            </w:r>
            <w:r>
              <w:rPr>
                <w:noProof/>
              </w:rPr>
              <w:t xml:space="preserve"> neposkytuje žádná státní záruka.</w:t>
            </w:r>
          </w:p>
          <w:p w14:paraId="1C648ED1" w14:textId="77777777" w:rsidR="00515398" w:rsidRDefault="006711E6">
            <w:pPr>
              <w:pStyle w:val="P68B1DB1-Normal9"/>
              <w:spacing w:after="0" w:line="240" w:lineRule="auto"/>
              <w:rPr>
                <w:rFonts w:eastAsia="Times New Roman" w:cs="Calibri"/>
                <w:noProof/>
                <w:szCs w:val="18"/>
              </w:rPr>
            </w:pPr>
            <w:r>
              <w:rPr>
                <w:noProof/>
              </w:rPr>
              <w:t>b) kritéria výběru pro soulad s technickými pokyny „významně nepoškozovat“ (2021/C58/01) podporovaných činností, která vyžadují použití ověření udržitelnosti, seznamu výjimek a povinných kontrol souladu s příslušnými právn</w:t>
            </w:r>
            <w:r>
              <w:rPr>
                <w:noProof/>
              </w:rPr>
              <w:t>ími předpisy EU a vnitrostátními právními předpisy v oblasti životního prostředí prováděnými nezávislým auditorem.</w:t>
            </w:r>
          </w:p>
          <w:p w14:paraId="58C7AC42" w14:textId="77777777" w:rsidR="00515398" w:rsidRDefault="006711E6">
            <w:pPr>
              <w:pStyle w:val="P68B1DB1-Normal9"/>
              <w:spacing w:after="0" w:line="240" w:lineRule="auto"/>
              <w:rPr>
                <w:rFonts w:eastAsia="Times New Roman" w:cs="Calibri"/>
                <w:noProof/>
                <w:szCs w:val="18"/>
              </w:rPr>
            </w:pPr>
            <w:r>
              <w:rPr>
                <w:noProof/>
              </w:rPr>
              <w:t>C) závazek investovat alespoň 38,5 % finančních prostředků na podporu klimatické transformace a 20,8 % finančních prostředků na podporu digit</w:t>
            </w:r>
            <w:r>
              <w:rPr>
                <w:noProof/>
              </w:rPr>
              <w:t>ální transformace, a to za použití metodiky uvedené v přílohách VI a VII nařízení o Nástroji pro oživení a odolnost.</w:t>
            </w:r>
          </w:p>
          <w:p w14:paraId="7F2852FD" w14:textId="77777777" w:rsidR="00515398" w:rsidRDefault="00515398">
            <w:pPr>
              <w:spacing w:after="0" w:line="240" w:lineRule="auto"/>
              <w:rPr>
                <w:rFonts w:eastAsia="Times New Roman" w:cs="Calibri"/>
                <w:noProof/>
                <w:color w:val="006100"/>
                <w:sz w:val="18"/>
                <w:szCs w:val="18"/>
              </w:rPr>
            </w:pPr>
          </w:p>
        </w:tc>
      </w:tr>
      <w:tr w:rsidR="00515398" w14:paraId="1AB8AD13" w14:textId="77777777">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53733A62" w14:textId="77777777" w:rsidR="00515398" w:rsidRDefault="006711E6">
            <w:pPr>
              <w:pStyle w:val="P68B1DB1-Normal9"/>
              <w:spacing w:after="0" w:line="240" w:lineRule="auto"/>
              <w:rPr>
                <w:noProof/>
              </w:rPr>
            </w:pPr>
            <w:r>
              <w:rPr>
                <w:noProof/>
              </w:rPr>
              <w:t>322</w:t>
            </w:r>
          </w:p>
        </w:tc>
        <w:tc>
          <w:tcPr>
            <w:tcW w:w="1429" w:type="dxa"/>
            <w:tcBorders>
              <w:top w:val="nil"/>
              <w:left w:val="nil"/>
              <w:bottom w:val="single" w:sz="4" w:space="0" w:color="auto"/>
              <w:right w:val="single" w:sz="4" w:space="0" w:color="auto"/>
            </w:tcBorders>
            <w:shd w:val="clear" w:color="auto" w:fill="C6EFCE"/>
            <w:noWrap/>
            <w:hideMark/>
          </w:tcPr>
          <w:p w14:paraId="0693A88F" w14:textId="4DF3EBB1"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nil"/>
              <w:left w:val="nil"/>
              <w:bottom w:val="single" w:sz="4" w:space="0" w:color="auto"/>
              <w:right w:val="single" w:sz="4" w:space="0" w:color="auto"/>
            </w:tcBorders>
            <w:shd w:val="clear" w:color="auto" w:fill="C6EFCE"/>
            <w:noWrap/>
            <w:hideMark/>
          </w:tcPr>
          <w:p w14:paraId="69B61917" w14:textId="77777777" w:rsidR="00515398" w:rsidRDefault="006711E6">
            <w:pPr>
              <w:pStyle w:val="P68B1DB1-Normal9"/>
              <w:spacing w:after="0" w:line="240" w:lineRule="auto"/>
              <w:rPr>
                <w:rFonts w:eastAsia="Times New Roman" w:cs="Calibri"/>
                <w:noProof/>
                <w:szCs w:val="18"/>
              </w:rPr>
            </w:pPr>
            <w:r>
              <w:rPr>
                <w:noProof/>
              </w:rPr>
              <w:t>Milník</w:t>
            </w:r>
          </w:p>
        </w:tc>
        <w:tc>
          <w:tcPr>
            <w:tcW w:w="1340" w:type="dxa"/>
            <w:tcBorders>
              <w:top w:val="nil"/>
              <w:left w:val="nil"/>
              <w:bottom w:val="single" w:sz="4" w:space="0" w:color="auto"/>
              <w:right w:val="single" w:sz="4" w:space="0" w:color="auto"/>
            </w:tcBorders>
            <w:shd w:val="clear" w:color="auto" w:fill="C6EFCE"/>
            <w:noWrap/>
            <w:hideMark/>
          </w:tcPr>
          <w:p w14:paraId="09ED6877" w14:textId="77777777" w:rsidR="00515398" w:rsidRDefault="006711E6">
            <w:pPr>
              <w:pStyle w:val="P68B1DB1-Normal9"/>
              <w:spacing w:after="0" w:line="240" w:lineRule="auto"/>
              <w:rPr>
                <w:rFonts w:eastAsia="Times New Roman" w:cs="Calibri"/>
                <w:noProof/>
                <w:szCs w:val="18"/>
              </w:rPr>
            </w:pPr>
            <w:r>
              <w:rPr>
                <w:noProof/>
              </w:rPr>
              <w:t>Dohoda o</w:t>
            </w:r>
            <w:r>
              <w:rPr>
                <w:noProof/>
              </w:rPr>
              <w:t xml:space="preserve"> kapitálové platformě</w:t>
            </w:r>
          </w:p>
        </w:tc>
        <w:tc>
          <w:tcPr>
            <w:tcW w:w="1660" w:type="dxa"/>
            <w:tcBorders>
              <w:top w:val="nil"/>
              <w:left w:val="nil"/>
              <w:bottom w:val="single" w:sz="4" w:space="0" w:color="auto"/>
              <w:right w:val="single" w:sz="4" w:space="0" w:color="auto"/>
            </w:tcBorders>
            <w:shd w:val="clear" w:color="auto" w:fill="C6EFCE"/>
            <w:noWrap/>
            <w:hideMark/>
          </w:tcPr>
          <w:p w14:paraId="73CD604A" w14:textId="77777777" w:rsidR="00515398" w:rsidRDefault="006711E6">
            <w:pPr>
              <w:pStyle w:val="P68B1DB1-Normal9"/>
              <w:spacing w:after="0" w:line="240" w:lineRule="auto"/>
              <w:rPr>
                <w:rFonts w:eastAsia="Times New Roman" w:cs="Calibri"/>
                <w:noProof/>
                <w:szCs w:val="18"/>
              </w:rPr>
            </w:pPr>
            <w:r>
              <w:rPr>
                <w:noProof/>
              </w:rPr>
              <w:t>Podpis dohody o mandátu</w:t>
            </w:r>
          </w:p>
        </w:tc>
        <w:tc>
          <w:tcPr>
            <w:tcW w:w="1080" w:type="dxa"/>
            <w:tcBorders>
              <w:top w:val="nil"/>
              <w:left w:val="nil"/>
              <w:bottom w:val="single" w:sz="4" w:space="0" w:color="auto"/>
              <w:right w:val="single" w:sz="4" w:space="0" w:color="auto"/>
            </w:tcBorders>
            <w:shd w:val="clear" w:color="auto" w:fill="C6EFCE"/>
            <w:noWrap/>
            <w:hideMark/>
          </w:tcPr>
          <w:p w14:paraId="28F3E687" w14:textId="77777777" w:rsidR="00515398" w:rsidRDefault="00515398">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noWrap/>
            <w:hideMark/>
          </w:tcPr>
          <w:p w14:paraId="2FDF9565" w14:textId="77777777" w:rsidR="00515398" w:rsidRDefault="00515398">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hideMark/>
          </w:tcPr>
          <w:p w14:paraId="2F73210E"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hideMark/>
          </w:tcPr>
          <w:p w14:paraId="6EC7D5FF" w14:textId="77777777" w:rsidR="00515398" w:rsidRDefault="006711E6">
            <w:pPr>
              <w:pStyle w:val="P68B1DB1-Normal9"/>
              <w:spacing w:after="0" w:line="240" w:lineRule="auto"/>
              <w:rPr>
                <w:rFonts w:eastAsia="Times New Roman" w:cs="Calibri"/>
                <w:noProof/>
                <w:szCs w:val="18"/>
              </w:rPr>
            </w:pPr>
            <w:r>
              <w:rPr>
                <w:noProof/>
              </w:rPr>
              <w:t>ČTVRTLETÍ 1</w:t>
            </w:r>
          </w:p>
        </w:tc>
        <w:tc>
          <w:tcPr>
            <w:tcW w:w="840" w:type="dxa"/>
            <w:tcBorders>
              <w:top w:val="nil"/>
              <w:left w:val="nil"/>
              <w:bottom w:val="single" w:sz="4" w:space="0" w:color="auto"/>
              <w:right w:val="single" w:sz="4" w:space="0" w:color="auto"/>
            </w:tcBorders>
            <w:shd w:val="clear" w:color="auto" w:fill="C6EFCE"/>
            <w:noWrap/>
            <w:hideMark/>
          </w:tcPr>
          <w:p w14:paraId="03699585" w14:textId="77777777" w:rsidR="00515398" w:rsidRDefault="006711E6">
            <w:pPr>
              <w:pStyle w:val="P68B1DB1-Normal9"/>
              <w:spacing w:after="0" w:line="240" w:lineRule="auto"/>
              <w:rPr>
                <w:rFonts w:eastAsia="Times New Roman" w:cs="Calibri"/>
                <w:noProof/>
                <w:szCs w:val="18"/>
              </w:rPr>
            </w:pPr>
            <w:r>
              <w:rPr>
                <w:noProof/>
              </w:rPr>
              <w:t>2022</w:t>
            </w:r>
          </w:p>
        </w:tc>
        <w:tc>
          <w:tcPr>
            <w:tcW w:w="4608" w:type="dxa"/>
            <w:tcBorders>
              <w:top w:val="nil"/>
              <w:left w:val="nil"/>
              <w:bottom w:val="single" w:sz="4" w:space="0" w:color="auto"/>
              <w:right w:val="single" w:sz="4" w:space="0" w:color="auto"/>
            </w:tcBorders>
            <w:shd w:val="clear" w:color="auto" w:fill="C6EFCE"/>
            <w:noWrap/>
            <w:hideMark/>
          </w:tcPr>
          <w:p w14:paraId="0499C8CA" w14:textId="77777777" w:rsidR="00515398" w:rsidRDefault="006711E6">
            <w:pPr>
              <w:pStyle w:val="P68B1DB1-Normal9"/>
              <w:spacing w:after="0" w:line="240" w:lineRule="auto"/>
              <w:rPr>
                <w:rFonts w:eastAsia="Times New Roman" w:cs="Calibri"/>
                <w:noProof/>
                <w:szCs w:val="18"/>
              </w:rPr>
            </w:pPr>
            <w:r>
              <w:rPr>
                <w:noProof/>
              </w:rPr>
              <w:t xml:space="preserve">Podpis pověřovací dohody mezi ministerstvem financí a řeckou rozvojovou bankou pro investice, která spravuje Mezzaninský fond fondů a Innovate Now Equifund. Dohoda o mandátu obsahuje </w:t>
            </w:r>
            <w:r>
              <w:rPr>
                <w:noProof/>
              </w:rPr>
              <w:t>kritéria výběru pro soulad s technickými pokyny „významně nepoškozovat“ (2021/C58/01) podporovaných společností, která vyžadují, aby nezávislý auditor používal prověřování udržitelnosti, seznam výjimek a povinné kontroly souladu s příslušnými právními před</w:t>
            </w:r>
            <w:r>
              <w:rPr>
                <w:noProof/>
              </w:rPr>
              <w:t>pisy EU a vnitrostátními právními předpisy v oblasti životního prostředí.</w:t>
            </w:r>
          </w:p>
        </w:tc>
      </w:tr>
      <w:tr w:rsidR="00515398" w14:paraId="1EEE08EB" w14:textId="77777777">
        <w:trPr>
          <w:trHeight w:val="314"/>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39D47484" w14:textId="77777777" w:rsidR="00515398" w:rsidRDefault="006711E6">
            <w:pPr>
              <w:pStyle w:val="P68B1DB1-Normal9"/>
              <w:spacing w:after="0" w:line="240" w:lineRule="auto"/>
              <w:rPr>
                <w:noProof/>
              </w:rPr>
            </w:pPr>
            <w:r>
              <w:rPr>
                <w:noProof/>
              </w:rPr>
              <w:t>323</w:t>
            </w:r>
          </w:p>
        </w:tc>
        <w:tc>
          <w:tcPr>
            <w:tcW w:w="1429" w:type="dxa"/>
            <w:tcBorders>
              <w:top w:val="nil"/>
              <w:left w:val="nil"/>
              <w:bottom w:val="single" w:sz="4" w:space="0" w:color="auto"/>
              <w:right w:val="single" w:sz="4" w:space="0" w:color="auto"/>
            </w:tcBorders>
            <w:shd w:val="clear" w:color="auto" w:fill="C6EFCE"/>
            <w:noWrap/>
            <w:hideMark/>
          </w:tcPr>
          <w:p w14:paraId="2686B1CA" w14:textId="21A5D253"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nil"/>
              <w:left w:val="nil"/>
              <w:bottom w:val="single" w:sz="4" w:space="0" w:color="auto"/>
              <w:right w:val="single" w:sz="4" w:space="0" w:color="auto"/>
            </w:tcBorders>
            <w:shd w:val="clear" w:color="auto" w:fill="C6EFCE"/>
            <w:noWrap/>
            <w:hideMark/>
          </w:tcPr>
          <w:p w14:paraId="185F50F3" w14:textId="77777777" w:rsidR="00515398" w:rsidRDefault="006711E6">
            <w:pPr>
              <w:pStyle w:val="P68B1DB1-Normal9"/>
              <w:spacing w:after="0" w:line="240" w:lineRule="auto"/>
              <w:rPr>
                <w:rFonts w:eastAsia="Times New Roman" w:cs="Calibri"/>
                <w:noProof/>
                <w:szCs w:val="18"/>
              </w:rPr>
            </w:pPr>
            <w:r>
              <w:rPr>
                <w:noProof/>
              </w:rPr>
              <w:t>Milník</w:t>
            </w:r>
          </w:p>
        </w:tc>
        <w:tc>
          <w:tcPr>
            <w:tcW w:w="1340" w:type="dxa"/>
            <w:tcBorders>
              <w:top w:val="nil"/>
              <w:left w:val="nil"/>
              <w:bottom w:val="single" w:sz="4" w:space="0" w:color="auto"/>
              <w:right w:val="single" w:sz="4" w:space="0" w:color="auto"/>
            </w:tcBorders>
            <w:shd w:val="clear" w:color="auto" w:fill="C6EFCE"/>
            <w:noWrap/>
            <w:hideMark/>
          </w:tcPr>
          <w:p w14:paraId="1BB14775" w14:textId="77777777" w:rsidR="00515398" w:rsidRDefault="006711E6">
            <w:pPr>
              <w:pStyle w:val="P68B1DB1-Normal9"/>
              <w:spacing w:after="0" w:line="240" w:lineRule="auto"/>
              <w:rPr>
                <w:rFonts w:eastAsia="Times New Roman" w:cs="Calibri"/>
                <w:noProof/>
                <w:szCs w:val="18"/>
              </w:rPr>
            </w:pPr>
            <w:r>
              <w:rPr>
                <w:noProof/>
              </w:rPr>
              <w:t>Dohoda o příspěvcích InvestEU</w:t>
            </w:r>
          </w:p>
        </w:tc>
        <w:tc>
          <w:tcPr>
            <w:tcW w:w="1660" w:type="dxa"/>
            <w:tcBorders>
              <w:top w:val="nil"/>
              <w:left w:val="nil"/>
              <w:bottom w:val="single" w:sz="4" w:space="0" w:color="auto"/>
              <w:right w:val="single" w:sz="4" w:space="0" w:color="auto"/>
            </w:tcBorders>
            <w:shd w:val="clear" w:color="auto" w:fill="C6EFCE"/>
            <w:noWrap/>
            <w:hideMark/>
          </w:tcPr>
          <w:p w14:paraId="7B0F0A6C" w14:textId="77777777" w:rsidR="00515398" w:rsidRDefault="006711E6">
            <w:pPr>
              <w:pStyle w:val="P68B1DB1-Normal9"/>
              <w:spacing w:after="0" w:line="240" w:lineRule="auto"/>
              <w:rPr>
                <w:rFonts w:eastAsia="Times New Roman" w:cs="Calibri"/>
                <w:noProof/>
                <w:szCs w:val="18"/>
              </w:rPr>
            </w:pPr>
            <w:r>
              <w:rPr>
                <w:noProof/>
              </w:rPr>
              <w:t xml:space="preserve">Podpis dohody o </w:t>
            </w:r>
            <w:r>
              <w:rPr>
                <w:noProof/>
              </w:rPr>
              <w:t>příspěvcích</w:t>
            </w:r>
          </w:p>
        </w:tc>
        <w:tc>
          <w:tcPr>
            <w:tcW w:w="1080" w:type="dxa"/>
            <w:tcBorders>
              <w:top w:val="nil"/>
              <w:left w:val="nil"/>
              <w:bottom w:val="single" w:sz="4" w:space="0" w:color="auto"/>
              <w:right w:val="single" w:sz="4" w:space="0" w:color="auto"/>
            </w:tcBorders>
            <w:shd w:val="clear" w:color="auto" w:fill="C6EFCE"/>
            <w:noWrap/>
            <w:hideMark/>
          </w:tcPr>
          <w:p w14:paraId="0B0FD6E9" w14:textId="77777777" w:rsidR="00515398" w:rsidRDefault="00515398">
            <w:pPr>
              <w:spacing w:after="0" w:line="240" w:lineRule="auto"/>
              <w:rPr>
                <w:rFonts w:eastAsia="Times New Roman" w:cs="Calibri"/>
                <w:noProof/>
                <w:color w:val="006100"/>
                <w:sz w:val="18"/>
                <w:szCs w:val="18"/>
              </w:rPr>
            </w:pPr>
          </w:p>
        </w:tc>
        <w:tc>
          <w:tcPr>
            <w:tcW w:w="1080" w:type="dxa"/>
            <w:tcBorders>
              <w:top w:val="nil"/>
              <w:left w:val="nil"/>
              <w:bottom w:val="single" w:sz="4" w:space="0" w:color="auto"/>
              <w:right w:val="single" w:sz="4" w:space="0" w:color="auto"/>
            </w:tcBorders>
            <w:shd w:val="clear" w:color="auto" w:fill="C6EFCE"/>
            <w:noWrap/>
            <w:hideMark/>
          </w:tcPr>
          <w:p w14:paraId="79B45DEA" w14:textId="77777777" w:rsidR="00515398" w:rsidRDefault="00515398">
            <w:pPr>
              <w:spacing w:after="0" w:line="240" w:lineRule="auto"/>
              <w:rPr>
                <w:rFonts w:eastAsia="Times New Roman" w:cs="Calibri"/>
                <w:noProof/>
                <w:color w:val="006100"/>
                <w:sz w:val="18"/>
                <w:szCs w:val="18"/>
              </w:rPr>
            </w:pPr>
          </w:p>
        </w:tc>
        <w:tc>
          <w:tcPr>
            <w:tcW w:w="840" w:type="dxa"/>
            <w:tcBorders>
              <w:top w:val="nil"/>
              <w:left w:val="nil"/>
              <w:bottom w:val="single" w:sz="4" w:space="0" w:color="auto"/>
              <w:right w:val="single" w:sz="4" w:space="0" w:color="auto"/>
            </w:tcBorders>
            <w:shd w:val="clear" w:color="auto" w:fill="C6EFCE"/>
            <w:noWrap/>
            <w:hideMark/>
          </w:tcPr>
          <w:p w14:paraId="1783DFD5"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hideMark/>
          </w:tcPr>
          <w:p w14:paraId="392EB1BD" w14:textId="77777777" w:rsidR="00515398" w:rsidRDefault="006711E6">
            <w:pPr>
              <w:pStyle w:val="P68B1DB1-Normal9"/>
              <w:spacing w:after="0" w:line="240" w:lineRule="auto"/>
              <w:rPr>
                <w:rFonts w:eastAsia="Times New Roman" w:cs="Calibri"/>
                <w:noProof/>
                <w:szCs w:val="18"/>
              </w:rPr>
            </w:pPr>
            <w:r>
              <w:rPr>
                <w:noProof/>
              </w:rPr>
              <w:t>ČTVRTLETÍ 1</w:t>
            </w:r>
          </w:p>
        </w:tc>
        <w:tc>
          <w:tcPr>
            <w:tcW w:w="840" w:type="dxa"/>
            <w:tcBorders>
              <w:top w:val="nil"/>
              <w:left w:val="nil"/>
              <w:bottom w:val="single" w:sz="4" w:space="0" w:color="auto"/>
              <w:right w:val="single" w:sz="4" w:space="0" w:color="auto"/>
            </w:tcBorders>
            <w:shd w:val="clear" w:color="auto" w:fill="C6EFCE"/>
            <w:noWrap/>
            <w:hideMark/>
          </w:tcPr>
          <w:p w14:paraId="4F6584D0" w14:textId="77777777" w:rsidR="00515398" w:rsidRDefault="006711E6">
            <w:pPr>
              <w:pStyle w:val="P68B1DB1-Normal9"/>
              <w:spacing w:after="0" w:line="240" w:lineRule="auto"/>
              <w:rPr>
                <w:rFonts w:eastAsia="Times New Roman" w:cs="Calibri"/>
                <w:noProof/>
                <w:szCs w:val="18"/>
              </w:rPr>
            </w:pPr>
            <w:r>
              <w:rPr>
                <w:noProof/>
              </w:rPr>
              <w:t>2022</w:t>
            </w:r>
          </w:p>
        </w:tc>
        <w:tc>
          <w:tcPr>
            <w:tcW w:w="4608" w:type="dxa"/>
            <w:tcBorders>
              <w:top w:val="nil"/>
              <w:left w:val="nil"/>
              <w:bottom w:val="single" w:sz="4" w:space="0" w:color="auto"/>
              <w:right w:val="single" w:sz="4" w:space="0" w:color="auto"/>
            </w:tcBorders>
            <w:shd w:val="clear" w:color="auto" w:fill="C6EFCE"/>
            <w:noWrap/>
            <w:hideMark/>
          </w:tcPr>
          <w:p w14:paraId="04A501A6" w14:textId="77777777" w:rsidR="00515398" w:rsidRDefault="006711E6">
            <w:pPr>
              <w:pStyle w:val="P68B1DB1-Normal9"/>
              <w:spacing w:after="0" w:line="240" w:lineRule="auto"/>
              <w:rPr>
                <w:rFonts w:eastAsia="Times New Roman" w:cs="Calibri"/>
                <w:noProof/>
                <w:szCs w:val="18"/>
              </w:rPr>
            </w:pPr>
            <w:r>
              <w:rPr>
                <w:noProof/>
              </w:rPr>
              <w:t>Podpis dohody o příspěvku InvestEU mezi ministerstvem financí a Evropskou komisí, včetně:</w:t>
            </w:r>
          </w:p>
          <w:p w14:paraId="493CE7DD" w14:textId="77777777" w:rsidR="00515398" w:rsidRDefault="006711E6">
            <w:pPr>
              <w:pStyle w:val="P68B1DB1-Normal9"/>
              <w:spacing w:after="0" w:line="240" w:lineRule="auto"/>
              <w:rPr>
                <w:rFonts w:eastAsia="Times New Roman" w:cs="Calibri"/>
                <w:noProof/>
                <w:szCs w:val="18"/>
              </w:rPr>
            </w:pPr>
            <w:r>
              <w:rPr>
                <w:noProof/>
              </w:rPr>
              <w:t>a) kritéria výběru pro soulad s technickými pokyny „významně nepoškozovat“ (2021/C58/01) podporovaných společností, která vyžadují, ab</w:t>
            </w:r>
            <w:r>
              <w:rPr>
                <w:noProof/>
              </w:rPr>
              <w:t>y nezávislý auditor používal prověřování udržitelnosti, seznam výjimek a povinné kontroly souladu s příslušnými právními předpisy EU a vnitrostátními právními předpisy v oblasti životního prostředí.</w:t>
            </w:r>
          </w:p>
          <w:p w14:paraId="4097E9B8" w14:textId="77777777" w:rsidR="00515398" w:rsidRDefault="006711E6">
            <w:pPr>
              <w:pStyle w:val="P68B1DB1-Normal9"/>
              <w:spacing w:after="0" w:line="240" w:lineRule="auto"/>
              <w:rPr>
                <w:rFonts w:eastAsia="Times New Roman" w:cs="Calibri"/>
                <w:noProof/>
                <w:szCs w:val="18"/>
              </w:rPr>
            </w:pPr>
            <w:r>
              <w:rPr>
                <w:noProof/>
              </w:rPr>
              <w:t>b) závazek investovat alespoň 38,5 % finančních prostředk</w:t>
            </w:r>
            <w:r>
              <w:rPr>
                <w:noProof/>
              </w:rPr>
              <w:t>ů na podporu klimatické transformace a 20,8 % finančních prostředků na podporu digitální transformace, a to za použití metodiky uvedené v přílohách VI a VII nařízení o Nástroji pro oživení a odolnost.</w:t>
            </w:r>
          </w:p>
        </w:tc>
      </w:tr>
      <w:tr w:rsidR="00515398" w14:paraId="616848FD"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D8E761" w14:textId="77777777" w:rsidR="00515398" w:rsidRDefault="006711E6">
            <w:pPr>
              <w:pStyle w:val="P68B1DB1-Normal9"/>
              <w:spacing w:after="0" w:line="240" w:lineRule="auto"/>
              <w:rPr>
                <w:noProof/>
              </w:rPr>
            </w:pPr>
            <w:r>
              <w:rPr>
                <w:noProof/>
              </w:rPr>
              <w:t>324</w:t>
            </w:r>
          </w:p>
        </w:tc>
        <w:tc>
          <w:tcPr>
            <w:tcW w:w="1429" w:type="dxa"/>
            <w:tcBorders>
              <w:top w:val="single" w:sz="4" w:space="0" w:color="auto"/>
              <w:left w:val="nil"/>
              <w:bottom w:val="single" w:sz="4" w:space="0" w:color="auto"/>
              <w:right w:val="single" w:sz="4" w:space="0" w:color="auto"/>
            </w:tcBorders>
            <w:shd w:val="clear" w:color="auto" w:fill="C6EFCE"/>
            <w:noWrap/>
          </w:tcPr>
          <w:p w14:paraId="18313D12" w14:textId="77777777" w:rsidR="00515398" w:rsidRDefault="006711E6">
            <w:pPr>
              <w:pStyle w:val="P68B1DB1-Normal9"/>
              <w:spacing w:after="0" w:line="240" w:lineRule="auto"/>
              <w:rPr>
                <w:rFonts w:eastAsia="Times New Roman" w:cs="Calibri"/>
                <w:noProof/>
              </w:rPr>
            </w:pPr>
            <w:r>
              <w:rPr>
                <w:noProof/>
              </w:rPr>
              <w:t xml:space="preserve">4.7. Zlepšit konkurenceschopnost a podpořit </w:t>
            </w:r>
            <w:r>
              <w:rPr>
                <w:noProof/>
              </w:rPr>
              <w:t>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3400A44C"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17ABB966" w14:textId="77777777" w:rsidR="00515398" w:rsidRDefault="006711E6">
            <w:pPr>
              <w:pStyle w:val="P68B1DB1-Normal9"/>
              <w:spacing w:after="0" w:line="240" w:lineRule="auto"/>
              <w:rPr>
                <w:rFonts w:eastAsia="Times New Roman" w:cs="Calibri"/>
                <w:noProof/>
                <w:szCs w:val="18"/>
              </w:rPr>
            </w:pPr>
            <w:r>
              <w:rPr>
                <w:noProof/>
              </w:rPr>
              <w:t>Finanční prostředky finančních institucí ve výši 586,4 milionu EUR podepsané s konečnými příjemci</w:t>
            </w:r>
          </w:p>
        </w:tc>
        <w:tc>
          <w:tcPr>
            <w:tcW w:w="1660" w:type="dxa"/>
            <w:tcBorders>
              <w:top w:val="single" w:sz="4" w:space="0" w:color="auto"/>
              <w:left w:val="nil"/>
              <w:bottom w:val="single" w:sz="4" w:space="0" w:color="auto"/>
              <w:right w:val="single" w:sz="4" w:space="0" w:color="auto"/>
            </w:tcBorders>
            <w:shd w:val="clear" w:color="auto" w:fill="C6EFCE"/>
            <w:noWrap/>
          </w:tcPr>
          <w:p w14:paraId="31F443F7"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02E02045" w14:textId="77777777" w:rsidR="00515398" w:rsidRDefault="006711E6">
            <w:pPr>
              <w:pStyle w:val="P68B1DB1-Normal9"/>
              <w:spacing w:after="0" w:line="240" w:lineRule="auto"/>
              <w:rPr>
                <w:rFonts w:eastAsia="Times New Roman" w:cs="Calibri"/>
                <w:noProof/>
                <w:szCs w:val="18"/>
              </w:rPr>
            </w:pPr>
            <w:r>
              <w:rPr>
                <w:noProof/>
              </w:rPr>
              <w:t>Procento podepsaných finančních prostředků</w:t>
            </w:r>
          </w:p>
        </w:tc>
        <w:tc>
          <w:tcPr>
            <w:tcW w:w="1080" w:type="dxa"/>
            <w:tcBorders>
              <w:top w:val="single" w:sz="4" w:space="0" w:color="auto"/>
              <w:left w:val="nil"/>
              <w:bottom w:val="single" w:sz="4" w:space="0" w:color="auto"/>
              <w:right w:val="single" w:sz="4" w:space="0" w:color="auto"/>
            </w:tcBorders>
            <w:shd w:val="clear" w:color="auto" w:fill="C6EFCE"/>
            <w:noWrap/>
          </w:tcPr>
          <w:p w14:paraId="6B4299C2" w14:textId="77777777" w:rsidR="00515398" w:rsidRDefault="006711E6">
            <w:pPr>
              <w:pStyle w:val="P68B1DB1-Normal9"/>
              <w:spacing w:after="0" w:line="240" w:lineRule="auto"/>
              <w:rPr>
                <w:rFonts w:eastAsia="Times New Roman" w:cs="Calibri"/>
                <w:noProof/>
                <w:szCs w:val="18"/>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tcPr>
          <w:p w14:paraId="75118523" w14:textId="77777777" w:rsidR="00515398" w:rsidRDefault="006711E6">
            <w:pPr>
              <w:pStyle w:val="P68B1DB1-Normal9"/>
              <w:spacing w:after="0" w:line="240" w:lineRule="auto"/>
              <w:rPr>
                <w:rFonts w:eastAsia="Times New Roman" w:cs="Calibri"/>
                <w:noProof/>
                <w:szCs w:val="18"/>
              </w:rPr>
            </w:pPr>
            <w:r>
              <w:rPr>
                <w:noProof/>
              </w:rPr>
              <w:t>5</w:t>
            </w:r>
          </w:p>
        </w:tc>
        <w:tc>
          <w:tcPr>
            <w:tcW w:w="960" w:type="dxa"/>
            <w:tcBorders>
              <w:top w:val="single" w:sz="4" w:space="0" w:color="auto"/>
              <w:left w:val="nil"/>
              <w:bottom w:val="single" w:sz="4" w:space="0" w:color="auto"/>
              <w:right w:val="single" w:sz="4" w:space="0" w:color="auto"/>
            </w:tcBorders>
            <w:shd w:val="clear" w:color="auto" w:fill="C6EFCE"/>
            <w:noWrap/>
          </w:tcPr>
          <w:p w14:paraId="3C2D8295"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38F75323" w14:textId="77777777" w:rsidR="00515398" w:rsidRDefault="006711E6">
            <w:pPr>
              <w:pStyle w:val="P68B1DB1-Normal9"/>
              <w:spacing w:after="0" w:line="240" w:lineRule="auto"/>
              <w:rPr>
                <w:rFonts w:eastAsia="Times New Roman" w:cs="Calibri"/>
                <w:noProof/>
                <w:szCs w:val="18"/>
              </w:rPr>
            </w:pPr>
            <w:r>
              <w:rPr>
                <w:noProof/>
              </w:rPr>
              <w:t>2022</w:t>
            </w:r>
          </w:p>
        </w:tc>
        <w:tc>
          <w:tcPr>
            <w:tcW w:w="4608" w:type="dxa"/>
            <w:tcBorders>
              <w:top w:val="single" w:sz="4" w:space="0" w:color="auto"/>
              <w:left w:val="nil"/>
              <w:bottom w:val="single" w:sz="4" w:space="0" w:color="auto"/>
              <w:right w:val="single" w:sz="4" w:space="0" w:color="auto"/>
            </w:tcBorders>
            <w:shd w:val="clear" w:color="auto" w:fill="C6EFCE"/>
            <w:noWrap/>
          </w:tcPr>
          <w:p w14:paraId="033D4AB9" w14:textId="77777777" w:rsidR="00515398" w:rsidRDefault="006711E6">
            <w:pPr>
              <w:pStyle w:val="P68B1DB1-Normal9"/>
              <w:spacing w:after="0" w:line="240" w:lineRule="auto"/>
              <w:rPr>
                <w:rFonts w:eastAsia="Times New Roman" w:cs="Calibri"/>
                <w:noProof/>
                <w:szCs w:val="18"/>
              </w:rPr>
            </w:pPr>
            <w:r>
              <w:rPr>
                <w:noProof/>
              </w:rPr>
              <w:t>S konečnými příjemci bylo podepsáno 586,4 milionu EUR (včetně poplatků za správu) z prostředků úvěrového nástroje Nástroje pro oživení a odolnost souvisejících s mezinárodními finančními institucemi a komerčními bankami v souladu s mandátem vymezeným v mil</w:t>
            </w:r>
            <w:r>
              <w:rPr>
                <w:noProof/>
              </w:rPr>
              <w:t>níku a po předběžném ověření dodržování kritérií správy, výběru, monitorování a auditu a sdílení ztrát nezávislými auditory, technických pokynů „významně nepoškozovat“ (2021/C58/01) a s 38,5 % cílem v oblasti klimatu a 20,8 % digitálním cílem.</w:t>
            </w:r>
          </w:p>
        </w:tc>
      </w:tr>
      <w:tr w:rsidR="00515398" w14:paraId="6B5ED77C"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78C4EB13" w14:textId="77777777" w:rsidR="00515398" w:rsidRDefault="006711E6">
            <w:pPr>
              <w:pStyle w:val="P68B1DB1-Normal9"/>
              <w:spacing w:after="0" w:line="240" w:lineRule="auto"/>
              <w:rPr>
                <w:rFonts w:eastAsia="Times New Roman" w:cs="Calibri"/>
                <w:noProof/>
              </w:rPr>
            </w:pPr>
            <w:r>
              <w:rPr>
                <w:noProof/>
              </w:rPr>
              <w:t>325</w:t>
            </w:r>
          </w:p>
        </w:tc>
        <w:tc>
          <w:tcPr>
            <w:tcW w:w="1429" w:type="dxa"/>
            <w:tcBorders>
              <w:top w:val="single" w:sz="4" w:space="0" w:color="auto"/>
              <w:left w:val="nil"/>
              <w:bottom w:val="single" w:sz="4" w:space="0" w:color="auto"/>
              <w:right w:val="single" w:sz="4" w:space="0" w:color="auto"/>
            </w:tcBorders>
            <w:shd w:val="clear" w:color="auto" w:fill="C6EFCE"/>
            <w:noWrap/>
          </w:tcPr>
          <w:p w14:paraId="357B2E97" w14:textId="77777777" w:rsidR="00515398" w:rsidRDefault="006711E6">
            <w:pPr>
              <w:pStyle w:val="P68B1DB1-Normal9"/>
              <w:spacing w:after="0" w:line="240" w:lineRule="auto"/>
              <w:rPr>
                <w:rFonts w:eastAsia="Times New Roman" w:cs="Calibri"/>
                <w:noProof/>
              </w:rPr>
            </w:pPr>
            <w:r>
              <w:rPr>
                <w:noProof/>
              </w:rPr>
              <w:t xml:space="preserve">4.7. </w:t>
            </w:r>
            <w:r>
              <w:rPr>
                <w:noProof/>
              </w:rPr>
              <w:t>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51B725E7"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7A3600F5" w14:textId="4A635419" w:rsidR="00515398" w:rsidRDefault="006711E6">
            <w:pPr>
              <w:pStyle w:val="P68B1DB1-Normal45"/>
              <w:spacing w:after="0" w:line="240" w:lineRule="auto"/>
              <w:rPr>
                <w:rFonts w:eastAsia="Times New Roman" w:cs="Calibri"/>
                <w:noProof/>
                <w:szCs w:val="18"/>
              </w:rPr>
            </w:pPr>
            <w:r>
              <w:rPr>
                <w:noProof/>
              </w:rPr>
              <w:t>3518.4 milionu EUR z finančních prostředků finančních institucí podepsaných s konečnými příjemci</w:t>
            </w:r>
          </w:p>
        </w:tc>
        <w:tc>
          <w:tcPr>
            <w:tcW w:w="1660" w:type="dxa"/>
            <w:tcBorders>
              <w:top w:val="single" w:sz="4" w:space="0" w:color="auto"/>
              <w:left w:val="nil"/>
              <w:bottom w:val="single" w:sz="4" w:space="0" w:color="auto"/>
              <w:right w:val="single" w:sz="4" w:space="0" w:color="auto"/>
            </w:tcBorders>
            <w:shd w:val="clear" w:color="auto" w:fill="C6EFCE"/>
            <w:noWrap/>
          </w:tcPr>
          <w:p w14:paraId="04CFA261"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2C9521F4" w14:textId="77777777" w:rsidR="00515398" w:rsidRDefault="006711E6">
            <w:pPr>
              <w:pStyle w:val="P68B1DB1-Normal9"/>
              <w:spacing w:after="0" w:line="240" w:lineRule="auto"/>
              <w:rPr>
                <w:rFonts w:eastAsia="Times New Roman" w:cs="Calibri"/>
                <w:noProof/>
                <w:szCs w:val="18"/>
              </w:rPr>
            </w:pPr>
            <w:r>
              <w:rPr>
                <w:noProof/>
              </w:rPr>
              <w:t xml:space="preserve">Procento podepsaných finančních </w:t>
            </w:r>
            <w:r>
              <w:rPr>
                <w:noProof/>
              </w:rPr>
              <w:t>prostředků</w:t>
            </w:r>
          </w:p>
        </w:tc>
        <w:tc>
          <w:tcPr>
            <w:tcW w:w="1080" w:type="dxa"/>
            <w:tcBorders>
              <w:top w:val="single" w:sz="4" w:space="0" w:color="auto"/>
              <w:left w:val="nil"/>
              <w:bottom w:val="single" w:sz="4" w:space="0" w:color="auto"/>
              <w:right w:val="single" w:sz="4" w:space="0" w:color="auto"/>
            </w:tcBorders>
            <w:shd w:val="clear" w:color="auto" w:fill="C6EFCE"/>
            <w:noWrap/>
          </w:tcPr>
          <w:p w14:paraId="704468C0" w14:textId="77777777" w:rsidR="00515398" w:rsidRDefault="006711E6">
            <w:pPr>
              <w:pStyle w:val="P68B1DB1-Normal9"/>
              <w:spacing w:after="0" w:line="240" w:lineRule="auto"/>
              <w:rPr>
                <w:rFonts w:eastAsia="Times New Roman" w:cs="Calibri"/>
                <w:noProof/>
                <w:szCs w:val="18"/>
              </w:rPr>
            </w:pPr>
            <w:r>
              <w:rPr>
                <w:noProof/>
              </w:rPr>
              <w:t>5</w:t>
            </w:r>
          </w:p>
        </w:tc>
        <w:tc>
          <w:tcPr>
            <w:tcW w:w="840" w:type="dxa"/>
            <w:tcBorders>
              <w:top w:val="single" w:sz="4" w:space="0" w:color="auto"/>
              <w:left w:val="nil"/>
              <w:bottom w:val="single" w:sz="4" w:space="0" w:color="auto"/>
              <w:right w:val="single" w:sz="4" w:space="0" w:color="auto"/>
            </w:tcBorders>
            <w:shd w:val="clear" w:color="auto" w:fill="C6EFCE"/>
            <w:noWrap/>
          </w:tcPr>
          <w:p w14:paraId="0B738929" w14:textId="77777777" w:rsidR="00515398" w:rsidRDefault="006711E6">
            <w:pPr>
              <w:pStyle w:val="P68B1DB1-Normal9"/>
              <w:spacing w:after="0" w:line="240" w:lineRule="auto"/>
              <w:rPr>
                <w:rFonts w:eastAsia="Times New Roman" w:cs="Calibri"/>
                <w:noProof/>
                <w:szCs w:val="18"/>
              </w:rPr>
            </w:pPr>
            <w:r>
              <w:rPr>
                <w:noProof/>
              </w:rPr>
              <w:t>30</w:t>
            </w:r>
          </w:p>
        </w:tc>
        <w:tc>
          <w:tcPr>
            <w:tcW w:w="960" w:type="dxa"/>
            <w:tcBorders>
              <w:top w:val="single" w:sz="4" w:space="0" w:color="auto"/>
              <w:left w:val="nil"/>
              <w:bottom w:val="single" w:sz="4" w:space="0" w:color="auto"/>
              <w:right w:val="single" w:sz="4" w:space="0" w:color="auto"/>
            </w:tcBorders>
            <w:shd w:val="clear" w:color="auto" w:fill="C6EFCE"/>
            <w:noWrap/>
          </w:tcPr>
          <w:p w14:paraId="6A61A3A9"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3ED08C52" w14:textId="77777777" w:rsidR="00515398" w:rsidRDefault="006711E6">
            <w:pPr>
              <w:pStyle w:val="P68B1DB1-Normal9"/>
              <w:spacing w:after="0" w:line="240" w:lineRule="auto"/>
              <w:rPr>
                <w:rFonts w:eastAsia="Times New Roman" w:cs="Calibri"/>
                <w:noProof/>
                <w:szCs w:val="18"/>
              </w:rPr>
            </w:pPr>
            <w:r>
              <w:rPr>
                <w:noProof/>
              </w:rPr>
              <w:t>2023</w:t>
            </w:r>
          </w:p>
        </w:tc>
        <w:tc>
          <w:tcPr>
            <w:tcW w:w="4608" w:type="dxa"/>
            <w:tcBorders>
              <w:top w:val="single" w:sz="4" w:space="0" w:color="auto"/>
              <w:left w:val="nil"/>
              <w:bottom w:val="single" w:sz="4" w:space="0" w:color="auto"/>
              <w:right w:val="single" w:sz="4" w:space="0" w:color="auto"/>
            </w:tcBorders>
            <w:shd w:val="clear" w:color="auto" w:fill="C6EFCE"/>
            <w:noWrap/>
          </w:tcPr>
          <w:p w14:paraId="61A3FE47" w14:textId="2D8913F9" w:rsidR="00515398" w:rsidRDefault="006711E6">
            <w:pPr>
              <w:pStyle w:val="P68B1DB1-Normal45"/>
              <w:spacing w:after="0" w:line="240" w:lineRule="auto"/>
              <w:rPr>
                <w:rFonts w:eastAsia="Times New Roman" w:cs="Calibri"/>
                <w:noProof/>
                <w:szCs w:val="18"/>
              </w:rPr>
            </w:pPr>
            <w:r>
              <w:rPr>
                <w:noProof/>
              </w:rPr>
              <w:t xml:space="preserve">S konečnými příjemci bylo podepsáno 3518.4 milionu EUR (včetně poplatků za správu) z prostředků úvěrového nástroje Nástroje pro oživení a odolnost souvisejících s mezinárodními finančními institucemi a komerčními </w:t>
            </w:r>
            <w:r>
              <w:rPr>
                <w:noProof/>
              </w:rPr>
              <w:t>bankami v souladu s mandátem vymezeným v milníku a po předběžném ověření dodržování kritérií správy, výběru, monitorování a auditu a sdílení ztrát nezávislými auditory, technických pokynů „významně nepoškozovat“ (2021/C58/01) a s 38,5 % cílem v oblasti kli</w:t>
            </w:r>
            <w:r>
              <w:rPr>
                <w:noProof/>
              </w:rPr>
              <w:t>matu a 20,8 % digitálním cílem.</w:t>
            </w:r>
          </w:p>
        </w:tc>
      </w:tr>
      <w:tr w:rsidR="00515398" w14:paraId="7430F3D2"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307DAD41" w14:textId="77777777" w:rsidR="00515398" w:rsidRDefault="006711E6">
            <w:pPr>
              <w:pStyle w:val="P68B1DB1-Normal9"/>
              <w:spacing w:after="0" w:line="240" w:lineRule="auto"/>
              <w:rPr>
                <w:rFonts w:eastAsia="Times New Roman" w:cs="Calibri"/>
                <w:noProof/>
              </w:rPr>
            </w:pPr>
            <w:r>
              <w:rPr>
                <w:noProof/>
              </w:rPr>
              <w:t>325a</w:t>
            </w:r>
          </w:p>
        </w:tc>
        <w:tc>
          <w:tcPr>
            <w:tcW w:w="1429" w:type="dxa"/>
            <w:tcBorders>
              <w:top w:val="single" w:sz="4" w:space="0" w:color="auto"/>
              <w:left w:val="nil"/>
              <w:bottom w:val="single" w:sz="4" w:space="0" w:color="auto"/>
              <w:right w:val="single" w:sz="4" w:space="0" w:color="auto"/>
            </w:tcBorders>
            <w:shd w:val="clear" w:color="auto" w:fill="C6EFCE"/>
            <w:noWrap/>
          </w:tcPr>
          <w:p w14:paraId="606C5E2B" w14:textId="77777777" w:rsidR="00515398" w:rsidRDefault="006711E6">
            <w:pPr>
              <w:pStyle w:val="P68B1DB1-Normal9"/>
              <w:spacing w:after="0" w:line="240" w:lineRule="auto"/>
              <w:rPr>
                <w:noProof/>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3865835E"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296D8EA2" w14:textId="4F60E010" w:rsidR="00515398" w:rsidRDefault="006711E6">
            <w:pPr>
              <w:pStyle w:val="P68B1DB1-Normal45"/>
              <w:spacing w:after="0" w:line="240" w:lineRule="auto"/>
              <w:rPr>
                <w:rFonts w:eastAsia="Times New Roman" w:cs="Calibri"/>
                <w:noProof/>
                <w:szCs w:val="18"/>
              </w:rPr>
            </w:pPr>
            <w:r>
              <w:rPr>
                <w:noProof/>
              </w:rPr>
              <w:t xml:space="preserve">4518.4 milionu EUR z finančních prostředků finančních institucí podepsaných s konečnými </w:t>
            </w:r>
            <w:r>
              <w:rPr>
                <w:noProof/>
              </w:rPr>
              <w:t>příjemci</w:t>
            </w:r>
          </w:p>
        </w:tc>
        <w:tc>
          <w:tcPr>
            <w:tcW w:w="1660" w:type="dxa"/>
            <w:tcBorders>
              <w:top w:val="single" w:sz="4" w:space="0" w:color="auto"/>
              <w:left w:val="nil"/>
              <w:bottom w:val="single" w:sz="4" w:space="0" w:color="auto"/>
              <w:right w:val="single" w:sz="4" w:space="0" w:color="auto"/>
            </w:tcBorders>
            <w:shd w:val="clear" w:color="auto" w:fill="C6EFCE"/>
            <w:noWrap/>
          </w:tcPr>
          <w:p w14:paraId="6B059C63"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514D835E" w14:textId="77777777" w:rsidR="00515398" w:rsidRDefault="006711E6">
            <w:pPr>
              <w:pStyle w:val="P68B1DB1-Normal9"/>
              <w:spacing w:after="0" w:line="240" w:lineRule="auto"/>
              <w:rPr>
                <w:rFonts w:eastAsia="Times New Roman" w:cs="Calibri"/>
                <w:noProof/>
                <w:szCs w:val="18"/>
              </w:rPr>
            </w:pPr>
            <w:r>
              <w:rPr>
                <w:noProof/>
              </w:rPr>
              <w:t>Výše podepsaných finančních prostředků (v EUR)</w:t>
            </w:r>
          </w:p>
        </w:tc>
        <w:tc>
          <w:tcPr>
            <w:tcW w:w="1080" w:type="dxa"/>
            <w:tcBorders>
              <w:top w:val="single" w:sz="4" w:space="0" w:color="auto"/>
              <w:left w:val="nil"/>
              <w:bottom w:val="single" w:sz="4" w:space="0" w:color="auto"/>
              <w:right w:val="single" w:sz="4" w:space="0" w:color="auto"/>
            </w:tcBorders>
            <w:shd w:val="clear" w:color="auto" w:fill="C6EFCE"/>
            <w:noWrap/>
          </w:tcPr>
          <w:p w14:paraId="25B57B4D" w14:textId="2AA4E4E9" w:rsidR="00515398" w:rsidRDefault="006711E6">
            <w:pPr>
              <w:pStyle w:val="P68B1DB1-Normal45"/>
              <w:spacing w:after="0" w:line="240" w:lineRule="auto"/>
              <w:rPr>
                <w:rFonts w:eastAsia="Times New Roman" w:cs="Calibri"/>
                <w:noProof/>
                <w:szCs w:val="18"/>
              </w:rPr>
            </w:pPr>
            <w:r>
              <w:rPr>
                <w:noProof/>
              </w:rPr>
              <w:t>3 518.4</w:t>
            </w:r>
          </w:p>
        </w:tc>
        <w:tc>
          <w:tcPr>
            <w:tcW w:w="840" w:type="dxa"/>
            <w:tcBorders>
              <w:top w:val="single" w:sz="4" w:space="0" w:color="auto"/>
              <w:left w:val="nil"/>
              <w:bottom w:val="single" w:sz="4" w:space="0" w:color="auto"/>
              <w:right w:val="single" w:sz="4" w:space="0" w:color="auto"/>
            </w:tcBorders>
            <w:shd w:val="clear" w:color="auto" w:fill="C6EFCE"/>
            <w:noWrap/>
          </w:tcPr>
          <w:p w14:paraId="3E47FDC2" w14:textId="6600A2DB" w:rsidR="00515398" w:rsidRDefault="006711E6">
            <w:pPr>
              <w:pStyle w:val="P68B1DB1-Normal45"/>
              <w:spacing w:after="0" w:line="240" w:lineRule="auto"/>
              <w:rPr>
                <w:rFonts w:eastAsia="Times New Roman" w:cs="Calibri"/>
                <w:noProof/>
                <w:szCs w:val="18"/>
              </w:rPr>
            </w:pPr>
            <w:r>
              <w:rPr>
                <w:noProof/>
              </w:rPr>
              <w:t>4 518.4</w:t>
            </w:r>
          </w:p>
        </w:tc>
        <w:tc>
          <w:tcPr>
            <w:tcW w:w="960" w:type="dxa"/>
            <w:tcBorders>
              <w:top w:val="single" w:sz="4" w:space="0" w:color="auto"/>
              <w:left w:val="nil"/>
              <w:bottom w:val="single" w:sz="4" w:space="0" w:color="auto"/>
              <w:right w:val="single" w:sz="4" w:space="0" w:color="auto"/>
            </w:tcBorders>
            <w:shd w:val="clear" w:color="auto" w:fill="C6EFCE"/>
            <w:noWrap/>
          </w:tcPr>
          <w:p w14:paraId="6ADECB93"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tcBorders>
              <w:top w:val="single" w:sz="4" w:space="0" w:color="auto"/>
              <w:left w:val="nil"/>
              <w:bottom w:val="single" w:sz="4" w:space="0" w:color="auto"/>
              <w:right w:val="single" w:sz="4" w:space="0" w:color="auto"/>
            </w:tcBorders>
            <w:shd w:val="clear" w:color="auto" w:fill="C6EFCE"/>
            <w:noWrap/>
          </w:tcPr>
          <w:p w14:paraId="0034A6EA" w14:textId="77777777" w:rsidR="00515398" w:rsidRDefault="006711E6">
            <w:pPr>
              <w:pStyle w:val="P68B1DB1-Normal9"/>
              <w:spacing w:after="0" w:line="240" w:lineRule="auto"/>
              <w:rPr>
                <w:rFonts w:eastAsia="Times New Roman" w:cs="Calibri"/>
                <w:noProof/>
                <w:szCs w:val="18"/>
              </w:rPr>
            </w:pPr>
            <w:r>
              <w:rPr>
                <w:noProof/>
              </w:rPr>
              <w:t>2024</w:t>
            </w:r>
          </w:p>
        </w:tc>
        <w:tc>
          <w:tcPr>
            <w:tcW w:w="4608" w:type="dxa"/>
            <w:tcBorders>
              <w:top w:val="single" w:sz="4" w:space="0" w:color="auto"/>
              <w:left w:val="nil"/>
              <w:bottom w:val="single" w:sz="4" w:space="0" w:color="auto"/>
              <w:right w:val="single" w:sz="4" w:space="0" w:color="auto"/>
            </w:tcBorders>
            <w:shd w:val="clear" w:color="auto" w:fill="C6EFCE"/>
            <w:noWrap/>
          </w:tcPr>
          <w:p w14:paraId="7EF410AF" w14:textId="0FE0DA86" w:rsidR="00515398" w:rsidRDefault="006711E6">
            <w:pPr>
              <w:pStyle w:val="P68B1DB1-Normal45"/>
              <w:spacing w:after="0" w:line="240" w:lineRule="auto"/>
              <w:rPr>
                <w:rFonts w:eastAsia="Times New Roman" w:cs="Calibri"/>
                <w:noProof/>
                <w:szCs w:val="18"/>
              </w:rPr>
            </w:pPr>
            <w:r>
              <w:rPr>
                <w:noProof/>
              </w:rPr>
              <w:t xml:space="preserve">S konečnými příjemci bylo podepsáno 4518.4 milionu EUR (včetně poplatků za správu) prostředků úvěrového nástroje Nástroje pro oživení a odolnost souvisejících s </w:t>
            </w:r>
            <w:r>
              <w:rPr>
                <w:noProof/>
              </w:rPr>
              <w:t>mezinárodními finančními institucemi a komerčními bankami v souladu s mandátem vymezeným v milníku a poté, co nezávislí auditoři předem ověřili soulad s kritérii pro správu, výběr, monitorování a audit a sdílení ztrát, technické pokyny „významně nepoškozov</w:t>
            </w:r>
            <w:r>
              <w:rPr>
                <w:noProof/>
              </w:rPr>
              <w:t>at“ (2021/C58/01) a příspěvek k 38,5 % klimatickému cíli a 20,8 % digitálnímu cíli.</w:t>
            </w:r>
          </w:p>
        </w:tc>
      </w:tr>
      <w:tr w:rsidR="00515398" w14:paraId="3FD79C41"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1506BD3F" w14:textId="77777777" w:rsidR="00515398" w:rsidRDefault="006711E6">
            <w:pPr>
              <w:pStyle w:val="P68B1DB1-Normal9"/>
              <w:spacing w:after="0" w:line="240" w:lineRule="auto"/>
              <w:rPr>
                <w:rFonts w:eastAsia="Times New Roman" w:cs="Calibri"/>
                <w:noProof/>
              </w:rPr>
            </w:pPr>
            <w:r>
              <w:rPr>
                <w:noProof/>
              </w:rPr>
              <w:t>326</w:t>
            </w:r>
          </w:p>
        </w:tc>
        <w:tc>
          <w:tcPr>
            <w:tcW w:w="1429" w:type="dxa"/>
            <w:tcBorders>
              <w:top w:val="single" w:sz="4" w:space="0" w:color="auto"/>
              <w:left w:val="nil"/>
              <w:bottom w:val="single" w:sz="4" w:space="0" w:color="auto"/>
              <w:right w:val="single" w:sz="4" w:space="0" w:color="auto"/>
            </w:tcBorders>
            <w:shd w:val="clear" w:color="auto" w:fill="C6EFCE"/>
            <w:noWrap/>
          </w:tcPr>
          <w:p w14:paraId="3E96DA67" w14:textId="77777777" w:rsidR="00515398" w:rsidRDefault="006711E6">
            <w:pPr>
              <w:pStyle w:val="P68B1DB1-Normal9"/>
              <w:spacing w:after="0" w:line="240" w:lineRule="auto"/>
              <w:rPr>
                <w:noProof/>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3C4563F4"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4D186CDE" w14:textId="3A8DB52F" w:rsidR="00515398" w:rsidRDefault="006711E6">
            <w:pPr>
              <w:pStyle w:val="P68B1DB1-Normal45"/>
              <w:spacing w:after="0" w:line="240" w:lineRule="auto"/>
              <w:rPr>
                <w:rFonts w:eastAsia="Times New Roman" w:cs="Calibri"/>
                <w:noProof/>
                <w:szCs w:val="18"/>
              </w:rPr>
            </w:pPr>
            <w:r>
              <w:rPr>
                <w:noProof/>
              </w:rPr>
              <w:t xml:space="preserve">Finanční prostředky finančních institucí </w:t>
            </w:r>
            <w:r>
              <w:rPr>
                <w:noProof/>
              </w:rPr>
              <w:t>ve výši 7 064 milionů EUR podepsané s konečnými příjemci</w:t>
            </w:r>
          </w:p>
        </w:tc>
        <w:tc>
          <w:tcPr>
            <w:tcW w:w="1660" w:type="dxa"/>
            <w:tcBorders>
              <w:top w:val="single" w:sz="4" w:space="0" w:color="auto"/>
              <w:left w:val="nil"/>
              <w:bottom w:val="single" w:sz="4" w:space="0" w:color="auto"/>
              <w:right w:val="single" w:sz="4" w:space="0" w:color="auto"/>
            </w:tcBorders>
            <w:shd w:val="clear" w:color="auto" w:fill="C6EFCE"/>
            <w:noWrap/>
          </w:tcPr>
          <w:p w14:paraId="3D1569B3"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984C4D3" w14:textId="2FAFE22A" w:rsidR="00515398" w:rsidRDefault="006711E6">
            <w:pPr>
              <w:pStyle w:val="P68B1DB1-Normal10"/>
              <w:spacing w:after="0" w:line="240" w:lineRule="auto"/>
              <w:rPr>
                <w:rFonts w:eastAsia="Times New Roman" w:cs="Calibri"/>
                <w:noProof/>
              </w:rPr>
            </w:pPr>
            <w:r>
              <w:rPr>
                <w:noProof/>
              </w:rPr>
              <w:t xml:space="preserve">Částka (v milionech EUR) </w:t>
            </w:r>
          </w:p>
        </w:tc>
        <w:tc>
          <w:tcPr>
            <w:tcW w:w="1080" w:type="dxa"/>
            <w:tcBorders>
              <w:top w:val="single" w:sz="4" w:space="0" w:color="auto"/>
              <w:left w:val="nil"/>
              <w:bottom w:val="single" w:sz="4" w:space="0" w:color="auto"/>
              <w:right w:val="single" w:sz="4" w:space="0" w:color="auto"/>
            </w:tcBorders>
            <w:shd w:val="clear" w:color="auto" w:fill="C6EFCE"/>
            <w:noWrap/>
          </w:tcPr>
          <w:p w14:paraId="757FD9D2" w14:textId="2202DA03" w:rsidR="00515398" w:rsidRDefault="006711E6">
            <w:pPr>
              <w:pStyle w:val="P68B1DB1-Normal45"/>
              <w:spacing w:after="0" w:line="240" w:lineRule="auto"/>
              <w:rPr>
                <w:rFonts w:eastAsia="Times New Roman" w:cs="Calibri"/>
                <w:noProof/>
                <w:szCs w:val="18"/>
              </w:rPr>
            </w:pPr>
            <w:r>
              <w:rPr>
                <w:noProof/>
              </w:rPr>
              <w:t>4 518.4</w:t>
            </w:r>
          </w:p>
        </w:tc>
        <w:tc>
          <w:tcPr>
            <w:tcW w:w="840" w:type="dxa"/>
            <w:tcBorders>
              <w:top w:val="single" w:sz="4" w:space="0" w:color="auto"/>
              <w:left w:val="nil"/>
              <w:bottom w:val="single" w:sz="4" w:space="0" w:color="auto"/>
              <w:right w:val="single" w:sz="4" w:space="0" w:color="auto"/>
            </w:tcBorders>
            <w:shd w:val="clear" w:color="auto" w:fill="C6EFCE"/>
            <w:noWrap/>
          </w:tcPr>
          <w:p w14:paraId="44D44134" w14:textId="5A46271E" w:rsidR="00515398" w:rsidRDefault="006711E6">
            <w:pPr>
              <w:pStyle w:val="P68B1DB1-Normal45"/>
              <w:spacing w:after="0" w:line="240" w:lineRule="auto"/>
              <w:rPr>
                <w:rFonts w:eastAsia="Times New Roman" w:cs="Calibri"/>
                <w:noProof/>
                <w:szCs w:val="18"/>
              </w:rPr>
            </w:pPr>
            <w:r>
              <w:rPr>
                <w:noProof/>
              </w:rPr>
              <w:t>7 064</w:t>
            </w:r>
          </w:p>
        </w:tc>
        <w:tc>
          <w:tcPr>
            <w:tcW w:w="960" w:type="dxa"/>
            <w:tcBorders>
              <w:top w:val="single" w:sz="4" w:space="0" w:color="auto"/>
              <w:left w:val="nil"/>
              <w:bottom w:val="single" w:sz="4" w:space="0" w:color="auto"/>
              <w:right w:val="single" w:sz="4" w:space="0" w:color="auto"/>
            </w:tcBorders>
            <w:shd w:val="clear" w:color="auto" w:fill="C6EFCE"/>
            <w:noWrap/>
          </w:tcPr>
          <w:p w14:paraId="1DD641BB"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3FA4749B" w14:textId="77777777" w:rsidR="00515398" w:rsidRDefault="006711E6">
            <w:pPr>
              <w:pStyle w:val="P68B1DB1-Normal9"/>
              <w:spacing w:after="0" w:line="240" w:lineRule="auto"/>
              <w:rPr>
                <w:rFonts w:eastAsia="Times New Roman" w:cs="Calibri"/>
                <w:noProof/>
                <w:szCs w:val="18"/>
              </w:rPr>
            </w:pPr>
            <w:r>
              <w:rPr>
                <w:noProof/>
              </w:rPr>
              <w:t>2024</w:t>
            </w:r>
          </w:p>
        </w:tc>
        <w:tc>
          <w:tcPr>
            <w:tcW w:w="4608" w:type="dxa"/>
            <w:tcBorders>
              <w:top w:val="single" w:sz="4" w:space="0" w:color="auto"/>
              <w:left w:val="nil"/>
              <w:bottom w:val="single" w:sz="4" w:space="0" w:color="auto"/>
              <w:right w:val="single" w:sz="4" w:space="0" w:color="auto"/>
            </w:tcBorders>
            <w:shd w:val="clear" w:color="auto" w:fill="C6EFCE"/>
            <w:noWrap/>
          </w:tcPr>
          <w:p w14:paraId="231A37B3" w14:textId="30A10F89" w:rsidR="00515398" w:rsidRDefault="006711E6">
            <w:pPr>
              <w:pStyle w:val="P68B1DB1-Normal9"/>
              <w:spacing w:after="0" w:line="240" w:lineRule="auto"/>
              <w:rPr>
                <w:rFonts w:eastAsia="Times New Roman" w:cs="Calibri"/>
                <w:noProof/>
                <w:szCs w:val="18"/>
              </w:rPr>
            </w:pPr>
            <w:r>
              <w:rPr>
                <w:noProof/>
                <w:szCs w:val="18"/>
              </w:rPr>
              <w:t>S konečnými příjemci bylo podepsáno 7064</w:t>
            </w:r>
            <w:r>
              <w:rPr>
                <w:rFonts w:cs="Calibri"/>
                <w:noProof/>
              </w:rPr>
              <w:t xml:space="preserve"> </w:t>
            </w:r>
            <w:r>
              <w:rPr>
                <w:noProof/>
                <w:szCs w:val="18"/>
              </w:rPr>
              <w:t xml:space="preserve">milionů EUR (včetně poplatků za správu) z prostředků úvěrového nástroje Nástroje pro oživení a </w:t>
            </w:r>
            <w:r>
              <w:rPr>
                <w:noProof/>
                <w:szCs w:val="18"/>
              </w:rPr>
              <w:t>odolnost souvisejících s mezinárodními finančními institucemi a komerčními bankami v souladu s mandátem vymezeným v milníku a poté, co nezávislí auditoři předem ověřili soulad s kritérii pro správu, výběr, monitorování a audit a sdílení ztrát, technické po</w:t>
            </w:r>
            <w:r>
              <w:rPr>
                <w:noProof/>
                <w:szCs w:val="18"/>
              </w:rPr>
              <w:t>kyny „významně nepoškozovat“ (2021/C58/01) a příspěvek k cíli v oblasti klimatu ve výši 41,5 % a digitálnímu cíli ve výši 20,8 %.</w:t>
            </w:r>
          </w:p>
        </w:tc>
      </w:tr>
      <w:tr w:rsidR="00515398" w14:paraId="391D602D"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D92355E" w14:textId="77777777" w:rsidR="00515398" w:rsidRDefault="006711E6">
            <w:pPr>
              <w:pStyle w:val="P68B1DB1-Normal9"/>
              <w:spacing w:after="0" w:line="240" w:lineRule="auto"/>
              <w:rPr>
                <w:rFonts w:eastAsia="Times New Roman" w:cs="Calibri"/>
                <w:noProof/>
              </w:rPr>
            </w:pPr>
            <w:r>
              <w:rPr>
                <w:noProof/>
              </w:rPr>
              <w:t>326a</w:t>
            </w:r>
          </w:p>
        </w:tc>
        <w:tc>
          <w:tcPr>
            <w:tcW w:w="1429" w:type="dxa"/>
            <w:tcBorders>
              <w:top w:val="single" w:sz="4" w:space="0" w:color="auto"/>
              <w:left w:val="nil"/>
              <w:bottom w:val="single" w:sz="4" w:space="0" w:color="auto"/>
              <w:right w:val="single" w:sz="4" w:space="0" w:color="auto"/>
            </w:tcBorders>
            <w:shd w:val="clear" w:color="auto" w:fill="C6EFCE"/>
            <w:noWrap/>
          </w:tcPr>
          <w:p w14:paraId="7D16231F" w14:textId="77777777"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554E6382"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3B4C46D2" w14:textId="04BBFB00" w:rsidR="00515398" w:rsidRDefault="006711E6">
            <w:pPr>
              <w:pStyle w:val="P68B1DB1-Normal45"/>
              <w:spacing w:after="0" w:line="240" w:lineRule="auto"/>
              <w:rPr>
                <w:rFonts w:eastAsia="Times New Roman" w:cs="Calibri"/>
                <w:noProof/>
                <w:szCs w:val="18"/>
              </w:rPr>
            </w:pPr>
            <w:r>
              <w:rPr>
                <w:noProof/>
              </w:rPr>
              <w:t>9 000 milionů EUR z finančních prostředků finančních institucí podepsaných s konečnými příjemci</w:t>
            </w:r>
          </w:p>
        </w:tc>
        <w:tc>
          <w:tcPr>
            <w:tcW w:w="1660" w:type="dxa"/>
            <w:tcBorders>
              <w:top w:val="single" w:sz="4" w:space="0" w:color="auto"/>
              <w:left w:val="nil"/>
              <w:bottom w:val="single" w:sz="4" w:space="0" w:color="auto"/>
              <w:right w:val="single" w:sz="4" w:space="0" w:color="auto"/>
            </w:tcBorders>
            <w:shd w:val="clear" w:color="auto" w:fill="C6EFCE"/>
            <w:noWrap/>
          </w:tcPr>
          <w:p w14:paraId="7845C2E6"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2752DEE0" w14:textId="7EE24292" w:rsidR="00515398" w:rsidRDefault="006711E6">
            <w:pPr>
              <w:pStyle w:val="P68B1DB1-Normal9"/>
              <w:spacing w:after="0" w:line="240" w:lineRule="auto"/>
              <w:rPr>
                <w:rFonts w:eastAsia="Times New Roman" w:cs="Calibri"/>
                <w:noProof/>
                <w:szCs w:val="18"/>
              </w:rPr>
            </w:pPr>
            <w:r>
              <w:rPr>
                <w:noProof/>
              </w:rPr>
              <w:t>Částka (v</w:t>
            </w:r>
            <w:r>
              <w:rPr>
                <w:noProof/>
                <w:szCs w:val="18"/>
              </w:rPr>
              <w:t>milionech</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313D11D1" w14:textId="4C7C0C42" w:rsidR="00515398" w:rsidRDefault="006711E6">
            <w:pPr>
              <w:pStyle w:val="P68B1DB1-Normal45"/>
              <w:spacing w:after="0" w:line="240" w:lineRule="auto"/>
              <w:rPr>
                <w:rFonts w:eastAsia="Times New Roman" w:cs="Calibri"/>
                <w:noProof/>
                <w:szCs w:val="18"/>
              </w:rPr>
            </w:pPr>
            <w:r>
              <w:rPr>
                <w:noProof/>
              </w:rPr>
              <w:t>7 064</w:t>
            </w:r>
          </w:p>
        </w:tc>
        <w:tc>
          <w:tcPr>
            <w:tcW w:w="840" w:type="dxa"/>
            <w:tcBorders>
              <w:top w:val="single" w:sz="4" w:space="0" w:color="auto"/>
              <w:left w:val="nil"/>
              <w:bottom w:val="single" w:sz="4" w:space="0" w:color="auto"/>
              <w:right w:val="single" w:sz="4" w:space="0" w:color="auto"/>
            </w:tcBorders>
            <w:shd w:val="clear" w:color="auto" w:fill="C6EFCE"/>
            <w:noWrap/>
          </w:tcPr>
          <w:p w14:paraId="0EE13B9F" w14:textId="68178019" w:rsidR="00515398" w:rsidRDefault="006711E6">
            <w:pPr>
              <w:pStyle w:val="P68B1DB1-Normal45"/>
              <w:spacing w:after="0" w:line="240" w:lineRule="auto"/>
              <w:rPr>
                <w:rFonts w:eastAsia="Times New Roman" w:cs="Calibri"/>
                <w:noProof/>
                <w:szCs w:val="18"/>
              </w:rPr>
            </w:pPr>
            <w:r>
              <w:rPr>
                <w:noProof/>
              </w:rPr>
              <w:t>9 000</w:t>
            </w:r>
          </w:p>
        </w:tc>
        <w:tc>
          <w:tcPr>
            <w:tcW w:w="960" w:type="dxa"/>
            <w:tcBorders>
              <w:top w:val="single" w:sz="4" w:space="0" w:color="auto"/>
              <w:left w:val="nil"/>
              <w:bottom w:val="single" w:sz="4" w:space="0" w:color="auto"/>
              <w:right w:val="single" w:sz="4" w:space="0" w:color="auto"/>
            </w:tcBorders>
            <w:shd w:val="clear" w:color="auto" w:fill="C6EFCE"/>
            <w:noWrap/>
          </w:tcPr>
          <w:p w14:paraId="71B8FB2E"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tcBorders>
              <w:top w:val="single" w:sz="4" w:space="0" w:color="auto"/>
              <w:left w:val="nil"/>
              <w:bottom w:val="single" w:sz="4" w:space="0" w:color="auto"/>
              <w:right w:val="single" w:sz="4" w:space="0" w:color="auto"/>
            </w:tcBorders>
            <w:shd w:val="clear" w:color="auto" w:fill="C6EFCE"/>
            <w:noWrap/>
          </w:tcPr>
          <w:p w14:paraId="60890B4B" w14:textId="77777777" w:rsidR="00515398" w:rsidRDefault="006711E6">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0483388E" w14:textId="536FA70D" w:rsidR="00515398" w:rsidRDefault="006711E6">
            <w:pPr>
              <w:pStyle w:val="P68B1DB1-Normal9"/>
              <w:spacing w:after="0" w:line="240" w:lineRule="auto"/>
              <w:rPr>
                <w:rFonts w:eastAsia="Times New Roman" w:cs="Calibri"/>
                <w:noProof/>
                <w:szCs w:val="18"/>
              </w:rPr>
            </w:pPr>
            <w:r>
              <w:rPr>
                <w:noProof/>
                <w:szCs w:val="18"/>
              </w:rPr>
              <w:t>S konečnými příjemci bylo podepsáno 9000</w:t>
            </w:r>
            <w:r>
              <w:rPr>
                <w:rFonts w:cs="Calibri"/>
                <w:noProof/>
              </w:rPr>
              <w:t xml:space="preserve"> </w:t>
            </w:r>
            <w:r>
              <w:rPr>
                <w:noProof/>
                <w:szCs w:val="18"/>
              </w:rPr>
              <w:t>milionů EUR (včetně poplatků za správu) z úvěrového nástroje</w:t>
            </w:r>
            <w:r>
              <w:rPr>
                <w:noProof/>
                <w:szCs w:val="18"/>
              </w:rPr>
              <w:t xml:space="preserve"> Nástroje pro oživení a odolnost souvisejících s mezinárodními finančními institucemi a komerčními bankami v souladu s mandátem vymezeným v milníku a poté, co nezávislí auditoři předem ověřili soulad s kritérii pro správu, výběr, monitorování a audit a sdí</w:t>
            </w:r>
            <w:r>
              <w:rPr>
                <w:noProof/>
                <w:szCs w:val="18"/>
              </w:rPr>
              <w:t>lení ztrát, technické pokyny „významně nepoškozovat“ (2021/C58/01) a příspěvek k cíli v oblasti klimatu ve výši 41,5 % a digitálnímu cíli ve výši 20,8 %.</w:t>
            </w:r>
          </w:p>
        </w:tc>
      </w:tr>
      <w:tr w:rsidR="00515398" w14:paraId="72641C64"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36FF67DA" w14:textId="77777777" w:rsidR="00515398" w:rsidRDefault="006711E6">
            <w:pPr>
              <w:pStyle w:val="P68B1DB1-Normal9"/>
              <w:spacing w:after="0" w:line="240" w:lineRule="auto"/>
              <w:rPr>
                <w:rFonts w:eastAsia="Times New Roman" w:cs="Calibri"/>
                <w:noProof/>
              </w:rPr>
            </w:pPr>
            <w:r>
              <w:rPr>
                <w:noProof/>
              </w:rPr>
              <w:t>327</w:t>
            </w:r>
          </w:p>
        </w:tc>
        <w:tc>
          <w:tcPr>
            <w:tcW w:w="1429" w:type="dxa"/>
            <w:tcBorders>
              <w:top w:val="single" w:sz="4" w:space="0" w:color="auto"/>
              <w:left w:val="nil"/>
              <w:bottom w:val="single" w:sz="4" w:space="0" w:color="auto"/>
              <w:right w:val="single" w:sz="4" w:space="0" w:color="auto"/>
            </w:tcBorders>
            <w:shd w:val="clear" w:color="auto" w:fill="C6EFCE"/>
            <w:noWrap/>
          </w:tcPr>
          <w:p w14:paraId="7F3FF74D" w14:textId="77777777" w:rsidR="00515398" w:rsidRDefault="006711E6">
            <w:pPr>
              <w:pStyle w:val="P68B1DB1-Normal9"/>
              <w:spacing w:after="0" w:line="240" w:lineRule="auto"/>
              <w:rPr>
                <w:rFonts w:eastAsia="Times New Roman" w:cs="Calibri"/>
                <w:noProof/>
                <w:szCs w:val="18"/>
              </w:rPr>
            </w:pPr>
            <w:r>
              <w:rPr>
                <w:noProof/>
              </w:rPr>
              <w:t xml:space="preserve">4.7. Zlepšit konkurenceschopnost a podpořit soukromé investice a vývoz – 16980_úvěrový nástroj </w:t>
            </w:r>
            <w:r>
              <w:rPr>
                <w:noProof/>
              </w:rPr>
              <w:t>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53FF2E65"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7FA3C868" w14:textId="142A0B88" w:rsidR="00515398" w:rsidRDefault="006711E6">
            <w:pPr>
              <w:pStyle w:val="P68B1DB1-Normal45"/>
              <w:spacing w:after="0" w:line="240" w:lineRule="auto"/>
              <w:rPr>
                <w:rFonts w:eastAsia="Times New Roman" w:cs="Calibri"/>
                <w:noProof/>
                <w:szCs w:val="18"/>
              </w:rPr>
            </w:pPr>
            <w:r>
              <w:rPr>
                <w:noProof/>
              </w:rPr>
              <w:t>11182 milionu EUR z finančních prostředků finančních institucí podepsaných s konečnými příjemci</w:t>
            </w:r>
          </w:p>
        </w:tc>
        <w:tc>
          <w:tcPr>
            <w:tcW w:w="1660" w:type="dxa"/>
            <w:tcBorders>
              <w:top w:val="single" w:sz="4" w:space="0" w:color="auto"/>
              <w:left w:val="nil"/>
              <w:bottom w:val="single" w:sz="4" w:space="0" w:color="auto"/>
              <w:right w:val="single" w:sz="4" w:space="0" w:color="auto"/>
            </w:tcBorders>
            <w:shd w:val="clear" w:color="auto" w:fill="C6EFCE"/>
          </w:tcPr>
          <w:p w14:paraId="494C3751"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0BF2E9E2" w14:textId="5C3C875E" w:rsidR="00515398" w:rsidRDefault="006711E6">
            <w:pPr>
              <w:pStyle w:val="P68B1DB1-Normal9"/>
              <w:spacing w:after="0" w:line="240" w:lineRule="auto"/>
              <w:rPr>
                <w:rFonts w:eastAsia="Times New Roman" w:cs="Calibri"/>
                <w:noProof/>
                <w:szCs w:val="18"/>
              </w:rPr>
            </w:pPr>
            <w:r>
              <w:rPr>
                <w:noProof/>
              </w:rPr>
              <w:t>Částka (v</w:t>
            </w:r>
            <w:r>
              <w:rPr>
                <w:noProof/>
                <w:szCs w:val="18"/>
              </w:rPr>
              <w:t>milionech</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01033336" w14:textId="7BFCD8EB" w:rsidR="00515398" w:rsidRDefault="006711E6">
            <w:pPr>
              <w:pStyle w:val="P68B1DB1-Normal9"/>
              <w:spacing w:after="0" w:line="240" w:lineRule="auto"/>
              <w:rPr>
                <w:rFonts w:eastAsia="Times New Roman" w:cs="Calibri"/>
                <w:noProof/>
                <w:szCs w:val="18"/>
              </w:rPr>
            </w:pPr>
            <w:r>
              <w:rPr>
                <w:noProof/>
              </w:rPr>
              <w:t>9 000</w:t>
            </w:r>
          </w:p>
        </w:tc>
        <w:tc>
          <w:tcPr>
            <w:tcW w:w="840" w:type="dxa"/>
            <w:tcBorders>
              <w:top w:val="single" w:sz="4" w:space="0" w:color="auto"/>
              <w:left w:val="nil"/>
              <w:bottom w:val="single" w:sz="4" w:space="0" w:color="auto"/>
              <w:right w:val="single" w:sz="4" w:space="0" w:color="auto"/>
            </w:tcBorders>
            <w:shd w:val="clear" w:color="auto" w:fill="C6EFCE"/>
            <w:noWrap/>
          </w:tcPr>
          <w:p w14:paraId="72D04341" w14:textId="508F2EFE" w:rsidR="00515398" w:rsidRDefault="006711E6">
            <w:pPr>
              <w:pStyle w:val="P68B1DB1-Normal45"/>
              <w:spacing w:after="0" w:line="240" w:lineRule="auto"/>
              <w:rPr>
                <w:rFonts w:eastAsia="Times New Roman" w:cs="Calibri"/>
                <w:noProof/>
                <w:szCs w:val="18"/>
              </w:rPr>
            </w:pPr>
            <w:r>
              <w:rPr>
                <w:noProof/>
              </w:rPr>
              <w:t>11 182</w:t>
            </w:r>
          </w:p>
        </w:tc>
        <w:tc>
          <w:tcPr>
            <w:tcW w:w="960" w:type="dxa"/>
            <w:tcBorders>
              <w:top w:val="single" w:sz="4" w:space="0" w:color="auto"/>
              <w:left w:val="nil"/>
              <w:bottom w:val="single" w:sz="4" w:space="0" w:color="auto"/>
              <w:right w:val="single" w:sz="4" w:space="0" w:color="auto"/>
            </w:tcBorders>
            <w:shd w:val="clear" w:color="auto" w:fill="C6EFCE"/>
            <w:noWrap/>
          </w:tcPr>
          <w:p w14:paraId="3AB10E00"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3572DEE8" w14:textId="77777777" w:rsidR="00515398" w:rsidRDefault="006711E6">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12DE3A02" w14:textId="2FB9D2CC" w:rsidR="00515398" w:rsidRDefault="006711E6">
            <w:pPr>
              <w:pStyle w:val="P68B1DB1-Normal9"/>
              <w:spacing w:after="0" w:line="240" w:lineRule="auto"/>
              <w:rPr>
                <w:rFonts w:eastAsia="Times New Roman" w:cs="Calibri"/>
                <w:noProof/>
                <w:szCs w:val="18"/>
              </w:rPr>
            </w:pPr>
            <w:r>
              <w:rPr>
                <w:noProof/>
                <w:szCs w:val="18"/>
              </w:rPr>
              <w:t>S konečnými příjemci bylo podepsáno 11182</w:t>
            </w:r>
            <w:r>
              <w:rPr>
                <w:rFonts w:cs="Calibri"/>
                <w:noProof/>
              </w:rPr>
              <w:t xml:space="preserve"> </w:t>
            </w:r>
            <w:r>
              <w:rPr>
                <w:noProof/>
                <w:szCs w:val="18"/>
              </w:rPr>
              <w:t xml:space="preserve">milionu EUR (včetně poplatků </w:t>
            </w:r>
            <w:r>
              <w:rPr>
                <w:noProof/>
                <w:szCs w:val="18"/>
              </w:rPr>
              <w:t>za správu) prostředků úvěrového nástroje Nástroje pro oživení a odolnost souvisejících s mezinárodními finančními institucemi a komerčními bankami v souladu s mandátem vymezeným v milníku a poté, co nezávislí auditoři předem ověřili soulad s kritérii pro s</w:t>
            </w:r>
            <w:r>
              <w:rPr>
                <w:noProof/>
                <w:szCs w:val="18"/>
              </w:rPr>
              <w:t>právu, výběr, monitorování a audit a sdílení ztrát, technické pokyny „významně nepoškozovat“ (2021/C58/01) a příspěvek k cíli v oblasti klimatu ve výši 41,5 % a digitálnímu cíli ve výši 20,8 %.</w:t>
            </w:r>
          </w:p>
        </w:tc>
      </w:tr>
      <w:tr w:rsidR="00515398" w14:paraId="0A72A5C9"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05A214FA" w14:textId="4A9AA0C9" w:rsidR="00515398" w:rsidRDefault="006711E6">
            <w:pPr>
              <w:pStyle w:val="P68B1DB1-Normal9"/>
              <w:spacing w:after="0" w:line="240" w:lineRule="auto"/>
              <w:rPr>
                <w:noProof/>
              </w:rPr>
            </w:pPr>
            <w:r>
              <w:rPr>
                <w:noProof/>
              </w:rPr>
              <w:t>327a</w:t>
            </w:r>
          </w:p>
        </w:tc>
        <w:tc>
          <w:tcPr>
            <w:tcW w:w="1429" w:type="dxa"/>
            <w:tcBorders>
              <w:top w:val="single" w:sz="4" w:space="0" w:color="auto"/>
              <w:left w:val="nil"/>
              <w:bottom w:val="single" w:sz="4" w:space="0" w:color="auto"/>
              <w:right w:val="single" w:sz="4" w:space="0" w:color="auto"/>
            </w:tcBorders>
            <w:shd w:val="clear" w:color="auto" w:fill="C6EFCE"/>
            <w:noWrap/>
          </w:tcPr>
          <w:p w14:paraId="360B7CFC" w14:textId="77777777" w:rsidR="00515398" w:rsidRDefault="006711E6">
            <w:pPr>
              <w:pStyle w:val="P68B1DB1-Normal9"/>
              <w:spacing w:after="0" w:line="240" w:lineRule="auto"/>
              <w:rPr>
                <w:noProof/>
              </w:rPr>
            </w:pPr>
            <w:r>
              <w:rPr>
                <w:noProof/>
              </w:rPr>
              <w:t xml:space="preserve">4.7. Zlepšit konkurenceschopnost a podpořit soukromé </w:t>
            </w:r>
            <w:r>
              <w:rPr>
                <w:noProof/>
              </w:rPr>
              <w:t>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71C691EE" w14:textId="77777777" w:rsidR="00515398" w:rsidRDefault="006711E6">
            <w:pPr>
              <w:pStyle w:val="P68B1DB1-Normal9"/>
              <w:spacing w:after="0" w:line="240" w:lineRule="auto"/>
              <w:rPr>
                <w:noProof/>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69D9551D" w14:textId="7665F314" w:rsidR="00515398" w:rsidRDefault="006711E6">
            <w:pPr>
              <w:pStyle w:val="P68B1DB1-Normal45"/>
              <w:spacing w:after="0" w:line="240" w:lineRule="auto"/>
              <w:rPr>
                <w:noProof/>
              </w:rPr>
            </w:pPr>
            <w:r>
              <w:rPr>
                <w:noProof/>
              </w:rPr>
              <w:t>13364 milionu EUR z finančních prostředků finančních institucí podepsaných s konečnými příjemci</w:t>
            </w:r>
          </w:p>
        </w:tc>
        <w:tc>
          <w:tcPr>
            <w:tcW w:w="1660" w:type="dxa"/>
            <w:tcBorders>
              <w:top w:val="single" w:sz="4" w:space="0" w:color="auto"/>
              <w:left w:val="nil"/>
              <w:bottom w:val="single" w:sz="4" w:space="0" w:color="auto"/>
              <w:right w:val="single" w:sz="4" w:space="0" w:color="auto"/>
            </w:tcBorders>
            <w:shd w:val="clear" w:color="auto" w:fill="C6EFCE"/>
          </w:tcPr>
          <w:p w14:paraId="51A32AE7"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BB1B2EF" w14:textId="73BA5D44" w:rsidR="00515398" w:rsidRDefault="006711E6">
            <w:pPr>
              <w:pStyle w:val="P68B1DB1-Normal9"/>
              <w:spacing w:after="0" w:line="240" w:lineRule="auto"/>
              <w:rPr>
                <w:noProof/>
              </w:rPr>
            </w:pPr>
            <w:r>
              <w:rPr>
                <w:noProof/>
              </w:rPr>
              <w:t>Částka (v</w:t>
            </w:r>
            <w:r>
              <w:rPr>
                <w:noProof/>
                <w:szCs w:val="18"/>
              </w:rPr>
              <w:t>milionech</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6B2A84EA" w14:textId="55BE06E6" w:rsidR="00515398" w:rsidRDefault="006711E6">
            <w:pPr>
              <w:pStyle w:val="P68B1DB1-Normal45"/>
              <w:spacing w:after="0" w:line="240" w:lineRule="auto"/>
              <w:rPr>
                <w:noProof/>
              </w:rPr>
            </w:pPr>
            <w:r>
              <w:rPr>
                <w:noProof/>
              </w:rPr>
              <w:t>11 182</w:t>
            </w:r>
          </w:p>
        </w:tc>
        <w:tc>
          <w:tcPr>
            <w:tcW w:w="840" w:type="dxa"/>
            <w:tcBorders>
              <w:top w:val="single" w:sz="4" w:space="0" w:color="auto"/>
              <w:left w:val="nil"/>
              <w:bottom w:val="single" w:sz="4" w:space="0" w:color="auto"/>
              <w:right w:val="single" w:sz="4" w:space="0" w:color="auto"/>
            </w:tcBorders>
            <w:shd w:val="clear" w:color="auto" w:fill="C6EFCE"/>
            <w:noWrap/>
          </w:tcPr>
          <w:p w14:paraId="5939FC38" w14:textId="1BC18B86" w:rsidR="00515398" w:rsidRDefault="006711E6">
            <w:pPr>
              <w:pStyle w:val="P68B1DB1-Normal45"/>
              <w:spacing w:after="0" w:line="240" w:lineRule="auto"/>
              <w:rPr>
                <w:noProof/>
              </w:rPr>
            </w:pPr>
            <w:r>
              <w:rPr>
                <w:noProof/>
              </w:rPr>
              <w:t>13 364</w:t>
            </w:r>
          </w:p>
        </w:tc>
        <w:tc>
          <w:tcPr>
            <w:tcW w:w="960" w:type="dxa"/>
            <w:tcBorders>
              <w:top w:val="single" w:sz="4" w:space="0" w:color="auto"/>
              <w:left w:val="nil"/>
              <w:bottom w:val="single" w:sz="4" w:space="0" w:color="auto"/>
              <w:right w:val="single" w:sz="4" w:space="0" w:color="auto"/>
            </w:tcBorders>
            <w:shd w:val="clear" w:color="auto" w:fill="C6EFCE"/>
            <w:noWrap/>
          </w:tcPr>
          <w:p w14:paraId="208DC9E3" w14:textId="163EF537" w:rsidR="00515398" w:rsidRDefault="006711E6">
            <w:pPr>
              <w:pStyle w:val="P68B1DB1-Normal9"/>
              <w:spacing w:after="0" w:line="240" w:lineRule="auto"/>
              <w:rPr>
                <w:noProof/>
              </w:rPr>
            </w:pPr>
            <w:r>
              <w:rPr>
                <w:noProof/>
              </w:rPr>
              <w:t>ČTVRTLETÍ 1</w:t>
            </w:r>
          </w:p>
        </w:tc>
        <w:tc>
          <w:tcPr>
            <w:tcW w:w="840" w:type="dxa"/>
            <w:tcBorders>
              <w:top w:val="single" w:sz="4" w:space="0" w:color="auto"/>
              <w:left w:val="nil"/>
              <w:bottom w:val="single" w:sz="4" w:space="0" w:color="auto"/>
              <w:right w:val="single" w:sz="4" w:space="0" w:color="auto"/>
            </w:tcBorders>
            <w:shd w:val="clear" w:color="auto" w:fill="C6EFCE"/>
            <w:noWrap/>
          </w:tcPr>
          <w:p w14:paraId="7A86BF43" w14:textId="77777777" w:rsidR="00515398" w:rsidRDefault="006711E6">
            <w:pPr>
              <w:pStyle w:val="P68B1DB1-Normal9"/>
              <w:spacing w:after="0" w:line="240" w:lineRule="auto"/>
              <w:rPr>
                <w:noProof/>
              </w:rPr>
            </w:pPr>
            <w:r>
              <w:rPr>
                <w:noProof/>
              </w:rPr>
              <w:t>2026</w:t>
            </w:r>
          </w:p>
        </w:tc>
        <w:tc>
          <w:tcPr>
            <w:tcW w:w="4608" w:type="dxa"/>
            <w:tcBorders>
              <w:top w:val="single" w:sz="4" w:space="0" w:color="auto"/>
              <w:left w:val="nil"/>
              <w:bottom w:val="single" w:sz="4" w:space="0" w:color="auto"/>
              <w:right w:val="single" w:sz="4" w:space="0" w:color="auto"/>
            </w:tcBorders>
            <w:shd w:val="clear" w:color="auto" w:fill="C6EFCE"/>
            <w:noWrap/>
          </w:tcPr>
          <w:p w14:paraId="1E645737" w14:textId="409B560A" w:rsidR="00515398" w:rsidRDefault="006711E6">
            <w:pPr>
              <w:pStyle w:val="P68B1DB1-Normal45"/>
              <w:spacing w:after="0" w:line="240" w:lineRule="auto"/>
              <w:rPr>
                <w:noProof/>
              </w:rPr>
            </w:pPr>
            <w:r>
              <w:rPr>
                <w:noProof/>
              </w:rPr>
              <w:t>S konečnými příjemci bylo podepsáno 13364 milionu EUR (včetně poplatků za správu) prostředků úvěrového nástroje Nástroje pro oživení a odolnost souvisejících s mezinárodními finančními institucemi a komerčními bankami v souladu s mandátem vymezeným v milní</w:t>
            </w:r>
            <w:r>
              <w:rPr>
                <w:noProof/>
              </w:rPr>
              <w:t>ku a poté, co nezávislí auditoři předem ověřili soulad s kritérii pro správu, výběr, monitorování a audit a sdílení ztrát, technické pokyny „významně nepoškozovat“ (2021/C58/01) a příspěvek k cíli v oblasti klimatu ve výši 41,5 % a digitálnímu cíli ve výši</w:t>
            </w:r>
            <w:r>
              <w:rPr>
                <w:noProof/>
              </w:rPr>
              <w:t xml:space="preserve"> 20,8 %.</w:t>
            </w:r>
          </w:p>
        </w:tc>
      </w:tr>
      <w:tr w:rsidR="00515398" w14:paraId="5D70000E"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B4ECA76" w14:textId="77777777" w:rsidR="00515398" w:rsidRDefault="006711E6">
            <w:pPr>
              <w:pStyle w:val="P68B1DB1-Normal9"/>
              <w:spacing w:after="0" w:line="240" w:lineRule="auto"/>
              <w:rPr>
                <w:rFonts w:eastAsia="Times New Roman" w:cs="Calibri"/>
                <w:noProof/>
              </w:rPr>
            </w:pPr>
            <w:r>
              <w:rPr>
                <w:noProof/>
              </w:rPr>
              <w:t>328</w:t>
            </w:r>
          </w:p>
        </w:tc>
        <w:tc>
          <w:tcPr>
            <w:tcW w:w="1429" w:type="dxa"/>
            <w:tcBorders>
              <w:top w:val="single" w:sz="4" w:space="0" w:color="auto"/>
              <w:left w:val="nil"/>
              <w:bottom w:val="single" w:sz="4" w:space="0" w:color="auto"/>
              <w:right w:val="single" w:sz="4" w:space="0" w:color="auto"/>
            </w:tcBorders>
            <w:shd w:val="clear" w:color="auto" w:fill="C6EFCE"/>
            <w:noWrap/>
          </w:tcPr>
          <w:p w14:paraId="48BA04C8" w14:textId="77777777"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2356467F"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3FDB47CF" w14:textId="76249982" w:rsidR="00515398" w:rsidRDefault="006711E6">
            <w:pPr>
              <w:pStyle w:val="P68B1DB1-Normal9"/>
              <w:spacing w:after="0" w:line="240" w:lineRule="auto"/>
              <w:rPr>
                <w:rFonts w:eastAsia="Times New Roman" w:cs="Calibri"/>
                <w:noProof/>
                <w:szCs w:val="18"/>
              </w:rPr>
            </w:pPr>
            <w:r>
              <w:rPr>
                <w:noProof/>
              </w:rPr>
              <w:t>15428 milionu EUR z finančních prostředků finančních institucí podepsaných s konečnými příjemci</w:t>
            </w:r>
          </w:p>
        </w:tc>
        <w:tc>
          <w:tcPr>
            <w:tcW w:w="1660" w:type="dxa"/>
            <w:tcBorders>
              <w:top w:val="single" w:sz="4" w:space="0" w:color="auto"/>
              <w:left w:val="nil"/>
              <w:bottom w:val="single" w:sz="4" w:space="0" w:color="auto"/>
              <w:right w:val="single" w:sz="4" w:space="0" w:color="auto"/>
            </w:tcBorders>
            <w:shd w:val="clear" w:color="auto" w:fill="C6EFCE"/>
          </w:tcPr>
          <w:p w14:paraId="5A5EA996"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7C9CD414" w14:textId="77777777" w:rsidR="00515398" w:rsidRDefault="006711E6">
            <w:pPr>
              <w:pStyle w:val="P68B1DB1-Normal9"/>
              <w:spacing w:after="0" w:line="240" w:lineRule="auto"/>
              <w:rPr>
                <w:rFonts w:eastAsia="Times New Roman" w:cs="Calibri"/>
                <w:noProof/>
                <w:szCs w:val="18"/>
              </w:rPr>
            </w:pPr>
            <w:r>
              <w:rPr>
                <w:noProof/>
              </w:rPr>
              <w:t>Částka (v</w:t>
            </w:r>
            <w:r>
              <w:rPr>
                <w:noProof/>
                <w:szCs w:val="18"/>
              </w:rPr>
              <w:t>milionech</w:t>
            </w:r>
            <w:r>
              <w:rPr>
                <w:noProof/>
              </w:rPr>
              <w:t xml:space="preserve"> EUR)</w:t>
            </w:r>
          </w:p>
        </w:tc>
        <w:tc>
          <w:tcPr>
            <w:tcW w:w="1080" w:type="dxa"/>
            <w:tcBorders>
              <w:top w:val="single" w:sz="4" w:space="0" w:color="auto"/>
              <w:left w:val="nil"/>
              <w:bottom w:val="single" w:sz="4" w:space="0" w:color="auto"/>
              <w:right w:val="single" w:sz="4" w:space="0" w:color="auto"/>
            </w:tcBorders>
            <w:shd w:val="clear" w:color="auto" w:fill="C6EFCE"/>
            <w:noWrap/>
          </w:tcPr>
          <w:p w14:paraId="2780F562" w14:textId="2E7FE14D" w:rsidR="00515398" w:rsidRDefault="006711E6">
            <w:pPr>
              <w:pStyle w:val="P68B1DB1-Normal45"/>
              <w:spacing w:after="0" w:line="240" w:lineRule="auto"/>
              <w:rPr>
                <w:rFonts w:eastAsia="Times New Roman" w:cs="Calibri"/>
                <w:noProof/>
                <w:szCs w:val="18"/>
              </w:rPr>
            </w:pPr>
            <w:r>
              <w:rPr>
                <w:noProof/>
              </w:rPr>
              <w:t>13 364</w:t>
            </w:r>
          </w:p>
        </w:tc>
        <w:tc>
          <w:tcPr>
            <w:tcW w:w="840" w:type="dxa"/>
            <w:tcBorders>
              <w:top w:val="single" w:sz="4" w:space="0" w:color="auto"/>
              <w:left w:val="nil"/>
              <w:bottom w:val="single" w:sz="4" w:space="0" w:color="auto"/>
              <w:right w:val="single" w:sz="4" w:space="0" w:color="auto"/>
            </w:tcBorders>
            <w:shd w:val="clear" w:color="auto" w:fill="C6EFCE"/>
            <w:noWrap/>
          </w:tcPr>
          <w:p w14:paraId="19527CA8" w14:textId="5A5BB2F6" w:rsidR="00515398" w:rsidRDefault="006711E6">
            <w:pPr>
              <w:pStyle w:val="P68B1DB1-Normal45"/>
              <w:spacing w:after="0" w:line="240" w:lineRule="auto"/>
              <w:rPr>
                <w:rFonts w:eastAsia="Times New Roman" w:cs="Calibri"/>
                <w:noProof/>
                <w:szCs w:val="18"/>
              </w:rPr>
            </w:pPr>
            <w:r>
              <w:rPr>
                <w:noProof/>
              </w:rPr>
              <w:t>15 428</w:t>
            </w:r>
          </w:p>
        </w:tc>
        <w:tc>
          <w:tcPr>
            <w:tcW w:w="960" w:type="dxa"/>
            <w:tcBorders>
              <w:top w:val="single" w:sz="4" w:space="0" w:color="auto"/>
              <w:left w:val="nil"/>
              <w:bottom w:val="single" w:sz="4" w:space="0" w:color="auto"/>
              <w:right w:val="single" w:sz="4" w:space="0" w:color="auto"/>
            </w:tcBorders>
            <w:shd w:val="clear" w:color="auto" w:fill="C6EFCE"/>
            <w:noWrap/>
          </w:tcPr>
          <w:p w14:paraId="0C84FA86"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tcBorders>
              <w:top w:val="single" w:sz="4" w:space="0" w:color="auto"/>
              <w:left w:val="nil"/>
              <w:bottom w:val="single" w:sz="4" w:space="0" w:color="auto"/>
              <w:right w:val="single" w:sz="4" w:space="0" w:color="auto"/>
            </w:tcBorders>
            <w:shd w:val="clear" w:color="auto" w:fill="C6EFCE"/>
            <w:noWrap/>
          </w:tcPr>
          <w:p w14:paraId="648B90B6" w14:textId="77777777" w:rsidR="00515398" w:rsidRDefault="006711E6">
            <w:pPr>
              <w:pStyle w:val="P68B1DB1-Normal9"/>
              <w:spacing w:after="0" w:line="240" w:lineRule="auto"/>
              <w:rPr>
                <w:rFonts w:eastAsia="Times New Roman" w:cs="Calibri"/>
                <w:noProof/>
                <w:szCs w:val="18"/>
              </w:rPr>
            </w:pPr>
            <w:r>
              <w:rPr>
                <w:noProof/>
              </w:rPr>
              <w:t>2026</w:t>
            </w:r>
          </w:p>
        </w:tc>
        <w:tc>
          <w:tcPr>
            <w:tcW w:w="4608" w:type="dxa"/>
            <w:tcBorders>
              <w:top w:val="single" w:sz="4" w:space="0" w:color="auto"/>
              <w:left w:val="nil"/>
              <w:bottom w:val="single" w:sz="4" w:space="0" w:color="auto"/>
              <w:right w:val="single" w:sz="4" w:space="0" w:color="auto"/>
            </w:tcBorders>
            <w:shd w:val="clear" w:color="auto" w:fill="C6EFCE"/>
            <w:noWrap/>
          </w:tcPr>
          <w:p w14:paraId="593B927F" w14:textId="4FF07D57" w:rsidR="00515398" w:rsidRDefault="006711E6">
            <w:pPr>
              <w:pStyle w:val="P68B1DB1-Normal9"/>
              <w:spacing w:after="0" w:line="240" w:lineRule="auto"/>
              <w:rPr>
                <w:rFonts w:eastAsia="Times New Roman" w:cs="Calibri"/>
                <w:noProof/>
                <w:szCs w:val="18"/>
              </w:rPr>
            </w:pPr>
            <w:r>
              <w:rPr>
                <w:noProof/>
                <w:szCs w:val="18"/>
              </w:rPr>
              <w:t>S konečnými příjemci bylo podepsáno 15428</w:t>
            </w:r>
            <w:r>
              <w:rPr>
                <w:rFonts w:cs="Calibri"/>
                <w:noProof/>
              </w:rPr>
              <w:t xml:space="preserve"> </w:t>
            </w:r>
            <w:r>
              <w:rPr>
                <w:noProof/>
                <w:szCs w:val="18"/>
              </w:rPr>
              <w:t>milionu EUR (včetně poplatků za správu) prostředků úvěrového nástroje Nástroje pro oživení a odolnost souvisejících s mezinárodními finančními institucemi a komerčními bankami v s</w:t>
            </w:r>
            <w:r>
              <w:rPr>
                <w:noProof/>
                <w:szCs w:val="18"/>
              </w:rPr>
              <w:t>ouladu s mandátem vymezeným v milníku a poté, co nezávislí auditoři předem ověřili soulad s kritérii pro správu, výběr, monitorování a audit a sdílení ztrát, technické pokyny „významně nepoškozovat“ (2021/C58/01) a příspěvek k cíli v oblasti klimatu ve výš</w:t>
            </w:r>
            <w:r>
              <w:rPr>
                <w:noProof/>
                <w:szCs w:val="18"/>
              </w:rPr>
              <w:t>i 41,5 % a digitálnímu cíli ve výši 20,8 %.</w:t>
            </w:r>
          </w:p>
        </w:tc>
      </w:tr>
      <w:tr w:rsidR="00515398" w14:paraId="1A1E3537"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BF04D6" w14:textId="77777777" w:rsidR="00515398" w:rsidRDefault="006711E6">
            <w:pPr>
              <w:pStyle w:val="P68B1DB1-Normal9"/>
              <w:spacing w:after="0" w:line="240" w:lineRule="auto"/>
              <w:rPr>
                <w:rFonts w:eastAsia="Times New Roman" w:cs="Calibri"/>
                <w:noProof/>
              </w:rPr>
            </w:pPr>
            <w:r>
              <w:rPr>
                <w:noProof/>
              </w:rPr>
              <w:t>328a</w:t>
            </w:r>
          </w:p>
        </w:tc>
        <w:tc>
          <w:tcPr>
            <w:tcW w:w="1429" w:type="dxa"/>
            <w:tcBorders>
              <w:top w:val="single" w:sz="4" w:space="0" w:color="auto"/>
              <w:left w:val="nil"/>
              <w:bottom w:val="single" w:sz="4" w:space="0" w:color="auto"/>
              <w:right w:val="single" w:sz="4" w:space="0" w:color="auto"/>
            </w:tcBorders>
            <w:shd w:val="clear" w:color="auto" w:fill="C6EFCE"/>
            <w:noWrap/>
          </w:tcPr>
          <w:p w14:paraId="372940DD" w14:textId="77777777"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44AA1DD3" w14:textId="77777777" w:rsidR="00515398" w:rsidRDefault="006711E6">
            <w:pPr>
              <w:pStyle w:val="P68B1DB1-Normal9"/>
              <w:spacing w:after="0" w:line="240" w:lineRule="auto"/>
              <w:rPr>
                <w:rFonts w:eastAsia="Times New Roman" w:cs="Calibri"/>
                <w:noProof/>
                <w:szCs w:val="18"/>
              </w:rPr>
            </w:pPr>
            <w:r>
              <w:rPr>
                <w:noProof/>
              </w:rPr>
              <w:t>Milník</w:t>
            </w:r>
          </w:p>
        </w:tc>
        <w:tc>
          <w:tcPr>
            <w:tcW w:w="1340" w:type="dxa"/>
            <w:tcBorders>
              <w:top w:val="single" w:sz="4" w:space="0" w:color="auto"/>
              <w:left w:val="nil"/>
              <w:bottom w:val="single" w:sz="4" w:space="0" w:color="auto"/>
              <w:right w:val="single" w:sz="4" w:space="0" w:color="auto"/>
            </w:tcBorders>
            <w:shd w:val="clear" w:color="auto" w:fill="C6EFCE"/>
            <w:noWrap/>
          </w:tcPr>
          <w:p w14:paraId="4D4702B1" w14:textId="0428ED55" w:rsidR="00515398" w:rsidRDefault="006711E6">
            <w:pPr>
              <w:pStyle w:val="P68B1DB1-Normal9"/>
              <w:spacing w:after="0" w:line="240" w:lineRule="auto"/>
              <w:rPr>
                <w:rFonts w:eastAsia="Times New Roman" w:cs="Calibri"/>
                <w:noProof/>
                <w:szCs w:val="18"/>
              </w:rPr>
            </w:pPr>
            <w:r>
              <w:rPr>
                <w:noProof/>
              </w:rPr>
              <w:t>Úvěrový nástroj – Ministerstvo financí dokončilo investici</w:t>
            </w:r>
          </w:p>
        </w:tc>
        <w:tc>
          <w:tcPr>
            <w:tcW w:w="1660" w:type="dxa"/>
            <w:tcBorders>
              <w:top w:val="single" w:sz="4" w:space="0" w:color="auto"/>
              <w:left w:val="nil"/>
              <w:bottom w:val="single" w:sz="4" w:space="0" w:color="auto"/>
              <w:right w:val="single" w:sz="4" w:space="0" w:color="auto"/>
            </w:tcBorders>
            <w:shd w:val="clear" w:color="auto" w:fill="C6EFCE"/>
          </w:tcPr>
          <w:p w14:paraId="383F0E60" w14:textId="77777777" w:rsidR="00515398" w:rsidRDefault="006711E6">
            <w:pPr>
              <w:pStyle w:val="P68B1DB1-Normal9"/>
              <w:spacing w:after="0" w:line="240" w:lineRule="auto"/>
              <w:rPr>
                <w:rFonts w:eastAsia="Times New Roman" w:cs="Calibri"/>
                <w:noProof/>
                <w:szCs w:val="18"/>
              </w:rPr>
            </w:pPr>
            <w:r>
              <w:rPr>
                <w:noProof/>
              </w:rPr>
              <w:t>Potvrzení o převodu</w:t>
            </w:r>
          </w:p>
        </w:tc>
        <w:tc>
          <w:tcPr>
            <w:tcW w:w="1080" w:type="dxa"/>
            <w:tcBorders>
              <w:top w:val="single" w:sz="4" w:space="0" w:color="auto"/>
              <w:left w:val="nil"/>
              <w:bottom w:val="single" w:sz="4" w:space="0" w:color="auto"/>
              <w:right w:val="single" w:sz="4" w:space="0" w:color="auto"/>
            </w:tcBorders>
            <w:shd w:val="clear" w:color="auto" w:fill="C6EFCE"/>
            <w:noWrap/>
          </w:tcPr>
          <w:p w14:paraId="66175D0D"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2959B64F" w14:textId="77777777" w:rsidR="00515398" w:rsidRDefault="00515398">
            <w:pPr>
              <w:spacing w:after="0" w:line="240" w:lineRule="auto"/>
              <w:rPr>
                <w:rFonts w:eastAsia="Times New Roman" w:cs="Calibri"/>
                <w:noProof/>
                <w:color w:val="006100"/>
                <w:sz w:val="18"/>
                <w:szCs w:val="18"/>
              </w:rPr>
            </w:pPr>
          </w:p>
        </w:tc>
        <w:tc>
          <w:tcPr>
            <w:tcW w:w="840" w:type="dxa"/>
            <w:tcBorders>
              <w:top w:val="single" w:sz="4" w:space="0" w:color="auto"/>
              <w:left w:val="nil"/>
              <w:bottom w:val="single" w:sz="4" w:space="0" w:color="auto"/>
              <w:right w:val="single" w:sz="4" w:space="0" w:color="auto"/>
            </w:tcBorders>
            <w:shd w:val="clear" w:color="auto" w:fill="C6EFCE"/>
            <w:noWrap/>
          </w:tcPr>
          <w:p w14:paraId="71B3AE77" w14:textId="77777777" w:rsidR="00515398" w:rsidRDefault="00515398">
            <w:pPr>
              <w:spacing w:after="0" w:line="240" w:lineRule="auto"/>
              <w:rPr>
                <w:rFonts w:eastAsia="Times New Roman" w:cs="Calibri"/>
                <w:noProof/>
                <w:color w:val="006100"/>
                <w:sz w:val="18"/>
                <w:szCs w:val="18"/>
              </w:rPr>
            </w:pPr>
          </w:p>
        </w:tc>
        <w:tc>
          <w:tcPr>
            <w:tcW w:w="960" w:type="dxa"/>
            <w:tcBorders>
              <w:top w:val="single" w:sz="4" w:space="0" w:color="auto"/>
              <w:left w:val="nil"/>
              <w:bottom w:val="single" w:sz="4" w:space="0" w:color="auto"/>
              <w:right w:val="single" w:sz="4" w:space="0" w:color="auto"/>
            </w:tcBorders>
            <w:shd w:val="clear" w:color="auto" w:fill="C6EFCE"/>
            <w:noWrap/>
          </w:tcPr>
          <w:p w14:paraId="15390D29" w14:textId="77777777" w:rsidR="00515398" w:rsidRDefault="006711E6">
            <w:pPr>
              <w:pStyle w:val="P68B1DB1-Normal9"/>
              <w:spacing w:after="0" w:line="240" w:lineRule="auto"/>
              <w:rPr>
                <w:rFonts w:eastAsia="Times New Roman" w:cs="Calibri"/>
                <w:noProof/>
                <w:szCs w:val="18"/>
              </w:rPr>
            </w:pPr>
            <w:r>
              <w:rPr>
                <w:noProof/>
              </w:rPr>
              <w:t>ČTVRTLETÍ</w:t>
            </w:r>
          </w:p>
        </w:tc>
        <w:tc>
          <w:tcPr>
            <w:tcW w:w="840" w:type="dxa"/>
            <w:tcBorders>
              <w:top w:val="single" w:sz="4" w:space="0" w:color="auto"/>
              <w:left w:val="nil"/>
              <w:bottom w:val="single" w:sz="4" w:space="0" w:color="auto"/>
              <w:right w:val="single" w:sz="4" w:space="0" w:color="auto"/>
            </w:tcBorders>
            <w:shd w:val="clear" w:color="auto" w:fill="C6EFCE"/>
            <w:noWrap/>
          </w:tcPr>
          <w:p w14:paraId="48BA902C" w14:textId="77777777" w:rsidR="00515398" w:rsidRDefault="006711E6">
            <w:pPr>
              <w:pStyle w:val="P68B1DB1-Normal9"/>
              <w:spacing w:after="0" w:line="240" w:lineRule="auto"/>
              <w:rPr>
                <w:rFonts w:eastAsia="Times New Roman" w:cs="Calibri"/>
                <w:noProof/>
                <w:szCs w:val="18"/>
              </w:rPr>
            </w:pPr>
            <w:r>
              <w:rPr>
                <w:noProof/>
              </w:rPr>
              <w:t>2026</w:t>
            </w:r>
          </w:p>
        </w:tc>
        <w:tc>
          <w:tcPr>
            <w:tcW w:w="4608" w:type="dxa"/>
            <w:tcBorders>
              <w:top w:val="single" w:sz="4" w:space="0" w:color="auto"/>
              <w:left w:val="nil"/>
              <w:bottom w:val="single" w:sz="4" w:space="0" w:color="auto"/>
              <w:right w:val="single" w:sz="4" w:space="0" w:color="auto"/>
            </w:tcBorders>
            <w:shd w:val="clear" w:color="auto" w:fill="C6EFCE"/>
            <w:noWrap/>
          </w:tcPr>
          <w:p w14:paraId="3839BD41" w14:textId="7D851932" w:rsidR="00515398" w:rsidRDefault="006711E6">
            <w:pPr>
              <w:pStyle w:val="P68B1DB1-Normal9"/>
              <w:spacing w:after="0" w:line="240" w:lineRule="auto"/>
              <w:rPr>
                <w:rFonts w:eastAsia="Times New Roman" w:cs="Calibri"/>
                <w:noProof/>
                <w:szCs w:val="18"/>
              </w:rPr>
            </w:pPr>
            <w:r>
              <w:rPr>
                <w:noProof/>
              </w:rPr>
              <w:t>Řecko převede 15 428 milionů EUR mezinárodním finančním institucím a komerčním bankám pro úvěrový nástroj.</w:t>
            </w:r>
          </w:p>
        </w:tc>
      </w:tr>
      <w:tr w:rsidR="00515398" w14:paraId="544DBA25"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13EC4737" w14:textId="164D53EB" w:rsidR="00515398" w:rsidRDefault="006711E6">
            <w:pPr>
              <w:pStyle w:val="P68B1DB1-Normal9"/>
              <w:spacing w:after="0" w:line="240" w:lineRule="auto"/>
              <w:rPr>
                <w:noProof/>
              </w:rPr>
            </w:pPr>
            <w:r>
              <w:rPr>
                <w:noProof/>
              </w:rPr>
              <w:t>329</w:t>
            </w:r>
          </w:p>
        </w:tc>
        <w:tc>
          <w:tcPr>
            <w:tcW w:w="1429" w:type="dxa"/>
            <w:tcBorders>
              <w:top w:val="single" w:sz="4" w:space="0" w:color="auto"/>
              <w:left w:val="nil"/>
              <w:bottom w:val="single" w:sz="4" w:space="0" w:color="auto"/>
              <w:right w:val="single" w:sz="4" w:space="0" w:color="auto"/>
            </w:tcBorders>
            <w:shd w:val="clear" w:color="auto" w:fill="C6EFCE"/>
            <w:noWrap/>
          </w:tcPr>
          <w:p w14:paraId="6A74C05A" w14:textId="77777777"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1C041F74"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6537680D" w14:textId="77777777" w:rsidR="00515398" w:rsidRDefault="006711E6">
            <w:pPr>
              <w:pStyle w:val="P68B1DB1-Normal9"/>
              <w:spacing w:after="0" w:line="240" w:lineRule="auto"/>
              <w:rPr>
                <w:rFonts w:eastAsia="Times New Roman" w:cs="Calibri"/>
                <w:noProof/>
                <w:szCs w:val="18"/>
              </w:rPr>
            </w:pPr>
            <w:r>
              <w:rPr>
                <w:noProof/>
              </w:rPr>
              <w:t xml:space="preserve">Investice ve výši 100 % kapitálové podpory </w:t>
            </w:r>
          </w:p>
        </w:tc>
        <w:tc>
          <w:tcPr>
            <w:tcW w:w="1660" w:type="dxa"/>
            <w:tcBorders>
              <w:top w:val="single" w:sz="4" w:space="0" w:color="auto"/>
              <w:left w:val="nil"/>
              <w:bottom w:val="single" w:sz="4" w:space="0" w:color="auto"/>
              <w:right w:val="single" w:sz="4" w:space="0" w:color="auto"/>
            </w:tcBorders>
            <w:shd w:val="clear" w:color="auto" w:fill="C6EFCE"/>
          </w:tcPr>
          <w:p w14:paraId="199F9C6F"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B40FC68" w14:textId="307896C2" w:rsidR="00515398" w:rsidRDefault="006711E6">
            <w:pPr>
              <w:pStyle w:val="P68B1DB1-Normal9"/>
              <w:spacing w:after="0" w:line="240" w:lineRule="auto"/>
              <w:rPr>
                <w:rFonts w:eastAsia="Times New Roman" w:cs="Calibri"/>
                <w:noProof/>
                <w:szCs w:val="18"/>
              </w:rPr>
            </w:pPr>
            <w:r>
              <w:rPr>
                <w:noProof/>
              </w:rPr>
              <w:t xml:space="preserve">Procentní podíl (%) </w:t>
            </w:r>
          </w:p>
        </w:tc>
        <w:tc>
          <w:tcPr>
            <w:tcW w:w="1080" w:type="dxa"/>
            <w:tcBorders>
              <w:top w:val="single" w:sz="4" w:space="0" w:color="auto"/>
              <w:left w:val="nil"/>
              <w:bottom w:val="single" w:sz="4" w:space="0" w:color="auto"/>
              <w:right w:val="single" w:sz="4" w:space="0" w:color="auto"/>
            </w:tcBorders>
            <w:shd w:val="clear" w:color="auto" w:fill="C6EFCE"/>
            <w:noWrap/>
          </w:tcPr>
          <w:p w14:paraId="271FF075" w14:textId="77777777" w:rsidR="00515398" w:rsidRDefault="006711E6">
            <w:pPr>
              <w:pStyle w:val="P68B1DB1-Normal9"/>
              <w:spacing w:after="0" w:line="240" w:lineRule="auto"/>
              <w:rPr>
                <w:rFonts w:eastAsia="Times New Roman" w:cs="Calibri"/>
                <w:noProof/>
                <w:szCs w:val="18"/>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tcPr>
          <w:p w14:paraId="0F5887B5" w14:textId="77777777" w:rsidR="00515398" w:rsidRDefault="006711E6">
            <w:pPr>
              <w:pStyle w:val="P68B1DB1-Normal9"/>
              <w:spacing w:after="0" w:line="240" w:lineRule="auto"/>
              <w:rPr>
                <w:rFonts w:eastAsia="Times New Roman" w:cs="Calibri"/>
                <w:noProof/>
                <w:szCs w:val="18"/>
              </w:rPr>
            </w:pPr>
            <w:r>
              <w:rPr>
                <w:noProof/>
              </w:rPr>
              <w:t>100</w:t>
            </w:r>
          </w:p>
        </w:tc>
        <w:tc>
          <w:tcPr>
            <w:tcW w:w="960" w:type="dxa"/>
            <w:tcBorders>
              <w:top w:val="single" w:sz="4" w:space="0" w:color="auto"/>
              <w:left w:val="nil"/>
              <w:bottom w:val="single" w:sz="4" w:space="0" w:color="auto"/>
              <w:right w:val="single" w:sz="4" w:space="0" w:color="auto"/>
            </w:tcBorders>
            <w:shd w:val="clear" w:color="auto" w:fill="C6EFCE"/>
            <w:noWrap/>
          </w:tcPr>
          <w:p w14:paraId="525ADE01" w14:textId="1D3C4AEC"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0303AF7F" w14:textId="2D130D49" w:rsidR="00515398" w:rsidRDefault="006711E6">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3F705A87" w14:textId="77777777" w:rsidR="00515398" w:rsidRDefault="006711E6">
            <w:pPr>
              <w:pStyle w:val="P68B1DB1-Normal9"/>
              <w:spacing w:after="0" w:line="240" w:lineRule="auto"/>
              <w:rPr>
                <w:rFonts w:eastAsia="Times New Roman" w:cs="Calibri"/>
                <w:noProof/>
                <w:szCs w:val="18"/>
                <w:highlight w:val="yellow"/>
              </w:rPr>
            </w:pPr>
            <w:r>
              <w:rPr>
                <w:noProof/>
              </w:rPr>
              <w:t xml:space="preserve">Investice ve výši 100 % kapitálové podpory v souladu s pověřovací dohodou definovanou v milníku, která zahrnuje kritéria výběru pro soulad s technickými pokyny k </w:t>
            </w:r>
            <w:r>
              <w:rPr>
                <w:noProof/>
              </w:rPr>
              <w:t>zásadě „významně nepoškozovat“ (2021/C58/01) podporovaných společností, která vyžadují, aby nezávislý auditor používal prověřování udržitelnosti, seznam výjimek a povinné kontroly souladu s příslušnými právními předpisy EU a vnitrostátními právními předpis</w:t>
            </w:r>
            <w:r>
              <w:rPr>
                <w:noProof/>
              </w:rPr>
              <w:t>y v oblasti životního prostředí.</w:t>
            </w:r>
          </w:p>
        </w:tc>
      </w:tr>
      <w:tr w:rsidR="00515398" w14:paraId="2680EEF4" w14:textId="77777777">
        <w:trPr>
          <w:trHeight w:val="314"/>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44EB0AC3" w14:textId="77777777" w:rsidR="00515398" w:rsidRDefault="006711E6">
            <w:pPr>
              <w:pStyle w:val="P68B1DB1-Normal9"/>
              <w:spacing w:after="0" w:line="240" w:lineRule="auto"/>
              <w:rPr>
                <w:noProof/>
              </w:rPr>
            </w:pPr>
            <w:r>
              <w:rPr>
                <w:noProof/>
              </w:rPr>
              <w:t>330</w:t>
            </w:r>
          </w:p>
        </w:tc>
        <w:tc>
          <w:tcPr>
            <w:tcW w:w="1429" w:type="dxa"/>
            <w:tcBorders>
              <w:top w:val="single" w:sz="4" w:space="0" w:color="auto"/>
              <w:left w:val="nil"/>
              <w:bottom w:val="single" w:sz="4" w:space="0" w:color="auto"/>
              <w:right w:val="single" w:sz="4" w:space="0" w:color="auto"/>
            </w:tcBorders>
            <w:shd w:val="clear" w:color="auto" w:fill="C6EFCE"/>
            <w:noWrap/>
          </w:tcPr>
          <w:p w14:paraId="0808B535" w14:textId="77777777" w:rsidR="00515398" w:rsidRDefault="006711E6">
            <w:pPr>
              <w:pStyle w:val="P68B1DB1-Normal9"/>
              <w:spacing w:after="0" w:line="240" w:lineRule="auto"/>
              <w:rPr>
                <w:rFonts w:eastAsia="Times New Roman" w:cs="Calibri"/>
                <w:noProof/>
                <w:szCs w:val="18"/>
              </w:rPr>
            </w:pPr>
            <w:r>
              <w:rPr>
                <w:noProof/>
              </w:rPr>
              <w:t>4.7. Zlepšit konkurenceschopnost a podpořit soukromé investice a vývoz – 16980_úvěrový nástroj pro oživení a odolnost</w:t>
            </w:r>
          </w:p>
        </w:tc>
        <w:tc>
          <w:tcPr>
            <w:tcW w:w="1200" w:type="dxa"/>
            <w:tcBorders>
              <w:top w:val="single" w:sz="4" w:space="0" w:color="auto"/>
              <w:left w:val="nil"/>
              <w:bottom w:val="single" w:sz="4" w:space="0" w:color="auto"/>
              <w:right w:val="single" w:sz="4" w:space="0" w:color="auto"/>
            </w:tcBorders>
            <w:shd w:val="clear" w:color="auto" w:fill="C6EFCE"/>
            <w:noWrap/>
          </w:tcPr>
          <w:p w14:paraId="511C67FA" w14:textId="77777777" w:rsidR="00515398" w:rsidRDefault="006711E6">
            <w:pPr>
              <w:pStyle w:val="P68B1DB1-Normal9"/>
              <w:spacing w:after="0" w:line="240" w:lineRule="auto"/>
              <w:rPr>
                <w:rFonts w:eastAsia="Times New Roman" w:cs="Calibri"/>
                <w:noProof/>
                <w:szCs w:val="18"/>
              </w:rPr>
            </w:pPr>
            <w:r>
              <w:rPr>
                <w:noProof/>
              </w:rPr>
              <w:t>Cílová</w:t>
            </w:r>
          </w:p>
        </w:tc>
        <w:tc>
          <w:tcPr>
            <w:tcW w:w="1340" w:type="dxa"/>
            <w:tcBorders>
              <w:top w:val="single" w:sz="4" w:space="0" w:color="auto"/>
              <w:left w:val="nil"/>
              <w:bottom w:val="single" w:sz="4" w:space="0" w:color="auto"/>
              <w:right w:val="single" w:sz="4" w:space="0" w:color="auto"/>
            </w:tcBorders>
            <w:shd w:val="clear" w:color="auto" w:fill="C6EFCE"/>
            <w:noWrap/>
          </w:tcPr>
          <w:p w14:paraId="49CDC4BA" w14:textId="77777777" w:rsidR="00515398" w:rsidRDefault="006711E6">
            <w:pPr>
              <w:pStyle w:val="P68B1DB1-Normal9"/>
              <w:spacing w:after="0" w:line="240" w:lineRule="auto"/>
              <w:rPr>
                <w:rFonts w:eastAsia="Times New Roman" w:cs="Calibri"/>
                <w:noProof/>
                <w:szCs w:val="18"/>
              </w:rPr>
            </w:pPr>
            <w:r>
              <w:rPr>
                <w:noProof/>
              </w:rPr>
              <w:t>Schvalování operací v rámci Programu InvestEU</w:t>
            </w:r>
          </w:p>
        </w:tc>
        <w:tc>
          <w:tcPr>
            <w:tcW w:w="1660" w:type="dxa"/>
            <w:tcBorders>
              <w:top w:val="single" w:sz="4" w:space="0" w:color="auto"/>
              <w:left w:val="nil"/>
              <w:bottom w:val="single" w:sz="4" w:space="0" w:color="auto"/>
              <w:right w:val="single" w:sz="4" w:space="0" w:color="auto"/>
            </w:tcBorders>
            <w:shd w:val="clear" w:color="auto" w:fill="C6EFCE"/>
          </w:tcPr>
          <w:p w14:paraId="7600E46A" w14:textId="77777777" w:rsidR="00515398" w:rsidRDefault="00515398">
            <w:pPr>
              <w:spacing w:after="0" w:line="240" w:lineRule="auto"/>
              <w:rPr>
                <w:rFonts w:eastAsia="Times New Roman" w:cs="Calibri"/>
                <w:noProof/>
                <w:color w:val="006100"/>
                <w:sz w:val="18"/>
                <w:szCs w:val="18"/>
              </w:rPr>
            </w:pPr>
          </w:p>
        </w:tc>
        <w:tc>
          <w:tcPr>
            <w:tcW w:w="1080" w:type="dxa"/>
            <w:tcBorders>
              <w:top w:val="single" w:sz="4" w:space="0" w:color="auto"/>
              <w:left w:val="nil"/>
              <w:bottom w:val="single" w:sz="4" w:space="0" w:color="auto"/>
              <w:right w:val="single" w:sz="4" w:space="0" w:color="auto"/>
            </w:tcBorders>
            <w:shd w:val="clear" w:color="auto" w:fill="C6EFCE"/>
            <w:noWrap/>
          </w:tcPr>
          <w:p w14:paraId="1B47B657" w14:textId="3FC5CD4C" w:rsidR="00515398" w:rsidRDefault="006711E6">
            <w:pPr>
              <w:pStyle w:val="P68B1DB1-Normal9"/>
              <w:spacing w:after="0" w:line="240" w:lineRule="auto"/>
              <w:rPr>
                <w:rFonts w:eastAsia="Times New Roman" w:cs="Calibri"/>
                <w:noProof/>
                <w:szCs w:val="18"/>
              </w:rPr>
            </w:pPr>
            <w:r>
              <w:rPr>
                <w:noProof/>
              </w:rPr>
              <w:t>Procentní podíl (%)</w:t>
            </w:r>
          </w:p>
        </w:tc>
        <w:tc>
          <w:tcPr>
            <w:tcW w:w="1080" w:type="dxa"/>
            <w:tcBorders>
              <w:top w:val="single" w:sz="4" w:space="0" w:color="auto"/>
              <w:left w:val="nil"/>
              <w:bottom w:val="single" w:sz="4" w:space="0" w:color="auto"/>
              <w:right w:val="single" w:sz="4" w:space="0" w:color="auto"/>
            </w:tcBorders>
            <w:shd w:val="clear" w:color="auto" w:fill="C6EFCE"/>
            <w:noWrap/>
          </w:tcPr>
          <w:p w14:paraId="292AD696" w14:textId="77777777" w:rsidR="00515398" w:rsidRDefault="006711E6">
            <w:pPr>
              <w:pStyle w:val="P68B1DB1-Normal9"/>
              <w:spacing w:after="0" w:line="240" w:lineRule="auto"/>
              <w:rPr>
                <w:rFonts w:eastAsia="Times New Roman" w:cs="Calibri"/>
                <w:noProof/>
                <w:szCs w:val="18"/>
              </w:rPr>
            </w:pPr>
            <w:r>
              <w:rPr>
                <w:noProof/>
              </w:rPr>
              <w:t>0</w:t>
            </w:r>
          </w:p>
        </w:tc>
        <w:tc>
          <w:tcPr>
            <w:tcW w:w="840" w:type="dxa"/>
            <w:tcBorders>
              <w:top w:val="single" w:sz="4" w:space="0" w:color="auto"/>
              <w:left w:val="nil"/>
              <w:bottom w:val="single" w:sz="4" w:space="0" w:color="auto"/>
              <w:right w:val="single" w:sz="4" w:space="0" w:color="auto"/>
            </w:tcBorders>
            <w:shd w:val="clear" w:color="auto" w:fill="C6EFCE"/>
            <w:noWrap/>
          </w:tcPr>
          <w:p w14:paraId="6B770E0F" w14:textId="77777777" w:rsidR="00515398" w:rsidRDefault="006711E6">
            <w:pPr>
              <w:pStyle w:val="P68B1DB1-Normal9"/>
              <w:spacing w:after="0" w:line="240" w:lineRule="auto"/>
              <w:rPr>
                <w:rFonts w:eastAsia="Times New Roman" w:cs="Calibri"/>
                <w:noProof/>
                <w:szCs w:val="18"/>
              </w:rPr>
            </w:pPr>
            <w:r>
              <w:rPr>
                <w:noProof/>
              </w:rPr>
              <w:t>100</w:t>
            </w:r>
          </w:p>
        </w:tc>
        <w:tc>
          <w:tcPr>
            <w:tcW w:w="960" w:type="dxa"/>
            <w:tcBorders>
              <w:top w:val="single" w:sz="4" w:space="0" w:color="auto"/>
              <w:left w:val="nil"/>
              <w:bottom w:val="single" w:sz="4" w:space="0" w:color="auto"/>
              <w:right w:val="single" w:sz="4" w:space="0" w:color="auto"/>
            </w:tcBorders>
            <w:shd w:val="clear" w:color="auto" w:fill="C6EFCE"/>
            <w:noWrap/>
          </w:tcPr>
          <w:p w14:paraId="51633FEC" w14:textId="2246523A" w:rsidR="00515398" w:rsidRDefault="006711E6">
            <w:pPr>
              <w:pStyle w:val="P68B1DB1-Normal9"/>
              <w:spacing w:after="0" w:line="240" w:lineRule="auto"/>
              <w:rPr>
                <w:rFonts w:eastAsia="Times New Roman" w:cs="Calibri"/>
                <w:noProof/>
                <w:szCs w:val="18"/>
              </w:rPr>
            </w:pPr>
            <w:r>
              <w:rPr>
                <w:noProof/>
              </w:rPr>
              <w:t>ČTVRTLETÍ ČTVRT</w:t>
            </w:r>
          </w:p>
        </w:tc>
        <w:tc>
          <w:tcPr>
            <w:tcW w:w="840" w:type="dxa"/>
            <w:tcBorders>
              <w:top w:val="single" w:sz="4" w:space="0" w:color="auto"/>
              <w:left w:val="nil"/>
              <w:bottom w:val="single" w:sz="4" w:space="0" w:color="auto"/>
              <w:right w:val="single" w:sz="4" w:space="0" w:color="auto"/>
            </w:tcBorders>
            <w:shd w:val="clear" w:color="auto" w:fill="C6EFCE"/>
            <w:noWrap/>
          </w:tcPr>
          <w:p w14:paraId="67981EEB" w14:textId="7ECD3237" w:rsidR="00515398" w:rsidRDefault="006711E6">
            <w:pPr>
              <w:pStyle w:val="P68B1DB1-Normal9"/>
              <w:spacing w:after="0" w:line="240" w:lineRule="auto"/>
              <w:rPr>
                <w:rFonts w:eastAsia="Times New Roman" w:cs="Calibri"/>
                <w:noProof/>
                <w:szCs w:val="18"/>
              </w:rPr>
            </w:pPr>
            <w:r>
              <w:rPr>
                <w:noProof/>
              </w:rPr>
              <w:t>2025</w:t>
            </w:r>
          </w:p>
        </w:tc>
        <w:tc>
          <w:tcPr>
            <w:tcW w:w="4608" w:type="dxa"/>
            <w:tcBorders>
              <w:top w:val="single" w:sz="4" w:space="0" w:color="auto"/>
              <w:left w:val="nil"/>
              <w:bottom w:val="single" w:sz="4" w:space="0" w:color="auto"/>
              <w:right w:val="single" w:sz="4" w:space="0" w:color="auto"/>
            </w:tcBorders>
            <w:shd w:val="clear" w:color="auto" w:fill="C6EFCE"/>
            <w:noWrap/>
          </w:tcPr>
          <w:p w14:paraId="51E70393" w14:textId="77777777" w:rsidR="00515398" w:rsidRDefault="006711E6">
            <w:pPr>
              <w:pStyle w:val="P68B1DB1-Normal9"/>
              <w:spacing w:after="0" w:line="240" w:lineRule="auto"/>
              <w:rPr>
                <w:rFonts w:eastAsia="Times New Roman" w:cs="Calibri"/>
                <w:noProof/>
                <w:szCs w:val="18"/>
              </w:rPr>
            </w:pPr>
            <w:r>
              <w:rPr>
                <w:noProof/>
              </w:rPr>
              <w:t>Investiční výbor InvestEU schvaluje investiční operace ve výši 100 % celkové částky cíleného financování (nebo mobilizovaných investic).</w:t>
            </w:r>
          </w:p>
        </w:tc>
      </w:tr>
    </w:tbl>
    <w:p w14:paraId="1A905C77" w14:textId="77777777" w:rsidR="00515398" w:rsidRDefault="00515398">
      <w:pPr>
        <w:spacing w:before="120" w:after="120" w:line="240" w:lineRule="auto"/>
        <w:jc w:val="both"/>
        <w:rPr>
          <w:rFonts w:ascii="Times New Roman" w:hAnsi="Times New Roman" w:cs="Times New Roman"/>
          <w:noProof/>
          <w:sz w:val="24"/>
        </w:rPr>
        <w:sectPr w:rsidR="00515398" w:rsidSect="00271D33">
          <w:headerReference w:type="even" r:id="rId325"/>
          <w:headerReference w:type="default" r:id="rId326"/>
          <w:footerReference w:type="even" r:id="rId327"/>
          <w:footerReference w:type="default" r:id="rId328"/>
          <w:headerReference w:type="first" r:id="rId329"/>
          <w:footerReference w:type="first" r:id="rId330"/>
          <w:pgSz w:w="16839" w:h="11907" w:orient="landscape"/>
          <w:pgMar w:top="720" w:right="720" w:bottom="720" w:left="720" w:header="709" w:footer="75" w:gutter="0"/>
          <w:cols w:space="720"/>
          <w:docGrid w:linePitch="360"/>
        </w:sectPr>
      </w:pPr>
    </w:p>
    <w:p w14:paraId="2F3807BD" w14:textId="77777777" w:rsidR="00515398" w:rsidRDefault="006711E6">
      <w:pPr>
        <w:pStyle w:val="P68B1DB1-Normal2"/>
        <w:spacing w:before="120" w:after="120" w:line="240" w:lineRule="auto"/>
        <w:ind w:firstLine="6"/>
        <w:jc w:val="both"/>
        <w:outlineLvl w:val="3"/>
        <w:rPr>
          <w:rFonts w:cs="Times New Roman"/>
          <w:bCs/>
          <w:noProof/>
        </w:rPr>
      </w:pPr>
      <w:r>
        <w:rPr>
          <w:noProof/>
        </w:rPr>
        <w:t>S. TECHNICKÁ POMOC</w:t>
      </w:r>
    </w:p>
    <w:p w14:paraId="138DB494" w14:textId="77777777" w:rsidR="00515398" w:rsidRDefault="006711E6">
      <w:pPr>
        <w:pStyle w:val="P68B1DB1-Normal4"/>
        <w:spacing w:before="120" w:after="120" w:line="240" w:lineRule="auto"/>
        <w:jc w:val="both"/>
        <w:rPr>
          <w:rFonts w:cs="Times New Roman"/>
          <w:noProof/>
        </w:rPr>
      </w:pPr>
      <w:r>
        <w:rPr>
          <w:noProof/>
        </w:rPr>
        <w:t xml:space="preserve">Tato složka řeckého plánu pro oživení a odolnost sestává z opatření k posílení správní kapacity Agentury pro oživení a odolnost, což je nově vytvořená struktura určená výhradně ke koordinaci a provádění řeckého plánu pro oživení a odolnost. Cílem opatření </w:t>
      </w:r>
      <w:r>
        <w:rPr>
          <w:noProof/>
        </w:rPr>
        <w:t xml:space="preserve">je poskytnout řecké správě nezbytnou pomoc při úspěšném řízení provádění plánu pro oživení a odolnost. Očekává se tedy, že nepřímo přispěje k cílům plánu pro oživení a odolnost, jak je podpořeno opatřeními zahrnutými napříč čtyřmi pilíři, a podpoří plnění </w:t>
      </w:r>
      <w:r>
        <w:rPr>
          <w:noProof/>
        </w:rPr>
        <w:t>příslušných doporučení pro Řecko, tj. veřejných a soukromých investic (doporučení pro jednotlivé země č. 2 z roku 2019 a doporučení pro jednotlivé země č. 3 2020), veřejných financí a zdravotní péče (doporučení pro jednotlivé země č. 1 2020) a trhu práce a</w:t>
      </w:r>
      <w:r>
        <w:rPr>
          <w:noProof/>
        </w:rPr>
        <w:t xml:space="preserve"> sociální politiky (doporučení pro jednotlivé země č. 2 2020).</w:t>
      </w:r>
    </w:p>
    <w:p w14:paraId="3E556037" w14:textId="77777777" w:rsidR="00515398" w:rsidRDefault="006711E6">
      <w:pPr>
        <w:spacing w:before="120" w:after="120" w:line="240" w:lineRule="auto"/>
        <w:jc w:val="both"/>
        <w:rPr>
          <w:rFonts w:ascii="Times New Roman" w:hAnsi="Times New Roman" w:cs="Times New Roman"/>
          <w:b/>
          <w:i/>
          <w:noProof/>
          <w:color w:val="4F81BD"/>
          <w:sz w:val="24"/>
        </w:rPr>
      </w:pPr>
      <w:r>
        <w:rPr>
          <w:rFonts w:ascii="Times New Roman" w:hAnsi="Times New Roman"/>
          <w:b/>
          <w:noProof/>
          <w:sz w:val="24"/>
          <w:u w:val="single"/>
        </w:rPr>
        <w:t xml:space="preserve">S.1. </w:t>
      </w:r>
      <w:r>
        <w:rPr>
          <w:noProof/>
        </w:rPr>
        <w:t xml:space="preserve"> </w:t>
      </w:r>
      <w:r>
        <w:rPr>
          <w:rFonts w:ascii="Times New Roman" w:hAnsi="Times New Roman"/>
          <w:b/>
          <w:noProof/>
          <w:sz w:val="24"/>
          <w:u w:val="single"/>
        </w:rPr>
        <w:t>Popis reforem a investic pro nevratnou finanční podporu</w:t>
      </w:r>
    </w:p>
    <w:p w14:paraId="6C58FEA3"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Technická pomoc (opatření ID 16968)</w:t>
      </w:r>
    </w:p>
    <w:p w14:paraId="2D2D9932" w14:textId="77777777" w:rsidR="00515398" w:rsidRDefault="006711E6">
      <w:pPr>
        <w:pStyle w:val="P68B1DB1-Normal4"/>
        <w:spacing w:before="120" w:after="120" w:line="240" w:lineRule="auto"/>
        <w:jc w:val="both"/>
        <w:rPr>
          <w:rFonts w:cs="Times New Roman"/>
          <w:i/>
          <w:noProof/>
          <w:color w:val="4F81BD"/>
        </w:rPr>
      </w:pPr>
      <w:r>
        <w:rPr>
          <w:noProof/>
        </w:rPr>
        <w:t xml:space="preserve">Investice sestává ze šesti dílčích projektů, a to: 1) vývoj systémů a nástrojů pro </w:t>
      </w:r>
      <w:r>
        <w:rPr>
          <w:noProof/>
        </w:rPr>
        <w:t>organizaci práce, 2) nákup služeb od externích auditorů za účelem provádění auditů, inspekcí a certifikace v případech specifických požadovaných odborných znalostí a rozvoj zastřešujícího metodického rámce pro audity, inspekce a certifikace na podporu funk</w:t>
      </w:r>
      <w:r>
        <w:rPr>
          <w:noProof/>
        </w:rPr>
        <w:t>ce dohledu agentury v rámci Nástroje pro oživení a odolnost, pokud jde o provádění opatření plánu, 3) informační a propagační akce týkající se klíčových investic a reforem v rámci plánu, 4) provádění studií a nákup externího odborného poradenství a technic</w:t>
      </w:r>
      <w:r>
        <w:rPr>
          <w:noProof/>
        </w:rPr>
        <w:t>ké podpory ve specializovaných projektech, 5) financování výdajů na každodenní provoz agentury (nájem kanceláře, pořízení kancelářského vybavení, pokrytí účtů za veřejné služby) a 6) nákup služeb kontroly kvality pro veřejné stavební projekty za účelem pos</w:t>
      </w:r>
      <w:r>
        <w:rPr>
          <w:noProof/>
        </w:rPr>
        <w:t xml:space="preserve">ouzení souladu s podmínkami stavebních smluv, předpisy a technickými normami. Dílčí projekt 3 se provádí v souvislosti se zaváděním postupů řádné správy. Příslušná opatření se stanou nedílnou a trvalou součástí postupu veřejné konzultace a použijí se jako </w:t>
      </w:r>
      <w:r>
        <w:rPr>
          <w:noProof/>
        </w:rPr>
        <w:t>nástroj k usnadnění podpory zúčastněných stran a zajištění udržitelného provádění konkrétních reforem a investic v rámci plánu. Financování dílčího projektu 5 je dočasné povahy, tj. je-li to nezbytné k podpoře Agentury pro Nástroj pro oživení a odolnost, a</w:t>
      </w:r>
      <w:r>
        <w:rPr>
          <w:noProof/>
        </w:rPr>
        <w:t xml:space="preserve">by mohla účinně plnit svůj mandát. Opatření se rovněž týká zavedení řídicích, auditních a kontrolních systémů. Investice musí být provedena do 30. června 2026. </w:t>
      </w:r>
    </w:p>
    <w:p w14:paraId="06473FB0" w14:textId="77777777" w:rsidR="00515398" w:rsidRDefault="00515398">
      <w:pPr>
        <w:rPr>
          <w:rFonts w:ascii="Times New Roman" w:hAnsi="Times New Roman"/>
          <w:b/>
          <w:noProof/>
          <w:sz w:val="24"/>
          <w:u w:val="single"/>
        </w:rPr>
        <w:sectPr w:rsidR="00515398" w:rsidSect="00803D41">
          <w:headerReference w:type="even" r:id="rId331"/>
          <w:headerReference w:type="default" r:id="rId332"/>
          <w:footerReference w:type="even" r:id="rId333"/>
          <w:footerReference w:type="default" r:id="rId334"/>
          <w:headerReference w:type="first" r:id="rId335"/>
          <w:footerReference w:type="first" r:id="rId336"/>
          <w:pgSz w:w="11907" w:h="16839"/>
          <w:pgMar w:top="720" w:right="720" w:bottom="720" w:left="720" w:header="709" w:footer="215" w:gutter="0"/>
          <w:cols w:space="720"/>
          <w:docGrid w:linePitch="360"/>
        </w:sectPr>
      </w:pPr>
    </w:p>
    <w:p w14:paraId="495ACEE2" w14:textId="09E8EBC9" w:rsidR="00515398" w:rsidRDefault="006711E6">
      <w:pPr>
        <w:pStyle w:val="P68B1DB1-Normal25"/>
        <w:spacing w:before="120" w:after="120" w:line="240" w:lineRule="auto"/>
        <w:jc w:val="both"/>
        <w:rPr>
          <w:rFonts w:cs="Times New Roman"/>
          <w:bCs/>
          <w:noProof/>
        </w:rPr>
      </w:pPr>
      <w:r>
        <w:rPr>
          <w:noProof/>
        </w:rPr>
        <w:t>S.2. Milníky, cíle, ukazatele a harm</w:t>
      </w:r>
      <w:r>
        <w:rPr>
          <w:noProof/>
        </w:rPr>
        <w:t>onogram monitorování a provádění nevratné finanční podpory</w:t>
      </w:r>
    </w:p>
    <w:p w14:paraId="47997478" w14:textId="77777777" w:rsidR="00515398" w:rsidRDefault="006711E6">
      <w:pPr>
        <w:pStyle w:val="P68B1DB1-Normal6"/>
        <w:keepNext/>
        <w:keepLines/>
        <w:spacing w:before="40" w:after="0" w:line="240" w:lineRule="auto"/>
        <w:jc w:val="both"/>
        <w:outlineLvl w:val="4"/>
        <w:rPr>
          <w:noProof/>
        </w:rPr>
      </w:pPr>
      <w:r>
        <w:rPr>
          <w:noProof/>
        </w:rPr>
        <w:t>Technická pomoc</w:t>
      </w:r>
    </w:p>
    <w:p w14:paraId="6515FF93" w14:textId="77777777" w:rsidR="00515398" w:rsidRDefault="00515398">
      <w:pPr>
        <w:keepNext/>
        <w:keepLines/>
        <w:spacing w:before="40" w:after="0" w:line="240" w:lineRule="auto"/>
        <w:jc w:val="both"/>
        <w:outlineLvl w:val="4"/>
        <w:rPr>
          <w:rFonts w:ascii="Cambria" w:eastAsia="Times New Roman" w:hAnsi="Cambria"/>
          <w:noProof/>
          <w:color w:val="365F91"/>
          <w:sz w:val="24"/>
        </w:rPr>
      </w:pPr>
    </w:p>
    <w:tbl>
      <w:tblPr>
        <w:tblW w:w="15502" w:type="dxa"/>
        <w:tblInd w:w="113" w:type="dxa"/>
        <w:tblLook w:val="04A0" w:firstRow="1" w:lastRow="0" w:firstColumn="1" w:lastColumn="0" w:noHBand="0" w:noVBand="1"/>
      </w:tblPr>
      <w:tblGrid>
        <w:gridCol w:w="1026"/>
        <w:gridCol w:w="1490"/>
        <w:gridCol w:w="967"/>
        <w:gridCol w:w="1755"/>
        <w:gridCol w:w="1633"/>
        <w:gridCol w:w="927"/>
        <w:gridCol w:w="1042"/>
        <w:gridCol w:w="845"/>
        <w:gridCol w:w="984"/>
        <w:gridCol w:w="769"/>
        <w:gridCol w:w="4302"/>
      </w:tblGrid>
      <w:tr w:rsidR="00515398" w14:paraId="02A5F0E7" w14:textId="77777777">
        <w:trPr>
          <w:trHeight w:val="706"/>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FA9E65" w14:textId="77777777" w:rsidR="00515398" w:rsidRDefault="006711E6">
            <w:pPr>
              <w:pStyle w:val="P68B1DB1-Normal7"/>
              <w:spacing w:after="0" w:line="240" w:lineRule="auto"/>
              <w:jc w:val="center"/>
              <w:rPr>
                <w:rFonts w:eastAsia="Times New Roman" w:cs="Times New Roman"/>
                <w:noProof/>
                <w:szCs w:val="18"/>
              </w:rPr>
            </w:pPr>
            <w:r>
              <w:rPr>
                <w:noProof/>
              </w:rPr>
              <w:t>Pořadové číslo</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9B4311" w14:textId="77777777" w:rsidR="00515398" w:rsidRDefault="006711E6">
            <w:pPr>
              <w:pStyle w:val="P68B1DB1-Normal7"/>
              <w:spacing w:after="0" w:line="240" w:lineRule="auto"/>
              <w:jc w:val="center"/>
              <w:rPr>
                <w:rFonts w:eastAsia="Times New Roman" w:cs="Times New Roman"/>
                <w:noProof/>
                <w:szCs w:val="18"/>
              </w:rPr>
            </w:pPr>
            <w:r>
              <w:rPr>
                <w:noProof/>
              </w:rPr>
              <w:t>Související opatření (reforma nebo investice)</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688365" w14:textId="77777777" w:rsidR="00515398" w:rsidRDefault="006711E6">
            <w:pPr>
              <w:pStyle w:val="P68B1DB1-Normal7"/>
              <w:spacing w:after="0" w:line="240" w:lineRule="auto"/>
              <w:jc w:val="center"/>
              <w:rPr>
                <w:rFonts w:eastAsia="Times New Roman" w:cs="Times New Roman"/>
                <w:noProof/>
                <w:szCs w:val="18"/>
              </w:rPr>
            </w:pPr>
            <w:r>
              <w:rPr>
                <w:noProof/>
              </w:rPr>
              <w:t>Milník/cíl</w:t>
            </w:r>
          </w:p>
        </w:tc>
        <w:tc>
          <w:tcPr>
            <w:tcW w:w="1755" w:type="dxa"/>
            <w:vMerge w:val="restart"/>
            <w:tcBorders>
              <w:top w:val="single" w:sz="4" w:space="0" w:color="auto"/>
              <w:left w:val="nil"/>
              <w:bottom w:val="single" w:sz="4" w:space="0" w:color="auto"/>
              <w:right w:val="single" w:sz="4" w:space="0" w:color="auto"/>
            </w:tcBorders>
            <w:shd w:val="clear" w:color="auto" w:fill="BDD7EE"/>
            <w:vAlign w:val="center"/>
            <w:hideMark/>
          </w:tcPr>
          <w:p w14:paraId="6B859793" w14:textId="77777777" w:rsidR="00515398" w:rsidRDefault="006711E6">
            <w:pPr>
              <w:pStyle w:val="P68B1DB1-Normal7"/>
              <w:spacing w:after="0" w:line="240" w:lineRule="auto"/>
              <w:jc w:val="center"/>
              <w:rPr>
                <w:rFonts w:eastAsia="Times New Roman" w:cs="Times New Roman"/>
                <w:noProof/>
                <w:szCs w:val="18"/>
              </w:rPr>
            </w:pPr>
            <w:r>
              <w:rPr>
                <w:noProof/>
              </w:rPr>
              <w:t>Jméno</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14D317" w14:textId="77777777" w:rsidR="00515398" w:rsidRDefault="006711E6">
            <w:pPr>
              <w:pStyle w:val="P68B1DB1-Normal7"/>
              <w:spacing w:after="0" w:line="240" w:lineRule="auto"/>
              <w:jc w:val="center"/>
              <w:rPr>
                <w:rFonts w:eastAsia="Times New Roman" w:cs="Times New Roman"/>
                <w:noProof/>
                <w:szCs w:val="18"/>
              </w:rPr>
            </w:pPr>
            <w:r>
              <w:rPr>
                <w:noProof/>
              </w:rPr>
              <w:t>Kvalitativní ukazatele (pro milníky)</w:t>
            </w:r>
          </w:p>
        </w:tc>
        <w:tc>
          <w:tcPr>
            <w:tcW w:w="2752" w:type="dxa"/>
            <w:gridSpan w:val="3"/>
            <w:tcBorders>
              <w:top w:val="single" w:sz="4" w:space="0" w:color="auto"/>
              <w:left w:val="nil"/>
              <w:bottom w:val="single" w:sz="4" w:space="0" w:color="auto"/>
              <w:right w:val="single" w:sz="4" w:space="0" w:color="auto"/>
            </w:tcBorders>
            <w:shd w:val="clear" w:color="auto" w:fill="BDD7EE"/>
            <w:vAlign w:val="center"/>
            <w:hideMark/>
          </w:tcPr>
          <w:p w14:paraId="5CF320C0" w14:textId="599BFB16" w:rsidR="00515398" w:rsidRDefault="006711E6">
            <w:pPr>
              <w:pStyle w:val="P68B1DB1-Normal7"/>
              <w:spacing w:after="0" w:line="240" w:lineRule="auto"/>
              <w:jc w:val="center"/>
              <w:rPr>
                <w:rFonts w:eastAsia="Times New Roman" w:cs="Times New Roman"/>
                <w:noProof/>
                <w:szCs w:val="18"/>
              </w:rPr>
            </w:pPr>
            <w:r>
              <w:rPr>
                <w:noProof/>
              </w:rPr>
              <w:t>Kvantitativní ukazatele (pro cíle)</w:t>
            </w:r>
          </w:p>
        </w:tc>
        <w:tc>
          <w:tcPr>
            <w:tcW w:w="1614" w:type="dxa"/>
            <w:gridSpan w:val="2"/>
            <w:tcBorders>
              <w:top w:val="single" w:sz="4" w:space="0" w:color="auto"/>
              <w:left w:val="nil"/>
              <w:bottom w:val="single" w:sz="4" w:space="0" w:color="auto"/>
              <w:right w:val="single" w:sz="4" w:space="0" w:color="auto"/>
            </w:tcBorders>
            <w:shd w:val="clear" w:color="auto" w:fill="BDD7EE"/>
            <w:vAlign w:val="center"/>
            <w:hideMark/>
          </w:tcPr>
          <w:p w14:paraId="763C4847" w14:textId="77777777" w:rsidR="00515398" w:rsidRDefault="006711E6">
            <w:pPr>
              <w:pStyle w:val="P68B1DB1-Normal7"/>
              <w:spacing w:after="0" w:line="240" w:lineRule="auto"/>
              <w:jc w:val="center"/>
              <w:rPr>
                <w:rFonts w:eastAsia="Times New Roman" w:cs="Times New Roman"/>
                <w:noProof/>
                <w:szCs w:val="18"/>
              </w:rPr>
            </w:pPr>
            <w:r>
              <w:rPr>
                <w:noProof/>
              </w:rPr>
              <w:t xml:space="preserve">Orientační harmonogram pro dokončení </w:t>
            </w:r>
          </w:p>
        </w:tc>
        <w:tc>
          <w:tcPr>
            <w:tcW w:w="43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ADC688" w14:textId="77777777" w:rsidR="00515398" w:rsidRDefault="006711E6">
            <w:pPr>
              <w:pStyle w:val="P68B1DB1-Normal7"/>
              <w:spacing w:after="0" w:line="240" w:lineRule="auto"/>
              <w:jc w:val="center"/>
              <w:rPr>
                <w:rFonts w:eastAsia="Times New Roman" w:cs="Times New Roman"/>
                <w:noProof/>
                <w:szCs w:val="18"/>
              </w:rPr>
            </w:pPr>
            <w:r>
              <w:rPr>
                <w:noProof/>
              </w:rPr>
              <w:t>Popis každého milníku a cíle</w:t>
            </w:r>
          </w:p>
        </w:tc>
      </w:tr>
      <w:tr w:rsidR="00515398" w14:paraId="49B53957" w14:textId="77777777">
        <w:trPr>
          <w:trHeight w:val="6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331788D1" w14:textId="77777777" w:rsidR="00515398" w:rsidRDefault="00515398">
            <w:pPr>
              <w:spacing w:after="0" w:line="240" w:lineRule="auto"/>
              <w:rPr>
                <w:rFonts w:ascii="Times New Roman" w:eastAsia="Times New Roman" w:hAnsi="Times New Roman" w:cs="Times New Roman"/>
                <w:b/>
                <w:bCs/>
                <w:noProof/>
                <w:sz w:val="18"/>
                <w:szCs w:val="18"/>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8E87B8F" w14:textId="77777777" w:rsidR="00515398" w:rsidRDefault="00515398">
            <w:pPr>
              <w:spacing w:after="0" w:line="240" w:lineRule="auto"/>
              <w:rPr>
                <w:rFonts w:ascii="Times New Roman" w:eastAsia="Times New Roman" w:hAnsi="Times New Roman" w:cs="Times New Roman"/>
                <w:b/>
                <w:bCs/>
                <w:noProof/>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9D8F3A3" w14:textId="77777777" w:rsidR="00515398" w:rsidRDefault="00515398">
            <w:pPr>
              <w:spacing w:after="0" w:line="240" w:lineRule="auto"/>
              <w:rPr>
                <w:rFonts w:ascii="Times New Roman" w:eastAsia="Times New Roman" w:hAnsi="Times New Roman" w:cs="Times New Roman"/>
                <w:b/>
                <w:bCs/>
                <w:noProof/>
                <w:sz w:val="18"/>
                <w:szCs w:val="18"/>
              </w:rPr>
            </w:pPr>
          </w:p>
        </w:tc>
        <w:tc>
          <w:tcPr>
            <w:tcW w:w="1755" w:type="dxa"/>
            <w:vMerge/>
            <w:tcBorders>
              <w:top w:val="single" w:sz="4" w:space="0" w:color="auto"/>
              <w:left w:val="nil"/>
              <w:bottom w:val="single" w:sz="4" w:space="0" w:color="auto"/>
              <w:right w:val="single" w:sz="4" w:space="0" w:color="auto"/>
            </w:tcBorders>
            <w:vAlign w:val="center"/>
            <w:hideMark/>
          </w:tcPr>
          <w:p w14:paraId="1307BA7D" w14:textId="77777777" w:rsidR="00515398" w:rsidRDefault="00515398">
            <w:pPr>
              <w:spacing w:after="0" w:line="240" w:lineRule="auto"/>
              <w:rPr>
                <w:rFonts w:ascii="Times New Roman" w:eastAsia="Times New Roman" w:hAnsi="Times New Roman" w:cs="Times New Roman"/>
                <w:b/>
                <w:bCs/>
                <w:noProof/>
                <w:sz w:val="18"/>
                <w:szCs w:val="18"/>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2A8A1412" w14:textId="77777777" w:rsidR="00515398" w:rsidRDefault="00515398">
            <w:pPr>
              <w:spacing w:after="0" w:line="240" w:lineRule="auto"/>
              <w:rPr>
                <w:rFonts w:ascii="Times New Roman" w:eastAsia="Times New Roman" w:hAnsi="Times New Roman" w:cs="Times New Roman"/>
                <w:b/>
                <w:bCs/>
                <w:noProof/>
                <w:sz w:val="18"/>
                <w:szCs w:val="18"/>
              </w:rPr>
            </w:pPr>
          </w:p>
        </w:tc>
        <w:tc>
          <w:tcPr>
            <w:tcW w:w="865" w:type="dxa"/>
            <w:tcBorders>
              <w:top w:val="single" w:sz="4" w:space="0" w:color="auto"/>
              <w:left w:val="nil"/>
              <w:bottom w:val="single" w:sz="4" w:space="0" w:color="auto"/>
              <w:right w:val="single" w:sz="4" w:space="0" w:color="auto"/>
            </w:tcBorders>
            <w:shd w:val="clear" w:color="auto" w:fill="BDD7EE"/>
            <w:vAlign w:val="center"/>
            <w:hideMark/>
          </w:tcPr>
          <w:p w14:paraId="0E30B508" w14:textId="77777777" w:rsidR="00515398" w:rsidRDefault="006711E6">
            <w:pPr>
              <w:pStyle w:val="P68B1DB1-Normal7"/>
              <w:spacing w:after="0" w:line="240" w:lineRule="auto"/>
              <w:jc w:val="center"/>
              <w:rPr>
                <w:rFonts w:eastAsia="Times New Roman" w:cs="Times New Roman"/>
                <w:noProof/>
                <w:szCs w:val="18"/>
              </w:rPr>
            </w:pPr>
            <w:r>
              <w:rPr>
                <w:noProof/>
              </w:rPr>
              <w:t>Jednotka měření</w:t>
            </w:r>
          </w:p>
        </w:tc>
        <w:tc>
          <w:tcPr>
            <w:tcW w:w="1042" w:type="dxa"/>
            <w:tcBorders>
              <w:top w:val="single" w:sz="4" w:space="0" w:color="auto"/>
              <w:left w:val="nil"/>
              <w:bottom w:val="single" w:sz="4" w:space="0" w:color="auto"/>
              <w:right w:val="single" w:sz="4" w:space="0" w:color="auto"/>
            </w:tcBorders>
            <w:shd w:val="clear" w:color="auto" w:fill="BDD7EE"/>
            <w:vAlign w:val="center"/>
            <w:hideMark/>
          </w:tcPr>
          <w:p w14:paraId="7D9DBA1C" w14:textId="77777777" w:rsidR="00515398" w:rsidRDefault="006711E6">
            <w:pPr>
              <w:pStyle w:val="P68B1DB1-Normal7"/>
              <w:spacing w:after="0" w:line="240" w:lineRule="auto"/>
              <w:jc w:val="center"/>
              <w:rPr>
                <w:rFonts w:eastAsia="Times New Roman" w:cs="Times New Roman"/>
                <w:noProof/>
                <w:szCs w:val="18"/>
              </w:rPr>
            </w:pPr>
            <w:r>
              <w:rPr>
                <w:noProof/>
              </w:rPr>
              <w:t xml:space="preserve">Výchozí stav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14:paraId="26F9CBF2" w14:textId="77777777" w:rsidR="00515398" w:rsidRDefault="006711E6">
            <w:pPr>
              <w:pStyle w:val="P68B1DB1-Normal7"/>
              <w:spacing w:after="0" w:line="240" w:lineRule="auto"/>
              <w:jc w:val="center"/>
              <w:rPr>
                <w:rFonts w:eastAsia="Times New Roman" w:cs="Times New Roman"/>
                <w:noProof/>
                <w:szCs w:val="18"/>
              </w:rPr>
            </w:pPr>
            <w:r>
              <w:rPr>
                <w:noProof/>
              </w:rPr>
              <w:t xml:space="preserve">Cíl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14:paraId="5811BB7C" w14:textId="77777777" w:rsidR="00515398" w:rsidRDefault="006711E6">
            <w:pPr>
              <w:pStyle w:val="P68B1DB1-Normal7"/>
              <w:spacing w:after="0" w:line="240" w:lineRule="auto"/>
              <w:jc w:val="center"/>
              <w:rPr>
                <w:rFonts w:eastAsia="Times New Roman" w:cs="Times New Roman"/>
                <w:noProof/>
                <w:szCs w:val="18"/>
              </w:rPr>
            </w:pPr>
            <w:r>
              <w:rPr>
                <w:noProof/>
              </w:rPr>
              <w:t>Čtvrtina</w:t>
            </w:r>
          </w:p>
        </w:tc>
        <w:tc>
          <w:tcPr>
            <w:tcW w:w="769" w:type="dxa"/>
            <w:tcBorders>
              <w:top w:val="single" w:sz="4" w:space="0" w:color="auto"/>
              <w:left w:val="nil"/>
              <w:bottom w:val="single" w:sz="4" w:space="0" w:color="auto"/>
              <w:right w:val="single" w:sz="4" w:space="0" w:color="auto"/>
            </w:tcBorders>
            <w:shd w:val="clear" w:color="auto" w:fill="BDD7EE"/>
            <w:vAlign w:val="center"/>
            <w:hideMark/>
          </w:tcPr>
          <w:p w14:paraId="3B526335" w14:textId="77777777" w:rsidR="00515398" w:rsidRDefault="006711E6">
            <w:pPr>
              <w:pStyle w:val="P68B1DB1-Normal7"/>
              <w:spacing w:after="0" w:line="240" w:lineRule="auto"/>
              <w:jc w:val="center"/>
              <w:rPr>
                <w:rFonts w:eastAsia="Times New Roman" w:cs="Times New Roman"/>
                <w:noProof/>
                <w:szCs w:val="18"/>
              </w:rPr>
            </w:pPr>
            <w:r>
              <w:rPr>
                <w:noProof/>
              </w:rPr>
              <w:t>Rok</w:t>
            </w:r>
          </w:p>
        </w:tc>
        <w:tc>
          <w:tcPr>
            <w:tcW w:w="4302" w:type="dxa"/>
            <w:vMerge/>
            <w:tcBorders>
              <w:top w:val="single" w:sz="4" w:space="0" w:color="auto"/>
              <w:left w:val="single" w:sz="4" w:space="0" w:color="auto"/>
              <w:bottom w:val="single" w:sz="4" w:space="0" w:color="auto"/>
              <w:right w:val="single" w:sz="4" w:space="0" w:color="auto"/>
            </w:tcBorders>
            <w:vAlign w:val="center"/>
            <w:hideMark/>
          </w:tcPr>
          <w:p w14:paraId="62B4B5F4"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6C7D0A15" w14:textId="77777777">
        <w:trPr>
          <w:trHeight w:val="309"/>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14:paraId="4865A76E" w14:textId="77777777" w:rsidR="00515398" w:rsidRDefault="006711E6">
            <w:pPr>
              <w:pStyle w:val="P68B1DB1-Normal9"/>
              <w:spacing w:after="0" w:line="240" w:lineRule="auto"/>
              <w:rPr>
                <w:rFonts w:eastAsia="Times New Roman" w:cs="Calibri"/>
                <w:noProof/>
                <w:szCs w:val="18"/>
              </w:rPr>
            </w:pPr>
            <w:r>
              <w:rPr>
                <w:noProof/>
              </w:rPr>
              <w:t>331</w:t>
            </w:r>
          </w:p>
        </w:tc>
        <w:tc>
          <w:tcPr>
            <w:tcW w:w="1455" w:type="dxa"/>
            <w:tcBorders>
              <w:top w:val="single" w:sz="4" w:space="0" w:color="auto"/>
              <w:left w:val="nil"/>
              <w:bottom w:val="single" w:sz="4" w:space="0" w:color="auto"/>
              <w:right w:val="single" w:sz="4" w:space="0" w:color="auto"/>
            </w:tcBorders>
            <w:shd w:val="clear" w:color="auto" w:fill="C6EFCE"/>
            <w:noWrap/>
          </w:tcPr>
          <w:p w14:paraId="7ED50538" w14:textId="77777777" w:rsidR="00515398" w:rsidRDefault="006711E6">
            <w:pPr>
              <w:pStyle w:val="P68B1DB1-Normal9"/>
              <w:spacing w:after="0" w:line="240" w:lineRule="auto"/>
              <w:rPr>
                <w:rFonts w:eastAsia="Times New Roman"/>
                <w:noProof/>
                <w:szCs w:val="18"/>
              </w:rPr>
            </w:pPr>
            <w:r>
              <w:rPr>
                <w:noProof/>
              </w:rPr>
              <w:t>19–16968_Technická pomoc</w:t>
            </w:r>
          </w:p>
        </w:tc>
        <w:tc>
          <w:tcPr>
            <w:tcW w:w="965" w:type="dxa"/>
            <w:tcBorders>
              <w:top w:val="single" w:sz="4" w:space="0" w:color="auto"/>
              <w:left w:val="nil"/>
              <w:bottom w:val="single" w:sz="4" w:space="0" w:color="auto"/>
              <w:right w:val="single" w:sz="4" w:space="0" w:color="auto"/>
            </w:tcBorders>
            <w:shd w:val="clear" w:color="auto" w:fill="C6EFCE"/>
            <w:noWrap/>
          </w:tcPr>
          <w:p w14:paraId="4D362284" w14:textId="77777777" w:rsidR="00515398" w:rsidRDefault="006711E6">
            <w:pPr>
              <w:pStyle w:val="P68B1DB1-Normal9"/>
              <w:spacing w:after="0" w:line="240" w:lineRule="auto"/>
              <w:rPr>
                <w:rFonts w:eastAsia="Times New Roman"/>
                <w:noProof/>
                <w:szCs w:val="18"/>
              </w:rPr>
            </w:pPr>
            <w:r>
              <w:rPr>
                <w:noProof/>
              </w:rPr>
              <w:t>Milník</w:t>
            </w:r>
          </w:p>
        </w:tc>
        <w:tc>
          <w:tcPr>
            <w:tcW w:w="1755" w:type="dxa"/>
            <w:tcBorders>
              <w:top w:val="single" w:sz="4" w:space="0" w:color="auto"/>
              <w:left w:val="nil"/>
              <w:bottom w:val="single" w:sz="4" w:space="0" w:color="auto"/>
              <w:right w:val="single" w:sz="4" w:space="0" w:color="auto"/>
            </w:tcBorders>
            <w:shd w:val="clear" w:color="auto" w:fill="C6EFCE"/>
            <w:noWrap/>
          </w:tcPr>
          <w:p w14:paraId="30D6EE75" w14:textId="77777777" w:rsidR="00515398" w:rsidRDefault="006711E6">
            <w:pPr>
              <w:pStyle w:val="P68B1DB1-Normal9"/>
              <w:spacing w:after="0" w:line="240" w:lineRule="auto"/>
              <w:rPr>
                <w:rFonts w:eastAsia="Times New Roman"/>
                <w:noProof/>
                <w:szCs w:val="18"/>
              </w:rPr>
            </w:pPr>
            <w:r>
              <w:rPr>
                <w:noProof/>
              </w:rPr>
              <w:t xml:space="preserve">Právní mandát EDEL a zřízení systémů řízení, kontroly a auditu </w:t>
            </w:r>
          </w:p>
        </w:tc>
        <w:tc>
          <w:tcPr>
            <w:tcW w:w="1633" w:type="dxa"/>
            <w:tcBorders>
              <w:top w:val="single" w:sz="4" w:space="0" w:color="auto"/>
              <w:left w:val="nil"/>
              <w:bottom w:val="single" w:sz="4" w:space="0" w:color="auto"/>
              <w:right w:val="single" w:sz="4" w:space="0" w:color="auto"/>
            </w:tcBorders>
            <w:shd w:val="clear" w:color="auto" w:fill="C6EFCE"/>
            <w:noWrap/>
          </w:tcPr>
          <w:p w14:paraId="4086C370" w14:textId="77777777" w:rsidR="00515398" w:rsidRDefault="006711E6">
            <w:pPr>
              <w:pStyle w:val="P68B1DB1-Normal9"/>
              <w:spacing w:after="0" w:line="240" w:lineRule="auto"/>
              <w:rPr>
                <w:rFonts w:eastAsia="Times New Roman"/>
                <w:noProof/>
                <w:szCs w:val="18"/>
              </w:rPr>
            </w:pPr>
            <w:r>
              <w:rPr>
                <w:noProof/>
              </w:rPr>
              <w:t xml:space="preserve">Platný právní mandát EDEL a zavedené systémy řízení, kontroly a auditu </w:t>
            </w:r>
          </w:p>
        </w:tc>
        <w:tc>
          <w:tcPr>
            <w:tcW w:w="865" w:type="dxa"/>
            <w:tcBorders>
              <w:top w:val="single" w:sz="4" w:space="0" w:color="auto"/>
              <w:left w:val="nil"/>
              <w:bottom w:val="single" w:sz="4" w:space="0" w:color="auto"/>
              <w:right w:val="single" w:sz="4" w:space="0" w:color="auto"/>
            </w:tcBorders>
            <w:shd w:val="clear" w:color="auto" w:fill="C6EFCE"/>
            <w:noWrap/>
          </w:tcPr>
          <w:p w14:paraId="0D047DBA" w14:textId="77777777" w:rsidR="00515398" w:rsidRDefault="00515398">
            <w:pPr>
              <w:spacing w:after="0" w:line="240" w:lineRule="auto"/>
              <w:rPr>
                <w:rFonts w:eastAsia="Times New Roman" w:cs="Calibri"/>
                <w:noProof/>
                <w:color w:val="006100"/>
                <w:sz w:val="18"/>
                <w:szCs w:val="18"/>
              </w:rPr>
            </w:pPr>
          </w:p>
        </w:tc>
        <w:tc>
          <w:tcPr>
            <w:tcW w:w="1042" w:type="dxa"/>
            <w:tcBorders>
              <w:top w:val="single" w:sz="4" w:space="0" w:color="auto"/>
              <w:left w:val="nil"/>
              <w:bottom w:val="single" w:sz="4" w:space="0" w:color="auto"/>
              <w:right w:val="single" w:sz="4" w:space="0" w:color="auto"/>
            </w:tcBorders>
            <w:shd w:val="clear" w:color="auto" w:fill="C6EFCE"/>
            <w:noWrap/>
          </w:tcPr>
          <w:p w14:paraId="0057FA7A" w14:textId="77777777" w:rsidR="00515398" w:rsidRDefault="00515398">
            <w:pPr>
              <w:spacing w:after="0" w:line="240" w:lineRule="auto"/>
              <w:rPr>
                <w:rFonts w:eastAsia="Times New Roman" w:cs="Calibri"/>
                <w:noProof/>
                <w:color w:val="006100"/>
                <w:sz w:val="18"/>
                <w:szCs w:val="18"/>
              </w:rPr>
            </w:pPr>
          </w:p>
        </w:tc>
        <w:tc>
          <w:tcPr>
            <w:tcW w:w="845" w:type="dxa"/>
            <w:tcBorders>
              <w:top w:val="single" w:sz="4" w:space="0" w:color="auto"/>
              <w:left w:val="nil"/>
              <w:bottom w:val="single" w:sz="4" w:space="0" w:color="auto"/>
              <w:right w:val="single" w:sz="4" w:space="0" w:color="auto"/>
            </w:tcBorders>
            <w:shd w:val="clear" w:color="auto" w:fill="C6EFCE"/>
            <w:noWrap/>
          </w:tcPr>
          <w:p w14:paraId="4A30CCBF" w14:textId="77777777" w:rsidR="00515398" w:rsidRDefault="00515398">
            <w:pPr>
              <w:spacing w:after="0" w:line="240" w:lineRule="auto"/>
              <w:rPr>
                <w:rFonts w:eastAsia="Times New Roman" w:cs="Calibri"/>
                <w:noProof/>
                <w:color w:val="006100"/>
                <w:sz w:val="18"/>
                <w:szCs w:val="18"/>
              </w:rPr>
            </w:pPr>
          </w:p>
        </w:tc>
        <w:tc>
          <w:tcPr>
            <w:tcW w:w="845" w:type="dxa"/>
            <w:tcBorders>
              <w:top w:val="single" w:sz="4" w:space="0" w:color="auto"/>
              <w:left w:val="nil"/>
              <w:bottom w:val="single" w:sz="4" w:space="0" w:color="auto"/>
              <w:right w:val="single" w:sz="4" w:space="0" w:color="auto"/>
            </w:tcBorders>
            <w:shd w:val="clear" w:color="auto" w:fill="C6EFCE"/>
            <w:noWrap/>
          </w:tcPr>
          <w:p w14:paraId="4D2B9E98" w14:textId="77777777" w:rsidR="00515398" w:rsidRDefault="006711E6">
            <w:pPr>
              <w:pStyle w:val="P68B1DB1-Normal9"/>
              <w:spacing w:after="0" w:line="240" w:lineRule="auto"/>
              <w:rPr>
                <w:rFonts w:eastAsia="Times New Roman"/>
                <w:noProof/>
                <w:szCs w:val="18"/>
              </w:rPr>
            </w:pPr>
            <w:r>
              <w:rPr>
                <w:noProof/>
              </w:rPr>
              <w:t>ČTVRTLETÍ 3</w:t>
            </w:r>
          </w:p>
        </w:tc>
        <w:tc>
          <w:tcPr>
            <w:tcW w:w="769" w:type="dxa"/>
            <w:tcBorders>
              <w:top w:val="single" w:sz="4" w:space="0" w:color="auto"/>
              <w:left w:val="nil"/>
              <w:bottom w:val="single" w:sz="4" w:space="0" w:color="auto"/>
              <w:right w:val="single" w:sz="4" w:space="0" w:color="auto"/>
            </w:tcBorders>
            <w:shd w:val="clear" w:color="auto" w:fill="C6EFCE"/>
            <w:noWrap/>
          </w:tcPr>
          <w:p w14:paraId="1D7001F7" w14:textId="77777777" w:rsidR="00515398" w:rsidRDefault="006711E6">
            <w:pPr>
              <w:pStyle w:val="P68B1DB1-Normal9"/>
              <w:spacing w:after="0" w:line="240" w:lineRule="auto"/>
              <w:rPr>
                <w:rFonts w:eastAsia="Times New Roman"/>
                <w:noProof/>
                <w:szCs w:val="18"/>
              </w:rPr>
            </w:pPr>
            <w:r>
              <w:rPr>
                <w:noProof/>
              </w:rPr>
              <w:t>2021</w:t>
            </w:r>
          </w:p>
        </w:tc>
        <w:tc>
          <w:tcPr>
            <w:tcW w:w="4302" w:type="dxa"/>
            <w:tcBorders>
              <w:top w:val="single" w:sz="4" w:space="0" w:color="auto"/>
              <w:left w:val="nil"/>
              <w:bottom w:val="single" w:sz="4" w:space="0" w:color="auto"/>
              <w:right w:val="single" w:sz="4" w:space="0" w:color="auto"/>
            </w:tcBorders>
            <w:shd w:val="clear" w:color="auto" w:fill="C6EFCE"/>
            <w:noWrap/>
          </w:tcPr>
          <w:p w14:paraId="6D0824EA" w14:textId="77777777" w:rsidR="00515398" w:rsidRDefault="006711E6">
            <w:pPr>
              <w:pStyle w:val="P68B1DB1-Normal9"/>
              <w:spacing w:after="0" w:line="240" w:lineRule="auto"/>
              <w:rPr>
                <w:rFonts w:eastAsia="Times New Roman" w:cs="Calibri"/>
                <w:noProof/>
                <w:szCs w:val="18"/>
              </w:rPr>
            </w:pPr>
            <w:r>
              <w:rPr>
                <w:noProof/>
              </w:rPr>
              <w:t>Vstup v platnost právního mandátu EDEL a zřízení auditního a kontro</w:t>
            </w:r>
            <w:r>
              <w:rPr>
                <w:noProof/>
              </w:rPr>
              <w:t>lního systému, který a) zajistí shromažďování údajů a sledování plnění milníků a cílů; b) umožnit přípravu prohlášení řídícího subjektu a shrnutí auditu, jakož i žádostí o platbu a c) stanovit nezbytné postupy pro shromažďování a uchovávání údajů o příjemc</w:t>
            </w:r>
            <w:r>
              <w:rPr>
                <w:noProof/>
              </w:rPr>
              <w:t>ích, dodavatelích, subdodavatelích a skutečných majitelích v souladu s článkem 22 nařízení (EU) 2021/241 před podáním první žádosti o platbu. O zavedeném systému se vypracuje zvláštní zpráva o auditu. V případě, že zpráva odhalí případné nedostatky, zpráva</w:t>
            </w:r>
            <w:r>
              <w:rPr>
                <w:noProof/>
              </w:rPr>
              <w:t xml:space="preserve"> o auditu doporučí nápravná opatření.</w:t>
            </w:r>
          </w:p>
        </w:tc>
      </w:tr>
    </w:tbl>
    <w:p w14:paraId="13F8C92F" w14:textId="77777777" w:rsidR="00515398" w:rsidRDefault="00515398">
      <w:pPr>
        <w:spacing w:before="120" w:after="120" w:line="240" w:lineRule="auto"/>
        <w:ind w:left="709"/>
        <w:jc w:val="both"/>
        <w:rPr>
          <w:rFonts w:ascii="Times New Roman" w:hAnsi="Times New Roman" w:cs="Times New Roman"/>
          <w:noProof/>
          <w:sz w:val="24"/>
          <w:szCs w:val="24"/>
        </w:rPr>
      </w:pPr>
    </w:p>
    <w:p w14:paraId="33CD4E67" w14:textId="77777777" w:rsidR="00515398" w:rsidRDefault="00515398">
      <w:pPr>
        <w:spacing w:before="120" w:after="120" w:line="240" w:lineRule="auto"/>
        <w:jc w:val="both"/>
        <w:rPr>
          <w:rFonts w:ascii="Times New Roman" w:hAnsi="Times New Roman" w:cs="Times New Roman"/>
          <w:noProof/>
          <w:sz w:val="24"/>
        </w:rPr>
        <w:sectPr w:rsidR="00515398" w:rsidSect="00271D33">
          <w:headerReference w:type="default" r:id="rId337"/>
          <w:footerReference w:type="default" r:id="rId338"/>
          <w:pgSz w:w="16839" w:h="11907" w:orient="landscape"/>
          <w:pgMar w:top="720" w:right="720" w:bottom="720" w:left="720" w:header="709" w:footer="217" w:gutter="0"/>
          <w:cols w:space="720"/>
          <w:docGrid w:linePitch="360"/>
        </w:sectPr>
      </w:pPr>
    </w:p>
    <w:p w14:paraId="16CDA63B" w14:textId="22EE001C" w:rsidR="00515398" w:rsidRDefault="006711E6">
      <w:pPr>
        <w:pStyle w:val="P68B1DB1-Normal4"/>
        <w:keepNext/>
        <w:spacing w:before="40" w:after="0" w:line="259" w:lineRule="auto"/>
        <w:jc w:val="both"/>
        <w:outlineLvl w:val="1"/>
        <w:rPr>
          <w:noProof/>
        </w:rPr>
      </w:pPr>
      <w:r>
        <w:rPr>
          <w:noProof/>
        </w:rPr>
        <w:t xml:space="preserve"> </w:t>
      </w:r>
    </w:p>
    <w:p w14:paraId="6A6EE32C" w14:textId="77777777" w:rsidR="00515398" w:rsidRDefault="006711E6">
      <w:pPr>
        <w:pStyle w:val="Heading4"/>
        <w:ind w:left="0" w:firstLine="0"/>
        <w:rPr>
          <w:noProof/>
        </w:rPr>
      </w:pPr>
      <w:r>
        <w:rPr>
          <w:noProof/>
        </w:rPr>
        <w:t>ODDÍL 2: REFORMY A INVESTICE V RÁMCI KAPITOLY REPOWEREU</w:t>
      </w:r>
    </w:p>
    <w:p w14:paraId="3B0E0299" w14:textId="77777777" w:rsidR="00515398" w:rsidRDefault="006711E6">
      <w:pPr>
        <w:pStyle w:val="P68B1DB1-Normal4"/>
        <w:spacing w:before="120" w:after="120" w:line="240" w:lineRule="auto"/>
        <w:jc w:val="both"/>
        <w:rPr>
          <w:rFonts w:cs="Times New Roman"/>
          <w:noProof/>
          <w:szCs w:val="24"/>
        </w:rPr>
      </w:pPr>
      <w:r>
        <w:rPr>
          <w:noProof/>
        </w:rPr>
        <w:t>Cílem kapitoly REPowerEU je podpořit ambice Řecka, pokud jde o energetickou nezávislost a ekologickou</w:t>
      </w:r>
      <w:r>
        <w:rPr>
          <w:noProof/>
        </w:rPr>
        <w:t xml:space="preserve"> transformaci v souvislosti s novou geopolitickou situací a situací na trhu s energií. Cílem reforem a investic v rámci plánu REPowerEU je posílit energetickou suverenitu Řecka a urychlit dekarbonizaci jeho hospodářství. </w:t>
      </w:r>
    </w:p>
    <w:p w14:paraId="23868BD7" w14:textId="77777777" w:rsidR="00515398" w:rsidRDefault="006711E6">
      <w:pPr>
        <w:pStyle w:val="P68B1DB1-Normal4"/>
        <w:spacing w:before="120" w:after="120" w:line="240" w:lineRule="auto"/>
        <w:jc w:val="both"/>
        <w:rPr>
          <w:rFonts w:eastAsia="Times New Roman" w:cs="Times New Roman"/>
          <w:noProof/>
          <w:color w:val="000000" w:themeColor="text1"/>
          <w:szCs w:val="24"/>
        </w:rPr>
      </w:pPr>
      <w:r>
        <w:rPr>
          <w:noProof/>
        </w:rPr>
        <w:t>Všechny investice v kapitole REPow</w:t>
      </w:r>
      <w:r>
        <w:rPr>
          <w:noProof/>
        </w:rPr>
        <w:t xml:space="preserve">erEU mají přeshraniční rozměr, který zahrnuje investice do skladování energie, dekarbonizace průmyslu a energetické účinnosti. </w:t>
      </w:r>
      <w:r>
        <w:rPr>
          <w:noProof/>
          <w:color w:val="000000" w:themeColor="text1"/>
        </w:rPr>
        <w:t xml:space="preserve">Kapitola REPowerEU zavádí nová opatření přispívající ke snížení závislosti na fosilních palivech podle doporučení pro jednotlivé </w:t>
      </w:r>
      <w:r>
        <w:rPr>
          <w:noProof/>
          <w:color w:val="000000" w:themeColor="text1"/>
        </w:rPr>
        <w:t>země přijatých v letech 2023 a 2023 (doporučení č. 4 2023 a doporučení č. 4 2022).</w:t>
      </w:r>
    </w:p>
    <w:p w14:paraId="7BAF6BED" w14:textId="77777777" w:rsidR="00515398" w:rsidRDefault="006711E6">
      <w:pPr>
        <w:pStyle w:val="P68B1DB1-Normal32"/>
        <w:spacing w:before="120" w:after="120" w:line="240" w:lineRule="auto"/>
        <w:jc w:val="both"/>
        <w:rPr>
          <w:rFonts w:eastAsia="Times New Roman" w:cs="Times New Roman"/>
          <w:noProof/>
          <w:szCs w:val="24"/>
        </w:rPr>
      </w:pPr>
      <w:r>
        <w:rPr>
          <w:noProof/>
        </w:rPr>
        <w:t>Cílem nových reformních opatření je dále rozšířit zavádění energie z obnovitelných zdrojů dokončením právního rámce pro větrné elektrárny na moři, usnadněním investic do skl</w:t>
      </w:r>
      <w:r>
        <w:rPr>
          <w:noProof/>
        </w:rPr>
        <w:t>adování energie, inteligentní sítě a zavedením nových legislativních rámců pro výrobu vodíku z obnovitelných zdrojů a biomethanu. Cílem nové reformy je podpořit sdílení energie a decentralizované formy výroby energie z obnovitelných zdrojů (jako je vlastní</w:t>
      </w:r>
      <w:r>
        <w:rPr>
          <w:noProof/>
        </w:rPr>
        <w:t xml:space="preserve"> spotřeba a energetická společenství). Nová investiční opatření podporují zvýšení skladovací kapacity a decentralizovanou výrobu energie z obnovitelných zdrojů. Dále je přidělena dodatečná podpora na zlepšení energetické účinnosti domácností, včetně cílené</w:t>
      </w:r>
      <w:r>
        <w:rPr>
          <w:noProof/>
        </w:rPr>
        <w:t xml:space="preserve"> podpory pro domácnosti trpící energetickou chudobou, a soukromého sektoru.</w:t>
      </w:r>
    </w:p>
    <w:p w14:paraId="13CC657A" w14:textId="77777777" w:rsidR="00515398" w:rsidRDefault="006711E6">
      <w:pPr>
        <w:pStyle w:val="P68B1DB1-Normal4"/>
        <w:spacing w:before="120" w:after="120" w:line="240" w:lineRule="auto"/>
        <w:jc w:val="both"/>
        <w:rPr>
          <w:rFonts w:eastAsia="Times New Roman" w:cs="Times New Roman"/>
          <w:noProof/>
          <w:szCs w:val="24"/>
        </w:rPr>
      </w:pPr>
      <w:r>
        <w:rPr>
          <w:noProof/>
        </w:rPr>
        <w:t>Očekává se, že žádné opatření v rámci kapitoly REPowerEU významně nepoškozuje environmentální cíle ve smyslu článku 17 nařízení (EU) 2020/852, s přihlédnutím k popisu opatření a zm</w:t>
      </w:r>
      <w:r>
        <w:rPr>
          <w:noProof/>
        </w:rPr>
        <w:t>írňujícím krokům stanoveným v plánu pro oživení a odolnost v souladu s technickými pokyny k zásadě „významně nepoškozovat“ (2021/C58/01).</w:t>
      </w:r>
    </w:p>
    <w:p w14:paraId="235DAEE5" w14:textId="77777777" w:rsidR="00515398" w:rsidRDefault="00515398">
      <w:pPr>
        <w:spacing w:after="0" w:line="240" w:lineRule="auto"/>
        <w:ind w:firstLine="6"/>
        <w:jc w:val="both"/>
        <w:outlineLvl w:val="3"/>
        <w:rPr>
          <w:rFonts w:ascii="Times New Roman" w:hAnsi="Times New Roman" w:cs="Times New Roman"/>
          <w:b/>
          <w:bCs/>
          <w:noProof/>
          <w:sz w:val="24"/>
        </w:rPr>
      </w:pPr>
    </w:p>
    <w:p w14:paraId="5C0B5C29" w14:textId="77777777" w:rsidR="00515398" w:rsidRDefault="006711E6">
      <w:pPr>
        <w:pStyle w:val="P68B1DB1-Normal2"/>
        <w:spacing w:before="120" w:after="120" w:line="240" w:lineRule="auto"/>
        <w:ind w:firstLine="6"/>
        <w:jc w:val="both"/>
        <w:outlineLvl w:val="3"/>
        <w:rPr>
          <w:rFonts w:cs="Times New Roman"/>
          <w:noProof/>
          <w:szCs w:val="24"/>
        </w:rPr>
      </w:pPr>
      <w:r>
        <w:rPr>
          <w:noProof/>
        </w:rPr>
        <w:t>T. SLOŽKA 5.1: REPowerEU REFORMS</w:t>
      </w:r>
    </w:p>
    <w:p w14:paraId="3ADB69FC" w14:textId="77777777" w:rsidR="00515398" w:rsidRDefault="006711E6">
      <w:pPr>
        <w:spacing w:before="120" w:after="120" w:line="240" w:lineRule="auto"/>
        <w:jc w:val="both"/>
        <w:rPr>
          <w:rFonts w:ascii="Times New Roman" w:hAnsi="Times New Roman" w:cs="Times New Roman"/>
          <w:b/>
          <w:bCs/>
          <w:noProof/>
          <w:sz w:val="24"/>
          <w:u w:val="single"/>
        </w:rPr>
      </w:pPr>
      <w:r>
        <w:rPr>
          <w:rFonts w:ascii="Times New Roman" w:hAnsi="Times New Roman"/>
          <w:b/>
          <w:noProof/>
          <w:sz w:val="24"/>
          <w:u w:val="single"/>
        </w:rPr>
        <w:t xml:space="preserve">T.1. </w:t>
      </w:r>
      <w:r>
        <w:rPr>
          <w:noProof/>
        </w:rPr>
        <w:t xml:space="preserve"> </w:t>
      </w:r>
      <w:r>
        <w:rPr>
          <w:rFonts w:ascii="Times New Roman" w:hAnsi="Times New Roman"/>
          <w:b/>
          <w:noProof/>
          <w:sz w:val="24"/>
          <w:u w:val="single"/>
        </w:rPr>
        <w:t>Popis reforem a investic pro nevratnou finanční podporu</w:t>
      </w:r>
    </w:p>
    <w:p w14:paraId="0E7DC144" w14:textId="77777777" w:rsidR="00515398" w:rsidRDefault="006711E6">
      <w:pPr>
        <w:pStyle w:val="P68B1DB1-Normal4"/>
        <w:spacing w:before="120" w:after="120" w:line="240" w:lineRule="auto"/>
        <w:jc w:val="both"/>
        <w:rPr>
          <w:rFonts w:cs="Times New Roman"/>
          <w:noProof/>
          <w:szCs w:val="24"/>
        </w:rPr>
      </w:pPr>
      <w:r>
        <w:rPr>
          <w:noProof/>
        </w:rPr>
        <w:t>Kapitola obsahuje soub</w:t>
      </w:r>
      <w:r>
        <w:rPr>
          <w:noProof/>
        </w:rPr>
        <w:t xml:space="preserve">or reforem na podporu dekarbonizace, energie z obnovitelných zdrojů a plynů z obnovitelných zdrojů, včetně: 1) reformu týkající se zavedení legislativního rámce, který umožní a usnadní výrobu, skladování, přepravu a využívání vodíku z obnovitelných zdrojů </w:t>
      </w:r>
      <w:r>
        <w:rPr>
          <w:noProof/>
        </w:rPr>
        <w:t>a biometanu, 2) reformu týkající se vytvoření regulačního a tržního rámce pro technologie zachycování, využívání a ukládání uhlíku s cílem podpořit dekarbonizaci průmyslu v Řecku, 3) reformu týkající se optimalizace využívání pevninského a mořského prostor</w:t>
      </w:r>
      <w:r>
        <w:rPr>
          <w:noProof/>
        </w:rPr>
        <w:t>u pro rozvoj energie z obnovitelných zdrojů, jakož i další pokrok v legislativním rámci pro instalaci větrných elektráren na moři, 4) reformu s cílem zvýšit kapacitu sítě a skladovací kapacity řešením stability a úzkých míst sítě, 5) reformu regulačního rá</w:t>
      </w:r>
      <w:r>
        <w:rPr>
          <w:noProof/>
        </w:rPr>
        <w:t>mce pro inteligentní sítě s cílem urychlit zavádění inteligentních a digitálních technologií v distribuční síti a podpořit reakci na straně poptávky pro konečného spotřebitele, 6) reformu zaměřenou na podporu sdílení energie, a tím podpořit využívání obnov</w:t>
      </w:r>
      <w:r>
        <w:rPr>
          <w:noProof/>
        </w:rPr>
        <w:t>itelných zdrojů tím, že umožní decentralizovanou výrobu a sdílení mezi několika malými systémy obnovitelné energie, a 7) reformu zavádějící plán inovativních zásahů v oblasti energetické účinnosti, včetně určení a spuštění nových finančních nástrojů, které</w:t>
      </w:r>
      <w:r>
        <w:rPr>
          <w:noProof/>
        </w:rPr>
        <w:t xml:space="preserve"> nejsou založeny na grantech.</w:t>
      </w:r>
    </w:p>
    <w:p w14:paraId="4DCE73B9" w14:textId="77777777" w:rsidR="00515398" w:rsidRDefault="00515398">
      <w:pPr>
        <w:spacing w:before="120" w:after="120" w:line="240" w:lineRule="auto"/>
        <w:jc w:val="both"/>
        <w:rPr>
          <w:rFonts w:ascii="Times New Roman" w:hAnsi="Times New Roman"/>
          <w:b/>
          <w:noProof/>
          <w:sz w:val="24"/>
        </w:rPr>
        <w:sectPr w:rsidR="00515398" w:rsidSect="00271D33">
          <w:headerReference w:type="even" r:id="rId339"/>
          <w:headerReference w:type="default" r:id="rId340"/>
          <w:footerReference w:type="even" r:id="rId341"/>
          <w:footerReference w:type="default" r:id="rId342"/>
          <w:headerReference w:type="first" r:id="rId343"/>
          <w:footerReference w:type="first" r:id="rId344"/>
          <w:pgSz w:w="11907" w:h="16839"/>
          <w:pgMar w:top="1134" w:right="1417" w:bottom="1134" w:left="1417" w:header="709" w:footer="327" w:gutter="0"/>
          <w:cols w:space="720"/>
          <w:docGrid w:linePitch="360"/>
        </w:sectPr>
      </w:pPr>
    </w:p>
    <w:p w14:paraId="043A4D50" w14:textId="77777777" w:rsidR="00515398" w:rsidRDefault="006711E6">
      <w:pPr>
        <w:pStyle w:val="P68B1DB1-Normal4"/>
        <w:spacing w:before="120" w:after="120" w:line="240" w:lineRule="auto"/>
        <w:jc w:val="both"/>
        <w:rPr>
          <w:rFonts w:cs="Times New Roman"/>
          <w:noProof/>
          <w:szCs w:val="24"/>
        </w:rPr>
      </w:pPr>
      <w:r>
        <w:rPr>
          <w:b/>
          <w:noProof/>
        </w:rPr>
        <w:t xml:space="preserve">Reforma: </w:t>
      </w:r>
      <w:r>
        <w:rPr>
          <w:noProof/>
        </w:rPr>
        <w:t>Licenční rámec pro vodík z obnovitelných zdrojů a udržitelný biometan (ID opatření: 16987)</w:t>
      </w:r>
    </w:p>
    <w:p w14:paraId="4BB4A604" w14:textId="77777777" w:rsidR="00515398" w:rsidRDefault="006711E6">
      <w:pPr>
        <w:pStyle w:val="P68B1DB1-Normal4"/>
        <w:spacing w:before="120" w:after="120" w:line="240" w:lineRule="auto"/>
        <w:jc w:val="both"/>
        <w:rPr>
          <w:rFonts w:cs="Times New Roman"/>
          <w:noProof/>
          <w:szCs w:val="24"/>
        </w:rPr>
      </w:pPr>
      <w:r>
        <w:rPr>
          <w:noProof/>
        </w:rPr>
        <w:t xml:space="preserve">Cílem reformy je zavést požadované právní předpisy pro účinné </w:t>
      </w:r>
      <w:r>
        <w:rPr>
          <w:noProof/>
        </w:rPr>
        <w:t>zavádění vodíku z obnovitelných zdrojů a udržitelného biometanu v Řecku odstraněním potenciálních překážek a zavedením postupů pro rozvoj odvětví plynů z obnovitelných zdrojů a trhů s nimi. Reforma předpokládá přijetí legislativního rámce zaměřeného na pod</w:t>
      </w:r>
      <w:r>
        <w:rPr>
          <w:noProof/>
        </w:rPr>
        <w:t>poru výroby a spotřeby vodíku z obnovitelných zdrojů a udržitelného biometanu. To zahrnuje specifikaci licenčních a povolovacích postupů, včetně ustanovení o územním plánování, definici technických specifikací pro přenos, skladování a vtláčení do sítě, vyj</w:t>
      </w:r>
      <w:r>
        <w:rPr>
          <w:noProof/>
        </w:rPr>
        <w:t>asnění úlohy různých zúčastněných stran, včetně zúčastněných veřejných orgánů, a zároveň zajištění mechanismu pro certifikaci toho, že vyráběný vodík bude obnovitelný a biometan udržitelný, v souladu s nedávnými ustanoveními aktů v přenesené pravomoci podl</w:t>
      </w:r>
      <w:r>
        <w:rPr>
          <w:noProof/>
        </w:rPr>
        <w:t>e směrnice RED II.</w:t>
      </w:r>
    </w:p>
    <w:p w14:paraId="6C51CAE1" w14:textId="77777777" w:rsidR="00515398" w:rsidRDefault="006711E6">
      <w:pPr>
        <w:pStyle w:val="P68B1DB1-Normal4"/>
        <w:spacing w:before="120" w:after="120" w:line="240" w:lineRule="auto"/>
        <w:jc w:val="both"/>
        <w:rPr>
          <w:rFonts w:cs="Times New Roman"/>
          <w:noProof/>
          <w:szCs w:val="24"/>
        </w:rPr>
      </w:pPr>
      <w:r>
        <w:rPr>
          <w:noProof/>
        </w:rPr>
        <w:t>Provádění reformy se dokončí do 30. června 2024.</w:t>
      </w:r>
    </w:p>
    <w:p w14:paraId="0EE3A1EB" w14:textId="77777777" w:rsidR="00515398" w:rsidRDefault="006711E6">
      <w:pPr>
        <w:pStyle w:val="P68B1DB1-Normal4"/>
        <w:spacing w:before="120" w:after="120" w:line="240" w:lineRule="auto"/>
        <w:jc w:val="both"/>
        <w:rPr>
          <w:rFonts w:cs="Times New Roman"/>
          <w:noProof/>
        </w:rPr>
      </w:pPr>
      <w:r>
        <w:rPr>
          <w:b/>
          <w:noProof/>
        </w:rPr>
        <w:t xml:space="preserve">Reforma: </w:t>
      </w:r>
      <w:r>
        <w:rPr>
          <w:noProof/>
        </w:rPr>
        <w:t>Regulační rámec a rámec pro fungování trhu pro technologie zachycování, využívání a ukládání uhlíku na podporu dekarbonizace průmyslu (ID opatření: 16988)</w:t>
      </w:r>
    </w:p>
    <w:p w14:paraId="4DC773C3" w14:textId="77777777" w:rsidR="00515398" w:rsidRDefault="006711E6">
      <w:pPr>
        <w:pStyle w:val="P68B1DB1-Normal4"/>
        <w:spacing w:before="120" w:after="120" w:line="240" w:lineRule="auto"/>
        <w:jc w:val="both"/>
        <w:rPr>
          <w:rFonts w:cs="Times New Roman"/>
          <w:noProof/>
          <w:szCs w:val="24"/>
        </w:rPr>
      </w:pPr>
      <w:r>
        <w:rPr>
          <w:noProof/>
        </w:rPr>
        <w:t>Cílem této reformy je vy</w:t>
      </w:r>
      <w:r>
        <w:rPr>
          <w:noProof/>
        </w:rPr>
        <w:t>tvořit právní, licenční a regulační rámec pro technologie zachycování, využívání a ukládání uhlíku. Rámec zahrnuje vypracování a přijetí všech nezbytných právních a regulačních rámců pro technologie zachycování, využívání a ukládání uhlíku a zahrnuje proce</w:t>
      </w:r>
      <w:r>
        <w:rPr>
          <w:noProof/>
        </w:rPr>
        <w:t>s konzultací s příslušnými zúčastněnými stranami. Konkrétně se stanoví tyto postupy:</w:t>
      </w:r>
    </w:p>
    <w:p w14:paraId="77B0CCF0" w14:textId="77777777" w:rsidR="00515398" w:rsidRDefault="006711E6">
      <w:pPr>
        <w:pStyle w:val="P68B1DB1-ListParagraph19"/>
        <w:numPr>
          <w:ilvl w:val="0"/>
          <w:numId w:val="76"/>
        </w:numPr>
        <w:spacing w:before="120" w:after="120" w:line="240" w:lineRule="auto"/>
        <w:jc w:val="both"/>
        <w:rPr>
          <w:rFonts w:cs="Times New Roman"/>
          <w:noProof/>
        </w:rPr>
      </w:pPr>
      <w:r>
        <w:rPr>
          <w:noProof/>
        </w:rPr>
        <w:t>Vývoj licenčního rámce pro instalaci a provoz technologií zachycování, využívání a ukládání uhlíku, včetně vydávání schválení environmentálního povolení.</w:t>
      </w:r>
    </w:p>
    <w:p w14:paraId="54B30FDE" w14:textId="77777777" w:rsidR="00515398" w:rsidRDefault="006711E6">
      <w:pPr>
        <w:pStyle w:val="P68B1DB1-ListParagraph19"/>
        <w:numPr>
          <w:ilvl w:val="0"/>
          <w:numId w:val="76"/>
        </w:numPr>
        <w:spacing w:before="120" w:after="120" w:line="240" w:lineRule="auto"/>
        <w:jc w:val="both"/>
        <w:rPr>
          <w:rFonts w:cs="Times New Roman"/>
          <w:noProof/>
        </w:rPr>
      </w:pPr>
      <w:r>
        <w:rPr>
          <w:noProof/>
        </w:rPr>
        <w:t>Zavedení příslušn</w:t>
      </w:r>
      <w:r>
        <w:rPr>
          <w:noProof/>
        </w:rPr>
        <w:t>ého normalizačního a certifikačního procesu pro zachycené a ukládané emise CO</w:t>
      </w:r>
      <w:r>
        <w:rPr>
          <w:noProof/>
          <w:vertAlign w:val="subscript"/>
        </w:rPr>
        <w:t>2</w:t>
      </w:r>
      <w:r>
        <w:rPr>
          <w:noProof/>
        </w:rPr>
        <w:t>.</w:t>
      </w:r>
    </w:p>
    <w:p w14:paraId="74749B13" w14:textId="77777777" w:rsidR="00515398" w:rsidRDefault="006711E6">
      <w:pPr>
        <w:pStyle w:val="P68B1DB1-ListParagraph19"/>
        <w:numPr>
          <w:ilvl w:val="0"/>
          <w:numId w:val="76"/>
        </w:numPr>
        <w:spacing w:before="120" w:after="120" w:line="240" w:lineRule="auto"/>
        <w:jc w:val="both"/>
        <w:rPr>
          <w:rFonts w:cs="Times New Roman"/>
          <w:noProof/>
        </w:rPr>
      </w:pPr>
      <w:r>
        <w:rPr>
          <w:noProof/>
        </w:rPr>
        <w:t>Vypracování regulačního rámce pro hodnotový řetězec CCS pro poplatky za skladování a přepravu. Rámec zahrnuje podpůrná ustanovení týkající se rozdílových smluv, jakož i regulov</w:t>
      </w:r>
      <w:r>
        <w:rPr>
          <w:noProof/>
        </w:rPr>
        <w:t>aných přepážek. Vytvoření rámce pro využívání/využívání zachyceného CO2</w:t>
      </w:r>
    </w:p>
    <w:p w14:paraId="386E2987" w14:textId="77777777" w:rsidR="00515398" w:rsidRDefault="006711E6">
      <w:pPr>
        <w:pStyle w:val="P68B1DB1-ListParagraph19"/>
        <w:numPr>
          <w:ilvl w:val="0"/>
          <w:numId w:val="76"/>
        </w:numPr>
        <w:spacing w:before="120" w:after="120" w:line="240" w:lineRule="auto"/>
        <w:jc w:val="both"/>
        <w:rPr>
          <w:rFonts w:cs="Times New Roman"/>
          <w:noProof/>
        </w:rPr>
      </w:pPr>
      <w:r>
        <w:rPr>
          <w:noProof/>
        </w:rPr>
        <w:t>Přijetí rámce pro přístup třetích stran do sítě/přepravní infrastruktury a skladovacího zařízení.</w:t>
      </w:r>
    </w:p>
    <w:p w14:paraId="753C032C" w14:textId="77777777" w:rsidR="00515398" w:rsidRDefault="006711E6">
      <w:pPr>
        <w:pStyle w:val="P68B1DB1-ListParagraph19"/>
        <w:numPr>
          <w:ilvl w:val="0"/>
          <w:numId w:val="76"/>
        </w:numPr>
        <w:spacing w:before="120" w:after="120" w:line="240" w:lineRule="auto"/>
        <w:jc w:val="both"/>
        <w:rPr>
          <w:rFonts w:cs="Times New Roman"/>
          <w:noProof/>
        </w:rPr>
      </w:pPr>
      <w:r>
        <w:rPr>
          <w:noProof/>
        </w:rPr>
        <w:t>Určení různých odpovědností různých zúčastněných stran za provoz technologií zachycová</w:t>
      </w:r>
      <w:r>
        <w:rPr>
          <w:noProof/>
        </w:rPr>
        <w:t>ní, využívání a ukládání uhlíku a dohled nad příslušným trhem.</w:t>
      </w:r>
    </w:p>
    <w:p w14:paraId="1A5294BD" w14:textId="77777777" w:rsidR="00515398" w:rsidRDefault="006711E6">
      <w:pPr>
        <w:pStyle w:val="P68B1DB1-Normal4"/>
        <w:rPr>
          <w:rFonts w:eastAsiaTheme="minorHAnsi" w:cs="Calibri"/>
          <w:noProof/>
        </w:rPr>
      </w:pPr>
      <w:r>
        <w:rPr>
          <w:noProof/>
        </w:rPr>
        <w:t>Opatření musí být v souladu s technickými pokyny „významně nepoškozovat“ (2021/C58/01).</w:t>
      </w:r>
    </w:p>
    <w:p w14:paraId="21D445E7" w14:textId="77777777" w:rsidR="00515398" w:rsidRDefault="006711E6">
      <w:pPr>
        <w:pStyle w:val="P68B1DB1-Normal4"/>
        <w:spacing w:before="120" w:after="120" w:line="240" w:lineRule="auto"/>
        <w:jc w:val="both"/>
        <w:rPr>
          <w:rFonts w:cs="Times New Roman"/>
          <w:noProof/>
        </w:rPr>
      </w:pPr>
      <w:r>
        <w:rPr>
          <w:noProof/>
        </w:rPr>
        <w:t xml:space="preserve">Provádění reformy se dokončí do 30. června 2024. </w:t>
      </w:r>
    </w:p>
    <w:p w14:paraId="43270BC7" w14:textId="77777777" w:rsidR="00515398" w:rsidRDefault="006711E6">
      <w:pPr>
        <w:pStyle w:val="P68B1DB1-Normal4"/>
        <w:spacing w:before="120" w:after="120" w:line="240" w:lineRule="auto"/>
        <w:jc w:val="both"/>
        <w:rPr>
          <w:rFonts w:cs="Times New Roman"/>
          <w:noProof/>
        </w:rPr>
      </w:pPr>
      <w:r>
        <w:rPr>
          <w:b/>
          <w:noProof/>
        </w:rPr>
        <w:t xml:space="preserve">Reforma: </w:t>
      </w:r>
      <w:r>
        <w:rPr>
          <w:noProof/>
        </w:rPr>
        <w:t>Optimalizace využití pevninského a mořského pr</w:t>
      </w:r>
      <w:r>
        <w:rPr>
          <w:noProof/>
        </w:rPr>
        <w:t>ostoru pro rozvoj obnovitelných zdrojů energie a rozvoje větrné energie na moři (ID opatření: 16989)</w:t>
      </w:r>
    </w:p>
    <w:p w14:paraId="4BFBA4FD" w14:textId="77777777" w:rsidR="00515398" w:rsidRDefault="006711E6">
      <w:pPr>
        <w:pStyle w:val="P68B1DB1-Normal4"/>
        <w:spacing w:before="120" w:after="120" w:line="240" w:lineRule="auto"/>
        <w:jc w:val="both"/>
        <w:rPr>
          <w:rFonts w:cs="Times New Roman"/>
          <w:noProof/>
          <w:szCs w:val="24"/>
        </w:rPr>
      </w:pPr>
      <w:r>
        <w:rPr>
          <w:noProof/>
        </w:rPr>
        <w:t>Cílem této reformy je posílit další rozvoj obnovitelných zdrojů energie v Řecku. Reforma se skládá ze dvou pilířů:</w:t>
      </w:r>
    </w:p>
    <w:p w14:paraId="0FF553A2" w14:textId="77777777" w:rsidR="00515398" w:rsidRDefault="006711E6">
      <w:pPr>
        <w:pStyle w:val="P68B1DB1-ListParagraph19"/>
        <w:numPr>
          <w:ilvl w:val="0"/>
          <w:numId w:val="73"/>
        </w:numPr>
        <w:spacing w:before="120" w:after="120" w:line="240" w:lineRule="auto"/>
        <w:jc w:val="both"/>
        <w:rPr>
          <w:rFonts w:cs="Times New Roman"/>
          <w:noProof/>
          <w:szCs w:val="24"/>
        </w:rPr>
      </w:pPr>
      <w:r>
        <w:rPr>
          <w:noProof/>
        </w:rPr>
        <w:t>Pilíř 1: Posílení právního rámce pro vět</w:t>
      </w:r>
      <w:r>
        <w:rPr>
          <w:noProof/>
        </w:rPr>
        <w:t>rné elektrárny na moři (jak je stanoveno v zákoně č. 4964/2022 o „ustanoveních pro zjednodušení environmentálních licencí, zřízení rámce pro rozvoj větrných elektráren na moři, řešení energetické krize, ochranu životního prostředí a další ustanovení“, Úř. </w:t>
      </w:r>
      <w:r>
        <w:rPr>
          <w:noProof/>
        </w:rPr>
        <w:t>věst. A 150/30.7.2022) určením prvních oblastí rozvoje projektů pro projekty v oblasti větrné energie na moři; a pokud</w:t>
      </w:r>
    </w:p>
    <w:p w14:paraId="51961989" w14:textId="77777777" w:rsidR="00515398" w:rsidRDefault="006711E6">
      <w:pPr>
        <w:pStyle w:val="ListParagraph"/>
        <w:numPr>
          <w:ilvl w:val="0"/>
          <w:numId w:val="73"/>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Pilíř 2: Provedení přezkumu (ve formě studie) prostorového rozptylu současného rozvoje projektů v oblasti obnovitelných zdrojů energie a </w:t>
      </w:r>
      <w:r>
        <w:rPr>
          <w:rFonts w:ascii="Times New Roman" w:hAnsi="Times New Roman"/>
          <w:noProof/>
          <w:sz w:val="24"/>
        </w:rPr>
        <w:t>optimalizace využívání půdy pro nový potenciál obnovitelných zdrojů energie v Řecku. Studie kromě strategického posouzení vlivů</w:t>
      </w:r>
      <w:r>
        <w:rPr>
          <w:noProof/>
        </w:rPr>
        <w:t xml:space="preserve"> </w:t>
      </w:r>
      <w:r>
        <w:rPr>
          <w:rFonts w:ascii="Times New Roman" w:hAnsi="Times New Roman"/>
          <w:noProof/>
          <w:sz w:val="24"/>
        </w:rPr>
        <w:t xml:space="preserve">na životní prostředí týkajících se těchto oblastí určí optimální oblasti, v nichž by se projekty v oblasti obnovitelných zdrojů </w:t>
      </w:r>
      <w:r>
        <w:rPr>
          <w:rFonts w:ascii="Times New Roman" w:hAnsi="Times New Roman"/>
          <w:noProof/>
          <w:sz w:val="24"/>
        </w:rPr>
        <w:t>energie mohly nacházet v Řecku. Kromě toho vstoupí v platnost holistický politický rámec pro dvojí využití půdy pro zemědělskou a solární fotovoltaiku s cílem podpořit instalaci agrofotovoltaiky.</w:t>
      </w:r>
    </w:p>
    <w:p w14:paraId="065E72A4" w14:textId="77777777" w:rsidR="00515398" w:rsidRDefault="006711E6">
      <w:pPr>
        <w:pStyle w:val="P68B1DB1-Normal4"/>
        <w:spacing w:before="120" w:after="120" w:line="240" w:lineRule="auto"/>
        <w:jc w:val="both"/>
        <w:rPr>
          <w:rFonts w:cs="Times New Roman"/>
          <w:noProof/>
        </w:rPr>
      </w:pPr>
      <w:r>
        <w:rPr>
          <w:noProof/>
        </w:rPr>
        <w:t xml:space="preserve">Provádění reformy se dokončí do 30. června 2025. </w:t>
      </w:r>
    </w:p>
    <w:p w14:paraId="4960ED27" w14:textId="77777777" w:rsidR="00515398" w:rsidRDefault="006711E6">
      <w:pPr>
        <w:pStyle w:val="P68B1DB1-Normal4"/>
        <w:spacing w:before="120" w:after="120" w:line="240" w:lineRule="auto"/>
        <w:jc w:val="both"/>
        <w:rPr>
          <w:rFonts w:cs="Times New Roman"/>
          <w:noProof/>
        </w:rPr>
      </w:pPr>
      <w:r>
        <w:rPr>
          <w:b/>
          <w:noProof/>
        </w:rPr>
        <w:t xml:space="preserve">Reforma: </w:t>
      </w:r>
      <w:r>
        <w:rPr>
          <w:noProof/>
        </w:rPr>
        <w:t>S</w:t>
      </w:r>
      <w:r>
        <w:rPr>
          <w:noProof/>
        </w:rPr>
        <w:t>íť a skladovací kapacita – podpora investic do skladování (ID opatření: 16990)</w:t>
      </w:r>
    </w:p>
    <w:p w14:paraId="2676D1E7" w14:textId="77777777" w:rsidR="00515398" w:rsidRDefault="006711E6">
      <w:pPr>
        <w:pStyle w:val="P68B1DB1-Normal4"/>
        <w:spacing w:before="120" w:after="120" w:line="240" w:lineRule="auto"/>
        <w:jc w:val="both"/>
        <w:rPr>
          <w:rFonts w:cs="Times New Roman"/>
          <w:noProof/>
          <w:szCs w:val="24"/>
        </w:rPr>
      </w:pPr>
      <w:r>
        <w:rPr>
          <w:noProof/>
        </w:rPr>
        <w:t>Cílem této reformy je podpořit investice do řešení skladování energie, a to jak v podobě samostatných jednotek, tak v podobě skladování v kombinaci s obnovitelnými zdroji energi</w:t>
      </w:r>
      <w:r>
        <w:rPr>
          <w:noProof/>
        </w:rPr>
        <w:t xml:space="preserve">e. Cílem programu je vytvořit rámec, který v konečném důsledku podpoří nejméně 900 MW samostatných projektů akumulace baterií prostřednictvím kombinace investiční podpory. Reforma dosáhne svých cílů prostřednictvím: </w:t>
      </w:r>
    </w:p>
    <w:p w14:paraId="375F5180" w14:textId="77777777" w:rsidR="00515398" w:rsidRDefault="006711E6">
      <w:pPr>
        <w:pStyle w:val="P68B1DB1-ListParagraph19"/>
        <w:numPr>
          <w:ilvl w:val="0"/>
          <w:numId w:val="79"/>
        </w:numPr>
        <w:spacing w:before="120" w:after="120" w:line="240" w:lineRule="auto"/>
        <w:jc w:val="both"/>
        <w:rPr>
          <w:rFonts w:cs="Times New Roman"/>
          <w:noProof/>
          <w:szCs w:val="24"/>
        </w:rPr>
      </w:pPr>
      <w:r>
        <w:rPr>
          <w:noProof/>
        </w:rPr>
        <w:t xml:space="preserve">Přijetí legislativního a regulačního </w:t>
      </w:r>
      <w:r>
        <w:rPr>
          <w:noProof/>
        </w:rPr>
        <w:t>rámce, který usnadní instalaci skladovacích jednotek do stávajících nebo nových elektráren na výrobu energie z obnovitelných zdrojů. Tím se zlepší a doplní právní a regulační rámec s cílem umožnit integraci skladování do elektráren na výrobu energie z obno</w:t>
      </w:r>
      <w:r>
        <w:rPr>
          <w:noProof/>
        </w:rPr>
        <w:t xml:space="preserve">vitelných zdrojů a podpořit nové projekty tím, že jim bude dána přednost v postupech udělování licencí a přístupu k síti; a pokud </w:t>
      </w:r>
    </w:p>
    <w:p w14:paraId="5EC67962" w14:textId="77777777" w:rsidR="00515398" w:rsidRDefault="006711E6">
      <w:pPr>
        <w:pStyle w:val="P68B1DB1-ListParagraph19"/>
        <w:numPr>
          <w:ilvl w:val="0"/>
          <w:numId w:val="79"/>
        </w:numPr>
        <w:spacing w:before="120" w:after="120" w:line="240" w:lineRule="auto"/>
        <w:jc w:val="both"/>
        <w:rPr>
          <w:rFonts w:cs="Times New Roman"/>
          <w:noProof/>
          <w:szCs w:val="24"/>
        </w:rPr>
      </w:pPr>
      <w:r>
        <w:rPr>
          <w:noProof/>
        </w:rPr>
        <w:t>Provádění cílených pobídek pro kombinované jednotky pro výrobu energie z obnovitelných zdrojů a pro skladování energie, což z</w:t>
      </w:r>
      <w:r>
        <w:rPr>
          <w:noProof/>
        </w:rPr>
        <w:t xml:space="preserve">ahrnuje návrh a přijetí pobídek na podporu investic do kombinované výroby energie z obnovitelných zdrojů a skladování energie. </w:t>
      </w:r>
    </w:p>
    <w:p w14:paraId="7F2B954A" w14:textId="77777777" w:rsidR="00515398" w:rsidRDefault="006711E6">
      <w:pPr>
        <w:pStyle w:val="P68B1DB1-Normal4"/>
        <w:spacing w:before="120" w:after="120" w:line="240" w:lineRule="auto"/>
        <w:jc w:val="both"/>
        <w:rPr>
          <w:rFonts w:cs="Times New Roman"/>
          <w:noProof/>
          <w:szCs w:val="24"/>
        </w:rPr>
      </w:pPr>
      <w:r>
        <w:rPr>
          <w:noProof/>
        </w:rPr>
        <w:t xml:space="preserve">Provádění reformy se dokončí do 30. června 2025. </w:t>
      </w:r>
    </w:p>
    <w:p w14:paraId="38876953" w14:textId="77777777" w:rsidR="00515398" w:rsidRDefault="006711E6">
      <w:pPr>
        <w:pStyle w:val="P68B1DB1-Normal4"/>
        <w:spacing w:before="120" w:after="120" w:line="240" w:lineRule="auto"/>
        <w:jc w:val="both"/>
        <w:rPr>
          <w:rFonts w:cs="Times New Roman"/>
          <w:noProof/>
          <w:szCs w:val="24"/>
        </w:rPr>
      </w:pPr>
      <w:r>
        <w:rPr>
          <w:b/>
          <w:noProof/>
        </w:rPr>
        <w:t>Reforma:</w:t>
      </w:r>
      <w:r>
        <w:rPr>
          <w:noProof/>
        </w:rPr>
        <w:t xml:space="preserve"> Regulační rámec pro inteligentní síť (ID opatření: 16991)</w:t>
      </w:r>
    </w:p>
    <w:p w14:paraId="3DE06986" w14:textId="77777777" w:rsidR="00515398" w:rsidRDefault="006711E6">
      <w:pPr>
        <w:pStyle w:val="P68B1DB1-Normal4"/>
        <w:spacing w:before="120" w:after="120" w:line="240" w:lineRule="auto"/>
        <w:jc w:val="both"/>
        <w:rPr>
          <w:rFonts w:cs="Times New Roman"/>
          <w:noProof/>
          <w:szCs w:val="24"/>
        </w:rPr>
      </w:pPr>
      <w:r>
        <w:rPr>
          <w:noProof/>
        </w:rPr>
        <w:t xml:space="preserve">Cílem této </w:t>
      </w:r>
      <w:r>
        <w:rPr>
          <w:noProof/>
        </w:rPr>
        <w:t>reformy je přispět k podpoře technologií a postupů inteligentních sítí na řeckém trhu s elektřinou. Základní prvky vize inteligentní sítě pro danou zemi spočívají ve schopnosti monitorovat a kontrolovat zatížení a toky v distribuční síti; integrace kontrol</w:t>
      </w:r>
      <w:r>
        <w:rPr>
          <w:noProof/>
        </w:rPr>
        <w:t xml:space="preserve">ních technologií s telekomunikačními sítěmi s cílem podpořit zapojení aktiv a spotřebitelů i účastníků trhu v reálném čase; a přijetí podpůrného právního a regulačního rámce, který usnadní rychlé zavádění technologií a zapojení zákazníků. Politickými cíli </w:t>
      </w:r>
      <w:r>
        <w:rPr>
          <w:noProof/>
        </w:rPr>
        <w:t xml:space="preserve">reformy je urychlení zavádění inteligentních a digitálních technologií v distribuční síti a snaha o účinnější řízení spotřeby energie pro konečného spotřebitele. </w:t>
      </w:r>
    </w:p>
    <w:p w14:paraId="653D0162" w14:textId="77777777" w:rsidR="00515398" w:rsidRDefault="006711E6">
      <w:pPr>
        <w:pStyle w:val="P68B1DB1-Normal4"/>
        <w:spacing w:before="120" w:after="120" w:line="240" w:lineRule="auto"/>
        <w:jc w:val="both"/>
        <w:rPr>
          <w:rFonts w:cs="Times New Roman"/>
          <w:noProof/>
        </w:rPr>
      </w:pPr>
      <w:r>
        <w:rPr>
          <w:noProof/>
        </w:rPr>
        <w:t>Provádění navrhovaných reforem se plánuje ve třech různých tematických oblastech:</w:t>
      </w:r>
    </w:p>
    <w:p w14:paraId="706B0648" w14:textId="77777777" w:rsidR="00515398" w:rsidRDefault="006711E6">
      <w:pPr>
        <w:pStyle w:val="P68B1DB1-Normal4"/>
        <w:numPr>
          <w:ilvl w:val="0"/>
          <w:numId w:val="72"/>
        </w:numPr>
        <w:spacing w:before="120" w:after="120" w:line="240" w:lineRule="auto"/>
        <w:jc w:val="both"/>
        <w:rPr>
          <w:rFonts w:cs="Times New Roman"/>
          <w:noProof/>
          <w:szCs w:val="24"/>
        </w:rPr>
      </w:pPr>
      <w:r>
        <w:rPr>
          <w:noProof/>
        </w:rPr>
        <w:t xml:space="preserve">Pilíř 1: </w:t>
      </w:r>
      <w:r>
        <w:rPr>
          <w:noProof/>
        </w:rPr>
        <w:t>Vývoj systému pobídek pro zavádění a používání inteligentních měřičů. Reforma zejména zahrnuje návrh systému sankcí a/nebo odměn pro provozovatele distribuční soustavy prostřednictvím tarifního mechanismu s výhradou dosažení určitých klíčových ukazatelů vý</w:t>
      </w:r>
      <w:r>
        <w:rPr>
          <w:noProof/>
        </w:rPr>
        <w:t>konnosti týkajících se zavádění a monitorování inteligentních sítí.</w:t>
      </w:r>
    </w:p>
    <w:p w14:paraId="54DCF7C2" w14:textId="77777777" w:rsidR="00515398" w:rsidRDefault="006711E6">
      <w:pPr>
        <w:pStyle w:val="P68B1DB1-Normal4"/>
        <w:numPr>
          <w:ilvl w:val="0"/>
          <w:numId w:val="72"/>
        </w:numPr>
        <w:spacing w:before="120" w:after="120" w:line="240" w:lineRule="auto"/>
        <w:jc w:val="both"/>
        <w:rPr>
          <w:rFonts w:cs="Times New Roman"/>
          <w:noProof/>
          <w:szCs w:val="24"/>
        </w:rPr>
      </w:pPr>
      <w:r>
        <w:rPr>
          <w:noProof/>
        </w:rPr>
        <w:t>Pilíř 2: Pokud jde o digitalizaci řízení distribuční sítě, digitalizace distribuční sítě se dosáhne vytvořením aktivního kontrolního střediska řeckým provozovatelem distribuční soustavy. R</w:t>
      </w:r>
      <w:r>
        <w:rPr>
          <w:noProof/>
        </w:rPr>
        <w:t>ozsah projektu se týká modernizace středisek řízení distribuční sítě zbývajících tří regionů řeckého provozovatele distribuční soustavy prostřednictvím instalace nového systému kontroly a správy dat pro získávání dat (SCADA-DMS) a komunikace s dálkovými vy</w:t>
      </w:r>
      <w:r>
        <w:rPr>
          <w:noProof/>
        </w:rPr>
        <w:t>sílacími jednotkami (RTU) v rozvodnách vysokého napětí/středního napětí (HV/MT), jakož i vytvoření nezbytné podpůrné infrastruktury pro tři integrovaná střediska. Cílem projektu je zlepšit spolehlivost sítě, ukazatele kvality, jakož i určení slabých míst s</w:t>
      </w:r>
      <w:r>
        <w:rPr>
          <w:noProof/>
        </w:rPr>
        <w:t>ítě, úsporu zdrojů, účinnější řízení lidských zdrojů během odstávek a lepší a rychlejší řešení závad, řízení energetického zatížení zařízení v obdobích zvýšené poptávky a omezení energetických ztrát v síti a zlepšení kapacit řízení sítě.</w:t>
      </w:r>
    </w:p>
    <w:p w14:paraId="3C19B434" w14:textId="77777777" w:rsidR="00515398" w:rsidRDefault="006711E6">
      <w:pPr>
        <w:pStyle w:val="P68B1DB1-Normal37"/>
        <w:numPr>
          <w:ilvl w:val="0"/>
          <w:numId w:val="72"/>
        </w:numPr>
        <w:spacing w:before="120" w:after="120" w:line="240" w:lineRule="auto"/>
        <w:jc w:val="both"/>
        <w:rPr>
          <w:rFonts w:cs="Times New Roman"/>
          <w:noProof/>
          <w:sz w:val="24"/>
          <w:szCs w:val="24"/>
        </w:rPr>
      </w:pPr>
      <w:r>
        <w:rPr>
          <w:noProof/>
          <w:sz w:val="24"/>
        </w:rPr>
        <w:t>Pilíř 3: Rámec dyn</w:t>
      </w:r>
      <w:r>
        <w:rPr>
          <w:noProof/>
          <w:sz w:val="24"/>
        </w:rPr>
        <w:t>amických cen odkazuje na požadavky článku 11 směrnice 2019/944, který již byl proveden do vnitrostátních právních předpisů. Reforma spočívá v přijetí sekundárních právních předpisů a rámce pro zavedení dynamického stanovování cen pro všechny konečné spotře</w:t>
      </w:r>
      <w:r>
        <w:rPr>
          <w:noProof/>
          <w:sz w:val="24"/>
        </w:rPr>
        <w:t>bitele, jakmile je v jejich servisním připojení instalován inteligentní měřič. Provádění dynamických cenových smluv rozvíjí Ministerstvo životního prostředí a energetiky přijetím společného ministerského rozhodnutí, které stanoví otázky návrhu, klíčové pod</w:t>
      </w:r>
      <w:r>
        <w:rPr>
          <w:noProof/>
          <w:sz w:val="24"/>
        </w:rPr>
        <w:t>mínky dynamických smluv. Společné ministerské rozhodnutí stanoví práva a povinnosti provozovatelů, zástupců zatížení a zákazníků v souvislosti s prováděním dynamické tvorby cen. Reforma navíc zahrne změny do příslušných vnitrostátních kodexů sítě (přenos a</w:t>
      </w:r>
      <w:r>
        <w:rPr>
          <w:noProof/>
          <w:sz w:val="24"/>
        </w:rPr>
        <w:t xml:space="preserve"> distribuce) s cílem zajistit řádné provádění.</w:t>
      </w:r>
      <w:r>
        <w:rPr>
          <w:noProof/>
        </w:rPr>
        <w:t xml:space="preserve"> </w:t>
      </w:r>
    </w:p>
    <w:p w14:paraId="412309DB" w14:textId="77777777" w:rsidR="00515398" w:rsidRDefault="006711E6">
      <w:pPr>
        <w:pStyle w:val="P68B1DB1-Normal4"/>
        <w:spacing w:before="120" w:after="120" w:line="240" w:lineRule="auto"/>
        <w:jc w:val="both"/>
        <w:rPr>
          <w:rFonts w:cs="Times New Roman"/>
          <w:noProof/>
          <w:szCs w:val="24"/>
        </w:rPr>
      </w:pPr>
      <w:r>
        <w:rPr>
          <w:noProof/>
        </w:rPr>
        <w:t xml:space="preserve">Provádění reformy se dokončí do 31. prosince 2025. </w:t>
      </w:r>
    </w:p>
    <w:p w14:paraId="783DDDAA" w14:textId="77777777" w:rsidR="00515398" w:rsidRDefault="00515398">
      <w:pPr>
        <w:spacing w:before="120" w:after="120" w:line="240" w:lineRule="auto"/>
        <w:jc w:val="both"/>
        <w:rPr>
          <w:rFonts w:ascii="Times New Roman" w:hAnsi="Times New Roman" w:cs="Times New Roman"/>
          <w:noProof/>
          <w:sz w:val="24"/>
        </w:rPr>
      </w:pPr>
    </w:p>
    <w:p w14:paraId="786DAB0E" w14:textId="77777777" w:rsidR="00515398" w:rsidRDefault="006711E6">
      <w:pPr>
        <w:pStyle w:val="P68B1DB1-Normal4"/>
        <w:spacing w:before="120" w:after="120" w:line="240" w:lineRule="auto"/>
        <w:jc w:val="both"/>
        <w:rPr>
          <w:rFonts w:cs="Times New Roman"/>
          <w:noProof/>
          <w:szCs w:val="24"/>
        </w:rPr>
      </w:pPr>
      <w:r>
        <w:rPr>
          <w:b/>
          <w:noProof/>
        </w:rPr>
        <w:t xml:space="preserve">Reforma: </w:t>
      </w:r>
      <w:r>
        <w:rPr>
          <w:noProof/>
        </w:rPr>
        <w:t>Soubor nástrojů na podporu sdílení energie, vlastní spotřeby a společenství pro obnovitelné zdroje energie (ID opatření: 16992)</w:t>
      </w:r>
    </w:p>
    <w:p w14:paraId="2248324C" w14:textId="77777777" w:rsidR="00515398" w:rsidRDefault="006711E6">
      <w:pPr>
        <w:pStyle w:val="P68B1DB1-Normal4"/>
        <w:spacing w:before="120" w:after="120" w:line="240" w:lineRule="auto"/>
        <w:jc w:val="both"/>
        <w:rPr>
          <w:rFonts w:cs="Times New Roman"/>
          <w:noProof/>
          <w:szCs w:val="24"/>
        </w:rPr>
      </w:pPr>
      <w:r>
        <w:rPr>
          <w:noProof/>
        </w:rPr>
        <w:t>Cílem této reformy</w:t>
      </w:r>
      <w:r>
        <w:rPr>
          <w:noProof/>
        </w:rPr>
        <w:t xml:space="preserve"> je zavést ucelenou politickou iniciativu a soubor nástrojů na podporu sdílení energie. Reforma stanoví tato opatření:</w:t>
      </w:r>
    </w:p>
    <w:p w14:paraId="46BE4AFA" w14:textId="77777777" w:rsidR="00515398" w:rsidRDefault="006711E6">
      <w:pPr>
        <w:pStyle w:val="P68B1DB1-ListParagraph19"/>
        <w:numPr>
          <w:ilvl w:val="0"/>
          <w:numId w:val="75"/>
        </w:numPr>
        <w:spacing w:before="120" w:after="120" w:line="240" w:lineRule="auto"/>
        <w:jc w:val="both"/>
        <w:rPr>
          <w:rFonts w:cs="Times New Roman"/>
          <w:noProof/>
          <w:szCs w:val="24"/>
        </w:rPr>
      </w:pPr>
      <w:r>
        <w:rPr>
          <w:noProof/>
        </w:rPr>
        <w:t>Usnadnění a urychlení instalace stanic obnovitelných zdrojů energie v budovách;</w:t>
      </w:r>
    </w:p>
    <w:p w14:paraId="0D4F2999" w14:textId="4E5647EF" w:rsidR="00515398" w:rsidRDefault="006711E6">
      <w:pPr>
        <w:pStyle w:val="P68B1DB1-ListParagraph19"/>
        <w:numPr>
          <w:ilvl w:val="0"/>
          <w:numId w:val="75"/>
        </w:numPr>
        <w:spacing w:before="120" w:after="120" w:line="240" w:lineRule="auto"/>
        <w:jc w:val="both"/>
        <w:rPr>
          <w:noProof/>
        </w:rPr>
      </w:pPr>
      <w:r>
        <w:rPr>
          <w:noProof/>
        </w:rPr>
        <w:t>Zavést nezbytný regulační rámec pro provádění vlastní spo</w:t>
      </w:r>
      <w:r>
        <w:rPr>
          <w:noProof/>
        </w:rPr>
        <w:t>třeby, kolektivní vlastní spotřeby a vlastní spotřeby s virtuálním čistým vyúčtováním v souladu se zákonem 5037/2023;</w:t>
      </w:r>
    </w:p>
    <w:p w14:paraId="5F12725D" w14:textId="77777777" w:rsidR="00515398" w:rsidRDefault="006711E6">
      <w:pPr>
        <w:pStyle w:val="P68B1DB1-Normal4"/>
        <w:rPr>
          <w:noProof/>
        </w:rPr>
      </w:pPr>
      <w:r>
        <w:rPr>
          <w:noProof/>
        </w:rPr>
        <w:br w:type="page"/>
      </w:r>
    </w:p>
    <w:p w14:paraId="30FB7EB7" w14:textId="77777777" w:rsidR="00515398" w:rsidRDefault="006711E6">
      <w:pPr>
        <w:pStyle w:val="P68B1DB1-ListParagraph19"/>
        <w:numPr>
          <w:ilvl w:val="0"/>
          <w:numId w:val="75"/>
        </w:numPr>
        <w:jc w:val="both"/>
        <w:rPr>
          <w:rFonts w:cs="Times New Roman"/>
          <w:noProof/>
          <w:szCs w:val="24"/>
        </w:rPr>
      </w:pPr>
      <w:r>
        <w:rPr>
          <w:noProof/>
        </w:rPr>
        <w:t>Zřízení registru samospotřebitelů a návrh a provádění opatření technické pomoci pro společenství pro obnovitelné zdroje energie a občans</w:t>
      </w:r>
      <w:r>
        <w:rPr>
          <w:noProof/>
        </w:rPr>
        <w:t>ká energetická společenství, který bude poskytovat technickou a poradenskou podporu Společenstvím, právní pomoc a navrhovat řešení zjištěných překážek, poskytovat informace o tom, jak vytvářet projekty a postupy a jak získat přístup k financování. Kromě po</w:t>
      </w:r>
      <w:r>
        <w:rPr>
          <w:noProof/>
        </w:rPr>
        <w:t xml:space="preserve">skytované technické pomoci pomohou opatření rovněž při výrobě materiálů pro budování kapacit, komunikačních a osvětových kampaních, informačních iniciativách a akcích (jako jsou workshopy). </w:t>
      </w:r>
    </w:p>
    <w:p w14:paraId="3B390BCC" w14:textId="77777777" w:rsidR="00515398" w:rsidRDefault="006711E6">
      <w:pPr>
        <w:pStyle w:val="P68B1DB1-Normal4"/>
        <w:spacing w:before="120" w:after="120" w:line="240" w:lineRule="auto"/>
        <w:jc w:val="both"/>
        <w:rPr>
          <w:rFonts w:cs="Times New Roman"/>
          <w:noProof/>
          <w:szCs w:val="24"/>
        </w:rPr>
      </w:pPr>
      <w:r>
        <w:rPr>
          <w:noProof/>
        </w:rPr>
        <w:t>Provádění reformy bude dokončeno do 31. března 2025.</w:t>
      </w:r>
    </w:p>
    <w:p w14:paraId="1686585E" w14:textId="77777777" w:rsidR="00515398" w:rsidRDefault="00515398">
      <w:pPr>
        <w:spacing w:before="120" w:after="120" w:line="240" w:lineRule="auto"/>
        <w:jc w:val="both"/>
        <w:rPr>
          <w:rFonts w:ascii="Times New Roman" w:hAnsi="Times New Roman" w:cs="Times New Roman"/>
          <w:noProof/>
          <w:sz w:val="24"/>
        </w:rPr>
      </w:pPr>
    </w:p>
    <w:p w14:paraId="3AF8DE06" w14:textId="77777777" w:rsidR="00515398" w:rsidRDefault="006711E6">
      <w:pPr>
        <w:pStyle w:val="P68B1DB1-Normal4"/>
        <w:spacing w:before="120" w:after="120" w:line="240" w:lineRule="auto"/>
        <w:jc w:val="both"/>
        <w:rPr>
          <w:rFonts w:cs="Times New Roman"/>
          <w:noProof/>
        </w:rPr>
      </w:pPr>
      <w:r>
        <w:rPr>
          <w:b/>
          <w:noProof/>
        </w:rPr>
        <w:t xml:space="preserve">Reforma: </w:t>
      </w:r>
      <w:r>
        <w:rPr>
          <w:noProof/>
        </w:rPr>
        <w:t>Plán inovativních intervencí v oblasti energetické účinnosti a určení nových finančních nástrojů (ID opatření: 16993)</w:t>
      </w:r>
    </w:p>
    <w:p w14:paraId="786A57C7" w14:textId="77777777" w:rsidR="00515398" w:rsidRDefault="006711E6">
      <w:pPr>
        <w:pStyle w:val="P68B1DB1-Normal4"/>
        <w:spacing w:before="120" w:after="120" w:line="240" w:lineRule="auto"/>
        <w:jc w:val="both"/>
        <w:rPr>
          <w:rFonts w:cs="Times New Roman"/>
          <w:noProof/>
        </w:rPr>
      </w:pPr>
      <w:r>
        <w:rPr>
          <w:noProof/>
        </w:rPr>
        <w:t>Cílem této reformy je stanovit plán pro inovativní intervence v oblasti energetické účinnosti, včetně zavedení negrantových finančních nás</w:t>
      </w:r>
      <w:r>
        <w:rPr>
          <w:noProof/>
        </w:rPr>
        <w:t>trojů, s cílem poskytnout další podporu pro rozsáhlou renovaci vlastněných nebo pronajatých obydlí spolu s rozsáhlou renovací průmyslových budov. Nový negrantový finanční nástroj předpokládá buď daňové pobídky, dotované nebo zaručené půjčky a další finančn</w:t>
      </w:r>
      <w:r>
        <w:rPr>
          <w:noProof/>
        </w:rPr>
        <w:t>í nástroje na podporu investic do energetické účinnosti ve stavebnictví. Tato reforma bude znamenat odklon od finančních nástrojů, které jsou založeny na grantech a u nichž se očekává, že zvýší počet budov, které lze podpořit. Reforma i) dokončí plán, kter</w:t>
      </w:r>
      <w:r>
        <w:rPr>
          <w:noProof/>
        </w:rPr>
        <w:t xml:space="preserve">ý definuje inovativní intervence v oblasti energetické účinnosti; a ii) spuštění finančního nástroje pro energetickou účinnost stanoveného v plánu a založeného na negrantových finančních zdrojích. </w:t>
      </w:r>
    </w:p>
    <w:p w14:paraId="22B67810" w14:textId="77777777" w:rsidR="00515398" w:rsidRDefault="006711E6">
      <w:pPr>
        <w:pStyle w:val="P68B1DB1-Normal4"/>
        <w:spacing w:before="120" w:after="120" w:line="240" w:lineRule="auto"/>
        <w:jc w:val="both"/>
        <w:rPr>
          <w:rFonts w:cs="Times New Roman"/>
          <w:noProof/>
        </w:rPr>
      </w:pPr>
      <w:r>
        <w:rPr>
          <w:noProof/>
        </w:rPr>
        <w:t>Provádění reformy bude dokončeno do 30. září 2025.</w:t>
      </w:r>
    </w:p>
    <w:p w14:paraId="4D28C093" w14:textId="77777777" w:rsidR="00515398" w:rsidRDefault="00515398">
      <w:pPr>
        <w:spacing w:before="120" w:after="120" w:line="240" w:lineRule="auto"/>
        <w:jc w:val="both"/>
        <w:rPr>
          <w:rFonts w:ascii="Times New Roman" w:hAnsi="Times New Roman" w:cs="Times New Roman"/>
          <w:noProof/>
          <w:sz w:val="24"/>
        </w:rPr>
      </w:pPr>
    </w:p>
    <w:p w14:paraId="2F709B2C" w14:textId="77777777" w:rsidR="00515398" w:rsidRDefault="00515398">
      <w:pPr>
        <w:spacing w:before="120" w:after="120" w:line="240" w:lineRule="auto"/>
        <w:jc w:val="both"/>
        <w:rPr>
          <w:rFonts w:ascii="Times New Roman" w:hAnsi="Times New Roman" w:cs="Times New Roman"/>
          <w:noProof/>
          <w:sz w:val="24"/>
        </w:rPr>
        <w:sectPr w:rsidR="00515398" w:rsidSect="00271D33">
          <w:headerReference w:type="even" r:id="rId345"/>
          <w:headerReference w:type="default" r:id="rId346"/>
          <w:footerReference w:type="even" r:id="rId347"/>
          <w:footerReference w:type="default" r:id="rId348"/>
          <w:headerReference w:type="first" r:id="rId349"/>
          <w:footerReference w:type="first" r:id="rId350"/>
          <w:pgSz w:w="11907" w:h="16839"/>
          <w:pgMar w:top="1134" w:right="1417" w:bottom="1134" w:left="1417" w:header="709" w:footer="709" w:gutter="0"/>
          <w:cols w:space="720"/>
          <w:docGrid w:linePitch="360"/>
        </w:sectPr>
      </w:pPr>
    </w:p>
    <w:p w14:paraId="0DFDC3AD" w14:textId="09BE712E" w:rsidR="00515398" w:rsidRDefault="006711E6">
      <w:pPr>
        <w:pStyle w:val="P68B1DB1-Normal25"/>
        <w:keepNext/>
        <w:keepLines/>
        <w:spacing w:before="240" w:after="0" w:line="240" w:lineRule="auto"/>
        <w:jc w:val="both"/>
        <w:outlineLvl w:val="4"/>
        <w:rPr>
          <w:rFonts w:ascii="Cambria" w:eastAsia="Times New Roman" w:hAnsi="Cambria"/>
          <w:noProof/>
          <w:color w:val="365F91"/>
        </w:rPr>
      </w:pPr>
      <w:r>
        <w:rPr>
          <w:noProof/>
        </w:rPr>
        <w:t>T.2. Milníky, cíle, ukazatele a harmonogram monitorování a provádění nevratné finanční podpory</w:t>
      </w:r>
    </w:p>
    <w:p w14:paraId="5B486B69" w14:textId="77777777" w:rsidR="00515398" w:rsidRDefault="006711E6">
      <w:pPr>
        <w:pStyle w:val="P68B1DB1-Normal6"/>
        <w:keepNext/>
        <w:keepLines/>
        <w:spacing w:before="240" w:after="240" w:line="240" w:lineRule="auto"/>
        <w:jc w:val="both"/>
        <w:outlineLvl w:val="4"/>
        <w:rPr>
          <w:rFonts w:eastAsia="Times New Roman"/>
          <w:noProof/>
          <w:szCs w:val="24"/>
        </w:rPr>
      </w:pPr>
      <w:r>
        <w:rPr>
          <w:noProof/>
        </w:rPr>
        <w:t xml:space="preserve">Reforma č. 1: Licenční rámec pro vodík z obnovitelných zdrojů a udržitelný biometan (ID opatření: 16987)  </w:t>
      </w:r>
    </w:p>
    <w:tbl>
      <w:tblPr>
        <w:tblpPr w:leftFromText="180" w:rightFromText="180" w:vertAnchor="text" w:tblpX="113" w:tblpY="1"/>
        <w:tblOverlap w:val="never"/>
        <w:tblW w:w="14312" w:type="dxa"/>
        <w:tblLook w:val="04A0" w:firstRow="1" w:lastRow="0" w:firstColumn="1" w:lastColumn="0" w:noHBand="0" w:noVBand="1"/>
      </w:tblPr>
      <w:tblGrid>
        <w:gridCol w:w="1043"/>
        <w:gridCol w:w="1646"/>
        <w:gridCol w:w="1134"/>
        <w:gridCol w:w="1275"/>
        <w:gridCol w:w="1137"/>
        <w:gridCol w:w="993"/>
        <w:gridCol w:w="1134"/>
        <w:gridCol w:w="850"/>
        <w:gridCol w:w="984"/>
        <w:gridCol w:w="850"/>
        <w:gridCol w:w="3402"/>
      </w:tblGrid>
      <w:tr w:rsidR="00515398" w14:paraId="6C03BCE7" w14:textId="77777777">
        <w:trPr>
          <w:trHeight w:val="540"/>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044D7164" w14:textId="77777777" w:rsidR="00515398" w:rsidRDefault="006711E6">
            <w:pPr>
              <w:pStyle w:val="P68B1DB1-Normal7"/>
              <w:spacing w:before="120" w:after="120" w:line="240" w:lineRule="auto"/>
              <w:jc w:val="center"/>
              <w:rPr>
                <w:rFonts w:eastAsia="Times New Roman" w:cs="Times New Roman"/>
                <w:bCs/>
                <w:noProof/>
                <w:szCs w:val="18"/>
              </w:rPr>
            </w:pPr>
            <w:r>
              <w:rPr>
                <w:noProof/>
              </w:rPr>
              <w:t>Pořadové číslo</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2A03BF6E" w14:textId="77777777" w:rsidR="00515398" w:rsidRDefault="006711E6">
            <w:pPr>
              <w:pStyle w:val="P68B1DB1-Normal7"/>
              <w:spacing w:before="120" w:after="120" w:line="240" w:lineRule="auto"/>
              <w:jc w:val="center"/>
              <w:rPr>
                <w:rFonts w:eastAsia="Times New Roman" w:cs="Times New Roman"/>
                <w:bCs/>
                <w:noProof/>
                <w:szCs w:val="18"/>
              </w:rPr>
            </w:pPr>
            <w:r>
              <w:rPr>
                <w:noProof/>
              </w:rPr>
              <w:t>Související opatření (reforma nebo investice)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6CD397FB" w14:textId="77777777" w:rsidR="00515398" w:rsidRDefault="006711E6">
            <w:pPr>
              <w:pStyle w:val="P68B1DB1-Normal7"/>
              <w:spacing w:before="120" w:after="120" w:line="240" w:lineRule="auto"/>
              <w:jc w:val="center"/>
              <w:rPr>
                <w:rFonts w:eastAsia="Times New Roman" w:cs="Times New Roman"/>
                <w:bCs/>
                <w:noProof/>
                <w:szCs w:val="18"/>
              </w:rPr>
            </w:pPr>
            <w:r>
              <w:rPr>
                <w:noProof/>
              </w:rPr>
              <w:t>Milník/cíl</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0C7A5ACB" w14:textId="77777777" w:rsidR="00515398" w:rsidRDefault="006711E6">
            <w:pPr>
              <w:pStyle w:val="P68B1DB1-Normal7"/>
              <w:spacing w:before="120" w:after="120" w:line="240" w:lineRule="auto"/>
              <w:jc w:val="center"/>
              <w:rPr>
                <w:rFonts w:eastAsia="Times New Roman" w:cs="Times New Roman"/>
                <w:bCs/>
                <w:noProof/>
                <w:szCs w:val="18"/>
              </w:rPr>
            </w:pPr>
            <w:r>
              <w:rPr>
                <w:noProof/>
              </w:rPr>
              <w:t>Jméno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tcPr>
          <w:p w14:paraId="4CF9D2B8" w14:textId="77777777" w:rsidR="00515398" w:rsidRDefault="006711E6">
            <w:pPr>
              <w:pStyle w:val="P68B1DB1-Normal7"/>
              <w:spacing w:before="120" w:after="120" w:line="240" w:lineRule="auto"/>
              <w:jc w:val="center"/>
              <w:rPr>
                <w:rFonts w:eastAsia="Times New Roman" w:cs="Times New Roman"/>
                <w:bCs/>
                <w:noProof/>
                <w:szCs w:val="18"/>
              </w:rPr>
            </w:pPr>
            <w:r>
              <w:rPr>
                <w:noProof/>
              </w:rPr>
              <w:t>Kvalitativní ukazatele (pro milníky)</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DD7EE"/>
            <w:noWrap/>
            <w:vAlign w:val="center"/>
          </w:tcPr>
          <w:p w14:paraId="2715C6CB" w14:textId="77777777" w:rsidR="00515398" w:rsidRDefault="006711E6">
            <w:pPr>
              <w:pStyle w:val="P68B1DB1-Normal7"/>
              <w:spacing w:before="120" w:after="120" w:line="240" w:lineRule="auto"/>
              <w:jc w:val="center"/>
              <w:rPr>
                <w:rFonts w:eastAsia="Times New Roman" w:cs="Times New Roman"/>
                <w:bCs/>
                <w:noProof/>
                <w:szCs w:val="18"/>
              </w:rPr>
            </w:pPr>
            <w:r>
              <w:rPr>
                <w:noProof/>
              </w:rPr>
              <w:t>Kvantitativní ukazatele (pro cíle)</w:t>
            </w:r>
          </w:p>
        </w:tc>
        <w:tc>
          <w:tcPr>
            <w:tcW w:w="1701" w:type="dxa"/>
            <w:gridSpan w:val="2"/>
            <w:tcBorders>
              <w:top w:val="single" w:sz="4" w:space="0" w:color="auto"/>
              <w:left w:val="nil"/>
              <w:bottom w:val="single" w:sz="4" w:space="0" w:color="auto"/>
              <w:right w:val="single" w:sz="4" w:space="0" w:color="auto"/>
            </w:tcBorders>
            <w:shd w:val="clear" w:color="auto" w:fill="BDD7EE"/>
            <w:noWrap/>
          </w:tcPr>
          <w:p w14:paraId="09782D72" w14:textId="77777777" w:rsidR="00515398" w:rsidRDefault="006711E6">
            <w:pPr>
              <w:pStyle w:val="P68B1DB1-Normal7"/>
              <w:spacing w:before="120" w:after="120" w:line="240" w:lineRule="auto"/>
              <w:jc w:val="center"/>
              <w:rPr>
                <w:rFonts w:eastAsia="Times New Roman" w:cs="Times New Roman"/>
                <w:bCs/>
                <w:noProof/>
                <w:szCs w:val="18"/>
              </w:rPr>
            </w:pPr>
            <w:r>
              <w:rPr>
                <w:noProof/>
              </w:rPr>
              <w:t>Orientační harmonogram pro dokončení</w:t>
            </w:r>
          </w:p>
        </w:tc>
        <w:tc>
          <w:tcPr>
            <w:tcW w:w="3402" w:type="dxa"/>
            <w:vMerge w:val="restart"/>
            <w:tcBorders>
              <w:top w:val="single" w:sz="4" w:space="0" w:color="auto"/>
              <w:left w:val="nil"/>
              <w:bottom w:val="single" w:sz="4" w:space="0" w:color="auto"/>
              <w:right w:val="single" w:sz="4" w:space="0" w:color="auto"/>
            </w:tcBorders>
            <w:shd w:val="clear" w:color="auto" w:fill="BDD7EE"/>
            <w:noWrap/>
          </w:tcPr>
          <w:p w14:paraId="62741DC4"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p w14:paraId="1BA6E09E" w14:textId="77777777" w:rsidR="00515398" w:rsidRDefault="006711E6">
            <w:pPr>
              <w:pStyle w:val="P68B1DB1-Normal7"/>
              <w:spacing w:before="120" w:after="120" w:line="240" w:lineRule="auto"/>
              <w:jc w:val="center"/>
              <w:rPr>
                <w:rFonts w:eastAsia="Times New Roman" w:cs="Times New Roman"/>
                <w:bCs/>
                <w:noProof/>
                <w:szCs w:val="18"/>
              </w:rPr>
            </w:pPr>
            <w:r>
              <w:rPr>
                <w:noProof/>
              </w:rPr>
              <w:t>Popis každého milníku a cíle</w:t>
            </w:r>
          </w:p>
        </w:tc>
      </w:tr>
      <w:tr w:rsidR="00515398" w14:paraId="7099E622" w14:textId="77777777">
        <w:trPr>
          <w:trHeight w:val="557"/>
        </w:trPr>
        <w:tc>
          <w:tcPr>
            <w:tcW w:w="1043" w:type="dxa"/>
            <w:vMerge/>
            <w:tcBorders>
              <w:top w:val="single" w:sz="4" w:space="0" w:color="auto"/>
              <w:left w:val="single" w:sz="4" w:space="0" w:color="auto"/>
              <w:bottom w:val="single" w:sz="4" w:space="0" w:color="auto"/>
              <w:right w:val="single" w:sz="4" w:space="0" w:color="auto"/>
            </w:tcBorders>
            <w:noWrap/>
            <w:vAlign w:val="center"/>
          </w:tcPr>
          <w:p w14:paraId="6672C9E6" w14:textId="77777777" w:rsidR="00515398" w:rsidRDefault="00515398">
            <w:pPr>
              <w:spacing w:after="0" w:line="240" w:lineRule="auto"/>
              <w:rPr>
                <w:rFonts w:ascii="Times New Roman" w:eastAsia="Times New Roman" w:hAnsi="Times New Roman" w:cs="Times New Roman"/>
                <w:b/>
                <w:bCs/>
                <w:noProof/>
                <w:sz w:val="18"/>
                <w:szCs w:val="18"/>
              </w:rPr>
            </w:pPr>
          </w:p>
        </w:tc>
        <w:tc>
          <w:tcPr>
            <w:tcW w:w="1646" w:type="dxa"/>
            <w:vMerge/>
            <w:tcBorders>
              <w:top w:val="single" w:sz="4" w:space="0" w:color="auto"/>
              <w:left w:val="single" w:sz="4" w:space="0" w:color="auto"/>
              <w:bottom w:val="single" w:sz="4" w:space="0" w:color="auto"/>
              <w:right w:val="single" w:sz="4" w:space="0" w:color="auto"/>
            </w:tcBorders>
            <w:noWrap/>
            <w:vAlign w:val="center"/>
          </w:tcPr>
          <w:p w14:paraId="5CB8709E"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14:paraId="2AC5451A" w14:textId="77777777" w:rsidR="00515398" w:rsidRDefault="00515398">
            <w:pPr>
              <w:spacing w:after="0" w:line="240" w:lineRule="auto"/>
              <w:rPr>
                <w:rFonts w:ascii="Times New Roman" w:eastAsia="Times New Roman" w:hAnsi="Times New Roman" w:cs="Times New Roman"/>
                <w:b/>
                <w:bCs/>
                <w:noProof/>
                <w:sz w:val="18"/>
                <w:szCs w:val="18"/>
              </w:rPr>
            </w:pPr>
          </w:p>
        </w:tc>
        <w:tc>
          <w:tcPr>
            <w:tcW w:w="1275" w:type="dxa"/>
            <w:vMerge/>
            <w:tcBorders>
              <w:top w:val="single" w:sz="4" w:space="0" w:color="auto"/>
              <w:left w:val="single" w:sz="4" w:space="0" w:color="auto"/>
              <w:bottom w:val="single" w:sz="4" w:space="0" w:color="auto"/>
              <w:right w:val="single" w:sz="4" w:space="0" w:color="auto"/>
            </w:tcBorders>
            <w:noWrap/>
            <w:vAlign w:val="center"/>
          </w:tcPr>
          <w:p w14:paraId="6CF8B8E7" w14:textId="77777777" w:rsidR="00515398" w:rsidRDefault="00515398">
            <w:pPr>
              <w:spacing w:after="0" w:line="240" w:lineRule="auto"/>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14:paraId="1CDA7A8B" w14:textId="77777777" w:rsidR="00515398" w:rsidRDefault="00515398">
            <w:pPr>
              <w:spacing w:after="0" w:line="240" w:lineRule="auto"/>
              <w:rPr>
                <w:rFonts w:ascii="Times New Roman" w:eastAsia="Times New Roman" w:hAnsi="Times New Roman" w:cs="Times New Roman"/>
                <w:b/>
                <w:bCs/>
                <w:noProof/>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49BED75"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1134" w:type="dxa"/>
            <w:tcBorders>
              <w:top w:val="single" w:sz="4" w:space="0" w:color="auto"/>
              <w:left w:val="nil"/>
              <w:bottom w:val="single" w:sz="4" w:space="0" w:color="auto"/>
              <w:right w:val="single" w:sz="4" w:space="0" w:color="auto"/>
            </w:tcBorders>
            <w:shd w:val="clear" w:color="auto" w:fill="BDD7EE"/>
            <w:vAlign w:val="center"/>
          </w:tcPr>
          <w:p w14:paraId="6CF15580"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850" w:type="dxa"/>
            <w:tcBorders>
              <w:top w:val="single" w:sz="4" w:space="0" w:color="auto"/>
              <w:left w:val="nil"/>
              <w:bottom w:val="single" w:sz="4" w:space="0" w:color="auto"/>
              <w:right w:val="single" w:sz="4" w:space="0" w:color="auto"/>
            </w:tcBorders>
            <w:shd w:val="clear" w:color="auto" w:fill="BDD7EE"/>
            <w:vAlign w:val="center"/>
          </w:tcPr>
          <w:p w14:paraId="016A11F4"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851" w:type="dxa"/>
            <w:tcBorders>
              <w:top w:val="single" w:sz="4" w:space="0" w:color="auto"/>
              <w:left w:val="nil"/>
              <w:bottom w:val="single" w:sz="4" w:space="0" w:color="auto"/>
              <w:right w:val="single" w:sz="4" w:space="0" w:color="auto"/>
            </w:tcBorders>
            <w:shd w:val="clear" w:color="auto" w:fill="BDD7EE"/>
            <w:noWrap/>
          </w:tcPr>
          <w:p w14:paraId="5D3F7A42"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850" w:type="dxa"/>
            <w:tcBorders>
              <w:top w:val="single" w:sz="4" w:space="0" w:color="auto"/>
              <w:left w:val="nil"/>
              <w:bottom w:val="single" w:sz="4" w:space="0" w:color="auto"/>
              <w:right w:val="single" w:sz="4" w:space="0" w:color="auto"/>
            </w:tcBorders>
            <w:shd w:val="clear" w:color="auto" w:fill="BDD7EE"/>
          </w:tcPr>
          <w:p w14:paraId="67420DCB"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402" w:type="dxa"/>
            <w:vMerge/>
            <w:tcBorders>
              <w:bottom w:val="single" w:sz="4" w:space="0" w:color="auto"/>
              <w:right w:val="single" w:sz="4" w:space="0" w:color="auto"/>
            </w:tcBorders>
            <w:noWrap/>
          </w:tcPr>
          <w:p w14:paraId="6C18058D"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00714AAE" w14:textId="77777777">
        <w:tc>
          <w:tcPr>
            <w:tcW w:w="1043" w:type="dxa"/>
            <w:tcBorders>
              <w:top w:val="single" w:sz="4" w:space="0" w:color="auto"/>
              <w:left w:val="single" w:sz="4" w:space="0" w:color="auto"/>
              <w:bottom w:val="single" w:sz="4" w:space="0" w:color="auto"/>
              <w:right w:val="single" w:sz="4" w:space="0" w:color="auto"/>
            </w:tcBorders>
            <w:shd w:val="clear" w:color="auto" w:fill="C6EFCE"/>
            <w:noWrap/>
          </w:tcPr>
          <w:p w14:paraId="5B1EA68D" w14:textId="77777777" w:rsidR="00515398" w:rsidRDefault="006711E6">
            <w:pPr>
              <w:pStyle w:val="P68B1DB1-Normal9"/>
              <w:spacing w:after="0" w:line="240" w:lineRule="auto"/>
              <w:rPr>
                <w:rFonts w:eastAsia="Times New Roman" w:cs="Calibri"/>
                <w:noProof/>
                <w:szCs w:val="18"/>
              </w:rPr>
            </w:pPr>
            <w:r>
              <w:rPr>
                <w:noProof/>
              </w:rPr>
              <w:t>351</w:t>
            </w:r>
          </w:p>
        </w:tc>
        <w:tc>
          <w:tcPr>
            <w:tcW w:w="1646" w:type="dxa"/>
            <w:tcBorders>
              <w:top w:val="single" w:sz="4" w:space="0" w:color="auto"/>
              <w:left w:val="nil"/>
              <w:bottom w:val="single" w:sz="4" w:space="0" w:color="auto"/>
              <w:right w:val="single" w:sz="4" w:space="0" w:color="auto"/>
            </w:tcBorders>
            <w:shd w:val="clear" w:color="auto" w:fill="C6EFCE"/>
            <w:noWrap/>
          </w:tcPr>
          <w:p w14:paraId="41E86755" w14:textId="77777777" w:rsidR="00515398" w:rsidRDefault="006711E6">
            <w:pPr>
              <w:pStyle w:val="P68B1DB1-Normal9"/>
              <w:spacing w:after="0" w:line="240" w:lineRule="auto"/>
              <w:rPr>
                <w:rFonts w:eastAsia="Times New Roman" w:cs="Calibri"/>
                <w:noProof/>
                <w:szCs w:val="18"/>
              </w:rPr>
            </w:pPr>
            <w:r>
              <w:rPr>
                <w:noProof/>
              </w:rPr>
              <w:t>20–5.1. Reformy REPowerEU – 16987_Rámec pro udělování licencí pro obnovitelný vodík a udržitelný biometan</w:t>
            </w:r>
          </w:p>
        </w:tc>
        <w:tc>
          <w:tcPr>
            <w:tcW w:w="1134" w:type="dxa"/>
            <w:tcBorders>
              <w:top w:val="single" w:sz="4" w:space="0" w:color="auto"/>
              <w:left w:val="nil"/>
              <w:bottom w:val="single" w:sz="4" w:space="0" w:color="auto"/>
              <w:right w:val="single" w:sz="4" w:space="0" w:color="auto"/>
            </w:tcBorders>
            <w:shd w:val="clear" w:color="auto" w:fill="C6EFCE"/>
            <w:noWrap/>
          </w:tcPr>
          <w:p w14:paraId="0BD1083D" w14:textId="77777777" w:rsidR="00515398" w:rsidRDefault="006711E6">
            <w:pPr>
              <w:pStyle w:val="P68B1DB1-Normal9"/>
              <w:spacing w:after="0" w:line="240" w:lineRule="auto"/>
              <w:rPr>
                <w:rFonts w:eastAsia="Times New Roman" w:cs="Calibri"/>
                <w:noProof/>
                <w:szCs w:val="18"/>
              </w:rPr>
            </w:pPr>
            <w:r>
              <w:rPr>
                <w:noProof/>
              </w:rPr>
              <w:t>Milník</w:t>
            </w:r>
          </w:p>
        </w:tc>
        <w:tc>
          <w:tcPr>
            <w:tcW w:w="1275" w:type="dxa"/>
            <w:tcBorders>
              <w:top w:val="single" w:sz="4" w:space="0" w:color="auto"/>
              <w:left w:val="nil"/>
              <w:bottom w:val="single" w:sz="4" w:space="0" w:color="auto"/>
              <w:right w:val="single" w:sz="4" w:space="0" w:color="auto"/>
            </w:tcBorders>
            <w:shd w:val="clear" w:color="auto" w:fill="C6EFCE"/>
            <w:noWrap/>
          </w:tcPr>
          <w:p w14:paraId="6D35D643" w14:textId="77777777" w:rsidR="00515398" w:rsidRDefault="006711E6">
            <w:pPr>
              <w:pStyle w:val="P68B1DB1-Normal9"/>
              <w:spacing w:after="0" w:line="240" w:lineRule="auto"/>
              <w:rPr>
                <w:rFonts w:eastAsia="Times New Roman" w:cs="Calibri"/>
                <w:noProof/>
                <w:szCs w:val="18"/>
              </w:rPr>
            </w:pPr>
            <w:r>
              <w:rPr>
                <w:noProof/>
              </w:rPr>
              <w:t>Legislativní rámec pro obnovitelný vodík a udržitelný biometan</w:t>
            </w:r>
          </w:p>
        </w:tc>
        <w:tc>
          <w:tcPr>
            <w:tcW w:w="1134" w:type="dxa"/>
            <w:tcBorders>
              <w:top w:val="single" w:sz="4" w:space="0" w:color="auto"/>
              <w:left w:val="nil"/>
              <w:bottom w:val="single" w:sz="4" w:space="0" w:color="auto"/>
              <w:right w:val="single" w:sz="4" w:space="0" w:color="auto"/>
            </w:tcBorders>
            <w:shd w:val="clear" w:color="auto" w:fill="C6EFCE"/>
            <w:noWrap/>
          </w:tcPr>
          <w:p w14:paraId="4569BAD5" w14:textId="77777777" w:rsidR="00515398" w:rsidRDefault="006711E6">
            <w:pPr>
              <w:pStyle w:val="P68B1DB1-Normal9"/>
              <w:spacing w:after="0" w:line="240" w:lineRule="auto"/>
              <w:rPr>
                <w:rFonts w:eastAsia="Times New Roman" w:cs="Calibri"/>
                <w:noProof/>
                <w:szCs w:val="18"/>
              </w:rPr>
            </w:pPr>
            <w:r>
              <w:rPr>
                <w:noProof/>
              </w:rPr>
              <w:t xml:space="preserve">Vstup do </w:t>
            </w:r>
          </w:p>
          <w:p w14:paraId="043145D7" w14:textId="77777777" w:rsidR="00515398" w:rsidRDefault="006711E6">
            <w:pPr>
              <w:pStyle w:val="P68B1DB1-Normal9"/>
              <w:spacing w:after="0" w:line="240" w:lineRule="auto"/>
              <w:rPr>
                <w:rFonts w:eastAsia="Times New Roman" w:cs="Calibri"/>
                <w:noProof/>
                <w:szCs w:val="18"/>
              </w:rPr>
            </w:pPr>
            <w:r>
              <w:rPr>
                <w:noProof/>
              </w:rPr>
              <w:t xml:space="preserve">síla </w:t>
            </w:r>
          </w:p>
          <w:p w14:paraId="7150EF04" w14:textId="77777777" w:rsidR="00515398" w:rsidRDefault="006711E6">
            <w:pPr>
              <w:pStyle w:val="P68B1DB1-Normal9"/>
              <w:spacing w:after="0" w:line="240" w:lineRule="auto"/>
              <w:rPr>
                <w:rFonts w:eastAsia="Times New Roman" w:cs="Calibri"/>
                <w:noProof/>
                <w:szCs w:val="18"/>
              </w:rPr>
            </w:pPr>
            <w:r>
              <w:rPr>
                <w:noProof/>
              </w:rPr>
              <w:t xml:space="preserve">znění příslušných právních předpisů </w:t>
            </w:r>
          </w:p>
          <w:p w14:paraId="48EE6935" w14:textId="77777777" w:rsidR="00515398" w:rsidRDefault="00515398">
            <w:pPr>
              <w:spacing w:after="0" w:line="240" w:lineRule="auto"/>
              <w:rPr>
                <w:rFonts w:eastAsia="Times New Roman" w:cs="Calibri"/>
                <w:noProof/>
                <w:color w:val="006100"/>
                <w:sz w:val="18"/>
                <w:szCs w:val="18"/>
              </w:rPr>
            </w:pPr>
          </w:p>
        </w:tc>
        <w:tc>
          <w:tcPr>
            <w:tcW w:w="993" w:type="dxa"/>
            <w:tcBorders>
              <w:top w:val="single" w:sz="4" w:space="0" w:color="auto"/>
              <w:left w:val="nil"/>
              <w:bottom w:val="single" w:sz="4" w:space="0" w:color="auto"/>
              <w:right w:val="single" w:sz="4" w:space="0" w:color="auto"/>
            </w:tcBorders>
            <w:shd w:val="clear" w:color="auto" w:fill="C6EFCE"/>
            <w:noWrap/>
          </w:tcPr>
          <w:p w14:paraId="7D4700B9" w14:textId="77777777" w:rsidR="00515398" w:rsidRDefault="00515398">
            <w:pPr>
              <w:spacing w:after="0" w:line="240" w:lineRule="auto"/>
              <w:rPr>
                <w:rFonts w:eastAsia="Times New Roman" w:cs="Calibri"/>
                <w:noProof/>
                <w:color w:val="006100"/>
                <w:sz w:val="18"/>
                <w:szCs w:val="18"/>
              </w:rPr>
            </w:pPr>
          </w:p>
        </w:tc>
        <w:tc>
          <w:tcPr>
            <w:tcW w:w="1134" w:type="dxa"/>
            <w:tcBorders>
              <w:top w:val="single" w:sz="4" w:space="0" w:color="auto"/>
              <w:left w:val="nil"/>
              <w:bottom w:val="single" w:sz="4" w:space="0" w:color="auto"/>
              <w:right w:val="single" w:sz="4" w:space="0" w:color="auto"/>
            </w:tcBorders>
            <w:shd w:val="clear" w:color="auto" w:fill="C6EFCE"/>
            <w:noWrap/>
          </w:tcPr>
          <w:p w14:paraId="27F3BDAF" w14:textId="77777777" w:rsidR="00515398" w:rsidRDefault="00515398">
            <w:pPr>
              <w:spacing w:after="0" w:line="240" w:lineRule="auto"/>
              <w:rPr>
                <w:rFonts w:eastAsia="Times New Roman" w:cs="Calibri"/>
                <w:noProof/>
                <w:color w:val="006100"/>
                <w:sz w:val="18"/>
                <w:szCs w:val="18"/>
              </w:rPr>
            </w:pPr>
          </w:p>
        </w:tc>
        <w:tc>
          <w:tcPr>
            <w:tcW w:w="850" w:type="dxa"/>
            <w:tcBorders>
              <w:top w:val="single" w:sz="4" w:space="0" w:color="auto"/>
              <w:left w:val="nil"/>
              <w:bottom w:val="single" w:sz="4" w:space="0" w:color="auto"/>
              <w:right w:val="single" w:sz="4" w:space="0" w:color="auto"/>
            </w:tcBorders>
            <w:shd w:val="clear" w:color="auto" w:fill="C6EFCE"/>
            <w:noWrap/>
          </w:tcPr>
          <w:p w14:paraId="4CC09B72" w14:textId="77777777" w:rsidR="00515398" w:rsidRDefault="00515398">
            <w:pPr>
              <w:spacing w:after="0" w:line="240" w:lineRule="auto"/>
              <w:rPr>
                <w:rFonts w:eastAsia="Times New Roman" w:cs="Calibri"/>
                <w:noProof/>
                <w:color w:val="006100"/>
                <w:sz w:val="18"/>
                <w:szCs w:val="18"/>
              </w:rPr>
            </w:pPr>
          </w:p>
        </w:tc>
        <w:tc>
          <w:tcPr>
            <w:tcW w:w="851" w:type="dxa"/>
            <w:tcBorders>
              <w:top w:val="single" w:sz="4" w:space="0" w:color="auto"/>
              <w:left w:val="nil"/>
              <w:bottom w:val="single" w:sz="4" w:space="0" w:color="auto"/>
              <w:right w:val="single" w:sz="4" w:space="0" w:color="auto"/>
            </w:tcBorders>
            <w:shd w:val="clear" w:color="auto" w:fill="C6EFCE"/>
            <w:noWrap/>
          </w:tcPr>
          <w:p w14:paraId="14183916" w14:textId="77777777" w:rsidR="00515398" w:rsidRDefault="006711E6">
            <w:pPr>
              <w:pStyle w:val="P68B1DB1-Normal9"/>
              <w:spacing w:after="0" w:line="240" w:lineRule="auto"/>
              <w:rPr>
                <w:rFonts w:eastAsia="Times New Roman" w:cs="Calibri"/>
                <w:noProof/>
                <w:szCs w:val="18"/>
              </w:rPr>
            </w:pPr>
            <w:r>
              <w:rPr>
                <w:noProof/>
              </w:rPr>
              <w:t>ČTVRTLETÍ</w:t>
            </w:r>
          </w:p>
        </w:tc>
        <w:tc>
          <w:tcPr>
            <w:tcW w:w="850" w:type="dxa"/>
            <w:tcBorders>
              <w:top w:val="single" w:sz="4" w:space="0" w:color="auto"/>
              <w:left w:val="nil"/>
              <w:bottom w:val="single" w:sz="4" w:space="0" w:color="auto"/>
              <w:right w:val="single" w:sz="4" w:space="0" w:color="auto"/>
            </w:tcBorders>
            <w:shd w:val="clear" w:color="auto" w:fill="C6EFCE"/>
            <w:noWrap/>
          </w:tcPr>
          <w:p w14:paraId="0052BE36" w14:textId="77777777" w:rsidR="00515398" w:rsidRDefault="006711E6">
            <w:pPr>
              <w:pStyle w:val="P68B1DB1-Normal9"/>
              <w:spacing w:after="0" w:line="240" w:lineRule="auto"/>
              <w:rPr>
                <w:rFonts w:eastAsia="Times New Roman" w:cs="Calibri"/>
                <w:noProof/>
                <w:szCs w:val="18"/>
              </w:rPr>
            </w:pPr>
            <w:r>
              <w:rPr>
                <w:noProof/>
              </w:rPr>
              <w:t>2024</w:t>
            </w:r>
          </w:p>
        </w:tc>
        <w:tc>
          <w:tcPr>
            <w:tcW w:w="3402" w:type="dxa"/>
            <w:tcBorders>
              <w:top w:val="single" w:sz="4" w:space="0" w:color="auto"/>
              <w:left w:val="nil"/>
              <w:bottom w:val="single" w:sz="4" w:space="0" w:color="auto"/>
              <w:right w:val="single" w:sz="4" w:space="0" w:color="auto"/>
            </w:tcBorders>
            <w:shd w:val="clear" w:color="auto" w:fill="C6EFCE"/>
            <w:noWrap/>
          </w:tcPr>
          <w:p w14:paraId="0157E075" w14:textId="77777777" w:rsidR="00515398" w:rsidRDefault="006711E6">
            <w:pPr>
              <w:pStyle w:val="P68B1DB1-Normal9"/>
              <w:spacing w:after="0" w:line="240" w:lineRule="auto"/>
              <w:rPr>
                <w:rFonts w:eastAsia="Times New Roman" w:cs="Calibri"/>
                <w:noProof/>
                <w:szCs w:val="18"/>
                <w:highlight w:val="yellow"/>
              </w:rPr>
            </w:pPr>
            <w:r>
              <w:rPr>
                <w:noProof/>
              </w:rPr>
              <w:t xml:space="preserve">Vstup v platnost právních předpisů (primárních a sekundárních) na podporu vodíku z obnovitelných zdrojů a udržitelného biometanu. </w:t>
            </w:r>
          </w:p>
          <w:p w14:paraId="234A9CE2" w14:textId="77777777" w:rsidR="00515398" w:rsidRDefault="006711E6">
            <w:pPr>
              <w:pStyle w:val="P68B1DB1-Normal9"/>
              <w:spacing w:after="0" w:line="240" w:lineRule="auto"/>
              <w:rPr>
                <w:rFonts w:eastAsia="Times New Roman" w:cs="Calibri"/>
                <w:noProof/>
                <w:szCs w:val="18"/>
              </w:rPr>
            </w:pPr>
            <w:r>
              <w:rPr>
                <w:noProof/>
              </w:rPr>
              <w:t xml:space="preserve">Právní předpisy zahrnují: podpora výroby a spotřeby vodíku z obnovitelných zdrojů a udržitelného biometanu, </w:t>
            </w:r>
            <w:r>
              <w:rPr>
                <w:noProof/>
              </w:rPr>
              <w:t>včetně specifikace licenčních a povolovacích postupů, ustanovení o územním plánování, vymezení technických specifikací pro přenos, skladování a vstřikování do sítě, vyjasnění úlohy různých zúčastněných stran, jakož i zúčastněných veřejných orgánů, a zárove</w:t>
            </w:r>
            <w:r>
              <w:rPr>
                <w:noProof/>
              </w:rPr>
              <w:t>ň zajištění mechanismu certifikace, že vyráběný vodík bude obnovitelný a biometan udržitelný, v souladu s nedávnými ustanoveními aktů v přenesené pravomoci podle směrnice RED II.</w:t>
            </w:r>
          </w:p>
        </w:tc>
      </w:tr>
    </w:tbl>
    <w:p w14:paraId="154AB354" w14:textId="77777777" w:rsidR="00515398" w:rsidRDefault="00515398">
      <w:pPr>
        <w:rPr>
          <w:noProof/>
        </w:rPr>
      </w:pPr>
    </w:p>
    <w:p w14:paraId="6DCE673E" w14:textId="77777777" w:rsidR="00515398" w:rsidRDefault="006711E6">
      <w:pPr>
        <w:pStyle w:val="P68B1DB1-Normal6"/>
        <w:keepNext/>
        <w:keepLines/>
        <w:spacing w:before="240" w:after="0" w:line="240" w:lineRule="auto"/>
        <w:jc w:val="both"/>
        <w:outlineLvl w:val="4"/>
        <w:rPr>
          <w:noProof/>
          <w:color w:val="365F91" w:themeColor="accent1" w:themeShade="BF"/>
        </w:rPr>
      </w:pPr>
      <w:r>
        <w:rPr>
          <w:noProof/>
        </w:rPr>
        <w:t>Reforma č. 2: Optimalizace využití pevninského a mořského prostoru pro rozvoj obnovitelných zdrojů energie a rozvoje větrné energie na moři (ID opatření: 16989)</w:t>
      </w:r>
    </w:p>
    <w:p w14:paraId="225BB70A" w14:textId="77777777" w:rsidR="00515398" w:rsidRDefault="00515398">
      <w:pPr>
        <w:keepNext/>
        <w:keepLines/>
        <w:spacing w:before="240" w:after="0" w:line="240" w:lineRule="auto"/>
        <w:jc w:val="both"/>
        <w:outlineLvl w:val="4"/>
        <w:rPr>
          <w:rFonts w:ascii="Cambria" w:eastAsia="Times New Roman" w:hAnsi="Cambria"/>
          <w:noProof/>
          <w:color w:val="365F91"/>
          <w:sz w:val="24"/>
          <w:szCs w:val="24"/>
        </w:rPr>
      </w:pPr>
    </w:p>
    <w:tbl>
      <w:tblPr>
        <w:tblW w:w="14454" w:type="dxa"/>
        <w:jc w:val="center"/>
        <w:tblLayout w:type="fixed"/>
        <w:tblLook w:val="04A0" w:firstRow="1" w:lastRow="0" w:firstColumn="1" w:lastColumn="0" w:noHBand="0" w:noVBand="1"/>
      </w:tblPr>
      <w:tblGrid>
        <w:gridCol w:w="1134"/>
        <w:gridCol w:w="1861"/>
        <w:gridCol w:w="1080"/>
        <w:gridCol w:w="1278"/>
        <w:gridCol w:w="1305"/>
        <w:gridCol w:w="1137"/>
        <w:gridCol w:w="960"/>
        <w:gridCol w:w="720"/>
        <w:gridCol w:w="960"/>
        <w:gridCol w:w="773"/>
        <w:gridCol w:w="3246"/>
      </w:tblGrid>
      <w:tr w:rsidR="00515398" w14:paraId="455C6A84" w14:textId="77777777">
        <w:trPr>
          <w:trHeight w:val="844"/>
          <w:tblHeader/>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89C018" w14:textId="77777777" w:rsidR="00515398" w:rsidRDefault="006711E6">
            <w:pPr>
              <w:pStyle w:val="P68B1DB1-Normal7"/>
              <w:spacing w:before="120" w:after="120" w:line="240" w:lineRule="auto"/>
              <w:jc w:val="center"/>
              <w:rPr>
                <w:rFonts w:cs="Times New Roman"/>
                <w:noProof/>
                <w:sz w:val="24"/>
              </w:rPr>
            </w:pPr>
            <w:r>
              <w:rPr>
                <w:noProof/>
              </w:rPr>
              <w:t>Pořadové číslo</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9B1ACE" w14:textId="77777777" w:rsidR="00515398" w:rsidRDefault="006711E6">
            <w:pPr>
              <w:pStyle w:val="P68B1DB1-Normal7"/>
              <w:spacing w:before="120" w:after="120" w:line="240" w:lineRule="auto"/>
              <w:jc w:val="center"/>
              <w:rPr>
                <w:rFonts w:cs="Times New Roman"/>
                <w:noProof/>
                <w:sz w:val="24"/>
              </w:rPr>
            </w:pPr>
            <w:r>
              <w:rPr>
                <w:noProof/>
              </w:rPr>
              <w:t>Související opatření (reforma nebo investice)</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60329E" w14:textId="77777777" w:rsidR="00515398" w:rsidRDefault="006711E6">
            <w:pPr>
              <w:pStyle w:val="P68B1DB1-Normal7"/>
              <w:spacing w:before="120" w:after="120" w:line="240" w:lineRule="auto"/>
              <w:jc w:val="center"/>
              <w:rPr>
                <w:rFonts w:cs="Times New Roman"/>
                <w:noProof/>
                <w:sz w:val="24"/>
              </w:rPr>
            </w:pPr>
            <w:r>
              <w:rPr>
                <w:noProof/>
              </w:rPr>
              <w:t>Milník/cíl</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82B2CF" w14:textId="77777777" w:rsidR="00515398" w:rsidRDefault="006711E6">
            <w:pPr>
              <w:pStyle w:val="P68B1DB1-Normal7"/>
              <w:spacing w:before="120" w:after="120" w:line="240" w:lineRule="auto"/>
              <w:jc w:val="center"/>
              <w:rPr>
                <w:rFonts w:cs="Times New Roman"/>
                <w:noProof/>
                <w:sz w:val="24"/>
              </w:rPr>
            </w:pPr>
            <w:r>
              <w:rPr>
                <w:noProof/>
              </w:rPr>
              <w:t>Jméno</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12A01E" w14:textId="77777777" w:rsidR="00515398" w:rsidRDefault="006711E6">
            <w:pPr>
              <w:pStyle w:val="P68B1DB1-Normal7"/>
              <w:spacing w:before="120" w:after="120" w:line="240" w:lineRule="auto"/>
              <w:jc w:val="center"/>
              <w:rPr>
                <w:rFonts w:cs="Times New Roman"/>
                <w:noProof/>
                <w:sz w:val="24"/>
                <w:szCs w:val="24"/>
              </w:rPr>
            </w:pPr>
            <w:r>
              <w:rPr>
                <w:noProof/>
              </w:rPr>
              <w:t xml:space="preserve">Kvalitativní </w:t>
            </w:r>
            <w:r>
              <w:rPr>
                <w:noProof/>
              </w:rPr>
              <w:t>ukazatele (pro milníky)</w:t>
            </w:r>
          </w:p>
        </w:tc>
        <w:tc>
          <w:tcPr>
            <w:tcW w:w="281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2956E7A" w14:textId="77777777" w:rsidR="00515398" w:rsidRDefault="006711E6">
            <w:pPr>
              <w:pStyle w:val="P68B1DB1-Normal7"/>
              <w:spacing w:before="120" w:after="120" w:line="240" w:lineRule="auto"/>
              <w:jc w:val="center"/>
              <w:rPr>
                <w:rFonts w:cs="Times New Roman"/>
                <w:noProof/>
                <w:sz w:val="24"/>
                <w:szCs w:val="24"/>
              </w:rPr>
            </w:pPr>
            <w:r>
              <w:rPr>
                <w:noProof/>
              </w:rPr>
              <w:t>Kvantitativní ukazatele (pro cíle)</w:t>
            </w:r>
          </w:p>
        </w:tc>
        <w:tc>
          <w:tcPr>
            <w:tcW w:w="1733"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39BBEE0D" w14:textId="77777777" w:rsidR="00515398" w:rsidRDefault="006711E6">
            <w:pPr>
              <w:pStyle w:val="P68B1DB1-Normal7"/>
              <w:spacing w:before="120" w:after="120" w:line="240" w:lineRule="auto"/>
              <w:jc w:val="center"/>
              <w:rPr>
                <w:rFonts w:cs="Times New Roman"/>
                <w:noProof/>
                <w:sz w:val="24"/>
              </w:rPr>
            </w:pPr>
            <w:r>
              <w:rPr>
                <w:noProof/>
              </w:rPr>
              <w:t>Orientační harmonogram pro dokončení</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A8373F" w14:textId="77777777" w:rsidR="00515398" w:rsidRDefault="006711E6">
            <w:pPr>
              <w:pStyle w:val="P68B1DB1-Normal7"/>
              <w:spacing w:before="120" w:after="120" w:line="240" w:lineRule="auto"/>
              <w:jc w:val="center"/>
              <w:rPr>
                <w:rFonts w:cs="Times New Roman"/>
                <w:noProof/>
                <w:sz w:val="24"/>
              </w:rPr>
            </w:pPr>
            <w:r>
              <w:rPr>
                <w:noProof/>
              </w:rPr>
              <w:t>Popis každého milníku a cíle</w:t>
            </w:r>
          </w:p>
        </w:tc>
      </w:tr>
      <w:tr w:rsidR="00515398" w14:paraId="075A73C2" w14:textId="77777777">
        <w:trPr>
          <w:trHeight w:val="277"/>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tcPr>
          <w:p w14:paraId="056F22E6"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861" w:type="dxa"/>
            <w:vMerge/>
            <w:tcBorders>
              <w:top w:val="single" w:sz="4" w:space="0" w:color="auto"/>
              <w:left w:val="single" w:sz="4" w:space="0" w:color="auto"/>
              <w:bottom w:val="single" w:sz="4" w:space="0" w:color="auto"/>
              <w:right w:val="single" w:sz="4" w:space="0" w:color="auto"/>
            </w:tcBorders>
            <w:vAlign w:val="center"/>
          </w:tcPr>
          <w:p w14:paraId="139A75F9"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7AC8F93"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tcPr>
          <w:p w14:paraId="220CC422"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5ECD1C00"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137" w:type="dxa"/>
            <w:tcBorders>
              <w:top w:val="single" w:sz="4" w:space="0" w:color="auto"/>
              <w:left w:val="single" w:sz="4" w:space="0" w:color="auto"/>
              <w:bottom w:val="single" w:sz="4" w:space="0" w:color="auto"/>
              <w:right w:val="single" w:sz="4" w:space="0" w:color="auto"/>
            </w:tcBorders>
            <w:shd w:val="clear" w:color="auto" w:fill="BDD7EE"/>
            <w:vAlign w:val="center"/>
          </w:tcPr>
          <w:p w14:paraId="7DB8090F"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960" w:type="dxa"/>
            <w:tcBorders>
              <w:top w:val="single" w:sz="4" w:space="0" w:color="auto"/>
              <w:left w:val="single" w:sz="4" w:space="0" w:color="auto"/>
              <w:bottom w:val="single" w:sz="4" w:space="0" w:color="auto"/>
              <w:right w:val="single" w:sz="4" w:space="0" w:color="auto"/>
            </w:tcBorders>
            <w:shd w:val="clear" w:color="auto" w:fill="BDD7EE"/>
            <w:vAlign w:val="center"/>
          </w:tcPr>
          <w:p w14:paraId="18407538"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720" w:type="dxa"/>
            <w:tcBorders>
              <w:top w:val="single" w:sz="4" w:space="0" w:color="auto"/>
              <w:left w:val="nil"/>
              <w:bottom w:val="single" w:sz="4" w:space="0" w:color="auto"/>
              <w:right w:val="single" w:sz="4" w:space="0" w:color="auto"/>
            </w:tcBorders>
            <w:shd w:val="clear" w:color="auto" w:fill="BDD7EE"/>
            <w:vAlign w:val="center"/>
          </w:tcPr>
          <w:p w14:paraId="7BDDA70D"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960" w:type="dxa"/>
            <w:tcBorders>
              <w:top w:val="single" w:sz="4" w:space="0" w:color="auto"/>
              <w:left w:val="nil"/>
              <w:bottom w:val="single" w:sz="4" w:space="0" w:color="auto"/>
              <w:right w:val="single" w:sz="4" w:space="0" w:color="auto"/>
            </w:tcBorders>
            <w:shd w:val="clear" w:color="auto" w:fill="BDD7EE"/>
            <w:vAlign w:val="center"/>
          </w:tcPr>
          <w:p w14:paraId="015EA965"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773" w:type="dxa"/>
            <w:tcBorders>
              <w:top w:val="single" w:sz="4" w:space="0" w:color="auto"/>
              <w:left w:val="nil"/>
              <w:bottom w:val="single" w:sz="4" w:space="0" w:color="auto"/>
              <w:right w:val="single" w:sz="4" w:space="0" w:color="auto"/>
            </w:tcBorders>
            <w:shd w:val="clear" w:color="auto" w:fill="BDD7EE"/>
            <w:vAlign w:val="center"/>
          </w:tcPr>
          <w:p w14:paraId="27952AFC"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246" w:type="dxa"/>
            <w:vMerge/>
            <w:tcBorders>
              <w:top w:val="single" w:sz="4" w:space="0" w:color="auto"/>
              <w:bottom w:val="single" w:sz="4" w:space="0" w:color="auto"/>
              <w:right w:val="single" w:sz="4" w:space="0" w:color="auto"/>
            </w:tcBorders>
            <w:vAlign w:val="center"/>
          </w:tcPr>
          <w:p w14:paraId="209ECE3B"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r>
      <w:tr w:rsidR="00515398" w14:paraId="1B49255A" w14:textId="77777777">
        <w:trPr>
          <w:trHeight w:val="2253"/>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34178BCB"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352</w:t>
            </w:r>
          </w:p>
        </w:tc>
        <w:tc>
          <w:tcPr>
            <w:tcW w:w="1861" w:type="dxa"/>
            <w:tcBorders>
              <w:top w:val="single" w:sz="4" w:space="0" w:color="auto"/>
              <w:left w:val="nil"/>
              <w:bottom w:val="single" w:sz="4" w:space="0" w:color="auto"/>
              <w:right w:val="single" w:sz="4" w:space="0" w:color="auto"/>
            </w:tcBorders>
            <w:shd w:val="clear" w:color="auto" w:fill="C6EFCE"/>
            <w:noWrap/>
          </w:tcPr>
          <w:p w14:paraId="065AB052" w14:textId="77777777" w:rsidR="00515398" w:rsidRDefault="006711E6">
            <w:pPr>
              <w:pStyle w:val="P68B1DB1-Normal9"/>
              <w:spacing w:after="0" w:line="240" w:lineRule="auto"/>
              <w:rPr>
                <w:rFonts w:eastAsia="Times New Roman" w:cs="Calibri"/>
                <w:noProof/>
                <w:szCs w:val="18"/>
              </w:rPr>
            </w:pPr>
            <w:r>
              <w:rPr>
                <w:noProof/>
              </w:rPr>
              <w:t xml:space="preserve">20–5.1. Reformy REPowerEU – 16989_Optimalizace využívání půdy a mořského </w:t>
            </w:r>
            <w:r>
              <w:rPr>
                <w:noProof/>
              </w:rPr>
              <w:t>prostoru pro rozvoj obnovitelných zdrojů energie a rozvoje větrné energie na moři</w:t>
            </w:r>
          </w:p>
        </w:tc>
        <w:tc>
          <w:tcPr>
            <w:tcW w:w="1080" w:type="dxa"/>
            <w:tcBorders>
              <w:top w:val="single" w:sz="4" w:space="0" w:color="auto"/>
              <w:left w:val="nil"/>
              <w:bottom w:val="single" w:sz="4" w:space="0" w:color="auto"/>
              <w:right w:val="single" w:sz="4" w:space="0" w:color="auto"/>
            </w:tcBorders>
            <w:shd w:val="clear" w:color="auto" w:fill="C6EFCE"/>
            <w:noWrap/>
          </w:tcPr>
          <w:p w14:paraId="602AF325" w14:textId="77777777" w:rsidR="00515398" w:rsidRDefault="006711E6">
            <w:pPr>
              <w:pStyle w:val="P68B1DB1-Normal9"/>
              <w:spacing w:after="0" w:line="240" w:lineRule="auto"/>
              <w:rPr>
                <w:rFonts w:eastAsia="Times New Roman" w:cs="Calibri"/>
                <w:noProof/>
                <w:szCs w:val="18"/>
              </w:rPr>
            </w:pPr>
            <w:r>
              <w:rPr>
                <w:noProof/>
              </w:rPr>
              <w:t>Milník</w:t>
            </w:r>
          </w:p>
        </w:tc>
        <w:tc>
          <w:tcPr>
            <w:tcW w:w="1278" w:type="dxa"/>
            <w:tcBorders>
              <w:top w:val="single" w:sz="4" w:space="0" w:color="auto"/>
              <w:left w:val="nil"/>
              <w:bottom w:val="single" w:sz="4" w:space="0" w:color="auto"/>
              <w:right w:val="single" w:sz="4" w:space="0" w:color="auto"/>
            </w:tcBorders>
            <w:shd w:val="clear" w:color="auto" w:fill="C6EFCE"/>
            <w:noWrap/>
          </w:tcPr>
          <w:p w14:paraId="6ABEC138" w14:textId="77777777" w:rsidR="00515398" w:rsidRDefault="006711E6">
            <w:pPr>
              <w:pStyle w:val="P68B1DB1-Normal9"/>
              <w:spacing w:after="0" w:line="240" w:lineRule="auto"/>
              <w:rPr>
                <w:rFonts w:eastAsia="Times New Roman" w:cs="Calibri"/>
                <w:noProof/>
                <w:szCs w:val="18"/>
              </w:rPr>
            </w:pPr>
            <w:r>
              <w:rPr>
                <w:noProof/>
              </w:rPr>
              <w:t>Přijetí strategie rozvoje větrných elektráren na moři</w:t>
            </w:r>
          </w:p>
        </w:tc>
        <w:tc>
          <w:tcPr>
            <w:tcW w:w="1305" w:type="dxa"/>
            <w:tcBorders>
              <w:top w:val="single" w:sz="4" w:space="0" w:color="auto"/>
              <w:left w:val="nil"/>
              <w:bottom w:val="single" w:sz="4" w:space="0" w:color="auto"/>
              <w:right w:val="single" w:sz="4" w:space="0" w:color="auto"/>
            </w:tcBorders>
            <w:shd w:val="clear" w:color="auto" w:fill="C6EFCE"/>
            <w:noWrap/>
          </w:tcPr>
          <w:p w14:paraId="330783B8" w14:textId="77777777" w:rsidR="00515398" w:rsidRDefault="006711E6">
            <w:pPr>
              <w:pStyle w:val="P68B1DB1-Normal9"/>
              <w:spacing w:after="120" w:line="240" w:lineRule="auto"/>
              <w:rPr>
                <w:rFonts w:eastAsia="Times New Roman" w:cs="Calibri"/>
                <w:noProof/>
                <w:szCs w:val="18"/>
              </w:rPr>
            </w:pPr>
            <w:r>
              <w:rPr>
                <w:noProof/>
              </w:rPr>
              <w:t>Vstup v platnost sekundárního práva</w:t>
            </w:r>
          </w:p>
        </w:tc>
        <w:tc>
          <w:tcPr>
            <w:tcW w:w="1137" w:type="dxa"/>
            <w:tcBorders>
              <w:top w:val="single" w:sz="4" w:space="0" w:color="auto"/>
              <w:left w:val="nil"/>
              <w:bottom w:val="single" w:sz="4" w:space="0" w:color="auto"/>
              <w:right w:val="single" w:sz="4" w:space="0" w:color="auto"/>
            </w:tcBorders>
            <w:shd w:val="clear" w:color="auto" w:fill="C6EFCE"/>
            <w:noWrap/>
          </w:tcPr>
          <w:p w14:paraId="425505C8" w14:textId="77777777" w:rsidR="00515398" w:rsidRDefault="00515398">
            <w:pPr>
              <w:spacing w:after="0" w:line="240" w:lineRule="auto"/>
              <w:rPr>
                <w:rFonts w:ascii="Times New Roman" w:eastAsia="Times New Roman" w:hAnsi="Times New Roman" w:cs="Times New Roman"/>
                <w:noProof/>
                <w:sz w:val="18"/>
                <w:szCs w:val="18"/>
              </w:rPr>
            </w:pPr>
          </w:p>
        </w:tc>
        <w:tc>
          <w:tcPr>
            <w:tcW w:w="960" w:type="dxa"/>
            <w:tcBorders>
              <w:top w:val="nil"/>
              <w:left w:val="nil"/>
              <w:bottom w:val="single" w:sz="4" w:space="0" w:color="auto"/>
              <w:right w:val="single" w:sz="4" w:space="0" w:color="auto"/>
            </w:tcBorders>
            <w:shd w:val="clear" w:color="auto" w:fill="C6EFCE"/>
            <w:noWrap/>
          </w:tcPr>
          <w:p w14:paraId="52CB9EA0" w14:textId="77777777" w:rsidR="00515398" w:rsidRDefault="00515398">
            <w:pPr>
              <w:spacing w:after="0" w:line="240" w:lineRule="auto"/>
              <w:rPr>
                <w:rFonts w:ascii="Times New Roman" w:eastAsia="Times New Roman" w:hAnsi="Times New Roman" w:cs="Times New Roman"/>
                <w:noProof/>
                <w:sz w:val="18"/>
                <w:szCs w:val="18"/>
              </w:rPr>
            </w:pPr>
          </w:p>
        </w:tc>
        <w:tc>
          <w:tcPr>
            <w:tcW w:w="720" w:type="dxa"/>
            <w:tcBorders>
              <w:top w:val="nil"/>
              <w:left w:val="nil"/>
              <w:bottom w:val="single" w:sz="4" w:space="0" w:color="auto"/>
              <w:right w:val="single" w:sz="4" w:space="0" w:color="auto"/>
            </w:tcBorders>
            <w:shd w:val="clear" w:color="auto" w:fill="C6EFCE"/>
            <w:noWrap/>
          </w:tcPr>
          <w:p w14:paraId="68913936" w14:textId="77777777" w:rsidR="00515398" w:rsidRDefault="00515398">
            <w:pPr>
              <w:spacing w:after="0" w:line="240" w:lineRule="auto"/>
              <w:rPr>
                <w:rFonts w:ascii="Times New Roman" w:eastAsia="Times New Roman" w:hAnsi="Times New Roman" w:cs="Times New Roman"/>
                <w:noProof/>
                <w:sz w:val="18"/>
                <w:szCs w:val="18"/>
              </w:rPr>
            </w:pPr>
          </w:p>
        </w:tc>
        <w:tc>
          <w:tcPr>
            <w:tcW w:w="960" w:type="dxa"/>
            <w:tcBorders>
              <w:top w:val="nil"/>
              <w:left w:val="nil"/>
              <w:bottom w:val="single" w:sz="4" w:space="0" w:color="auto"/>
              <w:right w:val="single" w:sz="4" w:space="0" w:color="auto"/>
            </w:tcBorders>
            <w:shd w:val="clear" w:color="auto" w:fill="C6EFCE"/>
            <w:noWrap/>
          </w:tcPr>
          <w:p w14:paraId="264CCBB3" w14:textId="77777777" w:rsidR="00515398" w:rsidRDefault="006711E6">
            <w:pPr>
              <w:pStyle w:val="P68B1DB1-Normal9"/>
              <w:spacing w:after="120" w:line="240" w:lineRule="auto"/>
              <w:rPr>
                <w:rFonts w:eastAsia="Times New Roman"/>
                <w:noProof/>
                <w:szCs w:val="18"/>
              </w:rPr>
            </w:pPr>
            <w:r>
              <w:rPr>
                <w:noProof/>
              </w:rPr>
              <w:t>ČTVRTLETÍ</w:t>
            </w:r>
          </w:p>
        </w:tc>
        <w:tc>
          <w:tcPr>
            <w:tcW w:w="773" w:type="dxa"/>
            <w:tcBorders>
              <w:top w:val="nil"/>
              <w:left w:val="nil"/>
              <w:bottom w:val="single" w:sz="4" w:space="0" w:color="auto"/>
              <w:right w:val="single" w:sz="4" w:space="0" w:color="auto"/>
            </w:tcBorders>
            <w:shd w:val="clear" w:color="auto" w:fill="C6EFCE"/>
            <w:noWrap/>
          </w:tcPr>
          <w:p w14:paraId="6B2F47E6" w14:textId="13FF4A87" w:rsidR="00515398" w:rsidRDefault="006711E6">
            <w:pPr>
              <w:pStyle w:val="P68B1DB1-Normal10"/>
              <w:spacing w:after="120" w:line="240" w:lineRule="auto"/>
              <w:rPr>
                <w:rFonts w:eastAsia="Times New Roman"/>
                <w:noProof/>
              </w:rPr>
            </w:pPr>
            <w:r>
              <w:rPr>
                <w:noProof/>
              </w:rPr>
              <w:t>2025</w:t>
            </w:r>
          </w:p>
        </w:tc>
        <w:tc>
          <w:tcPr>
            <w:tcW w:w="3246" w:type="dxa"/>
            <w:tcBorders>
              <w:top w:val="single" w:sz="4" w:space="0" w:color="auto"/>
              <w:left w:val="nil"/>
              <w:bottom w:val="single" w:sz="4" w:space="0" w:color="auto"/>
              <w:right w:val="single" w:sz="4" w:space="0" w:color="auto"/>
            </w:tcBorders>
            <w:shd w:val="clear" w:color="auto" w:fill="C6EFCE"/>
            <w:noWrap/>
          </w:tcPr>
          <w:p w14:paraId="0FE63366" w14:textId="77777777" w:rsidR="00515398" w:rsidRDefault="006711E6">
            <w:pPr>
              <w:pStyle w:val="P68B1DB1-Normal9"/>
              <w:spacing w:after="0" w:line="240" w:lineRule="auto"/>
              <w:rPr>
                <w:rFonts w:eastAsia="Times New Roman" w:cs="Calibri"/>
                <w:noProof/>
                <w:szCs w:val="18"/>
              </w:rPr>
            </w:pPr>
            <w:r>
              <w:rPr>
                <w:noProof/>
              </w:rPr>
              <w:t>Vstup v platnost sekundárních právních předpisů stanovených</w:t>
            </w:r>
            <w:r>
              <w:rPr>
                <w:noProof/>
              </w:rPr>
              <w:t xml:space="preserve"> v zákoně č. 4964/2022 o větrných elektrárnách na moři. Konkrétně:</w:t>
            </w:r>
          </w:p>
          <w:p w14:paraId="0D4E98D0" w14:textId="77777777" w:rsidR="00515398" w:rsidRDefault="006711E6">
            <w:pPr>
              <w:pStyle w:val="P68B1DB1-ListParagraph20"/>
              <w:numPr>
                <w:ilvl w:val="0"/>
                <w:numId w:val="74"/>
              </w:numPr>
              <w:rPr>
                <w:rFonts w:eastAsia="Times New Roman" w:cs="Calibri"/>
                <w:noProof/>
                <w:szCs w:val="18"/>
              </w:rPr>
            </w:pPr>
            <w:r>
              <w:rPr>
                <w:noProof/>
              </w:rPr>
              <w:t>Vstup v platnost společného ministerského rozhodnutí, kterým se přijímá národní program rozvoje větrných elektráren na moři, který stanoví mořské oblasti v rámci řeckých teritoriálních vod,</w:t>
            </w:r>
            <w:r>
              <w:rPr>
                <w:noProof/>
              </w:rPr>
              <w:t xml:space="preserve"> které jsou vhodné pro provozování činností spojených s výrobou větrné energie na moři, a bude k němu připojeno strategické posouzení vlivů na životní prostředí pro určené oblasti.</w:t>
            </w:r>
          </w:p>
        </w:tc>
      </w:tr>
      <w:tr w:rsidR="00515398" w14:paraId="0AEE00AE" w14:textId="77777777">
        <w:trPr>
          <w:jc w:val="center"/>
        </w:trPr>
        <w:tc>
          <w:tcPr>
            <w:tcW w:w="1134" w:type="dxa"/>
            <w:tcBorders>
              <w:top w:val="nil"/>
              <w:left w:val="single" w:sz="4" w:space="0" w:color="auto"/>
              <w:bottom w:val="single" w:sz="4" w:space="0" w:color="auto"/>
              <w:right w:val="single" w:sz="4" w:space="0" w:color="auto"/>
            </w:tcBorders>
            <w:shd w:val="clear" w:color="auto" w:fill="C6EFCE"/>
            <w:noWrap/>
          </w:tcPr>
          <w:p w14:paraId="602AB39A" w14:textId="77777777" w:rsidR="00515398" w:rsidRDefault="006711E6">
            <w:pPr>
              <w:pStyle w:val="P68B1DB1-Normal9"/>
              <w:spacing w:after="0" w:line="240" w:lineRule="auto"/>
              <w:rPr>
                <w:rFonts w:eastAsia="Times New Roman" w:cs="Calibri"/>
                <w:noProof/>
                <w:szCs w:val="18"/>
              </w:rPr>
            </w:pPr>
            <w:r>
              <w:rPr>
                <w:noProof/>
              </w:rPr>
              <w:t>353</w:t>
            </w:r>
          </w:p>
        </w:tc>
        <w:tc>
          <w:tcPr>
            <w:tcW w:w="1861" w:type="dxa"/>
            <w:tcBorders>
              <w:top w:val="nil"/>
              <w:left w:val="nil"/>
              <w:bottom w:val="single" w:sz="4" w:space="0" w:color="auto"/>
              <w:right w:val="single" w:sz="4" w:space="0" w:color="auto"/>
            </w:tcBorders>
            <w:shd w:val="clear" w:color="auto" w:fill="C6EFCE"/>
            <w:noWrap/>
          </w:tcPr>
          <w:p w14:paraId="613906D7" w14:textId="77777777" w:rsidR="00515398" w:rsidRDefault="006711E6">
            <w:pPr>
              <w:pStyle w:val="P68B1DB1-Normal9"/>
              <w:spacing w:after="120" w:line="240" w:lineRule="auto"/>
              <w:rPr>
                <w:rFonts w:ascii="Times New Roman" w:hAnsi="Times New Roman" w:cs="Times New Roman"/>
                <w:noProof/>
                <w:sz w:val="24"/>
                <w:szCs w:val="24"/>
              </w:rPr>
            </w:pPr>
            <w:r>
              <w:rPr>
                <w:noProof/>
              </w:rPr>
              <w:t xml:space="preserve">20–5.1. Reformy REPowerEU – 16989_Optimalizace využívání půdy a </w:t>
            </w:r>
            <w:r>
              <w:rPr>
                <w:noProof/>
              </w:rPr>
              <w:t>mořského prostoru pro rozvoj obnovitelných zdrojů energie a rozvoje větrné energie na moři</w:t>
            </w:r>
          </w:p>
        </w:tc>
        <w:tc>
          <w:tcPr>
            <w:tcW w:w="1080" w:type="dxa"/>
            <w:tcBorders>
              <w:top w:val="nil"/>
              <w:left w:val="nil"/>
              <w:bottom w:val="single" w:sz="4" w:space="0" w:color="auto"/>
              <w:right w:val="single" w:sz="4" w:space="0" w:color="auto"/>
            </w:tcBorders>
            <w:shd w:val="clear" w:color="auto" w:fill="C6EFCE"/>
            <w:noWrap/>
          </w:tcPr>
          <w:p w14:paraId="63C85586" w14:textId="77777777" w:rsidR="00515398" w:rsidRDefault="006711E6">
            <w:pPr>
              <w:pStyle w:val="P68B1DB1-Normal9"/>
              <w:spacing w:after="120" w:line="240" w:lineRule="auto"/>
              <w:rPr>
                <w:rFonts w:ascii="Times New Roman" w:hAnsi="Times New Roman" w:cs="Times New Roman"/>
                <w:noProof/>
                <w:sz w:val="24"/>
              </w:rPr>
            </w:pPr>
            <w:r>
              <w:rPr>
                <w:noProof/>
              </w:rPr>
              <w:t>Milník</w:t>
            </w:r>
          </w:p>
        </w:tc>
        <w:tc>
          <w:tcPr>
            <w:tcW w:w="1278" w:type="dxa"/>
            <w:tcBorders>
              <w:top w:val="nil"/>
              <w:left w:val="nil"/>
              <w:bottom w:val="single" w:sz="4" w:space="0" w:color="auto"/>
              <w:right w:val="single" w:sz="4" w:space="0" w:color="auto"/>
            </w:tcBorders>
            <w:shd w:val="clear" w:color="auto" w:fill="C6EFCE"/>
            <w:noWrap/>
          </w:tcPr>
          <w:p w14:paraId="1785D358" w14:textId="77777777" w:rsidR="00515398" w:rsidRDefault="006711E6">
            <w:pPr>
              <w:pStyle w:val="P68B1DB1-Normal9"/>
              <w:spacing w:after="0" w:line="240" w:lineRule="auto"/>
              <w:rPr>
                <w:rFonts w:eastAsia="Times New Roman"/>
                <w:noProof/>
                <w:szCs w:val="18"/>
              </w:rPr>
            </w:pPr>
            <w:r>
              <w:rPr>
                <w:noProof/>
              </w:rPr>
              <w:t>Studie s cílem určit optimální oblasti pro rozvoj obnovitelných zdrojů energie a</w:t>
            </w:r>
          </w:p>
          <w:p w14:paraId="04098C66" w14:textId="77777777" w:rsidR="00515398" w:rsidRDefault="006711E6">
            <w:pPr>
              <w:pStyle w:val="P68B1DB1-Normal9"/>
              <w:spacing w:after="0" w:line="240" w:lineRule="auto"/>
              <w:rPr>
                <w:rFonts w:eastAsia="Times New Roman"/>
                <w:noProof/>
                <w:szCs w:val="18"/>
              </w:rPr>
            </w:pPr>
            <w:r>
              <w:rPr>
                <w:noProof/>
              </w:rPr>
              <w:t>Vstup v platnost politického rámce pro dvojí využití půdy pro zemědělství a v</w:t>
            </w:r>
            <w:r>
              <w:rPr>
                <w:noProof/>
              </w:rPr>
              <w:t>ýrobu solární fotovoltaiky</w:t>
            </w:r>
          </w:p>
        </w:tc>
        <w:tc>
          <w:tcPr>
            <w:tcW w:w="1305" w:type="dxa"/>
            <w:tcBorders>
              <w:top w:val="nil"/>
              <w:left w:val="nil"/>
              <w:bottom w:val="single" w:sz="4" w:space="0" w:color="auto"/>
              <w:right w:val="single" w:sz="4" w:space="0" w:color="auto"/>
            </w:tcBorders>
            <w:shd w:val="clear" w:color="auto" w:fill="C6EFCE"/>
            <w:noWrap/>
          </w:tcPr>
          <w:p w14:paraId="7D5BC5B8" w14:textId="77777777" w:rsidR="00515398" w:rsidRDefault="006711E6">
            <w:pPr>
              <w:pStyle w:val="P68B1DB1-Normal9"/>
              <w:spacing w:after="120" w:line="240" w:lineRule="auto"/>
              <w:rPr>
                <w:rFonts w:eastAsia="Times New Roman" w:cs="Calibri"/>
                <w:noProof/>
                <w:szCs w:val="18"/>
              </w:rPr>
            </w:pPr>
            <w:r>
              <w:rPr>
                <w:noProof/>
              </w:rPr>
              <w:t>Vstup právních předpisů v platnost</w:t>
            </w:r>
          </w:p>
          <w:p w14:paraId="44BD2B8A" w14:textId="77777777" w:rsidR="00515398" w:rsidRDefault="00515398">
            <w:pPr>
              <w:spacing w:after="120" w:line="240" w:lineRule="auto"/>
              <w:rPr>
                <w:rFonts w:eastAsia="Times New Roman"/>
                <w:noProof/>
                <w:color w:val="006100"/>
                <w:sz w:val="18"/>
                <w:szCs w:val="18"/>
                <w:highlight w:val="yellow"/>
              </w:rPr>
            </w:pPr>
          </w:p>
        </w:tc>
        <w:tc>
          <w:tcPr>
            <w:tcW w:w="1137" w:type="dxa"/>
            <w:tcBorders>
              <w:top w:val="nil"/>
              <w:left w:val="nil"/>
              <w:bottom w:val="single" w:sz="4" w:space="0" w:color="auto"/>
              <w:right w:val="single" w:sz="4" w:space="0" w:color="auto"/>
            </w:tcBorders>
            <w:shd w:val="clear" w:color="auto" w:fill="C6EFCE"/>
            <w:noWrap/>
          </w:tcPr>
          <w:p w14:paraId="283C252D"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266AF33C" w14:textId="77777777" w:rsidR="00515398" w:rsidRDefault="00515398">
            <w:pPr>
              <w:spacing w:after="0" w:line="240" w:lineRule="auto"/>
              <w:rPr>
                <w:rFonts w:eastAsia="Times New Roman" w:cs="Calibri"/>
                <w:noProof/>
                <w:color w:val="006100"/>
                <w:sz w:val="18"/>
                <w:szCs w:val="18"/>
              </w:rPr>
            </w:pPr>
          </w:p>
        </w:tc>
        <w:tc>
          <w:tcPr>
            <w:tcW w:w="720" w:type="dxa"/>
            <w:tcBorders>
              <w:top w:val="nil"/>
              <w:left w:val="nil"/>
              <w:bottom w:val="single" w:sz="4" w:space="0" w:color="auto"/>
              <w:right w:val="single" w:sz="4" w:space="0" w:color="auto"/>
            </w:tcBorders>
            <w:shd w:val="clear" w:color="auto" w:fill="C6EFCE"/>
            <w:noWrap/>
          </w:tcPr>
          <w:p w14:paraId="70020E00" w14:textId="77777777" w:rsidR="00515398" w:rsidRDefault="00515398">
            <w:pPr>
              <w:spacing w:after="0" w:line="240" w:lineRule="auto"/>
              <w:rPr>
                <w:rFonts w:eastAsia="Times New Roman" w:cs="Calibri"/>
                <w:noProof/>
                <w:color w:val="006100"/>
                <w:sz w:val="18"/>
                <w:szCs w:val="18"/>
              </w:rPr>
            </w:pPr>
          </w:p>
        </w:tc>
        <w:tc>
          <w:tcPr>
            <w:tcW w:w="960" w:type="dxa"/>
            <w:tcBorders>
              <w:top w:val="nil"/>
              <w:left w:val="nil"/>
              <w:bottom w:val="single" w:sz="4" w:space="0" w:color="auto"/>
              <w:right w:val="single" w:sz="4" w:space="0" w:color="auto"/>
            </w:tcBorders>
            <w:shd w:val="clear" w:color="auto" w:fill="C6EFCE"/>
            <w:noWrap/>
          </w:tcPr>
          <w:p w14:paraId="19E0019A" w14:textId="77777777" w:rsidR="00515398" w:rsidRDefault="006711E6">
            <w:pPr>
              <w:pStyle w:val="P68B1DB1-Normal9"/>
              <w:spacing w:after="120" w:line="240" w:lineRule="auto"/>
              <w:rPr>
                <w:rFonts w:eastAsia="Times New Roman"/>
                <w:noProof/>
                <w:szCs w:val="18"/>
              </w:rPr>
            </w:pPr>
            <w:r>
              <w:rPr>
                <w:noProof/>
              </w:rPr>
              <w:t>ČTVRTLETÍ ČTVRT</w:t>
            </w:r>
          </w:p>
        </w:tc>
        <w:tc>
          <w:tcPr>
            <w:tcW w:w="773" w:type="dxa"/>
            <w:tcBorders>
              <w:top w:val="nil"/>
              <w:left w:val="nil"/>
              <w:bottom w:val="single" w:sz="4" w:space="0" w:color="auto"/>
              <w:right w:val="single" w:sz="4" w:space="0" w:color="auto"/>
            </w:tcBorders>
            <w:shd w:val="clear" w:color="auto" w:fill="C6EFCE"/>
            <w:noWrap/>
          </w:tcPr>
          <w:p w14:paraId="41AA1E21" w14:textId="77777777" w:rsidR="00515398" w:rsidRDefault="006711E6">
            <w:pPr>
              <w:pStyle w:val="P68B1DB1-Normal9"/>
              <w:spacing w:after="120" w:line="240" w:lineRule="auto"/>
              <w:rPr>
                <w:rFonts w:eastAsia="Times New Roman"/>
                <w:noProof/>
                <w:szCs w:val="18"/>
              </w:rPr>
            </w:pPr>
            <w:r>
              <w:rPr>
                <w:noProof/>
              </w:rPr>
              <w:t>2024</w:t>
            </w:r>
          </w:p>
        </w:tc>
        <w:tc>
          <w:tcPr>
            <w:tcW w:w="3246" w:type="dxa"/>
            <w:tcBorders>
              <w:top w:val="nil"/>
              <w:left w:val="nil"/>
              <w:bottom w:val="single" w:sz="4" w:space="0" w:color="auto"/>
              <w:right w:val="single" w:sz="4" w:space="0" w:color="auto"/>
            </w:tcBorders>
            <w:shd w:val="clear" w:color="auto" w:fill="C6EFCE"/>
            <w:noWrap/>
          </w:tcPr>
          <w:p w14:paraId="36529FC5" w14:textId="77777777" w:rsidR="00515398" w:rsidRDefault="006711E6">
            <w:pPr>
              <w:pStyle w:val="P68B1DB1-Normal9"/>
              <w:spacing w:after="120" w:line="240" w:lineRule="auto"/>
              <w:rPr>
                <w:rFonts w:eastAsia="Times New Roman" w:cs="Calibri"/>
                <w:noProof/>
                <w:szCs w:val="18"/>
              </w:rPr>
            </w:pPr>
            <w:r>
              <w:rPr>
                <w:noProof/>
              </w:rPr>
              <w:t xml:space="preserve">Vstup v platnost sekundárních právních předpisů na podporu studie, která zohledňuje stávající potenciál obnovitelných zdrojů energie, zeměpisné rozložení stávajících </w:t>
            </w:r>
            <w:r>
              <w:rPr>
                <w:noProof/>
              </w:rPr>
              <w:t>jednotek energie z obnovitelných zdrojů, jakož i licence pro budoucí jednotky, prostorová omezení, dostupnost sítě a systému a další faktory související s kritérii souvisejícími s energetikou i s vesmírem. Cílem studie je určit optimální oblasti, v nichž b</w:t>
            </w:r>
            <w:r>
              <w:rPr>
                <w:noProof/>
              </w:rPr>
              <w:t xml:space="preserve">y měly být umístěny jednotky obnovitelných zdrojů energie, aby se maximalizoval přínos jak pro odvětví energetiky, tak pro společnost, včetně doporučení ohledně toho, jak motivovat politický rámec v této oblasti. Studie určí první soubor oblastí, které se </w:t>
            </w:r>
            <w:r>
              <w:rPr>
                <w:noProof/>
              </w:rPr>
              <w:t xml:space="preserve">použijí k pozdějšímu vymezení oblastí pro zrychlené zavádění obnovitelných zdrojů energie v Řecku. Provede se rovněž strategické posouzení vlivů těchto oblastí na životní prostředí. </w:t>
            </w:r>
          </w:p>
          <w:p w14:paraId="1AC822DC" w14:textId="77777777" w:rsidR="00515398" w:rsidRDefault="006711E6">
            <w:pPr>
              <w:pStyle w:val="P68B1DB1-Normal9"/>
              <w:spacing w:after="120" w:line="240" w:lineRule="auto"/>
              <w:rPr>
                <w:rFonts w:eastAsia="Times New Roman" w:cs="Calibri"/>
                <w:noProof/>
                <w:szCs w:val="18"/>
              </w:rPr>
            </w:pPr>
            <w:r>
              <w:rPr>
                <w:noProof/>
              </w:rPr>
              <w:t>Vstup v platnost právních předpisů, které stanoví politický rámec pro dvo</w:t>
            </w:r>
            <w:r>
              <w:rPr>
                <w:noProof/>
              </w:rPr>
              <w:t>jí využití půdy pro zemědělskou a solární fotovoltaickou výrobu. Rámec politiky určí vhodná místa pro provádění agrofotvoltaiky, konkrétní opatření na podporu agroPV a pravidla týkající se dvojího využití půdy a provádění projektů Agri-PV.</w:t>
            </w:r>
          </w:p>
        </w:tc>
      </w:tr>
      <w:tr w:rsidR="00515398" w14:paraId="4919A233" w14:textId="77777777">
        <w:trPr>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79CD3DF" w14:textId="77777777" w:rsidR="00515398" w:rsidRDefault="006711E6">
            <w:pPr>
              <w:pStyle w:val="P68B1DB1-Normal9"/>
              <w:spacing w:after="0" w:line="240" w:lineRule="auto"/>
              <w:rPr>
                <w:rFonts w:ascii="Times New Roman" w:hAnsi="Times New Roman" w:cs="Times New Roman"/>
                <w:noProof/>
                <w:sz w:val="24"/>
              </w:rPr>
            </w:pPr>
            <w:r>
              <w:rPr>
                <w:noProof/>
              </w:rPr>
              <w:t>354</w:t>
            </w:r>
          </w:p>
        </w:tc>
        <w:tc>
          <w:tcPr>
            <w:tcW w:w="1861" w:type="dxa"/>
            <w:tcBorders>
              <w:top w:val="single" w:sz="4" w:space="0" w:color="auto"/>
              <w:left w:val="nil"/>
              <w:bottom w:val="single" w:sz="4" w:space="0" w:color="auto"/>
              <w:right w:val="single" w:sz="4" w:space="0" w:color="auto"/>
            </w:tcBorders>
            <w:shd w:val="clear" w:color="auto" w:fill="C6EFCE"/>
            <w:noWrap/>
          </w:tcPr>
          <w:p w14:paraId="067908DA" w14:textId="77777777" w:rsidR="00515398" w:rsidRDefault="006711E6">
            <w:pPr>
              <w:pStyle w:val="P68B1DB1-Normal9"/>
              <w:spacing w:after="120" w:line="240" w:lineRule="auto"/>
              <w:rPr>
                <w:rFonts w:ascii="Times New Roman" w:hAnsi="Times New Roman" w:cs="Times New Roman"/>
                <w:noProof/>
                <w:sz w:val="24"/>
                <w:szCs w:val="24"/>
              </w:rPr>
            </w:pPr>
            <w:r>
              <w:rPr>
                <w:noProof/>
              </w:rPr>
              <w:t>20–5.1. Reformy REPowerEU – 16989_Optimalizace využívání půdy a mořského prostoru pro rozvoj obnovitelných zdrojů energie a rozvoje větrné energie na moři</w:t>
            </w:r>
          </w:p>
        </w:tc>
        <w:tc>
          <w:tcPr>
            <w:tcW w:w="1080" w:type="dxa"/>
            <w:tcBorders>
              <w:top w:val="single" w:sz="4" w:space="0" w:color="auto"/>
              <w:left w:val="nil"/>
              <w:bottom w:val="single" w:sz="4" w:space="0" w:color="auto"/>
              <w:right w:val="single" w:sz="4" w:space="0" w:color="auto"/>
            </w:tcBorders>
            <w:shd w:val="clear" w:color="auto" w:fill="C6EFCE"/>
            <w:noWrap/>
          </w:tcPr>
          <w:p w14:paraId="6C5549D1" w14:textId="77777777" w:rsidR="00515398" w:rsidRDefault="006711E6">
            <w:pPr>
              <w:pStyle w:val="P68B1DB1-Normal9"/>
              <w:spacing w:after="120" w:line="240" w:lineRule="auto"/>
              <w:rPr>
                <w:rFonts w:ascii="Times New Roman" w:hAnsi="Times New Roman" w:cs="Times New Roman"/>
                <w:noProof/>
                <w:sz w:val="24"/>
              </w:rPr>
            </w:pPr>
            <w:r>
              <w:rPr>
                <w:noProof/>
              </w:rPr>
              <w:t>Milník</w:t>
            </w:r>
          </w:p>
        </w:tc>
        <w:tc>
          <w:tcPr>
            <w:tcW w:w="1278" w:type="dxa"/>
            <w:tcBorders>
              <w:top w:val="single" w:sz="4" w:space="0" w:color="auto"/>
              <w:left w:val="nil"/>
              <w:bottom w:val="single" w:sz="4" w:space="0" w:color="auto"/>
              <w:right w:val="single" w:sz="4" w:space="0" w:color="auto"/>
            </w:tcBorders>
            <w:shd w:val="clear" w:color="auto" w:fill="C6EFCE"/>
            <w:noWrap/>
          </w:tcPr>
          <w:p w14:paraId="1EFDC0BA" w14:textId="77777777" w:rsidR="00515398" w:rsidRDefault="006711E6">
            <w:pPr>
              <w:pStyle w:val="P68B1DB1-Normal9"/>
              <w:spacing w:after="120" w:line="240" w:lineRule="auto"/>
              <w:rPr>
                <w:rFonts w:eastAsia="Times New Roman" w:cs="Calibri"/>
                <w:noProof/>
                <w:szCs w:val="18"/>
              </w:rPr>
            </w:pPr>
            <w:r>
              <w:rPr>
                <w:noProof/>
              </w:rPr>
              <w:t xml:space="preserve">Vstup v platnost prezidentského dekretu o určení první skupiny oblastí pro projekty v oblasti </w:t>
            </w:r>
            <w:r>
              <w:rPr>
                <w:noProof/>
              </w:rPr>
              <w:t>větrné energie na moři</w:t>
            </w:r>
          </w:p>
        </w:tc>
        <w:tc>
          <w:tcPr>
            <w:tcW w:w="1305" w:type="dxa"/>
            <w:tcBorders>
              <w:top w:val="single" w:sz="4" w:space="0" w:color="auto"/>
              <w:left w:val="nil"/>
              <w:bottom w:val="single" w:sz="4" w:space="0" w:color="auto"/>
              <w:right w:val="single" w:sz="4" w:space="0" w:color="auto"/>
            </w:tcBorders>
            <w:shd w:val="clear" w:color="auto" w:fill="C6EFCE"/>
            <w:noWrap/>
          </w:tcPr>
          <w:p w14:paraId="07D76555" w14:textId="77777777" w:rsidR="00515398" w:rsidRDefault="006711E6">
            <w:pPr>
              <w:pStyle w:val="P68B1DB1-Normal9"/>
              <w:spacing w:after="120" w:line="240" w:lineRule="auto"/>
              <w:rPr>
                <w:rFonts w:ascii="Times New Roman" w:hAnsi="Times New Roman" w:cs="Times New Roman"/>
                <w:noProof/>
                <w:sz w:val="24"/>
              </w:rPr>
            </w:pPr>
            <w:r>
              <w:rPr>
                <w:noProof/>
              </w:rPr>
              <w:t>Přijetí a vstup v platnost prezidentského dekretu</w:t>
            </w:r>
          </w:p>
        </w:tc>
        <w:tc>
          <w:tcPr>
            <w:tcW w:w="1137" w:type="dxa"/>
            <w:tcBorders>
              <w:top w:val="single" w:sz="4" w:space="0" w:color="auto"/>
              <w:left w:val="nil"/>
              <w:bottom w:val="single" w:sz="4" w:space="0" w:color="auto"/>
              <w:right w:val="single" w:sz="4" w:space="0" w:color="auto"/>
            </w:tcBorders>
            <w:shd w:val="clear" w:color="auto" w:fill="C6EFCE"/>
            <w:noWrap/>
          </w:tcPr>
          <w:p w14:paraId="6D572579" w14:textId="77777777" w:rsidR="00515398" w:rsidRDefault="00515398">
            <w:pPr>
              <w:spacing w:after="120" w:line="240" w:lineRule="auto"/>
              <w:rPr>
                <w:rFonts w:ascii="Times New Roman" w:hAnsi="Times New Roman" w:cs="Times New Roman"/>
                <w:noProof/>
                <w:sz w:val="24"/>
              </w:rPr>
            </w:pPr>
          </w:p>
        </w:tc>
        <w:tc>
          <w:tcPr>
            <w:tcW w:w="960" w:type="dxa"/>
            <w:tcBorders>
              <w:top w:val="single" w:sz="4" w:space="0" w:color="auto"/>
              <w:left w:val="nil"/>
              <w:bottom w:val="single" w:sz="4" w:space="0" w:color="auto"/>
              <w:right w:val="single" w:sz="4" w:space="0" w:color="auto"/>
            </w:tcBorders>
            <w:shd w:val="clear" w:color="auto" w:fill="C6EFCE"/>
            <w:noWrap/>
          </w:tcPr>
          <w:p w14:paraId="43458A9E" w14:textId="77777777" w:rsidR="00515398" w:rsidRDefault="00515398">
            <w:pPr>
              <w:spacing w:after="120" w:line="240" w:lineRule="auto"/>
              <w:rPr>
                <w:rFonts w:ascii="Times New Roman" w:hAnsi="Times New Roman" w:cs="Times New Roman"/>
                <w:noProof/>
                <w:sz w:val="24"/>
              </w:rPr>
            </w:pPr>
          </w:p>
        </w:tc>
        <w:tc>
          <w:tcPr>
            <w:tcW w:w="720" w:type="dxa"/>
            <w:tcBorders>
              <w:top w:val="single" w:sz="4" w:space="0" w:color="auto"/>
              <w:left w:val="nil"/>
              <w:bottom w:val="single" w:sz="4" w:space="0" w:color="auto"/>
              <w:right w:val="single" w:sz="4" w:space="0" w:color="auto"/>
            </w:tcBorders>
            <w:shd w:val="clear" w:color="auto" w:fill="C6EFCE"/>
            <w:noWrap/>
          </w:tcPr>
          <w:p w14:paraId="5DE3AC62" w14:textId="77777777" w:rsidR="00515398" w:rsidRDefault="00515398">
            <w:pPr>
              <w:spacing w:after="120" w:line="240" w:lineRule="auto"/>
              <w:rPr>
                <w:rFonts w:ascii="Times New Roman" w:hAnsi="Times New Roman" w:cs="Times New Roman"/>
                <w:noProof/>
                <w:sz w:val="24"/>
              </w:rPr>
            </w:pPr>
          </w:p>
        </w:tc>
        <w:tc>
          <w:tcPr>
            <w:tcW w:w="960" w:type="dxa"/>
            <w:tcBorders>
              <w:top w:val="single" w:sz="4" w:space="0" w:color="auto"/>
              <w:left w:val="nil"/>
              <w:bottom w:val="single" w:sz="4" w:space="0" w:color="auto"/>
              <w:right w:val="single" w:sz="4" w:space="0" w:color="auto"/>
            </w:tcBorders>
            <w:shd w:val="clear" w:color="auto" w:fill="C6EFCE"/>
            <w:noWrap/>
          </w:tcPr>
          <w:p w14:paraId="02591568" w14:textId="77777777" w:rsidR="00515398" w:rsidRDefault="006711E6">
            <w:pPr>
              <w:pStyle w:val="P68B1DB1-Normal9"/>
              <w:spacing w:after="120" w:line="240" w:lineRule="auto"/>
              <w:rPr>
                <w:rFonts w:eastAsia="Times New Roman"/>
                <w:noProof/>
                <w:szCs w:val="18"/>
              </w:rPr>
            </w:pPr>
            <w:r>
              <w:rPr>
                <w:noProof/>
              </w:rPr>
              <w:t>ČTVRTLETÍ</w:t>
            </w:r>
          </w:p>
        </w:tc>
        <w:tc>
          <w:tcPr>
            <w:tcW w:w="773" w:type="dxa"/>
            <w:tcBorders>
              <w:top w:val="single" w:sz="4" w:space="0" w:color="auto"/>
              <w:left w:val="nil"/>
              <w:bottom w:val="single" w:sz="4" w:space="0" w:color="auto"/>
              <w:right w:val="single" w:sz="4" w:space="0" w:color="auto"/>
            </w:tcBorders>
            <w:shd w:val="clear" w:color="auto" w:fill="C6EFCE"/>
            <w:noWrap/>
          </w:tcPr>
          <w:p w14:paraId="2E96D62D" w14:textId="77777777" w:rsidR="00515398" w:rsidRDefault="006711E6">
            <w:pPr>
              <w:pStyle w:val="P68B1DB1-Normal9"/>
              <w:spacing w:after="120" w:line="240" w:lineRule="auto"/>
              <w:rPr>
                <w:rFonts w:eastAsia="Times New Roman"/>
                <w:noProof/>
                <w:szCs w:val="18"/>
              </w:rPr>
            </w:pPr>
            <w:r>
              <w:rPr>
                <w:noProof/>
              </w:rPr>
              <w:t>2025</w:t>
            </w:r>
          </w:p>
        </w:tc>
        <w:tc>
          <w:tcPr>
            <w:tcW w:w="3246" w:type="dxa"/>
            <w:tcBorders>
              <w:top w:val="single" w:sz="4" w:space="0" w:color="auto"/>
              <w:left w:val="nil"/>
              <w:bottom w:val="single" w:sz="4" w:space="0" w:color="auto"/>
              <w:right w:val="single" w:sz="4" w:space="0" w:color="auto"/>
            </w:tcBorders>
            <w:shd w:val="clear" w:color="auto" w:fill="C6EFCE"/>
            <w:noWrap/>
          </w:tcPr>
          <w:p w14:paraId="74CC70FF" w14:textId="03FCC783" w:rsidR="00515398" w:rsidRDefault="006711E6">
            <w:pPr>
              <w:pStyle w:val="P68B1DB1-Normal9"/>
              <w:spacing w:after="0" w:line="240" w:lineRule="auto"/>
              <w:rPr>
                <w:rFonts w:eastAsia="Times New Roman" w:cs="Calibri"/>
                <w:noProof/>
                <w:szCs w:val="18"/>
              </w:rPr>
            </w:pPr>
            <w:r>
              <w:rPr>
                <w:noProof/>
              </w:rPr>
              <w:t>Vstup v platnost prezidentského dekretu, kterým se určí první skupina oblastí pro projekty v oblasti větrné energie na moři, jak je stanoveno v zákoně 4964/2022 o „u</w:t>
            </w:r>
            <w:r>
              <w:rPr>
                <w:noProof/>
              </w:rPr>
              <w:t>stanoveních pro zjednodušení environmentálních licencí, zřízení rámce pro rozvoj větrných elektráren na moři, řešení energetické krize, ochraně životního prostředí a dalších ustanoveních“, Úř. věst. A 150/30.2022.</w:t>
            </w:r>
          </w:p>
          <w:p w14:paraId="6217E0D8" w14:textId="77777777" w:rsidR="00515398" w:rsidRDefault="00515398">
            <w:pPr>
              <w:spacing w:after="120" w:line="240" w:lineRule="auto"/>
              <w:rPr>
                <w:rFonts w:eastAsia="Times New Roman" w:cs="Calibri"/>
                <w:noProof/>
                <w:color w:val="006100"/>
                <w:sz w:val="18"/>
                <w:szCs w:val="18"/>
              </w:rPr>
            </w:pPr>
          </w:p>
        </w:tc>
      </w:tr>
    </w:tbl>
    <w:p w14:paraId="77704F4C" w14:textId="77777777" w:rsidR="00515398" w:rsidRDefault="00515398">
      <w:pPr>
        <w:keepNext/>
        <w:keepLines/>
        <w:spacing w:before="240" w:after="0" w:line="240" w:lineRule="auto"/>
        <w:jc w:val="both"/>
        <w:outlineLvl w:val="4"/>
        <w:rPr>
          <w:rFonts w:ascii="Cambria" w:eastAsia="Times New Roman" w:hAnsi="Cambria"/>
          <w:noProof/>
          <w:color w:val="365F91"/>
          <w:sz w:val="24"/>
        </w:rPr>
      </w:pPr>
    </w:p>
    <w:p w14:paraId="2A9F0F78" w14:textId="77777777" w:rsidR="00515398" w:rsidRDefault="006711E6">
      <w:pPr>
        <w:pStyle w:val="P68B1DB1-Normal6"/>
        <w:keepNext/>
        <w:keepLines/>
        <w:spacing w:before="240" w:after="0" w:line="240" w:lineRule="auto"/>
        <w:jc w:val="both"/>
        <w:outlineLvl w:val="4"/>
        <w:rPr>
          <w:noProof/>
          <w:color w:val="365F91" w:themeColor="accent1" w:themeShade="BF"/>
        </w:rPr>
      </w:pPr>
      <w:r>
        <w:rPr>
          <w:noProof/>
        </w:rPr>
        <w:t>Reforma č. 3: Regulační rámec a rámec pro fungování trhu pro technologie zachycování, využívání a ukládání uhlíku na podporu dekarbonizace průmyslu (ID opatření: 16988)</w:t>
      </w:r>
    </w:p>
    <w:p w14:paraId="332147FC" w14:textId="77777777" w:rsidR="00515398" w:rsidRDefault="00515398">
      <w:pPr>
        <w:keepNext/>
        <w:keepLines/>
        <w:spacing w:before="240" w:after="0" w:line="240" w:lineRule="auto"/>
        <w:jc w:val="both"/>
        <w:outlineLvl w:val="4"/>
        <w:rPr>
          <w:rFonts w:ascii="Cambria" w:eastAsia="Times New Roman" w:hAnsi="Cambria"/>
          <w:noProof/>
          <w:color w:val="365F91" w:themeColor="accent1" w:themeShade="BF"/>
          <w:sz w:val="24"/>
          <w:szCs w:val="24"/>
        </w:rPr>
      </w:pPr>
    </w:p>
    <w:tbl>
      <w:tblPr>
        <w:tblpPr w:leftFromText="181" w:rightFromText="181" w:vertAnchor="text" w:tblpY="1"/>
        <w:tblOverlap w:val="never"/>
        <w:tblW w:w="14737" w:type="dxa"/>
        <w:tblLayout w:type="fixed"/>
        <w:tblLook w:val="04A0" w:firstRow="1" w:lastRow="0" w:firstColumn="1" w:lastColumn="0" w:noHBand="0" w:noVBand="1"/>
      </w:tblPr>
      <w:tblGrid>
        <w:gridCol w:w="1134"/>
        <w:gridCol w:w="2078"/>
        <w:gridCol w:w="1007"/>
        <w:gridCol w:w="1134"/>
        <w:gridCol w:w="1744"/>
        <w:gridCol w:w="920"/>
        <w:gridCol w:w="24"/>
        <w:gridCol w:w="659"/>
        <w:gridCol w:w="666"/>
        <w:gridCol w:w="921"/>
        <w:gridCol w:w="10"/>
        <w:gridCol w:w="911"/>
        <w:gridCol w:w="3529"/>
      </w:tblGrid>
      <w:tr w:rsidR="00515398" w14:paraId="5CBF4753" w14:textId="77777777">
        <w:trPr>
          <w:trHeight w:val="694"/>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ED35CC6" w14:textId="77777777" w:rsidR="00515398" w:rsidRDefault="006711E6">
            <w:pPr>
              <w:pStyle w:val="P68B1DB1-Normal7"/>
              <w:spacing w:before="120" w:after="120" w:line="240" w:lineRule="auto"/>
              <w:jc w:val="center"/>
              <w:rPr>
                <w:noProof/>
              </w:rPr>
            </w:pPr>
            <w:r>
              <w:rPr>
                <w:noProof/>
              </w:rPr>
              <w:t>Posloupnost N</w:t>
            </w:r>
          </w:p>
          <w:p w14:paraId="2D9AE3AF" w14:textId="77777777" w:rsidR="00515398" w:rsidRDefault="006711E6">
            <w:pPr>
              <w:pStyle w:val="P68B1DB1-Normal7"/>
              <w:spacing w:before="120" w:after="120" w:line="240" w:lineRule="auto"/>
              <w:jc w:val="center"/>
              <w:rPr>
                <w:rFonts w:cs="Times New Roman"/>
                <w:noProof/>
                <w:sz w:val="24"/>
              </w:rPr>
            </w:pPr>
            <w:r>
              <w:rPr>
                <w:noProof/>
              </w:rPr>
              <w:t>plísně</w:t>
            </w: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2A1D7C8E" w14:textId="77777777" w:rsidR="00515398" w:rsidRDefault="006711E6">
            <w:pPr>
              <w:pStyle w:val="P68B1DB1-Normal7"/>
              <w:spacing w:before="120" w:after="120" w:line="240" w:lineRule="auto"/>
              <w:jc w:val="center"/>
              <w:rPr>
                <w:rFonts w:cs="Times New Roman"/>
                <w:noProof/>
                <w:sz w:val="24"/>
              </w:rPr>
            </w:pPr>
            <w:r>
              <w:rPr>
                <w:noProof/>
              </w:rPr>
              <w:t>Související opatření (reforma nebo investice)</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48400E1B" w14:textId="77777777" w:rsidR="00515398" w:rsidRDefault="006711E6">
            <w:pPr>
              <w:pStyle w:val="P68B1DB1-Normal7"/>
              <w:spacing w:before="120" w:after="120" w:line="240" w:lineRule="auto"/>
              <w:jc w:val="center"/>
              <w:rPr>
                <w:rFonts w:cs="Times New Roman"/>
                <w:noProof/>
                <w:sz w:val="24"/>
              </w:rPr>
            </w:pPr>
            <w:r>
              <w:rPr>
                <w:noProof/>
              </w:rPr>
              <w:t>Milník/cíl</w:t>
            </w:r>
          </w:p>
        </w:tc>
        <w:tc>
          <w:tcPr>
            <w:tcW w:w="1134" w:type="dxa"/>
            <w:vMerge w:val="restart"/>
            <w:tcBorders>
              <w:top w:val="single" w:sz="4" w:space="0" w:color="auto"/>
              <w:left w:val="nil"/>
              <w:right w:val="single" w:sz="4" w:space="0" w:color="auto"/>
            </w:tcBorders>
            <w:shd w:val="clear" w:color="auto" w:fill="BDD7EE"/>
            <w:vAlign w:val="center"/>
            <w:hideMark/>
          </w:tcPr>
          <w:p w14:paraId="5C69F654" w14:textId="77777777" w:rsidR="00515398" w:rsidRDefault="006711E6">
            <w:pPr>
              <w:pStyle w:val="P68B1DB1-Normal7"/>
              <w:spacing w:before="120" w:after="120" w:line="240" w:lineRule="auto"/>
              <w:jc w:val="center"/>
              <w:rPr>
                <w:rFonts w:cs="Times New Roman"/>
                <w:noProof/>
                <w:sz w:val="24"/>
              </w:rPr>
            </w:pPr>
            <w:r>
              <w:rPr>
                <w:noProof/>
              </w:rPr>
              <w:t>Jméno</w:t>
            </w:r>
          </w:p>
        </w:tc>
        <w:tc>
          <w:tcPr>
            <w:tcW w:w="1744" w:type="dxa"/>
            <w:vMerge w:val="restart"/>
            <w:tcBorders>
              <w:top w:val="single" w:sz="4" w:space="0" w:color="auto"/>
              <w:left w:val="single" w:sz="4" w:space="0" w:color="auto"/>
              <w:right w:val="single" w:sz="4" w:space="0" w:color="auto"/>
            </w:tcBorders>
            <w:shd w:val="clear" w:color="auto" w:fill="BDD7EE"/>
            <w:vAlign w:val="center"/>
            <w:hideMark/>
          </w:tcPr>
          <w:p w14:paraId="681BCA28" w14:textId="77777777" w:rsidR="00515398" w:rsidRDefault="006711E6">
            <w:pPr>
              <w:pStyle w:val="P68B1DB1-Normal7"/>
              <w:spacing w:before="120" w:after="120" w:line="240" w:lineRule="auto"/>
              <w:jc w:val="center"/>
              <w:rPr>
                <w:rFonts w:cs="Times New Roman"/>
                <w:noProof/>
                <w:sz w:val="24"/>
              </w:rPr>
            </w:pPr>
            <w:r>
              <w:rPr>
                <w:noProof/>
              </w:rPr>
              <w:t>Kvalitativní ukazatele (pro milníky)</w:t>
            </w:r>
          </w:p>
        </w:tc>
        <w:tc>
          <w:tcPr>
            <w:tcW w:w="2269" w:type="dxa"/>
            <w:gridSpan w:val="4"/>
            <w:tcBorders>
              <w:top w:val="single" w:sz="4" w:space="0" w:color="auto"/>
              <w:left w:val="nil"/>
              <w:bottom w:val="single" w:sz="4" w:space="0" w:color="auto"/>
              <w:right w:val="single" w:sz="4" w:space="0" w:color="auto"/>
            </w:tcBorders>
            <w:shd w:val="clear" w:color="auto" w:fill="BDD7EE"/>
            <w:vAlign w:val="center"/>
            <w:hideMark/>
          </w:tcPr>
          <w:p w14:paraId="0D2751FA" w14:textId="77777777" w:rsidR="00515398" w:rsidRDefault="006711E6">
            <w:pPr>
              <w:pStyle w:val="P68B1DB1-Normal7"/>
              <w:spacing w:before="120" w:after="120" w:line="240" w:lineRule="auto"/>
              <w:jc w:val="center"/>
              <w:rPr>
                <w:rFonts w:cs="Times New Roman"/>
                <w:noProof/>
                <w:sz w:val="24"/>
              </w:rPr>
            </w:pPr>
            <w:r>
              <w:rPr>
                <w:noProof/>
              </w:rPr>
              <w:t>Kvantitativní ukazatele (pro cíle)</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38809772" w14:textId="77777777" w:rsidR="00515398" w:rsidRDefault="006711E6">
            <w:pPr>
              <w:pStyle w:val="P68B1DB1-Normal7"/>
              <w:spacing w:before="120" w:after="120" w:line="240" w:lineRule="auto"/>
              <w:jc w:val="center"/>
              <w:rPr>
                <w:rFonts w:cs="Times New Roman"/>
                <w:noProof/>
                <w:sz w:val="24"/>
              </w:rPr>
            </w:pPr>
            <w:r>
              <w:rPr>
                <w:noProof/>
              </w:rPr>
              <w:t>Orientační harmonogram pro dokončení</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83ED006" w14:textId="77777777" w:rsidR="00515398" w:rsidRDefault="006711E6">
            <w:pPr>
              <w:pStyle w:val="P68B1DB1-Normal7"/>
              <w:spacing w:before="120" w:after="120" w:line="240" w:lineRule="auto"/>
              <w:jc w:val="center"/>
              <w:rPr>
                <w:rFonts w:cs="Times New Roman"/>
                <w:noProof/>
                <w:sz w:val="24"/>
              </w:rPr>
            </w:pPr>
            <w:r>
              <w:rPr>
                <w:noProof/>
              </w:rPr>
              <w:t>Popis každého milníku a cíle</w:t>
            </w:r>
          </w:p>
        </w:tc>
      </w:tr>
      <w:tr w:rsidR="00515398" w14:paraId="679C297F" w14:textId="77777777">
        <w:trPr>
          <w:trHeight w:val="413"/>
          <w:tblHeader/>
        </w:trPr>
        <w:tc>
          <w:tcPr>
            <w:tcW w:w="1134" w:type="dxa"/>
            <w:vMerge/>
            <w:tcBorders>
              <w:top w:val="single" w:sz="4" w:space="0" w:color="auto"/>
              <w:left w:val="single" w:sz="4" w:space="0" w:color="auto"/>
              <w:bottom w:val="single" w:sz="4" w:space="0" w:color="auto"/>
            </w:tcBorders>
            <w:vAlign w:val="center"/>
          </w:tcPr>
          <w:p w14:paraId="3120307E"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3AF1167C"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4DF85C2D"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134" w:type="dxa"/>
            <w:vMerge/>
            <w:tcBorders>
              <w:left w:val="nil"/>
              <w:bottom w:val="single" w:sz="4" w:space="0" w:color="auto"/>
              <w:right w:val="single" w:sz="4" w:space="0" w:color="auto"/>
            </w:tcBorders>
            <w:shd w:val="clear" w:color="auto" w:fill="BDD7EE"/>
            <w:vAlign w:val="center"/>
          </w:tcPr>
          <w:p w14:paraId="4BF50EFA"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744" w:type="dxa"/>
            <w:vMerge/>
            <w:tcBorders>
              <w:left w:val="single" w:sz="4" w:space="0" w:color="auto"/>
              <w:bottom w:val="single" w:sz="4" w:space="0" w:color="auto"/>
              <w:right w:val="single" w:sz="4" w:space="0" w:color="auto"/>
            </w:tcBorders>
            <w:shd w:val="clear" w:color="auto" w:fill="BDD7EE"/>
            <w:vAlign w:val="center"/>
          </w:tcPr>
          <w:p w14:paraId="134C647D"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944" w:type="dxa"/>
            <w:gridSpan w:val="2"/>
            <w:tcBorders>
              <w:top w:val="single" w:sz="4" w:space="0" w:color="auto"/>
              <w:left w:val="nil"/>
              <w:bottom w:val="single" w:sz="4" w:space="0" w:color="auto"/>
              <w:right w:val="single" w:sz="4" w:space="0" w:color="auto"/>
            </w:tcBorders>
            <w:shd w:val="clear" w:color="auto" w:fill="BDD7EE"/>
            <w:vAlign w:val="center"/>
          </w:tcPr>
          <w:p w14:paraId="74B7D6D0"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659" w:type="dxa"/>
            <w:tcBorders>
              <w:top w:val="single" w:sz="4" w:space="0" w:color="auto"/>
              <w:left w:val="nil"/>
              <w:bottom w:val="single" w:sz="4" w:space="0" w:color="auto"/>
              <w:right w:val="single" w:sz="4" w:space="0" w:color="auto"/>
            </w:tcBorders>
            <w:shd w:val="clear" w:color="auto" w:fill="BDD7EE"/>
            <w:vAlign w:val="center"/>
          </w:tcPr>
          <w:p w14:paraId="4BB8EDBC"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666" w:type="dxa"/>
            <w:tcBorders>
              <w:top w:val="single" w:sz="4" w:space="0" w:color="auto"/>
              <w:left w:val="nil"/>
              <w:bottom w:val="single" w:sz="4" w:space="0" w:color="auto"/>
              <w:right w:val="single" w:sz="4" w:space="0" w:color="auto"/>
            </w:tcBorders>
            <w:shd w:val="clear" w:color="auto" w:fill="BDD7EE"/>
            <w:vAlign w:val="center"/>
          </w:tcPr>
          <w:p w14:paraId="10852F06"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921" w:type="dxa"/>
            <w:tcBorders>
              <w:top w:val="single" w:sz="4" w:space="0" w:color="auto"/>
              <w:left w:val="nil"/>
              <w:bottom w:val="single" w:sz="4" w:space="0" w:color="auto"/>
              <w:right w:val="single" w:sz="4" w:space="0" w:color="auto"/>
            </w:tcBorders>
            <w:shd w:val="clear" w:color="auto" w:fill="BDD7EE"/>
            <w:vAlign w:val="center"/>
          </w:tcPr>
          <w:p w14:paraId="6069B7F8"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52C3872D"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529" w:type="dxa"/>
            <w:vMerge/>
            <w:tcBorders>
              <w:bottom w:val="single" w:sz="4" w:space="0" w:color="auto"/>
              <w:right w:val="single" w:sz="4" w:space="0" w:color="auto"/>
            </w:tcBorders>
            <w:vAlign w:val="center"/>
          </w:tcPr>
          <w:p w14:paraId="32259A45"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r>
      <w:tr w:rsidR="00515398" w14:paraId="26E63EB9"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CF0E492"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355</w:t>
            </w:r>
          </w:p>
        </w:tc>
        <w:tc>
          <w:tcPr>
            <w:tcW w:w="2078" w:type="dxa"/>
            <w:tcBorders>
              <w:top w:val="single" w:sz="4" w:space="0" w:color="auto"/>
              <w:left w:val="nil"/>
              <w:bottom w:val="single" w:sz="4" w:space="0" w:color="auto"/>
              <w:right w:val="single" w:sz="4" w:space="0" w:color="auto"/>
            </w:tcBorders>
            <w:shd w:val="clear" w:color="auto" w:fill="C6EFCE"/>
            <w:noWrap/>
          </w:tcPr>
          <w:p w14:paraId="707DA368" w14:textId="77777777" w:rsidR="00515398" w:rsidRDefault="006711E6">
            <w:pPr>
              <w:pStyle w:val="P68B1DB1-Normal9"/>
              <w:spacing w:after="0" w:line="240" w:lineRule="auto"/>
              <w:rPr>
                <w:rFonts w:eastAsia="Times New Roman" w:cs="Calibri"/>
                <w:noProof/>
                <w:szCs w:val="18"/>
              </w:rPr>
            </w:pPr>
            <w:r>
              <w:rPr>
                <w:noProof/>
              </w:rPr>
              <w:t xml:space="preserve">20–5.1. Reformy REPowerEU – 16988_Rámec regulace a fungování trhu pro technologie zachycování, využívání a ukládání uhlíku na podporu dekarbonizace průmyslu </w:t>
            </w:r>
          </w:p>
        </w:tc>
        <w:tc>
          <w:tcPr>
            <w:tcW w:w="1007" w:type="dxa"/>
            <w:tcBorders>
              <w:top w:val="single" w:sz="4" w:space="0" w:color="auto"/>
              <w:left w:val="nil"/>
              <w:bottom w:val="single" w:sz="4" w:space="0" w:color="auto"/>
              <w:right w:val="single" w:sz="4" w:space="0" w:color="auto"/>
            </w:tcBorders>
            <w:shd w:val="clear" w:color="auto" w:fill="C6EFCE"/>
            <w:noWrap/>
          </w:tcPr>
          <w:p w14:paraId="1EF2BC0D" w14:textId="77777777" w:rsidR="00515398" w:rsidRDefault="006711E6">
            <w:pPr>
              <w:pStyle w:val="P68B1DB1-Normal9"/>
              <w:spacing w:after="0" w:line="240" w:lineRule="auto"/>
              <w:rPr>
                <w:rFonts w:eastAsia="Times New Roman" w:cs="Calibri"/>
                <w:noProof/>
                <w:szCs w:val="18"/>
              </w:rPr>
            </w:pPr>
            <w:r>
              <w:rPr>
                <w:noProof/>
              </w:rPr>
              <w:t>Milník</w:t>
            </w:r>
          </w:p>
        </w:tc>
        <w:tc>
          <w:tcPr>
            <w:tcW w:w="1134" w:type="dxa"/>
            <w:tcBorders>
              <w:top w:val="single" w:sz="4" w:space="0" w:color="auto"/>
              <w:left w:val="nil"/>
              <w:bottom w:val="single" w:sz="4" w:space="0" w:color="auto"/>
              <w:right w:val="single" w:sz="4" w:space="0" w:color="auto"/>
            </w:tcBorders>
            <w:shd w:val="clear" w:color="auto" w:fill="C6EFCE"/>
            <w:noWrap/>
          </w:tcPr>
          <w:p w14:paraId="61250E85" w14:textId="00D3F362" w:rsidR="00515398" w:rsidRDefault="006711E6">
            <w:pPr>
              <w:pStyle w:val="P68B1DB1-Normal9"/>
              <w:spacing w:after="0" w:line="240" w:lineRule="auto"/>
              <w:rPr>
                <w:rFonts w:eastAsia="Times New Roman" w:cs="Calibri"/>
                <w:noProof/>
                <w:szCs w:val="18"/>
              </w:rPr>
            </w:pPr>
            <w:r>
              <w:rPr>
                <w:noProof/>
              </w:rPr>
              <w:t>Vytvoření právního rámce pro zachycování, využívání a ukládání uhlíku.</w:t>
            </w:r>
          </w:p>
        </w:tc>
        <w:tc>
          <w:tcPr>
            <w:tcW w:w="1744" w:type="dxa"/>
            <w:tcBorders>
              <w:top w:val="single" w:sz="4" w:space="0" w:color="auto"/>
              <w:left w:val="nil"/>
              <w:bottom w:val="single" w:sz="4" w:space="0" w:color="auto"/>
              <w:right w:val="single" w:sz="4" w:space="0" w:color="auto"/>
            </w:tcBorders>
            <w:shd w:val="clear" w:color="auto" w:fill="C6EFCE"/>
            <w:noWrap/>
          </w:tcPr>
          <w:p w14:paraId="65AAEF50" w14:textId="77777777" w:rsidR="00515398" w:rsidRDefault="006711E6">
            <w:pPr>
              <w:pStyle w:val="P68B1DB1-Normal9"/>
              <w:spacing w:after="0" w:line="240" w:lineRule="auto"/>
              <w:rPr>
                <w:rFonts w:eastAsia="Times New Roman" w:cs="Calibri"/>
                <w:noProof/>
                <w:szCs w:val="18"/>
              </w:rPr>
            </w:pPr>
            <w:r>
              <w:rPr>
                <w:noProof/>
              </w:rPr>
              <w:t>Vstup právních před</w:t>
            </w:r>
            <w:r>
              <w:rPr>
                <w:noProof/>
              </w:rPr>
              <w:t xml:space="preserve">pisů v platnost </w:t>
            </w:r>
          </w:p>
        </w:tc>
        <w:tc>
          <w:tcPr>
            <w:tcW w:w="920" w:type="dxa"/>
            <w:tcBorders>
              <w:top w:val="nil"/>
              <w:left w:val="nil"/>
              <w:bottom w:val="single" w:sz="4" w:space="0" w:color="auto"/>
              <w:right w:val="single" w:sz="4" w:space="0" w:color="auto"/>
            </w:tcBorders>
            <w:shd w:val="clear" w:color="auto" w:fill="C6EFCE"/>
            <w:noWrap/>
          </w:tcPr>
          <w:p w14:paraId="69ABB896" w14:textId="77777777" w:rsidR="00515398" w:rsidRDefault="00515398">
            <w:pPr>
              <w:spacing w:after="0" w:line="240" w:lineRule="auto"/>
              <w:rPr>
                <w:rFonts w:ascii="Times New Roman" w:eastAsia="Times New Roman" w:hAnsi="Times New Roman" w:cs="Times New Roman"/>
                <w:noProof/>
                <w:sz w:val="18"/>
                <w:szCs w:val="18"/>
              </w:rPr>
            </w:pPr>
          </w:p>
        </w:tc>
        <w:tc>
          <w:tcPr>
            <w:tcW w:w="683" w:type="dxa"/>
            <w:gridSpan w:val="2"/>
            <w:tcBorders>
              <w:top w:val="nil"/>
              <w:left w:val="nil"/>
              <w:bottom w:val="single" w:sz="4" w:space="0" w:color="auto"/>
              <w:right w:val="single" w:sz="4" w:space="0" w:color="auto"/>
            </w:tcBorders>
            <w:shd w:val="clear" w:color="auto" w:fill="C6EFCE"/>
            <w:noWrap/>
          </w:tcPr>
          <w:p w14:paraId="7BD53B3D" w14:textId="77777777" w:rsidR="00515398" w:rsidRDefault="00515398">
            <w:pPr>
              <w:spacing w:after="0" w:line="240" w:lineRule="auto"/>
              <w:rPr>
                <w:rFonts w:ascii="Times New Roman" w:eastAsia="Times New Roman" w:hAnsi="Times New Roman" w:cs="Times New Roman"/>
                <w:noProof/>
                <w:sz w:val="18"/>
                <w:szCs w:val="18"/>
              </w:rPr>
            </w:pPr>
          </w:p>
        </w:tc>
        <w:tc>
          <w:tcPr>
            <w:tcW w:w="666" w:type="dxa"/>
            <w:tcBorders>
              <w:top w:val="nil"/>
              <w:left w:val="nil"/>
              <w:bottom w:val="single" w:sz="4" w:space="0" w:color="auto"/>
              <w:right w:val="single" w:sz="4" w:space="0" w:color="auto"/>
            </w:tcBorders>
            <w:shd w:val="clear" w:color="auto" w:fill="C6EFCE"/>
            <w:noWrap/>
          </w:tcPr>
          <w:p w14:paraId="3E4E90D1" w14:textId="77777777" w:rsidR="00515398" w:rsidRDefault="00515398">
            <w:pPr>
              <w:spacing w:after="0" w:line="240" w:lineRule="auto"/>
              <w:rPr>
                <w:rFonts w:ascii="Times New Roman" w:eastAsia="Times New Roman" w:hAnsi="Times New Roman" w:cs="Times New Roman"/>
                <w:noProof/>
                <w:sz w:val="18"/>
                <w:szCs w:val="18"/>
              </w:rPr>
            </w:pPr>
          </w:p>
        </w:tc>
        <w:tc>
          <w:tcPr>
            <w:tcW w:w="931" w:type="dxa"/>
            <w:gridSpan w:val="2"/>
            <w:tcBorders>
              <w:top w:val="nil"/>
              <w:left w:val="nil"/>
              <w:bottom w:val="single" w:sz="4" w:space="0" w:color="auto"/>
              <w:right w:val="single" w:sz="4" w:space="0" w:color="auto"/>
            </w:tcBorders>
            <w:shd w:val="clear" w:color="auto" w:fill="C6EFCE"/>
            <w:noWrap/>
          </w:tcPr>
          <w:p w14:paraId="67166CED" w14:textId="43DADFF4" w:rsidR="00515398" w:rsidRDefault="006711E6">
            <w:pPr>
              <w:pStyle w:val="P68B1DB1-Normal9"/>
              <w:spacing w:after="120" w:line="240" w:lineRule="auto"/>
              <w:rPr>
                <w:rFonts w:eastAsia="Times New Roman"/>
                <w:noProof/>
                <w:szCs w:val="18"/>
              </w:rPr>
            </w:pPr>
            <w:r>
              <w:rPr>
                <w:noProof/>
              </w:rPr>
              <w:t>ČTVRTLETÍ 3</w:t>
            </w:r>
          </w:p>
        </w:tc>
        <w:tc>
          <w:tcPr>
            <w:tcW w:w="911" w:type="dxa"/>
            <w:tcBorders>
              <w:top w:val="nil"/>
              <w:left w:val="nil"/>
              <w:bottom w:val="single" w:sz="4" w:space="0" w:color="auto"/>
              <w:right w:val="single" w:sz="4" w:space="0" w:color="auto"/>
            </w:tcBorders>
            <w:shd w:val="clear" w:color="auto" w:fill="C6EFCE"/>
            <w:noWrap/>
          </w:tcPr>
          <w:p w14:paraId="625DB97B" w14:textId="77777777" w:rsidR="00515398" w:rsidRDefault="006711E6">
            <w:pPr>
              <w:pStyle w:val="P68B1DB1-Normal9"/>
              <w:spacing w:after="120" w:line="240" w:lineRule="auto"/>
              <w:rPr>
                <w:rFonts w:eastAsia="Times New Roman"/>
                <w:noProof/>
                <w:szCs w:val="18"/>
              </w:rPr>
            </w:pPr>
            <w:r>
              <w:rPr>
                <w:noProof/>
              </w:rPr>
              <w:t>2024</w:t>
            </w:r>
          </w:p>
        </w:tc>
        <w:tc>
          <w:tcPr>
            <w:tcW w:w="3529" w:type="dxa"/>
            <w:tcBorders>
              <w:top w:val="single" w:sz="4" w:space="0" w:color="auto"/>
              <w:left w:val="nil"/>
              <w:bottom w:val="single" w:sz="4" w:space="0" w:color="auto"/>
              <w:right w:val="single" w:sz="4" w:space="0" w:color="auto"/>
            </w:tcBorders>
            <w:shd w:val="clear" w:color="auto" w:fill="C6EFCE"/>
            <w:noWrap/>
          </w:tcPr>
          <w:p w14:paraId="40A1876A" w14:textId="77777777" w:rsidR="00515398" w:rsidRDefault="006711E6">
            <w:pPr>
              <w:pStyle w:val="P68B1DB1-Normal9"/>
              <w:spacing w:after="0" w:line="240" w:lineRule="auto"/>
              <w:rPr>
                <w:rFonts w:eastAsia="Times New Roman" w:cs="Calibri"/>
                <w:noProof/>
                <w:szCs w:val="18"/>
              </w:rPr>
            </w:pPr>
            <w:r>
              <w:rPr>
                <w:noProof/>
              </w:rPr>
              <w:t>Vstup v platnost právního rámce pro zachycování, využívání a ukládání uhlíku, který stanoví:</w:t>
            </w:r>
          </w:p>
          <w:p w14:paraId="0FD4BE49" w14:textId="77777777" w:rsidR="00515398" w:rsidRDefault="006711E6">
            <w:pPr>
              <w:pStyle w:val="P68B1DB1-ListParagraph20"/>
              <w:numPr>
                <w:ilvl w:val="0"/>
                <w:numId w:val="80"/>
              </w:numPr>
              <w:spacing w:after="0" w:line="240" w:lineRule="auto"/>
              <w:rPr>
                <w:rFonts w:eastAsia="Times New Roman" w:cs="Calibri"/>
                <w:noProof/>
                <w:szCs w:val="18"/>
              </w:rPr>
            </w:pPr>
            <w:r>
              <w:rPr>
                <w:noProof/>
              </w:rPr>
              <w:t xml:space="preserve">Vývoj licenčního rámce pro instalaci a provoz technologií zachycování, využívání a ukládání uhlíku, včetně vydávání schválení </w:t>
            </w:r>
            <w:r>
              <w:rPr>
                <w:noProof/>
              </w:rPr>
              <w:t>environmentálního povolení.</w:t>
            </w:r>
          </w:p>
          <w:p w14:paraId="6F94A2A6" w14:textId="77777777" w:rsidR="00515398" w:rsidRDefault="006711E6">
            <w:pPr>
              <w:pStyle w:val="P68B1DB1-ListParagraph20"/>
              <w:numPr>
                <w:ilvl w:val="0"/>
                <w:numId w:val="80"/>
              </w:numPr>
              <w:spacing w:after="0" w:line="240" w:lineRule="auto"/>
              <w:rPr>
                <w:rFonts w:eastAsia="Times New Roman" w:cs="Calibri"/>
                <w:noProof/>
                <w:szCs w:val="18"/>
              </w:rPr>
            </w:pPr>
            <w:r>
              <w:rPr>
                <w:noProof/>
              </w:rPr>
              <w:t>Zavedení příslušného normalizačního a certifikačního procesu pro původ zachycených a ukládaných emisí CO2.</w:t>
            </w:r>
          </w:p>
          <w:p w14:paraId="3430B9FC" w14:textId="77777777" w:rsidR="00515398" w:rsidRDefault="006711E6">
            <w:pPr>
              <w:pStyle w:val="P68B1DB1-ListParagraph20"/>
              <w:numPr>
                <w:ilvl w:val="0"/>
                <w:numId w:val="80"/>
              </w:numPr>
              <w:spacing w:after="0" w:line="240" w:lineRule="auto"/>
              <w:rPr>
                <w:rFonts w:eastAsia="Times New Roman" w:cs="Calibri"/>
                <w:noProof/>
                <w:szCs w:val="18"/>
              </w:rPr>
            </w:pPr>
            <w:r>
              <w:rPr>
                <w:noProof/>
              </w:rPr>
              <w:t xml:space="preserve">Vypracování regulačního rámce pro hodnotový řetězec CCS pro poplatky za skladování a přepravu. Rámec zahrnuje podpůrná </w:t>
            </w:r>
            <w:r>
              <w:rPr>
                <w:noProof/>
              </w:rPr>
              <w:t>ustanovení týkající se rozdílových smluv, jakož i regulovaných přepážek. Vytvoření rámce pro využívání/využívání zachyceného CO2</w:t>
            </w:r>
          </w:p>
          <w:p w14:paraId="4C5BBFCE" w14:textId="77777777" w:rsidR="00515398" w:rsidRDefault="006711E6">
            <w:pPr>
              <w:pStyle w:val="P68B1DB1-ListParagraph20"/>
              <w:numPr>
                <w:ilvl w:val="0"/>
                <w:numId w:val="80"/>
              </w:numPr>
              <w:spacing w:after="0" w:line="240" w:lineRule="auto"/>
              <w:rPr>
                <w:rFonts w:eastAsia="Times New Roman" w:cs="Calibri"/>
                <w:noProof/>
                <w:szCs w:val="18"/>
              </w:rPr>
            </w:pPr>
            <w:r>
              <w:rPr>
                <w:noProof/>
              </w:rPr>
              <w:t>Přijetí rámce pro přístup třetích stran do sítě/přepravní infrastruktury a skladovacího zařízení.</w:t>
            </w:r>
          </w:p>
          <w:p w14:paraId="76DA11B5" w14:textId="77777777" w:rsidR="00515398" w:rsidRDefault="006711E6">
            <w:pPr>
              <w:pStyle w:val="P68B1DB1-ListParagraph20"/>
              <w:numPr>
                <w:ilvl w:val="0"/>
                <w:numId w:val="80"/>
              </w:numPr>
              <w:spacing w:after="0" w:line="240" w:lineRule="auto"/>
              <w:rPr>
                <w:rFonts w:eastAsia="Times New Roman" w:cs="Calibri"/>
                <w:noProof/>
                <w:szCs w:val="18"/>
              </w:rPr>
            </w:pPr>
            <w:r>
              <w:rPr>
                <w:noProof/>
              </w:rPr>
              <w:t>Přidělení různých odpovědnost</w:t>
            </w:r>
            <w:r>
              <w:rPr>
                <w:noProof/>
              </w:rPr>
              <w:t>í různých zúčastněných stran za provoz technologií zachycování, využívání a ukládání uhlíku a dohled nad příslušným trhem.</w:t>
            </w:r>
          </w:p>
        </w:tc>
      </w:tr>
    </w:tbl>
    <w:p w14:paraId="6A00FD52" w14:textId="77777777" w:rsidR="00515398" w:rsidRDefault="00515398">
      <w:pPr>
        <w:keepNext/>
        <w:keepLines/>
        <w:spacing w:before="240" w:after="0" w:line="240" w:lineRule="auto"/>
        <w:jc w:val="both"/>
        <w:outlineLvl w:val="4"/>
        <w:rPr>
          <w:rFonts w:ascii="Cambria" w:eastAsia="Times New Roman" w:hAnsi="Cambria"/>
          <w:noProof/>
          <w:color w:val="365F91"/>
          <w:sz w:val="24"/>
          <w:szCs w:val="24"/>
        </w:rPr>
      </w:pPr>
    </w:p>
    <w:p w14:paraId="430322E2" w14:textId="77777777" w:rsidR="00515398" w:rsidRDefault="006711E6">
      <w:pPr>
        <w:pStyle w:val="P68B1DB1-Normal6"/>
        <w:keepNext/>
        <w:keepLines/>
        <w:spacing w:before="240" w:after="0" w:line="240" w:lineRule="auto"/>
        <w:jc w:val="both"/>
        <w:outlineLvl w:val="4"/>
        <w:rPr>
          <w:noProof/>
        </w:rPr>
      </w:pPr>
      <w:r>
        <w:rPr>
          <w:noProof/>
        </w:rPr>
        <w:t>Reforma č. 4: Zvýšení síťové a skladovací kapacity – podpora investic do skladování (ID opatření: 16990)</w:t>
      </w:r>
    </w:p>
    <w:p w14:paraId="6A5E07C0" w14:textId="77777777" w:rsidR="00515398" w:rsidRDefault="00515398">
      <w:pPr>
        <w:keepNext/>
        <w:keepLines/>
        <w:spacing w:before="240" w:after="0" w:line="240" w:lineRule="auto"/>
        <w:jc w:val="both"/>
        <w:outlineLvl w:val="4"/>
        <w:rPr>
          <w:rFonts w:ascii="Cambria" w:eastAsia="Times New Roman" w:hAnsi="Cambria"/>
          <w:noProof/>
          <w:color w:val="365F91"/>
          <w:sz w:val="24"/>
        </w:rPr>
      </w:pPr>
    </w:p>
    <w:tbl>
      <w:tblPr>
        <w:tblpPr w:leftFromText="181" w:rightFromText="181" w:vertAnchor="text" w:tblpY="1"/>
        <w:tblOverlap w:val="never"/>
        <w:tblW w:w="14737" w:type="dxa"/>
        <w:tblLayout w:type="fixed"/>
        <w:tblLook w:val="04A0" w:firstRow="1" w:lastRow="0" w:firstColumn="1" w:lastColumn="0" w:noHBand="0" w:noVBand="1"/>
      </w:tblPr>
      <w:tblGrid>
        <w:gridCol w:w="1134"/>
        <w:gridCol w:w="2078"/>
        <w:gridCol w:w="1007"/>
        <w:gridCol w:w="1134"/>
        <w:gridCol w:w="1163"/>
        <w:gridCol w:w="992"/>
        <w:gridCol w:w="1192"/>
        <w:gridCol w:w="666"/>
        <w:gridCol w:w="921"/>
        <w:gridCol w:w="10"/>
        <w:gridCol w:w="911"/>
        <w:gridCol w:w="3529"/>
      </w:tblGrid>
      <w:tr w:rsidR="00515398" w14:paraId="4F0A8EB2" w14:textId="77777777">
        <w:trPr>
          <w:trHeight w:val="1125"/>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5C2DD0" w14:textId="77777777" w:rsidR="00515398" w:rsidRDefault="006711E6">
            <w:pPr>
              <w:pStyle w:val="P68B1DB1-Normal7"/>
              <w:spacing w:before="120" w:after="120" w:line="240" w:lineRule="auto"/>
              <w:jc w:val="center"/>
              <w:rPr>
                <w:rFonts w:cs="Times New Roman"/>
                <w:noProof/>
                <w:sz w:val="24"/>
              </w:rPr>
            </w:pPr>
            <w:r>
              <w:rPr>
                <w:noProof/>
              </w:rPr>
              <w:t>Pořadové číslo</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564EF7" w14:textId="77777777" w:rsidR="00515398" w:rsidRDefault="006711E6">
            <w:pPr>
              <w:pStyle w:val="P68B1DB1-Normal7"/>
              <w:spacing w:before="120" w:after="120" w:line="240" w:lineRule="auto"/>
              <w:jc w:val="center"/>
              <w:rPr>
                <w:rFonts w:cs="Times New Roman"/>
                <w:noProof/>
                <w:sz w:val="24"/>
              </w:rPr>
            </w:pPr>
            <w:r>
              <w:rPr>
                <w:noProof/>
              </w:rPr>
              <w:t>Související opatření (reforma nebo investice)</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2041BB" w14:textId="77777777" w:rsidR="00515398" w:rsidRDefault="006711E6">
            <w:pPr>
              <w:pStyle w:val="P68B1DB1-Normal7"/>
              <w:spacing w:before="120" w:after="120" w:line="240" w:lineRule="auto"/>
              <w:jc w:val="center"/>
              <w:rPr>
                <w:rFonts w:cs="Times New Roman"/>
                <w:noProof/>
                <w:sz w:val="24"/>
              </w:rPr>
            </w:pPr>
            <w:r>
              <w:rPr>
                <w:noProof/>
              </w:rPr>
              <w:t>Milník/cíl</w:t>
            </w:r>
          </w:p>
        </w:tc>
        <w:tc>
          <w:tcPr>
            <w:tcW w:w="1134" w:type="dxa"/>
            <w:vMerge w:val="restart"/>
            <w:tcBorders>
              <w:top w:val="single" w:sz="4" w:space="0" w:color="auto"/>
              <w:left w:val="nil"/>
              <w:bottom w:val="single" w:sz="4" w:space="0" w:color="auto"/>
              <w:right w:val="single" w:sz="4" w:space="0" w:color="auto"/>
            </w:tcBorders>
            <w:shd w:val="clear" w:color="auto" w:fill="BDD7EE"/>
            <w:vAlign w:val="center"/>
            <w:hideMark/>
          </w:tcPr>
          <w:p w14:paraId="19868145" w14:textId="77777777" w:rsidR="00515398" w:rsidRDefault="006711E6">
            <w:pPr>
              <w:pStyle w:val="P68B1DB1-Normal7"/>
              <w:spacing w:before="120" w:after="120" w:line="240" w:lineRule="auto"/>
              <w:jc w:val="center"/>
              <w:rPr>
                <w:rFonts w:cs="Times New Roman"/>
                <w:noProof/>
                <w:sz w:val="24"/>
              </w:rPr>
            </w:pPr>
            <w:r>
              <w:rPr>
                <w:noProof/>
              </w:rPr>
              <w:t>Jméno</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1A01D7" w14:textId="77777777" w:rsidR="00515398" w:rsidRDefault="006711E6">
            <w:pPr>
              <w:pStyle w:val="P68B1DB1-Normal7"/>
              <w:spacing w:before="120" w:after="120" w:line="240" w:lineRule="auto"/>
              <w:jc w:val="center"/>
              <w:rPr>
                <w:rFonts w:cs="Times New Roman"/>
                <w:noProof/>
                <w:sz w:val="24"/>
              </w:rPr>
            </w:pPr>
            <w:r>
              <w:rPr>
                <w:noProof/>
              </w:rPr>
              <w:t>Kvalitativní ukazatele (pro milníky)</w:t>
            </w:r>
          </w:p>
        </w:tc>
        <w:tc>
          <w:tcPr>
            <w:tcW w:w="2850" w:type="dxa"/>
            <w:gridSpan w:val="3"/>
            <w:tcBorders>
              <w:top w:val="single" w:sz="4" w:space="0" w:color="auto"/>
              <w:left w:val="nil"/>
              <w:bottom w:val="single" w:sz="4" w:space="0" w:color="auto"/>
              <w:right w:val="single" w:sz="4" w:space="0" w:color="auto"/>
            </w:tcBorders>
            <w:shd w:val="clear" w:color="auto" w:fill="BDD7EE"/>
            <w:vAlign w:val="center"/>
            <w:hideMark/>
          </w:tcPr>
          <w:p w14:paraId="78C583C5" w14:textId="77777777" w:rsidR="00515398" w:rsidRDefault="006711E6">
            <w:pPr>
              <w:pStyle w:val="P68B1DB1-Normal7"/>
              <w:spacing w:before="120" w:after="120" w:line="240" w:lineRule="auto"/>
              <w:jc w:val="center"/>
              <w:rPr>
                <w:rFonts w:cs="Times New Roman"/>
                <w:noProof/>
                <w:sz w:val="24"/>
              </w:rPr>
            </w:pPr>
            <w:r>
              <w:rPr>
                <w:noProof/>
              </w:rPr>
              <w:t>Kvantitativní ukazatele (pro cíle)</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4C5D27A2" w14:textId="77777777" w:rsidR="00515398" w:rsidRDefault="006711E6">
            <w:pPr>
              <w:pStyle w:val="P68B1DB1-Normal7"/>
              <w:spacing w:before="120" w:after="120" w:line="240" w:lineRule="auto"/>
              <w:jc w:val="center"/>
              <w:rPr>
                <w:rFonts w:cs="Times New Roman"/>
                <w:noProof/>
                <w:sz w:val="24"/>
              </w:rPr>
            </w:pPr>
            <w:r>
              <w:rPr>
                <w:noProof/>
              </w:rPr>
              <w:t>Orientační harmonogram pro dokončení</w:t>
            </w:r>
          </w:p>
        </w:tc>
        <w:tc>
          <w:tcPr>
            <w:tcW w:w="3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C6507D" w14:textId="77777777" w:rsidR="00515398" w:rsidRDefault="006711E6">
            <w:pPr>
              <w:pStyle w:val="P68B1DB1-Normal7"/>
              <w:spacing w:before="120" w:after="120" w:line="240" w:lineRule="auto"/>
              <w:jc w:val="center"/>
              <w:rPr>
                <w:rFonts w:cs="Times New Roman"/>
                <w:noProof/>
                <w:sz w:val="24"/>
              </w:rPr>
            </w:pPr>
            <w:r>
              <w:rPr>
                <w:noProof/>
              </w:rPr>
              <w:t>Popis každého milníku a cíle</w:t>
            </w:r>
          </w:p>
        </w:tc>
      </w:tr>
      <w:tr w:rsidR="00515398" w14:paraId="4143218D" w14:textId="77777777">
        <w:trPr>
          <w:trHeight w:val="687"/>
          <w:tblHeader/>
        </w:trPr>
        <w:tc>
          <w:tcPr>
            <w:tcW w:w="1134" w:type="dxa"/>
            <w:vMerge/>
            <w:tcBorders>
              <w:top w:val="single" w:sz="4" w:space="0" w:color="auto"/>
              <w:left w:val="single" w:sz="4" w:space="0" w:color="auto"/>
              <w:bottom w:val="single" w:sz="4" w:space="0" w:color="auto"/>
              <w:right w:val="single" w:sz="4" w:space="0" w:color="auto"/>
            </w:tcBorders>
            <w:vAlign w:val="center"/>
          </w:tcPr>
          <w:p w14:paraId="631120D9"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2078" w:type="dxa"/>
            <w:vMerge/>
            <w:tcBorders>
              <w:top w:val="single" w:sz="4" w:space="0" w:color="auto"/>
              <w:left w:val="single" w:sz="4" w:space="0" w:color="auto"/>
              <w:bottom w:val="single" w:sz="4" w:space="0" w:color="auto"/>
              <w:right w:val="single" w:sz="4" w:space="0" w:color="auto"/>
            </w:tcBorders>
            <w:vAlign w:val="center"/>
          </w:tcPr>
          <w:p w14:paraId="23260B09"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14:paraId="058228D2"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64BDE1" w14:textId="77777777" w:rsidR="00515398" w:rsidRDefault="00515398">
            <w:pPr>
              <w:spacing w:after="0" w:line="240" w:lineRule="auto"/>
              <w:rPr>
                <w:rFonts w:eastAsia="Times New Roman" w:cs="Calibri"/>
                <w:noProof/>
                <w:color w:val="006100"/>
                <w:sz w:val="18"/>
                <w:szCs w:val="18"/>
              </w:rPr>
            </w:pPr>
          </w:p>
        </w:tc>
        <w:tc>
          <w:tcPr>
            <w:tcW w:w="1163" w:type="dxa"/>
            <w:vMerge/>
            <w:tcBorders>
              <w:top w:val="single" w:sz="4" w:space="0" w:color="auto"/>
              <w:left w:val="single" w:sz="4" w:space="0" w:color="auto"/>
              <w:bottom w:val="single" w:sz="4" w:space="0" w:color="auto"/>
              <w:right w:val="single" w:sz="4" w:space="0" w:color="auto"/>
            </w:tcBorders>
            <w:vAlign w:val="center"/>
          </w:tcPr>
          <w:p w14:paraId="4CD5466A"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tcPr>
          <w:p w14:paraId="2CFB3D15"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1192" w:type="dxa"/>
            <w:tcBorders>
              <w:top w:val="single" w:sz="4" w:space="0" w:color="auto"/>
              <w:left w:val="nil"/>
              <w:bottom w:val="single" w:sz="4" w:space="0" w:color="auto"/>
              <w:right w:val="single" w:sz="4" w:space="0" w:color="auto"/>
            </w:tcBorders>
            <w:shd w:val="clear" w:color="auto" w:fill="BDD7EE"/>
            <w:vAlign w:val="center"/>
          </w:tcPr>
          <w:p w14:paraId="3D6309AC"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666" w:type="dxa"/>
            <w:tcBorders>
              <w:top w:val="single" w:sz="4" w:space="0" w:color="auto"/>
              <w:left w:val="nil"/>
              <w:bottom w:val="single" w:sz="4" w:space="0" w:color="auto"/>
              <w:right w:val="single" w:sz="4" w:space="0" w:color="auto"/>
            </w:tcBorders>
            <w:shd w:val="clear" w:color="auto" w:fill="BDD7EE"/>
            <w:vAlign w:val="center"/>
          </w:tcPr>
          <w:p w14:paraId="1B76EA6C"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921" w:type="dxa"/>
            <w:tcBorders>
              <w:top w:val="single" w:sz="4" w:space="0" w:color="auto"/>
              <w:left w:val="nil"/>
              <w:bottom w:val="single" w:sz="4" w:space="0" w:color="auto"/>
              <w:right w:val="single" w:sz="4" w:space="0" w:color="auto"/>
            </w:tcBorders>
            <w:shd w:val="clear" w:color="auto" w:fill="BDD7EE"/>
            <w:vAlign w:val="center"/>
          </w:tcPr>
          <w:p w14:paraId="3C0BEA08"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301E029C"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529" w:type="dxa"/>
            <w:vMerge/>
            <w:tcBorders>
              <w:top w:val="single" w:sz="4" w:space="0" w:color="auto"/>
              <w:bottom w:val="single" w:sz="4" w:space="0" w:color="auto"/>
              <w:right w:val="single" w:sz="4" w:space="0" w:color="auto"/>
            </w:tcBorders>
            <w:vAlign w:val="center"/>
          </w:tcPr>
          <w:p w14:paraId="0A56DC03"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r>
      <w:tr w:rsidR="00515398" w14:paraId="55095B62"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476AFC7B"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356</w:t>
            </w:r>
          </w:p>
        </w:tc>
        <w:tc>
          <w:tcPr>
            <w:tcW w:w="2078" w:type="dxa"/>
            <w:tcBorders>
              <w:top w:val="single" w:sz="4" w:space="0" w:color="auto"/>
              <w:left w:val="nil"/>
              <w:bottom w:val="single" w:sz="4" w:space="0" w:color="auto"/>
              <w:right w:val="single" w:sz="4" w:space="0" w:color="auto"/>
            </w:tcBorders>
            <w:shd w:val="clear" w:color="auto" w:fill="C6EFCE"/>
            <w:noWrap/>
          </w:tcPr>
          <w:p w14:paraId="6E64E7DA" w14:textId="77777777" w:rsidR="00515398" w:rsidRDefault="006711E6">
            <w:pPr>
              <w:pStyle w:val="P68B1DB1-Normal9"/>
              <w:spacing w:after="0" w:line="240" w:lineRule="auto"/>
              <w:rPr>
                <w:rFonts w:eastAsia="Times New Roman" w:cs="Calibri"/>
                <w:noProof/>
                <w:szCs w:val="18"/>
              </w:rPr>
            </w:pPr>
            <w:r>
              <w:rPr>
                <w:noProof/>
              </w:rPr>
              <w:t>20–5.1. Reformy REPowerEU – 16990_Zvýšení kapacity sítě a skladovací kapacity – podpora investic do skladování </w:t>
            </w:r>
          </w:p>
        </w:tc>
        <w:tc>
          <w:tcPr>
            <w:tcW w:w="1007" w:type="dxa"/>
            <w:tcBorders>
              <w:top w:val="single" w:sz="4" w:space="0" w:color="auto"/>
              <w:left w:val="nil"/>
              <w:bottom w:val="single" w:sz="4" w:space="0" w:color="auto"/>
              <w:right w:val="single" w:sz="4" w:space="0" w:color="auto"/>
            </w:tcBorders>
            <w:shd w:val="clear" w:color="auto" w:fill="C6EFCE"/>
            <w:noWrap/>
          </w:tcPr>
          <w:p w14:paraId="301F88FD" w14:textId="77777777" w:rsidR="00515398" w:rsidRDefault="006711E6">
            <w:pPr>
              <w:pStyle w:val="P68B1DB1-Normal9"/>
              <w:spacing w:after="0" w:line="240" w:lineRule="auto"/>
              <w:rPr>
                <w:rFonts w:eastAsia="Times New Roman" w:cs="Calibri"/>
                <w:noProof/>
                <w:szCs w:val="18"/>
              </w:rPr>
            </w:pPr>
            <w:r>
              <w:rPr>
                <w:noProof/>
              </w:rPr>
              <w:t>Milník</w:t>
            </w:r>
          </w:p>
        </w:tc>
        <w:tc>
          <w:tcPr>
            <w:tcW w:w="1134" w:type="dxa"/>
            <w:tcBorders>
              <w:top w:val="single" w:sz="4" w:space="0" w:color="auto"/>
              <w:left w:val="nil"/>
              <w:bottom w:val="single" w:sz="4" w:space="0" w:color="auto"/>
              <w:right w:val="single" w:sz="4" w:space="0" w:color="auto"/>
            </w:tcBorders>
            <w:shd w:val="clear" w:color="auto" w:fill="C6EFCE"/>
            <w:noWrap/>
          </w:tcPr>
          <w:p w14:paraId="44D70FE0" w14:textId="77777777" w:rsidR="00515398" w:rsidRDefault="006711E6">
            <w:pPr>
              <w:pStyle w:val="P68B1DB1-Normal9"/>
              <w:spacing w:after="0" w:line="240" w:lineRule="auto"/>
              <w:rPr>
                <w:rFonts w:eastAsia="Times New Roman" w:cs="Calibri"/>
                <w:noProof/>
                <w:szCs w:val="18"/>
              </w:rPr>
            </w:pPr>
            <w:r>
              <w:rPr>
                <w:noProof/>
              </w:rPr>
              <w:t>Vstup legislativního rámce v platnost.</w:t>
            </w:r>
          </w:p>
        </w:tc>
        <w:tc>
          <w:tcPr>
            <w:tcW w:w="1163" w:type="dxa"/>
            <w:tcBorders>
              <w:top w:val="single" w:sz="4" w:space="0" w:color="auto"/>
              <w:left w:val="nil"/>
              <w:bottom w:val="single" w:sz="4" w:space="0" w:color="auto"/>
              <w:right w:val="single" w:sz="4" w:space="0" w:color="auto"/>
            </w:tcBorders>
            <w:shd w:val="clear" w:color="auto" w:fill="C6EFCE"/>
            <w:noWrap/>
          </w:tcPr>
          <w:p w14:paraId="0988E689" w14:textId="3ECE7559" w:rsidR="00515398" w:rsidRDefault="006711E6">
            <w:pPr>
              <w:pStyle w:val="P68B1DB1-Normal35"/>
              <w:spacing w:after="0" w:line="240" w:lineRule="auto"/>
              <w:rPr>
                <w:rFonts w:ascii="Times New Roman" w:eastAsia="Times New Roman" w:hAnsi="Times New Roman" w:cs="Times New Roman"/>
                <w:noProof/>
                <w:szCs w:val="18"/>
              </w:rPr>
            </w:pPr>
            <w:r>
              <w:rPr>
                <w:noProof/>
                <w:color w:val="006100"/>
              </w:rPr>
              <w:t xml:space="preserve">Primární a sekundární právní předpisy </w:t>
            </w:r>
            <w:r>
              <w:rPr>
                <w:rFonts w:ascii="Times New Roman" w:hAnsi="Times New Roman"/>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400C74C" w14:textId="77777777" w:rsidR="00515398" w:rsidRDefault="00515398">
            <w:pPr>
              <w:spacing w:after="0" w:line="240" w:lineRule="auto"/>
              <w:rPr>
                <w:rFonts w:ascii="Times New Roman" w:eastAsia="Times New Roman" w:hAnsi="Times New Roman" w:cs="Times New Roman"/>
                <w:noProof/>
                <w:sz w:val="18"/>
                <w:szCs w:val="18"/>
              </w:rPr>
            </w:pPr>
          </w:p>
        </w:tc>
        <w:tc>
          <w:tcPr>
            <w:tcW w:w="1192" w:type="dxa"/>
            <w:tcBorders>
              <w:top w:val="nil"/>
              <w:left w:val="nil"/>
              <w:bottom w:val="single" w:sz="4" w:space="0" w:color="auto"/>
              <w:right w:val="single" w:sz="4" w:space="0" w:color="auto"/>
            </w:tcBorders>
            <w:shd w:val="clear" w:color="auto" w:fill="C6EFCE"/>
            <w:noWrap/>
          </w:tcPr>
          <w:p w14:paraId="0CEA8AED" w14:textId="77777777" w:rsidR="00515398" w:rsidRDefault="00515398">
            <w:pPr>
              <w:spacing w:after="0" w:line="240" w:lineRule="auto"/>
              <w:rPr>
                <w:rFonts w:ascii="Times New Roman" w:eastAsia="Times New Roman" w:hAnsi="Times New Roman" w:cs="Times New Roman"/>
                <w:noProof/>
                <w:sz w:val="18"/>
                <w:szCs w:val="18"/>
              </w:rPr>
            </w:pPr>
          </w:p>
        </w:tc>
        <w:tc>
          <w:tcPr>
            <w:tcW w:w="666" w:type="dxa"/>
            <w:tcBorders>
              <w:top w:val="nil"/>
              <w:left w:val="nil"/>
              <w:bottom w:val="single" w:sz="4" w:space="0" w:color="auto"/>
              <w:right w:val="single" w:sz="4" w:space="0" w:color="auto"/>
            </w:tcBorders>
            <w:shd w:val="clear" w:color="auto" w:fill="C6EFCE"/>
            <w:noWrap/>
          </w:tcPr>
          <w:p w14:paraId="1CE0512F" w14:textId="77777777" w:rsidR="00515398" w:rsidRDefault="00515398">
            <w:pPr>
              <w:spacing w:after="0" w:line="240" w:lineRule="auto"/>
              <w:rPr>
                <w:rFonts w:ascii="Times New Roman" w:eastAsia="Times New Roman" w:hAnsi="Times New Roman" w:cs="Times New Roman"/>
                <w:noProof/>
                <w:sz w:val="18"/>
                <w:szCs w:val="18"/>
              </w:rPr>
            </w:pPr>
          </w:p>
        </w:tc>
        <w:tc>
          <w:tcPr>
            <w:tcW w:w="931" w:type="dxa"/>
            <w:gridSpan w:val="2"/>
            <w:tcBorders>
              <w:top w:val="nil"/>
              <w:left w:val="nil"/>
              <w:bottom w:val="single" w:sz="4" w:space="0" w:color="auto"/>
              <w:right w:val="single" w:sz="4" w:space="0" w:color="auto"/>
            </w:tcBorders>
            <w:shd w:val="clear" w:color="auto" w:fill="C6EFCE"/>
            <w:noWrap/>
          </w:tcPr>
          <w:p w14:paraId="64973C8F" w14:textId="77777777" w:rsidR="00515398" w:rsidRDefault="006711E6">
            <w:pPr>
              <w:pStyle w:val="P68B1DB1-Normal9"/>
              <w:spacing w:after="120" w:line="240" w:lineRule="auto"/>
              <w:rPr>
                <w:rFonts w:eastAsia="Times New Roman"/>
                <w:noProof/>
                <w:szCs w:val="18"/>
              </w:rPr>
            </w:pPr>
            <w:r>
              <w:rPr>
                <w:noProof/>
              </w:rPr>
              <w:t>ČTVRTLETÍ</w:t>
            </w:r>
          </w:p>
        </w:tc>
        <w:tc>
          <w:tcPr>
            <w:tcW w:w="911" w:type="dxa"/>
            <w:tcBorders>
              <w:top w:val="nil"/>
              <w:left w:val="nil"/>
              <w:bottom w:val="single" w:sz="4" w:space="0" w:color="auto"/>
              <w:right w:val="single" w:sz="4" w:space="0" w:color="auto"/>
            </w:tcBorders>
            <w:shd w:val="clear" w:color="auto" w:fill="C6EFCE"/>
            <w:noWrap/>
          </w:tcPr>
          <w:p w14:paraId="18FB148A" w14:textId="77777777" w:rsidR="00515398" w:rsidRDefault="006711E6">
            <w:pPr>
              <w:pStyle w:val="P68B1DB1-Normal9"/>
              <w:spacing w:after="120" w:line="240" w:lineRule="auto"/>
              <w:rPr>
                <w:rFonts w:eastAsia="Times New Roman"/>
                <w:noProof/>
                <w:szCs w:val="18"/>
              </w:rPr>
            </w:pPr>
            <w:r>
              <w:rPr>
                <w:noProof/>
              </w:rPr>
              <w:t>2024</w:t>
            </w:r>
          </w:p>
        </w:tc>
        <w:tc>
          <w:tcPr>
            <w:tcW w:w="3529" w:type="dxa"/>
            <w:tcBorders>
              <w:top w:val="single" w:sz="4" w:space="0" w:color="auto"/>
              <w:left w:val="nil"/>
              <w:bottom w:val="single" w:sz="4" w:space="0" w:color="auto"/>
              <w:right w:val="single" w:sz="4" w:space="0" w:color="auto"/>
            </w:tcBorders>
            <w:shd w:val="clear" w:color="auto" w:fill="C6EFCE"/>
            <w:noWrap/>
          </w:tcPr>
          <w:p w14:paraId="734FBCC2" w14:textId="1178ABC8" w:rsidR="00515398" w:rsidRDefault="006711E6">
            <w:pPr>
              <w:pStyle w:val="P68B1DB1-Normal10"/>
              <w:spacing w:after="0" w:line="240" w:lineRule="auto"/>
              <w:rPr>
                <w:rFonts w:ascii="Times New Roman" w:eastAsia="Times New Roman" w:hAnsi="Times New Roman" w:cs="Times New Roman"/>
                <w:noProof/>
              </w:rPr>
            </w:pPr>
            <w:r>
              <w:rPr>
                <w:noProof/>
              </w:rPr>
              <w:t xml:space="preserve">Vstup v platnost primárních a </w:t>
            </w:r>
            <w:r>
              <w:rPr>
                <w:noProof/>
              </w:rPr>
              <w:t>sekundárních právních předpisů, které stanoví podpůrný rámec pro instalaci skladovacích jednotek do stávajících nebo nových elektráren na výrobu energie z obnovitelných zdrojů, které stanoví prioritu při postupech udělování licencí a v přístupu k těmto ele</w:t>
            </w:r>
            <w:r>
              <w:rPr>
                <w:noProof/>
              </w:rPr>
              <w:t xml:space="preserve">ktrárnám. </w:t>
            </w:r>
          </w:p>
        </w:tc>
      </w:tr>
      <w:tr w:rsidR="00515398" w14:paraId="0C6D6EF6"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30390A5"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357</w:t>
            </w:r>
          </w:p>
        </w:tc>
        <w:tc>
          <w:tcPr>
            <w:tcW w:w="2078" w:type="dxa"/>
            <w:tcBorders>
              <w:top w:val="single" w:sz="4" w:space="0" w:color="auto"/>
              <w:left w:val="nil"/>
              <w:bottom w:val="single" w:sz="4" w:space="0" w:color="auto"/>
              <w:right w:val="single" w:sz="4" w:space="0" w:color="auto"/>
            </w:tcBorders>
            <w:shd w:val="clear" w:color="auto" w:fill="C6EFCE"/>
            <w:noWrap/>
          </w:tcPr>
          <w:p w14:paraId="1AD1062D" w14:textId="77777777" w:rsidR="00515398" w:rsidRDefault="006711E6">
            <w:pPr>
              <w:pStyle w:val="P68B1DB1-Normal9"/>
              <w:spacing w:after="0" w:line="240" w:lineRule="auto"/>
              <w:rPr>
                <w:rFonts w:eastAsia="Times New Roman" w:cs="Calibri"/>
                <w:noProof/>
                <w:szCs w:val="18"/>
              </w:rPr>
            </w:pPr>
            <w:r>
              <w:rPr>
                <w:noProof/>
              </w:rPr>
              <w:t>20–5.1. Reformy REPowerEU – 16990_Síťová a skladovací kapacita – podpora investic do skladování</w:t>
            </w:r>
          </w:p>
        </w:tc>
        <w:tc>
          <w:tcPr>
            <w:tcW w:w="1007" w:type="dxa"/>
            <w:tcBorders>
              <w:top w:val="single" w:sz="4" w:space="0" w:color="auto"/>
              <w:left w:val="nil"/>
              <w:bottom w:val="single" w:sz="4" w:space="0" w:color="auto"/>
              <w:right w:val="single" w:sz="4" w:space="0" w:color="auto"/>
            </w:tcBorders>
            <w:shd w:val="clear" w:color="auto" w:fill="C6EFCE"/>
            <w:noWrap/>
          </w:tcPr>
          <w:p w14:paraId="5FE6A5F7" w14:textId="77777777" w:rsidR="00515398" w:rsidRDefault="006711E6">
            <w:pPr>
              <w:pStyle w:val="P68B1DB1-Normal9"/>
              <w:spacing w:after="0" w:line="240" w:lineRule="auto"/>
              <w:rPr>
                <w:rFonts w:eastAsia="Times New Roman" w:cs="Calibri"/>
                <w:noProof/>
                <w:szCs w:val="18"/>
              </w:rPr>
            </w:pPr>
            <w:r>
              <w:rPr>
                <w:noProof/>
              </w:rPr>
              <w:t xml:space="preserve">Milník </w:t>
            </w:r>
          </w:p>
        </w:tc>
        <w:tc>
          <w:tcPr>
            <w:tcW w:w="1134" w:type="dxa"/>
            <w:tcBorders>
              <w:top w:val="single" w:sz="4" w:space="0" w:color="auto"/>
              <w:left w:val="nil"/>
              <w:bottom w:val="single" w:sz="4" w:space="0" w:color="auto"/>
              <w:right w:val="single" w:sz="4" w:space="0" w:color="auto"/>
            </w:tcBorders>
            <w:shd w:val="clear" w:color="auto" w:fill="C6EFCE"/>
            <w:noWrap/>
          </w:tcPr>
          <w:p w14:paraId="2E79E8B9" w14:textId="77777777" w:rsidR="00515398" w:rsidRDefault="006711E6">
            <w:pPr>
              <w:pStyle w:val="P68B1DB1-Normal9"/>
              <w:spacing w:after="0" w:line="240" w:lineRule="auto"/>
              <w:rPr>
                <w:rFonts w:eastAsia="Times New Roman" w:cs="Calibri"/>
                <w:noProof/>
                <w:szCs w:val="18"/>
              </w:rPr>
            </w:pPr>
            <w:r>
              <w:rPr>
                <w:noProof/>
              </w:rPr>
              <w:t xml:space="preserve">Vstup režimu podpory v platnost. </w:t>
            </w:r>
          </w:p>
        </w:tc>
        <w:tc>
          <w:tcPr>
            <w:tcW w:w="1163" w:type="dxa"/>
            <w:tcBorders>
              <w:top w:val="single" w:sz="4" w:space="0" w:color="auto"/>
              <w:left w:val="nil"/>
              <w:bottom w:val="single" w:sz="4" w:space="0" w:color="auto"/>
              <w:right w:val="single" w:sz="4" w:space="0" w:color="auto"/>
            </w:tcBorders>
            <w:shd w:val="clear" w:color="auto" w:fill="C6EFCE"/>
            <w:noWrap/>
          </w:tcPr>
          <w:p w14:paraId="15E1BB94" w14:textId="77777777" w:rsidR="00515398" w:rsidRDefault="006711E6">
            <w:pPr>
              <w:pStyle w:val="P68B1DB1-Normal9"/>
              <w:spacing w:after="0" w:line="240" w:lineRule="auto"/>
              <w:rPr>
                <w:rFonts w:eastAsia="Times New Roman" w:cs="Calibri"/>
                <w:noProof/>
                <w:szCs w:val="18"/>
              </w:rPr>
            </w:pPr>
            <w:r>
              <w:rPr>
                <w:noProof/>
              </w:rPr>
              <w:t>Právní a/nebo ministerské rozhodnutí</w:t>
            </w:r>
          </w:p>
        </w:tc>
        <w:tc>
          <w:tcPr>
            <w:tcW w:w="992" w:type="dxa"/>
            <w:tcBorders>
              <w:top w:val="single" w:sz="4" w:space="0" w:color="auto"/>
              <w:left w:val="nil"/>
              <w:bottom w:val="single" w:sz="4" w:space="0" w:color="auto"/>
              <w:right w:val="single" w:sz="4" w:space="0" w:color="auto"/>
            </w:tcBorders>
            <w:shd w:val="clear" w:color="auto" w:fill="C6EFCE"/>
            <w:noWrap/>
          </w:tcPr>
          <w:p w14:paraId="0FE5E35A" w14:textId="77777777" w:rsidR="00515398" w:rsidRDefault="00515398">
            <w:pPr>
              <w:spacing w:after="0" w:line="240" w:lineRule="auto"/>
              <w:rPr>
                <w:rFonts w:ascii="Times New Roman" w:eastAsia="Times New Roman" w:hAnsi="Times New Roman" w:cs="Times New Roman"/>
                <w:noProof/>
                <w:sz w:val="18"/>
                <w:szCs w:val="18"/>
              </w:rPr>
            </w:pPr>
          </w:p>
        </w:tc>
        <w:tc>
          <w:tcPr>
            <w:tcW w:w="1192" w:type="dxa"/>
            <w:tcBorders>
              <w:top w:val="single" w:sz="4" w:space="0" w:color="auto"/>
              <w:left w:val="nil"/>
              <w:bottom w:val="single" w:sz="4" w:space="0" w:color="auto"/>
              <w:right w:val="single" w:sz="4" w:space="0" w:color="auto"/>
            </w:tcBorders>
            <w:shd w:val="clear" w:color="auto" w:fill="C6EFCE"/>
            <w:noWrap/>
          </w:tcPr>
          <w:p w14:paraId="014FAB39" w14:textId="77777777" w:rsidR="00515398" w:rsidRDefault="00515398">
            <w:pPr>
              <w:spacing w:after="0" w:line="240" w:lineRule="auto"/>
              <w:rPr>
                <w:rFonts w:ascii="Times New Roman" w:eastAsia="Times New Roman" w:hAnsi="Times New Roman" w:cs="Times New Roman"/>
                <w:noProof/>
                <w:sz w:val="18"/>
                <w:szCs w:val="18"/>
              </w:rPr>
            </w:pPr>
          </w:p>
        </w:tc>
        <w:tc>
          <w:tcPr>
            <w:tcW w:w="666" w:type="dxa"/>
            <w:tcBorders>
              <w:top w:val="single" w:sz="4" w:space="0" w:color="auto"/>
              <w:left w:val="nil"/>
              <w:bottom w:val="single" w:sz="4" w:space="0" w:color="auto"/>
              <w:right w:val="single" w:sz="4" w:space="0" w:color="auto"/>
            </w:tcBorders>
            <w:shd w:val="clear" w:color="auto" w:fill="C6EFCE"/>
            <w:noWrap/>
          </w:tcPr>
          <w:p w14:paraId="68684DAC" w14:textId="77777777" w:rsidR="00515398" w:rsidRDefault="00515398">
            <w:pPr>
              <w:spacing w:after="0" w:line="240" w:lineRule="auto"/>
              <w:rPr>
                <w:rFonts w:ascii="Times New Roman" w:eastAsia="Times New Roman" w:hAnsi="Times New Roman" w:cs="Times New Roman"/>
                <w:noProof/>
                <w:sz w:val="18"/>
                <w:szCs w:val="18"/>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0478A086" w14:textId="77777777" w:rsidR="00515398" w:rsidRDefault="006711E6">
            <w:pPr>
              <w:pStyle w:val="P68B1DB1-Normal9"/>
              <w:spacing w:after="120" w:line="240" w:lineRule="auto"/>
              <w:rPr>
                <w:rFonts w:eastAsia="Times New Roman"/>
                <w:noProof/>
                <w:szCs w:val="18"/>
              </w:rPr>
            </w:pPr>
            <w:r>
              <w:rPr>
                <w:noProof/>
              </w:rPr>
              <w:t>ČTVRTLETÍ</w:t>
            </w:r>
          </w:p>
        </w:tc>
        <w:tc>
          <w:tcPr>
            <w:tcW w:w="911" w:type="dxa"/>
            <w:tcBorders>
              <w:top w:val="single" w:sz="4" w:space="0" w:color="auto"/>
              <w:left w:val="nil"/>
              <w:bottom w:val="single" w:sz="4" w:space="0" w:color="auto"/>
              <w:right w:val="single" w:sz="4" w:space="0" w:color="auto"/>
            </w:tcBorders>
            <w:shd w:val="clear" w:color="auto" w:fill="C6EFCE"/>
            <w:noWrap/>
          </w:tcPr>
          <w:p w14:paraId="22B2D5E0" w14:textId="77777777" w:rsidR="00515398" w:rsidRDefault="006711E6">
            <w:pPr>
              <w:pStyle w:val="P68B1DB1-Normal9"/>
              <w:spacing w:after="120" w:line="240" w:lineRule="auto"/>
              <w:rPr>
                <w:rFonts w:eastAsia="Times New Roman"/>
                <w:noProof/>
                <w:szCs w:val="18"/>
              </w:rPr>
            </w:pPr>
            <w:r>
              <w:rPr>
                <w:noProof/>
              </w:rPr>
              <w:t>2025</w:t>
            </w:r>
          </w:p>
        </w:tc>
        <w:tc>
          <w:tcPr>
            <w:tcW w:w="3529" w:type="dxa"/>
            <w:tcBorders>
              <w:top w:val="single" w:sz="4" w:space="0" w:color="auto"/>
              <w:left w:val="nil"/>
              <w:bottom w:val="single" w:sz="4" w:space="0" w:color="auto"/>
              <w:right w:val="single" w:sz="4" w:space="0" w:color="auto"/>
            </w:tcBorders>
            <w:shd w:val="clear" w:color="auto" w:fill="C6EFCE"/>
            <w:noWrap/>
          </w:tcPr>
          <w:p w14:paraId="41C3B7C2" w14:textId="77777777" w:rsidR="00515398" w:rsidRDefault="006711E6">
            <w:pPr>
              <w:pStyle w:val="P68B1DB1-Normal9"/>
              <w:spacing w:after="0" w:line="240" w:lineRule="auto"/>
              <w:rPr>
                <w:rFonts w:eastAsia="Times New Roman" w:cs="Calibri"/>
                <w:noProof/>
                <w:szCs w:val="18"/>
              </w:rPr>
            </w:pPr>
            <w:r>
              <w:rPr>
                <w:noProof/>
              </w:rPr>
              <w:t xml:space="preserve">Vstup režimu podpory v platnost prostřednictvím aukcí pro kombinované skladovací jednotky energie z obnovitelných zdrojů s fotovoltaickými a bateriovými akumulačními technologiemi. </w:t>
            </w:r>
          </w:p>
        </w:tc>
      </w:tr>
    </w:tbl>
    <w:p w14:paraId="777EA951" w14:textId="77777777" w:rsidR="00515398" w:rsidRDefault="006711E6">
      <w:pPr>
        <w:pStyle w:val="P68B1DB1-Normal6"/>
        <w:keepNext/>
        <w:keepLines/>
        <w:spacing w:before="240" w:after="0" w:line="240" w:lineRule="auto"/>
        <w:jc w:val="both"/>
        <w:outlineLvl w:val="4"/>
        <w:rPr>
          <w:rFonts w:eastAsia="Times New Roman"/>
          <w:noProof/>
          <w:szCs w:val="24"/>
        </w:rPr>
      </w:pPr>
      <w:r>
        <w:rPr>
          <w:noProof/>
        </w:rPr>
        <w:t>Reforma č. 5: Regulační rámec pro inteligentní síť (ID opatření: 16991)</w:t>
      </w:r>
    </w:p>
    <w:tbl>
      <w:tblPr>
        <w:tblW w:w="14596" w:type="dxa"/>
        <w:tblLayout w:type="fixed"/>
        <w:tblLook w:val="04A0" w:firstRow="1" w:lastRow="0" w:firstColumn="1" w:lastColumn="0" w:noHBand="0" w:noVBand="1"/>
      </w:tblPr>
      <w:tblGrid>
        <w:gridCol w:w="1106"/>
        <w:gridCol w:w="2020"/>
        <w:gridCol w:w="982"/>
        <w:gridCol w:w="1105"/>
        <w:gridCol w:w="1696"/>
        <w:gridCol w:w="954"/>
        <w:gridCol w:w="996"/>
        <w:gridCol w:w="652"/>
        <w:gridCol w:w="899"/>
        <w:gridCol w:w="10"/>
        <w:gridCol w:w="889"/>
        <w:gridCol w:w="3287"/>
      </w:tblGrid>
      <w:tr w:rsidR="00515398" w14:paraId="4639F544" w14:textId="77777777">
        <w:trPr>
          <w:trHeight w:val="1125"/>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327CDD" w14:textId="77777777" w:rsidR="00515398" w:rsidRDefault="006711E6">
            <w:pPr>
              <w:pStyle w:val="P68B1DB1-Normal7"/>
              <w:spacing w:before="120" w:after="120" w:line="240" w:lineRule="auto"/>
              <w:jc w:val="center"/>
              <w:rPr>
                <w:rFonts w:cs="Times New Roman"/>
                <w:noProof/>
                <w:sz w:val="24"/>
              </w:rPr>
            </w:pPr>
            <w:r>
              <w:rPr>
                <w:noProof/>
              </w:rPr>
              <w:t>Pořadové číslo</w:t>
            </w:r>
          </w:p>
        </w:tc>
        <w:tc>
          <w:tcPr>
            <w:tcW w:w="2078" w:type="dxa"/>
            <w:vMerge w:val="restart"/>
            <w:tcBorders>
              <w:top w:val="single" w:sz="4" w:space="0" w:color="auto"/>
              <w:left w:val="single" w:sz="4" w:space="0" w:color="auto"/>
              <w:right w:val="single" w:sz="4" w:space="0" w:color="auto"/>
            </w:tcBorders>
            <w:shd w:val="clear" w:color="auto" w:fill="BDD7EE"/>
            <w:vAlign w:val="center"/>
            <w:hideMark/>
          </w:tcPr>
          <w:p w14:paraId="18ED0E9E" w14:textId="77777777" w:rsidR="00515398" w:rsidRDefault="006711E6">
            <w:pPr>
              <w:pStyle w:val="P68B1DB1-Normal7"/>
              <w:spacing w:before="120" w:after="120" w:line="240" w:lineRule="auto"/>
              <w:jc w:val="center"/>
              <w:rPr>
                <w:rFonts w:cs="Times New Roman"/>
                <w:noProof/>
                <w:sz w:val="24"/>
              </w:rPr>
            </w:pPr>
            <w:r>
              <w:rPr>
                <w:noProof/>
              </w:rPr>
              <w:t>Související opatření (reforma nebo investice)</w:t>
            </w:r>
          </w:p>
        </w:tc>
        <w:tc>
          <w:tcPr>
            <w:tcW w:w="1007" w:type="dxa"/>
            <w:vMerge w:val="restart"/>
            <w:tcBorders>
              <w:top w:val="single" w:sz="4" w:space="0" w:color="auto"/>
              <w:left w:val="single" w:sz="4" w:space="0" w:color="auto"/>
              <w:right w:val="single" w:sz="4" w:space="0" w:color="auto"/>
            </w:tcBorders>
            <w:shd w:val="clear" w:color="auto" w:fill="BDD7EE"/>
            <w:vAlign w:val="center"/>
            <w:hideMark/>
          </w:tcPr>
          <w:p w14:paraId="59567F31" w14:textId="77777777" w:rsidR="00515398" w:rsidRDefault="006711E6">
            <w:pPr>
              <w:pStyle w:val="P68B1DB1-Normal7"/>
              <w:spacing w:before="120" w:after="120" w:line="240" w:lineRule="auto"/>
              <w:jc w:val="center"/>
              <w:rPr>
                <w:rFonts w:cs="Times New Roman"/>
                <w:noProof/>
                <w:sz w:val="24"/>
              </w:rPr>
            </w:pPr>
            <w:r>
              <w:rPr>
                <w:noProof/>
              </w:rPr>
              <w:t>Milník/cíl</w:t>
            </w:r>
          </w:p>
        </w:tc>
        <w:tc>
          <w:tcPr>
            <w:tcW w:w="1134" w:type="dxa"/>
            <w:vMerge w:val="restart"/>
            <w:tcBorders>
              <w:top w:val="single" w:sz="4" w:space="0" w:color="auto"/>
              <w:left w:val="single" w:sz="4" w:space="0" w:color="auto"/>
              <w:right w:val="single" w:sz="4" w:space="0" w:color="auto"/>
            </w:tcBorders>
            <w:shd w:val="clear" w:color="auto" w:fill="BDD7EE"/>
            <w:vAlign w:val="center"/>
            <w:hideMark/>
          </w:tcPr>
          <w:p w14:paraId="665A52B1" w14:textId="77777777" w:rsidR="00515398" w:rsidRDefault="006711E6">
            <w:pPr>
              <w:pStyle w:val="P68B1DB1-Normal7"/>
              <w:spacing w:before="120" w:after="120" w:line="240" w:lineRule="auto"/>
              <w:jc w:val="center"/>
              <w:rPr>
                <w:rFonts w:cs="Times New Roman"/>
                <w:noProof/>
                <w:sz w:val="24"/>
              </w:rPr>
            </w:pPr>
            <w:r>
              <w:rPr>
                <w:noProof/>
              </w:rPr>
              <w:t>Jméno</w:t>
            </w:r>
          </w:p>
        </w:tc>
        <w:tc>
          <w:tcPr>
            <w:tcW w:w="1744" w:type="dxa"/>
            <w:vMerge w:val="restart"/>
            <w:tcBorders>
              <w:top w:val="single" w:sz="4" w:space="0" w:color="auto"/>
              <w:left w:val="single" w:sz="4" w:space="0" w:color="auto"/>
              <w:right w:val="single" w:sz="4" w:space="0" w:color="auto"/>
            </w:tcBorders>
            <w:shd w:val="clear" w:color="auto" w:fill="BDD7EE"/>
            <w:vAlign w:val="center"/>
            <w:hideMark/>
          </w:tcPr>
          <w:p w14:paraId="32232C9D" w14:textId="77777777" w:rsidR="00515398" w:rsidRDefault="006711E6">
            <w:pPr>
              <w:pStyle w:val="P68B1DB1-Normal7"/>
              <w:spacing w:before="120" w:after="120" w:line="240" w:lineRule="auto"/>
              <w:jc w:val="center"/>
              <w:rPr>
                <w:rFonts w:cs="Times New Roman"/>
                <w:noProof/>
                <w:sz w:val="24"/>
              </w:rPr>
            </w:pPr>
            <w:r>
              <w:rPr>
                <w:noProof/>
              </w:rPr>
              <w:t>Kvalitativní ukazatele (pro milníky)</w:t>
            </w:r>
          </w:p>
        </w:tc>
        <w:tc>
          <w:tcPr>
            <w:tcW w:w="226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A73547C" w14:textId="77777777" w:rsidR="00515398" w:rsidRDefault="006711E6">
            <w:pPr>
              <w:pStyle w:val="P68B1DB1-Normal7"/>
              <w:spacing w:before="120" w:after="120" w:line="240" w:lineRule="auto"/>
              <w:jc w:val="center"/>
              <w:rPr>
                <w:rFonts w:cs="Times New Roman"/>
                <w:noProof/>
                <w:sz w:val="24"/>
              </w:rPr>
            </w:pPr>
            <w:r>
              <w:rPr>
                <w:noProof/>
              </w:rPr>
              <w:t>Kvantitativní ukazatele (pro cíle)</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14:paraId="057CDD89" w14:textId="77777777" w:rsidR="00515398" w:rsidRDefault="006711E6">
            <w:pPr>
              <w:pStyle w:val="P68B1DB1-Normal7"/>
              <w:spacing w:before="120" w:after="120" w:line="240" w:lineRule="auto"/>
              <w:jc w:val="center"/>
              <w:rPr>
                <w:rFonts w:cs="Times New Roman"/>
                <w:noProof/>
                <w:sz w:val="24"/>
              </w:rPr>
            </w:pPr>
            <w:r>
              <w:rPr>
                <w:noProof/>
              </w:rPr>
              <w:t>Orientační harmonogram pro dokončení</w:t>
            </w:r>
          </w:p>
        </w:tc>
        <w:tc>
          <w:tcPr>
            <w:tcW w:w="33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4B84FF" w14:textId="77777777" w:rsidR="00515398" w:rsidRDefault="006711E6">
            <w:pPr>
              <w:pStyle w:val="P68B1DB1-Normal7"/>
              <w:spacing w:before="120" w:after="120" w:line="240" w:lineRule="auto"/>
              <w:jc w:val="center"/>
              <w:rPr>
                <w:rFonts w:cs="Times New Roman"/>
                <w:noProof/>
                <w:sz w:val="24"/>
              </w:rPr>
            </w:pPr>
            <w:r>
              <w:rPr>
                <w:noProof/>
              </w:rPr>
              <w:t>Popis každého milníku a cíle</w:t>
            </w:r>
          </w:p>
        </w:tc>
      </w:tr>
      <w:tr w:rsidR="00515398" w14:paraId="261F257C" w14:textId="77777777">
        <w:trPr>
          <w:trHeight w:val="848"/>
          <w:tblHeader/>
        </w:trPr>
        <w:tc>
          <w:tcPr>
            <w:tcW w:w="1134" w:type="dxa"/>
            <w:vMerge/>
            <w:tcBorders>
              <w:top w:val="single" w:sz="4" w:space="0" w:color="auto"/>
              <w:left w:val="single" w:sz="4" w:space="0" w:color="auto"/>
              <w:bottom w:val="single" w:sz="4" w:space="0" w:color="auto"/>
            </w:tcBorders>
            <w:vAlign w:val="center"/>
          </w:tcPr>
          <w:p w14:paraId="3883083F"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2078" w:type="dxa"/>
            <w:vMerge/>
            <w:tcBorders>
              <w:left w:val="single" w:sz="4" w:space="0" w:color="auto"/>
              <w:bottom w:val="single" w:sz="4" w:space="0" w:color="auto"/>
              <w:right w:val="single" w:sz="4" w:space="0" w:color="auto"/>
            </w:tcBorders>
            <w:shd w:val="clear" w:color="auto" w:fill="BDD7EE"/>
            <w:vAlign w:val="center"/>
          </w:tcPr>
          <w:p w14:paraId="15E02ADC"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07" w:type="dxa"/>
            <w:vMerge/>
            <w:tcBorders>
              <w:left w:val="single" w:sz="4" w:space="0" w:color="auto"/>
              <w:bottom w:val="single" w:sz="4" w:space="0" w:color="auto"/>
              <w:right w:val="single" w:sz="4" w:space="0" w:color="auto"/>
            </w:tcBorders>
            <w:shd w:val="clear" w:color="auto" w:fill="BDD7EE"/>
            <w:vAlign w:val="center"/>
          </w:tcPr>
          <w:p w14:paraId="53D908D2"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134" w:type="dxa"/>
            <w:vMerge/>
            <w:tcBorders>
              <w:left w:val="single" w:sz="4" w:space="0" w:color="auto"/>
              <w:bottom w:val="single" w:sz="4" w:space="0" w:color="auto"/>
              <w:right w:val="single" w:sz="4" w:space="0" w:color="auto"/>
            </w:tcBorders>
            <w:shd w:val="clear" w:color="auto" w:fill="BDD7EE"/>
            <w:vAlign w:val="center"/>
          </w:tcPr>
          <w:p w14:paraId="48344465" w14:textId="77777777" w:rsidR="00515398" w:rsidRDefault="00515398">
            <w:pPr>
              <w:spacing w:after="0" w:line="240" w:lineRule="auto"/>
              <w:rPr>
                <w:rFonts w:eastAsia="Times New Roman" w:cs="Calibri"/>
                <w:noProof/>
                <w:color w:val="006100"/>
                <w:sz w:val="18"/>
                <w:szCs w:val="18"/>
              </w:rPr>
            </w:pPr>
          </w:p>
        </w:tc>
        <w:tc>
          <w:tcPr>
            <w:tcW w:w="1744" w:type="dxa"/>
            <w:vMerge/>
            <w:tcBorders>
              <w:left w:val="single" w:sz="4" w:space="0" w:color="auto"/>
              <w:bottom w:val="single" w:sz="4" w:space="0" w:color="auto"/>
              <w:right w:val="single" w:sz="4" w:space="0" w:color="auto"/>
            </w:tcBorders>
            <w:shd w:val="clear" w:color="auto" w:fill="BDD7EE"/>
            <w:vAlign w:val="center"/>
          </w:tcPr>
          <w:p w14:paraId="1830A3F2"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978" w:type="dxa"/>
            <w:tcBorders>
              <w:top w:val="single" w:sz="4" w:space="0" w:color="auto"/>
              <w:left w:val="single" w:sz="4" w:space="0" w:color="auto"/>
              <w:bottom w:val="single" w:sz="4" w:space="0" w:color="auto"/>
              <w:right w:val="single" w:sz="4" w:space="0" w:color="auto"/>
            </w:tcBorders>
            <w:shd w:val="clear" w:color="auto" w:fill="BDD7EE"/>
            <w:vAlign w:val="center"/>
          </w:tcPr>
          <w:p w14:paraId="1D0E38CF"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1021" w:type="dxa"/>
            <w:tcBorders>
              <w:top w:val="single" w:sz="4" w:space="0" w:color="auto"/>
              <w:left w:val="nil"/>
              <w:bottom w:val="single" w:sz="4" w:space="0" w:color="auto"/>
              <w:right w:val="single" w:sz="4" w:space="0" w:color="auto"/>
            </w:tcBorders>
            <w:shd w:val="clear" w:color="auto" w:fill="BDD7EE"/>
            <w:vAlign w:val="center"/>
          </w:tcPr>
          <w:p w14:paraId="45A61206"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666" w:type="dxa"/>
            <w:tcBorders>
              <w:top w:val="single" w:sz="4" w:space="0" w:color="auto"/>
              <w:left w:val="nil"/>
              <w:bottom w:val="single" w:sz="4" w:space="0" w:color="auto"/>
              <w:right w:val="single" w:sz="4" w:space="0" w:color="auto"/>
            </w:tcBorders>
            <w:shd w:val="clear" w:color="auto" w:fill="BDD7EE"/>
            <w:vAlign w:val="center"/>
          </w:tcPr>
          <w:p w14:paraId="0F0E4C32"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921" w:type="dxa"/>
            <w:tcBorders>
              <w:top w:val="single" w:sz="4" w:space="0" w:color="auto"/>
              <w:left w:val="nil"/>
              <w:bottom w:val="single" w:sz="4" w:space="0" w:color="auto"/>
              <w:right w:val="single" w:sz="4" w:space="0" w:color="auto"/>
            </w:tcBorders>
            <w:shd w:val="clear" w:color="auto" w:fill="BDD7EE"/>
            <w:vAlign w:val="center"/>
          </w:tcPr>
          <w:p w14:paraId="328DCFBD"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14:paraId="05675AA2"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388" w:type="dxa"/>
            <w:vMerge/>
            <w:tcBorders>
              <w:bottom w:val="single" w:sz="4" w:space="0" w:color="auto"/>
              <w:right w:val="single" w:sz="4" w:space="0" w:color="auto"/>
            </w:tcBorders>
            <w:vAlign w:val="center"/>
          </w:tcPr>
          <w:p w14:paraId="690CAB93"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r>
      <w:tr w:rsidR="00515398" w14:paraId="6C79D180"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3EDBBEC"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358</w:t>
            </w:r>
          </w:p>
        </w:tc>
        <w:tc>
          <w:tcPr>
            <w:tcW w:w="2078" w:type="dxa"/>
            <w:tcBorders>
              <w:top w:val="single" w:sz="4" w:space="0" w:color="auto"/>
              <w:left w:val="nil"/>
              <w:bottom w:val="single" w:sz="4" w:space="0" w:color="auto"/>
              <w:right w:val="single" w:sz="4" w:space="0" w:color="auto"/>
            </w:tcBorders>
            <w:shd w:val="clear" w:color="auto" w:fill="C6EFCE"/>
            <w:noWrap/>
          </w:tcPr>
          <w:p w14:paraId="224F1737" w14:textId="77777777" w:rsidR="00515398" w:rsidRDefault="006711E6">
            <w:pPr>
              <w:pStyle w:val="P68B1DB1-Normal9"/>
              <w:spacing w:after="0" w:line="240" w:lineRule="auto"/>
              <w:rPr>
                <w:rFonts w:eastAsia="Times New Roman" w:cs="Calibri"/>
                <w:noProof/>
                <w:szCs w:val="18"/>
              </w:rPr>
            </w:pPr>
            <w:r>
              <w:rPr>
                <w:noProof/>
              </w:rPr>
              <w:t>20–5.1. Reformy REPowerEU – 16991_Regulační rámec pro vytvoření inteligentní sítě</w:t>
            </w:r>
          </w:p>
        </w:tc>
        <w:tc>
          <w:tcPr>
            <w:tcW w:w="1007" w:type="dxa"/>
            <w:tcBorders>
              <w:top w:val="single" w:sz="4" w:space="0" w:color="auto"/>
              <w:left w:val="nil"/>
              <w:bottom w:val="single" w:sz="4" w:space="0" w:color="auto"/>
              <w:right w:val="single" w:sz="4" w:space="0" w:color="auto"/>
            </w:tcBorders>
            <w:shd w:val="clear" w:color="auto" w:fill="C6EFCE"/>
            <w:noWrap/>
          </w:tcPr>
          <w:p w14:paraId="4F3A6196" w14:textId="77777777" w:rsidR="00515398" w:rsidRDefault="006711E6">
            <w:pPr>
              <w:pStyle w:val="P68B1DB1-Normal9"/>
              <w:spacing w:after="0" w:line="240" w:lineRule="auto"/>
              <w:rPr>
                <w:rFonts w:eastAsia="Times New Roman" w:cs="Calibri"/>
                <w:noProof/>
                <w:szCs w:val="18"/>
              </w:rPr>
            </w:pPr>
            <w:r>
              <w:rPr>
                <w:noProof/>
              </w:rPr>
              <w:t>Milník</w:t>
            </w:r>
          </w:p>
        </w:tc>
        <w:tc>
          <w:tcPr>
            <w:tcW w:w="1134" w:type="dxa"/>
            <w:tcBorders>
              <w:top w:val="single" w:sz="4" w:space="0" w:color="auto"/>
              <w:left w:val="nil"/>
              <w:bottom w:val="single" w:sz="4" w:space="0" w:color="auto"/>
              <w:right w:val="single" w:sz="4" w:space="0" w:color="auto"/>
            </w:tcBorders>
            <w:shd w:val="clear" w:color="auto" w:fill="C6EFCE"/>
            <w:noWrap/>
          </w:tcPr>
          <w:p w14:paraId="0DBE91B6" w14:textId="159986D3" w:rsidR="00515398" w:rsidRDefault="006711E6">
            <w:pPr>
              <w:pStyle w:val="P68B1DB1-Normal9"/>
              <w:spacing w:after="0" w:line="240" w:lineRule="auto"/>
              <w:rPr>
                <w:rFonts w:eastAsia="Times New Roman" w:cs="Calibri"/>
                <w:noProof/>
                <w:szCs w:val="18"/>
              </w:rPr>
            </w:pPr>
            <w:r>
              <w:rPr>
                <w:noProof/>
              </w:rPr>
              <w:t xml:space="preserve">Vytvoření systému založeného na pobídkách pro provozovatele distribuční soustavy a spotřebitele s cílem zvýšit zavádění a využívání inteligentních </w:t>
            </w:r>
            <w:r>
              <w:rPr>
                <w:noProof/>
              </w:rPr>
              <w:t>měřičů.</w:t>
            </w:r>
          </w:p>
        </w:tc>
        <w:tc>
          <w:tcPr>
            <w:tcW w:w="1744" w:type="dxa"/>
            <w:tcBorders>
              <w:top w:val="single" w:sz="4" w:space="0" w:color="auto"/>
              <w:left w:val="nil"/>
              <w:bottom w:val="single" w:sz="4" w:space="0" w:color="auto"/>
              <w:right w:val="single" w:sz="4" w:space="0" w:color="auto"/>
            </w:tcBorders>
            <w:shd w:val="clear" w:color="auto" w:fill="C6EFCE"/>
            <w:noWrap/>
          </w:tcPr>
          <w:p w14:paraId="62E89AE7" w14:textId="77777777" w:rsidR="00515398" w:rsidRDefault="00515398">
            <w:pPr>
              <w:spacing w:after="0" w:line="240" w:lineRule="auto"/>
              <w:rPr>
                <w:rFonts w:eastAsia="Times New Roman" w:cs="Calibri"/>
                <w:noProof/>
                <w:color w:val="006100"/>
                <w:sz w:val="18"/>
                <w:szCs w:val="18"/>
              </w:rPr>
            </w:pPr>
          </w:p>
          <w:p w14:paraId="108B7B12"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Společné ministerské rozhodnutí/rozhodnutí regulačního orgánu</w:t>
            </w:r>
          </w:p>
        </w:tc>
        <w:tc>
          <w:tcPr>
            <w:tcW w:w="978" w:type="dxa"/>
            <w:tcBorders>
              <w:top w:val="nil"/>
              <w:left w:val="nil"/>
              <w:bottom w:val="single" w:sz="4" w:space="0" w:color="auto"/>
              <w:right w:val="single" w:sz="4" w:space="0" w:color="auto"/>
            </w:tcBorders>
            <w:shd w:val="clear" w:color="auto" w:fill="C6EFCE"/>
            <w:noWrap/>
          </w:tcPr>
          <w:p w14:paraId="51FD0B46" w14:textId="77777777" w:rsidR="00515398" w:rsidRDefault="00515398">
            <w:pPr>
              <w:spacing w:after="0" w:line="240" w:lineRule="auto"/>
              <w:rPr>
                <w:rFonts w:ascii="Times New Roman" w:eastAsia="Times New Roman" w:hAnsi="Times New Roman" w:cs="Times New Roman"/>
                <w:noProof/>
                <w:sz w:val="18"/>
                <w:szCs w:val="18"/>
              </w:rPr>
            </w:pPr>
          </w:p>
        </w:tc>
        <w:tc>
          <w:tcPr>
            <w:tcW w:w="1021" w:type="dxa"/>
            <w:tcBorders>
              <w:top w:val="nil"/>
              <w:left w:val="nil"/>
              <w:bottom w:val="single" w:sz="4" w:space="0" w:color="auto"/>
              <w:right w:val="single" w:sz="4" w:space="0" w:color="auto"/>
            </w:tcBorders>
            <w:shd w:val="clear" w:color="auto" w:fill="C6EFCE"/>
            <w:noWrap/>
          </w:tcPr>
          <w:p w14:paraId="73A65CEF" w14:textId="77777777" w:rsidR="00515398" w:rsidRDefault="00515398">
            <w:pPr>
              <w:spacing w:after="0" w:line="240" w:lineRule="auto"/>
              <w:rPr>
                <w:rFonts w:ascii="Times New Roman" w:eastAsia="Times New Roman" w:hAnsi="Times New Roman" w:cs="Times New Roman"/>
                <w:noProof/>
                <w:sz w:val="18"/>
                <w:szCs w:val="18"/>
              </w:rPr>
            </w:pPr>
          </w:p>
        </w:tc>
        <w:tc>
          <w:tcPr>
            <w:tcW w:w="666" w:type="dxa"/>
            <w:tcBorders>
              <w:top w:val="nil"/>
              <w:left w:val="nil"/>
              <w:bottom w:val="single" w:sz="4" w:space="0" w:color="auto"/>
              <w:right w:val="single" w:sz="4" w:space="0" w:color="auto"/>
            </w:tcBorders>
            <w:shd w:val="clear" w:color="auto" w:fill="C6EFCE"/>
            <w:noWrap/>
          </w:tcPr>
          <w:p w14:paraId="50483B3A" w14:textId="77777777" w:rsidR="00515398" w:rsidRDefault="00515398">
            <w:pPr>
              <w:spacing w:after="0" w:line="240" w:lineRule="auto"/>
              <w:rPr>
                <w:rFonts w:ascii="Times New Roman" w:eastAsia="Times New Roman" w:hAnsi="Times New Roman" w:cs="Times New Roman"/>
                <w:noProof/>
                <w:sz w:val="18"/>
                <w:szCs w:val="18"/>
              </w:rPr>
            </w:pPr>
          </w:p>
        </w:tc>
        <w:tc>
          <w:tcPr>
            <w:tcW w:w="931" w:type="dxa"/>
            <w:gridSpan w:val="2"/>
            <w:tcBorders>
              <w:top w:val="nil"/>
              <w:left w:val="nil"/>
              <w:bottom w:val="single" w:sz="4" w:space="0" w:color="auto"/>
              <w:right w:val="single" w:sz="4" w:space="0" w:color="auto"/>
            </w:tcBorders>
            <w:shd w:val="clear" w:color="auto" w:fill="C6EFCE"/>
            <w:noWrap/>
          </w:tcPr>
          <w:p w14:paraId="7E150A64" w14:textId="77777777" w:rsidR="00515398" w:rsidRDefault="006711E6">
            <w:pPr>
              <w:pStyle w:val="P68B1DB1-Normal9"/>
              <w:spacing w:after="120" w:line="240" w:lineRule="auto"/>
              <w:rPr>
                <w:rFonts w:eastAsia="Times New Roman"/>
                <w:noProof/>
                <w:szCs w:val="18"/>
              </w:rPr>
            </w:pPr>
            <w:r>
              <w:rPr>
                <w:noProof/>
              </w:rPr>
              <w:t>ČTVRTLETÍ</w:t>
            </w:r>
          </w:p>
        </w:tc>
        <w:tc>
          <w:tcPr>
            <w:tcW w:w="911" w:type="dxa"/>
            <w:tcBorders>
              <w:top w:val="nil"/>
              <w:left w:val="nil"/>
              <w:bottom w:val="single" w:sz="4" w:space="0" w:color="auto"/>
              <w:right w:val="single" w:sz="4" w:space="0" w:color="auto"/>
            </w:tcBorders>
            <w:shd w:val="clear" w:color="auto" w:fill="C6EFCE"/>
            <w:noWrap/>
          </w:tcPr>
          <w:p w14:paraId="083C94DE" w14:textId="77777777" w:rsidR="00515398" w:rsidRDefault="006711E6">
            <w:pPr>
              <w:pStyle w:val="P68B1DB1-Normal9"/>
              <w:spacing w:after="120" w:line="240" w:lineRule="auto"/>
              <w:rPr>
                <w:rFonts w:eastAsia="Times New Roman"/>
                <w:noProof/>
                <w:szCs w:val="18"/>
              </w:rPr>
            </w:pPr>
            <w:r>
              <w:rPr>
                <w:noProof/>
              </w:rPr>
              <w:t>2024</w:t>
            </w:r>
          </w:p>
        </w:tc>
        <w:tc>
          <w:tcPr>
            <w:tcW w:w="3388" w:type="dxa"/>
            <w:tcBorders>
              <w:top w:val="single" w:sz="4" w:space="0" w:color="auto"/>
              <w:left w:val="nil"/>
              <w:bottom w:val="single" w:sz="4" w:space="0" w:color="auto"/>
              <w:right w:val="single" w:sz="4" w:space="0" w:color="auto"/>
            </w:tcBorders>
            <w:shd w:val="clear" w:color="auto" w:fill="C6EFCE"/>
            <w:noWrap/>
          </w:tcPr>
          <w:p w14:paraId="1727C9EA"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Vstup v platnost společného ministerského rozhodnutí/rozhodnutí regulačního orgánu o vývoji systému založeného na pobídkách pro provozovatele distribuční soustavy a sp</w:t>
            </w:r>
            <w:r>
              <w:rPr>
                <w:noProof/>
              </w:rPr>
              <w:t>otřebitele s cílem zvýšit zavádění a využívání inteligentních měřičů.</w:t>
            </w:r>
          </w:p>
        </w:tc>
      </w:tr>
      <w:tr w:rsidR="00515398" w14:paraId="6DB8DF87" w14:textId="77777777">
        <w:trPr>
          <w:trHeight w:val="1526"/>
        </w:trPr>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1866FDE2" w14:textId="77777777" w:rsidR="00515398" w:rsidRDefault="006711E6">
            <w:pPr>
              <w:pStyle w:val="P68B1DB1-Normal9"/>
              <w:spacing w:after="0" w:line="240" w:lineRule="auto"/>
              <w:rPr>
                <w:rFonts w:asciiTheme="minorHAnsi" w:eastAsia="Times New Roman" w:hAnsiTheme="minorHAnsi" w:cs="Times New Roman"/>
                <w:noProof/>
                <w:szCs w:val="18"/>
              </w:rPr>
            </w:pPr>
            <w:r>
              <w:rPr>
                <w:noProof/>
              </w:rPr>
              <w:t>359</w:t>
            </w:r>
          </w:p>
        </w:tc>
        <w:tc>
          <w:tcPr>
            <w:tcW w:w="2078" w:type="dxa"/>
            <w:tcBorders>
              <w:top w:val="single" w:sz="4" w:space="0" w:color="auto"/>
              <w:left w:val="nil"/>
              <w:bottom w:val="single" w:sz="4" w:space="0" w:color="auto"/>
              <w:right w:val="single" w:sz="4" w:space="0" w:color="auto"/>
            </w:tcBorders>
            <w:shd w:val="clear" w:color="auto" w:fill="C6EFCE"/>
            <w:noWrap/>
          </w:tcPr>
          <w:p w14:paraId="42268D9C" w14:textId="77777777" w:rsidR="00515398" w:rsidRDefault="006711E6">
            <w:pPr>
              <w:pStyle w:val="P68B1DB1-Normal9"/>
              <w:spacing w:after="0" w:line="240" w:lineRule="auto"/>
              <w:rPr>
                <w:rFonts w:eastAsia="Times New Roman" w:cs="Calibri"/>
                <w:noProof/>
                <w:szCs w:val="18"/>
              </w:rPr>
            </w:pPr>
            <w:r>
              <w:rPr>
                <w:noProof/>
              </w:rPr>
              <w:t>20–5.1. Reformy REPowerEU – 16991_Regulační rámec pro vytvoření inteligentní sítě</w:t>
            </w:r>
          </w:p>
        </w:tc>
        <w:tc>
          <w:tcPr>
            <w:tcW w:w="1007" w:type="dxa"/>
            <w:tcBorders>
              <w:top w:val="single" w:sz="4" w:space="0" w:color="auto"/>
              <w:left w:val="nil"/>
              <w:bottom w:val="single" w:sz="4" w:space="0" w:color="auto"/>
              <w:right w:val="single" w:sz="4" w:space="0" w:color="auto"/>
            </w:tcBorders>
            <w:shd w:val="clear" w:color="auto" w:fill="C6EFCE"/>
            <w:noWrap/>
          </w:tcPr>
          <w:p w14:paraId="5C137096" w14:textId="77777777" w:rsidR="00515398" w:rsidRDefault="006711E6">
            <w:pPr>
              <w:pStyle w:val="P68B1DB1-Normal9"/>
              <w:spacing w:after="0" w:line="240" w:lineRule="auto"/>
              <w:rPr>
                <w:rFonts w:eastAsia="Times New Roman" w:cs="Calibri"/>
                <w:noProof/>
                <w:szCs w:val="18"/>
              </w:rPr>
            </w:pPr>
            <w:r>
              <w:rPr>
                <w:noProof/>
              </w:rPr>
              <w:t xml:space="preserve">Milník </w:t>
            </w:r>
          </w:p>
        </w:tc>
        <w:tc>
          <w:tcPr>
            <w:tcW w:w="1134" w:type="dxa"/>
            <w:tcBorders>
              <w:top w:val="single" w:sz="4" w:space="0" w:color="auto"/>
              <w:left w:val="nil"/>
              <w:bottom w:val="single" w:sz="4" w:space="0" w:color="auto"/>
              <w:right w:val="single" w:sz="4" w:space="0" w:color="auto"/>
            </w:tcBorders>
            <w:shd w:val="clear" w:color="auto" w:fill="C6EFCE"/>
            <w:noWrap/>
          </w:tcPr>
          <w:p w14:paraId="70D31F4E" w14:textId="77777777" w:rsidR="00515398" w:rsidRDefault="006711E6">
            <w:pPr>
              <w:pStyle w:val="P68B1DB1-Normal9"/>
              <w:spacing w:after="0" w:line="240" w:lineRule="auto"/>
              <w:rPr>
                <w:rFonts w:eastAsia="Times New Roman" w:cs="Calibri"/>
                <w:noProof/>
                <w:szCs w:val="18"/>
              </w:rPr>
            </w:pPr>
            <w:r>
              <w:rPr>
                <w:noProof/>
              </w:rPr>
              <w:t xml:space="preserve">Rámec pro smlouvy s dynamickým určováním cen </w:t>
            </w:r>
          </w:p>
        </w:tc>
        <w:tc>
          <w:tcPr>
            <w:tcW w:w="1744" w:type="dxa"/>
            <w:tcBorders>
              <w:top w:val="single" w:sz="4" w:space="0" w:color="auto"/>
              <w:left w:val="nil"/>
              <w:bottom w:val="single" w:sz="4" w:space="0" w:color="auto"/>
              <w:right w:val="single" w:sz="4" w:space="0" w:color="auto"/>
            </w:tcBorders>
            <w:shd w:val="clear" w:color="auto" w:fill="C6EFCE"/>
            <w:noWrap/>
          </w:tcPr>
          <w:p w14:paraId="6E64D3FE" w14:textId="77777777" w:rsidR="00515398" w:rsidRDefault="00515398">
            <w:pPr>
              <w:spacing w:after="0" w:line="240" w:lineRule="auto"/>
              <w:rPr>
                <w:rFonts w:eastAsia="Times New Roman" w:cs="Calibri"/>
                <w:noProof/>
                <w:color w:val="006100"/>
                <w:sz w:val="18"/>
                <w:szCs w:val="18"/>
              </w:rPr>
            </w:pPr>
          </w:p>
          <w:p w14:paraId="2D259D67" w14:textId="77777777" w:rsidR="00515398" w:rsidRDefault="006711E6">
            <w:pPr>
              <w:pStyle w:val="P68B1DB1-Normal9"/>
              <w:spacing w:after="0" w:line="240" w:lineRule="auto"/>
              <w:rPr>
                <w:rFonts w:eastAsia="Times New Roman" w:cs="Calibri"/>
                <w:noProof/>
                <w:szCs w:val="18"/>
              </w:rPr>
            </w:pPr>
            <w:r>
              <w:rPr>
                <w:noProof/>
              </w:rPr>
              <w:t>Ministerské rozhodnutí</w:t>
            </w:r>
          </w:p>
        </w:tc>
        <w:tc>
          <w:tcPr>
            <w:tcW w:w="978" w:type="dxa"/>
            <w:tcBorders>
              <w:top w:val="single" w:sz="4" w:space="0" w:color="auto"/>
              <w:left w:val="nil"/>
              <w:bottom w:val="single" w:sz="4" w:space="0" w:color="auto"/>
              <w:right w:val="single" w:sz="4" w:space="0" w:color="auto"/>
            </w:tcBorders>
            <w:shd w:val="clear" w:color="auto" w:fill="C6EFCE"/>
            <w:noWrap/>
          </w:tcPr>
          <w:p w14:paraId="17144213" w14:textId="77777777" w:rsidR="00515398" w:rsidRDefault="00515398">
            <w:pPr>
              <w:spacing w:after="0" w:line="240" w:lineRule="auto"/>
              <w:rPr>
                <w:rFonts w:ascii="Times New Roman" w:eastAsia="Times New Roman" w:hAnsi="Times New Roman" w:cs="Times New Roman"/>
                <w:noProof/>
                <w:sz w:val="18"/>
                <w:szCs w:val="18"/>
              </w:rPr>
            </w:pPr>
          </w:p>
        </w:tc>
        <w:tc>
          <w:tcPr>
            <w:tcW w:w="1021" w:type="dxa"/>
            <w:tcBorders>
              <w:top w:val="single" w:sz="4" w:space="0" w:color="auto"/>
              <w:left w:val="nil"/>
              <w:bottom w:val="single" w:sz="4" w:space="0" w:color="auto"/>
              <w:right w:val="single" w:sz="4" w:space="0" w:color="auto"/>
            </w:tcBorders>
            <w:shd w:val="clear" w:color="auto" w:fill="C6EFCE"/>
            <w:noWrap/>
          </w:tcPr>
          <w:p w14:paraId="7F379B94" w14:textId="77777777" w:rsidR="00515398" w:rsidRDefault="00515398">
            <w:pPr>
              <w:spacing w:after="0" w:line="240" w:lineRule="auto"/>
              <w:rPr>
                <w:rFonts w:ascii="Times New Roman" w:eastAsia="Times New Roman" w:hAnsi="Times New Roman" w:cs="Times New Roman"/>
                <w:noProof/>
                <w:sz w:val="18"/>
                <w:szCs w:val="18"/>
              </w:rPr>
            </w:pPr>
          </w:p>
        </w:tc>
        <w:tc>
          <w:tcPr>
            <w:tcW w:w="666" w:type="dxa"/>
            <w:tcBorders>
              <w:top w:val="single" w:sz="4" w:space="0" w:color="auto"/>
              <w:left w:val="nil"/>
              <w:bottom w:val="single" w:sz="4" w:space="0" w:color="auto"/>
              <w:right w:val="single" w:sz="4" w:space="0" w:color="auto"/>
            </w:tcBorders>
            <w:shd w:val="clear" w:color="auto" w:fill="C6EFCE"/>
            <w:noWrap/>
          </w:tcPr>
          <w:p w14:paraId="13588450" w14:textId="77777777" w:rsidR="00515398" w:rsidRDefault="00515398">
            <w:pPr>
              <w:spacing w:after="0" w:line="240" w:lineRule="auto"/>
              <w:rPr>
                <w:rFonts w:ascii="Times New Roman" w:eastAsia="Times New Roman" w:hAnsi="Times New Roman" w:cs="Times New Roman"/>
                <w:noProof/>
                <w:sz w:val="18"/>
                <w:szCs w:val="18"/>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45D8BB2B" w14:textId="77777777" w:rsidR="00515398" w:rsidRDefault="006711E6">
            <w:pPr>
              <w:pStyle w:val="P68B1DB1-Normal9"/>
              <w:spacing w:after="120" w:line="240" w:lineRule="auto"/>
              <w:rPr>
                <w:rFonts w:eastAsia="Times New Roman"/>
                <w:noProof/>
                <w:szCs w:val="18"/>
              </w:rPr>
            </w:pPr>
            <w:r>
              <w:rPr>
                <w:noProof/>
              </w:rPr>
              <w:t>ČTVRTLETÍ ČTVRT</w:t>
            </w:r>
          </w:p>
        </w:tc>
        <w:tc>
          <w:tcPr>
            <w:tcW w:w="911" w:type="dxa"/>
            <w:tcBorders>
              <w:top w:val="single" w:sz="4" w:space="0" w:color="auto"/>
              <w:left w:val="nil"/>
              <w:bottom w:val="single" w:sz="4" w:space="0" w:color="auto"/>
              <w:right w:val="single" w:sz="4" w:space="0" w:color="auto"/>
            </w:tcBorders>
            <w:shd w:val="clear" w:color="auto" w:fill="C6EFCE"/>
            <w:noWrap/>
          </w:tcPr>
          <w:p w14:paraId="26912CC0" w14:textId="77777777" w:rsidR="00515398" w:rsidRDefault="006711E6">
            <w:pPr>
              <w:pStyle w:val="P68B1DB1-Normal9"/>
              <w:spacing w:after="120" w:line="240" w:lineRule="auto"/>
              <w:rPr>
                <w:rFonts w:eastAsia="Times New Roman"/>
                <w:noProof/>
                <w:szCs w:val="18"/>
              </w:rPr>
            </w:pPr>
            <w:r>
              <w:rPr>
                <w:noProof/>
              </w:rPr>
              <w:t>2024</w:t>
            </w:r>
          </w:p>
        </w:tc>
        <w:tc>
          <w:tcPr>
            <w:tcW w:w="3388" w:type="dxa"/>
            <w:tcBorders>
              <w:top w:val="single" w:sz="4" w:space="0" w:color="auto"/>
              <w:left w:val="nil"/>
              <w:bottom w:val="single" w:sz="4" w:space="0" w:color="auto"/>
              <w:right w:val="single" w:sz="4" w:space="0" w:color="auto"/>
            </w:tcBorders>
            <w:shd w:val="clear" w:color="auto" w:fill="C6EFCE"/>
            <w:noWrap/>
          </w:tcPr>
          <w:p w14:paraId="2A6E8A35" w14:textId="77777777" w:rsidR="00515398" w:rsidRDefault="006711E6">
            <w:pPr>
              <w:pStyle w:val="P68B1DB1-Normal9"/>
              <w:spacing w:after="0" w:line="240" w:lineRule="auto"/>
              <w:rPr>
                <w:rFonts w:eastAsia="Times New Roman" w:cs="Calibri"/>
                <w:noProof/>
                <w:szCs w:val="18"/>
              </w:rPr>
            </w:pPr>
            <w:r>
              <w:rPr>
                <w:noProof/>
              </w:rPr>
              <w:t>Vstup v platnost rámce pro smlouvy s dynamickým určováním cen za účelem zavedení dynamických cen pro všechny konečné spotřebitele, jakmile je v jejich servisním připojení instalován inteligentní měřič. Společné ministerské rozhodnutí, které stanoví ot</w:t>
            </w:r>
            <w:r>
              <w:rPr>
                <w:noProof/>
              </w:rPr>
              <w:t xml:space="preserve">ázky týkající se koncepce, klíčové podmínky dynamických smluv. Společné ministerské rozhodnutí stanoví práva a povinnosti provozovatelů, zástupců zatížení a zákazníků v souvislosti s prováděním dynamické tvorby cen. </w:t>
            </w:r>
          </w:p>
        </w:tc>
      </w:tr>
      <w:tr w:rsidR="00515398" w14:paraId="1BE3CBDF" w14:textId="77777777">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8643ACC" w14:textId="77777777" w:rsidR="00515398" w:rsidRDefault="006711E6">
            <w:pPr>
              <w:pStyle w:val="P68B1DB1-Normal9"/>
              <w:spacing w:after="0" w:line="240" w:lineRule="auto"/>
              <w:rPr>
                <w:rFonts w:ascii="Times New Roman" w:eastAsia="Times New Roman" w:hAnsi="Times New Roman" w:cs="Times New Roman"/>
                <w:noProof/>
                <w:szCs w:val="18"/>
              </w:rPr>
            </w:pPr>
            <w:r>
              <w:rPr>
                <w:noProof/>
              </w:rPr>
              <w:t>360</w:t>
            </w:r>
          </w:p>
        </w:tc>
        <w:tc>
          <w:tcPr>
            <w:tcW w:w="2078" w:type="dxa"/>
            <w:tcBorders>
              <w:top w:val="single" w:sz="4" w:space="0" w:color="auto"/>
              <w:left w:val="nil"/>
              <w:bottom w:val="single" w:sz="4" w:space="0" w:color="auto"/>
              <w:right w:val="single" w:sz="4" w:space="0" w:color="auto"/>
            </w:tcBorders>
            <w:shd w:val="clear" w:color="auto" w:fill="C6EFCE"/>
            <w:noWrap/>
          </w:tcPr>
          <w:p w14:paraId="68308E95" w14:textId="77777777" w:rsidR="00515398" w:rsidRDefault="006711E6">
            <w:pPr>
              <w:pStyle w:val="P68B1DB1-Normal9"/>
              <w:spacing w:after="0" w:line="240" w:lineRule="auto"/>
              <w:rPr>
                <w:rFonts w:eastAsia="Times New Roman" w:cs="Calibri"/>
                <w:noProof/>
                <w:szCs w:val="18"/>
              </w:rPr>
            </w:pPr>
            <w:r>
              <w:rPr>
                <w:noProof/>
              </w:rPr>
              <w:t xml:space="preserve">20–5.1. Reformy REPowerEU – </w:t>
            </w:r>
            <w:r>
              <w:rPr>
                <w:noProof/>
              </w:rPr>
              <w:t>16991_Regulační rámec pro vytvoření inteligentní sítě</w:t>
            </w:r>
          </w:p>
        </w:tc>
        <w:tc>
          <w:tcPr>
            <w:tcW w:w="1007" w:type="dxa"/>
            <w:tcBorders>
              <w:top w:val="single" w:sz="4" w:space="0" w:color="auto"/>
              <w:left w:val="nil"/>
              <w:bottom w:val="single" w:sz="4" w:space="0" w:color="auto"/>
              <w:right w:val="single" w:sz="4" w:space="0" w:color="auto"/>
            </w:tcBorders>
            <w:shd w:val="clear" w:color="auto" w:fill="C6EFCE"/>
            <w:noWrap/>
          </w:tcPr>
          <w:p w14:paraId="29DAC83E" w14:textId="77777777" w:rsidR="00515398" w:rsidRDefault="006711E6">
            <w:pPr>
              <w:pStyle w:val="P68B1DB1-Normal9"/>
              <w:spacing w:after="0" w:line="240" w:lineRule="auto"/>
              <w:rPr>
                <w:rFonts w:eastAsia="Times New Roman" w:cs="Calibri"/>
                <w:noProof/>
                <w:szCs w:val="18"/>
              </w:rPr>
            </w:pPr>
            <w:r>
              <w:rPr>
                <w:noProof/>
              </w:rPr>
              <w:t>Milník</w:t>
            </w:r>
          </w:p>
        </w:tc>
        <w:tc>
          <w:tcPr>
            <w:tcW w:w="1134" w:type="dxa"/>
            <w:tcBorders>
              <w:top w:val="single" w:sz="4" w:space="0" w:color="auto"/>
              <w:left w:val="nil"/>
              <w:bottom w:val="single" w:sz="4" w:space="0" w:color="auto"/>
              <w:right w:val="single" w:sz="4" w:space="0" w:color="auto"/>
            </w:tcBorders>
            <w:shd w:val="clear" w:color="auto" w:fill="C6EFCE"/>
            <w:noWrap/>
          </w:tcPr>
          <w:p w14:paraId="4940AB65" w14:textId="77777777" w:rsidR="00515398" w:rsidRDefault="006711E6">
            <w:pPr>
              <w:pStyle w:val="P68B1DB1-Normal9"/>
              <w:spacing w:after="0" w:line="240" w:lineRule="auto"/>
              <w:rPr>
                <w:rFonts w:eastAsia="Times New Roman" w:cs="Calibri"/>
                <w:noProof/>
                <w:szCs w:val="18"/>
              </w:rPr>
            </w:pPr>
            <w:r>
              <w:rPr>
                <w:noProof/>
              </w:rPr>
              <w:t>Vývoj střediska pro kontrolu provozovatele distribuční soustavy</w:t>
            </w:r>
          </w:p>
        </w:tc>
        <w:tc>
          <w:tcPr>
            <w:tcW w:w="1744" w:type="dxa"/>
            <w:tcBorders>
              <w:top w:val="single" w:sz="4" w:space="0" w:color="auto"/>
              <w:left w:val="nil"/>
              <w:bottom w:val="single" w:sz="4" w:space="0" w:color="auto"/>
              <w:right w:val="single" w:sz="4" w:space="0" w:color="auto"/>
            </w:tcBorders>
            <w:shd w:val="clear" w:color="auto" w:fill="C6EFCE"/>
            <w:noWrap/>
          </w:tcPr>
          <w:p w14:paraId="50FC165C" w14:textId="77777777" w:rsidR="00515398" w:rsidRDefault="006711E6">
            <w:pPr>
              <w:pStyle w:val="P68B1DB1-Normal9"/>
              <w:spacing w:after="0" w:line="240" w:lineRule="auto"/>
              <w:rPr>
                <w:rFonts w:eastAsia="Times New Roman" w:cs="Calibri"/>
                <w:noProof/>
                <w:szCs w:val="18"/>
              </w:rPr>
            </w:pPr>
            <w:r>
              <w:rPr>
                <w:noProof/>
              </w:rPr>
              <w:t xml:space="preserve">Potvrzení o přijetí dokončení kontrolního střediska provozovatelem distribuční soustavy </w:t>
            </w:r>
          </w:p>
        </w:tc>
        <w:tc>
          <w:tcPr>
            <w:tcW w:w="978" w:type="dxa"/>
            <w:tcBorders>
              <w:top w:val="single" w:sz="4" w:space="0" w:color="auto"/>
              <w:left w:val="nil"/>
              <w:bottom w:val="single" w:sz="4" w:space="0" w:color="auto"/>
              <w:right w:val="single" w:sz="4" w:space="0" w:color="auto"/>
            </w:tcBorders>
            <w:shd w:val="clear" w:color="auto" w:fill="C6EFCE"/>
            <w:noWrap/>
          </w:tcPr>
          <w:p w14:paraId="71F2AB00" w14:textId="77777777" w:rsidR="00515398" w:rsidRDefault="00515398">
            <w:pPr>
              <w:spacing w:after="0" w:line="240" w:lineRule="auto"/>
              <w:rPr>
                <w:rFonts w:ascii="Times New Roman" w:eastAsia="Times New Roman" w:hAnsi="Times New Roman" w:cs="Times New Roman"/>
                <w:noProof/>
                <w:sz w:val="18"/>
                <w:szCs w:val="18"/>
              </w:rPr>
            </w:pPr>
          </w:p>
        </w:tc>
        <w:tc>
          <w:tcPr>
            <w:tcW w:w="1021" w:type="dxa"/>
            <w:tcBorders>
              <w:top w:val="single" w:sz="4" w:space="0" w:color="auto"/>
              <w:left w:val="nil"/>
              <w:bottom w:val="single" w:sz="4" w:space="0" w:color="auto"/>
              <w:right w:val="single" w:sz="4" w:space="0" w:color="auto"/>
            </w:tcBorders>
            <w:shd w:val="clear" w:color="auto" w:fill="C6EFCE"/>
            <w:noWrap/>
          </w:tcPr>
          <w:p w14:paraId="05970834" w14:textId="77777777" w:rsidR="00515398" w:rsidRDefault="00515398">
            <w:pPr>
              <w:spacing w:after="0" w:line="240" w:lineRule="auto"/>
              <w:rPr>
                <w:rFonts w:ascii="Times New Roman" w:eastAsia="Times New Roman" w:hAnsi="Times New Roman" w:cs="Times New Roman"/>
                <w:noProof/>
                <w:sz w:val="18"/>
                <w:szCs w:val="18"/>
              </w:rPr>
            </w:pPr>
          </w:p>
        </w:tc>
        <w:tc>
          <w:tcPr>
            <w:tcW w:w="666" w:type="dxa"/>
            <w:tcBorders>
              <w:top w:val="single" w:sz="4" w:space="0" w:color="auto"/>
              <w:left w:val="nil"/>
              <w:bottom w:val="single" w:sz="4" w:space="0" w:color="auto"/>
              <w:right w:val="single" w:sz="4" w:space="0" w:color="auto"/>
            </w:tcBorders>
            <w:shd w:val="clear" w:color="auto" w:fill="C6EFCE"/>
            <w:noWrap/>
          </w:tcPr>
          <w:p w14:paraId="0E226745" w14:textId="77777777" w:rsidR="00515398" w:rsidRDefault="00515398">
            <w:pPr>
              <w:spacing w:after="0" w:line="240" w:lineRule="auto"/>
              <w:rPr>
                <w:rFonts w:ascii="Times New Roman" w:eastAsia="Times New Roman" w:hAnsi="Times New Roman" w:cs="Times New Roman"/>
                <w:noProof/>
                <w:sz w:val="18"/>
                <w:szCs w:val="18"/>
              </w:rPr>
            </w:pPr>
          </w:p>
        </w:tc>
        <w:tc>
          <w:tcPr>
            <w:tcW w:w="931" w:type="dxa"/>
            <w:gridSpan w:val="2"/>
            <w:tcBorders>
              <w:top w:val="single" w:sz="4" w:space="0" w:color="auto"/>
              <w:left w:val="nil"/>
              <w:bottom w:val="single" w:sz="4" w:space="0" w:color="auto"/>
              <w:right w:val="single" w:sz="4" w:space="0" w:color="auto"/>
            </w:tcBorders>
            <w:shd w:val="clear" w:color="auto" w:fill="C6EFCE"/>
            <w:noWrap/>
          </w:tcPr>
          <w:p w14:paraId="58E07444" w14:textId="77777777" w:rsidR="00515398" w:rsidRDefault="006711E6">
            <w:pPr>
              <w:pStyle w:val="P68B1DB1-Normal9"/>
              <w:spacing w:after="120" w:line="240" w:lineRule="auto"/>
              <w:rPr>
                <w:rFonts w:eastAsia="Times New Roman"/>
                <w:noProof/>
                <w:szCs w:val="18"/>
              </w:rPr>
            </w:pPr>
            <w:r>
              <w:rPr>
                <w:noProof/>
              </w:rPr>
              <w:t>ČTVRTLETÍ ČTVRT</w:t>
            </w:r>
          </w:p>
        </w:tc>
        <w:tc>
          <w:tcPr>
            <w:tcW w:w="911" w:type="dxa"/>
            <w:tcBorders>
              <w:top w:val="single" w:sz="4" w:space="0" w:color="auto"/>
              <w:left w:val="nil"/>
              <w:bottom w:val="single" w:sz="4" w:space="0" w:color="auto"/>
              <w:right w:val="single" w:sz="4" w:space="0" w:color="auto"/>
            </w:tcBorders>
            <w:shd w:val="clear" w:color="auto" w:fill="C6EFCE"/>
            <w:noWrap/>
          </w:tcPr>
          <w:p w14:paraId="35D9495E" w14:textId="77777777" w:rsidR="00515398" w:rsidRDefault="006711E6">
            <w:pPr>
              <w:pStyle w:val="P68B1DB1-Normal9"/>
              <w:spacing w:after="120" w:line="240" w:lineRule="auto"/>
              <w:rPr>
                <w:rFonts w:eastAsia="Times New Roman"/>
                <w:noProof/>
                <w:szCs w:val="18"/>
              </w:rPr>
            </w:pPr>
            <w:r>
              <w:rPr>
                <w:noProof/>
              </w:rPr>
              <w:t>2025</w:t>
            </w:r>
          </w:p>
        </w:tc>
        <w:tc>
          <w:tcPr>
            <w:tcW w:w="3388" w:type="dxa"/>
            <w:tcBorders>
              <w:top w:val="single" w:sz="4" w:space="0" w:color="auto"/>
              <w:left w:val="nil"/>
              <w:bottom w:val="single" w:sz="4" w:space="0" w:color="auto"/>
              <w:right w:val="single" w:sz="4" w:space="0" w:color="auto"/>
            </w:tcBorders>
            <w:shd w:val="clear" w:color="auto" w:fill="C6EFCE"/>
            <w:noWrap/>
          </w:tcPr>
          <w:p w14:paraId="6BE06DDE" w14:textId="77777777" w:rsidR="00515398" w:rsidRDefault="006711E6">
            <w:pPr>
              <w:pStyle w:val="P68B1DB1-Normal9"/>
              <w:spacing w:after="0" w:line="240" w:lineRule="auto"/>
              <w:rPr>
                <w:rFonts w:eastAsia="Times New Roman" w:cs="Calibri"/>
                <w:noProof/>
                <w:szCs w:val="18"/>
              </w:rPr>
            </w:pPr>
            <w:r>
              <w:rPr>
                <w:noProof/>
              </w:rPr>
              <w:t xml:space="preserve">Středisko řízení </w:t>
            </w:r>
            <w:r>
              <w:rPr>
                <w:noProof/>
              </w:rPr>
              <w:t>provozovatele distribuční soustavy je v provozu a zahrnuje instalaci nového systému pro dohled nad řízením a získáváním dat (SCADA-DMS) a komunikaci s dálkovými vysílači (RTU) v rozvodnách vysokého napětí/středního napětí (HV/MT), jakož i vytvoření nezbytn</w:t>
            </w:r>
            <w:r>
              <w:rPr>
                <w:noProof/>
              </w:rPr>
              <w:t>é podpůrné infrastruktury pro tři integrovaná střediska.</w:t>
            </w:r>
            <w:r>
              <w:rPr>
                <w:noProof/>
                <w:highlight w:val="yellow"/>
              </w:rPr>
              <w:t xml:space="preserve"> </w:t>
            </w:r>
          </w:p>
        </w:tc>
      </w:tr>
    </w:tbl>
    <w:p w14:paraId="5C2D4926" w14:textId="77777777" w:rsidR="00515398" w:rsidRDefault="006711E6">
      <w:pPr>
        <w:pStyle w:val="P68B1DB1-Normal6"/>
        <w:keepNext/>
        <w:keepLines/>
        <w:spacing w:before="240" w:after="0" w:line="240" w:lineRule="auto"/>
        <w:jc w:val="both"/>
        <w:outlineLvl w:val="4"/>
        <w:rPr>
          <w:noProof/>
          <w:color w:val="365F91" w:themeColor="accent1" w:themeShade="BF"/>
        </w:rPr>
      </w:pPr>
      <w:r>
        <w:rPr>
          <w:noProof/>
        </w:rPr>
        <w:t>Reforma č. 6: Soubor nástrojů na podporu sdílení energie, vlastní spotřeby a společenství pro obnovitelné zdroje energie (ID opatření: 16992)</w:t>
      </w:r>
    </w:p>
    <w:p w14:paraId="505C1A16" w14:textId="77777777" w:rsidR="00515398" w:rsidRDefault="00515398">
      <w:pPr>
        <w:keepNext/>
        <w:keepLines/>
        <w:spacing w:before="240" w:after="0" w:line="240" w:lineRule="auto"/>
        <w:jc w:val="both"/>
        <w:outlineLvl w:val="4"/>
        <w:rPr>
          <w:rFonts w:ascii="Cambria" w:eastAsia="Times New Roman" w:hAnsi="Cambria"/>
          <w:noProof/>
          <w:color w:val="365F91"/>
          <w:sz w:val="24"/>
          <w:szCs w:val="24"/>
        </w:rPr>
      </w:pPr>
    </w:p>
    <w:tbl>
      <w:tblPr>
        <w:tblpPr w:leftFromText="181" w:rightFromText="181" w:vertAnchor="text" w:tblpX="-289" w:tblpY="1"/>
        <w:tblOverlap w:val="never"/>
        <w:tblW w:w="14885" w:type="dxa"/>
        <w:tblLayout w:type="fixed"/>
        <w:tblLook w:val="04A0" w:firstRow="1" w:lastRow="0" w:firstColumn="1" w:lastColumn="0" w:noHBand="0" w:noVBand="1"/>
      </w:tblPr>
      <w:tblGrid>
        <w:gridCol w:w="846"/>
        <w:gridCol w:w="2126"/>
        <w:gridCol w:w="992"/>
        <w:gridCol w:w="1194"/>
        <w:gridCol w:w="1541"/>
        <w:gridCol w:w="1020"/>
        <w:gridCol w:w="1020"/>
        <w:gridCol w:w="608"/>
        <w:gridCol w:w="1061"/>
        <w:gridCol w:w="830"/>
        <w:gridCol w:w="3647"/>
      </w:tblGrid>
      <w:tr w:rsidR="00515398" w14:paraId="260ED14D" w14:textId="77777777">
        <w:trPr>
          <w:trHeight w:val="839"/>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18B51" w14:textId="22A73549" w:rsidR="00515398" w:rsidRDefault="006711E6">
            <w:pPr>
              <w:pStyle w:val="P68B1DB1-Normal7"/>
              <w:spacing w:before="120" w:after="120" w:line="240" w:lineRule="auto"/>
              <w:jc w:val="center"/>
              <w:rPr>
                <w:rFonts w:cs="Times New Roman"/>
                <w:noProof/>
                <w:sz w:val="24"/>
              </w:rPr>
            </w:pPr>
            <w:r>
              <w:rPr>
                <w:noProof/>
              </w:rPr>
              <w:t>Poř. Č.</w:t>
            </w:r>
          </w:p>
        </w:tc>
        <w:tc>
          <w:tcPr>
            <w:tcW w:w="2126" w:type="dxa"/>
            <w:vMerge w:val="restart"/>
            <w:tcBorders>
              <w:top w:val="single" w:sz="4" w:space="0" w:color="auto"/>
              <w:left w:val="single" w:sz="4" w:space="0" w:color="auto"/>
              <w:right w:val="single" w:sz="4" w:space="0" w:color="auto"/>
            </w:tcBorders>
            <w:shd w:val="clear" w:color="auto" w:fill="BDD7EE"/>
            <w:vAlign w:val="center"/>
            <w:hideMark/>
          </w:tcPr>
          <w:p w14:paraId="512A8DA6" w14:textId="77777777" w:rsidR="00515398" w:rsidRDefault="006711E6">
            <w:pPr>
              <w:pStyle w:val="P68B1DB1-Normal7"/>
              <w:spacing w:before="120" w:after="120" w:line="240" w:lineRule="auto"/>
              <w:jc w:val="center"/>
              <w:rPr>
                <w:rFonts w:cs="Times New Roman"/>
                <w:noProof/>
                <w:sz w:val="24"/>
              </w:rPr>
            </w:pPr>
            <w:r>
              <w:rPr>
                <w:noProof/>
              </w:rPr>
              <w:t>Související opatření (reforma nebo investice)</w:t>
            </w:r>
          </w:p>
        </w:tc>
        <w:tc>
          <w:tcPr>
            <w:tcW w:w="992" w:type="dxa"/>
            <w:vMerge w:val="restart"/>
            <w:tcBorders>
              <w:top w:val="single" w:sz="4" w:space="0" w:color="auto"/>
              <w:left w:val="single" w:sz="4" w:space="0" w:color="auto"/>
              <w:right w:val="single" w:sz="4" w:space="0" w:color="auto"/>
            </w:tcBorders>
            <w:shd w:val="clear" w:color="auto" w:fill="BDD7EE"/>
            <w:vAlign w:val="center"/>
            <w:hideMark/>
          </w:tcPr>
          <w:p w14:paraId="6888F072" w14:textId="77777777" w:rsidR="00515398" w:rsidRDefault="006711E6">
            <w:pPr>
              <w:pStyle w:val="P68B1DB1-Normal7"/>
              <w:spacing w:before="120" w:after="120" w:line="240" w:lineRule="auto"/>
              <w:jc w:val="center"/>
              <w:rPr>
                <w:rFonts w:cs="Times New Roman"/>
                <w:noProof/>
                <w:sz w:val="24"/>
              </w:rPr>
            </w:pPr>
            <w:r>
              <w:rPr>
                <w:noProof/>
              </w:rPr>
              <w:t>Milník/cíl</w:t>
            </w:r>
          </w:p>
        </w:tc>
        <w:tc>
          <w:tcPr>
            <w:tcW w:w="1194" w:type="dxa"/>
            <w:vMerge w:val="restart"/>
            <w:tcBorders>
              <w:top w:val="single" w:sz="4" w:space="0" w:color="auto"/>
              <w:left w:val="nil"/>
              <w:right w:val="single" w:sz="4" w:space="0" w:color="auto"/>
            </w:tcBorders>
            <w:shd w:val="clear" w:color="auto" w:fill="BDD7EE"/>
            <w:vAlign w:val="center"/>
            <w:hideMark/>
          </w:tcPr>
          <w:p w14:paraId="687D28C4" w14:textId="77777777" w:rsidR="00515398" w:rsidRDefault="006711E6">
            <w:pPr>
              <w:pStyle w:val="P68B1DB1-Normal7"/>
              <w:spacing w:before="120" w:after="120" w:line="240" w:lineRule="auto"/>
              <w:jc w:val="center"/>
              <w:rPr>
                <w:rFonts w:cs="Times New Roman"/>
                <w:noProof/>
                <w:sz w:val="24"/>
              </w:rPr>
            </w:pPr>
            <w:r>
              <w:rPr>
                <w:noProof/>
              </w:rPr>
              <w:t>Jméno</w:t>
            </w:r>
          </w:p>
        </w:tc>
        <w:tc>
          <w:tcPr>
            <w:tcW w:w="1541" w:type="dxa"/>
            <w:vMerge w:val="restart"/>
            <w:tcBorders>
              <w:top w:val="single" w:sz="4" w:space="0" w:color="auto"/>
              <w:left w:val="single" w:sz="4" w:space="0" w:color="auto"/>
              <w:right w:val="single" w:sz="4" w:space="0" w:color="auto"/>
            </w:tcBorders>
            <w:shd w:val="clear" w:color="auto" w:fill="BDD7EE"/>
            <w:vAlign w:val="center"/>
            <w:hideMark/>
          </w:tcPr>
          <w:p w14:paraId="2491E1DD" w14:textId="77777777" w:rsidR="00515398" w:rsidRDefault="006711E6">
            <w:pPr>
              <w:pStyle w:val="P68B1DB1-Normal7"/>
              <w:spacing w:before="120" w:after="120" w:line="240" w:lineRule="auto"/>
              <w:jc w:val="center"/>
              <w:rPr>
                <w:rFonts w:cs="Times New Roman"/>
                <w:noProof/>
                <w:sz w:val="24"/>
                <w:szCs w:val="24"/>
              </w:rPr>
            </w:pPr>
            <w:r>
              <w:rPr>
                <w:noProof/>
              </w:rPr>
              <w:t>Kvalitativní ukazatele (pro milníky)</w:t>
            </w:r>
          </w:p>
        </w:tc>
        <w:tc>
          <w:tcPr>
            <w:tcW w:w="2648" w:type="dxa"/>
            <w:gridSpan w:val="3"/>
            <w:tcBorders>
              <w:top w:val="single" w:sz="4" w:space="0" w:color="auto"/>
              <w:left w:val="nil"/>
              <w:bottom w:val="single" w:sz="4" w:space="0" w:color="auto"/>
              <w:right w:val="single" w:sz="4" w:space="0" w:color="auto"/>
            </w:tcBorders>
            <w:shd w:val="clear" w:color="auto" w:fill="BDD7EE"/>
            <w:vAlign w:val="center"/>
            <w:hideMark/>
          </w:tcPr>
          <w:p w14:paraId="0B929C07" w14:textId="77777777" w:rsidR="00515398" w:rsidRDefault="006711E6">
            <w:pPr>
              <w:pStyle w:val="P68B1DB1-Normal7"/>
              <w:spacing w:before="120" w:after="120" w:line="240" w:lineRule="auto"/>
              <w:jc w:val="center"/>
              <w:rPr>
                <w:rFonts w:cs="Times New Roman"/>
                <w:noProof/>
                <w:sz w:val="24"/>
                <w:szCs w:val="24"/>
              </w:rPr>
            </w:pPr>
            <w:r>
              <w:rPr>
                <w:noProof/>
              </w:rPr>
              <w:t>Kvantitativní ukazatele (pro cíle)</w:t>
            </w:r>
          </w:p>
        </w:tc>
        <w:tc>
          <w:tcPr>
            <w:tcW w:w="1891" w:type="dxa"/>
            <w:gridSpan w:val="2"/>
            <w:tcBorders>
              <w:top w:val="single" w:sz="4" w:space="0" w:color="auto"/>
              <w:left w:val="nil"/>
              <w:bottom w:val="single" w:sz="4" w:space="0" w:color="auto"/>
              <w:right w:val="single" w:sz="4" w:space="0" w:color="auto"/>
            </w:tcBorders>
            <w:shd w:val="clear" w:color="auto" w:fill="BDD7EE"/>
            <w:vAlign w:val="center"/>
            <w:hideMark/>
          </w:tcPr>
          <w:p w14:paraId="127869A0" w14:textId="77777777" w:rsidR="00515398" w:rsidRDefault="006711E6">
            <w:pPr>
              <w:pStyle w:val="P68B1DB1-Normal7"/>
              <w:spacing w:before="120" w:after="120" w:line="240" w:lineRule="auto"/>
              <w:jc w:val="center"/>
              <w:rPr>
                <w:rFonts w:cs="Times New Roman"/>
                <w:noProof/>
                <w:sz w:val="24"/>
              </w:rPr>
            </w:pPr>
            <w:r>
              <w:rPr>
                <w:noProof/>
              </w:rPr>
              <w:t>Orientační harmonogram pro dokončení</w:t>
            </w:r>
          </w:p>
        </w:tc>
        <w:tc>
          <w:tcPr>
            <w:tcW w:w="36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78D1A1" w14:textId="77777777" w:rsidR="00515398" w:rsidRDefault="006711E6">
            <w:pPr>
              <w:pStyle w:val="P68B1DB1-Normal7"/>
              <w:spacing w:before="120" w:after="120" w:line="240" w:lineRule="auto"/>
              <w:jc w:val="center"/>
              <w:rPr>
                <w:rFonts w:cs="Times New Roman"/>
                <w:noProof/>
                <w:sz w:val="24"/>
              </w:rPr>
            </w:pPr>
            <w:r>
              <w:rPr>
                <w:noProof/>
              </w:rPr>
              <w:t>Popis každého milníku a cíle</w:t>
            </w:r>
          </w:p>
        </w:tc>
      </w:tr>
      <w:tr w:rsidR="00515398" w14:paraId="72F61428" w14:textId="77777777">
        <w:trPr>
          <w:trHeight w:val="132"/>
          <w:tblHeader/>
        </w:trPr>
        <w:tc>
          <w:tcPr>
            <w:tcW w:w="846" w:type="dxa"/>
            <w:vMerge/>
            <w:tcBorders>
              <w:top w:val="single" w:sz="4" w:space="0" w:color="auto"/>
              <w:left w:val="single" w:sz="4" w:space="0" w:color="auto"/>
              <w:bottom w:val="single" w:sz="4" w:space="0" w:color="auto"/>
            </w:tcBorders>
            <w:vAlign w:val="center"/>
          </w:tcPr>
          <w:p w14:paraId="21803936"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2126" w:type="dxa"/>
            <w:vMerge/>
            <w:tcBorders>
              <w:left w:val="single" w:sz="4" w:space="0" w:color="auto"/>
              <w:bottom w:val="single" w:sz="4" w:space="0" w:color="auto"/>
              <w:right w:val="single" w:sz="4" w:space="0" w:color="auto"/>
            </w:tcBorders>
            <w:shd w:val="clear" w:color="auto" w:fill="BDD7EE"/>
            <w:vAlign w:val="center"/>
          </w:tcPr>
          <w:p w14:paraId="4F1F95F9"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992" w:type="dxa"/>
            <w:vMerge/>
            <w:tcBorders>
              <w:left w:val="single" w:sz="4" w:space="0" w:color="auto"/>
              <w:bottom w:val="single" w:sz="4" w:space="0" w:color="auto"/>
              <w:right w:val="single" w:sz="4" w:space="0" w:color="auto"/>
            </w:tcBorders>
            <w:shd w:val="clear" w:color="auto" w:fill="BDD7EE"/>
            <w:vAlign w:val="center"/>
          </w:tcPr>
          <w:p w14:paraId="09C944A2"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194" w:type="dxa"/>
            <w:vMerge/>
            <w:tcBorders>
              <w:left w:val="nil"/>
              <w:bottom w:val="single" w:sz="4" w:space="0" w:color="auto"/>
              <w:right w:val="single" w:sz="4" w:space="0" w:color="auto"/>
            </w:tcBorders>
            <w:shd w:val="clear" w:color="auto" w:fill="BDD7EE"/>
            <w:vAlign w:val="center"/>
          </w:tcPr>
          <w:p w14:paraId="095A9FCB"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541" w:type="dxa"/>
            <w:vMerge/>
            <w:tcBorders>
              <w:left w:val="single" w:sz="4" w:space="0" w:color="auto"/>
              <w:bottom w:val="single" w:sz="4" w:space="0" w:color="auto"/>
              <w:right w:val="single" w:sz="4" w:space="0" w:color="auto"/>
            </w:tcBorders>
            <w:shd w:val="clear" w:color="auto" w:fill="BDD7EE"/>
            <w:vAlign w:val="center"/>
          </w:tcPr>
          <w:p w14:paraId="74B0F746"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20" w:type="dxa"/>
            <w:tcBorders>
              <w:top w:val="single" w:sz="4" w:space="0" w:color="auto"/>
              <w:left w:val="nil"/>
              <w:bottom w:val="single" w:sz="4" w:space="0" w:color="auto"/>
              <w:right w:val="single" w:sz="4" w:space="0" w:color="auto"/>
            </w:tcBorders>
            <w:shd w:val="clear" w:color="auto" w:fill="BDD7EE"/>
            <w:vAlign w:val="center"/>
          </w:tcPr>
          <w:p w14:paraId="440B320A"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1020" w:type="dxa"/>
            <w:tcBorders>
              <w:top w:val="single" w:sz="4" w:space="0" w:color="auto"/>
              <w:left w:val="nil"/>
              <w:bottom w:val="single" w:sz="4" w:space="0" w:color="auto"/>
              <w:right w:val="single" w:sz="4" w:space="0" w:color="auto"/>
            </w:tcBorders>
            <w:shd w:val="clear" w:color="auto" w:fill="BDD7EE"/>
            <w:vAlign w:val="center"/>
          </w:tcPr>
          <w:p w14:paraId="7C8B7BFA"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608" w:type="dxa"/>
            <w:tcBorders>
              <w:top w:val="single" w:sz="4" w:space="0" w:color="auto"/>
              <w:left w:val="nil"/>
              <w:bottom w:val="single" w:sz="4" w:space="0" w:color="auto"/>
              <w:right w:val="single" w:sz="4" w:space="0" w:color="auto"/>
            </w:tcBorders>
            <w:shd w:val="clear" w:color="auto" w:fill="BDD7EE"/>
            <w:vAlign w:val="center"/>
          </w:tcPr>
          <w:p w14:paraId="0E201791"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1061" w:type="dxa"/>
            <w:tcBorders>
              <w:top w:val="single" w:sz="4" w:space="0" w:color="auto"/>
              <w:left w:val="nil"/>
              <w:bottom w:val="single" w:sz="4" w:space="0" w:color="auto"/>
              <w:right w:val="single" w:sz="4" w:space="0" w:color="auto"/>
            </w:tcBorders>
            <w:shd w:val="clear" w:color="auto" w:fill="BDD7EE"/>
            <w:vAlign w:val="center"/>
          </w:tcPr>
          <w:p w14:paraId="0034BEF7"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830" w:type="dxa"/>
            <w:tcBorders>
              <w:top w:val="single" w:sz="4" w:space="0" w:color="auto"/>
              <w:left w:val="nil"/>
              <w:bottom w:val="single" w:sz="4" w:space="0" w:color="auto"/>
              <w:right w:val="single" w:sz="4" w:space="0" w:color="auto"/>
            </w:tcBorders>
            <w:shd w:val="clear" w:color="auto" w:fill="BDD7EE"/>
            <w:vAlign w:val="center"/>
          </w:tcPr>
          <w:p w14:paraId="028EC06F"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647" w:type="dxa"/>
            <w:vMerge/>
            <w:tcBorders>
              <w:bottom w:val="single" w:sz="4" w:space="0" w:color="auto"/>
              <w:right w:val="single" w:sz="4" w:space="0" w:color="auto"/>
            </w:tcBorders>
            <w:vAlign w:val="center"/>
          </w:tcPr>
          <w:p w14:paraId="3979065E"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r>
      <w:tr w:rsidR="00515398" w14:paraId="4122C926" w14:textId="77777777">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5704282" w14:textId="77777777" w:rsidR="00515398" w:rsidRDefault="006711E6">
            <w:pPr>
              <w:pStyle w:val="P68B1DB1-Normal9"/>
              <w:spacing w:after="0" w:line="240" w:lineRule="auto"/>
              <w:rPr>
                <w:rFonts w:eastAsia="Times New Roman" w:cs="Calibri"/>
                <w:noProof/>
                <w:szCs w:val="18"/>
              </w:rPr>
            </w:pPr>
            <w:r>
              <w:rPr>
                <w:noProof/>
              </w:rPr>
              <w:t>3</w:t>
            </w:r>
            <w:r>
              <w:rPr>
                <w:noProof/>
              </w:rPr>
              <w:t>61</w:t>
            </w:r>
          </w:p>
        </w:tc>
        <w:tc>
          <w:tcPr>
            <w:tcW w:w="2126" w:type="dxa"/>
            <w:tcBorders>
              <w:top w:val="nil"/>
              <w:left w:val="nil"/>
              <w:bottom w:val="single" w:sz="4" w:space="0" w:color="auto"/>
              <w:right w:val="single" w:sz="4" w:space="0" w:color="auto"/>
            </w:tcBorders>
            <w:shd w:val="clear" w:color="auto" w:fill="C6EFCE"/>
            <w:noWrap/>
          </w:tcPr>
          <w:p w14:paraId="1EB4585C" w14:textId="77777777" w:rsidR="00515398" w:rsidRDefault="006711E6">
            <w:pPr>
              <w:pStyle w:val="P68B1DB1-Normal9"/>
              <w:spacing w:after="0" w:line="240" w:lineRule="auto"/>
              <w:rPr>
                <w:rFonts w:ascii="Times New Roman" w:hAnsi="Times New Roman" w:cs="Times New Roman"/>
                <w:noProof/>
                <w:sz w:val="24"/>
                <w:szCs w:val="24"/>
              </w:rPr>
            </w:pPr>
            <w:r>
              <w:rPr>
                <w:noProof/>
              </w:rPr>
              <w:t>20–5. Reformy REPowerEU – 16992_Soubor nástrojů na podporu sdílení energie, vlastní spotřeby a společenství pro obnovitelné zdroje energie</w:t>
            </w:r>
          </w:p>
        </w:tc>
        <w:tc>
          <w:tcPr>
            <w:tcW w:w="992" w:type="dxa"/>
            <w:tcBorders>
              <w:top w:val="nil"/>
              <w:left w:val="nil"/>
              <w:bottom w:val="single" w:sz="4" w:space="0" w:color="auto"/>
              <w:right w:val="single" w:sz="4" w:space="0" w:color="auto"/>
            </w:tcBorders>
            <w:shd w:val="clear" w:color="auto" w:fill="C6EFCE"/>
            <w:noWrap/>
          </w:tcPr>
          <w:p w14:paraId="07AE80D1" w14:textId="77777777" w:rsidR="00515398" w:rsidRDefault="006711E6">
            <w:pPr>
              <w:pStyle w:val="P68B1DB1-Normal9"/>
              <w:spacing w:after="120" w:line="240" w:lineRule="auto"/>
              <w:rPr>
                <w:rFonts w:ascii="Times New Roman" w:hAnsi="Times New Roman" w:cs="Times New Roman"/>
                <w:noProof/>
                <w:sz w:val="24"/>
              </w:rPr>
            </w:pPr>
            <w:r>
              <w:rPr>
                <w:noProof/>
              </w:rPr>
              <w:t>Milník</w:t>
            </w:r>
          </w:p>
        </w:tc>
        <w:tc>
          <w:tcPr>
            <w:tcW w:w="1194" w:type="dxa"/>
            <w:tcBorders>
              <w:top w:val="nil"/>
              <w:left w:val="nil"/>
              <w:bottom w:val="single" w:sz="4" w:space="0" w:color="auto"/>
              <w:right w:val="single" w:sz="4" w:space="0" w:color="auto"/>
            </w:tcBorders>
            <w:shd w:val="clear" w:color="auto" w:fill="C6EFCE"/>
            <w:noWrap/>
          </w:tcPr>
          <w:p w14:paraId="4C9078AA" w14:textId="08F01E32" w:rsidR="00515398" w:rsidRDefault="006711E6">
            <w:pPr>
              <w:pStyle w:val="P68B1DB1-Normal9"/>
              <w:spacing w:after="0" w:line="240" w:lineRule="auto"/>
              <w:rPr>
                <w:rFonts w:eastAsia="Times New Roman"/>
                <w:noProof/>
                <w:szCs w:val="18"/>
              </w:rPr>
            </w:pPr>
            <w:r>
              <w:rPr>
                <w:noProof/>
              </w:rPr>
              <w:t>Vstup v platnost primárních a sekundárních právních předpisů o vlastní spotřebě a</w:t>
            </w:r>
          </w:p>
          <w:p w14:paraId="5D71E813" w14:textId="77777777" w:rsidR="00515398" w:rsidRDefault="006711E6">
            <w:pPr>
              <w:pStyle w:val="P68B1DB1-Normal9"/>
              <w:spacing w:after="0" w:line="240" w:lineRule="auto"/>
              <w:rPr>
                <w:rFonts w:eastAsia="Times New Roman"/>
                <w:noProof/>
                <w:szCs w:val="18"/>
              </w:rPr>
            </w:pPr>
            <w:r>
              <w:rPr>
                <w:noProof/>
              </w:rPr>
              <w:t>usnadnění povolovacích po</w:t>
            </w:r>
            <w:r>
              <w:rPr>
                <w:noProof/>
              </w:rPr>
              <w:t>stupů pro instalaci stanic OZE v bytových domech</w:t>
            </w:r>
          </w:p>
        </w:tc>
        <w:tc>
          <w:tcPr>
            <w:tcW w:w="1541" w:type="dxa"/>
            <w:tcBorders>
              <w:top w:val="nil"/>
              <w:left w:val="nil"/>
              <w:bottom w:val="single" w:sz="4" w:space="0" w:color="auto"/>
              <w:right w:val="single" w:sz="4" w:space="0" w:color="auto"/>
            </w:tcBorders>
            <w:shd w:val="clear" w:color="auto" w:fill="C6EFCE"/>
            <w:noWrap/>
          </w:tcPr>
          <w:p w14:paraId="75E10454" w14:textId="0CA5AAD5" w:rsidR="00515398" w:rsidRDefault="006711E6">
            <w:pPr>
              <w:pStyle w:val="P68B1DB1-Normal9"/>
              <w:spacing w:after="120" w:line="240" w:lineRule="auto"/>
              <w:rPr>
                <w:rFonts w:eastAsia="Times New Roman" w:cs="Calibri"/>
                <w:noProof/>
                <w:szCs w:val="18"/>
              </w:rPr>
            </w:pPr>
            <w:r>
              <w:rPr>
                <w:noProof/>
              </w:rPr>
              <w:t>Vstup primárního a sekundárního práva v platnost</w:t>
            </w:r>
          </w:p>
          <w:p w14:paraId="54700C24"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20" w:type="dxa"/>
            <w:tcBorders>
              <w:top w:val="nil"/>
              <w:left w:val="nil"/>
              <w:bottom w:val="single" w:sz="4" w:space="0" w:color="auto"/>
              <w:right w:val="single" w:sz="4" w:space="0" w:color="auto"/>
            </w:tcBorders>
            <w:shd w:val="clear" w:color="auto" w:fill="C6EFCE"/>
            <w:noWrap/>
          </w:tcPr>
          <w:p w14:paraId="698EA435" w14:textId="77777777" w:rsidR="00515398" w:rsidRDefault="00515398">
            <w:pPr>
              <w:spacing w:after="0" w:line="240" w:lineRule="auto"/>
              <w:rPr>
                <w:rFonts w:eastAsia="Times New Roman" w:cs="Calibri"/>
                <w:noProof/>
                <w:color w:val="006100"/>
                <w:sz w:val="18"/>
                <w:szCs w:val="18"/>
              </w:rPr>
            </w:pPr>
          </w:p>
        </w:tc>
        <w:tc>
          <w:tcPr>
            <w:tcW w:w="1020" w:type="dxa"/>
            <w:tcBorders>
              <w:top w:val="nil"/>
              <w:left w:val="nil"/>
              <w:bottom w:val="single" w:sz="4" w:space="0" w:color="auto"/>
              <w:right w:val="single" w:sz="4" w:space="0" w:color="auto"/>
            </w:tcBorders>
            <w:shd w:val="clear" w:color="auto" w:fill="C6EFCE"/>
            <w:noWrap/>
          </w:tcPr>
          <w:p w14:paraId="203E6B02" w14:textId="77777777" w:rsidR="00515398" w:rsidRDefault="00515398">
            <w:pPr>
              <w:spacing w:after="0" w:line="240" w:lineRule="auto"/>
              <w:rPr>
                <w:rFonts w:eastAsia="Times New Roman" w:cs="Calibri"/>
                <w:noProof/>
                <w:color w:val="006100"/>
                <w:sz w:val="18"/>
                <w:szCs w:val="18"/>
              </w:rPr>
            </w:pPr>
          </w:p>
        </w:tc>
        <w:tc>
          <w:tcPr>
            <w:tcW w:w="608" w:type="dxa"/>
            <w:tcBorders>
              <w:top w:val="nil"/>
              <w:left w:val="nil"/>
              <w:bottom w:val="single" w:sz="4" w:space="0" w:color="auto"/>
              <w:right w:val="single" w:sz="4" w:space="0" w:color="auto"/>
            </w:tcBorders>
            <w:shd w:val="clear" w:color="auto" w:fill="C6EFCE"/>
            <w:noWrap/>
          </w:tcPr>
          <w:p w14:paraId="159BF8D5" w14:textId="77777777" w:rsidR="00515398" w:rsidRDefault="00515398">
            <w:pPr>
              <w:spacing w:after="0" w:line="240" w:lineRule="auto"/>
              <w:rPr>
                <w:rFonts w:eastAsia="Times New Roman" w:cs="Calibri"/>
                <w:noProof/>
                <w:color w:val="006100"/>
                <w:sz w:val="18"/>
                <w:szCs w:val="18"/>
              </w:rPr>
            </w:pPr>
          </w:p>
        </w:tc>
        <w:tc>
          <w:tcPr>
            <w:tcW w:w="1061" w:type="dxa"/>
            <w:tcBorders>
              <w:top w:val="nil"/>
              <w:left w:val="nil"/>
              <w:bottom w:val="single" w:sz="4" w:space="0" w:color="auto"/>
              <w:right w:val="single" w:sz="4" w:space="0" w:color="auto"/>
            </w:tcBorders>
            <w:shd w:val="clear" w:color="auto" w:fill="C6EFCE"/>
            <w:noWrap/>
          </w:tcPr>
          <w:p w14:paraId="1BA5B356" w14:textId="77777777" w:rsidR="00515398" w:rsidRDefault="006711E6">
            <w:pPr>
              <w:pStyle w:val="P68B1DB1-Normal9"/>
              <w:spacing w:after="120" w:line="240" w:lineRule="auto"/>
              <w:rPr>
                <w:rFonts w:eastAsia="Times New Roman"/>
                <w:noProof/>
                <w:szCs w:val="18"/>
              </w:rPr>
            </w:pPr>
            <w:r>
              <w:rPr>
                <w:noProof/>
              </w:rPr>
              <w:t>ČTVRTLETÍ 1</w:t>
            </w:r>
          </w:p>
        </w:tc>
        <w:tc>
          <w:tcPr>
            <w:tcW w:w="830" w:type="dxa"/>
            <w:tcBorders>
              <w:top w:val="nil"/>
              <w:left w:val="nil"/>
              <w:bottom w:val="single" w:sz="4" w:space="0" w:color="auto"/>
              <w:right w:val="single" w:sz="4" w:space="0" w:color="auto"/>
            </w:tcBorders>
            <w:shd w:val="clear" w:color="auto" w:fill="C6EFCE"/>
            <w:noWrap/>
          </w:tcPr>
          <w:p w14:paraId="3EDDA74F" w14:textId="77777777" w:rsidR="00515398" w:rsidRDefault="006711E6">
            <w:pPr>
              <w:pStyle w:val="P68B1DB1-Normal9"/>
              <w:spacing w:after="120" w:line="240" w:lineRule="auto"/>
              <w:rPr>
                <w:rFonts w:eastAsia="Times New Roman"/>
                <w:noProof/>
                <w:szCs w:val="18"/>
              </w:rPr>
            </w:pPr>
            <w:r>
              <w:rPr>
                <w:noProof/>
              </w:rPr>
              <w:t>2024</w:t>
            </w:r>
          </w:p>
        </w:tc>
        <w:tc>
          <w:tcPr>
            <w:tcW w:w="3647" w:type="dxa"/>
            <w:tcBorders>
              <w:top w:val="single" w:sz="4" w:space="0" w:color="auto"/>
              <w:left w:val="nil"/>
              <w:bottom w:val="single" w:sz="4" w:space="0" w:color="auto"/>
              <w:right w:val="single" w:sz="4" w:space="0" w:color="auto"/>
            </w:tcBorders>
            <w:shd w:val="clear" w:color="auto" w:fill="C6EFCE"/>
            <w:noWrap/>
          </w:tcPr>
          <w:p w14:paraId="58685CF6" w14:textId="1EBB071F" w:rsidR="00515398" w:rsidRDefault="006711E6">
            <w:pPr>
              <w:pStyle w:val="P68B1DB1-Normal9"/>
              <w:spacing w:after="0" w:line="240" w:lineRule="auto"/>
              <w:rPr>
                <w:rFonts w:eastAsia="Times New Roman" w:cs="Calibri"/>
                <w:noProof/>
                <w:szCs w:val="18"/>
              </w:rPr>
            </w:pPr>
            <w:r>
              <w:rPr>
                <w:noProof/>
              </w:rPr>
              <w:t>1. Vstup v platnost sekundárního práva stanoveného v zákoně 5037/2023. Konkrétně:</w:t>
            </w:r>
          </w:p>
          <w:p w14:paraId="36C32C59" w14:textId="77777777" w:rsidR="00515398" w:rsidRDefault="006711E6">
            <w:pPr>
              <w:pStyle w:val="P68B1DB1-Normal9"/>
              <w:spacing w:after="120" w:line="240" w:lineRule="auto"/>
              <w:rPr>
                <w:rFonts w:eastAsia="Times New Roman" w:cs="Calibri"/>
                <w:noProof/>
                <w:szCs w:val="18"/>
              </w:rPr>
            </w:pPr>
            <w:r>
              <w:rPr>
                <w:noProof/>
              </w:rPr>
              <w:t xml:space="preserve">Vstup v platnost ministerského rozhodnutí o provádění </w:t>
            </w:r>
            <w:r>
              <w:rPr>
                <w:noProof/>
              </w:rPr>
              <w:t>vlastní spotřeby, vlastní spotřeby prostřednictvím virtuálního čistého vyúčtování a kolektivní vlastní spotřeby, čistého vyúčtování za energii a virtuálního čistého vyúčtování s upřesněním článků 64 a 66 zákona 5037/2023.</w:t>
            </w:r>
          </w:p>
          <w:p w14:paraId="78892A25" w14:textId="306B5C4B" w:rsidR="00515398" w:rsidRDefault="006711E6">
            <w:pPr>
              <w:pStyle w:val="P68B1DB1-Normal9"/>
              <w:spacing w:after="120" w:line="240" w:lineRule="auto"/>
              <w:rPr>
                <w:rFonts w:eastAsia="Times New Roman" w:cs="Calibri"/>
                <w:noProof/>
                <w:szCs w:val="18"/>
              </w:rPr>
            </w:pPr>
            <w:r>
              <w:rPr>
                <w:noProof/>
              </w:rPr>
              <w:t>2. Vstup v platnost primárních prá</w:t>
            </w:r>
            <w:r>
              <w:rPr>
                <w:noProof/>
              </w:rPr>
              <w:t>vních předpisů pro usnadnění povolovacích postupů pro instalaci stanic obnovitelných zdrojů energie v bytových budovách (nebo budovách s více bytovými jednotkami) rovněž s cílem podpořit kolektivní vlastní spotřebu. To zahrnuje pravidla usnadňující rozhodo</w:t>
            </w:r>
            <w:r>
              <w:rPr>
                <w:noProof/>
              </w:rPr>
              <w:t xml:space="preserve">vání, včetně zavedení většinového procesu instalace energie z obnovitelných zdrojů. </w:t>
            </w:r>
          </w:p>
        </w:tc>
      </w:tr>
      <w:tr w:rsidR="00515398" w14:paraId="140F3C6B" w14:textId="77777777">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6E8B8C72" w14:textId="77777777" w:rsidR="00515398" w:rsidRDefault="006711E6">
            <w:pPr>
              <w:pStyle w:val="P68B1DB1-Normal9"/>
              <w:spacing w:after="0" w:line="240" w:lineRule="auto"/>
              <w:rPr>
                <w:rFonts w:eastAsia="Times New Roman" w:cs="Calibri"/>
                <w:noProof/>
                <w:szCs w:val="18"/>
              </w:rPr>
            </w:pPr>
            <w:r>
              <w:rPr>
                <w:noProof/>
              </w:rPr>
              <w:t>362</w:t>
            </w:r>
          </w:p>
        </w:tc>
        <w:tc>
          <w:tcPr>
            <w:tcW w:w="2126" w:type="dxa"/>
            <w:tcBorders>
              <w:top w:val="single" w:sz="4" w:space="0" w:color="auto"/>
              <w:left w:val="nil"/>
              <w:bottom w:val="single" w:sz="4" w:space="0" w:color="auto"/>
              <w:right w:val="single" w:sz="4" w:space="0" w:color="auto"/>
            </w:tcBorders>
            <w:shd w:val="clear" w:color="auto" w:fill="C6EFCE"/>
            <w:noWrap/>
          </w:tcPr>
          <w:p w14:paraId="7A97E2DA" w14:textId="77777777" w:rsidR="00515398" w:rsidRDefault="006711E6">
            <w:pPr>
              <w:pStyle w:val="P68B1DB1-Normal9"/>
              <w:spacing w:after="0" w:line="240" w:lineRule="auto"/>
              <w:rPr>
                <w:rFonts w:eastAsia="Times New Roman" w:cs="Calibri"/>
                <w:noProof/>
                <w:szCs w:val="18"/>
              </w:rPr>
            </w:pPr>
            <w:r>
              <w:rPr>
                <w:noProof/>
              </w:rPr>
              <w:t>20–5. Reformy REPowerEU – 16992_Soubor nástrojů na podporu sdílení energie, vlastní spotřeby a společenství pro obnovitelné zdroje energie</w:t>
            </w:r>
          </w:p>
        </w:tc>
        <w:tc>
          <w:tcPr>
            <w:tcW w:w="992" w:type="dxa"/>
            <w:tcBorders>
              <w:top w:val="single" w:sz="4" w:space="0" w:color="auto"/>
              <w:left w:val="nil"/>
              <w:bottom w:val="single" w:sz="4" w:space="0" w:color="auto"/>
              <w:right w:val="single" w:sz="4" w:space="0" w:color="auto"/>
            </w:tcBorders>
            <w:shd w:val="clear" w:color="auto" w:fill="C6EFCE"/>
            <w:noWrap/>
          </w:tcPr>
          <w:p w14:paraId="2FE6C5B3" w14:textId="77777777" w:rsidR="00515398" w:rsidRDefault="006711E6">
            <w:pPr>
              <w:pStyle w:val="P68B1DB1-Normal9"/>
              <w:spacing w:after="120" w:line="240" w:lineRule="auto"/>
              <w:rPr>
                <w:rFonts w:eastAsia="Times New Roman" w:cs="Calibri"/>
                <w:noProof/>
                <w:szCs w:val="18"/>
              </w:rPr>
            </w:pPr>
            <w:r>
              <w:rPr>
                <w:noProof/>
              </w:rPr>
              <w:t>Milník</w:t>
            </w:r>
          </w:p>
        </w:tc>
        <w:tc>
          <w:tcPr>
            <w:tcW w:w="1194" w:type="dxa"/>
            <w:tcBorders>
              <w:top w:val="single" w:sz="4" w:space="0" w:color="auto"/>
              <w:left w:val="nil"/>
              <w:bottom w:val="single" w:sz="4" w:space="0" w:color="auto"/>
              <w:right w:val="single" w:sz="4" w:space="0" w:color="auto"/>
            </w:tcBorders>
            <w:shd w:val="clear" w:color="auto" w:fill="C6EFCE"/>
            <w:noWrap/>
          </w:tcPr>
          <w:p w14:paraId="433B2B49" w14:textId="77777777" w:rsidR="00515398" w:rsidRDefault="006711E6">
            <w:pPr>
              <w:pStyle w:val="P68B1DB1-Normal9"/>
              <w:spacing w:after="120" w:line="240" w:lineRule="auto"/>
              <w:rPr>
                <w:rFonts w:eastAsia="Times New Roman" w:cs="Calibri"/>
                <w:noProof/>
                <w:szCs w:val="18"/>
              </w:rPr>
            </w:pPr>
            <w:r>
              <w:rPr>
                <w:noProof/>
              </w:rPr>
              <w:t xml:space="preserve">Zřízení registru </w:t>
            </w:r>
            <w:r>
              <w:rPr>
                <w:noProof/>
              </w:rPr>
              <w:t>samospotřebitelů a technická pomoc pro energetická společenství</w:t>
            </w:r>
          </w:p>
        </w:tc>
        <w:tc>
          <w:tcPr>
            <w:tcW w:w="1541" w:type="dxa"/>
            <w:tcBorders>
              <w:top w:val="single" w:sz="4" w:space="0" w:color="auto"/>
              <w:left w:val="nil"/>
              <w:bottom w:val="single" w:sz="4" w:space="0" w:color="auto"/>
              <w:right w:val="single" w:sz="4" w:space="0" w:color="auto"/>
            </w:tcBorders>
            <w:shd w:val="clear" w:color="auto" w:fill="C6EFCE"/>
            <w:noWrap/>
          </w:tcPr>
          <w:p w14:paraId="4FF85F64" w14:textId="77777777" w:rsidR="00515398" w:rsidRDefault="006711E6">
            <w:pPr>
              <w:pStyle w:val="P68B1DB1-Normal9"/>
              <w:spacing w:after="120" w:line="240" w:lineRule="auto"/>
              <w:rPr>
                <w:rFonts w:eastAsia="Times New Roman" w:cs="Calibri"/>
                <w:noProof/>
                <w:szCs w:val="18"/>
              </w:rPr>
            </w:pPr>
            <w:r>
              <w:rPr>
                <w:noProof/>
              </w:rPr>
              <w:t>Vstup v platnost právních předpisů a prováděcí zpráva Ministerstva životního prostředí a energetiky potvrzující úplné provedení technické pomoci</w:t>
            </w:r>
          </w:p>
        </w:tc>
        <w:tc>
          <w:tcPr>
            <w:tcW w:w="1020" w:type="dxa"/>
            <w:tcBorders>
              <w:top w:val="single" w:sz="4" w:space="0" w:color="auto"/>
              <w:left w:val="nil"/>
              <w:bottom w:val="single" w:sz="4" w:space="0" w:color="auto"/>
              <w:right w:val="single" w:sz="4" w:space="0" w:color="auto"/>
            </w:tcBorders>
            <w:shd w:val="clear" w:color="auto" w:fill="C6EFCE"/>
            <w:noWrap/>
          </w:tcPr>
          <w:p w14:paraId="0670714C" w14:textId="77777777" w:rsidR="00515398" w:rsidRDefault="00515398">
            <w:pPr>
              <w:spacing w:after="120" w:line="240" w:lineRule="auto"/>
              <w:rPr>
                <w:rFonts w:ascii="Times New Roman" w:hAnsi="Times New Roman" w:cs="Times New Roman"/>
                <w:noProof/>
                <w:sz w:val="24"/>
              </w:rPr>
            </w:pPr>
          </w:p>
        </w:tc>
        <w:tc>
          <w:tcPr>
            <w:tcW w:w="1020" w:type="dxa"/>
            <w:tcBorders>
              <w:top w:val="single" w:sz="4" w:space="0" w:color="auto"/>
              <w:left w:val="nil"/>
              <w:bottom w:val="single" w:sz="4" w:space="0" w:color="auto"/>
              <w:right w:val="single" w:sz="4" w:space="0" w:color="auto"/>
            </w:tcBorders>
            <w:shd w:val="clear" w:color="auto" w:fill="C6EFCE"/>
            <w:noWrap/>
          </w:tcPr>
          <w:p w14:paraId="22B72EA7" w14:textId="77777777" w:rsidR="00515398" w:rsidRDefault="00515398">
            <w:pPr>
              <w:spacing w:after="120" w:line="240" w:lineRule="auto"/>
              <w:rPr>
                <w:rFonts w:ascii="Times New Roman" w:hAnsi="Times New Roman" w:cs="Times New Roman"/>
                <w:noProof/>
                <w:sz w:val="24"/>
              </w:rPr>
            </w:pPr>
          </w:p>
        </w:tc>
        <w:tc>
          <w:tcPr>
            <w:tcW w:w="608" w:type="dxa"/>
            <w:tcBorders>
              <w:top w:val="single" w:sz="4" w:space="0" w:color="auto"/>
              <w:left w:val="nil"/>
              <w:bottom w:val="single" w:sz="4" w:space="0" w:color="auto"/>
              <w:right w:val="single" w:sz="4" w:space="0" w:color="auto"/>
            </w:tcBorders>
            <w:shd w:val="clear" w:color="auto" w:fill="C6EFCE"/>
            <w:noWrap/>
          </w:tcPr>
          <w:p w14:paraId="68857F6D" w14:textId="77777777" w:rsidR="00515398" w:rsidRDefault="00515398">
            <w:pPr>
              <w:spacing w:after="120" w:line="240" w:lineRule="auto"/>
              <w:rPr>
                <w:rFonts w:ascii="Times New Roman" w:hAnsi="Times New Roman" w:cs="Times New Roman"/>
                <w:noProof/>
                <w:sz w:val="24"/>
              </w:rPr>
            </w:pPr>
          </w:p>
        </w:tc>
        <w:tc>
          <w:tcPr>
            <w:tcW w:w="1061" w:type="dxa"/>
            <w:tcBorders>
              <w:top w:val="single" w:sz="4" w:space="0" w:color="auto"/>
              <w:left w:val="nil"/>
              <w:bottom w:val="single" w:sz="4" w:space="0" w:color="auto"/>
              <w:right w:val="single" w:sz="4" w:space="0" w:color="auto"/>
            </w:tcBorders>
            <w:shd w:val="clear" w:color="auto" w:fill="C6EFCE"/>
            <w:noWrap/>
          </w:tcPr>
          <w:p w14:paraId="647672BB" w14:textId="77777777" w:rsidR="00515398" w:rsidRDefault="006711E6">
            <w:pPr>
              <w:pStyle w:val="P68B1DB1-Normal9"/>
              <w:spacing w:after="120" w:line="240" w:lineRule="auto"/>
              <w:rPr>
                <w:rFonts w:eastAsia="Times New Roman"/>
                <w:noProof/>
                <w:szCs w:val="18"/>
              </w:rPr>
            </w:pPr>
            <w:r>
              <w:rPr>
                <w:noProof/>
              </w:rPr>
              <w:t>ČTVRTLETÍ 1</w:t>
            </w:r>
          </w:p>
        </w:tc>
        <w:tc>
          <w:tcPr>
            <w:tcW w:w="830" w:type="dxa"/>
            <w:tcBorders>
              <w:top w:val="single" w:sz="4" w:space="0" w:color="auto"/>
              <w:left w:val="nil"/>
              <w:bottom w:val="single" w:sz="4" w:space="0" w:color="auto"/>
              <w:right w:val="single" w:sz="4" w:space="0" w:color="auto"/>
            </w:tcBorders>
            <w:shd w:val="clear" w:color="auto" w:fill="C6EFCE"/>
            <w:noWrap/>
          </w:tcPr>
          <w:p w14:paraId="2F1C4C9F" w14:textId="77777777" w:rsidR="00515398" w:rsidRDefault="006711E6">
            <w:pPr>
              <w:pStyle w:val="P68B1DB1-Normal9"/>
              <w:spacing w:after="120" w:line="240" w:lineRule="auto"/>
              <w:rPr>
                <w:rFonts w:eastAsia="Times New Roman" w:cs="Calibri"/>
                <w:noProof/>
                <w:szCs w:val="18"/>
              </w:rPr>
            </w:pPr>
            <w:r>
              <w:rPr>
                <w:noProof/>
              </w:rPr>
              <w:t>2025</w:t>
            </w:r>
          </w:p>
        </w:tc>
        <w:tc>
          <w:tcPr>
            <w:tcW w:w="3647" w:type="dxa"/>
            <w:tcBorders>
              <w:top w:val="single" w:sz="4" w:space="0" w:color="auto"/>
              <w:left w:val="nil"/>
              <w:bottom w:val="single" w:sz="4" w:space="0" w:color="auto"/>
              <w:right w:val="single" w:sz="4" w:space="0" w:color="auto"/>
            </w:tcBorders>
            <w:shd w:val="clear" w:color="auto" w:fill="C6EFCE"/>
            <w:noWrap/>
          </w:tcPr>
          <w:p w14:paraId="6BB43DAF" w14:textId="77777777" w:rsidR="00515398" w:rsidRDefault="006711E6">
            <w:pPr>
              <w:pStyle w:val="P68B1DB1-Normal9"/>
              <w:spacing w:after="0" w:line="240" w:lineRule="auto"/>
              <w:rPr>
                <w:rFonts w:eastAsia="Times New Roman" w:cs="Calibri"/>
                <w:noProof/>
                <w:szCs w:val="18"/>
              </w:rPr>
            </w:pPr>
            <w:r>
              <w:rPr>
                <w:noProof/>
              </w:rPr>
              <w:t>Vstup v platnost právních p</w:t>
            </w:r>
            <w:r>
              <w:rPr>
                <w:noProof/>
              </w:rPr>
              <w:t>ředpisů pro zřízení registru samospotřebitelů a provádění opatření technické pomoci na podporu rozvoje a provozu energetických společenství. Registr samospotřebitelů se používá pro datovou a statistickou analýzu a zároveň usnadňuje přechod samospotřebitelů</w:t>
            </w:r>
            <w:r>
              <w:rPr>
                <w:noProof/>
              </w:rPr>
              <w:t xml:space="preserve"> z jednoho dodavatele na druhého.  </w:t>
            </w:r>
          </w:p>
          <w:p w14:paraId="7CAF5F2D" w14:textId="77777777" w:rsidR="00515398" w:rsidRDefault="00515398">
            <w:pPr>
              <w:spacing w:after="0" w:line="240" w:lineRule="auto"/>
              <w:rPr>
                <w:rFonts w:eastAsia="Times New Roman" w:cs="Calibri"/>
                <w:noProof/>
                <w:color w:val="006100"/>
                <w:sz w:val="18"/>
                <w:szCs w:val="18"/>
              </w:rPr>
            </w:pPr>
          </w:p>
          <w:p w14:paraId="6EE3443F" w14:textId="77777777" w:rsidR="00515398" w:rsidRDefault="006711E6">
            <w:pPr>
              <w:pStyle w:val="P68B1DB1-Normal9"/>
              <w:spacing w:after="0" w:line="240" w:lineRule="auto"/>
              <w:rPr>
                <w:rFonts w:eastAsia="Times New Roman" w:cs="Calibri"/>
                <w:noProof/>
                <w:szCs w:val="18"/>
              </w:rPr>
            </w:pPr>
            <w:r>
              <w:rPr>
                <w:noProof/>
              </w:rPr>
              <w:t xml:space="preserve">Registr samospotřebitelů je spravován příslušným subjektem (např. řeckým provozovatelem distribuční soustavy), který zajistí, aby byl způsobilým osobám poskytnut transparentní a nediskriminační přístup a aby registrace </w:t>
            </w:r>
            <w:r>
              <w:rPr>
                <w:noProof/>
              </w:rPr>
              <w:t>samospotřebitelů a nakládání se všemi údaji v registru byly v souladu s platným právním rámcem Unie, a zejména s pravidly pro ochranu údajů a soukromí.</w:t>
            </w:r>
          </w:p>
          <w:p w14:paraId="1FBE0B51" w14:textId="77777777" w:rsidR="00515398" w:rsidRDefault="00515398">
            <w:pPr>
              <w:spacing w:after="0" w:line="240" w:lineRule="auto"/>
              <w:rPr>
                <w:rFonts w:eastAsia="Times New Roman" w:cs="Calibri"/>
                <w:noProof/>
                <w:color w:val="006100"/>
                <w:sz w:val="18"/>
                <w:szCs w:val="18"/>
              </w:rPr>
            </w:pPr>
          </w:p>
          <w:p w14:paraId="58C4E197" w14:textId="77777777" w:rsidR="00515398" w:rsidRDefault="006711E6">
            <w:pPr>
              <w:pStyle w:val="P68B1DB1-Normal9"/>
              <w:spacing w:after="0" w:line="240" w:lineRule="auto"/>
              <w:rPr>
                <w:rFonts w:eastAsia="Times New Roman" w:cs="Calibri"/>
                <w:noProof/>
                <w:szCs w:val="18"/>
              </w:rPr>
            </w:pPr>
            <w:r>
              <w:rPr>
                <w:noProof/>
              </w:rPr>
              <w:t>Technická pomoc pro energetická společenství musí být plně funkční, včetně určení příslušného interakti</w:t>
            </w:r>
            <w:r>
              <w:rPr>
                <w:noProof/>
              </w:rPr>
              <w:t xml:space="preserve">vního kontaktního místa. Na žádost způsobilé osoby kontaktní místo tyto strany podporuje a usnadňuje v průběhu celého správního řízení, které je nezbytné pro vytvoření/účast v energetických společenstvích. </w:t>
            </w:r>
          </w:p>
        </w:tc>
      </w:tr>
    </w:tbl>
    <w:p w14:paraId="278D9131" w14:textId="77777777" w:rsidR="00515398" w:rsidRDefault="006711E6">
      <w:pPr>
        <w:pStyle w:val="P68B1DB1-Normal6"/>
        <w:keepNext/>
        <w:keepLines/>
        <w:spacing w:before="240" w:after="0" w:line="240" w:lineRule="auto"/>
        <w:jc w:val="both"/>
        <w:outlineLvl w:val="4"/>
        <w:rPr>
          <w:noProof/>
        </w:rPr>
      </w:pPr>
      <w:r>
        <w:rPr>
          <w:noProof/>
        </w:rPr>
        <w:t xml:space="preserve">Reforma č. 7: Plán inovativních intervencí v </w:t>
      </w:r>
      <w:r>
        <w:rPr>
          <w:noProof/>
        </w:rPr>
        <w:t>oblasti energetické účinnosti a určení nových finančních nástrojů (ID opatření: 16993)</w:t>
      </w:r>
    </w:p>
    <w:p w14:paraId="7D07C0BD" w14:textId="77777777" w:rsidR="00515398" w:rsidRDefault="00515398">
      <w:pPr>
        <w:keepNext/>
        <w:keepLines/>
        <w:spacing w:before="240" w:after="0" w:line="240" w:lineRule="auto"/>
        <w:jc w:val="both"/>
        <w:outlineLvl w:val="4"/>
        <w:rPr>
          <w:rFonts w:ascii="Cambria" w:eastAsia="Times New Roman" w:hAnsi="Cambria"/>
          <w:noProof/>
          <w:color w:val="365F91"/>
          <w:sz w:val="24"/>
        </w:rPr>
      </w:pPr>
    </w:p>
    <w:tbl>
      <w:tblPr>
        <w:tblW w:w="15026" w:type="dxa"/>
        <w:tblInd w:w="-5" w:type="dxa"/>
        <w:tblLook w:val="04A0" w:firstRow="1" w:lastRow="0" w:firstColumn="1" w:lastColumn="0" w:noHBand="0" w:noVBand="1"/>
      </w:tblPr>
      <w:tblGrid>
        <w:gridCol w:w="1238"/>
        <w:gridCol w:w="1749"/>
        <w:gridCol w:w="1094"/>
        <w:gridCol w:w="1244"/>
        <w:gridCol w:w="1553"/>
        <w:gridCol w:w="1205"/>
        <w:gridCol w:w="927"/>
        <w:gridCol w:w="713"/>
        <w:gridCol w:w="984"/>
        <w:gridCol w:w="720"/>
        <w:gridCol w:w="3700"/>
      </w:tblGrid>
      <w:tr w:rsidR="00515398" w14:paraId="689C8D8F" w14:textId="77777777">
        <w:trPr>
          <w:trHeight w:val="927"/>
          <w:tblHeader/>
        </w:trPr>
        <w:tc>
          <w:tcPr>
            <w:tcW w:w="12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7A1EDA"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FE6557"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A8293C4"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6BCC3F"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878B72"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84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2FD3FF2"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14:paraId="588B1535"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B97A7A"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4267495B" w14:textId="77777777">
        <w:trPr>
          <w:trHeight w:val="665"/>
        </w:trPr>
        <w:tc>
          <w:tcPr>
            <w:tcW w:w="1238" w:type="dxa"/>
            <w:vMerge/>
            <w:tcBorders>
              <w:top w:val="single" w:sz="4" w:space="0" w:color="auto"/>
              <w:left w:val="single" w:sz="4" w:space="0" w:color="auto"/>
              <w:bottom w:val="single" w:sz="4" w:space="0" w:color="auto"/>
              <w:right w:val="single" w:sz="4" w:space="0" w:color="auto"/>
            </w:tcBorders>
            <w:vAlign w:val="center"/>
            <w:hideMark/>
          </w:tcPr>
          <w:p w14:paraId="58EF8EB9" w14:textId="77777777" w:rsidR="00515398" w:rsidRDefault="00515398">
            <w:pPr>
              <w:spacing w:after="0" w:line="240" w:lineRule="auto"/>
              <w:rPr>
                <w:rFonts w:ascii="Times New Roman" w:eastAsia="Times New Roman" w:hAnsi="Times New Roman" w:cs="Times New Roman"/>
                <w:b/>
                <w:bCs/>
                <w:noProof/>
                <w:sz w:val="18"/>
                <w:szCs w:val="1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79433EFF" w14:textId="77777777" w:rsidR="00515398" w:rsidRDefault="00515398">
            <w:pPr>
              <w:spacing w:after="0" w:line="240" w:lineRule="auto"/>
              <w:rPr>
                <w:rFonts w:ascii="Times New Roman" w:eastAsia="Times New Roman" w:hAnsi="Times New Roman" w:cs="Times New Roman"/>
                <w:b/>
                <w:bCs/>
                <w:noProof/>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3D4BD24" w14:textId="77777777" w:rsidR="00515398" w:rsidRDefault="00515398">
            <w:pPr>
              <w:spacing w:after="0" w:line="240" w:lineRule="auto"/>
              <w:rPr>
                <w:rFonts w:ascii="Times New Roman" w:eastAsia="Times New Roman" w:hAnsi="Times New Roman" w:cs="Times New Roman"/>
                <w:b/>
                <w:bCs/>
                <w:noProof/>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3368D556" w14:textId="77777777" w:rsidR="00515398" w:rsidRDefault="00515398">
            <w:pPr>
              <w:spacing w:after="0" w:line="240" w:lineRule="auto"/>
              <w:rPr>
                <w:rFonts w:ascii="Times New Roman" w:eastAsia="Times New Roman" w:hAnsi="Times New Roman" w:cs="Times New Roman"/>
                <w:b/>
                <w:bCs/>
                <w:noProof/>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7CD141D" w14:textId="77777777" w:rsidR="00515398" w:rsidRDefault="00515398">
            <w:pPr>
              <w:spacing w:after="0" w:line="240" w:lineRule="auto"/>
              <w:rPr>
                <w:rFonts w:ascii="Times New Roman" w:eastAsia="Times New Roman" w:hAnsi="Times New Roman" w:cs="Times New Roman"/>
                <w:b/>
                <w:bCs/>
                <w:noProof/>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898E80"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27" w:type="dxa"/>
            <w:tcBorders>
              <w:top w:val="nil"/>
              <w:left w:val="nil"/>
              <w:bottom w:val="single" w:sz="4" w:space="0" w:color="auto"/>
              <w:right w:val="single" w:sz="4" w:space="0" w:color="auto"/>
            </w:tcBorders>
            <w:shd w:val="clear" w:color="auto" w:fill="BDD7EE"/>
            <w:vAlign w:val="center"/>
            <w:hideMark/>
          </w:tcPr>
          <w:p w14:paraId="452CA8E7"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13" w:type="dxa"/>
            <w:tcBorders>
              <w:top w:val="nil"/>
              <w:left w:val="nil"/>
              <w:bottom w:val="single" w:sz="4" w:space="0" w:color="auto"/>
              <w:right w:val="single" w:sz="4" w:space="0" w:color="auto"/>
            </w:tcBorders>
            <w:shd w:val="clear" w:color="auto" w:fill="BDD7EE"/>
            <w:vAlign w:val="center"/>
            <w:hideMark/>
          </w:tcPr>
          <w:p w14:paraId="5D588F0A"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22" w:type="dxa"/>
            <w:tcBorders>
              <w:top w:val="nil"/>
              <w:left w:val="nil"/>
              <w:bottom w:val="single" w:sz="4" w:space="0" w:color="auto"/>
              <w:right w:val="single" w:sz="4" w:space="0" w:color="auto"/>
            </w:tcBorders>
            <w:shd w:val="clear" w:color="auto" w:fill="BDD7EE"/>
            <w:vAlign w:val="center"/>
            <w:hideMark/>
          </w:tcPr>
          <w:p w14:paraId="29746CC5"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20" w:type="dxa"/>
            <w:tcBorders>
              <w:top w:val="nil"/>
              <w:left w:val="nil"/>
              <w:bottom w:val="single" w:sz="4" w:space="0" w:color="auto"/>
              <w:right w:val="single" w:sz="4" w:space="0" w:color="auto"/>
            </w:tcBorders>
            <w:shd w:val="clear" w:color="auto" w:fill="BDD7EE"/>
            <w:vAlign w:val="center"/>
            <w:hideMark/>
          </w:tcPr>
          <w:p w14:paraId="727D77E3"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700" w:type="dxa"/>
            <w:vMerge/>
            <w:tcBorders>
              <w:top w:val="single" w:sz="4" w:space="0" w:color="auto"/>
              <w:bottom w:val="single" w:sz="4" w:space="0" w:color="auto"/>
              <w:right w:val="single" w:sz="4" w:space="0" w:color="auto"/>
            </w:tcBorders>
            <w:vAlign w:val="center"/>
            <w:hideMark/>
          </w:tcPr>
          <w:p w14:paraId="526D33C1"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45C5A9B2" w14:textId="77777777">
        <w:tc>
          <w:tcPr>
            <w:tcW w:w="1238" w:type="dxa"/>
            <w:tcBorders>
              <w:top w:val="single" w:sz="4" w:space="0" w:color="auto"/>
              <w:left w:val="single" w:sz="4" w:space="0" w:color="auto"/>
              <w:bottom w:val="single" w:sz="4" w:space="0" w:color="auto"/>
              <w:right w:val="single" w:sz="4" w:space="0" w:color="auto"/>
            </w:tcBorders>
            <w:shd w:val="clear" w:color="auto" w:fill="C6EFCE"/>
            <w:noWrap/>
          </w:tcPr>
          <w:p w14:paraId="0F760486" w14:textId="77777777" w:rsidR="00515398" w:rsidRDefault="006711E6">
            <w:pPr>
              <w:pStyle w:val="P68B1DB1-Normal9"/>
              <w:spacing w:after="0" w:line="240" w:lineRule="auto"/>
              <w:rPr>
                <w:rFonts w:eastAsia="Times New Roman" w:cs="Calibri"/>
                <w:noProof/>
                <w:szCs w:val="18"/>
              </w:rPr>
            </w:pPr>
            <w:r>
              <w:rPr>
                <w:noProof/>
              </w:rPr>
              <w:t>363</w:t>
            </w:r>
          </w:p>
        </w:tc>
        <w:tc>
          <w:tcPr>
            <w:tcW w:w="1749" w:type="dxa"/>
            <w:tcBorders>
              <w:top w:val="single" w:sz="4" w:space="0" w:color="auto"/>
              <w:left w:val="nil"/>
              <w:bottom w:val="single" w:sz="4" w:space="0" w:color="auto"/>
              <w:right w:val="single" w:sz="4" w:space="0" w:color="auto"/>
            </w:tcBorders>
            <w:shd w:val="clear" w:color="auto" w:fill="C6EFCE"/>
            <w:noWrap/>
          </w:tcPr>
          <w:p w14:paraId="3D9841B3" w14:textId="77777777" w:rsidR="00515398" w:rsidRDefault="006711E6">
            <w:pPr>
              <w:pStyle w:val="P68B1DB1-Normal9"/>
              <w:spacing w:after="0" w:line="240" w:lineRule="auto"/>
              <w:rPr>
                <w:rFonts w:eastAsia="Times New Roman" w:cs="Calibri"/>
                <w:noProof/>
                <w:szCs w:val="18"/>
              </w:rPr>
            </w:pPr>
            <w:r>
              <w:rPr>
                <w:noProof/>
              </w:rPr>
              <w:t>20–5. Reformy REPowerEU – 16993_Plán inovativních intervencí v oblasti energetické účinnosti a určení nových finančních nástrojů</w:t>
            </w:r>
          </w:p>
        </w:tc>
        <w:tc>
          <w:tcPr>
            <w:tcW w:w="1094" w:type="dxa"/>
            <w:tcBorders>
              <w:top w:val="single" w:sz="4" w:space="0" w:color="auto"/>
              <w:left w:val="nil"/>
              <w:bottom w:val="single" w:sz="4" w:space="0" w:color="auto"/>
              <w:right w:val="single" w:sz="4" w:space="0" w:color="auto"/>
            </w:tcBorders>
            <w:shd w:val="clear" w:color="auto" w:fill="C6EFCE"/>
            <w:noWrap/>
          </w:tcPr>
          <w:p w14:paraId="151D52A3" w14:textId="77777777" w:rsidR="00515398" w:rsidRDefault="006711E6">
            <w:pPr>
              <w:pStyle w:val="P68B1DB1-Normal9"/>
              <w:spacing w:after="0" w:line="240" w:lineRule="auto"/>
              <w:rPr>
                <w:rFonts w:eastAsia="Times New Roman" w:cs="Calibri"/>
                <w:noProof/>
                <w:szCs w:val="18"/>
              </w:rPr>
            </w:pPr>
            <w:r>
              <w:rPr>
                <w:noProof/>
              </w:rPr>
              <w:t>Milník</w:t>
            </w:r>
          </w:p>
        </w:tc>
        <w:tc>
          <w:tcPr>
            <w:tcW w:w="1205" w:type="dxa"/>
            <w:tcBorders>
              <w:top w:val="single" w:sz="4" w:space="0" w:color="auto"/>
              <w:left w:val="nil"/>
              <w:bottom w:val="single" w:sz="4" w:space="0" w:color="auto"/>
              <w:right w:val="single" w:sz="4" w:space="0" w:color="auto"/>
            </w:tcBorders>
            <w:shd w:val="clear" w:color="auto" w:fill="C6EFCE"/>
            <w:noWrap/>
          </w:tcPr>
          <w:p w14:paraId="20F7EC31" w14:textId="77777777" w:rsidR="00515398" w:rsidRDefault="006711E6">
            <w:pPr>
              <w:pStyle w:val="P68B1DB1-Normal9"/>
              <w:spacing w:after="0" w:line="240" w:lineRule="auto"/>
              <w:rPr>
                <w:rFonts w:eastAsia="Times New Roman" w:cs="Calibri"/>
                <w:noProof/>
                <w:szCs w:val="18"/>
              </w:rPr>
            </w:pPr>
            <w:r>
              <w:rPr>
                <w:noProof/>
              </w:rPr>
              <w:t>Plán inovativních intervencí v oblasti energetické účinnosti a stanovený právní rámec</w:t>
            </w:r>
          </w:p>
        </w:tc>
        <w:tc>
          <w:tcPr>
            <w:tcW w:w="1553" w:type="dxa"/>
            <w:tcBorders>
              <w:top w:val="single" w:sz="4" w:space="0" w:color="auto"/>
              <w:left w:val="nil"/>
              <w:bottom w:val="single" w:sz="4" w:space="0" w:color="auto"/>
              <w:right w:val="single" w:sz="4" w:space="0" w:color="auto"/>
            </w:tcBorders>
            <w:shd w:val="clear" w:color="auto" w:fill="C6EFCE"/>
            <w:noWrap/>
          </w:tcPr>
          <w:p w14:paraId="622CD762" w14:textId="77777777" w:rsidR="00515398" w:rsidRDefault="006711E6">
            <w:pPr>
              <w:pStyle w:val="P68B1DB1-Normal9"/>
              <w:spacing w:after="0" w:line="240" w:lineRule="auto"/>
              <w:rPr>
                <w:rFonts w:eastAsia="Times New Roman" w:cs="Calibri"/>
                <w:noProof/>
                <w:szCs w:val="18"/>
              </w:rPr>
            </w:pPr>
            <w:r>
              <w:rPr>
                <w:noProof/>
              </w:rPr>
              <w:t>Vstup právních předpisů v platnost</w:t>
            </w:r>
          </w:p>
        </w:tc>
        <w:tc>
          <w:tcPr>
            <w:tcW w:w="1205" w:type="dxa"/>
            <w:tcBorders>
              <w:top w:val="single" w:sz="4" w:space="0" w:color="auto"/>
              <w:left w:val="nil"/>
              <w:bottom w:val="single" w:sz="4" w:space="0" w:color="auto"/>
              <w:right w:val="single" w:sz="4" w:space="0" w:color="auto"/>
            </w:tcBorders>
            <w:shd w:val="clear" w:color="auto" w:fill="C6EFCE"/>
            <w:noWrap/>
          </w:tcPr>
          <w:p w14:paraId="6D4FC4A8" w14:textId="77777777" w:rsidR="00515398" w:rsidRDefault="00515398">
            <w:pPr>
              <w:spacing w:after="0" w:line="240" w:lineRule="auto"/>
              <w:rPr>
                <w:rFonts w:eastAsia="Times New Roman" w:cs="Calibri"/>
                <w:noProof/>
                <w:color w:val="006100"/>
                <w:sz w:val="18"/>
                <w:szCs w:val="18"/>
              </w:rPr>
            </w:pPr>
          </w:p>
        </w:tc>
        <w:tc>
          <w:tcPr>
            <w:tcW w:w="927" w:type="dxa"/>
            <w:tcBorders>
              <w:top w:val="nil"/>
              <w:left w:val="nil"/>
              <w:bottom w:val="single" w:sz="4" w:space="0" w:color="auto"/>
              <w:right w:val="single" w:sz="4" w:space="0" w:color="auto"/>
            </w:tcBorders>
            <w:shd w:val="clear" w:color="auto" w:fill="C6EFCE"/>
            <w:noWrap/>
          </w:tcPr>
          <w:p w14:paraId="28385D1D" w14:textId="77777777" w:rsidR="00515398" w:rsidRDefault="00515398">
            <w:pPr>
              <w:spacing w:after="0" w:line="240" w:lineRule="auto"/>
              <w:rPr>
                <w:rFonts w:eastAsia="Times New Roman" w:cs="Calibri"/>
                <w:noProof/>
                <w:color w:val="006100"/>
                <w:sz w:val="18"/>
                <w:szCs w:val="18"/>
              </w:rPr>
            </w:pPr>
          </w:p>
        </w:tc>
        <w:tc>
          <w:tcPr>
            <w:tcW w:w="713" w:type="dxa"/>
            <w:tcBorders>
              <w:top w:val="nil"/>
              <w:left w:val="nil"/>
              <w:bottom w:val="single" w:sz="4" w:space="0" w:color="auto"/>
              <w:right w:val="single" w:sz="4" w:space="0" w:color="auto"/>
            </w:tcBorders>
            <w:shd w:val="clear" w:color="auto" w:fill="C6EFCE"/>
            <w:noWrap/>
          </w:tcPr>
          <w:p w14:paraId="1558F396" w14:textId="77777777" w:rsidR="00515398" w:rsidRDefault="00515398">
            <w:pPr>
              <w:spacing w:after="0" w:line="240" w:lineRule="auto"/>
              <w:rPr>
                <w:rFonts w:eastAsia="Times New Roman" w:cs="Calibri"/>
                <w:noProof/>
                <w:color w:val="006100"/>
                <w:sz w:val="18"/>
                <w:szCs w:val="18"/>
              </w:rPr>
            </w:pPr>
          </w:p>
        </w:tc>
        <w:tc>
          <w:tcPr>
            <w:tcW w:w="922" w:type="dxa"/>
            <w:tcBorders>
              <w:top w:val="nil"/>
              <w:left w:val="nil"/>
              <w:bottom w:val="single" w:sz="4" w:space="0" w:color="auto"/>
              <w:right w:val="single" w:sz="4" w:space="0" w:color="auto"/>
            </w:tcBorders>
            <w:shd w:val="clear" w:color="auto" w:fill="C6EFCE"/>
            <w:noWrap/>
          </w:tcPr>
          <w:p w14:paraId="10857100" w14:textId="77777777" w:rsidR="00515398" w:rsidRDefault="006711E6">
            <w:pPr>
              <w:pStyle w:val="P68B1DB1-Normal9"/>
              <w:spacing w:after="0" w:line="240" w:lineRule="auto"/>
              <w:rPr>
                <w:rFonts w:eastAsia="Times New Roman" w:cs="Calibri"/>
                <w:noProof/>
                <w:szCs w:val="18"/>
              </w:rPr>
            </w:pPr>
            <w:r>
              <w:rPr>
                <w:noProof/>
              </w:rPr>
              <w:t>ČTVRTLETÍ</w:t>
            </w:r>
          </w:p>
        </w:tc>
        <w:tc>
          <w:tcPr>
            <w:tcW w:w="720" w:type="dxa"/>
            <w:tcBorders>
              <w:top w:val="nil"/>
              <w:left w:val="nil"/>
              <w:bottom w:val="single" w:sz="4" w:space="0" w:color="auto"/>
              <w:right w:val="single" w:sz="4" w:space="0" w:color="auto"/>
            </w:tcBorders>
            <w:shd w:val="clear" w:color="auto" w:fill="C6EFCE"/>
            <w:noWrap/>
          </w:tcPr>
          <w:p w14:paraId="6A4CC69E" w14:textId="77777777" w:rsidR="00515398" w:rsidRDefault="006711E6">
            <w:pPr>
              <w:pStyle w:val="P68B1DB1-Normal9"/>
              <w:spacing w:after="0" w:line="240" w:lineRule="auto"/>
              <w:rPr>
                <w:rFonts w:eastAsia="Times New Roman" w:cs="Calibri"/>
                <w:noProof/>
                <w:szCs w:val="18"/>
              </w:rPr>
            </w:pPr>
            <w:r>
              <w:rPr>
                <w:noProof/>
              </w:rPr>
              <w:t>2024</w:t>
            </w:r>
          </w:p>
        </w:tc>
        <w:tc>
          <w:tcPr>
            <w:tcW w:w="3700" w:type="dxa"/>
            <w:tcBorders>
              <w:top w:val="single" w:sz="4" w:space="0" w:color="auto"/>
              <w:left w:val="nil"/>
              <w:bottom w:val="single" w:sz="4" w:space="0" w:color="auto"/>
              <w:right w:val="single" w:sz="4" w:space="0" w:color="auto"/>
            </w:tcBorders>
            <w:shd w:val="clear" w:color="auto" w:fill="C6EFCE"/>
            <w:noWrap/>
          </w:tcPr>
          <w:p w14:paraId="1E6C8F64" w14:textId="7169150D" w:rsidR="00515398" w:rsidRDefault="006711E6">
            <w:pPr>
              <w:pStyle w:val="P68B1DB1-Normal9"/>
              <w:spacing w:after="0" w:line="240" w:lineRule="auto"/>
              <w:rPr>
                <w:rFonts w:eastAsia="Times New Roman" w:cs="Calibri"/>
                <w:noProof/>
                <w:szCs w:val="18"/>
              </w:rPr>
            </w:pPr>
            <w:r>
              <w:rPr>
                <w:noProof/>
              </w:rPr>
              <w:t>Vstup v platnost ministerského rozhodnutí, kterým se přijímá plán, který stanoví inovativní intervence v oblas</w:t>
            </w:r>
            <w:r>
              <w:rPr>
                <w:noProof/>
              </w:rPr>
              <w:t xml:space="preserve">ti energetické účinnosti, včetně finančních nástrojů, které nejsou založeny na grantech. </w:t>
            </w:r>
          </w:p>
        </w:tc>
      </w:tr>
      <w:tr w:rsidR="00515398" w14:paraId="25AE2FD8" w14:textId="77777777">
        <w:tc>
          <w:tcPr>
            <w:tcW w:w="1238" w:type="dxa"/>
            <w:tcBorders>
              <w:top w:val="nil"/>
              <w:left w:val="single" w:sz="4" w:space="0" w:color="auto"/>
              <w:bottom w:val="single" w:sz="4" w:space="0" w:color="auto"/>
              <w:right w:val="single" w:sz="4" w:space="0" w:color="auto"/>
            </w:tcBorders>
            <w:shd w:val="clear" w:color="auto" w:fill="C6EFCE"/>
            <w:noWrap/>
          </w:tcPr>
          <w:p w14:paraId="4B0BFE9C" w14:textId="210C5C32" w:rsidR="00515398" w:rsidRDefault="006711E6">
            <w:pPr>
              <w:pStyle w:val="P68B1DB1-Normal9"/>
              <w:spacing w:after="0" w:line="240" w:lineRule="auto"/>
              <w:rPr>
                <w:rFonts w:eastAsia="Times New Roman" w:cs="Calibri"/>
                <w:noProof/>
                <w:szCs w:val="18"/>
              </w:rPr>
            </w:pPr>
            <w:r>
              <w:rPr>
                <w:noProof/>
              </w:rPr>
              <w:t>364</w:t>
            </w:r>
          </w:p>
        </w:tc>
        <w:tc>
          <w:tcPr>
            <w:tcW w:w="1749" w:type="dxa"/>
            <w:tcBorders>
              <w:top w:val="nil"/>
              <w:left w:val="nil"/>
              <w:bottom w:val="single" w:sz="4" w:space="0" w:color="auto"/>
              <w:right w:val="single" w:sz="4" w:space="0" w:color="auto"/>
            </w:tcBorders>
            <w:shd w:val="clear" w:color="auto" w:fill="C6EFCE"/>
            <w:noWrap/>
          </w:tcPr>
          <w:p w14:paraId="2633848F" w14:textId="77777777" w:rsidR="00515398" w:rsidRDefault="006711E6">
            <w:pPr>
              <w:pStyle w:val="P68B1DB1-Normal9"/>
              <w:spacing w:after="0" w:line="240" w:lineRule="auto"/>
              <w:rPr>
                <w:rFonts w:eastAsia="Times New Roman" w:cs="Calibri"/>
                <w:noProof/>
                <w:szCs w:val="18"/>
              </w:rPr>
            </w:pPr>
            <w:r>
              <w:rPr>
                <w:noProof/>
              </w:rPr>
              <w:t>20–5. Reformy REPowerEU – 16993_Plán inovativních intervencí v oblasti energetické účinnosti a určení nových finančních nástrojů</w:t>
            </w:r>
          </w:p>
        </w:tc>
        <w:tc>
          <w:tcPr>
            <w:tcW w:w="1094" w:type="dxa"/>
            <w:tcBorders>
              <w:top w:val="nil"/>
              <w:left w:val="nil"/>
              <w:bottom w:val="single" w:sz="4" w:space="0" w:color="auto"/>
              <w:right w:val="single" w:sz="4" w:space="0" w:color="auto"/>
            </w:tcBorders>
            <w:shd w:val="clear" w:color="auto" w:fill="C6EFCE"/>
            <w:noWrap/>
          </w:tcPr>
          <w:p w14:paraId="21712C48" w14:textId="77777777" w:rsidR="00515398" w:rsidRDefault="006711E6">
            <w:pPr>
              <w:pStyle w:val="P68B1DB1-Normal9"/>
              <w:spacing w:after="0" w:line="240" w:lineRule="auto"/>
              <w:rPr>
                <w:rFonts w:eastAsia="Times New Roman" w:cs="Calibri"/>
                <w:noProof/>
                <w:szCs w:val="18"/>
              </w:rPr>
            </w:pPr>
            <w:r>
              <w:rPr>
                <w:noProof/>
              </w:rPr>
              <w:t>Milník</w:t>
            </w:r>
          </w:p>
        </w:tc>
        <w:tc>
          <w:tcPr>
            <w:tcW w:w="1205" w:type="dxa"/>
            <w:tcBorders>
              <w:top w:val="nil"/>
              <w:left w:val="nil"/>
              <w:bottom w:val="single" w:sz="4" w:space="0" w:color="auto"/>
              <w:right w:val="single" w:sz="4" w:space="0" w:color="auto"/>
            </w:tcBorders>
            <w:shd w:val="clear" w:color="auto" w:fill="C6EFCE"/>
            <w:noWrap/>
          </w:tcPr>
          <w:p w14:paraId="0DBC80D4" w14:textId="77777777" w:rsidR="00515398" w:rsidRDefault="006711E6">
            <w:pPr>
              <w:pStyle w:val="P68B1DB1-Normal9"/>
              <w:spacing w:after="0" w:line="240" w:lineRule="auto"/>
              <w:rPr>
                <w:rFonts w:eastAsia="Times New Roman" w:cs="Calibri"/>
                <w:noProof/>
                <w:szCs w:val="18"/>
              </w:rPr>
            </w:pPr>
            <w:r>
              <w:rPr>
                <w:noProof/>
              </w:rPr>
              <w:t xml:space="preserve">Spuštění negrantového </w:t>
            </w:r>
            <w:r>
              <w:rPr>
                <w:noProof/>
              </w:rPr>
              <w:t>finančního nástroje</w:t>
            </w:r>
          </w:p>
        </w:tc>
        <w:tc>
          <w:tcPr>
            <w:tcW w:w="1553" w:type="dxa"/>
            <w:tcBorders>
              <w:top w:val="nil"/>
              <w:left w:val="nil"/>
              <w:bottom w:val="single" w:sz="4" w:space="0" w:color="auto"/>
              <w:right w:val="single" w:sz="4" w:space="0" w:color="auto"/>
            </w:tcBorders>
            <w:shd w:val="clear" w:color="auto" w:fill="C6EFCE"/>
            <w:noWrap/>
          </w:tcPr>
          <w:p w14:paraId="13A7011C" w14:textId="77777777" w:rsidR="00515398" w:rsidRDefault="006711E6">
            <w:pPr>
              <w:pStyle w:val="P68B1DB1-Normal9"/>
              <w:spacing w:after="0" w:line="240" w:lineRule="auto"/>
              <w:rPr>
                <w:rFonts w:eastAsia="Times New Roman" w:cs="Calibri"/>
                <w:noProof/>
                <w:szCs w:val="18"/>
              </w:rPr>
            </w:pPr>
            <w:r>
              <w:rPr>
                <w:noProof/>
              </w:rPr>
              <w:t>Vstup právních předpisů v platnost</w:t>
            </w:r>
          </w:p>
        </w:tc>
        <w:tc>
          <w:tcPr>
            <w:tcW w:w="1205" w:type="dxa"/>
            <w:tcBorders>
              <w:top w:val="nil"/>
              <w:left w:val="nil"/>
              <w:bottom w:val="single" w:sz="4" w:space="0" w:color="auto"/>
              <w:right w:val="single" w:sz="4" w:space="0" w:color="auto"/>
            </w:tcBorders>
            <w:shd w:val="clear" w:color="auto" w:fill="C6EFCE"/>
            <w:noWrap/>
          </w:tcPr>
          <w:p w14:paraId="08E25C94" w14:textId="77777777" w:rsidR="00515398" w:rsidRDefault="00515398">
            <w:pPr>
              <w:spacing w:after="0" w:line="240" w:lineRule="auto"/>
              <w:rPr>
                <w:rFonts w:eastAsia="Times New Roman" w:cs="Calibri"/>
                <w:noProof/>
                <w:color w:val="006100"/>
                <w:sz w:val="18"/>
                <w:szCs w:val="18"/>
              </w:rPr>
            </w:pPr>
          </w:p>
        </w:tc>
        <w:tc>
          <w:tcPr>
            <w:tcW w:w="927" w:type="dxa"/>
            <w:tcBorders>
              <w:top w:val="nil"/>
              <w:left w:val="nil"/>
              <w:bottom w:val="single" w:sz="4" w:space="0" w:color="auto"/>
              <w:right w:val="single" w:sz="4" w:space="0" w:color="auto"/>
            </w:tcBorders>
            <w:shd w:val="clear" w:color="auto" w:fill="C6EFCE"/>
            <w:noWrap/>
          </w:tcPr>
          <w:p w14:paraId="6F063F3A" w14:textId="77777777" w:rsidR="00515398" w:rsidRDefault="00515398">
            <w:pPr>
              <w:spacing w:after="0" w:line="240" w:lineRule="auto"/>
              <w:rPr>
                <w:rFonts w:eastAsia="Times New Roman" w:cs="Calibri"/>
                <w:noProof/>
                <w:color w:val="006100"/>
                <w:sz w:val="18"/>
                <w:szCs w:val="18"/>
              </w:rPr>
            </w:pPr>
          </w:p>
        </w:tc>
        <w:tc>
          <w:tcPr>
            <w:tcW w:w="713" w:type="dxa"/>
            <w:tcBorders>
              <w:top w:val="nil"/>
              <w:left w:val="nil"/>
              <w:bottom w:val="single" w:sz="4" w:space="0" w:color="auto"/>
              <w:right w:val="single" w:sz="4" w:space="0" w:color="auto"/>
            </w:tcBorders>
            <w:shd w:val="clear" w:color="auto" w:fill="C6EFCE"/>
            <w:noWrap/>
          </w:tcPr>
          <w:p w14:paraId="5DB48D61" w14:textId="77777777" w:rsidR="00515398" w:rsidRDefault="00515398">
            <w:pPr>
              <w:spacing w:after="0" w:line="240" w:lineRule="auto"/>
              <w:rPr>
                <w:rFonts w:eastAsia="Times New Roman" w:cs="Calibri"/>
                <w:noProof/>
                <w:color w:val="006100"/>
                <w:sz w:val="18"/>
                <w:szCs w:val="18"/>
              </w:rPr>
            </w:pPr>
          </w:p>
        </w:tc>
        <w:tc>
          <w:tcPr>
            <w:tcW w:w="922" w:type="dxa"/>
            <w:tcBorders>
              <w:top w:val="nil"/>
              <w:left w:val="nil"/>
              <w:bottom w:val="single" w:sz="4" w:space="0" w:color="auto"/>
              <w:right w:val="single" w:sz="4" w:space="0" w:color="auto"/>
            </w:tcBorders>
            <w:shd w:val="clear" w:color="auto" w:fill="C6EFCE"/>
            <w:noWrap/>
          </w:tcPr>
          <w:p w14:paraId="72A09F12" w14:textId="77777777" w:rsidR="00515398" w:rsidRDefault="006711E6">
            <w:pPr>
              <w:pStyle w:val="P68B1DB1-Normal9"/>
              <w:spacing w:after="0" w:line="240" w:lineRule="auto"/>
              <w:rPr>
                <w:rFonts w:eastAsia="Times New Roman" w:cs="Calibri"/>
                <w:noProof/>
                <w:szCs w:val="18"/>
              </w:rPr>
            </w:pPr>
            <w:r>
              <w:rPr>
                <w:noProof/>
              </w:rPr>
              <w:t>ČTVRTLETÍ</w:t>
            </w:r>
          </w:p>
        </w:tc>
        <w:tc>
          <w:tcPr>
            <w:tcW w:w="720" w:type="dxa"/>
            <w:tcBorders>
              <w:top w:val="nil"/>
              <w:left w:val="nil"/>
              <w:bottom w:val="single" w:sz="4" w:space="0" w:color="auto"/>
              <w:right w:val="single" w:sz="4" w:space="0" w:color="auto"/>
            </w:tcBorders>
            <w:shd w:val="clear" w:color="auto" w:fill="C6EFCE"/>
            <w:noWrap/>
          </w:tcPr>
          <w:p w14:paraId="170377C4" w14:textId="77777777" w:rsidR="00515398" w:rsidRDefault="006711E6">
            <w:pPr>
              <w:pStyle w:val="P68B1DB1-Normal9"/>
              <w:spacing w:after="0" w:line="240" w:lineRule="auto"/>
              <w:rPr>
                <w:rFonts w:eastAsia="Times New Roman" w:cs="Calibri"/>
                <w:noProof/>
                <w:szCs w:val="18"/>
              </w:rPr>
            </w:pPr>
            <w:r>
              <w:rPr>
                <w:noProof/>
              </w:rPr>
              <w:t>2025</w:t>
            </w:r>
          </w:p>
        </w:tc>
        <w:tc>
          <w:tcPr>
            <w:tcW w:w="3700" w:type="dxa"/>
            <w:tcBorders>
              <w:top w:val="nil"/>
              <w:left w:val="nil"/>
              <w:bottom w:val="single" w:sz="4" w:space="0" w:color="auto"/>
              <w:right w:val="single" w:sz="4" w:space="0" w:color="auto"/>
            </w:tcBorders>
            <w:shd w:val="clear" w:color="auto" w:fill="C6EFCE"/>
            <w:noWrap/>
          </w:tcPr>
          <w:p w14:paraId="7B16685A" w14:textId="77777777" w:rsidR="00515398" w:rsidRDefault="006711E6">
            <w:pPr>
              <w:spacing w:after="0" w:line="240" w:lineRule="auto"/>
              <w:rPr>
                <w:rFonts w:eastAsia="Times New Roman" w:cs="Calibri"/>
                <w:noProof/>
                <w:color w:val="006100"/>
                <w:sz w:val="18"/>
                <w:szCs w:val="18"/>
              </w:rPr>
            </w:pPr>
            <w:r>
              <w:rPr>
                <w:noProof/>
                <w:color w:val="006100"/>
                <w:sz w:val="18"/>
              </w:rPr>
              <w:t>Vstup v platnost sekundárních právních předpisů, které zavádějí finanční nástroj, který není založen na grantech, jak je stanoveno v plánu.</w:t>
            </w:r>
            <w:r>
              <w:rPr>
                <w:rStyle w:val="Heading1Char"/>
                <w:rFonts w:eastAsia="Calibri"/>
                <w:noProof/>
              </w:rPr>
              <w:t xml:space="preserve"> </w:t>
            </w:r>
          </w:p>
        </w:tc>
      </w:tr>
    </w:tbl>
    <w:p w14:paraId="332EAD41" w14:textId="77777777" w:rsidR="00515398" w:rsidRDefault="00515398">
      <w:pPr>
        <w:rPr>
          <w:rFonts w:ascii="Times New Roman" w:hAnsi="Times New Roman" w:cs="Times New Roman"/>
          <w:noProof/>
          <w:sz w:val="24"/>
        </w:rPr>
        <w:sectPr w:rsidR="00515398" w:rsidSect="00271D33">
          <w:headerReference w:type="even" r:id="rId351"/>
          <w:headerReference w:type="default" r:id="rId352"/>
          <w:footerReference w:type="even" r:id="rId353"/>
          <w:footerReference w:type="default" r:id="rId354"/>
          <w:headerReference w:type="first" r:id="rId355"/>
          <w:footerReference w:type="first" r:id="rId356"/>
          <w:pgSz w:w="16839" w:h="11907" w:orient="landscape"/>
          <w:pgMar w:top="1134" w:right="1134" w:bottom="1134" w:left="1134" w:header="567" w:footer="355" w:gutter="0"/>
          <w:cols w:space="720"/>
          <w:docGrid w:linePitch="360"/>
        </w:sectPr>
      </w:pPr>
    </w:p>
    <w:p w14:paraId="20B973C0" w14:textId="77777777" w:rsidR="00515398" w:rsidRDefault="006711E6">
      <w:pPr>
        <w:pStyle w:val="P68B1DB1-Normal2"/>
        <w:spacing w:before="120" w:after="120" w:line="240" w:lineRule="auto"/>
        <w:ind w:firstLine="6"/>
        <w:jc w:val="both"/>
        <w:outlineLvl w:val="3"/>
        <w:rPr>
          <w:rFonts w:cs="Times New Roman"/>
          <w:bCs/>
          <w:noProof/>
        </w:rPr>
      </w:pPr>
      <w:r>
        <w:rPr>
          <w:noProof/>
        </w:rPr>
        <w:t>U. SLOŽKA 5.2: Projekty REPowerEU</w:t>
      </w:r>
    </w:p>
    <w:p w14:paraId="059A5E20" w14:textId="77777777" w:rsidR="00515398" w:rsidRDefault="00515398">
      <w:pPr>
        <w:spacing w:before="120" w:after="120" w:line="240" w:lineRule="auto"/>
        <w:jc w:val="both"/>
        <w:rPr>
          <w:rFonts w:ascii="Times New Roman" w:hAnsi="Times New Roman" w:cs="Times New Roman"/>
          <w:b/>
          <w:bCs/>
          <w:noProof/>
          <w:sz w:val="24"/>
          <w:u w:val="single"/>
        </w:rPr>
      </w:pPr>
    </w:p>
    <w:p w14:paraId="0E19AF25" w14:textId="77777777" w:rsidR="00515398" w:rsidRDefault="006711E6">
      <w:pPr>
        <w:spacing w:before="120" w:after="120" w:line="240" w:lineRule="auto"/>
        <w:jc w:val="both"/>
        <w:rPr>
          <w:rFonts w:ascii="Times New Roman" w:hAnsi="Times New Roman" w:cs="Times New Roman"/>
          <w:b/>
          <w:bCs/>
          <w:i/>
          <w:iCs/>
          <w:noProof/>
          <w:color w:val="4F81BD"/>
          <w:sz w:val="24"/>
        </w:rPr>
      </w:pPr>
      <w:r>
        <w:rPr>
          <w:rFonts w:ascii="Times New Roman" w:hAnsi="Times New Roman"/>
          <w:b/>
          <w:noProof/>
          <w:sz w:val="24"/>
          <w:u w:val="single"/>
        </w:rPr>
        <w:t xml:space="preserve">U.1. </w:t>
      </w:r>
      <w:r>
        <w:rPr>
          <w:noProof/>
        </w:rPr>
        <w:t xml:space="preserve"> </w:t>
      </w:r>
      <w:r>
        <w:rPr>
          <w:rFonts w:ascii="Times New Roman" w:hAnsi="Times New Roman"/>
          <w:b/>
          <w:noProof/>
          <w:sz w:val="24"/>
          <w:u w:val="single"/>
        </w:rPr>
        <w:t>Popis reforem a investic pro nevratnou finanční podporu</w:t>
      </w:r>
    </w:p>
    <w:p w14:paraId="0A60D6CB" w14:textId="77777777" w:rsidR="00515398" w:rsidRDefault="006711E6">
      <w:pPr>
        <w:pStyle w:val="P68B1DB1-Normal4"/>
        <w:spacing w:before="120" w:after="120" w:line="240" w:lineRule="auto"/>
        <w:jc w:val="both"/>
        <w:rPr>
          <w:rFonts w:cs="Times New Roman"/>
          <w:noProof/>
          <w:szCs w:val="24"/>
        </w:rPr>
      </w:pPr>
      <w:r>
        <w:rPr>
          <w:noProof/>
        </w:rPr>
        <w:t>Kapitola REPowerEU obsahuje tři investiční opatření na podporu energetické účinnosti, zavádění nových obnovitelných zdrojů energie, u</w:t>
      </w:r>
      <w:r>
        <w:rPr>
          <w:noProof/>
        </w:rPr>
        <w:t>kládání energie a zachycování a ukládání uhlíku, včetně: 1) investice na podporu energetické účinnosti a obnovitelných zdrojů energie pro vlastní spotřebu, která sestává z pěti dílčích investic zahrnujících i) energetickou renovaci obytných budov poskytová</w:t>
      </w:r>
      <w:r>
        <w:rPr>
          <w:noProof/>
        </w:rPr>
        <w:t xml:space="preserve">ním dotací; II) energetická renovace nebytových veřejných a soukromých budov poskytováním dotací; III) instalace fotovoltaických systémů pro vlastní spotřebu v obytných budovách a v odvětví zemědělství poskytováním dotací; IV) podpora obnovitelných zdrojů </w:t>
      </w:r>
      <w:r>
        <w:rPr>
          <w:noProof/>
        </w:rPr>
        <w:t>energie v obytných budovách financováním instalace nových obnovitelných systémů pro výrobu teplé vody; a v) zlepšení energetické účinnosti obecních vodohospodářských a kanalizačních zařízení; 2) zvýšit instalaci systémů skladování energie pro další rozšíře</w:t>
      </w:r>
      <w:r>
        <w:rPr>
          <w:noProof/>
        </w:rPr>
        <w:t>ní obnovitelných zdrojů energie; a 3) pilotní projekty pro výrobu biometanu a vodíku z obnovitelných zdrojů a podporu technologií zachycování a ukládání uhlíku (CCS) v těžko dekarbonizovatelných odvětvích, jejichž cílem je podpořit dekarbonizaci průmyslu.</w:t>
      </w:r>
    </w:p>
    <w:p w14:paraId="2C09C048" w14:textId="77777777" w:rsidR="00515398" w:rsidRDefault="006711E6">
      <w:pPr>
        <w:pStyle w:val="P68B1DB1-Normal4"/>
        <w:spacing w:before="120" w:after="120" w:line="240" w:lineRule="auto"/>
        <w:jc w:val="both"/>
        <w:rPr>
          <w:rFonts w:cs="Times New Roman"/>
          <w:noProof/>
          <w:szCs w:val="24"/>
        </w:rPr>
      </w:pPr>
      <w:r>
        <w:rPr>
          <w:b/>
          <w:noProof/>
        </w:rPr>
        <w:t>Investice:</w:t>
      </w:r>
      <w:r>
        <w:rPr>
          <w:noProof/>
        </w:rPr>
        <w:t xml:space="preserve"> Instalace akumulace energie pro další pronikání energie z obnovitelných zdrojů (ID opatření: 16996)</w:t>
      </w:r>
    </w:p>
    <w:p w14:paraId="0D224A60" w14:textId="77777777" w:rsidR="00515398" w:rsidRDefault="006711E6">
      <w:pPr>
        <w:pStyle w:val="P68B1DB1-Normal4"/>
        <w:spacing w:before="120" w:after="120" w:line="240" w:lineRule="auto"/>
        <w:jc w:val="both"/>
        <w:rPr>
          <w:rFonts w:cs="Times New Roman"/>
          <w:noProof/>
          <w:szCs w:val="24"/>
        </w:rPr>
      </w:pPr>
      <w:r>
        <w:rPr>
          <w:noProof/>
        </w:rPr>
        <w:t>Cílem tohoto opatření je zvýšit investice: „Podpora instalace akumulačních systémů ke zlepšení pronikání energie z obnovitelných zdrojů“ (ID: 169</w:t>
      </w:r>
      <w:r>
        <w:rPr>
          <w:noProof/>
        </w:rPr>
        <w:t xml:space="preserve">26) v rámci složky 1.1 (Power up). Investice je posílením druhého podprogramu investice s číslem 16926 v rámci stávajícího plánu pro oživení a odolnost, který se týká rozvoje samostatných síťových skladovacích systémů a jehož cílem je umožnit další rozvoj </w:t>
      </w:r>
      <w:r>
        <w:rPr>
          <w:noProof/>
        </w:rPr>
        <w:t xml:space="preserve">této skladovací kapacity. Investice povede k instalaci dalších nových zařízení pro skladování energie o kapacitě nejméně 175 MW. </w:t>
      </w:r>
    </w:p>
    <w:p w14:paraId="778BEB89" w14:textId="77777777" w:rsidR="00515398" w:rsidRDefault="006711E6">
      <w:pPr>
        <w:pStyle w:val="P68B1DB1-Normal4"/>
        <w:spacing w:before="120" w:after="120" w:line="240" w:lineRule="auto"/>
        <w:jc w:val="both"/>
        <w:rPr>
          <w:rFonts w:cs="Times New Roman"/>
          <w:noProof/>
          <w:szCs w:val="24"/>
        </w:rPr>
      </w:pPr>
      <w:r>
        <w:rPr>
          <w:noProof/>
        </w:rPr>
        <w:t>Investice musí být provedena do 4. čtvrtletí 2025.</w:t>
      </w:r>
    </w:p>
    <w:p w14:paraId="6D32424F" w14:textId="77777777" w:rsidR="00515398" w:rsidRDefault="006711E6">
      <w:pPr>
        <w:pStyle w:val="P68B1DB1-Normal4"/>
        <w:spacing w:before="120" w:after="120" w:line="240" w:lineRule="auto"/>
        <w:jc w:val="both"/>
        <w:rPr>
          <w:rFonts w:cs="Times New Roman"/>
          <w:noProof/>
        </w:rPr>
      </w:pPr>
      <w:r>
        <w:rPr>
          <w:b/>
          <w:noProof/>
        </w:rPr>
        <w:t>Investice:</w:t>
      </w:r>
      <w:r>
        <w:rPr>
          <w:noProof/>
        </w:rPr>
        <w:t xml:space="preserve"> Energetická účinnost a podpora obnovitelných zdrojů energie pro </w:t>
      </w:r>
      <w:r>
        <w:rPr>
          <w:noProof/>
        </w:rPr>
        <w:t>vlastní spotřebu (ID opatření: 16994)</w:t>
      </w:r>
    </w:p>
    <w:p w14:paraId="3C26B28E" w14:textId="7239B983" w:rsidR="00515398" w:rsidRDefault="006711E6">
      <w:pPr>
        <w:pStyle w:val="P68B1DB1-Normal5"/>
        <w:spacing w:before="120" w:after="120" w:line="240" w:lineRule="auto"/>
        <w:jc w:val="both"/>
        <w:rPr>
          <w:rFonts w:cs="Times New Roman"/>
          <w:noProof/>
        </w:rPr>
      </w:pPr>
      <w:r>
        <w:rPr>
          <w:noProof/>
        </w:rPr>
        <w:t>Cílem této investice je zlepšit energetickou účinnost a zavádění energie z obnovitelných zdrojů ve více odvětvích s konečnou spotřebou energie. Cílem investice je podpořit zavádění energetické účinnosti a energie z obn</w:t>
      </w:r>
      <w:r>
        <w:rPr>
          <w:noProof/>
        </w:rPr>
        <w:t>ovitelných zdrojů v obytných a nebytových budovách, zemědělství a obecních vodohospodářských a kanalizačních službách a vést k úsporám primární energie, snížení emisí skleníkových plynů a k připojení nové energie z obnovitelných zdrojů k síti. Tato investi</w:t>
      </w:r>
      <w:r>
        <w:rPr>
          <w:noProof/>
        </w:rPr>
        <w:t>ce zahrnuje 6 dílčích investic:</w:t>
      </w:r>
    </w:p>
    <w:p w14:paraId="339CD41E" w14:textId="77777777" w:rsidR="00515398" w:rsidRDefault="006711E6">
      <w:pPr>
        <w:pStyle w:val="P68B1DB1-ListParagraph46"/>
        <w:numPr>
          <w:ilvl w:val="0"/>
          <w:numId w:val="71"/>
        </w:numPr>
        <w:spacing w:before="120" w:after="120" w:line="240" w:lineRule="auto"/>
        <w:ind w:left="1080"/>
        <w:jc w:val="both"/>
        <w:rPr>
          <w:rFonts w:cs="Times New Roman"/>
          <w:noProof/>
        </w:rPr>
      </w:pPr>
      <w:r>
        <w:rPr>
          <w:noProof/>
        </w:rPr>
        <w:t>Energetická renovace obytných budov</w:t>
      </w:r>
    </w:p>
    <w:p w14:paraId="22825745" w14:textId="77777777" w:rsidR="00515398" w:rsidRDefault="006711E6">
      <w:pPr>
        <w:pStyle w:val="P68B1DB1-Normal4"/>
        <w:spacing w:before="120" w:after="120" w:line="240" w:lineRule="auto"/>
        <w:ind w:left="720"/>
        <w:jc w:val="both"/>
        <w:rPr>
          <w:rFonts w:cs="Times New Roman"/>
          <w:noProof/>
        </w:rPr>
      </w:pPr>
      <w:r>
        <w:rPr>
          <w:noProof/>
        </w:rPr>
        <w:t>Investice zlepší energetickou účinnost obytných budov. Zahrnuje renovace, které přinášejí významné úspory primární energie, a přispívají tak k příslušným cílům vnitrostátního plánu v oblas</w:t>
      </w:r>
      <w:r>
        <w:rPr>
          <w:noProof/>
        </w:rPr>
        <w:t>ti energetiky a klimatu. Domácnosti trpící energetickou chudobou jsou podporovány formou zvýšeného procentního podílu grantů.</w:t>
      </w:r>
    </w:p>
    <w:p w14:paraId="7D5AB9C5" w14:textId="77777777" w:rsidR="00515398" w:rsidRDefault="006711E6">
      <w:pPr>
        <w:pStyle w:val="P68B1DB1-ListParagraph46"/>
        <w:numPr>
          <w:ilvl w:val="0"/>
          <w:numId w:val="71"/>
        </w:numPr>
        <w:spacing w:before="120" w:after="120" w:line="240" w:lineRule="auto"/>
        <w:ind w:left="1080"/>
        <w:jc w:val="both"/>
        <w:rPr>
          <w:rFonts w:cs="Times New Roman"/>
          <w:noProof/>
        </w:rPr>
      </w:pPr>
      <w:r>
        <w:rPr>
          <w:noProof/>
        </w:rPr>
        <w:t>Energetická účinnost budov veřejného sektoru a soukromého sektoru (nebytové budovy)</w:t>
      </w:r>
    </w:p>
    <w:p w14:paraId="1C95B441" w14:textId="2B8EBE24" w:rsidR="00515398" w:rsidRDefault="006711E6">
      <w:pPr>
        <w:pStyle w:val="P68B1DB1-Normal4"/>
        <w:spacing w:before="120" w:after="120" w:line="240" w:lineRule="auto"/>
        <w:ind w:left="720"/>
        <w:jc w:val="both"/>
        <w:rPr>
          <w:rFonts w:cs="Times New Roman"/>
          <w:noProof/>
          <w:szCs w:val="24"/>
        </w:rPr>
      </w:pPr>
      <w:r>
        <w:rPr>
          <w:noProof/>
        </w:rPr>
        <w:t>Tato investice se zaměřuje na zlepšení energet</w:t>
      </w:r>
      <w:r>
        <w:rPr>
          <w:noProof/>
        </w:rPr>
        <w:t>ické účinnosti budov dodávkami a instalací energeticky účinných zařízení a systémů pro úspory energie.</w:t>
      </w:r>
    </w:p>
    <w:p w14:paraId="3630D47E" w14:textId="77777777" w:rsidR="00515398" w:rsidRDefault="006711E6">
      <w:pPr>
        <w:pStyle w:val="P68B1DB1-ListParagraph46"/>
        <w:numPr>
          <w:ilvl w:val="0"/>
          <w:numId w:val="71"/>
        </w:numPr>
        <w:spacing w:before="120" w:after="120" w:line="240" w:lineRule="auto"/>
        <w:ind w:left="1080"/>
        <w:jc w:val="both"/>
        <w:rPr>
          <w:rFonts w:cs="Times New Roman"/>
          <w:noProof/>
        </w:rPr>
      </w:pPr>
      <w:r>
        <w:rPr>
          <w:noProof/>
        </w:rPr>
        <w:t>Fotovoltaické systémy pro vlastní spotřebu v obytných budovách a v odvětví zemědělství</w:t>
      </w:r>
    </w:p>
    <w:p w14:paraId="0A54A611" w14:textId="7490C6A2" w:rsidR="00515398" w:rsidRDefault="006711E6">
      <w:pPr>
        <w:pStyle w:val="P68B1DB1-Normal5"/>
        <w:spacing w:before="120" w:after="120" w:line="240" w:lineRule="auto"/>
        <w:ind w:left="720"/>
        <w:jc w:val="both"/>
        <w:rPr>
          <w:rFonts w:cs="Times New Roman"/>
          <w:noProof/>
        </w:rPr>
      </w:pPr>
      <w:r>
        <w:rPr>
          <w:noProof/>
        </w:rPr>
        <w:t xml:space="preserve">S cílem podpořit vlastní spotřebu vyrobené elektřiny </w:t>
      </w:r>
      <w:r>
        <w:rPr>
          <w:noProof/>
        </w:rPr>
        <w:t>prostřednictvím čistého měření a čistého vyúčtování podpoří tato investice instalaci fotovoltaických systémů v obytných budovách a zemědělských jednotkách. Tento režim musí být v souladu s článkem 15 směrnice EU 2019/944, který stanoví společná pravidla pr</w:t>
      </w:r>
      <w:r>
        <w:rPr>
          <w:noProof/>
        </w:rPr>
        <w:t>o vnitřní trh s elektřinou.</w:t>
      </w:r>
    </w:p>
    <w:p w14:paraId="6C7387CE" w14:textId="77777777" w:rsidR="00515398" w:rsidRDefault="006711E6">
      <w:pPr>
        <w:pStyle w:val="P68B1DB1-ListParagraph46"/>
        <w:numPr>
          <w:ilvl w:val="0"/>
          <w:numId w:val="71"/>
        </w:numPr>
        <w:spacing w:before="120" w:after="120" w:line="240" w:lineRule="auto"/>
        <w:ind w:left="1080"/>
        <w:jc w:val="both"/>
        <w:rPr>
          <w:rFonts w:cs="Times New Roman"/>
          <w:noProof/>
        </w:rPr>
      </w:pPr>
      <w:r>
        <w:rPr>
          <w:noProof/>
        </w:rPr>
        <w:t>Systémy ohřevu vody z obnovitelných zdrojů pro domácnosti</w:t>
      </w:r>
    </w:p>
    <w:p w14:paraId="272DDB6E" w14:textId="282CCEE8" w:rsidR="00515398" w:rsidRDefault="006711E6">
      <w:pPr>
        <w:pStyle w:val="P68B1DB1-Normal4"/>
        <w:spacing w:before="120" w:after="120" w:line="240" w:lineRule="auto"/>
        <w:ind w:left="720"/>
        <w:jc w:val="both"/>
        <w:rPr>
          <w:rFonts w:cs="Times New Roman"/>
          <w:noProof/>
        </w:rPr>
      </w:pPr>
      <w:r>
        <w:rPr>
          <w:noProof/>
        </w:rPr>
        <w:t>Investice podpoří zavádění obnovitelných zdrojů energie v obytných budovách financováním instalace nových systémů obnovitelných zdrojů energie. Investice poskytuje finanč</w:t>
      </w:r>
      <w:r>
        <w:rPr>
          <w:noProof/>
        </w:rPr>
        <w:t>ní pomoc domácnostem pro tyto účely:  instalace nových solárních ohřívačů vody, tepelných čerpadel a systémů OZE využívajících nové moderní technologie nebo nahrazení energeticky náročných elektrických ohřívačů vody pomocí starých technologií novými solárn</w:t>
      </w:r>
      <w:r>
        <w:rPr>
          <w:noProof/>
        </w:rPr>
        <w:t>ími ohřívači vody, tepelnými čerpadly a systémy OZE využívajícími nové moderní technologie. Staré spotřebiče, které jsou nahrazovány, musí být recyklovány v souladu s právními předpisy EU a vnitrostátními právními předpisy.</w:t>
      </w:r>
    </w:p>
    <w:p w14:paraId="2547CC86" w14:textId="77777777" w:rsidR="00515398" w:rsidRDefault="006711E6">
      <w:pPr>
        <w:pStyle w:val="P68B1DB1-ListParagraph46"/>
        <w:numPr>
          <w:ilvl w:val="0"/>
          <w:numId w:val="71"/>
        </w:numPr>
        <w:spacing w:before="120" w:after="120" w:line="240" w:lineRule="auto"/>
        <w:ind w:left="1080"/>
        <w:jc w:val="both"/>
        <w:rPr>
          <w:rFonts w:cs="Times New Roman"/>
          <w:noProof/>
        </w:rPr>
      </w:pPr>
      <w:r>
        <w:rPr>
          <w:noProof/>
        </w:rPr>
        <w:t xml:space="preserve">Podpora energetické účinnosti v </w:t>
      </w:r>
      <w:r>
        <w:rPr>
          <w:noProof/>
        </w:rPr>
        <w:t>městských vodohospodářských a kanalizačních společnostech</w:t>
      </w:r>
    </w:p>
    <w:p w14:paraId="4E7E080C" w14:textId="77777777" w:rsidR="00515398" w:rsidRDefault="006711E6">
      <w:pPr>
        <w:pStyle w:val="P68B1DB1-Normal4"/>
        <w:spacing w:before="120" w:after="120" w:line="240" w:lineRule="auto"/>
        <w:ind w:left="720"/>
        <w:jc w:val="both"/>
        <w:rPr>
          <w:rFonts w:cs="Times New Roman"/>
          <w:noProof/>
        </w:rPr>
      </w:pPr>
      <w:r>
        <w:rPr>
          <w:noProof/>
        </w:rPr>
        <w:t>Tato investice podpoří zlepšení energetické účinnosti komunálních vodohospodářských a kanalizačních společností prostřednictvím těchto opatření: i) snížit spotřebu energie čerpacích stanic a čerpací</w:t>
      </w:r>
      <w:r>
        <w:rPr>
          <w:noProof/>
        </w:rPr>
        <w:t>ch motorů; a ii) provádět studie pro optimální provádění opatření k dalšímu zlepšení energetické účinnosti těchto společností.</w:t>
      </w:r>
    </w:p>
    <w:p w14:paraId="54078641" w14:textId="77777777" w:rsidR="00515398" w:rsidRDefault="006711E6">
      <w:pPr>
        <w:pStyle w:val="P68B1DB1-ListParagraph46"/>
        <w:numPr>
          <w:ilvl w:val="0"/>
          <w:numId w:val="71"/>
        </w:numPr>
        <w:spacing w:before="120" w:after="120" w:line="240" w:lineRule="auto"/>
        <w:ind w:left="1080"/>
        <w:jc w:val="both"/>
        <w:rPr>
          <w:noProof/>
        </w:rPr>
      </w:pPr>
      <w:r>
        <w:rPr>
          <w:noProof/>
        </w:rPr>
        <w:t>Bateriové akumulační systémy pro podniky</w:t>
      </w:r>
    </w:p>
    <w:p w14:paraId="3FB659E8" w14:textId="5A0A4FA1" w:rsidR="00515398" w:rsidRDefault="006711E6">
      <w:pPr>
        <w:pStyle w:val="P68B1DB1-Normal4"/>
        <w:spacing w:before="120" w:after="120" w:line="240" w:lineRule="auto"/>
        <w:jc w:val="both"/>
        <w:rPr>
          <w:rFonts w:cs="Times New Roman"/>
          <w:noProof/>
        </w:rPr>
      </w:pPr>
      <w:r>
        <w:rPr>
          <w:noProof/>
        </w:rPr>
        <w:t>Tato investice podporuje instalaci bateriových akumulačních systémů, které jsou připojen</w:t>
      </w:r>
      <w:r>
        <w:rPr>
          <w:noProof/>
        </w:rPr>
        <w:t>y k zařízením na výrobu energie z obnovitelných zdrojů pro podniky. Provedení investice musí být dokončeno do 31. prosince 2025.</w:t>
      </w:r>
    </w:p>
    <w:p w14:paraId="1BDAA51B" w14:textId="6E960A92" w:rsidR="00515398" w:rsidRDefault="006711E6">
      <w:pPr>
        <w:pStyle w:val="P68B1DB1-Normal4"/>
        <w:spacing w:before="120" w:after="120" w:line="240" w:lineRule="auto"/>
        <w:jc w:val="both"/>
        <w:rPr>
          <w:rFonts w:cs="Times New Roman"/>
          <w:noProof/>
          <w:szCs w:val="24"/>
        </w:rPr>
      </w:pPr>
      <w:r>
        <w:rPr>
          <w:b/>
          <w:noProof/>
        </w:rPr>
        <w:t>Investice</w:t>
      </w:r>
      <w:r>
        <w:rPr>
          <w:noProof/>
        </w:rPr>
        <w:t>: Projekt výroby vodíku z obnovitelných zdrojů (ID opatření: 16995)</w:t>
      </w:r>
    </w:p>
    <w:p w14:paraId="2DFCBE39" w14:textId="0D20674C" w:rsidR="00515398" w:rsidRDefault="006711E6">
      <w:pPr>
        <w:pStyle w:val="P68B1DB1-Normal4"/>
        <w:spacing w:before="120" w:after="120" w:line="240" w:lineRule="auto"/>
        <w:jc w:val="both"/>
        <w:rPr>
          <w:rFonts w:cs="Times New Roman"/>
          <w:noProof/>
          <w:szCs w:val="24"/>
        </w:rPr>
      </w:pPr>
      <w:r>
        <w:rPr>
          <w:noProof/>
        </w:rPr>
        <w:t>Cílem této investice je podpořit vodík z obnovitel</w:t>
      </w:r>
      <w:r>
        <w:rPr>
          <w:noProof/>
        </w:rPr>
        <w:t xml:space="preserve">ných zdrojů v Řecku poskytováním finanční podpory společnostem. </w:t>
      </w:r>
    </w:p>
    <w:p w14:paraId="1200CADB" w14:textId="673D3009" w:rsidR="00515398" w:rsidRDefault="006711E6">
      <w:pPr>
        <w:pStyle w:val="P68B1DB1-Normal4"/>
        <w:spacing w:before="120" w:after="120" w:line="240" w:lineRule="auto"/>
        <w:jc w:val="both"/>
        <w:rPr>
          <w:rFonts w:cs="Times New Roman"/>
          <w:noProof/>
          <w:szCs w:val="24"/>
        </w:rPr>
      </w:pPr>
      <w:r>
        <w:rPr>
          <w:noProof/>
        </w:rPr>
        <w:t>Investice podpoří instalaci požadovaného zařízení pro výrobu vodíku z obnovitelných zdrojů, jako je instalace elektrolyzérů, nezbytných pomocných zařízení a elektrické rozvodny, instalace vod</w:t>
      </w:r>
      <w:r>
        <w:rPr>
          <w:noProof/>
        </w:rPr>
        <w:t xml:space="preserve">íkové sítě pro kompresi, klimatizaci, měření a čištění (čistotu), přenos a distribuce vodíku z elektrolyzéru do odběratelů, jakož i injektážní zařízení. </w:t>
      </w:r>
    </w:p>
    <w:p w14:paraId="4372FABE" w14:textId="1B6D9F7C" w:rsidR="00515398" w:rsidRDefault="006711E6">
      <w:pPr>
        <w:pStyle w:val="P68B1DB1-Normal5"/>
        <w:spacing w:before="120" w:after="120" w:line="240" w:lineRule="auto"/>
        <w:jc w:val="both"/>
        <w:rPr>
          <w:rFonts w:cs="Times New Roman"/>
          <w:noProof/>
        </w:rPr>
      </w:pPr>
      <w:r>
        <w:rPr>
          <w:noProof/>
        </w:rPr>
        <w:t>Pro výrobu vodíku z obnovitelných zdrojů se použije pouze elektrolýza. Výroba recyklovaných paliv s ob</w:t>
      </w:r>
      <w:r>
        <w:rPr>
          <w:noProof/>
        </w:rPr>
        <w:t xml:space="preserve">sahem uhlíku se v rámci této investice nepředpokládá. </w:t>
      </w:r>
    </w:p>
    <w:p w14:paraId="2D0A13EE" w14:textId="578C25AC" w:rsidR="00515398" w:rsidRDefault="006711E6">
      <w:pPr>
        <w:pStyle w:val="P68B1DB1-Normal4"/>
        <w:spacing w:before="120" w:after="120" w:line="240" w:lineRule="auto"/>
        <w:jc w:val="both"/>
        <w:rPr>
          <w:rFonts w:cs="Times New Roman"/>
          <w:noProof/>
          <w:szCs w:val="24"/>
        </w:rPr>
      </w:pPr>
      <w:r>
        <w:rPr>
          <w:noProof/>
        </w:rPr>
        <w:t>Výroba vodíku z obnovitelných zdrojů musí být v souladu se směrnicí o obnovitelných zdrojích energie a jejími akty v přenesené pravomoci (2018/2001/EU).</w:t>
      </w:r>
    </w:p>
    <w:p w14:paraId="76AB612E" w14:textId="77777777" w:rsidR="00515398" w:rsidRDefault="006711E6">
      <w:pPr>
        <w:pStyle w:val="P68B1DB1-Normal4"/>
        <w:spacing w:before="120" w:after="120" w:line="240" w:lineRule="auto"/>
        <w:rPr>
          <w:rFonts w:cs="Times New Roman"/>
          <w:noProof/>
          <w:szCs w:val="24"/>
        </w:rPr>
      </w:pPr>
      <w:r>
        <w:rPr>
          <w:noProof/>
        </w:rPr>
        <w:t>Investice musí být dokončena do 31. prosince 202</w:t>
      </w:r>
      <w:r>
        <w:rPr>
          <w:noProof/>
        </w:rPr>
        <w:t>5.</w:t>
      </w:r>
    </w:p>
    <w:p w14:paraId="0890D427" w14:textId="77777777" w:rsidR="00515398" w:rsidRDefault="00515398">
      <w:pPr>
        <w:rPr>
          <w:rFonts w:ascii="Cambria" w:eastAsia="Times New Roman" w:hAnsi="Cambria"/>
          <w:noProof/>
          <w:color w:val="365F91" w:themeColor="accent1" w:themeShade="BF"/>
          <w:sz w:val="24"/>
          <w:szCs w:val="24"/>
        </w:rPr>
        <w:sectPr w:rsidR="00515398" w:rsidSect="00271D33">
          <w:headerReference w:type="even" r:id="rId357"/>
          <w:headerReference w:type="default" r:id="rId358"/>
          <w:footerReference w:type="even" r:id="rId359"/>
          <w:footerReference w:type="default" r:id="rId360"/>
          <w:headerReference w:type="first" r:id="rId361"/>
          <w:footerReference w:type="first" r:id="rId362"/>
          <w:pgSz w:w="11907" w:h="16839"/>
          <w:pgMar w:top="1134" w:right="1134" w:bottom="1134" w:left="1134" w:header="567" w:footer="181" w:gutter="0"/>
          <w:cols w:space="720"/>
          <w:docGrid w:linePitch="360"/>
        </w:sectPr>
      </w:pPr>
    </w:p>
    <w:p w14:paraId="3727994F" w14:textId="77777777" w:rsidR="00515398" w:rsidRDefault="006711E6">
      <w:pPr>
        <w:keepNext/>
        <w:keepLines/>
        <w:spacing w:before="40" w:after="0" w:line="240" w:lineRule="auto"/>
        <w:jc w:val="both"/>
        <w:outlineLvl w:val="4"/>
        <w:rPr>
          <w:rFonts w:ascii="Cambria" w:eastAsia="Times New Roman" w:hAnsi="Cambria"/>
          <w:noProof/>
          <w:color w:val="365F91"/>
          <w:sz w:val="24"/>
          <w:szCs w:val="24"/>
        </w:rPr>
      </w:pPr>
      <w:r>
        <w:rPr>
          <w:rFonts w:ascii="Times New Roman" w:hAnsi="Times New Roman"/>
          <w:b/>
          <w:noProof/>
          <w:sz w:val="24"/>
          <w:u w:val="single"/>
        </w:rPr>
        <w:t xml:space="preserve">U.2. </w:t>
      </w:r>
      <w:r>
        <w:rPr>
          <w:noProof/>
        </w:rPr>
        <w:t xml:space="preserve"> </w:t>
      </w:r>
      <w:r>
        <w:rPr>
          <w:rFonts w:ascii="Times New Roman" w:hAnsi="Times New Roman"/>
          <w:b/>
          <w:noProof/>
          <w:sz w:val="24"/>
          <w:u w:val="single"/>
        </w:rPr>
        <w:t>Milníky, cíle, ukazatele a harmonogram monitorování a provádění nevratné finanční podpory</w:t>
      </w:r>
      <w:r>
        <w:rPr>
          <w:rFonts w:ascii="Cambria" w:hAnsi="Cambria"/>
          <w:noProof/>
          <w:color w:val="365F91" w:themeColor="accent1" w:themeShade="BF"/>
          <w:sz w:val="24"/>
        </w:rPr>
        <w:t xml:space="preserve"> </w:t>
      </w:r>
    </w:p>
    <w:p w14:paraId="05314DEF" w14:textId="77777777" w:rsidR="00515398" w:rsidRDefault="006711E6">
      <w:pPr>
        <w:pStyle w:val="P68B1DB1-Normal6"/>
        <w:keepNext/>
        <w:keepLines/>
        <w:spacing w:before="240" w:after="0" w:line="240" w:lineRule="auto"/>
        <w:jc w:val="both"/>
        <w:outlineLvl w:val="4"/>
        <w:rPr>
          <w:rFonts w:eastAsia="Times New Roman"/>
          <w:noProof/>
        </w:rPr>
      </w:pPr>
      <w:r>
        <w:rPr>
          <w:noProof/>
        </w:rPr>
        <w:t xml:space="preserve">Investice 1: Instalace akumulace energie pro další pronikání energie z obnovitelných zdrojů (ID </w:t>
      </w:r>
      <w:r>
        <w:rPr>
          <w:noProof/>
        </w:rPr>
        <w:t>opatření: 16996)</w:t>
      </w:r>
    </w:p>
    <w:p w14:paraId="4F878252" w14:textId="77777777" w:rsidR="00515398" w:rsidRDefault="00515398">
      <w:pPr>
        <w:rPr>
          <w:noProof/>
        </w:rPr>
      </w:pPr>
    </w:p>
    <w:tbl>
      <w:tblPr>
        <w:tblpPr w:leftFromText="181" w:rightFromText="181" w:vertAnchor="text" w:tblpY="1"/>
        <w:tblOverlap w:val="never"/>
        <w:tblW w:w="14454" w:type="dxa"/>
        <w:tblLayout w:type="fixed"/>
        <w:tblLook w:val="04A0" w:firstRow="1" w:lastRow="0" w:firstColumn="1" w:lastColumn="0" w:noHBand="0" w:noVBand="1"/>
      </w:tblPr>
      <w:tblGrid>
        <w:gridCol w:w="1075"/>
        <w:gridCol w:w="1956"/>
        <w:gridCol w:w="1005"/>
        <w:gridCol w:w="1076"/>
        <w:gridCol w:w="1646"/>
        <w:gridCol w:w="1022"/>
        <w:gridCol w:w="1022"/>
        <w:gridCol w:w="638"/>
        <w:gridCol w:w="1060"/>
        <w:gridCol w:w="877"/>
        <w:gridCol w:w="3077"/>
      </w:tblGrid>
      <w:tr w:rsidR="00515398" w14:paraId="66836DDD" w14:textId="77777777">
        <w:trPr>
          <w:trHeight w:val="1125"/>
          <w:tblHeader/>
        </w:trPr>
        <w:tc>
          <w:tcPr>
            <w:tcW w:w="10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9F5BFB" w14:textId="77777777" w:rsidR="00515398" w:rsidRDefault="006711E6">
            <w:pPr>
              <w:pStyle w:val="P68B1DB1-Normal7"/>
              <w:spacing w:before="120" w:after="120" w:line="240" w:lineRule="auto"/>
              <w:jc w:val="center"/>
              <w:rPr>
                <w:rFonts w:cs="Times New Roman"/>
                <w:noProof/>
                <w:sz w:val="24"/>
              </w:rPr>
            </w:pPr>
            <w:r>
              <w:rPr>
                <w:noProof/>
              </w:rPr>
              <w:t>Pořadové číslo</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987E02" w14:textId="77777777" w:rsidR="00515398" w:rsidRDefault="006711E6">
            <w:pPr>
              <w:pStyle w:val="P68B1DB1-Normal7"/>
              <w:spacing w:before="120" w:after="120" w:line="240" w:lineRule="auto"/>
              <w:jc w:val="center"/>
              <w:rPr>
                <w:rFonts w:cs="Times New Roman"/>
                <w:noProof/>
                <w:sz w:val="24"/>
              </w:rPr>
            </w:pPr>
            <w:r>
              <w:rPr>
                <w:noProof/>
              </w:rPr>
              <w:t>Související opatření (reforma nebo investice)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26D3B0" w14:textId="77777777" w:rsidR="00515398" w:rsidRDefault="006711E6">
            <w:pPr>
              <w:pStyle w:val="P68B1DB1-Normal7"/>
              <w:spacing w:before="120" w:after="120" w:line="240" w:lineRule="auto"/>
              <w:jc w:val="center"/>
              <w:rPr>
                <w:rFonts w:cs="Times New Roman"/>
                <w:noProof/>
                <w:sz w:val="24"/>
              </w:rPr>
            </w:pPr>
            <w:r>
              <w:rPr>
                <w:noProof/>
              </w:rPr>
              <w:t>Milník/cíl</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93F348" w14:textId="77777777" w:rsidR="00515398" w:rsidRDefault="006711E6">
            <w:pPr>
              <w:pStyle w:val="P68B1DB1-Normal7"/>
              <w:spacing w:before="120" w:after="120" w:line="240" w:lineRule="auto"/>
              <w:jc w:val="center"/>
              <w:rPr>
                <w:rFonts w:cs="Times New Roman"/>
                <w:noProof/>
                <w:sz w:val="24"/>
              </w:rPr>
            </w:pPr>
            <w:r>
              <w:rPr>
                <w:noProof/>
              </w:rPr>
              <w:t>Jméno</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7E9042C" w14:textId="77777777" w:rsidR="00515398" w:rsidRDefault="006711E6">
            <w:pPr>
              <w:pStyle w:val="P68B1DB1-Normal7"/>
              <w:spacing w:before="120" w:after="120" w:line="240" w:lineRule="auto"/>
              <w:jc w:val="center"/>
              <w:rPr>
                <w:rFonts w:cs="Times New Roman"/>
                <w:noProof/>
                <w:sz w:val="24"/>
                <w:szCs w:val="24"/>
              </w:rPr>
            </w:pPr>
            <w:r>
              <w:rPr>
                <w:noProof/>
              </w:rPr>
              <w:t>Kvalitativní ukazatele (pro milníky)</w:t>
            </w:r>
          </w:p>
        </w:tc>
        <w:tc>
          <w:tcPr>
            <w:tcW w:w="26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151DEDB" w14:textId="77777777" w:rsidR="00515398" w:rsidRDefault="006711E6">
            <w:pPr>
              <w:pStyle w:val="P68B1DB1-Normal7"/>
              <w:spacing w:before="120" w:after="120" w:line="240" w:lineRule="auto"/>
              <w:jc w:val="center"/>
              <w:rPr>
                <w:rFonts w:cs="Times New Roman"/>
                <w:noProof/>
                <w:sz w:val="24"/>
                <w:szCs w:val="24"/>
              </w:rPr>
            </w:pPr>
            <w:r>
              <w:rPr>
                <w:noProof/>
              </w:rPr>
              <w:t>Kvantitativní ukazatele (pro cíle)</w:t>
            </w:r>
          </w:p>
        </w:tc>
        <w:tc>
          <w:tcPr>
            <w:tcW w:w="1937" w:type="dxa"/>
            <w:gridSpan w:val="2"/>
            <w:tcBorders>
              <w:top w:val="single" w:sz="4" w:space="0" w:color="auto"/>
              <w:left w:val="nil"/>
              <w:bottom w:val="single" w:sz="4" w:space="0" w:color="auto"/>
              <w:right w:val="single" w:sz="4" w:space="0" w:color="auto"/>
            </w:tcBorders>
            <w:shd w:val="clear" w:color="auto" w:fill="BDD7EE"/>
            <w:vAlign w:val="center"/>
            <w:hideMark/>
          </w:tcPr>
          <w:p w14:paraId="2CDF4D5A" w14:textId="77777777" w:rsidR="00515398" w:rsidRDefault="006711E6">
            <w:pPr>
              <w:pStyle w:val="P68B1DB1-Normal7"/>
              <w:spacing w:before="120" w:after="120" w:line="240" w:lineRule="auto"/>
              <w:jc w:val="center"/>
              <w:rPr>
                <w:rFonts w:cs="Times New Roman"/>
                <w:noProof/>
                <w:sz w:val="24"/>
              </w:rPr>
            </w:pPr>
            <w:r>
              <w:rPr>
                <w:noProof/>
              </w:rPr>
              <w:t>Orientační harmonogram pro dokončení</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A74EB7" w14:textId="77777777" w:rsidR="00515398" w:rsidRDefault="006711E6">
            <w:pPr>
              <w:pStyle w:val="P68B1DB1-Normal7"/>
              <w:spacing w:before="120" w:after="120" w:line="240" w:lineRule="auto"/>
              <w:jc w:val="center"/>
              <w:rPr>
                <w:rFonts w:cs="Times New Roman"/>
                <w:noProof/>
                <w:sz w:val="24"/>
              </w:rPr>
            </w:pPr>
            <w:r>
              <w:rPr>
                <w:noProof/>
              </w:rPr>
              <w:t>Popis každého milníku a cíle</w:t>
            </w:r>
          </w:p>
        </w:tc>
      </w:tr>
      <w:tr w:rsidR="00515398" w14:paraId="31918F94" w14:textId="77777777">
        <w:trPr>
          <w:trHeight w:val="414"/>
          <w:tblHeader/>
        </w:trPr>
        <w:tc>
          <w:tcPr>
            <w:tcW w:w="1075" w:type="dxa"/>
            <w:vMerge/>
            <w:tcBorders>
              <w:top w:val="single" w:sz="4" w:space="0" w:color="auto"/>
              <w:left w:val="single" w:sz="4" w:space="0" w:color="auto"/>
              <w:bottom w:val="single" w:sz="4" w:space="0" w:color="auto"/>
              <w:right w:val="single" w:sz="4" w:space="0" w:color="auto"/>
            </w:tcBorders>
            <w:vAlign w:val="center"/>
          </w:tcPr>
          <w:p w14:paraId="5B1A97A4"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26385F0C"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5BA31B7C"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tcPr>
          <w:p w14:paraId="1B6252DE"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646" w:type="dxa"/>
            <w:vMerge/>
            <w:tcBorders>
              <w:top w:val="single" w:sz="4" w:space="0" w:color="auto"/>
              <w:left w:val="single" w:sz="4" w:space="0" w:color="auto"/>
              <w:bottom w:val="single" w:sz="4" w:space="0" w:color="auto"/>
              <w:right w:val="single" w:sz="4" w:space="0" w:color="auto"/>
            </w:tcBorders>
            <w:vAlign w:val="center"/>
          </w:tcPr>
          <w:p w14:paraId="2611DAED"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c>
          <w:tcPr>
            <w:tcW w:w="1022" w:type="dxa"/>
            <w:tcBorders>
              <w:top w:val="single" w:sz="4" w:space="0" w:color="auto"/>
              <w:left w:val="single" w:sz="4" w:space="0" w:color="auto"/>
              <w:bottom w:val="single" w:sz="4" w:space="0" w:color="auto"/>
              <w:right w:val="single" w:sz="4" w:space="0" w:color="auto"/>
            </w:tcBorders>
            <w:shd w:val="clear" w:color="auto" w:fill="BDD7EE"/>
            <w:vAlign w:val="center"/>
          </w:tcPr>
          <w:p w14:paraId="16088C7E" w14:textId="77777777" w:rsidR="00515398" w:rsidRDefault="006711E6">
            <w:pPr>
              <w:pStyle w:val="P68B1DB1-Normal7"/>
              <w:spacing w:before="120" w:after="120" w:line="240" w:lineRule="auto"/>
              <w:jc w:val="center"/>
              <w:rPr>
                <w:rFonts w:eastAsia="Times New Roman" w:cs="Times New Roman"/>
                <w:bCs/>
                <w:noProof/>
                <w:szCs w:val="18"/>
              </w:rPr>
            </w:pPr>
            <w:r>
              <w:rPr>
                <w:noProof/>
              </w:rPr>
              <w:t>Jednotka měření</w:t>
            </w:r>
          </w:p>
        </w:tc>
        <w:tc>
          <w:tcPr>
            <w:tcW w:w="1022" w:type="dxa"/>
            <w:tcBorders>
              <w:top w:val="single" w:sz="4" w:space="0" w:color="auto"/>
              <w:left w:val="nil"/>
              <w:bottom w:val="single" w:sz="4" w:space="0" w:color="auto"/>
              <w:right w:val="single" w:sz="4" w:space="0" w:color="auto"/>
            </w:tcBorders>
            <w:shd w:val="clear" w:color="auto" w:fill="BDD7EE"/>
            <w:vAlign w:val="center"/>
          </w:tcPr>
          <w:p w14:paraId="610281CE" w14:textId="77777777" w:rsidR="00515398" w:rsidRDefault="006711E6">
            <w:pPr>
              <w:pStyle w:val="P68B1DB1-Normal7"/>
              <w:spacing w:before="120" w:after="120" w:line="240" w:lineRule="auto"/>
              <w:jc w:val="center"/>
              <w:rPr>
                <w:rFonts w:eastAsia="Times New Roman" w:cs="Times New Roman"/>
                <w:bCs/>
                <w:noProof/>
                <w:szCs w:val="18"/>
              </w:rPr>
            </w:pPr>
            <w:r>
              <w:rPr>
                <w:noProof/>
              </w:rPr>
              <w:t>Výchozí stav</w:t>
            </w:r>
          </w:p>
        </w:tc>
        <w:tc>
          <w:tcPr>
            <w:tcW w:w="638" w:type="dxa"/>
            <w:tcBorders>
              <w:top w:val="single" w:sz="4" w:space="0" w:color="auto"/>
              <w:left w:val="nil"/>
              <w:bottom w:val="single" w:sz="4" w:space="0" w:color="auto"/>
              <w:right w:val="single" w:sz="4" w:space="0" w:color="auto"/>
            </w:tcBorders>
            <w:shd w:val="clear" w:color="auto" w:fill="BDD7EE"/>
            <w:vAlign w:val="center"/>
          </w:tcPr>
          <w:p w14:paraId="383AB957" w14:textId="77777777" w:rsidR="00515398" w:rsidRDefault="006711E6">
            <w:pPr>
              <w:pStyle w:val="P68B1DB1-Normal7"/>
              <w:spacing w:before="120" w:after="120" w:line="240" w:lineRule="auto"/>
              <w:jc w:val="center"/>
              <w:rPr>
                <w:rFonts w:eastAsia="Times New Roman" w:cs="Times New Roman"/>
                <w:bCs/>
                <w:noProof/>
                <w:szCs w:val="18"/>
              </w:rPr>
            </w:pPr>
            <w:r>
              <w:rPr>
                <w:noProof/>
              </w:rPr>
              <w:t>Cíl</w:t>
            </w:r>
          </w:p>
        </w:tc>
        <w:tc>
          <w:tcPr>
            <w:tcW w:w="1060" w:type="dxa"/>
            <w:tcBorders>
              <w:top w:val="single" w:sz="4" w:space="0" w:color="auto"/>
              <w:left w:val="nil"/>
              <w:bottom w:val="single" w:sz="4" w:space="0" w:color="auto"/>
              <w:right w:val="single" w:sz="4" w:space="0" w:color="auto"/>
            </w:tcBorders>
            <w:shd w:val="clear" w:color="auto" w:fill="BDD7EE"/>
            <w:vAlign w:val="center"/>
          </w:tcPr>
          <w:p w14:paraId="3FE521F6" w14:textId="77777777" w:rsidR="00515398" w:rsidRDefault="006711E6">
            <w:pPr>
              <w:pStyle w:val="P68B1DB1-Normal7"/>
              <w:spacing w:before="120" w:after="120" w:line="240" w:lineRule="auto"/>
              <w:jc w:val="center"/>
              <w:rPr>
                <w:rFonts w:eastAsia="Times New Roman" w:cs="Times New Roman"/>
                <w:bCs/>
                <w:noProof/>
                <w:szCs w:val="18"/>
              </w:rPr>
            </w:pPr>
            <w:r>
              <w:rPr>
                <w:noProof/>
              </w:rPr>
              <w:t>Čtvrtina</w:t>
            </w:r>
          </w:p>
        </w:tc>
        <w:tc>
          <w:tcPr>
            <w:tcW w:w="877" w:type="dxa"/>
            <w:tcBorders>
              <w:top w:val="single" w:sz="4" w:space="0" w:color="auto"/>
              <w:left w:val="nil"/>
              <w:bottom w:val="single" w:sz="4" w:space="0" w:color="auto"/>
              <w:right w:val="single" w:sz="4" w:space="0" w:color="auto"/>
            </w:tcBorders>
            <w:shd w:val="clear" w:color="auto" w:fill="BDD7EE"/>
            <w:vAlign w:val="center"/>
          </w:tcPr>
          <w:p w14:paraId="5454AEA9" w14:textId="77777777" w:rsidR="00515398" w:rsidRDefault="006711E6">
            <w:pPr>
              <w:pStyle w:val="P68B1DB1-Normal7"/>
              <w:spacing w:before="120" w:after="120" w:line="240" w:lineRule="auto"/>
              <w:jc w:val="center"/>
              <w:rPr>
                <w:rFonts w:eastAsia="Times New Roman" w:cs="Times New Roman"/>
                <w:bCs/>
                <w:noProof/>
                <w:szCs w:val="18"/>
              </w:rPr>
            </w:pPr>
            <w:r>
              <w:rPr>
                <w:noProof/>
              </w:rPr>
              <w:t>Rok</w:t>
            </w:r>
          </w:p>
        </w:tc>
        <w:tc>
          <w:tcPr>
            <w:tcW w:w="3077" w:type="dxa"/>
            <w:vMerge/>
            <w:tcBorders>
              <w:top w:val="single" w:sz="4" w:space="0" w:color="auto"/>
              <w:bottom w:val="single" w:sz="4" w:space="0" w:color="auto"/>
              <w:right w:val="single" w:sz="4" w:space="0" w:color="auto"/>
            </w:tcBorders>
            <w:vAlign w:val="center"/>
          </w:tcPr>
          <w:p w14:paraId="4FBD707F" w14:textId="77777777" w:rsidR="00515398" w:rsidRDefault="00515398">
            <w:pPr>
              <w:spacing w:before="120" w:after="120" w:line="240" w:lineRule="auto"/>
              <w:jc w:val="center"/>
              <w:rPr>
                <w:rFonts w:ascii="Times New Roman" w:eastAsia="Times New Roman" w:hAnsi="Times New Roman" w:cs="Times New Roman"/>
                <w:b/>
                <w:bCs/>
                <w:noProof/>
                <w:sz w:val="18"/>
                <w:szCs w:val="18"/>
              </w:rPr>
            </w:pPr>
          </w:p>
        </w:tc>
      </w:tr>
      <w:tr w:rsidR="00515398" w14:paraId="6FBE293D" w14:textId="77777777">
        <w:tc>
          <w:tcPr>
            <w:tcW w:w="1075" w:type="dxa"/>
            <w:tcBorders>
              <w:top w:val="single" w:sz="4" w:space="0" w:color="auto"/>
              <w:left w:val="single" w:sz="4" w:space="0" w:color="auto"/>
              <w:bottom w:val="single" w:sz="4" w:space="0" w:color="auto"/>
              <w:right w:val="single" w:sz="4" w:space="0" w:color="auto"/>
            </w:tcBorders>
            <w:shd w:val="clear" w:color="auto" w:fill="C6EFCE"/>
            <w:noWrap/>
          </w:tcPr>
          <w:p w14:paraId="383DF9A2" w14:textId="77777777" w:rsidR="00515398" w:rsidRDefault="006711E6">
            <w:pPr>
              <w:pStyle w:val="P68B1DB1-Normal9"/>
              <w:spacing w:after="0" w:line="240" w:lineRule="auto"/>
              <w:rPr>
                <w:rFonts w:asciiTheme="minorHAnsi" w:eastAsia="Times New Roman" w:hAnsiTheme="minorHAnsi" w:cstheme="minorHAnsi"/>
                <w:noProof/>
                <w:szCs w:val="18"/>
              </w:rPr>
            </w:pPr>
            <w:r>
              <w:rPr>
                <w:noProof/>
              </w:rPr>
              <w:t>365</w:t>
            </w:r>
          </w:p>
        </w:tc>
        <w:tc>
          <w:tcPr>
            <w:tcW w:w="1956" w:type="dxa"/>
            <w:tcBorders>
              <w:top w:val="single" w:sz="4" w:space="0" w:color="auto"/>
              <w:left w:val="nil"/>
              <w:bottom w:val="single" w:sz="4" w:space="0" w:color="auto"/>
              <w:right w:val="single" w:sz="4" w:space="0" w:color="auto"/>
            </w:tcBorders>
            <w:shd w:val="clear" w:color="auto" w:fill="C6EFCE"/>
            <w:noWrap/>
          </w:tcPr>
          <w:p w14:paraId="3C9E7FAA" w14:textId="6AB50B8E" w:rsidR="00515398" w:rsidRDefault="006711E6">
            <w:pPr>
              <w:pStyle w:val="P68B1DB1-Normal9"/>
              <w:spacing w:after="0" w:line="240" w:lineRule="auto"/>
              <w:rPr>
                <w:rFonts w:eastAsia="Times New Roman" w:cs="Calibri"/>
                <w:noProof/>
                <w:szCs w:val="18"/>
              </w:rPr>
            </w:pPr>
            <w:r>
              <w:rPr>
                <w:noProof/>
              </w:rPr>
              <w:t>21–5.2 Investice REPowerEU – 16996_Instalace skladování energie pro další rozšíření obnovitelných zdrojů energie</w:t>
            </w:r>
          </w:p>
        </w:tc>
        <w:tc>
          <w:tcPr>
            <w:tcW w:w="1005" w:type="dxa"/>
            <w:tcBorders>
              <w:top w:val="single" w:sz="4" w:space="0" w:color="auto"/>
              <w:left w:val="nil"/>
              <w:bottom w:val="single" w:sz="4" w:space="0" w:color="auto"/>
              <w:right w:val="single" w:sz="4" w:space="0" w:color="auto"/>
            </w:tcBorders>
            <w:shd w:val="clear" w:color="auto" w:fill="C6EFCE"/>
            <w:noWrap/>
          </w:tcPr>
          <w:p w14:paraId="27945EFF" w14:textId="77777777" w:rsidR="00515398" w:rsidRDefault="006711E6">
            <w:pPr>
              <w:pStyle w:val="P68B1DB1-Normal9"/>
              <w:spacing w:after="0" w:line="240" w:lineRule="auto"/>
              <w:rPr>
                <w:rFonts w:eastAsia="Times New Roman" w:cs="Calibri"/>
                <w:noProof/>
                <w:szCs w:val="18"/>
              </w:rPr>
            </w:pPr>
            <w:r>
              <w:rPr>
                <w:noProof/>
              </w:rPr>
              <w:t>Milník</w:t>
            </w:r>
          </w:p>
        </w:tc>
        <w:tc>
          <w:tcPr>
            <w:tcW w:w="1076" w:type="dxa"/>
            <w:tcBorders>
              <w:top w:val="single" w:sz="4" w:space="0" w:color="auto"/>
              <w:left w:val="nil"/>
              <w:bottom w:val="single" w:sz="4" w:space="0" w:color="auto"/>
              <w:right w:val="single" w:sz="4" w:space="0" w:color="auto"/>
            </w:tcBorders>
            <w:shd w:val="clear" w:color="auto" w:fill="C6EFCE"/>
            <w:noWrap/>
          </w:tcPr>
          <w:p w14:paraId="020D25FF" w14:textId="2F8AF1CD" w:rsidR="00515398" w:rsidRDefault="006711E6">
            <w:pPr>
              <w:pStyle w:val="P68B1DB1-Normal9"/>
              <w:spacing w:after="0" w:line="240" w:lineRule="auto"/>
              <w:rPr>
                <w:rFonts w:ascii="Times New Roman" w:eastAsia="Times New Roman" w:hAnsi="Times New Roman" w:cs="Times New Roman"/>
                <w:noProof/>
                <w:szCs w:val="18"/>
              </w:rPr>
            </w:pPr>
            <w:r>
              <w:rPr>
                <w:noProof/>
              </w:rPr>
              <w:t>Schválené projekty skladování energie</w:t>
            </w:r>
          </w:p>
        </w:tc>
        <w:tc>
          <w:tcPr>
            <w:tcW w:w="1646" w:type="dxa"/>
            <w:tcBorders>
              <w:top w:val="single" w:sz="4" w:space="0" w:color="auto"/>
              <w:left w:val="nil"/>
              <w:bottom w:val="single" w:sz="4" w:space="0" w:color="auto"/>
              <w:right w:val="single" w:sz="4" w:space="0" w:color="auto"/>
            </w:tcBorders>
            <w:shd w:val="clear" w:color="auto" w:fill="C6EFCE"/>
            <w:noWrap/>
          </w:tcPr>
          <w:p w14:paraId="4D775471" w14:textId="05E50A3A" w:rsidR="00515398" w:rsidRDefault="006711E6">
            <w:pPr>
              <w:pStyle w:val="P68B1DB1-Normal9"/>
              <w:spacing w:after="120" w:line="240" w:lineRule="auto"/>
              <w:rPr>
                <w:rFonts w:ascii="Times New Roman" w:eastAsia="Times New Roman" w:hAnsi="Times New Roman" w:cs="Times New Roman"/>
                <w:noProof/>
                <w:szCs w:val="18"/>
              </w:rPr>
            </w:pPr>
            <w:r>
              <w:rPr>
                <w:noProof/>
              </w:rPr>
              <w:t>Rozhodnutí o schválení</w:t>
            </w:r>
          </w:p>
        </w:tc>
        <w:tc>
          <w:tcPr>
            <w:tcW w:w="1022" w:type="dxa"/>
            <w:tcBorders>
              <w:top w:val="nil"/>
              <w:left w:val="nil"/>
              <w:bottom w:val="single" w:sz="4" w:space="0" w:color="auto"/>
              <w:right w:val="single" w:sz="4" w:space="0" w:color="auto"/>
            </w:tcBorders>
            <w:shd w:val="clear" w:color="auto" w:fill="C6EFCE"/>
            <w:noWrap/>
          </w:tcPr>
          <w:p w14:paraId="75EF64B7" w14:textId="77777777" w:rsidR="00515398" w:rsidRDefault="00515398">
            <w:pPr>
              <w:spacing w:after="0" w:line="240" w:lineRule="auto"/>
              <w:rPr>
                <w:rFonts w:ascii="Times New Roman" w:eastAsia="Times New Roman" w:hAnsi="Times New Roman" w:cs="Times New Roman"/>
                <w:noProof/>
                <w:sz w:val="18"/>
                <w:szCs w:val="18"/>
              </w:rPr>
            </w:pPr>
          </w:p>
        </w:tc>
        <w:tc>
          <w:tcPr>
            <w:tcW w:w="1022" w:type="dxa"/>
            <w:tcBorders>
              <w:top w:val="nil"/>
              <w:left w:val="nil"/>
              <w:bottom w:val="single" w:sz="4" w:space="0" w:color="auto"/>
              <w:right w:val="single" w:sz="4" w:space="0" w:color="auto"/>
            </w:tcBorders>
            <w:shd w:val="clear" w:color="auto" w:fill="C6EFCE"/>
            <w:noWrap/>
          </w:tcPr>
          <w:p w14:paraId="7BF7C660" w14:textId="77777777" w:rsidR="00515398" w:rsidRDefault="00515398">
            <w:pPr>
              <w:spacing w:after="0" w:line="240" w:lineRule="auto"/>
              <w:rPr>
                <w:rFonts w:ascii="Times New Roman" w:eastAsia="Times New Roman" w:hAnsi="Times New Roman" w:cs="Times New Roman"/>
                <w:noProof/>
                <w:sz w:val="18"/>
                <w:szCs w:val="18"/>
              </w:rPr>
            </w:pPr>
          </w:p>
        </w:tc>
        <w:tc>
          <w:tcPr>
            <w:tcW w:w="638" w:type="dxa"/>
            <w:tcBorders>
              <w:top w:val="nil"/>
              <w:left w:val="nil"/>
              <w:bottom w:val="single" w:sz="4" w:space="0" w:color="auto"/>
              <w:right w:val="single" w:sz="4" w:space="0" w:color="auto"/>
            </w:tcBorders>
            <w:shd w:val="clear" w:color="auto" w:fill="C6EFCE"/>
            <w:noWrap/>
          </w:tcPr>
          <w:p w14:paraId="6B82417D" w14:textId="77777777" w:rsidR="00515398" w:rsidRDefault="00515398">
            <w:pPr>
              <w:spacing w:after="0" w:line="240" w:lineRule="auto"/>
              <w:rPr>
                <w:rFonts w:ascii="Times New Roman" w:eastAsia="Times New Roman" w:hAnsi="Times New Roman" w:cs="Times New Roman"/>
                <w:noProof/>
                <w:sz w:val="18"/>
                <w:szCs w:val="18"/>
              </w:rPr>
            </w:pPr>
          </w:p>
        </w:tc>
        <w:tc>
          <w:tcPr>
            <w:tcW w:w="1060" w:type="dxa"/>
            <w:tcBorders>
              <w:top w:val="nil"/>
              <w:left w:val="nil"/>
              <w:bottom w:val="single" w:sz="4" w:space="0" w:color="auto"/>
              <w:right w:val="single" w:sz="4" w:space="0" w:color="auto"/>
            </w:tcBorders>
            <w:shd w:val="clear" w:color="auto" w:fill="C6EFCE"/>
            <w:noWrap/>
          </w:tcPr>
          <w:p w14:paraId="7F1758E9" w14:textId="77777777" w:rsidR="00515398" w:rsidRDefault="006711E6">
            <w:pPr>
              <w:pStyle w:val="P68B1DB1-Normal9"/>
              <w:spacing w:after="120" w:line="240" w:lineRule="auto"/>
              <w:rPr>
                <w:rFonts w:eastAsia="Times New Roman"/>
                <w:noProof/>
                <w:szCs w:val="18"/>
              </w:rPr>
            </w:pPr>
            <w:r>
              <w:rPr>
                <w:noProof/>
              </w:rPr>
              <w:t>ČTVRTLETÍ</w:t>
            </w:r>
          </w:p>
        </w:tc>
        <w:tc>
          <w:tcPr>
            <w:tcW w:w="877" w:type="dxa"/>
            <w:tcBorders>
              <w:top w:val="nil"/>
              <w:left w:val="nil"/>
              <w:bottom w:val="single" w:sz="4" w:space="0" w:color="auto"/>
              <w:right w:val="single" w:sz="4" w:space="0" w:color="auto"/>
            </w:tcBorders>
            <w:shd w:val="clear" w:color="auto" w:fill="C6EFCE"/>
            <w:noWrap/>
          </w:tcPr>
          <w:p w14:paraId="3DBAD044" w14:textId="77777777" w:rsidR="00515398" w:rsidRDefault="006711E6">
            <w:pPr>
              <w:pStyle w:val="P68B1DB1-Normal9"/>
              <w:spacing w:after="120" w:line="240" w:lineRule="auto"/>
              <w:rPr>
                <w:rFonts w:eastAsia="Times New Roman"/>
                <w:noProof/>
                <w:szCs w:val="18"/>
              </w:rPr>
            </w:pPr>
            <w:r>
              <w:rPr>
                <w:noProof/>
              </w:rPr>
              <w:t>2024</w:t>
            </w:r>
          </w:p>
        </w:tc>
        <w:tc>
          <w:tcPr>
            <w:tcW w:w="3077" w:type="dxa"/>
            <w:tcBorders>
              <w:top w:val="single" w:sz="4" w:space="0" w:color="auto"/>
              <w:left w:val="nil"/>
              <w:bottom w:val="single" w:sz="4" w:space="0" w:color="auto"/>
              <w:right w:val="single" w:sz="4" w:space="0" w:color="auto"/>
            </w:tcBorders>
            <w:shd w:val="clear" w:color="auto" w:fill="C6EFCE"/>
            <w:noWrap/>
          </w:tcPr>
          <w:p w14:paraId="42D490A7" w14:textId="29830764" w:rsidR="00515398" w:rsidRDefault="006711E6">
            <w:pPr>
              <w:pStyle w:val="P68B1DB1-Normal9"/>
              <w:spacing w:after="0" w:line="240" w:lineRule="auto"/>
              <w:rPr>
                <w:rFonts w:ascii="Times New Roman" w:eastAsia="Times New Roman" w:hAnsi="Times New Roman" w:cs="Times New Roman"/>
                <w:noProof/>
                <w:szCs w:val="18"/>
              </w:rPr>
            </w:pPr>
            <w:r>
              <w:rPr>
                <w:noProof/>
              </w:rPr>
              <w:t xml:space="preserve">Zveřejnění rozhodnutí o schválení ze strany RAAWW pro projekty o celkové instalované kapacitě skladování elektřiny 175 MW. </w:t>
            </w:r>
          </w:p>
        </w:tc>
      </w:tr>
      <w:tr w:rsidR="00515398" w14:paraId="436F2BD7" w14:textId="77777777">
        <w:tc>
          <w:tcPr>
            <w:tcW w:w="1075" w:type="dxa"/>
            <w:tcBorders>
              <w:top w:val="nil"/>
              <w:left w:val="single" w:sz="4" w:space="0" w:color="auto"/>
              <w:bottom w:val="single" w:sz="4" w:space="0" w:color="auto"/>
              <w:right w:val="single" w:sz="4" w:space="0" w:color="auto"/>
            </w:tcBorders>
            <w:shd w:val="clear" w:color="auto" w:fill="C6EFCE"/>
            <w:noWrap/>
          </w:tcPr>
          <w:p w14:paraId="6D40E971" w14:textId="77777777" w:rsidR="00515398" w:rsidRDefault="006711E6">
            <w:pPr>
              <w:pStyle w:val="P68B1DB1-Normal9"/>
              <w:spacing w:after="0" w:line="240" w:lineRule="auto"/>
              <w:rPr>
                <w:rFonts w:eastAsia="Times New Roman" w:cs="Calibri"/>
                <w:noProof/>
                <w:szCs w:val="18"/>
              </w:rPr>
            </w:pPr>
            <w:r>
              <w:rPr>
                <w:noProof/>
              </w:rPr>
              <w:t>366</w:t>
            </w:r>
          </w:p>
        </w:tc>
        <w:tc>
          <w:tcPr>
            <w:tcW w:w="1956" w:type="dxa"/>
            <w:tcBorders>
              <w:top w:val="nil"/>
              <w:left w:val="nil"/>
              <w:bottom w:val="single" w:sz="4" w:space="0" w:color="auto"/>
              <w:right w:val="single" w:sz="4" w:space="0" w:color="auto"/>
            </w:tcBorders>
            <w:shd w:val="clear" w:color="auto" w:fill="C6EFCE"/>
            <w:noWrap/>
          </w:tcPr>
          <w:p w14:paraId="6E487D9F" w14:textId="22BF49F1" w:rsidR="00515398" w:rsidRDefault="006711E6">
            <w:pPr>
              <w:pStyle w:val="P68B1DB1-Normal9"/>
              <w:spacing w:after="0" w:line="240" w:lineRule="auto"/>
              <w:rPr>
                <w:rFonts w:ascii="Times New Roman" w:hAnsi="Times New Roman" w:cs="Times New Roman"/>
                <w:noProof/>
                <w:sz w:val="24"/>
                <w:szCs w:val="24"/>
              </w:rPr>
            </w:pPr>
            <w:r>
              <w:rPr>
                <w:noProof/>
              </w:rPr>
              <w:t>21–5.2 Investice REPowerEU – 16996_Instalace skladování energie pro další rozšíření obnovitelných zdrojů energie</w:t>
            </w:r>
          </w:p>
        </w:tc>
        <w:tc>
          <w:tcPr>
            <w:tcW w:w="1005" w:type="dxa"/>
            <w:tcBorders>
              <w:top w:val="nil"/>
              <w:left w:val="nil"/>
              <w:bottom w:val="single" w:sz="4" w:space="0" w:color="auto"/>
              <w:right w:val="single" w:sz="4" w:space="0" w:color="auto"/>
            </w:tcBorders>
            <w:shd w:val="clear" w:color="auto" w:fill="C6EFCE"/>
            <w:noWrap/>
          </w:tcPr>
          <w:p w14:paraId="6E083A6A" w14:textId="77777777" w:rsidR="00515398" w:rsidRDefault="006711E6">
            <w:pPr>
              <w:pStyle w:val="P68B1DB1-Normal9"/>
              <w:spacing w:after="120" w:line="240" w:lineRule="auto"/>
              <w:rPr>
                <w:rFonts w:ascii="Times New Roman" w:hAnsi="Times New Roman" w:cs="Times New Roman"/>
                <w:noProof/>
                <w:sz w:val="24"/>
              </w:rPr>
            </w:pPr>
            <w:r>
              <w:rPr>
                <w:noProof/>
              </w:rPr>
              <w:t>Milník</w:t>
            </w:r>
          </w:p>
        </w:tc>
        <w:tc>
          <w:tcPr>
            <w:tcW w:w="1076" w:type="dxa"/>
            <w:tcBorders>
              <w:top w:val="nil"/>
              <w:left w:val="nil"/>
              <w:bottom w:val="single" w:sz="4" w:space="0" w:color="auto"/>
              <w:right w:val="single" w:sz="4" w:space="0" w:color="auto"/>
            </w:tcBorders>
            <w:shd w:val="clear" w:color="auto" w:fill="C6EFCE"/>
            <w:noWrap/>
          </w:tcPr>
          <w:p w14:paraId="4CB5E5E0" w14:textId="69CC7037" w:rsidR="00515398" w:rsidRDefault="006711E6">
            <w:pPr>
              <w:pStyle w:val="P68B1DB1-Normal9"/>
              <w:spacing w:after="0" w:line="240" w:lineRule="auto"/>
              <w:rPr>
                <w:rFonts w:eastAsia="Times New Roman"/>
                <w:noProof/>
                <w:szCs w:val="18"/>
              </w:rPr>
            </w:pPr>
            <w:r>
              <w:rPr>
                <w:noProof/>
              </w:rPr>
              <w:t>Dokončení instalace skladovacích zařízení</w:t>
            </w:r>
          </w:p>
        </w:tc>
        <w:tc>
          <w:tcPr>
            <w:tcW w:w="1646" w:type="dxa"/>
            <w:tcBorders>
              <w:top w:val="nil"/>
              <w:left w:val="nil"/>
              <w:bottom w:val="single" w:sz="4" w:space="0" w:color="auto"/>
              <w:right w:val="single" w:sz="4" w:space="0" w:color="auto"/>
            </w:tcBorders>
            <w:shd w:val="clear" w:color="auto" w:fill="C6EFCE"/>
            <w:noWrap/>
          </w:tcPr>
          <w:p w14:paraId="79409578" w14:textId="431418CD" w:rsidR="00515398" w:rsidRDefault="006711E6">
            <w:pPr>
              <w:pStyle w:val="P68B1DB1-Normal9"/>
              <w:spacing w:after="120" w:line="240" w:lineRule="auto"/>
              <w:rPr>
                <w:rFonts w:ascii="Times New Roman" w:hAnsi="Times New Roman" w:cs="Times New Roman"/>
                <w:noProof/>
                <w:sz w:val="24"/>
              </w:rPr>
            </w:pPr>
            <w:r>
              <w:rPr>
                <w:noProof/>
              </w:rPr>
              <w:t xml:space="preserve"> </w:t>
            </w:r>
            <w:r>
              <w:rPr>
                <w:noProof/>
                <w:szCs w:val="18"/>
              </w:rPr>
              <w:t>I</w:t>
            </w:r>
            <w:r>
              <w:rPr>
                <w:noProof/>
              </w:rPr>
              <w:t>instalace „samostatných“ projektů skladování energie.</w:t>
            </w:r>
          </w:p>
        </w:tc>
        <w:tc>
          <w:tcPr>
            <w:tcW w:w="1022" w:type="dxa"/>
            <w:tcBorders>
              <w:top w:val="nil"/>
              <w:left w:val="nil"/>
              <w:bottom w:val="single" w:sz="4" w:space="0" w:color="auto"/>
              <w:right w:val="single" w:sz="4" w:space="0" w:color="auto"/>
            </w:tcBorders>
            <w:shd w:val="clear" w:color="auto" w:fill="C6EFCE"/>
            <w:noWrap/>
          </w:tcPr>
          <w:p w14:paraId="3DB3074B" w14:textId="77777777" w:rsidR="00515398" w:rsidRDefault="00515398">
            <w:pPr>
              <w:spacing w:after="0" w:line="240" w:lineRule="auto"/>
              <w:rPr>
                <w:rFonts w:eastAsia="Times New Roman" w:cs="Calibri"/>
                <w:noProof/>
                <w:color w:val="006100"/>
                <w:sz w:val="18"/>
                <w:szCs w:val="18"/>
              </w:rPr>
            </w:pPr>
          </w:p>
        </w:tc>
        <w:tc>
          <w:tcPr>
            <w:tcW w:w="1022" w:type="dxa"/>
            <w:tcBorders>
              <w:top w:val="nil"/>
              <w:left w:val="nil"/>
              <w:bottom w:val="single" w:sz="4" w:space="0" w:color="auto"/>
              <w:right w:val="single" w:sz="4" w:space="0" w:color="auto"/>
            </w:tcBorders>
            <w:shd w:val="clear" w:color="auto" w:fill="C6EFCE"/>
            <w:noWrap/>
          </w:tcPr>
          <w:p w14:paraId="182B94E7" w14:textId="77777777" w:rsidR="00515398" w:rsidRDefault="00515398">
            <w:pPr>
              <w:spacing w:after="0" w:line="240" w:lineRule="auto"/>
              <w:rPr>
                <w:rFonts w:eastAsia="Times New Roman" w:cs="Calibri"/>
                <w:noProof/>
                <w:color w:val="006100"/>
                <w:sz w:val="18"/>
                <w:szCs w:val="18"/>
              </w:rPr>
            </w:pPr>
          </w:p>
        </w:tc>
        <w:tc>
          <w:tcPr>
            <w:tcW w:w="638" w:type="dxa"/>
            <w:tcBorders>
              <w:top w:val="nil"/>
              <w:left w:val="nil"/>
              <w:bottom w:val="single" w:sz="4" w:space="0" w:color="auto"/>
              <w:right w:val="single" w:sz="4" w:space="0" w:color="auto"/>
            </w:tcBorders>
            <w:shd w:val="clear" w:color="auto" w:fill="C6EFCE"/>
            <w:noWrap/>
          </w:tcPr>
          <w:p w14:paraId="5AFC0E6D" w14:textId="77777777" w:rsidR="00515398" w:rsidRDefault="00515398">
            <w:pPr>
              <w:spacing w:after="0" w:line="240" w:lineRule="auto"/>
              <w:rPr>
                <w:rFonts w:eastAsia="Times New Roman" w:cs="Calibri"/>
                <w:noProof/>
                <w:color w:val="006100"/>
                <w:sz w:val="18"/>
                <w:szCs w:val="18"/>
              </w:rPr>
            </w:pPr>
          </w:p>
        </w:tc>
        <w:tc>
          <w:tcPr>
            <w:tcW w:w="1060" w:type="dxa"/>
            <w:tcBorders>
              <w:top w:val="nil"/>
              <w:left w:val="nil"/>
              <w:bottom w:val="single" w:sz="4" w:space="0" w:color="auto"/>
              <w:right w:val="single" w:sz="4" w:space="0" w:color="auto"/>
            </w:tcBorders>
            <w:shd w:val="clear" w:color="auto" w:fill="C6EFCE"/>
            <w:noWrap/>
          </w:tcPr>
          <w:p w14:paraId="12C24165" w14:textId="77777777" w:rsidR="00515398" w:rsidRDefault="006711E6">
            <w:pPr>
              <w:pStyle w:val="P68B1DB1-Normal9"/>
              <w:spacing w:after="120" w:line="240" w:lineRule="auto"/>
              <w:rPr>
                <w:rFonts w:eastAsia="Times New Roman"/>
                <w:noProof/>
                <w:szCs w:val="18"/>
              </w:rPr>
            </w:pPr>
            <w:r>
              <w:rPr>
                <w:noProof/>
              </w:rPr>
              <w:t>ČTVRTLETÍ ČTVRT</w:t>
            </w:r>
          </w:p>
        </w:tc>
        <w:tc>
          <w:tcPr>
            <w:tcW w:w="877" w:type="dxa"/>
            <w:tcBorders>
              <w:top w:val="nil"/>
              <w:left w:val="nil"/>
              <w:bottom w:val="single" w:sz="4" w:space="0" w:color="auto"/>
              <w:right w:val="single" w:sz="4" w:space="0" w:color="auto"/>
            </w:tcBorders>
            <w:shd w:val="clear" w:color="auto" w:fill="C6EFCE"/>
            <w:noWrap/>
          </w:tcPr>
          <w:p w14:paraId="41537258" w14:textId="77777777" w:rsidR="00515398" w:rsidRDefault="006711E6">
            <w:pPr>
              <w:pStyle w:val="P68B1DB1-Normal9"/>
              <w:spacing w:after="120" w:line="240" w:lineRule="auto"/>
              <w:rPr>
                <w:rFonts w:eastAsia="Times New Roman"/>
                <w:noProof/>
                <w:szCs w:val="18"/>
              </w:rPr>
            </w:pPr>
            <w:r>
              <w:rPr>
                <w:noProof/>
              </w:rPr>
              <w:t>2025</w:t>
            </w:r>
          </w:p>
        </w:tc>
        <w:tc>
          <w:tcPr>
            <w:tcW w:w="3077" w:type="dxa"/>
            <w:tcBorders>
              <w:top w:val="nil"/>
              <w:left w:val="nil"/>
              <w:bottom w:val="single" w:sz="4" w:space="0" w:color="auto"/>
              <w:right w:val="single" w:sz="4" w:space="0" w:color="auto"/>
            </w:tcBorders>
            <w:shd w:val="clear" w:color="auto" w:fill="C6EFCE"/>
            <w:noWrap/>
          </w:tcPr>
          <w:p w14:paraId="39566BB7" w14:textId="57B92C05" w:rsidR="00515398" w:rsidRDefault="006711E6">
            <w:pPr>
              <w:pStyle w:val="P68B1DB1-Normal9"/>
              <w:spacing w:after="0" w:line="240" w:lineRule="auto"/>
              <w:rPr>
                <w:rFonts w:ascii="Times New Roman" w:hAnsi="Times New Roman" w:cs="Times New Roman"/>
                <w:noProof/>
                <w:sz w:val="24"/>
                <w:szCs w:val="24"/>
              </w:rPr>
            </w:pPr>
            <w:r>
              <w:rPr>
                <w:noProof/>
              </w:rPr>
              <w:t xml:space="preserve">Instalace „samostatných“ projektů skladování energie o celkovém výkonu 175 MW. </w:t>
            </w:r>
          </w:p>
        </w:tc>
      </w:tr>
    </w:tbl>
    <w:p w14:paraId="1AF1A136" w14:textId="77777777" w:rsidR="00515398" w:rsidRDefault="00515398">
      <w:pPr>
        <w:rPr>
          <w:noProof/>
        </w:rPr>
      </w:pPr>
    </w:p>
    <w:p w14:paraId="42C260BF" w14:textId="77777777" w:rsidR="00515398" w:rsidRDefault="006711E6">
      <w:pPr>
        <w:rPr>
          <w:noProof/>
        </w:rPr>
      </w:pPr>
      <w:r>
        <w:rPr>
          <w:noProof/>
        </w:rPr>
        <w:br w:type="page"/>
      </w:r>
    </w:p>
    <w:p w14:paraId="360647D8" w14:textId="77777777" w:rsidR="00515398" w:rsidRDefault="00515398">
      <w:pPr>
        <w:rPr>
          <w:noProof/>
        </w:rPr>
      </w:pPr>
    </w:p>
    <w:p w14:paraId="29FEF5BF" w14:textId="77777777" w:rsidR="00515398" w:rsidRDefault="006711E6">
      <w:pPr>
        <w:pStyle w:val="P68B1DB1-Normal6"/>
        <w:keepNext/>
        <w:keepLines/>
        <w:spacing w:before="240" w:after="240" w:line="240" w:lineRule="auto"/>
        <w:jc w:val="both"/>
        <w:outlineLvl w:val="4"/>
        <w:rPr>
          <w:rFonts w:eastAsia="Times New Roman"/>
          <w:noProof/>
        </w:rPr>
      </w:pPr>
      <w:r>
        <w:rPr>
          <w:noProof/>
        </w:rPr>
        <w:t xml:space="preserve">Investice č. 2: Energetická účinnost a podpora </w:t>
      </w:r>
      <w:r>
        <w:rPr>
          <w:noProof/>
        </w:rPr>
        <w:t>obnovitelných zdrojů energie pro vlastní spotřebu (ID opatření: 16994)</w:t>
      </w:r>
    </w:p>
    <w:tbl>
      <w:tblPr>
        <w:tblpPr w:leftFromText="180" w:rightFromText="180" w:vertAnchor="text" w:tblpX="113"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895"/>
        <w:gridCol w:w="1112"/>
        <w:gridCol w:w="1632"/>
        <w:gridCol w:w="1251"/>
        <w:gridCol w:w="1301"/>
        <w:gridCol w:w="863"/>
        <w:gridCol w:w="982"/>
        <w:gridCol w:w="959"/>
        <w:gridCol w:w="932"/>
        <w:gridCol w:w="2617"/>
      </w:tblGrid>
      <w:tr w:rsidR="00515398" w14:paraId="0318F6F1" w14:textId="77777777">
        <w:trPr>
          <w:trHeight w:val="558"/>
          <w:tblHeader/>
        </w:trPr>
        <w:tc>
          <w:tcPr>
            <w:tcW w:w="1043" w:type="dxa"/>
            <w:vMerge w:val="restart"/>
            <w:shd w:val="clear" w:color="auto" w:fill="B8CCE4" w:themeFill="accent1" w:themeFillTint="66"/>
            <w:noWrap/>
            <w:vAlign w:val="center"/>
          </w:tcPr>
          <w:p w14:paraId="352676C8" w14:textId="77777777" w:rsidR="00515398" w:rsidRDefault="006711E6">
            <w:pPr>
              <w:pStyle w:val="P68B1DB1-Normal7"/>
              <w:spacing w:after="0" w:line="240" w:lineRule="auto"/>
              <w:jc w:val="center"/>
              <w:rPr>
                <w:rFonts w:eastAsia="Times New Roman" w:cs="Calibri"/>
                <w:noProof/>
                <w:color w:val="006100"/>
                <w:szCs w:val="18"/>
              </w:rPr>
            </w:pPr>
            <w:r>
              <w:rPr>
                <w:noProof/>
              </w:rPr>
              <w:t>Pořadové číslo</w:t>
            </w:r>
          </w:p>
        </w:tc>
        <w:tc>
          <w:tcPr>
            <w:tcW w:w="1952" w:type="dxa"/>
            <w:vMerge w:val="restart"/>
            <w:shd w:val="clear" w:color="auto" w:fill="B8CCE4" w:themeFill="accent1" w:themeFillTint="66"/>
            <w:noWrap/>
            <w:vAlign w:val="center"/>
          </w:tcPr>
          <w:p w14:paraId="1FA79AB2" w14:textId="77777777" w:rsidR="00515398" w:rsidRDefault="006711E6">
            <w:pPr>
              <w:pStyle w:val="P68B1DB1-Normal7"/>
              <w:spacing w:after="0" w:line="240" w:lineRule="auto"/>
              <w:jc w:val="center"/>
              <w:rPr>
                <w:rFonts w:eastAsia="Times New Roman" w:cs="Calibri"/>
                <w:noProof/>
                <w:color w:val="006100"/>
                <w:szCs w:val="18"/>
              </w:rPr>
            </w:pPr>
            <w:r>
              <w:rPr>
                <w:noProof/>
              </w:rPr>
              <w:t>Související opatření (reforma nebo investice)</w:t>
            </w:r>
          </w:p>
        </w:tc>
        <w:tc>
          <w:tcPr>
            <w:tcW w:w="1142" w:type="dxa"/>
            <w:vMerge w:val="restart"/>
            <w:shd w:val="clear" w:color="auto" w:fill="B8CCE4" w:themeFill="accent1" w:themeFillTint="66"/>
            <w:noWrap/>
            <w:vAlign w:val="center"/>
          </w:tcPr>
          <w:p w14:paraId="7BE64F70" w14:textId="77777777" w:rsidR="00515398" w:rsidRDefault="006711E6">
            <w:pPr>
              <w:pStyle w:val="P68B1DB1-Normal7"/>
              <w:spacing w:after="0" w:line="240" w:lineRule="auto"/>
              <w:jc w:val="center"/>
              <w:rPr>
                <w:rFonts w:eastAsia="Times New Roman" w:cs="Calibri"/>
                <w:noProof/>
                <w:color w:val="006100"/>
                <w:szCs w:val="18"/>
              </w:rPr>
            </w:pPr>
            <w:r>
              <w:rPr>
                <w:noProof/>
              </w:rPr>
              <w:t>Milník/cíl</w:t>
            </w:r>
          </w:p>
        </w:tc>
        <w:tc>
          <w:tcPr>
            <w:tcW w:w="1234" w:type="dxa"/>
            <w:vMerge w:val="restart"/>
            <w:shd w:val="clear" w:color="auto" w:fill="B8CCE4" w:themeFill="accent1" w:themeFillTint="66"/>
            <w:noWrap/>
            <w:vAlign w:val="center"/>
          </w:tcPr>
          <w:p w14:paraId="4D828568" w14:textId="77777777" w:rsidR="00515398" w:rsidRDefault="006711E6">
            <w:pPr>
              <w:pStyle w:val="P68B1DB1-Normal7"/>
              <w:spacing w:after="0" w:line="240" w:lineRule="auto"/>
              <w:jc w:val="center"/>
              <w:rPr>
                <w:rFonts w:eastAsia="Times New Roman" w:cs="Calibri"/>
                <w:noProof/>
                <w:color w:val="006100"/>
                <w:szCs w:val="18"/>
              </w:rPr>
            </w:pPr>
            <w:r>
              <w:rPr>
                <w:noProof/>
              </w:rPr>
              <w:t>Jméno</w:t>
            </w:r>
          </w:p>
        </w:tc>
        <w:tc>
          <w:tcPr>
            <w:tcW w:w="1286" w:type="dxa"/>
            <w:vMerge w:val="restart"/>
            <w:shd w:val="clear" w:color="auto" w:fill="B8CCE4" w:themeFill="accent1" w:themeFillTint="66"/>
            <w:noWrap/>
            <w:vAlign w:val="center"/>
          </w:tcPr>
          <w:p w14:paraId="2344BB3A" w14:textId="77777777" w:rsidR="00515398" w:rsidRDefault="006711E6">
            <w:pPr>
              <w:pStyle w:val="P68B1DB1-Normal7"/>
              <w:spacing w:after="0" w:line="240" w:lineRule="auto"/>
              <w:jc w:val="center"/>
              <w:rPr>
                <w:rFonts w:eastAsia="Times New Roman" w:cs="Calibri"/>
                <w:noProof/>
                <w:color w:val="006100"/>
                <w:szCs w:val="18"/>
              </w:rPr>
            </w:pPr>
            <w:r>
              <w:rPr>
                <w:noProof/>
              </w:rPr>
              <w:t>Kvalitativní ukazatele (pro milníky)</w:t>
            </w:r>
          </w:p>
        </w:tc>
        <w:tc>
          <w:tcPr>
            <w:tcW w:w="3045" w:type="dxa"/>
            <w:gridSpan w:val="3"/>
            <w:shd w:val="clear" w:color="auto" w:fill="B8CCE4" w:themeFill="accent1" w:themeFillTint="66"/>
            <w:noWrap/>
            <w:vAlign w:val="center"/>
          </w:tcPr>
          <w:p w14:paraId="1ECF6EBF" w14:textId="77777777" w:rsidR="00515398" w:rsidRDefault="006711E6">
            <w:pPr>
              <w:pStyle w:val="P68B1DB1-Normal7"/>
              <w:spacing w:after="0" w:line="240" w:lineRule="auto"/>
              <w:jc w:val="center"/>
              <w:rPr>
                <w:rFonts w:eastAsia="Times New Roman" w:cs="Calibri"/>
                <w:noProof/>
                <w:color w:val="006100"/>
                <w:szCs w:val="18"/>
              </w:rPr>
            </w:pPr>
            <w:r>
              <w:rPr>
                <w:noProof/>
              </w:rPr>
              <w:t>Kvantitativní ukazatele (pro cíle)</w:t>
            </w:r>
          </w:p>
        </w:tc>
        <w:tc>
          <w:tcPr>
            <w:tcW w:w="1912" w:type="dxa"/>
            <w:gridSpan w:val="2"/>
            <w:shd w:val="clear" w:color="auto" w:fill="B8CCE4" w:themeFill="accent1" w:themeFillTint="66"/>
            <w:noWrap/>
            <w:vAlign w:val="center"/>
          </w:tcPr>
          <w:p w14:paraId="16D86497" w14:textId="77777777" w:rsidR="00515398" w:rsidRDefault="006711E6">
            <w:pPr>
              <w:pStyle w:val="P68B1DB1-Normal7"/>
              <w:spacing w:after="0" w:line="240" w:lineRule="auto"/>
              <w:jc w:val="center"/>
              <w:rPr>
                <w:rFonts w:eastAsia="Times New Roman" w:cs="Calibri"/>
                <w:noProof/>
                <w:color w:val="006100"/>
                <w:szCs w:val="18"/>
              </w:rPr>
            </w:pPr>
            <w:r>
              <w:rPr>
                <w:noProof/>
              </w:rPr>
              <w:t xml:space="preserve">Orientační harmonogram pro </w:t>
            </w:r>
            <w:r>
              <w:rPr>
                <w:noProof/>
              </w:rPr>
              <w:t>dokončení</w:t>
            </w:r>
          </w:p>
        </w:tc>
        <w:tc>
          <w:tcPr>
            <w:tcW w:w="2698" w:type="dxa"/>
            <w:vMerge w:val="restart"/>
            <w:shd w:val="clear" w:color="auto" w:fill="B8CCE4" w:themeFill="accent1" w:themeFillTint="66"/>
            <w:noWrap/>
            <w:vAlign w:val="center"/>
          </w:tcPr>
          <w:p w14:paraId="0697A81C" w14:textId="77777777" w:rsidR="00515398" w:rsidRDefault="006711E6">
            <w:pPr>
              <w:pStyle w:val="P68B1DB1-Normal7"/>
              <w:spacing w:after="0" w:line="240" w:lineRule="auto"/>
              <w:jc w:val="center"/>
              <w:rPr>
                <w:rFonts w:eastAsia="Times New Roman" w:cs="Calibri"/>
                <w:noProof/>
                <w:color w:val="006100"/>
                <w:szCs w:val="18"/>
              </w:rPr>
            </w:pPr>
            <w:r>
              <w:rPr>
                <w:noProof/>
              </w:rPr>
              <w:t>Popis každého milníku a cíle</w:t>
            </w:r>
          </w:p>
        </w:tc>
      </w:tr>
      <w:tr w:rsidR="00515398" w14:paraId="1F0929BA" w14:textId="77777777">
        <w:trPr>
          <w:trHeight w:val="557"/>
        </w:trPr>
        <w:tc>
          <w:tcPr>
            <w:tcW w:w="1043" w:type="dxa"/>
            <w:vMerge/>
            <w:noWrap/>
            <w:vAlign w:val="center"/>
          </w:tcPr>
          <w:p w14:paraId="6FC63AF0" w14:textId="77777777" w:rsidR="00515398" w:rsidRDefault="00515398">
            <w:pPr>
              <w:spacing w:after="0" w:line="240" w:lineRule="auto"/>
              <w:rPr>
                <w:rFonts w:ascii="Times New Roman" w:eastAsia="Times New Roman" w:hAnsi="Times New Roman" w:cs="Times New Roman"/>
                <w:b/>
                <w:bCs/>
                <w:noProof/>
                <w:sz w:val="18"/>
                <w:szCs w:val="18"/>
              </w:rPr>
            </w:pPr>
          </w:p>
        </w:tc>
        <w:tc>
          <w:tcPr>
            <w:tcW w:w="1952" w:type="dxa"/>
            <w:vMerge/>
            <w:noWrap/>
            <w:vAlign w:val="center"/>
          </w:tcPr>
          <w:p w14:paraId="22CFFCA8" w14:textId="77777777" w:rsidR="00515398" w:rsidRDefault="00515398">
            <w:pPr>
              <w:spacing w:after="0" w:line="240" w:lineRule="auto"/>
              <w:rPr>
                <w:rFonts w:ascii="Times New Roman" w:eastAsia="Times New Roman" w:hAnsi="Times New Roman" w:cs="Times New Roman"/>
                <w:b/>
                <w:bCs/>
                <w:noProof/>
                <w:sz w:val="18"/>
                <w:szCs w:val="18"/>
              </w:rPr>
            </w:pPr>
          </w:p>
        </w:tc>
        <w:tc>
          <w:tcPr>
            <w:tcW w:w="1142" w:type="dxa"/>
            <w:vMerge/>
            <w:noWrap/>
            <w:vAlign w:val="center"/>
          </w:tcPr>
          <w:p w14:paraId="201C7FFE" w14:textId="77777777" w:rsidR="00515398" w:rsidRDefault="00515398">
            <w:pPr>
              <w:spacing w:after="0" w:line="240" w:lineRule="auto"/>
              <w:rPr>
                <w:rFonts w:ascii="Times New Roman" w:eastAsia="Times New Roman" w:hAnsi="Times New Roman" w:cs="Times New Roman"/>
                <w:b/>
                <w:bCs/>
                <w:noProof/>
                <w:sz w:val="18"/>
                <w:szCs w:val="18"/>
              </w:rPr>
            </w:pPr>
          </w:p>
        </w:tc>
        <w:tc>
          <w:tcPr>
            <w:tcW w:w="1234" w:type="dxa"/>
            <w:vMerge/>
            <w:noWrap/>
            <w:vAlign w:val="center"/>
          </w:tcPr>
          <w:p w14:paraId="0066E747" w14:textId="77777777" w:rsidR="00515398" w:rsidRDefault="00515398">
            <w:pPr>
              <w:spacing w:after="0" w:line="240" w:lineRule="auto"/>
              <w:rPr>
                <w:rFonts w:ascii="Times New Roman" w:eastAsia="Times New Roman" w:hAnsi="Times New Roman" w:cs="Times New Roman"/>
                <w:b/>
                <w:bCs/>
                <w:noProof/>
                <w:sz w:val="18"/>
                <w:szCs w:val="18"/>
              </w:rPr>
            </w:pPr>
          </w:p>
        </w:tc>
        <w:tc>
          <w:tcPr>
            <w:tcW w:w="1286" w:type="dxa"/>
            <w:vMerge/>
            <w:noWrap/>
            <w:vAlign w:val="center"/>
          </w:tcPr>
          <w:p w14:paraId="06C34485" w14:textId="77777777" w:rsidR="00515398" w:rsidRDefault="00515398">
            <w:pPr>
              <w:spacing w:after="0" w:line="240" w:lineRule="auto"/>
              <w:rPr>
                <w:rFonts w:ascii="Times New Roman" w:eastAsia="Times New Roman" w:hAnsi="Times New Roman" w:cs="Times New Roman"/>
                <w:b/>
                <w:bCs/>
                <w:noProof/>
                <w:sz w:val="18"/>
                <w:szCs w:val="18"/>
              </w:rPr>
            </w:pPr>
          </w:p>
        </w:tc>
        <w:tc>
          <w:tcPr>
            <w:tcW w:w="1152" w:type="dxa"/>
            <w:shd w:val="clear" w:color="auto" w:fill="B8CCE4" w:themeFill="accent1" w:themeFillTint="66"/>
            <w:noWrap/>
            <w:vAlign w:val="center"/>
          </w:tcPr>
          <w:p w14:paraId="0C285EDD"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885" w:type="dxa"/>
            <w:shd w:val="clear" w:color="auto" w:fill="B8CCE4" w:themeFill="accent1" w:themeFillTint="66"/>
            <w:vAlign w:val="center"/>
          </w:tcPr>
          <w:p w14:paraId="03CBFD26" w14:textId="77777777" w:rsidR="00515398" w:rsidRDefault="006711E6">
            <w:pPr>
              <w:pStyle w:val="P68B1DB1-Normal7"/>
              <w:spacing w:after="0" w:line="240" w:lineRule="auto"/>
              <w:jc w:val="center"/>
              <w:rPr>
                <w:rFonts w:eastAsia="Times New Roman" w:cs="Times New Roman"/>
                <w:bCs/>
                <w:noProof/>
                <w:szCs w:val="18"/>
              </w:rPr>
            </w:pPr>
            <w:r>
              <w:rPr>
                <w:noProof/>
              </w:rPr>
              <w:t>Výchozí stav</w:t>
            </w:r>
          </w:p>
        </w:tc>
        <w:tc>
          <w:tcPr>
            <w:tcW w:w="1008" w:type="dxa"/>
            <w:shd w:val="clear" w:color="auto" w:fill="B8CCE4" w:themeFill="accent1" w:themeFillTint="66"/>
            <w:vAlign w:val="center"/>
          </w:tcPr>
          <w:p w14:paraId="43BB6037" w14:textId="77777777" w:rsidR="00515398" w:rsidRDefault="006711E6">
            <w:pPr>
              <w:pStyle w:val="P68B1DB1-Normal7"/>
              <w:spacing w:after="0" w:line="240" w:lineRule="auto"/>
              <w:jc w:val="center"/>
              <w:rPr>
                <w:rFonts w:eastAsia="Times New Roman" w:cs="Times New Roman"/>
                <w:bCs/>
                <w:noProof/>
                <w:szCs w:val="18"/>
              </w:rPr>
            </w:pPr>
            <w:r>
              <w:rPr>
                <w:noProof/>
              </w:rPr>
              <w:t>Cíl</w:t>
            </w:r>
          </w:p>
        </w:tc>
        <w:tc>
          <w:tcPr>
            <w:tcW w:w="956" w:type="dxa"/>
            <w:shd w:val="clear" w:color="auto" w:fill="B8CCE4" w:themeFill="accent1" w:themeFillTint="66"/>
            <w:noWrap/>
            <w:vAlign w:val="center"/>
          </w:tcPr>
          <w:p w14:paraId="066706E0"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956" w:type="dxa"/>
            <w:shd w:val="clear" w:color="auto" w:fill="B8CCE4" w:themeFill="accent1" w:themeFillTint="66"/>
            <w:vAlign w:val="center"/>
          </w:tcPr>
          <w:p w14:paraId="397F6EF5"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2698" w:type="dxa"/>
            <w:vMerge/>
            <w:noWrap/>
          </w:tcPr>
          <w:p w14:paraId="68D06D97"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7415466F" w14:textId="77777777">
        <w:trPr>
          <w:trHeight w:val="300"/>
        </w:trPr>
        <w:tc>
          <w:tcPr>
            <w:tcW w:w="1043" w:type="dxa"/>
            <w:shd w:val="clear" w:color="auto" w:fill="C6EFCE"/>
            <w:noWrap/>
          </w:tcPr>
          <w:p w14:paraId="3D927F51" w14:textId="77777777" w:rsidR="00515398" w:rsidRDefault="006711E6">
            <w:pPr>
              <w:pStyle w:val="P68B1DB1-Normal9"/>
              <w:spacing w:after="0" w:line="240" w:lineRule="auto"/>
              <w:rPr>
                <w:rFonts w:eastAsia="Times New Roman" w:cs="Calibri"/>
                <w:noProof/>
                <w:szCs w:val="18"/>
              </w:rPr>
            </w:pPr>
            <w:r>
              <w:rPr>
                <w:noProof/>
              </w:rPr>
              <w:t>367</w:t>
            </w:r>
          </w:p>
        </w:tc>
        <w:tc>
          <w:tcPr>
            <w:tcW w:w="1952" w:type="dxa"/>
            <w:shd w:val="clear" w:color="auto" w:fill="C6EFCE"/>
            <w:noWrap/>
          </w:tcPr>
          <w:p w14:paraId="382B097D" w14:textId="77777777" w:rsidR="00515398" w:rsidRDefault="006711E6">
            <w:pPr>
              <w:pStyle w:val="P68B1DB1-Normal9"/>
              <w:spacing w:after="0" w:line="240" w:lineRule="auto"/>
              <w:rPr>
                <w:rFonts w:eastAsia="Times New Roman" w:cs="Calibri"/>
                <w:noProof/>
                <w:szCs w:val="18"/>
              </w:rPr>
            </w:pPr>
            <w:r>
              <w:rPr>
                <w:noProof/>
              </w:rPr>
              <w:t xml:space="preserve">21–5.2 Investice REPowerEU – 16994_Energetická účinnost a podpora obnovitelných zdrojů energie pro vlastní spotřebu </w:t>
            </w:r>
          </w:p>
        </w:tc>
        <w:tc>
          <w:tcPr>
            <w:tcW w:w="1142" w:type="dxa"/>
            <w:shd w:val="clear" w:color="auto" w:fill="C6EFCE"/>
            <w:noWrap/>
          </w:tcPr>
          <w:p w14:paraId="6617C9B0" w14:textId="77777777" w:rsidR="00515398" w:rsidRDefault="006711E6">
            <w:pPr>
              <w:pStyle w:val="P68B1DB1-Normal9"/>
              <w:spacing w:after="0" w:line="240" w:lineRule="auto"/>
              <w:rPr>
                <w:rFonts w:eastAsia="Times New Roman" w:cs="Calibri"/>
                <w:noProof/>
                <w:szCs w:val="18"/>
              </w:rPr>
            </w:pPr>
            <w:r>
              <w:rPr>
                <w:noProof/>
              </w:rPr>
              <w:t>Milník</w:t>
            </w:r>
          </w:p>
        </w:tc>
        <w:tc>
          <w:tcPr>
            <w:tcW w:w="1234" w:type="dxa"/>
            <w:shd w:val="clear" w:color="auto" w:fill="C6EFCE"/>
            <w:noWrap/>
          </w:tcPr>
          <w:p w14:paraId="39A15781" w14:textId="77777777" w:rsidR="00515398" w:rsidRDefault="006711E6">
            <w:pPr>
              <w:pStyle w:val="P68B1DB1-Normal9"/>
              <w:spacing w:after="0" w:line="240" w:lineRule="auto"/>
              <w:rPr>
                <w:rFonts w:eastAsia="Times New Roman" w:cs="Calibri"/>
                <w:noProof/>
                <w:szCs w:val="18"/>
              </w:rPr>
            </w:pPr>
            <w:r>
              <w:rPr>
                <w:noProof/>
              </w:rPr>
              <w:t>Zahájení podpůrných programů</w:t>
            </w:r>
          </w:p>
        </w:tc>
        <w:tc>
          <w:tcPr>
            <w:tcW w:w="1286" w:type="dxa"/>
            <w:shd w:val="clear" w:color="auto" w:fill="C6EFCE"/>
            <w:noWrap/>
          </w:tcPr>
          <w:p w14:paraId="7DA6BF49" w14:textId="77777777" w:rsidR="00515398" w:rsidRDefault="00515398">
            <w:pPr>
              <w:spacing w:after="0" w:line="240" w:lineRule="auto"/>
              <w:rPr>
                <w:rFonts w:eastAsia="Times New Roman" w:cs="Calibri"/>
                <w:noProof/>
                <w:color w:val="006100"/>
                <w:sz w:val="18"/>
                <w:szCs w:val="18"/>
              </w:rPr>
            </w:pPr>
          </w:p>
        </w:tc>
        <w:tc>
          <w:tcPr>
            <w:tcW w:w="1152" w:type="dxa"/>
            <w:shd w:val="clear" w:color="auto" w:fill="C6EFCE"/>
            <w:noWrap/>
          </w:tcPr>
          <w:p w14:paraId="0105420B" w14:textId="77777777" w:rsidR="00515398" w:rsidRDefault="00515398">
            <w:pPr>
              <w:spacing w:after="0" w:line="240" w:lineRule="auto"/>
              <w:rPr>
                <w:rFonts w:eastAsia="Times New Roman" w:cs="Calibri"/>
                <w:noProof/>
                <w:color w:val="006100"/>
                <w:sz w:val="18"/>
                <w:szCs w:val="18"/>
              </w:rPr>
            </w:pPr>
          </w:p>
        </w:tc>
        <w:tc>
          <w:tcPr>
            <w:tcW w:w="885" w:type="dxa"/>
            <w:shd w:val="clear" w:color="auto" w:fill="C6EFCE"/>
            <w:noWrap/>
          </w:tcPr>
          <w:p w14:paraId="41C3507A" w14:textId="77777777" w:rsidR="00515398" w:rsidRDefault="00515398">
            <w:pPr>
              <w:spacing w:after="0" w:line="240" w:lineRule="auto"/>
              <w:rPr>
                <w:rFonts w:eastAsia="Times New Roman" w:cs="Calibri"/>
                <w:noProof/>
                <w:color w:val="006100"/>
                <w:sz w:val="18"/>
                <w:szCs w:val="18"/>
              </w:rPr>
            </w:pPr>
          </w:p>
        </w:tc>
        <w:tc>
          <w:tcPr>
            <w:tcW w:w="1008" w:type="dxa"/>
            <w:shd w:val="clear" w:color="auto" w:fill="C6EFCE"/>
            <w:noWrap/>
          </w:tcPr>
          <w:p w14:paraId="7CF31FCD" w14:textId="77777777" w:rsidR="00515398" w:rsidRDefault="00515398">
            <w:pPr>
              <w:spacing w:after="0" w:line="240" w:lineRule="auto"/>
              <w:rPr>
                <w:rFonts w:eastAsia="Times New Roman" w:cs="Calibri"/>
                <w:noProof/>
                <w:color w:val="006100"/>
                <w:sz w:val="18"/>
                <w:szCs w:val="18"/>
              </w:rPr>
            </w:pPr>
          </w:p>
        </w:tc>
        <w:tc>
          <w:tcPr>
            <w:tcW w:w="956" w:type="dxa"/>
            <w:shd w:val="clear" w:color="auto" w:fill="C6EFCE"/>
            <w:noWrap/>
          </w:tcPr>
          <w:p w14:paraId="1617EBB8"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56" w:type="dxa"/>
            <w:shd w:val="clear" w:color="auto" w:fill="C6EFCE"/>
            <w:noWrap/>
          </w:tcPr>
          <w:p w14:paraId="2EBAA938" w14:textId="77777777" w:rsidR="00515398" w:rsidRDefault="006711E6">
            <w:pPr>
              <w:pStyle w:val="P68B1DB1-Normal9"/>
              <w:spacing w:after="0" w:line="240" w:lineRule="auto"/>
              <w:rPr>
                <w:rFonts w:eastAsia="Times New Roman" w:cs="Calibri"/>
                <w:noProof/>
                <w:szCs w:val="18"/>
              </w:rPr>
            </w:pPr>
            <w:r>
              <w:rPr>
                <w:noProof/>
              </w:rPr>
              <w:t>2023</w:t>
            </w:r>
          </w:p>
        </w:tc>
        <w:tc>
          <w:tcPr>
            <w:tcW w:w="2698" w:type="dxa"/>
            <w:shd w:val="clear" w:color="auto" w:fill="C6EFCE"/>
            <w:noWrap/>
          </w:tcPr>
          <w:p w14:paraId="49FA85BC" w14:textId="77777777" w:rsidR="00515398" w:rsidRDefault="006711E6">
            <w:pPr>
              <w:pStyle w:val="P68B1DB1-Normal9"/>
              <w:spacing w:after="0" w:line="240" w:lineRule="auto"/>
              <w:rPr>
                <w:rFonts w:eastAsia="Times New Roman" w:cs="Calibri"/>
                <w:noProof/>
                <w:szCs w:val="18"/>
              </w:rPr>
            </w:pPr>
            <w:r>
              <w:rPr>
                <w:noProof/>
              </w:rPr>
              <w:t xml:space="preserve">Vstup v platnost ministerského rozhodnutí o zahájení těchto podpůrných programů: </w:t>
            </w:r>
          </w:p>
          <w:p w14:paraId="2AE96693" w14:textId="77777777" w:rsidR="00515398" w:rsidRDefault="00515398">
            <w:pPr>
              <w:spacing w:after="0" w:line="240" w:lineRule="auto"/>
              <w:rPr>
                <w:rFonts w:eastAsia="Times New Roman" w:cs="Calibri"/>
                <w:noProof/>
                <w:color w:val="006100"/>
                <w:sz w:val="18"/>
                <w:szCs w:val="18"/>
              </w:rPr>
            </w:pPr>
          </w:p>
          <w:p w14:paraId="5710D0BF" w14:textId="77777777" w:rsidR="00515398" w:rsidRDefault="006711E6">
            <w:pPr>
              <w:pStyle w:val="P68B1DB1-ListParagraph20"/>
              <w:numPr>
                <w:ilvl w:val="0"/>
                <w:numId w:val="77"/>
              </w:numPr>
              <w:spacing w:after="0" w:line="240" w:lineRule="auto"/>
              <w:rPr>
                <w:rFonts w:eastAsia="Times New Roman" w:cs="Calibri"/>
                <w:noProof/>
                <w:szCs w:val="18"/>
              </w:rPr>
            </w:pPr>
            <w:r>
              <w:rPr>
                <w:noProof/>
              </w:rPr>
              <w:t xml:space="preserve">Energetická renovace obytných budov, včetně zavedení výběrového řízení s cílem zajistit, aby spotřeba primární energie rezidenčních nemovitostí byla </w:t>
            </w:r>
            <w:r>
              <w:rPr>
                <w:noProof/>
              </w:rPr>
              <w:t>snížena alespoň o 30 % ve srovnání s původní výkonností obydlí vypočtenou v kWh/m</w:t>
            </w:r>
            <w:r>
              <w:rPr>
                <w:noProof/>
                <w:vertAlign w:val="superscript"/>
              </w:rPr>
              <w:t>2</w:t>
            </w:r>
            <w:r>
              <w:rPr>
                <w:noProof/>
              </w:rPr>
              <w:t xml:space="preserve"> a domácnostmi trpícími energetickou chudobou, je podporována formou zvýšeného procentního podílu grantů.</w:t>
            </w:r>
          </w:p>
          <w:p w14:paraId="3B2503D5" w14:textId="77777777" w:rsidR="00515398" w:rsidRDefault="006711E6">
            <w:pPr>
              <w:pStyle w:val="P68B1DB1-ListParagraph20"/>
              <w:numPr>
                <w:ilvl w:val="0"/>
                <w:numId w:val="77"/>
              </w:numPr>
              <w:spacing w:after="0" w:line="240" w:lineRule="auto"/>
              <w:rPr>
                <w:rFonts w:eastAsia="Times New Roman" w:cs="Calibri"/>
                <w:noProof/>
                <w:szCs w:val="18"/>
              </w:rPr>
            </w:pPr>
            <w:r>
              <w:rPr>
                <w:noProof/>
              </w:rPr>
              <w:t>Energetická účinnost budov veřejného sektoru a soukromého sektoru (n</w:t>
            </w:r>
            <w:r>
              <w:rPr>
                <w:noProof/>
              </w:rPr>
              <w:t>ebytových budov), včetně zavedení výběrového řízení s cílem zajistit, aby se spotřeba primární energie příjemců snížila alespoň o 30 % ve srovnání s počáteční výkonností obydlí vypočtenou v kWh/m</w:t>
            </w:r>
            <w:r>
              <w:rPr>
                <w:noProof/>
                <w:vertAlign w:val="superscript"/>
              </w:rPr>
              <w:t>2</w:t>
            </w:r>
            <w:r>
              <w:rPr>
                <w:noProof/>
              </w:rPr>
              <w:t xml:space="preserve">. </w:t>
            </w:r>
          </w:p>
          <w:p w14:paraId="1610D10E" w14:textId="77777777" w:rsidR="00515398" w:rsidRDefault="006711E6">
            <w:pPr>
              <w:pStyle w:val="P68B1DB1-ListParagraph20"/>
              <w:numPr>
                <w:ilvl w:val="0"/>
                <w:numId w:val="77"/>
              </w:numPr>
              <w:spacing w:after="0" w:line="240" w:lineRule="auto"/>
              <w:rPr>
                <w:rFonts w:eastAsia="Times New Roman" w:cs="Calibri"/>
                <w:noProof/>
                <w:szCs w:val="18"/>
              </w:rPr>
            </w:pPr>
            <w:r>
              <w:rPr>
                <w:noProof/>
              </w:rPr>
              <w:t xml:space="preserve"> Fotovoltaické systémy pro vlastní spotřebu v odvětví oby</w:t>
            </w:r>
            <w:r>
              <w:rPr>
                <w:noProof/>
              </w:rPr>
              <w:t>tných budov a zemědělství.</w:t>
            </w:r>
          </w:p>
          <w:p w14:paraId="1E30D54A" w14:textId="36FBE04E" w:rsidR="00515398" w:rsidRDefault="006711E6">
            <w:pPr>
              <w:pStyle w:val="ListParagraph"/>
              <w:numPr>
                <w:ilvl w:val="0"/>
                <w:numId w:val="77"/>
              </w:numPr>
              <w:spacing w:after="0" w:line="240" w:lineRule="auto"/>
              <w:rPr>
                <w:rFonts w:eastAsia="Times New Roman" w:cs="Calibri"/>
                <w:noProof/>
                <w:color w:val="006100"/>
                <w:sz w:val="18"/>
                <w:szCs w:val="18"/>
              </w:rPr>
            </w:pPr>
            <w:r>
              <w:rPr>
                <w:noProof/>
                <w:color w:val="006100"/>
                <w:sz w:val="18"/>
              </w:rPr>
              <w:t xml:space="preserve">Systémy vytápění vody z obnovitelných zdrojů pro domácnosti na podporu zavádění obnovitelných zdrojů energie v obytných budovách prostřednictvím: </w:t>
            </w:r>
            <w:r>
              <w:rPr>
                <w:noProof/>
              </w:rPr>
              <w:t xml:space="preserve"> </w:t>
            </w:r>
            <w:r>
              <w:rPr>
                <w:noProof/>
                <w:color w:val="006100"/>
                <w:sz w:val="18"/>
              </w:rPr>
              <w:t>instalace nových solárních ohřívačů vody, tepelných čerpadel a systémů OZE využíva</w:t>
            </w:r>
            <w:r>
              <w:rPr>
                <w:noProof/>
                <w:color w:val="006100"/>
                <w:sz w:val="18"/>
              </w:rPr>
              <w:t>jících nové moderní technologie nebo nahrazení energeticky náročných elektrických ohřívačů vody pomocí starých technologií novými solárními ohřívači vody, tepelnými čerpadly a systémy OZE využívajícími nové moderní technologie. Domácnosti trpící energetick</w:t>
            </w:r>
            <w:r>
              <w:rPr>
                <w:noProof/>
                <w:color w:val="006100"/>
                <w:sz w:val="18"/>
              </w:rPr>
              <w:t>ou chudobou budou podporovány formou zvýšeného procentního podílu grantů (vztahuje se pouze na solární ohřívače vody).</w:t>
            </w:r>
          </w:p>
          <w:p w14:paraId="52732B22" w14:textId="77777777" w:rsidR="00515398" w:rsidRDefault="006711E6">
            <w:pPr>
              <w:pStyle w:val="P68B1DB1-ListParagraph20"/>
              <w:numPr>
                <w:ilvl w:val="0"/>
                <w:numId w:val="77"/>
              </w:numPr>
              <w:spacing w:after="0" w:line="240" w:lineRule="auto"/>
              <w:rPr>
                <w:rFonts w:eastAsia="Times New Roman" w:cs="Calibri"/>
                <w:noProof/>
                <w:szCs w:val="18"/>
              </w:rPr>
            </w:pPr>
            <w:r>
              <w:rPr>
                <w:noProof/>
              </w:rPr>
              <w:t>Podpora opatření v oblasti energetické účinnosti v městských vodohospodářských a kanalizačních společnostech prostřednictvím i) snížení s</w:t>
            </w:r>
            <w:r>
              <w:rPr>
                <w:noProof/>
              </w:rPr>
              <w:t>potřeby energie čerpacích stanic a čerpacích motorů; a ii) provádět studie pro optimální provádění opatření k dalšímu zlepšení energetické účinnosti těchto společností.</w:t>
            </w:r>
          </w:p>
          <w:p w14:paraId="274A9A7C" w14:textId="77777777" w:rsidR="00515398" w:rsidRDefault="006711E6">
            <w:pPr>
              <w:pStyle w:val="P68B1DB1-ListParagraph47"/>
              <w:numPr>
                <w:ilvl w:val="0"/>
                <w:numId w:val="77"/>
              </w:numPr>
              <w:spacing w:after="0" w:line="240" w:lineRule="auto"/>
              <w:rPr>
                <w:noProof/>
              </w:rPr>
            </w:pPr>
            <w:r>
              <w:rPr>
                <w:noProof/>
              </w:rPr>
              <w:t>Podpora instalace bateriových akumulačních systémů pro podniky.</w:t>
            </w:r>
          </w:p>
        </w:tc>
      </w:tr>
      <w:tr w:rsidR="00515398" w14:paraId="47825735" w14:textId="77777777">
        <w:trPr>
          <w:trHeight w:val="300"/>
        </w:trPr>
        <w:tc>
          <w:tcPr>
            <w:tcW w:w="1043" w:type="dxa"/>
            <w:shd w:val="clear" w:color="auto" w:fill="C6EFCE"/>
            <w:noWrap/>
          </w:tcPr>
          <w:p w14:paraId="6F3C03C9" w14:textId="77777777" w:rsidR="00515398" w:rsidRDefault="006711E6">
            <w:pPr>
              <w:pStyle w:val="P68B1DB1-Normal9"/>
              <w:spacing w:after="0" w:line="240" w:lineRule="auto"/>
              <w:rPr>
                <w:rFonts w:eastAsia="Times New Roman" w:cs="Calibri"/>
                <w:noProof/>
                <w:szCs w:val="18"/>
              </w:rPr>
            </w:pPr>
            <w:r>
              <w:rPr>
                <w:noProof/>
              </w:rPr>
              <w:t>368</w:t>
            </w:r>
          </w:p>
        </w:tc>
        <w:tc>
          <w:tcPr>
            <w:tcW w:w="1952" w:type="dxa"/>
            <w:shd w:val="clear" w:color="auto" w:fill="C6EFCE"/>
            <w:noWrap/>
          </w:tcPr>
          <w:p w14:paraId="6C6A32C6" w14:textId="77777777" w:rsidR="00515398" w:rsidRDefault="006711E6">
            <w:pPr>
              <w:pStyle w:val="P68B1DB1-Normal9"/>
              <w:spacing w:after="0" w:line="240" w:lineRule="auto"/>
              <w:rPr>
                <w:rFonts w:eastAsia="Times New Roman" w:cs="Calibri"/>
                <w:noProof/>
                <w:szCs w:val="18"/>
              </w:rPr>
            </w:pPr>
            <w:r>
              <w:rPr>
                <w:noProof/>
              </w:rPr>
              <w:t xml:space="preserve">21–5.2 Investice </w:t>
            </w:r>
            <w:r>
              <w:rPr>
                <w:noProof/>
              </w:rPr>
              <w:t>REPowerEU – 16994_Energetická účinnost a podpora obnovitelných zdrojů energie pro vlastní spotřebu</w:t>
            </w:r>
          </w:p>
        </w:tc>
        <w:tc>
          <w:tcPr>
            <w:tcW w:w="1142" w:type="dxa"/>
            <w:shd w:val="clear" w:color="auto" w:fill="C6EFCE"/>
            <w:noWrap/>
          </w:tcPr>
          <w:p w14:paraId="412AC067" w14:textId="77777777" w:rsidR="00515398" w:rsidRDefault="006711E6">
            <w:pPr>
              <w:pStyle w:val="P68B1DB1-Normal9"/>
              <w:spacing w:after="0" w:line="240" w:lineRule="auto"/>
              <w:rPr>
                <w:rFonts w:eastAsia="Times New Roman" w:cs="Calibri"/>
                <w:noProof/>
                <w:szCs w:val="18"/>
                <w:highlight w:val="yellow"/>
              </w:rPr>
            </w:pPr>
            <w:r>
              <w:rPr>
                <w:noProof/>
              </w:rPr>
              <w:t xml:space="preserve"> Cílová</w:t>
            </w:r>
          </w:p>
        </w:tc>
        <w:tc>
          <w:tcPr>
            <w:tcW w:w="1234" w:type="dxa"/>
            <w:shd w:val="clear" w:color="auto" w:fill="C6EFCE"/>
            <w:noWrap/>
          </w:tcPr>
          <w:p w14:paraId="20240D9B" w14:textId="6171F43F" w:rsidR="00515398" w:rsidRDefault="006711E6">
            <w:pPr>
              <w:pStyle w:val="P68B1DB1-Normal9"/>
              <w:spacing w:after="0" w:line="240" w:lineRule="auto"/>
              <w:rPr>
                <w:rFonts w:eastAsia="Times New Roman" w:cs="Calibri"/>
                <w:noProof/>
                <w:szCs w:val="18"/>
              </w:rPr>
            </w:pPr>
            <w:r>
              <w:rPr>
                <w:noProof/>
              </w:rPr>
              <w:t>Instalace fotovoltaických systémů pro vlastní spotřebu</w:t>
            </w:r>
          </w:p>
        </w:tc>
        <w:tc>
          <w:tcPr>
            <w:tcW w:w="1286" w:type="dxa"/>
            <w:shd w:val="clear" w:color="auto" w:fill="C6EFCE"/>
            <w:noWrap/>
          </w:tcPr>
          <w:p w14:paraId="222AB326" w14:textId="77777777" w:rsidR="00515398" w:rsidRDefault="00515398">
            <w:pPr>
              <w:spacing w:after="0" w:line="240" w:lineRule="auto"/>
              <w:rPr>
                <w:rFonts w:eastAsia="Times New Roman" w:cs="Calibri"/>
                <w:noProof/>
                <w:color w:val="006100"/>
                <w:sz w:val="18"/>
                <w:szCs w:val="18"/>
              </w:rPr>
            </w:pPr>
          </w:p>
        </w:tc>
        <w:tc>
          <w:tcPr>
            <w:tcW w:w="1152" w:type="dxa"/>
            <w:shd w:val="clear" w:color="auto" w:fill="C6EFCE"/>
            <w:noWrap/>
          </w:tcPr>
          <w:p w14:paraId="5B27895A" w14:textId="77777777" w:rsidR="00515398" w:rsidRDefault="006711E6">
            <w:pPr>
              <w:pStyle w:val="P68B1DB1-Normal9"/>
              <w:spacing w:after="0" w:line="240" w:lineRule="auto"/>
              <w:rPr>
                <w:rFonts w:eastAsia="Times New Roman" w:cs="Calibri"/>
                <w:noProof/>
                <w:szCs w:val="18"/>
              </w:rPr>
            </w:pPr>
            <w:r>
              <w:rPr>
                <w:noProof/>
              </w:rPr>
              <w:t>Počet instalovaných fotovoltaických systémů</w:t>
            </w:r>
          </w:p>
        </w:tc>
        <w:tc>
          <w:tcPr>
            <w:tcW w:w="885" w:type="dxa"/>
            <w:shd w:val="clear" w:color="auto" w:fill="C6EFCE"/>
            <w:noWrap/>
          </w:tcPr>
          <w:p w14:paraId="16CD25A7" w14:textId="77777777" w:rsidR="00515398" w:rsidRDefault="006711E6">
            <w:pPr>
              <w:pStyle w:val="P68B1DB1-Normal9"/>
              <w:spacing w:after="0" w:line="240" w:lineRule="auto"/>
              <w:rPr>
                <w:rFonts w:eastAsia="Times New Roman" w:cs="Calibri"/>
                <w:noProof/>
                <w:szCs w:val="18"/>
              </w:rPr>
            </w:pPr>
            <w:r>
              <w:rPr>
                <w:noProof/>
              </w:rPr>
              <w:t>0</w:t>
            </w:r>
          </w:p>
        </w:tc>
        <w:tc>
          <w:tcPr>
            <w:tcW w:w="1008" w:type="dxa"/>
            <w:shd w:val="clear" w:color="auto" w:fill="C6EFCE"/>
            <w:noWrap/>
          </w:tcPr>
          <w:p w14:paraId="572A36FB" w14:textId="77777777" w:rsidR="00515398" w:rsidRDefault="006711E6">
            <w:pPr>
              <w:pStyle w:val="P68B1DB1-Normal9"/>
              <w:spacing w:after="0" w:line="240" w:lineRule="auto"/>
              <w:rPr>
                <w:rFonts w:eastAsia="Times New Roman" w:cs="Calibri"/>
                <w:noProof/>
                <w:szCs w:val="18"/>
              </w:rPr>
            </w:pPr>
            <w:r>
              <w:rPr>
                <w:noProof/>
              </w:rPr>
              <w:t>11 580</w:t>
            </w:r>
          </w:p>
        </w:tc>
        <w:tc>
          <w:tcPr>
            <w:tcW w:w="956" w:type="dxa"/>
            <w:shd w:val="clear" w:color="auto" w:fill="C6EFCE"/>
            <w:noWrap/>
          </w:tcPr>
          <w:p w14:paraId="098C27AF" w14:textId="6BB41131" w:rsidR="00515398" w:rsidRDefault="006711E6">
            <w:pPr>
              <w:pStyle w:val="P68B1DB1-Normal9"/>
              <w:spacing w:after="0" w:line="240" w:lineRule="auto"/>
              <w:rPr>
                <w:rFonts w:eastAsia="Times New Roman" w:cs="Calibri"/>
                <w:noProof/>
                <w:szCs w:val="18"/>
              </w:rPr>
            </w:pPr>
            <w:r>
              <w:rPr>
                <w:noProof/>
              </w:rPr>
              <w:t>ČTVRTLETÍ</w:t>
            </w:r>
          </w:p>
        </w:tc>
        <w:tc>
          <w:tcPr>
            <w:tcW w:w="956" w:type="dxa"/>
            <w:shd w:val="clear" w:color="auto" w:fill="C6EFCE"/>
            <w:noWrap/>
          </w:tcPr>
          <w:p w14:paraId="60DB18A6" w14:textId="77777777" w:rsidR="00515398" w:rsidRDefault="006711E6">
            <w:pPr>
              <w:pStyle w:val="P68B1DB1-Normal9"/>
              <w:spacing w:after="0" w:line="240" w:lineRule="auto"/>
              <w:rPr>
                <w:rFonts w:eastAsia="Times New Roman" w:cs="Calibri"/>
                <w:noProof/>
                <w:szCs w:val="18"/>
              </w:rPr>
            </w:pPr>
            <w:r>
              <w:rPr>
                <w:noProof/>
              </w:rPr>
              <w:t>2024</w:t>
            </w:r>
          </w:p>
        </w:tc>
        <w:tc>
          <w:tcPr>
            <w:tcW w:w="2698" w:type="dxa"/>
            <w:shd w:val="clear" w:color="auto" w:fill="C6EFCE"/>
            <w:noWrap/>
          </w:tcPr>
          <w:p w14:paraId="504D7B5C" w14:textId="0725EF85" w:rsidR="00515398" w:rsidRDefault="006711E6">
            <w:pPr>
              <w:pStyle w:val="P68B1DB1-Normal9"/>
              <w:spacing w:after="0" w:line="240" w:lineRule="auto"/>
              <w:rPr>
                <w:rFonts w:eastAsia="Times New Roman" w:cs="Calibri"/>
                <w:noProof/>
                <w:szCs w:val="18"/>
                <w:highlight w:val="yellow"/>
              </w:rPr>
            </w:pPr>
            <w:r>
              <w:rPr>
                <w:noProof/>
              </w:rPr>
              <w:t>Fotovoltaické systémy pro</w:t>
            </w:r>
            <w:r>
              <w:rPr>
                <w:noProof/>
              </w:rPr>
              <w:t xml:space="preserve"> vlastní spotřebu v obytných budovách a zemědělství: 11580 instalovaných fotovoltaických systémů, z nichž 900 bude určeno pro domácnosti trpící energetickou chudobou a 360 pro zemědělce.</w:t>
            </w:r>
          </w:p>
        </w:tc>
      </w:tr>
      <w:tr w:rsidR="00515398" w14:paraId="338F77B9" w14:textId="77777777">
        <w:trPr>
          <w:trHeight w:val="300"/>
        </w:trPr>
        <w:tc>
          <w:tcPr>
            <w:tcW w:w="1043" w:type="dxa"/>
            <w:shd w:val="clear" w:color="auto" w:fill="C6EFCE"/>
            <w:noWrap/>
          </w:tcPr>
          <w:p w14:paraId="6E585D79" w14:textId="77777777" w:rsidR="00515398" w:rsidRDefault="006711E6">
            <w:pPr>
              <w:pStyle w:val="P68B1DB1-Normal9"/>
              <w:spacing w:after="0" w:line="240" w:lineRule="auto"/>
              <w:rPr>
                <w:rFonts w:eastAsia="Times New Roman" w:cs="Calibri"/>
                <w:noProof/>
                <w:szCs w:val="18"/>
              </w:rPr>
            </w:pPr>
            <w:r>
              <w:rPr>
                <w:noProof/>
              </w:rPr>
              <w:t>369</w:t>
            </w:r>
          </w:p>
        </w:tc>
        <w:tc>
          <w:tcPr>
            <w:tcW w:w="1952" w:type="dxa"/>
            <w:shd w:val="clear" w:color="auto" w:fill="C6EFCE"/>
            <w:noWrap/>
          </w:tcPr>
          <w:p w14:paraId="4F06E743" w14:textId="77777777" w:rsidR="00515398" w:rsidRDefault="006711E6">
            <w:pPr>
              <w:pStyle w:val="P68B1DB1-Normal9"/>
              <w:spacing w:after="0" w:line="240" w:lineRule="auto"/>
              <w:rPr>
                <w:rFonts w:eastAsia="Times New Roman" w:cs="Calibri"/>
                <w:noProof/>
                <w:szCs w:val="18"/>
              </w:rPr>
            </w:pPr>
            <w:r>
              <w:rPr>
                <w:noProof/>
              </w:rPr>
              <w:t xml:space="preserve">21–5.2 Investice REPowerEU – 16994_Energetická účinnost a </w:t>
            </w:r>
            <w:r>
              <w:rPr>
                <w:noProof/>
              </w:rPr>
              <w:t>podpora obnovitelných zdrojů energie pro vlastní spotřebu</w:t>
            </w:r>
          </w:p>
        </w:tc>
        <w:tc>
          <w:tcPr>
            <w:tcW w:w="1142" w:type="dxa"/>
            <w:shd w:val="clear" w:color="auto" w:fill="C6EFCE"/>
            <w:noWrap/>
          </w:tcPr>
          <w:p w14:paraId="56E2DC5D" w14:textId="77777777" w:rsidR="00515398" w:rsidRDefault="006711E6">
            <w:pPr>
              <w:pStyle w:val="P68B1DB1-Normal9"/>
              <w:spacing w:after="0" w:line="240" w:lineRule="auto"/>
              <w:rPr>
                <w:rFonts w:eastAsia="Times New Roman" w:cs="Calibri"/>
                <w:noProof/>
                <w:szCs w:val="18"/>
              </w:rPr>
            </w:pPr>
            <w:r>
              <w:rPr>
                <w:noProof/>
              </w:rPr>
              <w:t>Cílová</w:t>
            </w:r>
          </w:p>
        </w:tc>
        <w:tc>
          <w:tcPr>
            <w:tcW w:w="1234" w:type="dxa"/>
            <w:shd w:val="clear" w:color="auto" w:fill="C6EFCE"/>
            <w:noWrap/>
          </w:tcPr>
          <w:p w14:paraId="582CD29F" w14:textId="77D8F244" w:rsidR="00515398" w:rsidRDefault="006711E6">
            <w:pPr>
              <w:pStyle w:val="P68B1DB1-Normal9"/>
              <w:spacing w:after="0" w:line="240" w:lineRule="auto"/>
              <w:rPr>
                <w:rFonts w:eastAsia="Times New Roman" w:cs="Calibri"/>
                <w:noProof/>
                <w:szCs w:val="18"/>
              </w:rPr>
            </w:pPr>
            <w:r>
              <w:rPr>
                <w:noProof/>
              </w:rPr>
              <w:t>Dokončení dílčích investic do renovace energetické účinnosti, solárních ohřívačů vody, tepelných čerpadel, zásahů v oblasti energetické účinnosti v městských vodohospodářských a kanalizačních</w:t>
            </w:r>
            <w:r>
              <w:rPr>
                <w:noProof/>
              </w:rPr>
              <w:t xml:space="preserve"> společnostech a bateriových akumulačních systémů pro podniky.</w:t>
            </w:r>
          </w:p>
        </w:tc>
        <w:tc>
          <w:tcPr>
            <w:tcW w:w="1286" w:type="dxa"/>
            <w:shd w:val="clear" w:color="auto" w:fill="C6EFCE"/>
            <w:noWrap/>
          </w:tcPr>
          <w:p w14:paraId="4A98FABF" w14:textId="77777777" w:rsidR="00515398" w:rsidRDefault="00515398">
            <w:pPr>
              <w:spacing w:after="0" w:line="240" w:lineRule="auto"/>
              <w:rPr>
                <w:rFonts w:eastAsia="Times New Roman" w:cs="Calibri"/>
                <w:noProof/>
                <w:color w:val="006100"/>
                <w:sz w:val="18"/>
                <w:szCs w:val="18"/>
              </w:rPr>
            </w:pPr>
          </w:p>
        </w:tc>
        <w:tc>
          <w:tcPr>
            <w:tcW w:w="1152" w:type="dxa"/>
            <w:shd w:val="clear" w:color="auto" w:fill="C6EFCE"/>
            <w:noWrap/>
          </w:tcPr>
          <w:p w14:paraId="69D85B2F" w14:textId="58D3040D" w:rsidR="00515398" w:rsidRDefault="006711E6">
            <w:pPr>
              <w:pStyle w:val="P68B1DB1-Normal9"/>
              <w:spacing w:after="0" w:line="240" w:lineRule="auto"/>
              <w:rPr>
                <w:rFonts w:cs="Calibri"/>
                <w:noProof/>
                <w:szCs w:val="18"/>
              </w:rPr>
            </w:pPr>
            <w:r>
              <w:rPr>
                <w:noProof/>
              </w:rPr>
              <w:t xml:space="preserve">1a a b, 2 a </w:t>
            </w:r>
          </w:p>
          <w:p w14:paraId="2C2F0633" w14:textId="324F4F8C" w:rsidR="00515398" w:rsidRDefault="006711E6">
            <w:pPr>
              <w:pStyle w:val="P68B1DB1-Normal9"/>
              <w:spacing w:after="0" w:line="240" w:lineRule="auto"/>
              <w:rPr>
                <w:noProof/>
              </w:rPr>
            </w:pPr>
            <w:r>
              <w:rPr>
                <w:noProof/>
              </w:rPr>
              <w:t>3: Číslo</w:t>
            </w:r>
          </w:p>
          <w:p w14:paraId="5978BEEC" w14:textId="6D0B7532" w:rsidR="00515398" w:rsidRDefault="006711E6">
            <w:pPr>
              <w:pStyle w:val="P68B1DB1-Normal9"/>
              <w:spacing w:after="0" w:line="240" w:lineRule="auto"/>
              <w:rPr>
                <w:rFonts w:cs="Calibri"/>
                <w:noProof/>
                <w:szCs w:val="18"/>
              </w:rPr>
            </w:pPr>
            <w:r>
              <w:rPr>
                <w:noProof/>
              </w:rPr>
              <w:t>4. Kapacita (v MW) instalovaného bateriového akumulačního zařízení</w:t>
            </w:r>
          </w:p>
        </w:tc>
        <w:tc>
          <w:tcPr>
            <w:tcW w:w="885" w:type="dxa"/>
            <w:shd w:val="clear" w:color="auto" w:fill="C6EFCE"/>
            <w:noWrap/>
          </w:tcPr>
          <w:p w14:paraId="084140A6" w14:textId="77777777" w:rsidR="00515398" w:rsidRDefault="006711E6">
            <w:pPr>
              <w:pStyle w:val="P68B1DB1-Normal9"/>
              <w:spacing w:after="0" w:line="240" w:lineRule="auto"/>
              <w:rPr>
                <w:rFonts w:eastAsia="Times New Roman" w:cs="Calibri"/>
                <w:noProof/>
                <w:szCs w:val="18"/>
              </w:rPr>
            </w:pPr>
            <w:r>
              <w:rPr>
                <w:noProof/>
              </w:rPr>
              <w:t>0</w:t>
            </w:r>
          </w:p>
        </w:tc>
        <w:tc>
          <w:tcPr>
            <w:tcW w:w="1008" w:type="dxa"/>
            <w:shd w:val="clear" w:color="auto" w:fill="C6EFCE"/>
            <w:noWrap/>
          </w:tcPr>
          <w:p w14:paraId="4A59DCC6" w14:textId="6BA61252" w:rsidR="00515398" w:rsidRDefault="006711E6">
            <w:pPr>
              <w:pStyle w:val="P68B1DB1-Normal9"/>
              <w:spacing w:after="0" w:line="240" w:lineRule="auto"/>
              <w:rPr>
                <w:noProof/>
              </w:rPr>
            </w:pPr>
            <w:r>
              <w:rPr>
                <w:noProof/>
              </w:rPr>
              <w:t>1a. 15 720</w:t>
            </w:r>
          </w:p>
          <w:p w14:paraId="747761CE" w14:textId="5D19BBF0" w:rsidR="00515398" w:rsidRDefault="006711E6">
            <w:pPr>
              <w:pStyle w:val="P68B1DB1-Normal9"/>
              <w:spacing w:after="0" w:line="240" w:lineRule="auto"/>
              <w:rPr>
                <w:rFonts w:eastAsia="Times New Roman" w:cs="Calibri"/>
                <w:noProof/>
                <w:szCs w:val="18"/>
              </w:rPr>
            </w:pPr>
            <w:r>
              <w:rPr>
                <w:noProof/>
              </w:rPr>
              <w:t xml:space="preserve">1b. 140 </w:t>
            </w:r>
          </w:p>
          <w:p w14:paraId="22F01FC9" w14:textId="3F4BD29C" w:rsidR="00515398" w:rsidRDefault="006711E6">
            <w:pPr>
              <w:pStyle w:val="P68B1DB1-Normal9"/>
              <w:spacing w:after="0" w:line="240" w:lineRule="auto"/>
              <w:rPr>
                <w:rFonts w:eastAsia="Times New Roman" w:cs="Calibri"/>
                <w:noProof/>
                <w:szCs w:val="18"/>
              </w:rPr>
            </w:pPr>
            <w:r>
              <w:rPr>
                <w:noProof/>
              </w:rPr>
              <w:t xml:space="preserve">2. 130 100 </w:t>
            </w:r>
          </w:p>
          <w:p w14:paraId="710036E9" w14:textId="77777777" w:rsidR="00515398" w:rsidRDefault="006711E6">
            <w:pPr>
              <w:pStyle w:val="P68B1DB1-Normal9"/>
              <w:spacing w:after="0" w:line="240" w:lineRule="auto"/>
              <w:rPr>
                <w:noProof/>
              </w:rPr>
            </w:pPr>
            <w:r>
              <w:rPr>
                <w:noProof/>
              </w:rPr>
              <w:t>3. 15</w:t>
            </w:r>
          </w:p>
          <w:p w14:paraId="30478121" w14:textId="5ADB7E24" w:rsidR="00515398" w:rsidRDefault="006711E6">
            <w:pPr>
              <w:pStyle w:val="P68B1DB1-Normal9"/>
              <w:spacing w:after="0" w:line="240" w:lineRule="auto"/>
              <w:rPr>
                <w:rFonts w:eastAsia="Times New Roman" w:cs="Calibri"/>
                <w:noProof/>
                <w:szCs w:val="18"/>
              </w:rPr>
            </w:pPr>
            <w:r>
              <w:rPr>
                <w:noProof/>
              </w:rPr>
              <w:t>4. 133</w:t>
            </w:r>
          </w:p>
        </w:tc>
        <w:tc>
          <w:tcPr>
            <w:tcW w:w="956" w:type="dxa"/>
            <w:shd w:val="clear" w:color="auto" w:fill="C6EFCE"/>
            <w:noWrap/>
          </w:tcPr>
          <w:p w14:paraId="4231ABD3" w14:textId="77777777" w:rsidR="00515398" w:rsidRDefault="006711E6">
            <w:pPr>
              <w:pStyle w:val="P68B1DB1-Normal9"/>
              <w:spacing w:after="0" w:line="240" w:lineRule="auto"/>
              <w:rPr>
                <w:rFonts w:eastAsia="Times New Roman" w:cs="Calibri"/>
                <w:noProof/>
                <w:szCs w:val="18"/>
              </w:rPr>
            </w:pPr>
            <w:r>
              <w:rPr>
                <w:noProof/>
              </w:rPr>
              <w:t>ČTVRTLETÍ ČTVRT</w:t>
            </w:r>
          </w:p>
        </w:tc>
        <w:tc>
          <w:tcPr>
            <w:tcW w:w="956" w:type="dxa"/>
            <w:shd w:val="clear" w:color="auto" w:fill="C6EFCE"/>
            <w:noWrap/>
          </w:tcPr>
          <w:p w14:paraId="06999985" w14:textId="77777777" w:rsidR="00515398" w:rsidRDefault="006711E6">
            <w:pPr>
              <w:pStyle w:val="P68B1DB1-Normal9"/>
              <w:spacing w:after="0" w:line="240" w:lineRule="auto"/>
              <w:rPr>
                <w:rFonts w:eastAsia="Times New Roman" w:cs="Calibri"/>
                <w:noProof/>
                <w:szCs w:val="18"/>
              </w:rPr>
            </w:pPr>
            <w:r>
              <w:rPr>
                <w:noProof/>
              </w:rPr>
              <w:t>2025</w:t>
            </w:r>
          </w:p>
        </w:tc>
        <w:tc>
          <w:tcPr>
            <w:tcW w:w="2698" w:type="dxa"/>
            <w:shd w:val="clear" w:color="auto" w:fill="C6EFCE"/>
            <w:noWrap/>
          </w:tcPr>
          <w:p w14:paraId="4DA32AF4" w14:textId="45189BE9" w:rsidR="00515398" w:rsidRDefault="006711E6">
            <w:pPr>
              <w:pStyle w:val="ListParagraph"/>
              <w:numPr>
                <w:ilvl w:val="0"/>
                <w:numId w:val="78"/>
              </w:numPr>
              <w:spacing w:after="0" w:line="240" w:lineRule="auto"/>
              <w:rPr>
                <w:rFonts w:eastAsia="Times New Roman" w:cs="Calibri"/>
                <w:noProof/>
                <w:color w:val="006100"/>
                <w:sz w:val="18"/>
                <w:szCs w:val="18"/>
              </w:rPr>
            </w:pPr>
            <w:r>
              <w:rPr>
                <w:noProof/>
                <w:color w:val="006100"/>
                <w:sz w:val="18"/>
                <w:szCs w:val="18"/>
              </w:rPr>
              <w:t>en</w:t>
            </w:r>
            <w:r>
              <w:rPr>
                <w:noProof/>
                <w:color w:val="006100"/>
                <w:sz w:val="18"/>
                <w:szCs w:val="18"/>
              </w:rPr>
              <w:t xml:space="preserve">ergetická renovace obytných budov: Dokončení renovací za účelem zlepšení energetické účinnosti dokončených u 15720 obydlí, z nichž alespoň 3144 bude určeno pro domácnosti trpící energetickou chudobou, s úsporami primární energie v průměru nejméně 30 % na </w:t>
            </w:r>
            <w:r>
              <w:rPr>
                <w:noProof/>
              </w:rPr>
              <w:t xml:space="preserve"> </w:t>
            </w:r>
            <w:r>
              <w:rPr>
                <w:noProof/>
              </w:rPr>
              <w:t xml:space="preserve">základě předložených certifikátů energetické náročnosti. </w:t>
            </w:r>
          </w:p>
          <w:p w14:paraId="07B3AFDB" w14:textId="5C220EB0" w:rsidR="00515398" w:rsidRDefault="006711E6">
            <w:pPr>
              <w:pStyle w:val="P68B1DB1-ListParagraph38"/>
              <w:spacing w:after="0" w:line="240" w:lineRule="auto"/>
              <w:ind w:left="360"/>
              <w:rPr>
                <w:rFonts w:eastAsia="Times New Roman" w:cs="Calibri"/>
                <w:noProof/>
              </w:rPr>
            </w:pPr>
            <w:r>
              <w:rPr>
                <w:noProof/>
              </w:rPr>
              <w:t>energetická renovace nebytových veřejných a soukromých budov: Dokončení renovací za účelem zlepšení energetické účinnosti 140 budov s úsporami primární energie v průměru nejméně 30 %.</w:t>
            </w:r>
          </w:p>
          <w:p w14:paraId="136E168A" w14:textId="4FEE54CA" w:rsidR="00515398" w:rsidRDefault="006711E6">
            <w:pPr>
              <w:pStyle w:val="P68B1DB1-ListParagraph20"/>
              <w:numPr>
                <w:ilvl w:val="0"/>
                <w:numId w:val="78"/>
              </w:numPr>
              <w:spacing w:after="0" w:line="240" w:lineRule="auto"/>
              <w:rPr>
                <w:rFonts w:eastAsia="Times New Roman" w:cs="Calibri"/>
                <w:noProof/>
                <w:szCs w:val="18"/>
              </w:rPr>
            </w:pPr>
            <w:r>
              <w:rPr>
                <w:noProof/>
              </w:rPr>
              <w:t>Systémy ohřevu</w:t>
            </w:r>
            <w:r>
              <w:rPr>
                <w:noProof/>
              </w:rPr>
              <w:t xml:space="preserve"> vody z obnovitelných zdrojů: 130100 solárních systémů ohřevu vody a tepelných čerpadel instalovaných pro domácnosti, z toho 26020 pro domácnosti trpící energetickou chudobou. </w:t>
            </w:r>
          </w:p>
          <w:p w14:paraId="01636588" w14:textId="77777777" w:rsidR="00515398" w:rsidRDefault="006711E6">
            <w:pPr>
              <w:pStyle w:val="P68B1DB1-ListParagraph20"/>
              <w:numPr>
                <w:ilvl w:val="0"/>
                <w:numId w:val="78"/>
              </w:numPr>
              <w:spacing w:after="0" w:line="240" w:lineRule="auto"/>
              <w:rPr>
                <w:rFonts w:eastAsia="Times New Roman" w:cs="Calibri"/>
                <w:noProof/>
                <w:szCs w:val="18"/>
              </w:rPr>
            </w:pPr>
            <w:r>
              <w:rPr>
                <w:noProof/>
              </w:rPr>
              <w:t>Podpora energetické účinnosti v městských vodohospodářských a kanalizačních spo</w:t>
            </w:r>
            <w:r>
              <w:rPr>
                <w:noProof/>
              </w:rPr>
              <w:t>lečnostech: Dokončené intervence v oblasti energetické účinnosti vedoucí k úsporám energie pro nejméně 15 komunálních vodohospodářských a kanalizačních společností (DEYA).</w:t>
            </w:r>
          </w:p>
          <w:p w14:paraId="5D3ACB20" w14:textId="42D3CF80" w:rsidR="00515398" w:rsidRDefault="006711E6">
            <w:pPr>
              <w:pStyle w:val="P68B1DB1-ListParagraph20"/>
              <w:numPr>
                <w:ilvl w:val="0"/>
                <w:numId w:val="78"/>
              </w:numPr>
              <w:spacing w:after="0" w:line="240" w:lineRule="auto"/>
              <w:rPr>
                <w:rFonts w:eastAsia="Times New Roman" w:cs="Calibri"/>
                <w:noProof/>
                <w:szCs w:val="18"/>
              </w:rPr>
            </w:pPr>
            <w:r>
              <w:rPr>
                <w:noProof/>
              </w:rPr>
              <w:t>Instalace bateriových akumulačních systémů pro podniky s celkovou kapacitou 133 MW.</w:t>
            </w:r>
          </w:p>
        </w:tc>
      </w:tr>
    </w:tbl>
    <w:p w14:paraId="2CC7636C" w14:textId="52CC3259" w:rsidR="00515398" w:rsidRDefault="006711E6">
      <w:pPr>
        <w:pStyle w:val="P68B1DB1-Normal6"/>
        <w:keepNext/>
        <w:keepLines/>
        <w:spacing w:before="240" w:after="240" w:line="240" w:lineRule="auto"/>
        <w:jc w:val="both"/>
        <w:outlineLvl w:val="4"/>
        <w:rPr>
          <w:rFonts w:eastAsia="Times New Roman"/>
          <w:noProof/>
          <w:szCs w:val="24"/>
        </w:rPr>
      </w:pPr>
      <w:r>
        <w:rPr>
          <w:noProof/>
        </w:rPr>
        <w:t>Investice 3: Projekt výroby vodíku z obnovitelných zdrojů (ID opatření: 16995)</w:t>
      </w:r>
    </w:p>
    <w:tbl>
      <w:tblPr>
        <w:tblW w:w="14341" w:type="dxa"/>
        <w:tblInd w:w="113" w:type="dxa"/>
        <w:tblLook w:val="04A0" w:firstRow="1" w:lastRow="0" w:firstColumn="1" w:lastColumn="0" w:noHBand="0" w:noVBand="1"/>
      </w:tblPr>
      <w:tblGrid>
        <w:gridCol w:w="1119"/>
        <w:gridCol w:w="1747"/>
        <w:gridCol w:w="1094"/>
        <w:gridCol w:w="1255"/>
        <w:gridCol w:w="1552"/>
        <w:gridCol w:w="1205"/>
        <w:gridCol w:w="927"/>
        <w:gridCol w:w="713"/>
        <w:gridCol w:w="984"/>
        <w:gridCol w:w="720"/>
        <w:gridCol w:w="3132"/>
      </w:tblGrid>
      <w:tr w:rsidR="00515398" w14:paraId="40031EDA" w14:textId="77777777">
        <w:trPr>
          <w:trHeight w:val="927"/>
          <w:tblHeader/>
        </w:trPr>
        <w:tc>
          <w:tcPr>
            <w:tcW w:w="11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3DF74E" w14:textId="77777777" w:rsidR="00515398" w:rsidRDefault="006711E6">
            <w:pPr>
              <w:pStyle w:val="P68B1DB1-Normal7"/>
              <w:spacing w:after="0" w:line="240" w:lineRule="auto"/>
              <w:jc w:val="center"/>
              <w:rPr>
                <w:rFonts w:eastAsia="Times New Roman" w:cs="Times New Roman"/>
                <w:bCs/>
                <w:noProof/>
                <w:szCs w:val="18"/>
              </w:rPr>
            </w:pPr>
            <w:r>
              <w:rPr>
                <w:noProof/>
              </w:rPr>
              <w:t>Pořadové číslo</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4559B4" w14:textId="77777777" w:rsidR="00515398" w:rsidRDefault="006711E6">
            <w:pPr>
              <w:pStyle w:val="P68B1DB1-Normal7"/>
              <w:spacing w:after="0" w:line="240" w:lineRule="auto"/>
              <w:jc w:val="center"/>
              <w:rPr>
                <w:rFonts w:eastAsia="Times New Roman" w:cs="Times New Roman"/>
                <w:bCs/>
                <w:noProof/>
                <w:szCs w:val="18"/>
              </w:rPr>
            </w:pPr>
            <w:r>
              <w:rPr>
                <w:noProof/>
              </w:rPr>
              <w:t>Související opatření (reforma nebo investice)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8F3DAA" w14:textId="77777777" w:rsidR="00515398" w:rsidRDefault="006711E6">
            <w:pPr>
              <w:pStyle w:val="P68B1DB1-Normal7"/>
              <w:spacing w:after="0" w:line="240" w:lineRule="auto"/>
              <w:jc w:val="center"/>
              <w:rPr>
                <w:rFonts w:eastAsia="Times New Roman" w:cs="Times New Roman"/>
                <w:bCs/>
                <w:noProof/>
                <w:szCs w:val="18"/>
              </w:rPr>
            </w:pPr>
            <w:r>
              <w:rPr>
                <w:noProof/>
              </w:rPr>
              <w:t>Milník/cíl</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3D4C32" w14:textId="77777777" w:rsidR="00515398" w:rsidRDefault="006711E6">
            <w:pPr>
              <w:pStyle w:val="P68B1DB1-Normal7"/>
              <w:spacing w:after="0" w:line="240" w:lineRule="auto"/>
              <w:jc w:val="center"/>
              <w:rPr>
                <w:rFonts w:eastAsia="Times New Roman" w:cs="Times New Roman"/>
                <w:bCs/>
                <w:noProof/>
                <w:szCs w:val="18"/>
              </w:rPr>
            </w:pPr>
            <w:r>
              <w:rPr>
                <w:noProof/>
              </w:rPr>
              <w:t>Jméno</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A0DECC" w14:textId="77777777" w:rsidR="00515398" w:rsidRDefault="006711E6">
            <w:pPr>
              <w:pStyle w:val="P68B1DB1-Normal7"/>
              <w:spacing w:after="0" w:line="240" w:lineRule="auto"/>
              <w:jc w:val="center"/>
              <w:rPr>
                <w:rFonts w:eastAsia="Times New Roman" w:cs="Times New Roman"/>
                <w:bCs/>
                <w:noProof/>
                <w:szCs w:val="18"/>
              </w:rPr>
            </w:pPr>
            <w:r>
              <w:rPr>
                <w:noProof/>
              </w:rPr>
              <w:t>Kvalitativní ukazatele (pro milníky)</w:t>
            </w:r>
          </w:p>
        </w:tc>
        <w:tc>
          <w:tcPr>
            <w:tcW w:w="284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19020A2" w14:textId="77777777" w:rsidR="00515398" w:rsidRDefault="006711E6">
            <w:pPr>
              <w:pStyle w:val="P68B1DB1-Normal7"/>
              <w:spacing w:after="0" w:line="240" w:lineRule="auto"/>
              <w:jc w:val="center"/>
              <w:rPr>
                <w:rFonts w:eastAsia="Times New Roman" w:cs="Times New Roman"/>
                <w:bCs/>
                <w:noProof/>
                <w:szCs w:val="18"/>
              </w:rPr>
            </w:pPr>
            <w:r>
              <w:rPr>
                <w:noProof/>
              </w:rPr>
              <w:t>Kvantitativní ukazatele (pro cíle)</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14:paraId="4140CFAD" w14:textId="77777777" w:rsidR="00515398" w:rsidRDefault="006711E6">
            <w:pPr>
              <w:pStyle w:val="P68B1DB1-Normal7"/>
              <w:spacing w:after="0" w:line="240" w:lineRule="auto"/>
              <w:jc w:val="center"/>
              <w:rPr>
                <w:rFonts w:eastAsia="Times New Roman" w:cs="Times New Roman"/>
                <w:bCs/>
                <w:noProof/>
                <w:szCs w:val="18"/>
              </w:rPr>
            </w:pPr>
            <w:r>
              <w:rPr>
                <w:noProof/>
              </w:rPr>
              <w:t xml:space="preserve">Orientační harmonogram pro dokončení </w:t>
            </w:r>
          </w:p>
        </w:tc>
        <w:tc>
          <w:tcPr>
            <w:tcW w:w="31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6BFE2E" w14:textId="77777777" w:rsidR="00515398" w:rsidRDefault="006711E6">
            <w:pPr>
              <w:pStyle w:val="P68B1DB1-Normal7"/>
              <w:spacing w:after="0" w:line="240" w:lineRule="auto"/>
              <w:jc w:val="center"/>
              <w:rPr>
                <w:rFonts w:eastAsia="Times New Roman" w:cs="Times New Roman"/>
                <w:bCs/>
                <w:noProof/>
                <w:szCs w:val="18"/>
              </w:rPr>
            </w:pPr>
            <w:r>
              <w:rPr>
                <w:noProof/>
              </w:rPr>
              <w:t>Popis každého milníku a cíle</w:t>
            </w:r>
          </w:p>
        </w:tc>
      </w:tr>
      <w:tr w:rsidR="00515398" w14:paraId="20118C91" w14:textId="77777777">
        <w:trPr>
          <w:trHeight w:val="1013"/>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52C359A6" w14:textId="77777777" w:rsidR="00515398" w:rsidRDefault="00515398">
            <w:pPr>
              <w:spacing w:after="0" w:line="240" w:lineRule="auto"/>
              <w:rPr>
                <w:rFonts w:ascii="Times New Roman" w:eastAsia="Times New Roman" w:hAnsi="Times New Roman" w:cs="Times New Roman"/>
                <w:b/>
                <w:bCs/>
                <w:noProof/>
                <w:sz w:val="18"/>
                <w:szCs w:val="1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2B5327F2" w14:textId="77777777" w:rsidR="00515398" w:rsidRDefault="00515398">
            <w:pPr>
              <w:spacing w:after="0" w:line="240" w:lineRule="auto"/>
              <w:rPr>
                <w:rFonts w:ascii="Times New Roman" w:eastAsia="Times New Roman" w:hAnsi="Times New Roman" w:cs="Times New Roman"/>
                <w:b/>
                <w:bCs/>
                <w:noProof/>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030454F" w14:textId="77777777" w:rsidR="00515398" w:rsidRDefault="00515398">
            <w:pPr>
              <w:spacing w:after="0" w:line="240" w:lineRule="auto"/>
              <w:rPr>
                <w:rFonts w:ascii="Times New Roman" w:eastAsia="Times New Roman" w:hAnsi="Times New Roman" w:cs="Times New Roman"/>
                <w:b/>
                <w:bCs/>
                <w:noProof/>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46DFABBC" w14:textId="77777777" w:rsidR="00515398" w:rsidRDefault="00515398">
            <w:pPr>
              <w:spacing w:after="0" w:line="240" w:lineRule="auto"/>
              <w:rPr>
                <w:rFonts w:ascii="Times New Roman" w:eastAsia="Times New Roman" w:hAnsi="Times New Roman" w:cs="Times New Roman"/>
                <w:b/>
                <w:bCs/>
                <w:noProof/>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DCC2271" w14:textId="77777777" w:rsidR="00515398" w:rsidRDefault="00515398">
            <w:pPr>
              <w:spacing w:after="0" w:line="240" w:lineRule="auto"/>
              <w:rPr>
                <w:rFonts w:ascii="Times New Roman" w:eastAsia="Times New Roman" w:hAnsi="Times New Roman" w:cs="Times New Roman"/>
                <w:b/>
                <w:bCs/>
                <w:noProof/>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B52060A" w14:textId="77777777" w:rsidR="00515398" w:rsidRDefault="006711E6">
            <w:pPr>
              <w:pStyle w:val="P68B1DB1-Normal7"/>
              <w:spacing w:after="0" w:line="240" w:lineRule="auto"/>
              <w:jc w:val="center"/>
              <w:rPr>
                <w:rFonts w:eastAsia="Times New Roman" w:cs="Times New Roman"/>
                <w:bCs/>
                <w:noProof/>
                <w:szCs w:val="18"/>
              </w:rPr>
            </w:pPr>
            <w:r>
              <w:rPr>
                <w:noProof/>
              </w:rPr>
              <w:t>Jednotka měření</w:t>
            </w:r>
          </w:p>
        </w:tc>
        <w:tc>
          <w:tcPr>
            <w:tcW w:w="92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4BEA84A" w14:textId="77777777" w:rsidR="00515398" w:rsidRDefault="006711E6">
            <w:pPr>
              <w:pStyle w:val="P68B1DB1-Normal7"/>
              <w:spacing w:after="0" w:line="240" w:lineRule="auto"/>
              <w:jc w:val="center"/>
              <w:rPr>
                <w:rFonts w:eastAsia="Times New Roman" w:cs="Times New Roman"/>
                <w:bCs/>
                <w:noProof/>
                <w:szCs w:val="18"/>
              </w:rPr>
            </w:pPr>
            <w:r>
              <w:rPr>
                <w:noProof/>
              </w:rPr>
              <w:t xml:space="preserve">Výchozí stav </w:t>
            </w:r>
          </w:p>
        </w:tc>
        <w:tc>
          <w:tcPr>
            <w:tcW w:w="71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14B060F" w14:textId="77777777" w:rsidR="00515398" w:rsidRDefault="006711E6">
            <w:pPr>
              <w:pStyle w:val="P68B1DB1-Normal7"/>
              <w:spacing w:after="0" w:line="240" w:lineRule="auto"/>
              <w:jc w:val="center"/>
              <w:rPr>
                <w:rFonts w:eastAsia="Times New Roman" w:cs="Times New Roman"/>
                <w:bCs/>
                <w:noProof/>
                <w:szCs w:val="18"/>
              </w:rPr>
            </w:pPr>
            <w:r>
              <w:rPr>
                <w:noProof/>
              </w:rPr>
              <w:t xml:space="preserve">Cíl </w:t>
            </w:r>
          </w:p>
        </w:tc>
        <w:tc>
          <w:tcPr>
            <w:tcW w:w="92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344BDD" w14:textId="77777777" w:rsidR="00515398" w:rsidRDefault="006711E6">
            <w:pPr>
              <w:pStyle w:val="P68B1DB1-Normal7"/>
              <w:spacing w:after="0" w:line="240" w:lineRule="auto"/>
              <w:jc w:val="center"/>
              <w:rPr>
                <w:rFonts w:eastAsia="Times New Roman" w:cs="Times New Roman"/>
                <w:bCs/>
                <w:noProof/>
                <w:szCs w:val="18"/>
              </w:rPr>
            </w:pPr>
            <w:r>
              <w:rPr>
                <w:noProof/>
              </w:rPr>
              <w:t>Čtvrtina</w:t>
            </w:r>
          </w:p>
        </w:tc>
        <w:tc>
          <w:tcPr>
            <w:tcW w:w="7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4F0BAA" w14:textId="77777777" w:rsidR="00515398" w:rsidRDefault="006711E6">
            <w:pPr>
              <w:pStyle w:val="P68B1DB1-Normal7"/>
              <w:spacing w:after="0" w:line="240" w:lineRule="auto"/>
              <w:jc w:val="center"/>
              <w:rPr>
                <w:rFonts w:eastAsia="Times New Roman" w:cs="Times New Roman"/>
                <w:bCs/>
                <w:noProof/>
                <w:szCs w:val="18"/>
              </w:rPr>
            </w:pPr>
            <w:r>
              <w:rPr>
                <w:noProof/>
              </w:rPr>
              <w:t>Rok</w:t>
            </w:r>
          </w:p>
        </w:tc>
        <w:tc>
          <w:tcPr>
            <w:tcW w:w="3133" w:type="dxa"/>
            <w:vMerge/>
            <w:tcBorders>
              <w:top w:val="single" w:sz="4" w:space="0" w:color="auto"/>
              <w:bottom w:val="single" w:sz="4" w:space="0" w:color="auto"/>
              <w:right w:val="single" w:sz="4" w:space="0" w:color="auto"/>
            </w:tcBorders>
            <w:vAlign w:val="center"/>
            <w:hideMark/>
          </w:tcPr>
          <w:p w14:paraId="467F634E" w14:textId="77777777" w:rsidR="00515398" w:rsidRDefault="00515398">
            <w:pPr>
              <w:spacing w:after="0" w:line="240" w:lineRule="auto"/>
              <w:rPr>
                <w:rFonts w:ascii="Times New Roman" w:eastAsia="Times New Roman" w:hAnsi="Times New Roman" w:cs="Times New Roman"/>
                <w:b/>
                <w:bCs/>
                <w:noProof/>
                <w:sz w:val="18"/>
                <w:szCs w:val="18"/>
              </w:rPr>
            </w:pPr>
          </w:p>
        </w:tc>
      </w:tr>
      <w:tr w:rsidR="00515398" w14:paraId="16C7C52A" w14:textId="77777777">
        <w:tc>
          <w:tcPr>
            <w:tcW w:w="1120" w:type="dxa"/>
            <w:tcBorders>
              <w:top w:val="single" w:sz="4" w:space="0" w:color="auto"/>
              <w:left w:val="single" w:sz="4" w:space="0" w:color="auto"/>
              <w:bottom w:val="single" w:sz="4" w:space="0" w:color="auto"/>
              <w:right w:val="single" w:sz="4" w:space="0" w:color="auto"/>
            </w:tcBorders>
            <w:shd w:val="clear" w:color="auto" w:fill="C6EFCE"/>
            <w:noWrap/>
          </w:tcPr>
          <w:p w14:paraId="5C4A595C" w14:textId="77777777" w:rsidR="00515398" w:rsidRDefault="006711E6">
            <w:pPr>
              <w:pStyle w:val="P68B1DB1-Normal9"/>
              <w:spacing w:after="0" w:line="240" w:lineRule="auto"/>
              <w:rPr>
                <w:rFonts w:eastAsia="Times New Roman" w:cs="Calibri"/>
                <w:noProof/>
                <w:szCs w:val="18"/>
              </w:rPr>
            </w:pPr>
            <w:r>
              <w:rPr>
                <w:noProof/>
              </w:rPr>
              <w:t>370</w:t>
            </w:r>
          </w:p>
        </w:tc>
        <w:tc>
          <w:tcPr>
            <w:tcW w:w="1749" w:type="dxa"/>
            <w:tcBorders>
              <w:top w:val="single" w:sz="4" w:space="0" w:color="auto"/>
              <w:left w:val="nil"/>
              <w:bottom w:val="single" w:sz="4" w:space="0" w:color="auto"/>
              <w:right w:val="single" w:sz="4" w:space="0" w:color="auto"/>
            </w:tcBorders>
            <w:shd w:val="clear" w:color="auto" w:fill="C6EFCE"/>
            <w:noWrap/>
          </w:tcPr>
          <w:p w14:paraId="2B531197" w14:textId="7375C40A" w:rsidR="00515398" w:rsidRDefault="006711E6">
            <w:pPr>
              <w:pStyle w:val="P68B1DB1-Normal9"/>
              <w:spacing w:after="0" w:line="240" w:lineRule="auto"/>
              <w:rPr>
                <w:rFonts w:ascii="Times New Roman" w:hAnsi="Times New Roman" w:cs="Times New Roman"/>
                <w:noProof/>
                <w:sz w:val="24"/>
                <w:szCs w:val="24"/>
              </w:rPr>
            </w:pPr>
            <w:r>
              <w:rPr>
                <w:noProof/>
              </w:rPr>
              <w:t>21–5.2 Investice REPowerEU – 16995_Projekt výroby vodíku z obnovitelných zdrojů</w:t>
            </w:r>
          </w:p>
        </w:tc>
        <w:tc>
          <w:tcPr>
            <w:tcW w:w="1094" w:type="dxa"/>
            <w:tcBorders>
              <w:top w:val="single" w:sz="4" w:space="0" w:color="auto"/>
              <w:left w:val="nil"/>
              <w:bottom w:val="single" w:sz="4" w:space="0" w:color="auto"/>
              <w:right w:val="single" w:sz="4" w:space="0" w:color="auto"/>
            </w:tcBorders>
            <w:shd w:val="clear" w:color="auto" w:fill="C6EFCE"/>
            <w:noWrap/>
          </w:tcPr>
          <w:p w14:paraId="2CD6884D" w14:textId="77777777" w:rsidR="00515398" w:rsidRDefault="006711E6">
            <w:pPr>
              <w:pStyle w:val="P68B1DB1-Normal9"/>
              <w:spacing w:after="0" w:line="240" w:lineRule="auto"/>
              <w:rPr>
                <w:rFonts w:eastAsia="Times New Roman" w:cs="Calibri"/>
                <w:noProof/>
                <w:szCs w:val="18"/>
              </w:rPr>
            </w:pPr>
            <w:r>
              <w:rPr>
                <w:noProof/>
              </w:rPr>
              <w:t>Milník</w:t>
            </w:r>
          </w:p>
        </w:tc>
        <w:tc>
          <w:tcPr>
            <w:tcW w:w="1205" w:type="dxa"/>
            <w:tcBorders>
              <w:top w:val="single" w:sz="4" w:space="0" w:color="auto"/>
              <w:left w:val="nil"/>
              <w:bottom w:val="single" w:sz="4" w:space="0" w:color="auto"/>
              <w:right w:val="single" w:sz="4" w:space="0" w:color="auto"/>
            </w:tcBorders>
            <w:shd w:val="clear" w:color="auto" w:fill="C6EFCE"/>
            <w:noWrap/>
          </w:tcPr>
          <w:p w14:paraId="3D37BF86" w14:textId="07EEAD52" w:rsidR="00515398" w:rsidRDefault="006711E6">
            <w:pPr>
              <w:pStyle w:val="P68B1DB1-Normal9"/>
              <w:spacing w:after="0" w:line="240" w:lineRule="auto"/>
              <w:rPr>
                <w:rFonts w:eastAsia="Times New Roman" w:cs="Calibri"/>
                <w:noProof/>
                <w:szCs w:val="18"/>
              </w:rPr>
            </w:pPr>
            <w:r>
              <w:rPr>
                <w:noProof/>
              </w:rPr>
              <w:t>Vydání společného ministerského rozhodnutí</w:t>
            </w:r>
            <w:r>
              <w:rPr>
                <w:noProof/>
              </w:rPr>
              <w:t xml:space="preserve"> o poskytnutí grantu příjemci</w:t>
            </w:r>
          </w:p>
        </w:tc>
        <w:tc>
          <w:tcPr>
            <w:tcW w:w="1553" w:type="dxa"/>
            <w:tcBorders>
              <w:top w:val="single" w:sz="4" w:space="0" w:color="auto"/>
              <w:left w:val="nil"/>
              <w:bottom w:val="single" w:sz="4" w:space="0" w:color="auto"/>
              <w:right w:val="single" w:sz="4" w:space="0" w:color="auto"/>
            </w:tcBorders>
            <w:shd w:val="clear" w:color="auto" w:fill="C6EFCE"/>
            <w:noWrap/>
          </w:tcPr>
          <w:p w14:paraId="1EBB5172" w14:textId="6A7BD5AA" w:rsidR="00515398" w:rsidRDefault="006711E6">
            <w:pPr>
              <w:pStyle w:val="P68B1DB1-Normal9"/>
              <w:spacing w:after="0" w:line="240" w:lineRule="auto"/>
              <w:rPr>
                <w:rFonts w:eastAsia="Times New Roman" w:cs="Calibri"/>
                <w:noProof/>
                <w:szCs w:val="18"/>
              </w:rPr>
            </w:pPr>
            <w:r>
              <w:rPr>
                <w:noProof/>
              </w:rPr>
              <w:t>Vydání společného ministerského rozhodnutí</w:t>
            </w:r>
          </w:p>
        </w:tc>
        <w:tc>
          <w:tcPr>
            <w:tcW w:w="1205" w:type="dxa"/>
            <w:tcBorders>
              <w:top w:val="single" w:sz="4" w:space="0" w:color="auto"/>
              <w:left w:val="nil"/>
              <w:bottom w:val="single" w:sz="4" w:space="0" w:color="auto"/>
              <w:right w:val="single" w:sz="4" w:space="0" w:color="auto"/>
            </w:tcBorders>
            <w:shd w:val="clear" w:color="auto" w:fill="C6EFCE"/>
            <w:noWrap/>
          </w:tcPr>
          <w:p w14:paraId="13304D1F" w14:textId="77777777" w:rsidR="00515398" w:rsidRDefault="00515398">
            <w:pPr>
              <w:spacing w:after="0" w:line="240" w:lineRule="auto"/>
              <w:rPr>
                <w:rFonts w:eastAsia="Times New Roman" w:cs="Calibri"/>
                <w:noProof/>
                <w:color w:val="006100"/>
                <w:sz w:val="18"/>
                <w:szCs w:val="18"/>
              </w:rPr>
            </w:pPr>
          </w:p>
        </w:tc>
        <w:tc>
          <w:tcPr>
            <w:tcW w:w="927" w:type="dxa"/>
            <w:tcBorders>
              <w:top w:val="single" w:sz="4" w:space="0" w:color="auto"/>
              <w:left w:val="nil"/>
              <w:bottom w:val="single" w:sz="4" w:space="0" w:color="auto"/>
              <w:right w:val="single" w:sz="4" w:space="0" w:color="auto"/>
            </w:tcBorders>
            <w:shd w:val="clear" w:color="auto" w:fill="C6EFCE"/>
            <w:noWrap/>
          </w:tcPr>
          <w:p w14:paraId="3F0B5569" w14:textId="77777777" w:rsidR="00515398" w:rsidRDefault="00515398">
            <w:pPr>
              <w:spacing w:after="0" w:line="240" w:lineRule="auto"/>
              <w:rPr>
                <w:rFonts w:eastAsia="Times New Roman" w:cs="Calibri"/>
                <w:noProof/>
                <w:color w:val="006100"/>
                <w:sz w:val="18"/>
                <w:szCs w:val="18"/>
              </w:rPr>
            </w:pPr>
          </w:p>
        </w:tc>
        <w:tc>
          <w:tcPr>
            <w:tcW w:w="713" w:type="dxa"/>
            <w:tcBorders>
              <w:top w:val="single" w:sz="4" w:space="0" w:color="auto"/>
              <w:left w:val="nil"/>
              <w:bottom w:val="single" w:sz="4" w:space="0" w:color="auto"/>
              <w:right w:val="single" w:sz="4" w:space="0" w:color="auto"/>
            </w:tcBorders>
            <w:shd w:val="clear" w:color="auto" w:fill="C6EFCE"/>
            <w:noWrap/>
          </w:tcPr>
          <w:p w14:paraId="30D86AFF" w14:textId="77777777" w:rsidR="00515398" w:rsidRDefault="00515398">
            <w:pPr>
              <w:spacing w:after="0" w:line="240" w:lineRule="auto"/>
              <w:rPr>
                <w:rFonts w:eastAsia="Times New Roman" w:cs="Calibri"/>
                <w:noProof/>
                <w:color w:val="006100"/>
                <w:sz w:val="18"/>
                <w:szCs w:val="18"/>
              </w:rPr>
            </w:pPr>
          </w:p>
        </w:tc>
        <w:tc>
          <w:tcPr>
            <w:tcW w:w="922" w:type="dxa"/>
            <w:tcBorders>
              <w:top w:val="single" w:sz="4" w:space="0" w:color="auto"/>
              <w:left w:val="nil"/>
              <w:bottom w:val="single" w:sz="4" w:space="0" w:color="auto"/>
              <w:right w:val="single" w:sz="4" w:space="0" w:color="auto"/>
            </w:tcBorders>
            <w:shd w:val="clear" w:color="auto" w:fill="C6EFCE"/>
            <w:noWrap/>
          </w:tcPr>
          <w:p w14:paraId="798D87E8" w14:textId="2BC0C169" w:rsidR="00515398" w:rsidRDefault="006711E6">
            <w:pPr>
              <w:pStyle w:val="P68B1DB1-Normal9"/>
              <w:spacing w:after="0" w:line="240" w:lineRule="auto"/>
              <w:rPr>
                <w:rFonts w:eastAsia="Times New Roman" w:cs="Calibri"/>
                <w:noProof/>
                <w:szCs w:val="18"/>
              </w:rPr>
            </w:pPr>
            <w:r>
              <w:rPr>
                <w:noProof/>
              </w:rPr>
              <w:t>ČTVRTLETÍ</w:t>
            </w:r>
          </w:p>
        </w:tc>
        <w:tc>
          <w:tcPr>
            <w:tcW w:w="720" w:type="dxa"/>
            <w:tcBorders>
              <w:top w:val="single" w:sz="4" w:space="0" w:color="auto"/>
              <w:left w:val="nil"/>
              <w:bottom w:val="single" w:sz="4" w:space="0" w:color="auto"/>
              <w:right w:val="single" w:sz="4" w:space="0" w:color="auto"/>
            </w:tcBorders>
            <w:shd w:val="clear" w:color="auto" w:fill="C6EFCE"/>
            <w:noWrap/>
          </w:tcPr>
          <w:p w14:paraId="45A3D63A" w14:textId="77777777" w:rsidR="00515398" w:rsidRDefault="006711E6">
            <w:pPr>
              <w:pStyle w:val="P68B1DB1-Normal9"/>
              <w:spacing w:after="0" w:line="240" w:lineRule="auto"/>
              <w:rPr>
                <w:rFonts w:eastAsia="Times New Roman" w:cs="Calibri"/>
                <w:noProof/>
                <w:szCs w:val="18"/>
              </w:rPr>
            </w:pPr>
            <w:r>
              <w:rPr>
                <w:noProof/>
              </w:rPr>
              <w:t>2024</w:t>
            </w:r>
          </w:p>
        </w:tc>
        <w:tc>
          <w:tcPr>
            <w:tcW w:w="3133" w:type="dxa"/>
            <w:tcBorders>
              <w:top w:val="single" w:sz="4" w:space="0" w:color="auto"/>
              <w:left w:val="nil"/>
              <w:bottom w:val="single" w:sz="4" w:space="0" w:color="auto"/>
              <w:right w:val="single" w:sz="4" w:space="0" w:color="auto"/>
            </w:tcBorders>
            <w:shd w:val="clear" w:color="auto" w:fill="C6EFCE"/>
            <w:noWrap/>
          </w:tcPr>
          <w:p w14:paraId="71E91B43" w14:textId="58B033CD" w:rsidR="00515398" w:rsidRDefault="006711E6">
            <w:pPr>
              <w:spacing w:after="0" w:line="240" w:lineRule="auto"/>
              <w:rPr>
                <w:rFonts w:eastAsia="Times New Roman" w:cs="Calibri"/>
                <w:noProof/>
                <w:color w:val="006100"/>
                <w:sz w:val="18"/>
                <w:szCs w:val="18"/>
              </w:rPr>
            </w:pPr>
            <w:r>
              <w:rPr>
                <w:noProof/>
                <w:color w:val="006100"/>
                <w:sz w:val="18"/>
                <w:szCs w:val="18"/>
              </w:rPr>
              <w:t>Vydání společného ministerského rozhodnutí o poskytnutí grantu příjemci na nejméně 45 MW nového instalovaného vodíku z obnovitelných zdrojů.</w:t>
            </w:r>
            <w:r>
              <w:rPr>
                <w:noProof/>
              </w:rPr>
              <w:br/>
            </w:r>
          </w:p>
        </w:tc>
      </w:tr>
      <w:tr w:rsidR="00515398" w14:paraId="76359598" w14:textId="77777777">
        <w:tc>
          <w:tcPr>
            <w:tcW w:w="1120" w:type="dxa"/>
            <w:tcBorders>
              <w:top w:val="nil"/>
              <w:left w:val="single" w:sz="4" w:space="0" w:color="auto"/>
              <w:bottom w:val="single" w:sz="4" w:space="0" w:color="auto"/>
              <w:right w:val="single" w:sz="4" w:space="0" w:color="auto"/>
            </w:tcBorders>
            <w:shd w:val="clear" w:color="auto" w:fill="C6EFCE"/>
            <w:noWrap/>
          </w:tcPr>
          <w:p w14:paraId="08E39E6C" w14:textId="77777777" w:rsidR="00515398" w:rsidRDefault="006711E6">
            <w:pPr>
              <w:pStyle w:val="P68B1DB1-Normal9"/>
              <w:spacing w:after="0" w:line="240" w:lineRule="auto"/>
              <w:rPr>
                <w:rFonts w:eastAsia="Times New Roman" w:cs="Calibri"/>
                <w:noProof/>
                <w:szCs w:val="18"/>
              </w:rPr>
            </w:pPr>
            <w:r>
              <w:rPr>
                <w:noProof/>
              </w:rPr>
              <w:t>371</w:t>
            </w:r>
          </w:p>
        </w:tc>
        <w:tc>
          <w:tcPr>
            <w:tcW w:w="1749" w:type="dxa"/>
            <w:tcBorders>
              <w:top w:val="nil"/>
              <w:left w:val="nil"/>
              <w:bottom w:val="single" w:sz="4" w:space="0" w:color="auto"/>
              <w:right w:val="single" w:sz="4" w:space="0" w:color="auto"/>
            </w:tcBorders>
            <w:shd w:val="clear" w:color="auto" w:fill="C6EFCE"/>
            <w:noWrap/>
          </w:tcPr>
          <w:p w14:paraId="1F4157A0" w14:textId="2774908F" w:rsidR="00515398" w:rsidRDefault="006711E6">
            <w:pPr>
              <w:pStyle w:val="P68B1DB1-Normal9"/>
              <w:spacing w:after="0" w:line="240" w:lineRule="auto"/>
              <w:rPr>
                <w:rFonts w:eastAsia="Times New Roman" w:cs="Calibri"/>
                <w:noProof/>
                <w:szCs w:val="18"/>
              </w:rPr>
            </w:pPr>
            <w:r>
              <w:rPr>
                <w:noProof/>
              </w:rPr>
              <w:t xml:space="preserve">21–5.2 Investice </w:t>
            </w:r>
            <w:r>
              <w:rPr>
                <w:noProof/>
              </w:rPr>
              <w:t>REPowerEU – 16995_Projekt výroby vodíku z obnovitelných zdrojů</w:t>
            </w:r>
          </w:p>
        </w:tc>
        <w:tc>
          <w:tcPr>
            <w:tcW w:w="1094" w:type="dxa"/>
            <w:tcBorders>
              <w:top w:val="nil"/>
              <w:left w:val="nil"/>
              <w:bottom w:val="single" w:sz="4" w:space="0" w:color="auto"/>
              <w:right w:val="single" w:sz="4" w:space="0" w:color="auto"/>
            </w:tcBorders>
            <w:shd w:val="clear" w:color="auto" w:fill="C6EFCE"/>
            <w:noWrap/>
          </w:tcPr>
          <w:p w14:paraId="28CB460E" w14:textId="77777777" w:rsidR="00515398" w:rsidRDefault="006711E6">
            <w:pPr>
              <w:pStyle w:val="P68B1DB1-Normal9"/>
              <w:spacing w:after="0" w:line="240" w:lineRule="auto"/>
              <w:rPr>
                <w:rFonts w:eastAsia="Times New Roman" w:cs="Calibri"/>
                <w:noProof/>
                <w:szCs w:val="18"/>
              </w:rPr>
            </w:pPr>
            <w:r>
              <w:rPr>
                <w:noProof/>
              </w:rPr>
              <w:t>Cílová</w:t>
            </w:r>
          </w:p>
        </w:tc>
        <w:tc>
          <w:tcPr>
            <w:tcW w:w="1205" w:type="dxa"/>
            <w:tcBorders>
              <w:top w:val="nil"/>
              <w:left w:val="nil"/>
              <w:bottom w:val="single" w:sz="4" w:space="0" w:color="auto"/>
              <w:right w:val="single" w:sz="4" w:space="0" w:color="auto"/>
            </w:tcBorders>
            <w:shd w:val="clear" w:color="auto" w:fill="C6EFCE"/>
            <w:noWrap/>
          </w:tcPr>
          <w:p w14:paraId="194B5204" w14:textId="3DDA7F4A" w:rsidR="00515398" w:rsidRDefault="006711E6">
            <w:pPr>
              <w:pStyle w:val="P68B1DB1-Normal9"/>
              <w:spacing w:after="0" w:line="240" w:lineRule="auto"/>
              <w:rPr>
                <w:rFonts w:eastAsia="Times New Roman" w:cs="Calibri"/>
                <w:noProof/>
                <w:szCs w:val="18"/>
              </w:rPr>
            </w:pPr>
            <w:r>
              <w:rPr>
                <w:noProof/>
              </w:rPr>
              <w:t>Dodatečná kapacita pro výrobu vodíku z obnovitelných zdrojů</w:t>
            </w:r>
          </w:p>
        </w:tc>
        <w:tc>
          <w:tcPr>
            <w:tcW w:w="1553" w:type="dxa"/>
            <w:tcBorders>
              <w:top w:val="nil"/>
              <w:left w:val="nil"/>
              <w:bottom w:val="single" w:sz="4" w:space="0" w:color="auto"/>
              <w:right w:val="single" w:sz="4" w:space="0" w:color="auto"/>
            </w:tcBorders>
            <w:shd w:val="clear" w:color="auto" w:fill="C6EFCE"/>
            <w:noWrap/>
          </w:tcPr>
          <w:p w14:paraId="79962F81" w14:textId="77777777" w:rsidR="00515398" w:rsidRDefault="00515398">
            <w:pPr>
              <w:spacing w:after="0" w:line="240" w:lineRule="auto"/>
              <w:rPr>
                <w:rFonts w:eastAsia="Times New Roman" w:cs="Calibri"/>
                <w:noProof/>
                <w:color w:val="006100"/>
                <w:sz w:val="18"/>
                <w:szCs w:val="18"/>
              </w:rPr>
            </w:pPr>
          </w:p>
        </w:tc>
        <w:tc>
          <w:tcPr>
            <w:tcW w:w="1205" w:type="dxa"/>
            <w:tcBorders>
              <w:top w:val="nil"/>
              <w:left w:val="nil"/>
              <w:bottom w:val="single" w:sz="4" w:space="0" w:color="auto"/>
              <w:right w:val="single" w:sz="4" w:space="0" w:color="auto"/>
            </w:tcBorders>
            <w:shd w:val="clear" w:color="auto" w:fill="C6EFCE"/>
            <w:noWrap/>
          </w:tcPr>
          <w:p w14:paraId="11A94FB8" w14:textId="77777777" w:rsidR="00515398" w:rsidRDefault="006711E6">
            <w:pPr>
              <w:pStyle w:val="P68B1DB1-Normal9"/>
              <w:spacing w:after="0" w:line="240" w:lineRule="auto"/>
              <w:rPr>
                <w:rFonts w:eastAsia="Times New Roman" w:cs="Calibri"/>
                <w:noProof/>
                <w:szCs w:val="18"/>
              </w:rPr>
            </w:pPr>
            <w:r>
              <w:rPr>
                <w:noProof/>
              </w:rPr>
              <w:t>MW</w:t>
            </w:r>
          </w:p>
        </w:tc>
        <w:tc>
          <w:tcPr>
            <w:tcW w:w="927" w:type="dxa"/>
            <w:tcBorders>
              <w:top w:val="nil"/>
              <w:left w:val="nil"/>
              <w:bottom w:val="single" w:sz="4" w:space="0" w:color="auto"/>
              <w:right w:val="single" w:sz="4" w:space="0" w:color="auto"/>
            </w:tcBorders>
            <w:shd w:val="clear" w:color="auto" w:fill="C6EFCE"/>
            <w:noWrap/>
          </w:tcPr>
          <w:p w14:paraId="2763F008" w14:textId="77777777" w:rsidR="00515398" w:rsidRDefault="006711E6">
            <w:pPr>
              <w:pStyle w:val="P68B1DB1-Normal9"/>
              <w:spacing w:after="0" w:line="240" w:lineRule="auto"/>
              <w:rPr>
                <w:rFonts w:eastAsia="Times New Roman" w:cs="Calibri"/>
                <w:noProof/>
                <w:szCs w:val="18"/>
              </w:rPr>
            </w:pPr>
            <w:r>
              <w:rPr>
                <w:noProof/>
              </w:rPr>
              <w:t>0</w:t>
            </w:r>
          </w:p>
        </w:tc>
        <w:tc>
          <w:tcPr>
            <w:tcW w:w="713" w:type="dxa"/>
            <w:tcBorders>
              <w:top w:val="nil"/>
              <w:left w:val="nil"/>
              <w:bottom w:val="single" w:sz="4" w:space="0" w:color="auto"/>
              <w:right w:val="single" w:sz="4" w:space="0" w:color="auto"/>
            </w:tcBorders>
            <w:shd w:val="clear" w:color="auto" w:fill="C6EFCE"/>
            <w:noWrap/>
          </w:tcPr>
          <w:p w14:paraId="3FFC207F" w14:textId="77777777" w:rsidR="00515398" w:rsidRDefault="006711E6">
            <w:pPr>
              <w:pStyle w:val="P68B1DB1-Normal9"/>
              <w:spacing w:after="0" w:line="240" w:lineRule="auto"/>
              <w:rPr>
                <w:rFonts w:eastAsia="Times New Roman" w:cs="Calibri"/>
                <w:noProof/>
                <w:szCs w:val="18"/>
              </w:rPr>
            </w:pPr>
            <w:r>
              <w:rPr>
                <w:noProof/>
              </w:rPr>
              <w:t>45</w:t>
            </w:r>
          </w:p>
        </w:tc>
        <w:tc>
          <w:tcPr>
            <w:tcW w:w="922" w:type="dxa"/>
            <w:tcBorders>
              <w:top w:val="nil"/>
              <w:left w:val="nil"/>
              <w:bottom w:val="single" w:sz="4" w:space="0" w:color="auto"/>
              <w:right w:val="single" w:sz="4" w:space="0" w:color="auto"/>
            </w:tcBorders>
            <w:shd w:val="clear" w:color="auto" w:fill="C6EFCE"/>
            <w:noWrap/>
          </w:tcPr>
          <w:p w14:paraId="46778DD0" w14:textId="77777777" w:rsidR="00515398" w:rsidRDefault="006711E6">
            <w:pPr>
              <w:pStyle w:val="P68B1DB1-Normal9"/>
              <w:spacing w:after="0" w:line="240" w:lineRule="auto"/>
              <w:rPr>
                <w:rFonts w:eastAsia="Times New Roman" w:cs="Calibri"/>
                <w:noProof/>
                <w:szCs w:val="18"/>
              </w:rPr>
            </w:pPr>
            <w:r>
              <w:rPr>
                <w:noProof/>
              </w:rPr>
              <w:t xml:space="preserve">ČTVRTLETÍ ČTVRT </w:t>
            </w:r>
          </w:p>
        </w:tc>
        <w:tc>
          <w:tcPr>
            <w:tcW w:w="720" w:type="dxa"/>
            <w:tcBorders>
              <w:top w:val="nil"/>
              <w:left w:val="nil"/>
              <w:bottom w:val="single" w:sz="4" w:space="0" w:color="auto"/>
              <w:right w:val="single" w:sz="4" w:space="0" w:color="auto"/>
            </w:tcBorders>
            <w:shd w:val="clear" w:color="auto" w:fill="C6EFCE"/>
            <w:noWrap/>
          </w:tcPr>
          <w:p w14:paraId="7388510E" w14:textId="77777777" w:rsidR="00515398" w:rsidRDefault="006711E6">
            <w:pPr>
              <w:pStyle w:val="P68B1DB1-Normal9"/>
              <w:spacing w:after="0" w:line="240" w:lineRule="auto"/>
              <w:rPr>
                <w:rFonts w:eastAsia="Times New Roman" w:cs="Calibri"/>
                <w:noProof/>
                <w:szCs w:val="18"/>
              </w:rPr>
            </w:pPr>
            <w:r>
              <w:rPr>
                <w:noProof/>
              </w:rPr>
              <w:t>2025</w:t>
            </w:r>
          </w:p>
        </w:tc>
        <w:tc>
          <w:tcPr>
            <w:tcW w:w="3133" w:type="dxa"/>
            <w:tcBorders>
              <w:top w:val="nil"/>
              <w:left w:val="nil"/>
              <w:bottom w:val="single" w:sz="4" w:space="0" w:color="auto"/>
              <w:right w:val="single" w:sz="4" w:space="0" w:color="auto"/>
            </w:tcBorders>
            <w:shd w:val="clear" w:color="auto" w:fill="C6EFCE"/>
            <w:noWrap/>
          </w:tcPr>
          <w:p w14:paraId="4F9A86E3" w14:textId="0251FC59" w:rsidR="00515398" w:rsidRDefault="006711E6">
            <w:pPr>
              <w:pStyle w:val="P68B1DB1-Normal9"/>
              <w:spacing w:after="0" w:line="240" w:lineRule="auto"/>
              <w:rPr>
                <w:rFonts w:eastAsia="Times New Roman" w:cs="Calibri"/>
                <w:noProof/>
                <w:szCs w:val="18"/>
              </w:rPr>
            </w:pPr>
            <w:r>
              <w:rPr>
                <w:noProof/>
              </w:rPr>
              <w:t xml:space="preserve">Instalovaná dodatečná kapacita výroby vodíku z obnovitelných zdrojů.  </w:t>
            </w:r>
          </w:p>
        </w:tc>
      </w:tr>
    </w:tbl>
    <w:p w14:paraId="49E01B34" w14:textId="77777777" w:rsidR="00515398" w:rsidRDefault="006711E6">
      <w:pPr>
        <w:pStyle w:val="NormalWeb"/>
        <w:keepNext/>
        <w:spacing w:before="40" w:after="0" w:line="259" w:lineRule="auto"/>
        <w:ind w:left="130" w:firstLine="720"/>
        <w:jc w:val="both"/>
        <w:outlineLvl w:val="1"/>
        <w:rPr>
          <w:noProof/>
        </w:rPr>
        <w:sectPr w:rsidR="00515398" w:rsidSect="007A40E4">
          <w:headerReference w:type="even" r:id="rId363"/>
          <w:headerReference w:type="default" r:id="rId364"/>
          <w:footerReference w:type="even" r:id="rId365"/>
          <w:footerReference w:type="default" r:id="rId366"/>
          <w:headerReference w:type="first" r:id="rId367"/>
          <w:footerReference w:type="first" r:id="rId368"/>
          <w:pgSz w:w="16839" w:h="11907" w:orient="landscape"/>
          <w:pgMar w:top="1417" w:right="1134" w:bottom="1417" w:left="1134" w:header="709" w:footer="327" w:gutter="0"/>
          <w:cols w:space="720"/>
          <w:docGrid w:linePitch="360"/>
        </w:sectPr>
      </w:pPr>
      <w:r>
        <w:rPr>
          <w:noProof/>
        </w:rPr>
        <w:br w:type="page"/>
      </w:r>
    </w:p>
    <w:p w14:paraId="5DDF82F0" w14:textId="7FF161DF" w:rsidR="00515398" w:rsidRDefault="00515398">
      <w:pPr>
        <w:keepNext/>
        <w:spacing w:before="40" w:after="0" w:line="259" w:lineRule="auto"/>
        <w:ind w:left="130" w:firstLine="720"/>
        <w:jc w:val="both"/>
        <w:outlineLvl w:val="1"/>
        <w:rPr>
          <w:rFonts w:ascii="Times New Roman" w:hAnsi="Times New Roman" w:cs="Times New Roman"/>
          <w:noProof/>
          <w:sz w:val="24"/>
          <w:szCs w:val="24"/>
        </w:rPr>
      </w:pPr>
    </w:p>
    <w:p w14:paraId="62AF2C25" w14:textId="77777777" w:rsidR="00515398" w:rsidRDefault="006711E6">
      <w:pPr>
        <w:pStyle w:val="P68B1DB1-Normal25"/>
        <w:keepNext/>
        <w:spacing w:before="40" w:after="0" w:line="259" w:lineRule="auto"/>
        <w:ind w:left="130" w:firstLine="720"/>
        <w:jc w:val="both"/>
        <w:outlineLvl w:val="1"/>
        <w:rPr>
          <w:rFonts w:eastAsia="Times New Roman" w:cs="Times New Roman"/>
          <w:noProof/>
        </w:rPr>
      </w:pPr>
      <w:r>
        <w:rPr>
          <w:noProof/>
        </w:rPr>
        <w:t>2. Odhadované celkové náklady plánu pro oživení a odolnost</w:t>
      </w:r>
    </w:p>
    <w:p w14:paraId="753D640D" w14:textId="08086F21" w:rsidR="00515398" w:rsidRDefault="006711E6">
      <w:pPr>
        <w:pStyle w:val="P68B1DB1-Normal4"/>
        <w:keepNext/>
        <w:spacing w:before="40" w:after="0" w:line="259" w:lineRule="auto"/>
        <w:jc w:val="both"/>
        <w:rPr>
          <w:rFonts w:eastAsia="Times New Roman" w:cs="Times New Roman"/>
          <w:noProof/>
        </w:rPr>
      </w:pPr>
      <w:r>
        <w:rPr>
          <w:noProof/>
        </w:rPr>
        <w:t>Odhadované celkové náklady plánu Řecka pro oživení a odolnost činí 36 371 226 245 EUR.</w:t>
      </w:r>
    </w:p>
    <w:p w14:paraId="4F34340B" w14:textId="77777777" w:rsidR="00515398" w:rsidRDefault="006711E6">
      <w:pPr>
        <w:pStyle w:val="P68B1DB1-Normal48"/>
        <w:keepNext/>
        <w:tabs>
          <w:tab w:val="num" w:pos="850"/>
        </w:tabs>
        <w:spacing w:before="360" w:after="0" w:line="259" w:lineRule="auto"/>
        <w:ind w:hanging="850"/>
        <w:jc w:val="both"/>
        <w:outlineLvl w:val="0"/>
        <w:rPr>
          <w:noProof/>
        </w:rPr>
      </w:pPr>
      <w:r>
        <w:rPr>
          <w:noProof/>
        </w:rPr>
        <w:t xml:space="preserve">ODDÍL 3: FINANČNÍ PODPORA </w:t>
      </w:r>
    </w:p>
    <w:p w14:paraId="61508EAF" w14:textId="77777777" w:rsidR="00515398" w:rsidRDefault="00515398">
      <w:pPr>
        <w:keepNext/>
        <w:tabs>
          <w:tab w:val="num" w:pos="850"/>
        </w:tabs>
        <w:spacing w:before="360" w:after="0" w:line="259" w:lineRule="auto"/>
        <w:ind w:hanging="850"/>
        <w:jc w:val="both"/>
        <w:outlineLvl w:val="0"/>
        <w:rPr>
          <w:rFonts w:ascii="Times New Roman" w:eastAsia="Times New Roman" w:hAnsi="Times New Roman" w:cs="Times New Roman"/>
          <w:b/>
          <w:smallCaps/>
          <w:noProof/>
          <w:sz w:val="24"/>
        </w:rPr>
      </w:pPr>
    </w:p>
    <w:p w14:paraId="20BD6470" w14:textId="77777777" w:rsidR="00515398" w:rsidRDefault="006711E6">
      <w:pPr>
        <w:pStyle w:val="P68B1DB1-Normal25"/>
        <w:keepNext/>
        <w:numPr>
          <w:ilvl w:val="1"/>
          <w:numId w:val="64"/>
        </w:numPr>
        <w:spacing w:before="40" w:after="0" w:line="259" w:lineRule="auto"/>
        <w:ind w:left="0"/>
        <w:jc w:val="both"/>
        <w:outlineLvl w:val="1"/>
        <w:rPr>
          <w:rFonts w:eastAsia="Times New Roman" w:cs="Times New Roman"/>
          <w:noProof/>
        </w:rPr>
      </w:pPr>
      <w:r>
        <w:rPr>
          <w:noProof/>
        </w:rPr>
        <w:t xml:space="preserve">Finanční příspěvek </w:t>
      </w:r>
    </w:p>
    <w:p w14:paraId="352561DA" w14:textId="02899B11" w:rsidR="00515398" w:rsidRDefault="006711E6">
      <w:pPr>
        <w:pStyle w:val="P68B1DB1-Normal4"/>
        <w:keepNext/>
        <w:spacing w:before="40" w:after="0" w:line="259" w:lineRule="auto"/>
        <w:jc w:val="both"/>
        <w:rPr>
          <w:noProof/>
        </w:rPr>
      </w:pPr>
      <w:r>
        <w:rPr>
          <w:noProof/>
        </w:rPr>
        <w:t>Splátky uvedené v čl. 2 odst. 2 jsou rozděleny takto:</w:t>
      </w:r>
    </w:p>
    <w:p w14:paraId="2294B1DC" w14:textId="77777777" w:rsidR="00515398" w:rsidRDefault="00515398">
      <w:pPr>
        <w:keepNext/>
        <w:spacing w:before="40" w:after="0" w:line="259" w:lineRule="auto"/>
        <w:jc w:val="both"/>
        <w:rPr>
          <w:rFonts w:ascii="Times New Roman" w:hAnsi="Times New Roman"/>
          <w:noProof/>
          <w:sz w:val="24"/>
        </w:rPr>
      </w:pPr>
    </w:p>
    <w:p w14:paraId="7A1A3D05"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První žádost o platbu (nevratná podpora):</w:t>
      </w:r>
    </w:p>
    <w:tbl>
      <w:tblPr>
        <w:tblpPr w:leftFromText="180" w:rightFromText="180" w:vertAnchor="text" w:horzAnchor="margin" w:tblpXSpec="center" w:tblpY="560"/>
        <w:tblW w:w="9519" w:type="dxa"/>
        <w:tblLook w:val="04A0" w:firstRow="1" w:lastRow="0" w:firstColumn="1" w:lastColumn="0" w:noHBand="0" w:noVBand="1"/>
      </w:tblPr>
      <w:tblGrid>
        <w:gridCol w:w="1804"/>
        <w:gridCol w:w="4283"/>
        <w:gridCol w:w="1701"/>
        <w:gridCol w:w="2153"/>
      </w:tblGrid>
      <w:tr w:rsidR="00515398" w14:paraId="04C5CF59" w14:textId="77777777">
        <w:trPr>
          <w:trHeight w:val="509"/>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BA3E067"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8E4A55D"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6A8A16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2153" w:type="dxa"/>
            <w:vMerge w:val="restart"/>
            <w:tcBorders>
              <w:top w:val="single" w:sz="4" w:space="0" w:color="auto"/>
              <w:left w:val="nil"/>
              <w:bottom w:val="single" w:sz="4" w:space="0" w:color="000000"/>
              <w:right w:val="single" w:sz="4" w:space="0" w:color="auto"/>
            </w:tcBorders>
            <w:shd w:val="clear" w:color="auto" w:fill="BDD7EE"/>
            <w:vAlign w:val="center"/>
            <w:hideMark/>
          </w:tcPr>
          <w:p w14:paraId="7E43A96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07BC3973" w14:textId="77777777">
        <w:trPr>
          <w:trHeight w:val="509"/>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3B04C65"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0D6F87FA"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AC027AA"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2153" w:type="dxa"/>
            <w:vMerge/>
            <w:tcBorders>
              <w:top w:val="single" w:sz="4" w:space="0" w:color="auto"/>
              <w:left w:val="nil"/>
              <w:bottom w:val="single" w:sz="4" w:space="0" w:color="000000"/>
              <w:right w:val="single" w:sz="4" w:space="0" w:color="auto"/>
            </w:tcBorders>
            <w:vAlign w:val="center"/>
            <w:hideMark/>
          </w:tcPr>
          <w:p w14:paraId="08BE4DD2"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010210A4"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5AF4A12E" w14:textId="77777777" w:rsidR="00515398" w:rsidRDefault="006711E6">
            <w:pPr>
              <w:pStyle w:val="P68B1DB1-Normal8"/>
              <w:keepNext/>
              <w:spacing w:before="40" w:after="0" w:line="240" w:lineRule="auto"/>
              <w:jc w:val="both"/>
              <w:rPr>
                <w:rFonts w:eastAsia="Times New Roman" w:cs="Times New Roman"/>
                <w:noProof/>
                <w:szCs w:val="18"/>
              </w:rPr>
            </w:pPr>
            <w:r>
              <w:rPr>
                <w:noProof/>
              </w:rPr>
              <w:t>20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5D84896" w14:textId="77777777" w:rsidR="00515398" w:rsidRDefault="006711E6">
            <w:pPr>
              <w:pStyle w:val="P68B1DB1-Normal8"/>
              <w:keepNext/>
              <w:spacing w:before="40" w:after="0" w:line="240" w:lineRule="auto"/>
              <w:rPr>
                <w:rFonts w:eastAsia="Times New Roman" w:cs="Times New Roman"/>
                <w:bCs/>
                <w:noProof/>
                <w:szCs w:val="18"/>
              </w:rPr>
            </w:pPr>
            <w:r>
              <w:rPr>
                <w:noProof/>
              </w:rPr>
              <w:t>2–1.2. Renovace – 16872_Energetická renovace obytných budov</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05658B65"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single" w:sz="4" w:space="0" w:color="auto"/>
              <w:left w:val="nil"/>
              <w:bottom w:val="single" w:sz="4" w:space="0" w:color="auto"/>
              <w:right w:val="single" w:sz="4" w:space="0" w:color="auto"/>
            </w:tcBorders>
            <w:shd w:val="clear" w:color="000000" w:fill="C6EFCE"/>
            <w:noWrap/>
            <w:vAlign w:val="center"/>
          </w:tcPr>
          <w:p w14:paraId="23A1608F" w14:textId="77777777" w:rsidR="00515398" w:rsidRDefault="006711E6">
            <w:pPr>
              <w:pStyle w:val="P68B1DB1-Normal8"/>
              <w:keepNext/>
              <w:spacing w:before="40" w:after="0" w:line="240" w:lineRule="auto"/>
              <w:rPr>
                <w:rFonts w:eastAsia="Times New Roman" w:cs="Times New Roman"/>
                <w:bCs/>
                <w:noProof/>
                <w:szCs w:val="18"/>
              </w:rPr>
            </w:pPr>
            <w:r>
              <w:rPr>
                <w:noProof/>
              </w:rPr>
              <w:t>Renovace obytných budov – 1. kolo zahájení</w:t>
            </w:r>
          </w:p>
        </w:tc>
      </w:tr>
      <w:tr w:rsidR="00515398" w14:paraId="3B85AA3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47450A04" w14:textId="77777777" w:rsidR="00515398" w:rsidRDefault="006711E6">
            <w:pPr>
              <w:pStyle w:val="P68B1DB1-Normal8"/>
              <w:keepNext/>
              <w:spacing w:before="40" w:after="0" w:line="240" w:lineRule="auto"/>
              <w:jc w:val="both"/>
              <w:rPr>
                <w:rFonts w:eastAsia="Times New Roman" w:cs="Times New Roman"/>
                <w:noProof/>
                <w:szCs w:val="18"/>
              </w:rPr>
            </w:pPr>
            <w:r>
              <w:rPr>
                <w:noProof/>
              </w:rPr>
              <w:t>32</w:t>
            </w:r>
          </w:p>
        </w:tc>
        <w:tc>
          <w:tcPr>
            <w:tcW w:w="4283" w:type="dxa"/>
            <w:tcBorders>
              <w:top w:val="nil"/>
              <w:left w:val="nil"/>
              <w:bottom w:val="single" w:sz="4" w:space="0" w:color="auto"/>
              <w:right w:val="single" w:sz="4" w:space="0" w:color="auto"/>
            </w:tcBorders>
            <w:shd w:val="clear" w:color="000000" w:fill="C6EFCE"/>
            <w:noWrap/>
            <w:vAlign w:val="center"/>
          </w:tcPr>
          <w:p w14:paraId="3E9E1C43" w14:textId="77777777" w:rsidR="00515398" w:rsidRDefault="006711E6">
            <w:pPr>
              <w:pStyle w:val="P68B1DB1-Normal8"/>
              <w:keepNext/>
              <w:spacing w:before="40" w:after="0" w:line="240" w:lineRule="auto"/>
              <w:rPr>
                <w:rFonts w:eastAsia="Times New Roman" w:cs="Times New Roman"/>
                <w:bCs/>
                <w:noProof/>
                <w:szCs w:val="18"/>
              </w:rPr>
            </w:pPr>
            <w:r>
              <w:rPr>
                <w:noProof/>
              </w:rPr>
              <w:t>2–1.2. Renovace – 16920_Akční plán pro energetickou chudobu</w:t>
            </w:r>
          </w:p>
        </w:tc>
        <w:tc>
          <w:tcPr>
            <w:tcW w:w="1701" w:type="dxa"/>
            <w:tcBorders>
              <w:top w:val="nil"/>
              <w:left w:val="nil"/>
              <w:bottom w:val="single" w:sz="4" w:space="0" w:color="auto"/>
              <w:right w:val="single" w:sz="4" w:space="0" w:color="auto"/>
            </w:tcBorders>
            <w:shd w:val="clear" w:color="000000" w:fill="C6EFCE"/>
            <w:noWrap/>
            <w:vAlign w:val="center"/>
          </w:tcPr>
          <w:p w14:paraId="52AF0F5B"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20ECE7CF" w14:textId="77777777" w:rsidR="00515398" w:rsidRDefault="006711E6">
            <w:pPr>
              <w:pStyle w:val="P68B1DB1-Normal8"/>
              <w:keepNext/>
              <w:spacing w:before="40" w:after="0" w:line="240" w:lineRule="auto"/>
              <w:rPr>
                <w:rFonts w:eastAsia="Times New Roman" w:cs="Times New Roman"/>
                <w:bCs/>
                <w:noProof/>
                <w:szCs w:val="18"/>
              </w:rPr>
            </w:pPr>
            <w:r>
              <w:rPr>
                <w:noProof/>
              </w:rPr>
              <w:t>Energetická chudoba – přijetí akčního plánu</w:t>
            </w:r>
          </w:p>
        </w:tc>
      </w:tr>
      <w:tr w:rsidR="00515398" w14:paraId="639E450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11DF0A45" w14:textId="77777777" w:rsidR="00515398" w:rsidRDefault="006711E6">
            <w:pPr>
              <w:pStyle w:val="P68B1DB1-Normal8"/>
              <w:keepNext/>
              <w:spacing w:before="40" w:after="0" w:line="240" w:lineRule="auto"/>
              <w:jc w:val="both"/>
              <w:rPr>
                <w:rFonts w:eastAsia="Times New Roman" w:cs="Times New Roman"/>
                <w:noProof/>
                <w:szCs w:val="18"/>
              </w:rPr>
            </w:pPr>
            <w:r>
              <w:rPr>
                <w:noProof/>
              </w:rPr>
              <w:t>42</w:t>
            </w:r>
          </w:p>
        </w:tc>
        <w:tc>
          <w:tcPr>
            <w:tcW w:w="4283" w:type="dxa"/>
            <w:tcBorders>
              <w:top w:val="nil"/>
              <w:left w:val="nil"/>
              <w:bottom w:val="single" w:sz="4" w:space="0" w:color="auto"/>
              <w:right w:val="single" w:sz="4" w:space="0" w:color="auto"/>
            </w:tcBorders>
            <w:shd w:val="clear" w:color="000000" w:fill="C6EFCE"/>
            <w:noWrap/>
            <w:vAlign w:val="center"/>
          </w:tcPr>
          <w:p w14:paraId="3499C532" w14:textId="77777777" w:rsidR="00515398" w:rsidRDefault="006711E6">
            <w:pPr>
              <w:pStyle w:val="P68B1DB1-Normal8"/>
              <w:keepNext/>
              <w:spacing w:before="40" w:after="0" w:line="240" w:lineRule="auto"/>
              <w:rPr>
                <w:rFonts w:eastAsia="Times New Roman" w:cs="Times New Roman"/>
                <w:bCs/>
                <w:noProof/>
                <w:szCs w:val="18"/>
              </w:rPr>
            </w:pPr>
            <w:r>
              <w:rPr>
                <w:noProof/>
              </w:rPr>
              <w:t xml:space="preserve">3–1.3. Dobíjení a doplňování paliva – 16281_Rámec pro instalaci a provoz infrastruktury pro </w:t>
            </w:r>
            <w:r>
              <w:rPr>
                <w:noProof/>
              </w:rPr>
              <w:t>dobíjení elektrických vozidel</w:t>
            </w:r>
          </w:p>
        </w:tc>
        <w:tc>
          <w:tcPr>
            <w:tcW w:w="1701" w:type="dxa"/>
            <w:tcBorders>
              <w:top w:val="nil"/>
              <w:left w:val="nil"/>
              <w:bottom w:val="single" w:sz="4" w:space="0" w:color="auto"/>
              <w:right w:val="single" w:sz="4" w:space="0" w:color="auto"/>
            </w:tcBorders>
            <w:shd w:val="clear" w:color="000000" w:fill="C6EFCE"/>
            <w:noWrap/>
            <w:vAlign w:val="center"/>
          </w:tcPr>
          <w:p w14:paraId="0A2ED7A0"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4212BB0A" w14:textId="77777777" w:rsidR="00515398" w:rsidRDefault="006711E6">
            <w:pPr>
              <w:pStyle w:val="P68B1DB1-Normal8"/>
              <w:keepNext/>
              <w:spacing w:before="40" w:after="0" w:line="240" w:lineRule="auto"/>
              <w:rPr>
                <w:rFonts w:eastAsia="Times New Roman" w:cs="Times New Roman"/>
                <w:bCs/>
                <w:noProof/>
                <w:szCs w:val="18"/>
              </w:rPr>
            </w:pPr>
            <w:r>
              <w:rPr>
                <w:noProof/>
              </w:rPr>
              <w:t>Dobíjecí stanice pro elektrická vozidla – vstup právního rámce v platnost</w:t>
            </w:r>
          </w:p>
        </w:tc>
      </w:tr>
      <w:tr w:rsidR="00515398" w14:paraId="4CFBE354"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9CAE194" w14:textId="77777777" w:rsidR="00515398" w:rsidRDefault="006711E6">
            <w:pPr>
              <w:pStyle w:val="P68B1DB1-Normal8"/>
              <w:keepNext/>
              <w:spacing w:before="40" w:after="0" w:line="240" w:lineRule="auto"/>
              <w:jc w:val="both"/>
              <w:rPr>
                <w:rFonts w:eastAsia="Times New Roman" w:cs="Times New Roman"/>
                <w:noProof/>
                <w:szCs w:val="18"/>
              </w:rPr>
            </w:pPr>
            <w:r>
              <w:rPr>
                <w:noProof/>
              </w:rPr>
              <w:t>56</w:t>
            </w:r>
          </w:p>
        </w:tc>
        <w:tc>
          <w:tcPr>
            <w:tcW w:w="4283" w:type="dxa"/>
            <w:tcBorders>
              <w:top w:val="nil"/>
              <w:left w:val="nil"/>
              <w:bottom w:val="single" w:sz="4" w:space="0" w:color="auto"/>
              <w:right w:val="single" w:sz="4" w:space="0" w:color="auto"/>
            </w:tcBorders>
            <w:shd w:val="clear" w:color="000000" w:fill="C6EFCE"/>
            <w:noWrap/>
            <w:vAlign w:val="center"/>
          </w:tcPr>
          <w:p w14:paraId="073CC1E9" w14:textId="77777777" w:rsidR="00515398" w:rsidRDefault="006711E6">
            <w:pPr>
              <w:pStyle w:val="P68B1DB1-Normal8"/>
              <w:keepNext/>
              <w:spacing w:before="40" w:after="0" w:line="240" w:lineRule="auto"/>
              <w:rPr>
                <w:rFonts w:eastAsia="Times New Roman" w:cs="Times New Roman"/>
                <w:bCs/>
                <w:noProof/>
                <w:szCs w:val="18"/>
              </w:rPr>
            </w:pPr>
            <w:r>
              <w:rPr>
                <w:noProof/>
              </w:rPr>
              <w:t>4–1.4. Udržitelné využívání zdrojů, odolnost vůči změně klimatu a ochrana životního prostředí – 16772_Právní předpisy o nakládání s odpady pr</w:t>
            </w:r>
            <w:r>
              <w:rPr>
                <w:noProof/>
              </w:rPr>
              <w:t>o provádění udržitelného skládkování a recyklace</w:t>
            </w:r>
          </w:p>
        </w:tc>
        <w:tc>
          <w:tcPr>
            <w:tcW w:w="1701" w:type="dxa"/>
            <w:tcBorders>
              <w:top w:val="nil"/>
              <w:left w:val="nil"/>
              <w:bottom w:val="single" w:sz="4" w:space="0" w:color="auto"/>
              <w:right w:val="single" w:sz="4" w:space="0" w:color="auto"/>
            </w:tcBorders>
            <w:shd w:val="clear" w:color="000000" w:fill="C6EFCE"/>
            <w:noWrap/>
            <w:vAlign w:val="center"/>
          </w:tcPr>
          <w:p w14:paraId="40E7C4A3"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166F7583" w14:textId="77777777" w:rsidR="00515398" w:rsidRDefault="006711E6">
            <w:pPr>
              <w:pStyle w:val="P68B1DB1-Normal8"/>
              <w:keepNext/>
              <w:spacing w:before="40" w:after="0" w:line="240" w:lineRule="auto"/>
              <w:rPr>
                <w:rFonts w:eastAsia="Times New Roman" w:cs="Times New Roman"/>
                <w:bCs/>
                <w:noProof/>
                <w:szCs w:val="18"/>
              </w:rPr>
            </w:pPr>
            <w:r>
              <w:rPr>
                <w:noProof/>
              </w:rPr>
              <w:t>Vstup v platnost právních předpisů o nakládání s odpady</w:t>
            </w:r>
          </w:p>
        </w:tc>
      </w:tr>
      <w:tr w:rsidR="00515398" w14:paraId="4F8794D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64CE4F4" w14:textId="77777777" w:rsidR="00515398" w:rsidRDefault="006711E6">
            <w:pPr>
              <w:pStyle w:val="P68B1DB1-Normal8"/>
              <w:keepNext/>
              <w:spacing w:before="40" w:after="0" w:line="240" w:lineRule="auto"/>
              <w:jc w:val="both"/>
              <w:rPr>
                <w:rFonts w:eastAsia="Times New Roman" w:cs="Times New Roman"/>
                <w:noProof/>
                <w:szCs w:val="18"/>
              </w:rPr>
            </w:pPr>
            <w:r>
              <w:rPr>
                <w:noProof/>
              </w:rPr>
              <w:t>77</w:t>
            </w:r>
          </w:p>
        </w:tc>
        <w:tc>
          <w:tcPr>
            <w:tcW w:w="4283" w:type="dxa"/>
            <w:tcBorders>
              <w:top w:val="nil"/>
              <w:left w:val="nil"/>
              <w:bottom w:val="single" w:sz="4" w:space="0" w:color="auto"/>
              <w:right w:val="single" w:sz="4" w:space="0" w:color="auto"/>
            </w:tcBorders>
            <w:shd w:val="clear" w:color="000000" w:fill="C6EFCE"/>
            <w:noWrap/>
            <w:vAlign w:val="center"/>
          </w:tcPr>
          <w:p w14:paraId="7EF863DE" w14:textId="77777777" w:rsidR="00515398" w:rsidRDefault="006711E6">
            <w:pPr>
              <w:pStyle w:val="P68B1DB1-Normal8"/>
              <w:keepNext/>
              <w:spacing w:before="40" w:after="0" w:line="240" w:lineRule="auto"/>
              <w:rPr>
                <w:rFonts w:eastAsia="Times New Roman" w:cs="Times New Roman"/>
                <w:bCs/>
                <w:noProof/>
                <w:szCs w:val="18"/>
              </w:rPr>
            </w:pPr>
            <w:r>
              <w:rPr>
                <w:noProof/>
              </w:rPr>
              <w:t xml:space="preserve">4–1.4. Udržitelné využívání zdrojů, odolnost vůči změně klimatu a ochrana životního prostředí – 16283_Provádění regionálních středisek </w:t>
            </w:r>
            <w:r>
              <w:rPr>
                <w:noProof/>
              </w:rPr>
              <w:t>civilní ochrany (PEKEPP) prostřednictvím programů PPP</w:t>
            </w:r>
          </w:p>
        </w:tc>
        <w:tc>
          <w:tcPr>
            <w:tcW w:w="1701" w:type="dxa"/>
            <w:tcBorders>
              <w:top w:val="nil"/>
              <w:left w:val="nil"/>
              <w:bottom w:val="single" w:sz="4" w:space="0" w:color="auto"/>
              <w:right w:val="single" w:sz="4" w:space="0" w:color="auto"/>
            </w:tcBorders>
            <w:shd w:val="clear" w:color="000000" w:fill="C6EFCE"/>
            <w:noWrap/>
            <w:vAlign w:val="center"/>
          </w:tcPr>
          <w:p w14:paraId="1A1C25F9"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44E991B5" w14:textId="77777777" w:rsidR="00515398" w:rsidRDefault="006711E6">
            <w:pPr>
              <w:pStyle w:val="P68B1DB1-Normal8"/>
              <w:keepNext/>
              <w:spacing w:before="40" w:after="0" w:line="240" w:lineRule="auto"/>
              <w:rPr>
                <w:rFonts w:eastAsia="Times New Roman" w:cs="Times New Roman"/>
                <w:bCs/>
                <w:noProof/>
                <w:szCs w:val="18"/>
              </w:rPr>
            </w:pPr>
            <w:r>
              <w:rPr>
                <w:noProof/>
              </w:rPr>
              <w:t>Nabídkové řízení na 13 regionálních středisek</w:t>
            </w:r>
          </w:p>
        </w:tc>
      </w:tr>
      <w:tr w:rsidR="00515398" w14:paraId="68ECDEE5"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F65A58B" w14:textId="77777777" w:rsidR="00515398" w:rsidRDefault="006711E6">
            <w:pPr>
              <w:pStyle w:val="P68B1DB1-Normal8"/>
              <w:keepNext/>
              <w:spacing w:before="40" w:after="0" w:line="240" w:lineRule="auto"/>
              <w:jc w:val="both"/>
              <w:rPr>
                <w:rFonts w:eastAsia="Times New Roman" w:cs="Times New Roman"/>
                <w:noProof/>
                <w:szCs w:val="18"/>
              </w:rPr>
            </w:pPr>
            <w:r>
              <w:rPr>
                <w:noProof/>
              </w:rPr>
              <w:t>133</w:t>
            </w:r>
          </w:p>
        </w:tc>
        <w:tc>
          <w:tcPr>
            <w:tcW w:w="4283" w:type="dxa"/>
            <w:tcBorders>
              <w:top w:val="nil"/>
              <w:left w:val="nil"/>
              <w:bottom w:val="single" w:sz="4" w:space="0" w:color="auto"/>
              <w:right w:val="single" w:sz="4" w:space="0" w:color="auto"/>
            </w:tcBorders>
            <w:shd w:val="clear" w:color="000000" w:fill="C6EFCE"/>
            <w:noWrap/>
            <w:vAlign w:val="center"/>
          </w:tcPr>
          <w:p w14:paraId="198C8A22" w14:textId="77777777" w:rsidR="00515398" w:rsidRDefault="006711E6">
            <w:pPr>
              <w:pStyle w:val="P68B1DB1-Normal8"/>
              <w:keepNext/>
              <w:spacing w:before="40" w:after="0" w:line="240" w:lineRule="auto"/>
              <w:rPr>
                <w:rFonts w:eastAsia="Times New Roman" w:cs="Times New Roman"/>
                <w:bCs/>
                <w:noProof/>
                <w:szCs w:val="18"/>
              </w:rPr>
            </w:pPr>
            <w:r>
              <w:rPr>
                <w:noProof/>
              </w:rPr>
              <w:t>8–3.1. Podpora tvorby pracovních míst a účasti na trhu práce – 16744_Modernizace a zjednodušení pracovního práva</w:t>
            </w:r>
          </w:p>
        </w:tc>
        <w:tc>
          <w:tcPr>
            <w:tcW w:w="1701" w:type="dxa"/>
            <w:tcBorders>
              <w:top w:val="nil"/>
              <w:left w:val="nil"/>
              <w:bottom w:val="single" w:sz="4" w:space="0" w:color="auto"/>
              <w:right w:val="single" w:sz="4" w:space="0" w:color="auto"/>
            </w:tcBorders>
            <w:shd w:val="clear" w:color="000000" w:fill="C6EFCE"/>
            <w:noWrap/>
            <w:vAlign w:val="center"/>
          </w:tcPr>
          <w:p w14:paraId="3F9BFC83"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5E331657" w14:textId="77777777" w:rsidR="00515398" w:rsidRDefault="006711E6">
            <w:pPr>
              <w:pStyle w:val="P68B1DB1-Normal8"/>
              <w:keepNext/>
              <w:spacing w:before="40" w:after="0" w:line="240" w:lineRule="auto"/>
              <w:rPr>
                <w:rFonts w:eastAsia="Times New Roman" w:cs="Times New Roman"/>
                <w:bCs/>
                <w:noProof/>
                <w:szCs w:val="18"/>
              </w:rPr>
            </w:pPr>
            <w:r>
              <w:rPr>
                <w:noProof/>
              </w:rPr>
              <w:t>Vstup v platnost pracovn</w:t>
            </w:r>
            <w:r>
              <w:rPr>
                <w:noProof/>
              </w:rPr>
              <w:t>ího práva</w:t>
            </w:r>
          </w:p>
        </w:tc>
      </w:tr>
      <w:tr w:rsidR="00515398" w14:paraId="061F80BB"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22FE87B" w14:textId="77777777" w:rsidR="00515398" w:rsidRDefault="006711E6">
            <w:pPr>
              <w:pStyle w:val="P68B1DB1-Normal8"/>
              <w:keepNext/>
              <w:spacing w:before="40" w:after="0" w:line="240" w:lineRule="auto"/>
              <w:jc w:val="both"/>
              <w:rPr>
                <w:rFonts w:eastAsia="Times New Roman" w:cs="Times New Roman"/>
                <w:noProof/>
                <w:szCs w:val="18"/>
              </w:rPr>
            </w:pPr>
            <w:r>
              <w:rPr>
                <w:noProof/>
              </w:rPr>
              <w:t>141</w:t>
            </w:r>
          </w:p>
        </w:tc>
        <w:tc>
          <w:tcPr>
            <w:tcW w:w="4283" w:type="dxa"/>
            <w:tcBorders>
              <w:top w:val="nil"/>
              <w:left w:val="nil"/>
              <w:bottom w:val="single" w:sz="4" w:space="0" w:color="auto"/>
              <w:right w:val="single" w:sz="4" w:space="0" w:color="auto"/>
            </w:tcBorders>
            <w:shd w:val="clear" w:color="000000" w:fill="C6EFCE"/>
            <w:noWrap/>
            <w:vAlign w:val="center"/>
          </w:tcPr>
          <w:p w14:paraId="62F6A919" w14:textId="77777777" w:rsidR="00515398" w:rsidRDefault="006711E6">
            <w:pPr>
              <w:pStyle w:val="P68B1DB1-Normal8"/>
              <w:keepNext/>
              <w:spacing w:before="40" w:after="0" w:line="240" w:lineRule="auto"/>
              <w:rPr>
                <w:rFonts w:eastAsia="Times New Roman" w:cs="Times New Roman"/>
                <w:bCs/>
                <w:noProof/>
                <w:szCs w:val="18"/>
              </w:rPr>
            </w:pPr>
            <w:r>
              <w:rPr>
                <w:noProof/>
              </w:rPr>
              <w:t>8–3.1. Podpora tvorby pracovních míst a účasti na trhu práce – 16941_Restrukturalizace a změna značky místních veřejných služeb zaměstnanosti DYPA (KPA2)</w:t>
            </w:r>
          </w:p>
        </w:tc>
        <w:tc>
          <w:tcPr>
            <w:tcW w:w="1701" w:type="dxa"/>
            <w:tcBorders>
              <w:top w:val="nil"/>
              <w:left w:val="nil"/>
              <w:bottom w:val="single" w:sz="4" w:space="0" w:color="auto"/>
              <w:right w:val="single" w:sz="4" w:space="0" w:color="auto"/>
            </w:tcBorders>
            <w:shd w:val="clear" w:color="000000" w:fill="C6EFCE"/>
            <w:noWrap/>
            <w:vAlign w:val="center"/>
          </w:tcPr>
          <w:p w14:paraId="2BC20BEF"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4E50A039" w14:textId="77777777" w:rsidR="00515398" w:rsidRDefault="006711E6">
            <w:pPr>
              <w:pStyle w:val="P68B1DB1-Normal8"/>
              <w:keepNext/>
              <w:spacing w:before="40" w:after="0" w:line="240" w:lineRule="auto"/>
              <w:rPr>
                <w:rFonts w:eastAsia="Times New Roman" w:cs="Times New Roman"/>
                <w:bCs/>
                <w:noProof/>
                <w:szCs w:val="18"/>
              </w:rPr>
            </w:pPr>
            <w:r>
              <w:rPr>
                <w:noProof/>
              </w:rPr>
              <w:t xml:space="preserve">DYPA – organizační reforma vstupu právních předpisů v platnost </w:t>
            </w:r>
          </w:p>
        </w:tc>
      </w:tr>
      <w:tr w:rsidR="00515398" w14:paraId="6662627F"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19A2722" w14:textId="77777777" w:rsidR="00515398" w:rsidRDefault="006711E6">
            <w:pPr>
              <w:pStyle w:val="P68B1DB1-Normal8"/>
              <w:keepNext/>
              <w:spacing w:before="40" w:after="0" w:line="240" w:lineRule="auto"/>
              <w:jc w:val="both"/>
              <w:rPr>
                <w:rFonts w:eastAsia="Times New Roman" w:cs="Times New Roman"/>
                <w:noProof/>
                <w:szCs w:val="18"/>
              </w:rPr>
            </w:pPr>
            <w:r>
              <w:rPr>
                <w:noProof/>
              </w:rPr>
              <w:t>153</w:t>
            </w:r>
          </w:p>
        </w:tc>
        <w:tc>
          <w:tcPr>
            <w:tcW w:w="4283" w:type="dxa"/>
            <w:tcBorders>
              <w:top w:val="nil"/>
              <w:left w:val="nil"/>
              <w:bottom w:val="single" w:sz="4" w:space="0" w:color="auto"/>
              <w:right w:val="single" w:sz="4" w:space="0" w:color="auto"/>
            </w:tcBorders>
            <w:shd w:val="clear" w:color="000000" w:fill="C6EFCE"/>
            <w:noWrap/>
            <w:vAlign w:val="center"/>
          </w:tcPr>
          <w:p w14:paraId="11DBE260" w14:textId="77777777" w:rsidR="00515398" w:rsidRDefault="006711E6">
            <w:pPr>
              <w:pStyle w:val="P68B1DB1-Normal8"/>
              <w:keepNext/>
              <w:spacing w:before="40" w:after="0" w:line="240" w:lineRule="auto"/>
              <w:rPr>
                <w:rFonts w:eastAsia="Times New Roman" w:cs="Times New Roman"/>
                <w:bCs/>
                <w:noProof/>
                <w:szCs w:val="18"/>
              </w:rPr>
            </w:pPr>
            <w:r>
              <w:rPr>
                <w:noProof/>
              </w:rPr>
              <w:t xml:space="preserve">10–3.3. </w:t>
            </w:r>
            <w:r>
              <w:rPr>
                <w:noProof/>
              </w:rPr>
              <w:t>Zlepšení odolnosti, dostupnosti a udržitelnosti zdravotní péče – 16816_Reformy a urychlení investic v odvětví zdravotní péče – snížení zpětného vymáhání a racionalizace výdajů na zdravotní péči</w:t>
            </w:r>
          </w:p>
        </w:tc>
        <w:tc>
          <w:tcPr>
            <w:tcW w:w="1701" w:type="dxa"/>
            <w:tcBorders>
              <w:top w:val="nil"/>
              <w:left w:val="nil"/>
              <w:bottom w:val="single" w:sz="4" w:space="0" w:color="auto"/>
              <w:right w:val="single" w:sz="4" w:space="0" w:color="auto"/>
            </w:tcBorders>
            <w:shd w:val="clear" w:color="000000" w:fill="C6EFCE"/>
            <w:noWrap/>
            <w:vAlign w:val="center"/>
          </w:tcPr>
          <w:p w14:paraId="3B8837FF"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73D8FCAD" w14:textId="77777777" w:rsidR="00515398" w:rsidRDefault="006711E6">
            <w:pPr>
              <w:pStyle w:val="P68B1DB1-Normal8"/>
              <w:keepNext/>
              <w:spacing w:before="40" w:after="0" w:line="240" w:lineRule="auto"/>
              <w:rPr>
                <w:rFonts w:eastAsia="Times New Roman" w:cs="Times New Roman"/>
                <w:bCs/>
                <w:noProof/>
                <w:szCs w:val="18"/>
              </w:rPr>
            </w:pPr>
            <w:r>
              <w:rPr>
                <w:noProof/>
              </w:rPr>
              <w:t>Zpětné vymáhání – vstup právních předpisů v platnost</w:t>
            </w:r>
          </w:p>
        </w:tc>
      </w:tr>
      <w:tr w:rsidR="00515398" w14:paraId="784695F0"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7698078" w14:textId="77777777" w:rsidR="00515398" w:rsidRDefault="006711E6">
            <w:pPr>
              <w:pStyle w:val="P68B1DB1-Normal8"/>
              <w:keepNext/>
              <w:spacing w:before="40" w:after="0" w:line="240" w:lineRule="auto"/>
              <w:jc w:val="both"/>
              <w:rPr>
                <w:rFonts w:eastAsia="Times New Roman" w:cs="Times New Roman"/>
                <w:noProof/>
                <w:szCs w:val="18"/>
              </w:rPr>
            </w:pPr>
            <w:r>
              <w:rPr>
                <w:noProof/>
              </w:rPr>
              <w:t>199</w:t>
            </w:r>
          </w:p>
        </w:tc>
        <w:tc>
          <w:tcPr>
            <w:tcW w:w="4283" w:type="dxa"/>
            <w:tcBorders>
              <w:top w:val="nil"/>
              <w:left w:val="nil"/>
              <w:bottom w:val="single" w:sz="4" w:space="0" w:color="auto"/>
              <w:right w:val="single" w:sz="4" w:space="0" w:color="auto"/>
            </w:tcBorders>
            <w:shd w:val="clear" w:color="000000" w:fill="C6EFCE"/>
            <w:noWrap/>
            <w:vAlign w:val="center"/>
          </w:tcPr>
          <w:p w14:paraId="55726FBB" w14:textId="77777777" w:rsidR="00515398" w:rsidRDefault="006711E6">
            <w:pPr>
              <w:pStyle w:val="P68B1DB1-Normal8"/>
              <w:keepNext/>
              <w:spacing w:before="40" w:after="0" w:line="240" w:lineRule="auto"/>
              <w:rPr>
                <w:rFonts w:eastAsia="Times New Roman" w:cs="Times New Roman"/>
                <w:bCs/>
                <w:noProof/>
                <w:szCs w:val="18"/>
              </w:rPr>
            </w:pPr>
            <w:r>
              <w:rPr>
                <w:noProof/>
              </w:rPr>
              <w:t>12–4.1. Učinit daně příznivější pro růst a zlepšit daňovou správu a výběr daní – 16643_Kodifikace a zjednodušení daňových právních předpisů</w:t>
            </w:r>
          </w:p>
        </w:tc>
        <w:tc>
          <w:tcPr>
            <w:tcW w:w="1701" w:type="dxa"/>
            <w:tcBorders>
              <w:top w:val="nil"/>
              <w:left w:val="nil"/>
              <w:bottom w:val="single" w:sz="4" w:space="0" w:color="auto"/>
              <w:right w:val="single" w:sz="4" w:space="0" w:color="auto"/>
            </w:tcBorders>
            <w:shd w:val="clear" w:color="000000" w:fill="C6EFCE"/>
            <w:noWrap/>
            <w:vAlign w:val="center"/>
          </w:tcPr>
          <w:p w14:paraId="2235479B"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7108C3A5" w14:textId="77777777" w:rsidR="00515398" w:rsidRDefault="006711E6">
            <w:pPr>
              <w:pStyle w:val="P68B1DB1-Normal8"/>
              <w:keepNext/>
              <w:spacing w:before="40" w:after="0" w:line="240" w:lineRule="auto"/>
              <w:rPr>
                <w:rFonts w:eastAsia="Times New Roman" w:cs="Times New Roman"/>
                <w:bCs/>
                <w:noProof/>
                <w:szCs w:val="18"/>
              </w:rPr>
            </w:pPr>
            <w:r>
              <w:rPr>
                <w:noProof/>
              </w:rPr>
              <w:t>Sazebník pro daňovou kodifikaci</w:t>
            </w:r>
          </w:p>
        </w:tc>
      </w:tr>
      <w:tr w:rsidR="00515398" w14:paraId="38F121A9"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6F301E9" w14:textId="77777777" w:rsidR="00515398" w:rsidRDefault="006711E6">
            <w:pPr>
              <w:pStyle w:val="P68B1DB1-Normal8"/>
              <w:keepNext/>
              <w:spacing w:before="40" w:after="0" w:line="240" w:lineRule="auto"/>
              <w:jc w:val="both"/>
              <w:rPr>
                <w:rFonts w:eastAsia="Times New Roman" w:cs="Times New Roman"/>
                <w:noProof/>
                <w:szCs w:val="18"/>
              </w:rPr>
            </w:pPr>
            <w:r>
              <w:rPr>
                <w:noProof/>
              </w:rPr>
              <w:t>200</w:t>
            </w:r>
          </w:p>
        </w:tc>
        <w:tc>
          <w:tcPr>
            <w:tcW w:w="4283" w:type="dxa"/>
            <w:tcBorders>
              <w:top w:val="nil"/>
              <w:left w:val="nil"/>
              <w:bottom w:val="single" w:sz="4" w:space="0" w:color="auto"/>
              <w:right w:val="single" w:sz="4" w:space="0" w:color="auto"/>
            </w:tcBorders>
            <w:shd w:val="clear" w:color="000000" w:fill="C6EFCE"/>
            <w:noWrap/>
            <w:vAlign w:val="center"/>
          </w:tcPr>
          <w:p w14:paraId="739D2CDF" w14:textId="77777777" w:rsidR="00515398" w:rsidRDefault="006711E6">
            <w:pPr>
              <w:pStyle w:val="P68B1DB1-Normal8"/>
              <w:keepNext/>
              <w:spacing w:before="40" w:after="0" w:line="240" w:lineRule="auto"/>
              <w:rPr>
                <w:rFonts w:eastAsia="Times New Roman" w:cs="Times New Roman"/>
                <w:bCs/>
                <w:noProof/>
                <w:szCs w:val="18"/>
              </w:rPr>
            </w:pPr>
            <w:r>
              <w:rPr>
                <w:noProof/>
              </w:rPr>
              <w:t xml:space="preserve">18–4.7. Zlepšení konkurenceschopnosti a podpora soukromých investic </w:t>
            </w:r>
            <w:r>
              <w:rPr>
                <w:noProof/>
              </w:rPr>
              <w:t>a obchodu – 16598_Režim pobídek pro produktivitu a extroverzi podniků (zvýšení velikosti podniků)</w:t>
            </w:r>
          </w:p>
        </w:tc>
        <w:tc>
          <w:tcPr>
            <w:tcW w:w="1701" w:type="dxa"/>
            <w:tcBorders>
              <w:top w:val="nil"/>
              <w:left w:val="nil"/>
              <w:bottom w:val="single" w:sz="4" w:space="0" w:color="auto"/>
              <w:right w:val="single" w:sz="4" w:space="0" w:color="auto"/>
            </w:tcBorders>
            <w:shd w:val="clear" w:color="000000" w:fill="C6EFCE"/>
            <w:noWrap/>
            <w:vAlign w:val="center"/>
          </w:tcPr>
          <w:p w14:paraId="6FCF500F"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7F3F42C3" w14:textId="77777777" w:rsidR="00515398" w:rsidRDefault="006711E6">
            <w:pPr>
              <w:pStyle w:val="P68B1DB1-Normal8"/>
              <w:keepNext/>
              <w:spacing w:before="40" w:after="0" w:line="240" w:lineRule="auto"/>
              <w:rPr>
                <w:rFonts w:eastAsia="Times New Roman" w:cs="Times New Roman"/>
                <w:bCs/>
                <w:noProof/>
                <w:szCs w:val="18"/>
              </w:rPr>
            </w:pPr>
            <w:r>
              <w:rPr>
                <w:noProof/>
              </w:rPr>
              <w:t>Návrh právního předpisu na podporu vytlačování podniků</w:t>
            </w:r>
          </w:p>
        </w:tc>
      </w:tr>
      <w:tr w:rsidR="00515398" w14:paraId="1C955F23"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5A51CC0" w14:textId="77777777" w:rsidR="00515398" w:rsidRDefault="006711E6">
            <w:pPr>
              <w:pStyle w:val="P68B1DB1-Normal8"/>
              <w:keepNext/>
              <w:spacing w:before="40" w:after="0" w:line="240" w:lineRule="auto"/>
              <w:jc w:val="both"/>
              <w:rPr>
                <w:rFonts w:eastAsia="Times New Roman" w:cs="Times New Roman"/>
                <w:noProof/>
                <w:szCs w:val="18"/>
              </w:rPr>
            </w:pPr>
            <w:r>
              <w:rPr>
                <w:noProof/>
              </w:rPr>
              <w:t>222</w:t>
            </w:r>
          </w:p>
        </w:tc>
        <w:tc>
          <w:tcPr>
            <w:tcW w:w="4283" w:type="dxa"/>
            <w:tcBorders>
              <w:top w:val="nil"/>
              <w:left w:val="nil"/>
              <w:bottom w:val="single" w:sz="4" w:space="0" w:color="auto"/>
              <w:right w:val="single" w:sz="4" w:space="0" w:color="auto"/>
            </w:tcBorders>
            <w:shd w:val="clear" w:color="000000" w:fill="C6EFCE"/>
            <w:noWrap/>
            <w:vAlign w:val="center"/>
          </w:tcPr>
          <w:p w14:paraId="7A4CA8BE" w14:textId="77777777" w:rsidR="00515398" w:rsidRDefault="006711E6">
            <w:pPr>
              <w:pStyle w:val="P68B1DB1-Normal8"/>
              <w:keepNext/>
              <w:spacing w:before="40" w:after="0" w:line="240" w:lineRule="auto"/>
              <w:rPr>
                <w:rFonts w:eastAsia="Times New Roman" w:cs="Times New Roman"/>
                <w:bCs/>
                <w:noProof/>
                <w:szCs w:val="18"/>
              </w:rPr>
            </w:pPr>
            <w:r>
              <w:rPr>
                <w:noProof/>
              </w:rPr>
              <w:t>14–4.3. Zlepšení účinnosti soudního systému – 16292_Nové soudní budovy</w:t>
            </w:r>
          </w:p>
        </w:tc>
        <w:tc>
          <w:tcPr>
            <w:tcW w:w="1701" w:type="dxa"/>
            <w:tcBorders>
              <w:top w:val="nil"/>
              <w:left w:val="nil"/>
              <w:bottom w:val="single" w:sz="4" w:space="0" w:color="auto"/>
              <w:right w:val="single" w:sz="4" w:space="0" w:color="auto"/>
            </w:tcBorders>
            <w:shd w:val="clear" w:color="000000" w:fill="C6EFCE"/>
            <w:noWrap/>
            <w:vAlign w:val="center"/>
          </w:tcPr>
          <w:p w14:paraId="69F28DA9"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19318A5A" w14:textId="77777777" w:rsidR="00515398" w:rsidRDefault="006711E6">
            <w:pPr>
              <w:pStyle w:val="P68B1DB1-Normal8"/>
              <w:keepNext/>
              <w:spacing w:before="40" w:after="0" w:line="240" w:lineRule="auto"/>
              <w:rPr>
                <w:rFonts w:eastAsia="Times New Roman" w:cs="Times New Roman"/>
                <w:bCs/>
                <w:noProof/>
                <w:szCs w:val="18"/>
              </w:rPr>
            </w:pPr>
            <w:r>
              <w:rPr>
                <w:noProof/>
              </w:rPr>
              <w:t xml:space="preserve">Identifikace </w:t>
            </w:r>
            <w:r>
              <w:rPr>
                <w:noProof/>
              </w:rPr>
              <w:t>– způsobilé budovy</w:t>
            </w:r>
          </w:p>
        </w:tc>
      </w:tr>
      <w:tr w:rsidR="00515398" w14:paraId="6EF48E8D"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96F7D49" w14:textId="77777777" w:rsidR="00515398" w:rsidRDefault="006711E6">
            <w:pPr>
              <w:pStyle w:val="P68B1DB1-Normal8"/>
              <w:keepNext/>
              <w:spacing w:before="40" w:after="0" w:line="240" w:lineRule="auto"/>
              <w:jc w:val="both"/>
              <w:rPr>
                <w:rFonts w:eastAsia="Times New Roman" w:cs="Times New Roman"/>
                <w:noProof/>
                <w:szCs w:val="18"/>
              </w:rPr>
            </w:pPr>
            <w:r>
              <w:rPr>
                <w:noProof/>
              </w:rPr>
              <w:t>263</w:t>
            </w:r>
          </w:p>
        </w:tc>
        <w:tc>
          <w:tcPr>
            <w:tcW w:w="4283" w:type="dxa"/>
            <w:tcBorders>
              <w:top w:val="nil"/>
              <w:left w:val="nil"/>
              <w:bottom w:val="single" w:sz="4" w:space="0" w:color="auto"/>
              <w:right w:val="single" w:sz="4" w:space="0" w:color="auto"/>
            </w:tcBorders>
            <w:shd w:val="clear" w:color="000000" w:fill="C6EFCE"/>
            <w:noWrap/>
            <w:vAlign w:val="center"/>
          </w:tcPr>
          <w:p w14:paraId="35261C82" w14:textId="77777777" w:rsidR="00515398" w:rsidRDefault="006711E6">
            <w:pPr>
              <w:pStyle w:val="P68B1DB1-Normal8"/>
              <w:keepNext/>
              <w:spacing w:before="40" w:after="0" w:line="240" w:lineRule="auto"/>
              <w:rPr>
                <w:rFonts w:eastAsia="Times New Roman" w:cs="Times New Roman"/>
                <w:bCs/>
                <w:noProof/>
                <w:szCs w:val="18"/>
              </w:rPr>
            </w:pPr>
            <w:r>
              <w:rPr>
                <w:noProof/>
              </w:rPr>
              <w:t>17–4.6. Modernizace a zlepšení odolnosti klíčových hospodářských odvětví – 16982_Organizační reforma v odvětví železniční dopravy</w:t>
            </w:r>
          </w:p>
        </w:tc>
        <w:tc>
          <w:tcPr>
            <w:tcW w:w="1701" w:type="dxa"/>
            <w:tcBorders>
              <w:top w:val="nil"/>
              <w:left w:val="nil"/>
              <w:bottom w:val="single" w:sz="4" w:space="0" w:color="auto"/>
              <w:right w:val="single" w:sz="4" w:space="0" w:color="auto"/>
            </w:tcBorders>
            <w:shd w:val="clear" w:color="000000" w:fill="C6EFCE"/>
            <w:noWrap/>
            <w:vAlign w:val="center"/>
          </w:tcPr>
          <w:p w14:paraId="1220698B"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007DA376" w14:textId="77777777" w:rsidR="00515398" w:rsidRDefault="006711E6">
            <w:pPr>
              <w:pStyle w:val="P68B1DB1-Normal8"/>
              <w:keepNext/>
              <w:spacing w:before="40" w:after="0" w:line="240" w:lineRule="auto"/>
              <w:rPr>
                <w:rFonts w:eastAsia="Times New Roman" w:cs="Times New Roman"/>
                <w:bCs/>
                <w:noProof/>
                <w:szCs w:val="18"/>
              </w:rPr>
            </w:pPr>
            <w:r>
              <w:rPr>
                <w:noProof/>
              </w:rPr>
              <w:t>Plán reformy železnic</w:t>
            </w:r>
          </w:p>
        </w:tc>
      </w:tr>
      <w:tr w:rsidR="00515398" w14:paraId="0A9D282D"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370DA944" w14:textId="77777777" w:rsidR="00515398" w:rsidRDefault="006711E6">
            <w:pPr>
              <w:pStyle w:val="P68B1DB1-Normal8"/>
              <w:keepNext/>
              <w:spacing w:before="40" w:after="0" w:line="240" w:lineRule="auto"/>
              <w:jc w:val="both"/>
              <w:rPr>
                <w:rFonts w:eastAsia="Times New Roman" w:cs="Times New Roman"/>
                <w:noProof/>
                <w:szCs w:val="18"/>
              </w:rPr>
            </w:pPr>
            <w:r>
              <w:rPr>
                <w:noProof/>
              </w:rPr>
              <w:t>331</w:t>
            </w:r>
          </w:p>
        </w:tc>
        <w:tc>
          <w:tcPr>
            <w:tcW w:w="4283" w:type="dxa"/>
            <w:tcBorders>
              <w:top w:val="nil"/>
              <w:left w:val="nil"/>
              <w:bottom w:val="single" w:sz="4" w:space="0" w:color="auto"/>
              <w:right w:val="single" w:sz="4" w:space="0" w:color="auto"/>
            </w:tcBorders>
            <w:shd w:val="clear" w:color="000000" w:fill="C6EFCE"/>
            <w:noWrap/>
            <w:vAlign w:val="center"/>
          </w:tcPr>
          <w:p w14:paraId="22236641" w14:textId="77777777" w:rsidR="00515398" w:rsidRDefault="006711E6">
            <w:pPr>
              <w:pStyle w:val="P68B1DB1-Normal8"/>
              <w:keepNext/>
              <w:spacing w:before="40" w:after="0" w:line="240" w:lineRule="auto"/>
              <w:rPr>
                <w:rFonts w:eastAsia="Times New Roman" w:cs="Times New Roman"/>
                <w:bCs/>
                <w:noProof/>
                <w:szCs w:val="18"/>
              </w:rPr>
            </w:pPr>
            <w:r>
              <w:rPr>
                <w:noProof/>
              </w:rPr>
              <w:t>19–16968_Technická pomoc</w:t>
            </w:r>
          </w:p>
        </w:tc>
        <w:tc>
          <w:tcPr>
            <w:tcW w:w="1701" w:type="dxa"/>
            <w:tcBorders>
              <w:top w:val="nil"/>
              <w:left w:val="nil"/>
              <w:bottom w:val="single" w:sz="4" w:space="0" w:color="auto"/>
              <w:right w:val="single" w:sz="4" w:space="0" w:color="auto"/>
            </w:tcBorders>
            <w:shd w:val="clear" w:color="000000" w:fill="C6EFCE"/>
            <w:noWrap/>
            <w:vAlign w:val="center"/>
          </w:tcPr>
          <w:p w14:paraId="43168934" w14:textId="77777777" w:rsidR="00515398" w:rsidRDefault="006711E6">
            <w:pPr>
              <w:pStyle w:val="P68B1DB1-Normal8"/>
              <w:keepNext/>
              <w:spacing w:before="40" w:after="0" w:line="240" w:lineRule="auto"/>
              <w:rPr>
                <w:rFonts w:eastAsia="Times New Roman" w:cs="Times New Roman"/>
                <w:bCs/>
                <w:noProof/>
                <w:szCs w:val="18"/>
              </w:rPr>
            </w:pPr>
            <w:r>
              <w:rPr>
                <w:noProof/>
              </w:rPr>
              <w:t>Milník</w:t>
            </w:r>
          </w:p>
        </w:tc>
        <w:tc>
          <w:tcPr>
            <w:tcW w:w="2153" w:type="dxa"/>
            <w:tcBorders>
              <w:top w:val="nil"/>
              <w:left w:val="nil"/>
              <w:bottom w:val="single" w:sz="4" w:space="0" w:color="auto"/>
              <w:right w:val="single" w:sz="4" w:space="0" w:color="auto"/>
            </w:tcBorders>
            <w:shd w:val="clear" w:color="000000" w:fill="C6EFCE"/>
            <w:noWrap/>
            <w:vAlign w:val="center"/>
          </w:tcPr>
          <w:p w14:paraId="529A7591" w14:textId="77777777" w:rsidR="00515398" w:rsidRDefault="006711E6">
            <w:pPr>
              <w:pStyle w:val="P68B1DB1-Normal8"/>
              <w:keepNext/>
              <w:spacing w:before="40" w:after="0" w:line="240" w:lineRule="auto"/>
              <w:rPr>
                <w:rFonts w:eastAsia="Times New Roman" w:cs="Times New Roman"/>
                <w:bCs/>
                <w:noProof/>
                <w:szCs w:val="18"/>
              </w:rPr>
            </w:pPr>
            <w:r>
              <w:rPr>
                <w:noProof/>
              </w:rPr>
              <w:t xml:space="preserve">Právní mandát EDEL a zřízení systémů řízení, kontroly a auditu </w:t>
            </w:r>
          </w:p>
        </w:tc>
      </w:tr>
      <w:tr w:rsidR="00515398" w14:paraId="1BC4E3EA"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A1AFA6C" w14:textId="77777777" w:rsidR="00515398" w:rsidRDefault="00515398">
            <w:pPr>
              <w:keepNext/>
              <w:spacing w:before="40" w:after="0" w:line="259" w:lineRule="auto"/>
              <w:jc w:val="both"/>
              <w:rPr>
                <w:rFonts w:ascii="Times New Roman" w:eastAsia="Times New Roman" w:hAnsi="Times New Roman" w:cs="Times New Roman"/>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805E44B" w14:textId="77777777" w:rsidR="00515398" w:rsidRDefault="00515398">
            <w:pPr>
              <w:keepNext/>
              <w:spacing w:before="40" w:after="0" w:line="259" w:lineRule="auto"/>
              <w:rPr>
                <w:rFonts w:ascii="Times New Roman" w:eastAsia="Times New Roman" w:hAnsi="Times New Roman" w:cs="Times New Roman"/>
                <w:bCs/>
                <w:noProof/>
                <w:sz w:val="18"/>
                <w:szCs w:val="18"/>
              </w:rPr>
            </w:pPr>
          </w:p>
        </w:tc>
        <w:tc>
          <w:tcPr>
            <w:tcW w:w="1701" w:type="dxa"/>
            <w:tcBorders>
              <w:top w:val="single" w:sz="4" w:space="0" w:color="auto"/>
              <w:left w:val="nil"/>
              <w:bottom w:val="single" w:sz="4" w:space="0" w:color="auto"/>
              <w:right w:val="single" w:sz="4" w:space="0" w:color="auto"/>
            </w:tcBorders>
            <w:shd w:val="clear" w:color="auto" w:fill="C6EFCE"/>
            <w:noWrap/>
            <w:vAlign w:val="bottom"/>
          </w:tcPr>
          <w:p w14:paraId="6513C9AA" w14:textId="77777777" w:rsidR="00515398" w:rsidRDefault="006711E6">
            <w:pPr>
              <w:pStyle w:val="P68B1DB1-Normal8"/>
              <w:keepNext/>
              <w:spacing w:before="40" w:after="0" w:line="259" w:lineRule="auto"/>
              <w:rPr>
                <w:rFonts w:eastAsia="Times New Roman" w:cs="Times New Roman"/>
                <w:bCs/>
                <w:noProof/>
                <w:szCs w:val="18"/>
              </w:rPr>
            </w:pPr>
            <w:r>
              <w:rPr>
                <w:noProof/>
              </w:rPr>
              <w:t>Splátková částka</w:t>
            </w:r>
          </w:p>
        </w:tc>
        <w:tc>
          <w:tcPr>
            <w:tcW w:w="2153" w:type="dxa"/>
            <w:tcBorders>
              <w:top w:val="single" w:sz="4" w:space="0" w:color="auto"/>
              <w:left w:val="nil"/>
              <w:bottom w:val="single" w:sz="4" w:space="0" w:color="auto"/>
              <w:right w:val="single" w:sz="4" w:space="0" w:color="auto"/>
            </w:tcBorders>
            <w:shd w:val="clear" w:color="auto" w:fill="C6EFCE"/>
            <w:noWrap/>
            <w:vAlign w:val="bottom"/>
          </w:tcPr>
          <w:p w14:paraId="432C7658" w14:textId="77777777" w:rsidR="00515398" w:rsidRDefault="006711E6">
            <w:pPr>
              <w:pStyle w:val="P68B1DB1-Normal8"/>
              <w:keepNext/>
              <w:spacing w:before="40" w:after="0" w:line="259" w:lineRule="auto"/>
              <w:rPr>
                <w:rFonts w:eastAsia="Times New Roman" w:cs="Times New Roman"/>
                <w:bCs/>
                <w:noProof/>
                <w:szCs w:val="18"/>
              </w:rPr>
            </w:pPr>
            <w:r>
              <w:rPr>
                <w:noProof/>
              </w:rPr>
              <w:t>1 974 438 067 EUR</w:t>
            </w:r>
          </w:p>
        </w:tc>
      </w:tr>
    </w:tbl>
    <w:p w14:paraId="6D0B1074" w14:textId="3EE89EFB" w:rsidR="00515398" w:rsidRDefault="00515398">
      <w:pPr>
        <w:rPr>
          <w:rFonts w:ascii="Times New Roman" w:hAnsi="Times New Roman"/>
          <w:noProof/>
          <w:sz w:val="24"/>
        </w:rPr>
      </w:pPr>
    </w:p>
    <w:p w14:paraId="2B43B8C3" w14:textId="351FA198" w:rsidR="00515398" w:rsidRDefault="006711E6">
      <w:pPr>
        <w:pStyle w:val="P68B1DB1-Normal4"/>
        <w:keepNext/>
        <w:numPr>
          <w:ilvl w:val="1"/>
          <w:numId w:val="22"/>
        </w:numPr>
        <w:spacing w:before="40" w:after="160" w:line="259" w:lineRule="auto"/>
        <w:ind w:left="0"/>
        <w:contextualSpacing/>
        <w:jc w:val="both"/>
        <w:rPr>
          <w:noProof/>
        </w:rPr>
      </w:pPr>
      <w:r>
        <w:rPr>
          <w:noProof/>
        </w:rPr>
        <w:t xml:space="preserve"> Druhá žádost o platbu (nevratná podpora):</w:t>
      </w:r>
    </w:p>
    <w:p w14:paraId="23A048F1" w14:textId="77777777" w:rsidR="00515398" w:rsidRDefault="00515398">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Spec="center" w:tblpY="1"/>
        <w:tblOverlap w:val="never"/>
        <w:tblW w:w="9519" w:type="dxa"/>
        <w:tblLook w:val="04A0" w:firstRow="1" w:lastRow="0" w:firstColumn="1" w:lastColumn="0" w:noHBand="0" w:noVBand="1"/>
      </w:tblPr>
      <w:tblGrid>
        <w:gridCol w:w="1804"/>
        <w:gridCol w:w="4283"/>
        <w:gridCol w:w="1692"/>
        <w:gridCol w:w="1740"/>
      </w:tblGrid>
      <w:tr w:rsidR="00515398" w14:paraId="440623B5" w14:textId="77777777">
        <w:trPr>
          <w:trHeight w:val="509"/>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AB5DF17" w14:textId="2B2E6252"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E3C302C"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610F86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14:paraId="04156667"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7D576579"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A94A9A0"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743C34EA"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44C6F463"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40" w:type="dxa"/>
            <w:vMerge/>
            <w:tcBorders>
              <w:top w:val="single" w:sz="4" w:space="0" w:color="auto"/>
              <w:left w:val="nil"/>
              <w:bottom w:val="single" w:sz="4" w:space="0" w:color="000000"/>
              <w:right w:val="single" w:sz="4" w:space="0" w:color="auto"/>
            </w:tcBorders>
            <w:vAlign w:val="center"/>
            <w:hideMark/>
          </w:tcPr>
          <w:p w14:paraId="1F9A4BB7"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6E8DD6E2"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CDCC36D" w14:textId="77777777" w:rsidR="00515398" w:rsidRDefault="006711E6">
            <w:pPr>
              <w:pStyle w:val="P68B1DB1-Normal8"/>
              <w:keepNext/>
              <w:spacing w:before="40" w:after="0" w:line="259" w:lineRule="auto"/>
              <w:jc w:val="both"/>
              <w:rPr>
                <w:rFonts w:eastAsia="Times New Roman" w:cs="Times New Roman"/>
                <w:noProof/>
                <w:szCs w:val="18"/>
              </w:rPr>
            </w:pPr>
            <w:r>
              <w:rPr>
                <w:noProof/>
              </w:rPr>
              <w:t>44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5C41F8C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3–1.3. Dobíjení a </w:t>
            </w:r>
            <w:r>
              <w:rPr>
                <w:noProof/>
              </w:rPr>
              <w:t>doplňování paliva – 16924_Elektromobilita</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9F29FE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1BED02B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Veřejná doprava – vstup v platnost regulace trhu závazků veřejné služby (autobusy)</w:t>
            </w:r>
          </w:p>
        </w:tc>
      </w:tr>
      <w:tr w:rsidR="00515398" w14:paraId="273041F0"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27982FA" w14:textId="77777777" w:rsidR="00515398" w:rsidRDefault="006711E6">
            <w:pPr>
              <w:pStyle w:val="P68B1DB1-Normal8"/>
              <w:keepNext/>
              <w:spacing w:before="40" w:after="0" w:line="259" w:lineRule="auto"/>
              <w:jc w:val="both"/>
              <w:rPr>
                <w:rFonts w:eastAsia="Times New Roman" w:cs="Times New Roman"/>
                <w:noProof/>
                <w:szCs w:val="18"/>
              </w:rPr>
            </w:pPr>
            <w:r>
              <w:rPr>
                <w:noProof/>
              </w:rPr>
              <w:t>197</w:t>
            </w:r>
          </w:p>
        </w:tc>
        <w:tc>
          <w:tcPr>
            <w:tcW w:w="4283" w:type="dxa"/>
            <w:tcBorders>
              <w:top w:val="nil"/>
              <w:left w:val="nil"/>
              <w:bottom w:val="single" w:sz="4" w:space="0" w:color="auto"/>
              <w:right w:val="single" w:sz="4" w:space="0" w:color="auto"/>
            </w:tcBorders>
            <w:shd w:val="clear" w:color="000000" w:fill="C6EFCE"/>
            <w:noWrap/>
            <w:vAlign w:val="center"/>
          </w:tcPr>
          <w:p w14:paraId="1AA299C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12–4.1. Učinit daně příznivější pro růst a zlepšit daňovou správu a výběr daní – 16863_Super – odpočet výdajů na </w:t>
            </w:r>
            <w:r>
              <w:rPr>
                <w:noProof/>
              </w:rPr>
              <w:t>zelenou ekonomiku, energetiku a digitální transformaci</w:t>
            </w:r>
          </w:p>
        </w:tc>
        <w:tc>
          <w:tcPr>
            <w:tcW w:w="1692" w:type="dxa"/>
            <w:tcBorders>
              <w:top w:val="nil"/>
              <w:left w:val="nil"/>
              <w:bottom w:val="single" w:sz="4" w:space="0" w:color="auto"/>
              <w:right w:val="single" w:sz="4" w:space="0" w:color="auto"/>
            </w:tcBorders>
            <w:shd w:val="clear" w:color="000000" w:fill="C6EFCE"/>
            <w:noWrap/>
            <w:vAlign w:val="center"/>
          </w:tcPr>
          <w:p w14:paraId="6AF2ECF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0478BE7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Superodpočet pro zelené a digitální investice malých a středních podniků</w:t>
            </w:r>
          </w:p>
        </w:tc>
      </w:tr>
      <w:tr w:rsidR="00515398" w14:paraId="027062EE"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15E5215" w14:textId="77777777" w:rsidR="00515398" w:rsidRDefault="006711E6">
            <w:pPr>
              <w:pStyle w:val="P68B1DB1-Normal8"/>
              <w:keepNext/>
              <w:spacing w:before="40" w:after="0" w:line="259" w:lineRule="auto"/>
              <w:jc w:val="both"/>
              <w:rPr>
                <w:rFonts w:eastAsia="Times New Roman" w:cs="Times New Roman"/>
                <w:noProof/>
                <w:szCs w:val="18"/>
              </w:rPr>
            </w:pPr>
            <w:r>
              <w:rPr>
                <w:noProof/>
              </w:rPr>
              <w:t>198</w:t>
            </w:r>
          </w:p>
        </w:tc>
        <w:tc>
          <w:tcPr>
            <w:tcW w:w="4283" w:type="dxa"/>
            <w:tcBorders>
              <w:top w:val="nil"/>
              <w:left w:val="nil"/>
              <w:bottom w:val="single" w:sz="4" w:space="0" w:color="auto"/>
              <w:right w:val="single" w:sz="4" w:space="0" w:color="auto"/>
            </w:tcBorders>
            <w:shd w:val="clear" w:color="000000" w:fill="C6EFCE"/>
            <w:noWrap/>
            <w:vAlign w:val="center"/>
          </w:tcPr>
          <w:p w14:paraId="1A7FA47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 daňovou správu a výběr daní – 16616_Přijetí opatření a pobídek ke</w:t>
            </w:r>
            <w:r>
              <w:rPr>
                <w:noProof/>
              </w:rPr>
              <w:t xml:space="preserve"> zvýšení počtu elektronických transakcí</w:t>
            </w:r>
          </w:p>
        </w:tc>
        <w:tc>
          <w:tcPr>
            <w:tcW w:w="1692" w:type="dxa"/>
            <w:tcBorders>
              <w:top w:val="nil"/>
              <w:left w:val="nil"/>
              <w:bottom w:val="single" w:sz="4" w:space="0" w:color="auto"/>
              <w:right w:val="single" w:sz="4" w:space="0" w:color="auto"/>
            </w:tcBorders>
            <w:shd w:val="clear" w:color="000000" w:fill="C6EFCE"/>
            <w:noWrap/>
            <w:vAlign w:val="center"/>
          </w:tcPr>
          <w:p w14:paraId="2DD4D22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588F099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Právní předpisy na podporu elektronických transakcí</w:t>
            </w:r>
          </w:p>
        </w:tc>
      </w:tr>
      <w:tr w:rsidR="00515398" w14:paraId="01EC113A"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C8FF790" w14:textId="77777777" w:rsidR="00515398" w:rsidRDefault="006711E6">
            <w:pPr>
              <w:pStyle w:val="P68B1DB1-Normal8"/>
              <w:keepNext/>
              <w:spacing w:before="40" w:after="0" w:line="259" w:lineRule="auto"/>
              <w:jc w:val="both"/>
              <w:rPr>
                <w:rFonts w:eastAsia="Times New Roman" w:cs="Times New Roman"/>
                <w:noProof/>
                <w:szCs w:val="18"/>
              </w:rPr>
            </w:pPr>
            <w:r>
              <w:rPr>
                <w:noProof/>
              </w:rPr>
              <w:t>240</w:t>
            </w:r>
          </w:p>
        </w:tc>
        <w:tc>
          <w:tcPr>
            <w:tcW w:w="4283" w:type="dxa"/>
            <w:tcBorders>
              <w:top w:val="nil"/>
              <w:left w:val="nil"/>
              <w:bottom w:val="single" w:sz="4" w:space="0" w:color="auto"/>
              <w:right w:val="single" w:sz="4" w:space="0" w:color="auto"/>
            </w:tcBorders>
            <w:shd w:val="clear" w:color="000000" w:fill="C6EFCE"/>
            <w:noWrap/>
            <w:vAlign w:val="center"/>
          </w:tcPr>
          <w:p w14:paraId="2A19248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15–4.4. Posílení finančního sektoru a kapitálových trhů – 16581_Posílený dohled nad kapitálovými trhy a jejich důvěryhodnost</w:t>
            </w:r>
          </w:p>
        </w:tc>
        <w:tc>
          <w:tcPr>
            <w:tcW w:w="1692" w:type="dxa"/>
            <w:tcBorders>
              <w:top w:val="nil"/>
              <w:left w:val="nil"/>
              <w:bottom w:val="single" w:sz="4" w:space="0" w:color="auto"/>
              <w:right w:val="single" w:sz="4" w:space="0" w:color="auto"/>
            </w:tcBorders>
            <w:shd w:val="clear" w:color="000000" w:fill="C6EFCE"/>
            <w:noWrap/>
            <w:vAlign w:val="center"/>
          </w:tcPr>
          <w:p w14:paraId="219A6DD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3C757A9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Kapitálové trhy, doh</w:t>
            </w:r>
            <w:r>
              <w:rPr>
                <w:noProof/>
              </w:rPr>
              <w:t>led, digitalizace postupů dohledu, unie kapitálových trhů</w:t>
            </w:r>
          </w:p>
        </w:tc>
      </w:tr>
      <w:tr w:rsidR="00515398" w14:paraId="05E34251"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85D9DE8" w14:textId="77777777" w:rsidR="00515398" w:rsidRDefault="006711E6">
            <w:pPr>
              <w:pStyle w:val="P68B1DB1-Normal8"/>
              <w:keepNext/>
              <w:spacing w:before="40" w:after="0" w:line="259" w:lineRule="auto"/>
              <w:jc w:val="both"/>
              <w:rPr>
                <w:rFonts w:eastAsia="Times New Roman" w:cs="Times New Roman"/>
                <w:noProof/>
                <w:szCs w:val="18"/>
              </w:rPr>
            </w:pPr>
            <w:r>
              <w:rPr>
                <w:noProof/>
              </w:rPr>
              <w:t>299</w:t>
            </w:r>
          </w:p>
        </w:tc>
        <w:tc>
          <w:tcPr>
            <w:tcW w:w="4283" w:type="dxa"/>
            <w:tcBorders>
              <w:top w:val="nil"/>
              <w:left w:val="nil"/>
              <w:bottom w:val="single" w:sz="4" w:space="0" w:color="auto"/>
              <w:right w:val="single" w:sz="4" w:space="0" w:color="auto"/>
            </w:tcBorders>
            <w:shd w:val="clear" w:color="000000" w:fill="C6EFCE"/>
            <w:noWrap/>
            <w:vAlign w:val="center"/>
          </w:tcPr>
          <w:p w14:paraId="1A7FC43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16593_Změna právního rámce pro přilákání strategických investic</w:t>
            </w:r>
          </w:p>
        </w:tc>
        <w:tc>
          <w:tcPr>
            <w:tcW w:w="1692" w:type="dxa"/>
            <w:tcBorders>
              <w:top w:val="nil"/>
              <w:left w:val="nil"/>
              <w:bottom w:val="single" w:sz="4" w:space="0" w:color="auto"/>
              <w:right w:val="single" w:sz="4" w:space="0" w:color="auto"/>
            </w:tcBorders>
            <w:shd w:val="clear" w:color="000000" w:fill="C6EFCE"/>
            <w:noWrap/>
            <w:vAlign w:val="center"/>
          </w:tcPr>
          <w:p w14:paraId="329686C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53BC9D1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Strategické investice – legislativní reforma</w:t>
            </w:r>
          </w:p>
        </w:tc>
      </w:tr>
      <w:tr w:rsidR="00515398" w14:paraId="06FB19C4"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A73D16C" w14:textId="77777777" w:rsidR="00515398" w:rsidRDefault="006711E6">
            <w:pPr>
              <w:pStyle w:val="P68B1DB1-Normal8"/>
              <w:keepNext/>
              <w:spacing w:before="40" w:after="0" w:line="259" w:lineRule="auto"/>
              <w:jc w:val="both"/>
              <w:rPr>
                <w:rFonts w:eastAsia="Times New Roman" w:cs="Times New Roman"/>
                <w:noProof/>
                <w:szCs w:val="18"/>
              </w:rPr>
            </w:pPr>
            <w:r>
              <w:rPr>
                <w:noProof/>
              </w:rPr>
              <w:t>9</w:t>
            </w:r>
          </w:p>
        </w:tc>
        <w:tc>
          <w:tcPr>
            <w:tcW w:w="4283" w:type="dxa"/>
            <w:tcBorders>
              <w:top w:val="nil"/>
              <w:left w:val="nil"/>
              <w:bottom w:val="single" w:sz="4" w:space="0" w:color="auto"/>
              <w:right w:val="single" w:sz="4" w:space="0" w:color="auto"/>
            </w:tcBorders>
            <w:shd w:val="clear" w:color="000000" w:fill="C6EFCE"/>
            <w:noWrap/>
            <w:vAlign w:val="center"/>
          </w:tcPr>
          <w:p w14:paraId="48361EA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Posílení moci – 16871_Opatření v oblasti revitalizace nejvíce postižených území (území pro spravedlivou transformaci)</w:t>
            </w:r>
          </w:p>
        </w:tc>
        <w:tc>
          <w:tcPr>
            <w:tcW w:w="1692" w:type="dxa"/>
            <w:tcBorders>
              <w:top w:val="nil"/>
              <w:left w:val="nil"/>
              <w:bottom w:val="single" w:sz="4" w:space="0" w:color="auto"/>
              <w:right w:val="single" w:sz="4" w:space="0" w:color="auto"/>
            </w:tcBorders>
            <w:shd w:val="clear" w:color="000000" w:fill="C6EFCE"/>
            <w:noWrap/>
            <w:vAlign w:val="center"/>
          </w:tcPr>
          <w:p w14:paraId="5F44028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F22D96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Sanace půdy – rámcový zákon</w:t>
            </w:r>
          </w:p>
        </w:tc>
      </w:tr>
      <w:tr w:rsidR="00515398" w14:paraId="18F3C1CC"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A182368" w14:textId="77777777" w:rsidR="00515398" w:rsidRDefault="006711E6">
            <w:pPr>
              <w:pStyle w:val="P68B1DB1-Normal8"/>
              <w:keepNext/>
              <w:spacing w:before="40" w:after="0" w:line="259" w:lineRule="auto"/>
              <w:jc w:val="both"/>
              <w:rPr>
                <w:rFonts w:eastAsia="Times New Roman" w:cs="Times New Roman"/>
                <w:noProof/>
                <w:szCs w:val="18"/>
              </w:rPr>
            </w:pPr>
            <w:r>
              <w:rPr>
                <w:noProof/>
              </w:rPr>
              <w:t>130</w:t>
            </w:r>
          </w:p>
        </w:tc>
        <w:tc>
          <w:tcPr>
            <w:tcW w:w="4283" w:type="dxa"/>
            <w:tcBorders>
              <w:top w:val="nil"/>
              <w:left w:val="nil"/>
              <w:bottom w:val="single" w:sz="4" w:space="0" w:color="auto"/>
              <w:right w:val="single" w:sz="4" w:space="0" w:color="auto"/>
            </w:tcBorders>
            <w:shd w:val="clear" w:color="000000" w:fill="C6EFCE"/>
            <w:noWrap/>
            <w:vAlign w:val="center"/>
          </w:tcPr>
          <w:p w14:paraId="3B13374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7–2.3. Digitalizace podniků – 16706_Digitální transformace malých a středních podniků</w:t>
            </w:r>
          </w:p>
        </w:tc>
        <w:tc>
          <w:tcPr>
            <w:tcW w:w="1692" w:type="dxa"/>
            <w:tcBorders>
              <w:top w:val="nil"/>
              <w:left w:val="nil"/>
              <w:bottom w:val="single" w:sz="4" w:space="0" w:color="auto"/>
              <w:right w:val="single" w:sz="4" w:space="0" w:color="auto"/>
            </w:tcBorders>
            <w:shd w:val="clear" w:color="000000" w:fill="C6EFCE"/>
            <w:noWrap/>
            <w:vAlign w:val="center"/>
          </w:tcPr>
          <w:p w14:paraId="6B3B96B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68121670" w14:textId="1B745CA8" w:rsidR="00515398" w:rsidRDefault="006711E6">
            <w:pPr>
              <w:pStyle w:val="P68B1DB1-Normal8"/>
              <w:keepNext/>
              <w:spacing w:before="40" w:after="0" w:line="240" w:lineRule="auto"/>
              <w:jc w:val="both"/>
              <w:rPr>
                <w:rFonts w:eastAsia="Times New Roman" w:cs="Times New Roman"/>
                <w:bCs/>
                <w:noProof/>
                <w:szCs w:val="18"/>
              </w:rPr>
            </w:pPr>
            <w:r>
              <w:rPr>
                <w:noProof/>
              </w:rPr>
              <w:t>Digitální transformace malých a středních podniků – výzvy k předkládání návrhů</w:t>
            </w:r>
          </w:p>
        </w:tc>
      </w:tr>
      <w:tr w:rsidR="00515398" w14:paraId="54E8C07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A5E734B" w14:textId="77777777" w:rsidR="00515398" w:rsidRDefault="006711E6">
            <w:pPr>
              <w:pStyle w:val="P68B1DB1-Normal8"/>
              <w:keepNext/>
              <w:spacing w:before="40" w:after="0" w:line="259" w:lineRule="auto"/>
              <w:jc w:val="both"/>
              <w:rPr>
                <w:rFonts w:eastAsia="Times New Roman" w:cs="Times New Roman"/>
                <w:noProof/>
                <w:szCs w:val="18"/>
              </w:rPr>
            </w:pPr>
            <w:r>
              <w:rPr>
                <w:noProof/>
              </w:rPr>
              <w:t>174</w:t>
            </w:r>
          </w:p>
        </w:tc>
        <w:tc>
          <w:tcPr>
            <w:tcW w:w="4283" w:type="dxa"/>
            <w:tcBorders>
              <w:top w:val="nil"/>
              <w:left w:val="nil"/>
              <w:bottom w:val="single" w:sz="4" w:space="0" w:color="auto"/>
              <w:right w:val="single" w:sz="4" w:space="0" w:color="auto"/>
            </w:tcBorders>
            <w:shd w:val="clear" w:color="000000" w:fill="C6EFCE"/>
            <w:noWrap/>
            <w:vAlign w:val="center"/>
          </w:tcPr>
          <w:p w14:paraId="7479E95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11–3.4. Zlepšení přístupu k účinným a inkluzivním sociálním politikám – 16904_Zdravotní postižení</w:t>
            </w:r>
          </w:p>
        </w:tc>
        <w:tc>
          <w:tcPr>
            <w:tcW w:w="1692" w:type="dxa"/>
            <w:tcBorders>
              <w:top w:val="nil"/>
              <w:left w:val="nil"/>
              <w:bottom w:val="single" w:sz="4" w:space="0" w:color="auto"/>
              <w:right w:val="single" w:sz="4" w:space="0" w:color="auto"/>
            </w:tcBorders>
            <w:shd w:val="clear" w:color="000000" w:fill="C6EFCE"/>
            <w:noWrap/>
            <w:vAlign w:val="center"/>
          </w:tcPr>
          <w:p w14:paraId="03F8F04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002635C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Právní předpisy v oblasti osobní asistence pro osoby se zdra</w:t>
            </w:r>
            <w:r>
              <w:rPr>
                <w:noProof/>
              </w:rPr>
              <w:t>votním postižením a zavedení pilotního programu první fáze</w:t>
            </w:r>
          </w:p>
        </w:tc>
      </w:tr>
      <w:tr w:rsidR="00515398" w14:paraId="238AB40A"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02BAA04" w14:textId="77777777" w:rsidR="00515398" w:rsidRDefault="006711E6">
            <w:pPr>
              <w:pStyle w:val="P68B1DB1-Normal8"/>
              <w:keepNext/>
              <w:spacing w:before="40" w:after="0" w:line="259" w:lineRule="auto"/>
              <w:jc w:val="both"/>
              <w:rPr>
                <w:rFonts w:eastAsia="Times New Roman" w:cs="Times New Roman"/>
                <w:noProof/>
                <w:szCs w:val="18"/>
              </w:rPr>
            </w:pPr>
            <w:r>
              <w:rPr>
                <w:noProof/>
              </w:rPr>
              <w:t>188</w:t>
            </w:r>
          </w:p>
        </w:tc>
        <w:tc>
          <w:tcPr>
            <w:tcW w:w="4283" w:type="dxa"/>
            <w:tcBorders>
              <w:top w:val="nil"/>
              <w:left w:val="nil"/>
              <w:bottom w:val="single" w:sz="4" w:space="0" w:color="auto"/>
              <w:right w:val="single" w:sz="4" w:space="0" w:color="auto"/>
            </w:tcBorders>
            <w:shd w:val="clear" w:color="000000" w:fill="C6EFCE"/>
            <w:noWrap/>
            <w:vAlign w:val="center"/>
          </w:tcPr>
          <w:p w14:paraId="2625F9B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příznivějšími pro růst a zlepšit daňovou správu a výběr daní – 16614_Online registrační pokladny a POS (reforma)</w:t>
            </w:r>
          </w:p>
        </w:tc>
        <w:tc>
          <w:tcPr>
            <w:tcW w:w="1692" w:type="dxa"/>
            <w:tcBorders>
              <w:top w:val="nil"/>
              <w:left w:val="nil"/>
              <w:bottom w:val="single" w:sz="4" w:space="0" w:color="auto"/>
              <w:right w:val="single" w:sz="4" w:space="0" w:color="auto"/>
            </w:tcBorders>
            <w:shd w:val="clear" w:color="000000" w:fill="C6EFCE"/>
            <w:noWrap/>
            <w:vAlign w:val="center"/>
          </w:tcPr>
          <w:p w14:paraId="19EA16B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476FB1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Nezávislý úřad pro veřejné příjmy (IAPR): On-line </w:t>
            </w:r>
            <w:r>
              <w:rPr>
                <w:noProof/>
              </w:rPr>
              <w:t>registrační pokladny a prodejní místa – vstup právního rámce v platnost</w:t>
            </w:r>
          </w:p>
        </w:tc>
      </w:tr>
      <w:tr w:rsidR="00515398" w14:paraId="6C2F0CF9"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B299696" w14:textId="77777777" w:rsidR="00515398" w:rsidRDefault="006711E6">
            <w:pPr>
              <w:pStyle w:val="P68B1DB1-Normal8"/>
              <w:keepNext/>
              <w:spacing w:before="40" w:after="0" w:line="259" w:lineRule="auto"/>
              <w:jc w:val="both"/>
              <w:rPr>
                <w:rFonts w:eastAsia="Times New Roman" w:cs="Times New Roman"/>
                <w:noProof/>
                <w:szCs w:val="18"/>
              </w:rPr>
            </w:pPr>
            <w:r>
              <w:rPr>
                <w:noProof/>
              </w:rPr>
              <w:t>190</w:t>
            </w:r>
          </w:p>
        </w:tc>
        <w:tc>
          <w:tcPr>
            <w:tcW w:w="4283" w:type="dxa"/>
            <w:tcBorders>
              <w:top w:val="nil"/>
              <w:left w:val="nil"/>
              <w:bottom w:val="single" w:sz="4" w:space="0" w:color="auto"/>
              <w:right w:val="single" w:sz="4" w:space="0" w:color="auto"/>
            </w:tcBorders>
            <w:shd w:val="clear" w:color="000000" w:fill="C6EFCE"/>
            <w:noWrap/>
            <w:vAlign w:val="center"/>
          </w:tcPr>
          <w:p w14:paraId="2582BFC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12–4.1. Učinit daně příznivější pro růst a zlepšit daňovou správu a výběr daní – 16656_Nový rámec pro boj proti pašování, zejména u výrobků podléhajících spotřebním daním (tabák, </w:t>
            </w:r>
            <w:r>
              <w:rPr>
                <w:noProof/>
              </w:rPr>
              <w:t>alkohol a energie)</w:t>
            </w:r>
          </w:p>
        </w:tc>
        <w:tc>
          <w:tcPr>
            <w:tcW w:w="1692" w:type="dxa"/>
            <w:tcBorders>
              <w:top w:val="nil"/>
              <w:left w:val="nil"/>
              <w:bottom w:val="single" w:sz="4" w:space="0" w:color="auto"/>
              <w:right w:val="single" w:sz="4" w:space="0" w:color="auto"/>
            </w:tcBorders>
            <w:shd w:val="clear" w:color="000000" w:fill="C6EFCE"/>
            <w:noWrap/>
            <w:vAlign w:val="center"/>
          </w:tcPr>
          <w:p w14:paraId="2402F8A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2108DDB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Boj proti pašování – plán regulačních rozhodnutí</w:t>
            </w:r>
          </w:p>
        </w:tc>
      </w:tr>
      <w:tr w:rsidR="00515398" w14:paraId="3AA37639"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64119594" w14:textId="77777777" w:rsidR="00515398" w:rsidRDefault="006711E6">
            <w:pPr>
              <w:pStyle w:val="P68B1DB1-Normal8"/>
              <w:keepNext/>
              <w:spacing w:before="40" w:after="0" w:line="259" w:lineRule="auto"/>
              <w:jc w:val="both"/>
              <w:rPr>
                <w:rFonts w:eastAsia="Times New Roman" w:cs="Times New Roman"/>
                <w:noProof/>
                <w:szCs w:val="18"/>
              </w:rPr>
            </w:pPr>
            <w:r>
              <w:rPr>
                <w:noProof/>
              </w:rPr>
              <w:t>201</w:t>
            </w:r>
          </w:p>
        </w:tc>
        <w:tc>
          <w:tcPr>
            <w:tcW w:w="4283" w:type="dxa"/>
            <w:tcBorders>
              <w:top w:val="nil"/>
              <w:left w:val="nil"/>
              <w:bottom w:val="single" w:sz="4" w:space="0" w:color="auto"/>
              <w:right w:val="single" w:sz="4" w:space="0" w:color="auto"/>
            </w:tcBorders>
            <w:shd w:val="clear" w:color="000000" w:fill="C6EFCE"/>
            <w:noWrap/>
            <w:vAlign w:val="center"/>
          </w:tcPr>
          <w:p w14:paraId="11A448F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18–4.7. Zlepšení konkurenceschopnosti a podpora soukromých investic a obchodu – 16598_Režim pobídek pro produktivitu a extroverzi podniků (zvýšení velikosti podniků)</w:t>
            </w:r>
          </w:p>
        </w:tc>
        <w:tc>
          <w:tcPr>
            <w:tcW w:w="1692" w:type="dxa"/>
            <w:tcBorders>
              <w:top w:val="nil"/>
              <w:left w:val="nil"/>
              <w:bottom w:val="single" w:sz="4" w:space="0" w:color="auto"/>
              <w:right w:val="single" w:sz="4" w:space="0" w:color="auto"/>
            </w:tcBorders>
            <w:shd w:val="clear" w:color="000000" w:fill="C6EFCE"/>
            <w:noWrap/>
            <w:vAlign w:val="center"/>
          </w:tcPr>
          <w:p w14:paraId="66905C1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B2A8E5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Právní předpisy na podporu vytlačování podniků</w:t>
            </w:r>
          </w:p>
        </w:tc>
      </w:tr>
      <w:tr w:rsidR="00515398" w14:paraId="0831DE9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BFB41A6" w14:textId="77777777" w:rsidR="00515398" w:rsidRDefault="006711E6">
            <w:pPr>
              <w:pStyle w:val="P68B1DB1-Normal8"/>
              <w:keepNext/>
              <w:spacing w:before="40" w:after="0" w:line="259" w:lineRule="auto"/>
              <w:jc w:val="both"/>
              <w:rPr>
                <w:rFonts w:eastAsia="Times New Roman" w:cs="Times New Roman"/>
                <w:noProof/>
                <w:szCs w:val="18"/>
              </w:rPr>
            </w:pPr>
            <w:r>
              <w:rPr>
                <w:noProof/>
              </w:rPr>
              <w:t>224</w:t>
            </w:r>
          </w:p>
        </w:tc>
        <w:tc>
          <w:tcPr>
            <w:tcW w:w="4283" w:type="dxa"/>
            <w:tcBorders>
              <w:top w:val="nil"/>
              <w:left w:val="nil"/>
              <w:bottom w:val="single" w:sz="4" w:space="0" w:color="auto"/>
              <w:right w:val="single" w:sz="4" w:space="0" w:color="auto"/>
            </w:tcBorders>
            <w:shd w:val="clear" w:color="000000" w:fill="C6EFCE"/>
            <w:noWrap/>
            <w:vAlign w:val="center"/>
          </w:tcPr>
          <w:p w14:paraId="6112481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Zlepšit účinnost soudního systému – 16733_Dovednosti a digitální dovednosti soudců a soudních zaměstnanců (soudní zaměstnanci)</w:t>
            </w:r>
          </w:p>
        </w:tc>
        <w:tc>
          <w:tcPr>
            <w:tcW w:w="1692" w:type="dxa"/>
            <w:tcBorders>
              <w:top w:val="nil"/>
              <w:left w:val="nil"/>
              <w:bottom w:val="single" w:sz="4" w:space="0" w:color="auto"/>
              <w:right w:val="single" w:sz="4" w:space="0" w:color="auto"/>
            </w:tcBorders>
            <w:shd w:val="clear" w:color="000000" w:fill="C6EFCE"/>
            <w:noWrap/>
            <w:vAlign w:val="center"/>
          </w:tcPr>
          <w:p w14:paraId="1564321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740" w:type="dxa"/>
            <w:tcBorders>
              <w:top w:val="nil"/>
              <w:left w:val="nil"/>
              <w:bottom w:val="single" w:sz="4" w:space="0" w:color="auto"/>
              <w:right w:val="single" w:sz="4" w:space="0" w:color="auto"/>
            </w:tcBorders>
            <w:shd w:val="clear" w:color="000000" w:fill="C6EFCE"/>
            <w:noWrap/>
            <w:vAlign w:val="center"/>
          </w:tcPr>
          <w:p w14:paraId="3FE325E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Školení – soudci a úředníci</w:t>
            </w:r>
          </w:p>
        </w:tc>
      </w:tr>
      <w:tr w:rsidR="00515398" w14:paraId="0850A71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C343DBC" w14:textId="77777777" w:rsidR="00515398" w:rsidRDefault="006711E6">
            <w:pPr>
              <w:pStyle w:val="P68B1DB1-Normal8"/>
              <w:keepNext/>
              <w:spacing w:before="40" w:after="0" w:line="259" w:lineRule="auto"/>
              <w:jc w:val="both"/>
              <w:rPr>
                <w:rFonts w:eastAsia="Times New Roman" w:cs="Times New Roman"/>
                <w:noProof/>
                <w:szCs w:val="18"/>
              </w:rPr>
            </w:pPr>
            <w:r>
              <w:rPr>
                <w:noProof/>
              </w:rPr>
              <w:t>245</w:t>
            </w:r>
          </w:p>
        </w:tc>
        <w:tc>
          <w:tcPr>
            <w:tcW w:w="4283" w:type="dxa"/>
            <w:tcBorders>
              <w:top w:val="nil"/>
              <w:left w:val="nil"/>
              <w:bottom w:val="single" w:sz="4" w:space="0" w:color="auto"/>
              <w:right w:val="single" w:sz="4" w:space="0" w:color="auto"/>
            </w:tcBorders>
            <w:shd w:val="clear" w:color="000000" w:fill="C6EFCE"/>
            <w:noWrap/>
            <w:vAlign w:val="center"/>
          </w:tcPr>
          <w:p w14:paraId="7B31461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16–4.5. Podpora výzkumu a </w:t>
            </w:r>
            <w:r>
              <w:rPr>
                <w:noProof/>
              </w:rPr>
              <w:t>inovací – 16618_Základní a aplikovaný výzkum</w:t>
            </w:r>
          </w:p>
        </w:tc>
        <w:tc>
          <w:tcPr>
            <w:tcW w:w="1692" w:type="dxa"/>
            <w:tcBorders>
              <w:top w:val="nil"/>
              <w:left w:val="nil"/>
              <w:bottom w:val="single" w:sz="4" w:space="0" w:color="auto"/>
              <w:right w:val="single" w:sz="4" w:space="0" w:color="auto"/>
            </w:tcBorders>
            <w:shd w:val="clear" w:color="000000" w:fill="C6EFCE"/>
            <w:noWrap/>
            <w:vAlign w:val="center"/>
          </w:tcPr>
          <w:p w14:paraId="2C59BBE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0989D8D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Právní předpisy o základním a aplikovaném výzkumu</w:t>
            </w:r>
          </w:p>
        </w:tc>
      </w:tr>
      <w:tr w:rsidR="00515398" w14:paraId="6D190CA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9270848" w14:textId="77777777" w:rsidR="00515398" w:rsidRDefault="006711E6">
            <w:pPr>
              <w:pStyle w:val="P68B1DB1-Normal8"/>
              <w:keepNext/>
              <w:spacing w:before="40" w:after="0" w:line="259" w:lineRule="auto"/>
              <w:jc w:val="both"/>
              <w:rPr>
                <w:rFonts w:eastAsia="Times New Roman" w:cs="Times New Roman"/>
                <w:noProof/>
                <w:szCs w:val="18"/>
              </w:rPr>
            </w:pPr>
            <w:r>
              <w:rPr>
                <w:noProof/>
              </w:rPr>
              <w:t>246</w:t>
            </w:r>
          </w:p>
        </w:tc>
        <w:tc>
          <w:tcPr>
            <w:tcW w:w="4283" w:type="dxa"/>
            <w:tcBorders>
              <w:top w:val="nil"/>
              <w:left w:val="nil"/>
              <w:bottom w:val="single" w:sz="4" w:space="0" w:color="auto"/>
              <w:right w:val="single" w:sz="4" w:space="0" w:color="auto"/>
            </w:tcBorders>
            <w:shd w:val="clear" w:color="000000" w:fill="C6EFCE"/>
            <w:noWrap/>
            <w:vAlign w:val="center"/>
          </w:tcPr>
          <w:p w14:paraId="09756D5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16–4.5. Podpora výzkumu a inovací – 16624_Creation – Rozšíření – modernizace infrastruktur výzkumných středisek pod dohledem Generálního sekretariátu</w:t>
            </w:r>
            <w:r>
              <w:rPr>
                <w:noProof/>
              </w:rPr>
              <w:t xml:space="preserve"> pro výzkum a inovace (GSRI)</w:t>
            </w:r>
          </w:p>
        </w:tc>
        <w:tc>
          <w:tcPr>
            <w:tcW w:w="1692" w:type="dxa"/>
            <w:tcBorders>
              <w:top w:val="nil"/>
              <w:left w:val="nil"/>
              <w:bottom w:val="single" w:sz="4" w:space="0" w:color="auto"/>
              <w:right w:val="single" w:sz="4" w:space="0" w:color="auto"/>
            </w:tcBorders>
            <w:shd w:val="clear" w:color="000000" w:fill="C6EFCE"/>
            <w:noWrap/>
            <w:vAlign w:val="center"/>
          </w:tcPr>
          <w:p w14:paraId="78F0DC3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B3C8DC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Výzva k předkládání návrhů pro výzkumná střediska</w:t>
            </w:r>
          </w:p>
        </w:tc>
      </w:tr>
      <w:tr w:rsidR="00515398" w14:paraId="2431DEC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5071CF6" w14:textId="77777777" w:rsidR="00515398" w:rsidRDefault="006711E6">
            <w:pPr>
              <w:pStyle w:val="P68B1DB1-Normal8"/>
              <w:keepNext/>
              <w:spacing w:before="40" w:after="0" w:line="259" w:lineRule="auto"/>
              <w:jc w:val="both"/>
              <w:rPr>
                <w:rFonts w:eastAsia="Times New Roman" w:cs="Times New Roman"/>
                <w:noProof/>
                <w:szCs w:val="18"/>
              </w:rPr>
            </w:pPr>
            <w:r>
              <w:rPr>
                <w:noProof/>
              </w:rPr>
              <w:t>292</w:t>
            </w:r>
          </w:p>
        </w:tc>
        <w:tc>
          <w:tcPr>
            <w:tcW w:w="4283" w:type="dxa"/>
            <w:tcBorders>
              <w:top w:val="nil"/>
              <w:left w:val="nil"/>
              <w:bottom w:val="single" w:sz="4" w:space="0" w:color="auto"/>
              <w:right w:val="single" w:sz="4" w:space="0" w:color="auto"/>
            </w:tcBorders>
            <w:shd w:val="clear" w:color="000000" w:fill="C6EFCE"/>
            <w:noWrap/>
            <w:vAlign w:val="center"/>
          </w:tcPr>
          <w:p w14:paraId="2CEEEF7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16931_Rozvoj cestovního ruchu</w:t>
            </w:r>
          </w:p>
        </w:tc>
        <w:tc>
          <w:tcPr>
            <w:tcW w:w="1692" w:type="dxa"/>
            <w:tcBorders>
              <w:top w:val="nil"/>
              <w:left w:val="nil"/>
              <w:bottom w:val="single" w:sz="4" w:space="0" w:color="auto"/>
              <w:right w:val="single" w:sz="4" w:space="0" w:color="auto"/>
            </w:tcBorders>
            <w:shd w:val="clear" w:color="000000" w:fill="C6EFCE"/>
            <w:noWrap/>
            <w:vAlign w:val="center"/>
          </w:tcPr>
          <w:p w14:paraId="6566A4C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2DCCC86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Rozvoj cestovního ruchu: reformy turistických </w:t>
            </w:r>
            <w:r>
              <w:rPr>
                <w:noProof/>
              </w:rPr>
              <w:t>přístavů</w:t>
            </w:r>
          </w:p>
        </w:tc>
      </w:tr>
      <w:tr w:rsidR="00515398" w14:paraId="0EFC4487"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83C68B0" w14:textId="77777777" w:rsidR="00515398" w:rsidRDefault="006711E6">
            <w:pPr>
              <w:pStyle w:val="P68B1DB1-Normal8"/>
              <w:keepNext/>
              <w:spacing w:before="40" w:after="0" w:line="259" w:lineRule="auto"/>
              <w:jc w:val="both"/>
              <w:rPr>
                <w:rFonts w:eastAsia="Times New Roman" w:cs="Times New Roman"/>
                <w:noProof/>
                <w:szCs w:val="18"/>
              </w:rPr>
            </w:pPr>
            <w:r>
              <w:rPr>
                <w:noProof/>
              </w:rPr>
              <w:t>300</w:t>
            </w:r>
          </w:p>
        </w:tc>
        <w:tc>
          <w:tcPr>
            <w:tcW w:w="4283" w:type="dxa"/>
            <w:tcBorders>
              <w:top w:val="nil"/>
              <w:left w:val="nil"/>
              <w:bottom w:val="single" w:sz="4" w:space="0" w:color="auto"/>
              <w:right w:val="single" w:sz="4" w:space="0" w:color="auto"/>
            </w:tcBorders>
            <w:shd w:val="clear" w:color="000000" w:fill="C6EFCE"/>
            <w:noWrap/>
            <w:vAlign w:val="center"/>
          </w:tcPr>
          <w:p w14:paraId="3088ED1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16721_Urychlení inteligentní výroby</w:t>
            </w:r>
          </w:p>
        </w:tc>
        <w:tc>
          <w:tcPr>
            <w:tcW w:w="1692" w:type="dxa"/>
            <w:tcBorders>
              <w:top w:val="nil"/>
              <w:left w:val="nil"/>
              <w:bottom w:val="single" w:sz="4" w:space="0" w:color="auto"/>
              <w:right w:val="single" w:sz="4" w:space="0" w:color="auto"/>
            </w:tcBorders>
            <w:shd w:val="clear" w:color="000000" w:fill="C6EFCE"/>
            <w:noWrap/>
            <w:vAlign w:val="center"/>
          </w:tcPr>
          <w:p w14:paraId="0FFCA4A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6A45B34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Vyhlášení výzev k předkládání návrhů na výrobu</w:t>
            </w:r>
          </w:p>
        </w:tc>
      </w:tr>
      <w:tr w:rsidR="00515398" w14:paraId="5D48DE2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EDDA151" w14:textId="77777777" w:rsidR="00515398" w:rsidRDefault="006711E6">
            <w:pPr>
              <w:pStyle w:val="P68B1DB1-Normal8"/>
              <w:keepNext/>
              <w:spacing w:before="40" w:after="0" w:line="259" w:lineRule="auto"/>
              <w:jc w:val="both"/>
              <w:rPr>
                <w:rFonts w:eastAsia="Times New Roman" w:cs="Times New Roman"/>
                <w:noProof/>
                <w:szCs w:val="18"/>
              </w:rPr>
            </w:pPr>
            <w:r>
              <w:rPr>
                <w:noProof/>
              </w:rPr>
              <w:t>301</w:t>
            </w:r>
          </w:p>
        </w:tc>
        <w:tc>
          <w:tcPr>
            <w:tcW w:w="4283" w:type="dxa"/>
            <w:tcBorders>
              <w:top w:val="nil"/>
              <w:left w:val="nil"/>
              <w:bottom w:val="single" w:sz="4" w:space="0" w:color="auto"/>
              <w:right w:val="single" w:sz="4" w:space="0" w:color="auto"/>
            </w:tcBorders>
            <w:shd w:val="clear" w:color="000000" w:fill="C6EFCE"/>
            <w:noWrap/>
            <w:vAlign w:val="center"/>
          </w:tcPr>
          <w:p w14:paraId="17829C0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w:t>
            </w:r>
            <w:r>
              <w:rPr>
                <w:noProof/>
              </w:rPr>
              <w:t xml:space="preserve"> – 16634_Nové průmyslové parky</w:t>
            </w:r>
          </w:p>
        </w:tc>
        <w:tc>
          <w:tcPr>
            <w:tcW w:w="1692" w:type="dxa"/>
            <w:tcBorders>
              <w:top w:val="nil"/>
              <w:left w:val="nil"/>
              <w:bottom w:val="single" w:sz="4" w:space="0" w:color="auto"/>
              <w:right w:val="single" w:sz="4" w:space="0" w:color="auto"/>
            </w:tcBorders>
            <w:shd w:val="clear" w:color="000000" w:fill="C6EFCE"/>
            <w:noWrap/>
            <w:vAlign w:val="center"/>
          </w:tcPr>
          <w:p w14:paraId="08A9BA3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72590CB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Vyhlášení výzev pro průmyslové parky</w:t>
            </w:r>
          </w:p>
        </w:tc>
      </w:tr>
      <w:tr w:rsidR="00515398" w14:paraId="1450113B"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4F7F881C" w14:textId="77777777" w:rsidR="00515398" w:rsidRDefault="006711E6">
            <w:pPr>
              <w:pStyle w:val="P68B1DB1-Normal8"/>
              <w:keepNext/>
              <w:spacing w:before="40" w:after="0" w:line="259" w:lineRule="auto"/>
              <w:jc w:val="both"/>
              <w:rPr>
                <w:rFonts w:eastAsia="Times New Roman" w:cs="Times New Roman"/>
                <w:noProof/>
                <w:szCs w:val="18"/>
              </w:rPr>
            </w:pPr>
            <w:r>
              <w:rPr>
                <w:noProof/>
              </w:rPr>
              <w:t>310</w:t>
            </w:r>
          </w:p>
        </w:tc>
        <w:tc>
          <w:tcPr>
            <w:tcW w:w="4283" w:type="dxa"/>
            <w:tcBorders>
              <w:top w:val="nil"/>
              <w:left w:val="nil"/>
              <w:bottom w:val="single" w:sz="4" w:space="0" w:color="auto"/>
              <w:right w:val="single" w:sz="4" w:space="0" w:color="auto"/>
            </w:tcBorders>
            <w:shd w:val="clear" w:color="000000" w:fill="C6EFCE"/>
            <w:noWrap/>
            <w:vAlign w:val="center"/>
          </w:tcPr>
          <w:p w14:paraId="6A95835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16626_Hospodářská transformace v odvětví zemědělství</w:t>
            </w:r>
          </w:p>
        </w:tc>
        <w:tc>
          <w:tcPr>
            <w:tcW w:w="1692" w:type="dxa"/>
            <w:tcBorders>
              <w:top w:val="nil"/>
              <w:left w:val="nil"/>
              <w:bottom w:val="single" w:sz="4" w:space="0" w:color="auto"/>
              <w:right w:val="single" w:sz="4" w:space="0" w:color="auto"/>
            </w:tcBorders>
            <w:shd w:val="clear" w:color="000000" w:fill="C6EFCE"/>
            <w:noWrap/>
            <w:vAlign w:val="center"/>
          </w:tcPr>
          <w:p w14:paraId="04DDAE4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772A5D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Hospodářská transformace zemědělství: Zah</w:t>
            </w:r>
            <w:r>
              <w:rPr>
                <w:noProof/>
              </w:rPr>
              <w:t>ájení programu</w:t>
            </w:r>
          </w:p>
        </w:tc>
      </w:tr>
      <w:tr w:rsidR="00515398" w14:paraId="445A46DE"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B1B0CA" w14:textId="77777777" w:rsidR="00515398" w:rsidRDefault="006711E6">
            <w:pPr>
              <w:pStyle w:val="P68B1DB1-Normal8"/>
              <w:keepNext/>
              <w:spacing w:before="40" w:after="0" w:line="259" w:lineRule="auto"/>
              <w:jc w:val="both"/>
              <w:rPr>
                <w:rFonts w:eastAsia="Times New Roman" w:cs="Times New Roman"/>
                <w:noProof/>
                <w:szCs w:val="18"/>
              </w:rPr>
            </w:pPr>
            <w:r>
              <w:rPr>
                <w:noProof/>
              </w:rPr>
              <w:t>4</w:t>
            </w:r>
          </w:p>
        </w:tc>
        <w:tc>
          <w:tcPr>
            <w:tcW w:w="4283" w:type="dxa"/>
            <w:tcBorders>
              <w:top w:val="nil"/>
              <w:left w:val="nil"/>
              <w:bottom w:val="single" w:sz="4" w:space="0" w:color="auto"/>
              <w:right w:val="single" w:sz="4" w:space="0" w:color="auto"/>
            </w:tcBorders>
            <w:shd w:val="clear" w:color="000000" w:fill="C6EFCE"/>
            <w:noWrap/>
            <w:vAlign w:val="center"/>
          </w:tcPr>
          <w:p w14:paraId="61D8239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16865_Restrukturalizace a posílení příjmů účtu CHP OZE</w:t>
            </w:r>
          </w:p>
        </w:tc>
        <w:tc>
          <w:tcPr>
            <w:tcW w:w="1692" w:type="dxa"/>
            <w:tcBorders>
              <w:top w:val="nil"/>
              <w:left w:val="nil"/>
              <w:bottom w:val="single" w:sz="4" w:space="0" w:color="auto"/>
              <w:right w:val="single" w:sz="4" w:space="0" w:color="auto"/>
            </w:tcBorders>
            <w:shd w:val="clear" w:color="000000" w:fill="C6EFCE"/>
            <w:noWrap/>
            <w:vAlign w:val="center"/>
          </w:tcPr>
          <w:p w14:paraId="3BDAAC3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F0D17E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Účet obnovitelných zdrojů energie – právní předpisy, kterými se mění L. 4001/2011; vstup v platnost všech příslušných rozhodnutí, včetně kodexů, vydaných</w:t>
            </w:r>
            <w:r>
              <w:rPr>
                <w:noProof/>
              </w:rPr>
              <w:t xml:space="preserve"> ministerstvy, vnitrostátním regulačním orgánem (RAE) a správcem obnovitelných zdrojů energie a záruk původu (DAPEEP).</w:t>
            </w:r>
          </w:p>
        </w:tc>
      </w:tr>
      <w:tr w:rsidR="00515398" w14:paraId="58499848"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65D7F99" w14:textId="77777777" w:rsidR="00515398" w:rsidRDefault="006711E6">
            <w:pPr>
              <w:pStyle w:val="P68B1DB1-Normal8"/>
              <w:keepNext/>
              <w:spacing w:before="40" w:after="0" w:line="259" w:lineRule="auto"/>
              <w:jc w:val="both"/>
              <w:rPr>
                <w:rFonts w:eastAsia="Times New Roman" w:cs="Times New Roman"/>
                <w:noProof/>
                <w:szCs w:val="18"/>
              </w:rPr>
            </w:pPr>
            <w:r>
              <w:rPr>
                <w:noProof/>
              </w:rPr>
              <w:t>5</w:t>
            </w:r>
          </w:p>
        </w:tc>
        <w:tc>
          <w:tcPr>
            <w:tcW w:w="4283" w:type="dxa"/>
            <w:tcBorders>
              <w:top w:val="nil"/>
              <w:left w:val="nil"/>
              <w:bottom w:val="single" w:sz="4" w:space="0" w:color="auto"/>
              <w:right w:val="single" w:sz="4" w:space="0" w:color="auto"/>
            </w:tcBorders>
            <w:shd w:val="clear" w:color="000000" w:fill="C6EFCE"/>
            <w:noWrap/>
            <w:vAlign w:val="center"/>
          </w:tcPr>
          <w:p w14:paraId="5BF4FF5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16860_Změnit účinné fungování nového modelu trhu s elektřinou a rozvoj nových zařízení na výrobu energie z obno</w:t>
            </w:r>
            <w:r>
              <w:rPr>
                <w:noProof/>
              </w:rPr>
              <w:t>vitelných zdrojů za účelem dosažení cílů NKEP prostřednictvím zavedení monitorovacího mechanismu, účasti odezvy na straně poptávky a rozsáhlé reformy licenčního řízení pro nové obnovitelné zdroje energie</w:t>
            </w:r>
          </w:p>
        </w:tc>
        <w:tc>
          <w:tcPr>
            <w:tcW w:w="1692" w:type="dxa"/>
            <w:tcBorders>
              <w:top w:val="nil"/>
              <w:left w:val="nil"/>
              <w:bottom w:val="single" w:sz="4" w:space="0" w:color="auto"/>
              <w:right w:val="single" w:sz="4" w:space="0" w:color="auto"/>
            </w:tcBorders>
            <w:shd w:val="clear" w:color="000000" w:fill="C6EFCE"/>
            <w:noWrap/>
            <w:vAlign w:val="center"/>
          </w:tcPr>
          <w:p w14:paraId="60F3FED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0B83BF2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Účet OZE – reformy trhu a zjednodušení udělov</w:t>
            </w:r>
            <w:r>
              <w:rPr>
                <w:noProof/>
              </w:rPr>
              <w:t>ání licencí</w:t>
            </w:r>
          </w:p>
        </w:tc>
      </w:tr>
      <w:tr w:rsidR="00515398" w14:paraId="09A7C3F2"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A63DCD2" w14:textId="77777777" w:rsidR="00515398" w:rsidRDefault="006711E6">
            <w:pPr>
              <w:pStyle w:val="P68B1DB1-Normal8"/>
              <w:keepNext/>
              <w:spacing w:before="40" w:after="0" w:line="259" w:lineRule="auto"/>
              <w:jc w:val="both"/>
              <w:rPr>
                <w:rFonts w:eastAsia="Times New Roman" w:cs="Times New Roman"/>
                <w:noProof/>
                <w:szCs w:val="18"/>
              </w:rPr>
            </w:pPr>
            <w:r>
              <w:rPr>
                <w:noProof/>
              </w:rPr>
              <w:t>138</w:t>
            </w:r>
          </w:p>
        </w:tc>
        <w:tc>
          <w:tcPr>
            <w:tcW w:w="4283" w:type="dxa"/>
            <w:tcBorders>
              <w:top w:val="nil"/>
              <w:left w:val="nil"/>
              <w:bottom w:val="single" w:sz="4" w:space="0" w:color="auto"/>
              <w:right w:val="single" w:sz="4" w:space="0" w:color="auto"/>
            </w:tcBorders>
            <w:shd w:val="clear" w:color="000000" w:fill="C6EFCE"/>
            <w:noWrap/>
            <w:vAlign w:val="center"/>
          </w:tcPr>
          <w:p w14:paraId="041B35E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9–3.2. Vzdělávání, odborné vzdělávání a příprava a dovednosti – 16913_Nová strategie pro celoživotní dovednosti: Modernizace a vylepšení řeckého systému prohlubování dovedností a rekvalifikace</w:t>
            </w:r>
          </w:p>
        </w:tc>
        <w:tc>
          <w:tcPr>
            <w:tcW w:w="1692" w:type="dxa"/>
            <w:tcBorders>
              <w:top w:val="nil"/>
              <w:left w:val="nil"/>
              <w:bottom w:val="single" w:sz="4" w:space="0" w:color="auto"/>
              <w:right w:val="single" w:sz="4" w:space="0" w:color="auto"/>
            </w:tcBorders>
            <w:shd w:val="clear" w:color="000000" w:fill="C6EFCE"/>
            <w:noWrap/>
            <w:vAlign w:val="center"/>
          </w:tcPr>
          <w:p w14:paraId="22EF17E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97431D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Strategie celoživotního učení vstup </w:t>
            </w:r>
            <w:r>
              <w:rPr>
                <w:noProof/>
              </w:rPr>
              <w:t>právních předpisů v platnost</w:t>
            </w:r>
          </w:p>
        </w:tc>
      </w:tr>
      <w:tr w:rsidR="00515398" w14:paraId="2026F16B"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0414C40E" w14:textId="77777777" w:rsidR="00515398" w:rsidRDefault="006711E6">
            <w:pPr>
              <w:pStyle w:val="P68B1DB1-Normal8"/>
              <w:keepNext/>
              <w:spacing w:before="40" w:after="0" w:line="259" w:lineRule="auto"/>
              <w:jc w:val="both"/>
              <w:rPr>
                <w:rFonts w:eastAsia="Times New Roman" w:cs="Times New Roman"/>
                <w:noProof/>
                <w:szCs w:val="18"/>
              </w:rPr>
            </w:pPr>
            <w:r>
              <w:rPr>
                <w:noProof/>
              </w:rPr>
              <w:t>202</w:t>
            </w:r>
          </w:p>
        </w:tc>
        <w:tc>
          <w:tcPr>
            <w:tcW w:w="4283" w:type="dxa"/>
            <w:tcBorders>
              <w:top w:val="nil"/>
              <w:left w:val="nil"/>
              <w:bottom w:val="single" w:sz="4" w:space="0" w:color="auto"/>
              <w:right w:val="single" w:sz="4" w:space="0" w:color="auto"/>
            </w:tcBorders>
            <w:shd w:val="clear" w:color="000000" w:fill="C6EFCE"/>
            <w:noWrap/>
            <w:vAlign w:val="center"/>
          </w:tcPr>
          <w:p w14:paraId="2BB1F5D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 4.1. Učinit daně příznivější pro růst a zlepšit daňovou správu a výběr daní – 16643_Kodifikace a zjednodušení daňových právních předpisů</w:t>
            </w:r>
          </w:p>
        </w:tc>
        <w:tc>
          <w:tcPr>
            <w:tcW w:w="1692" w:type="dxa"/>
            <w:tcBorders>
              <w:top w:val="nil"/>
              <w:left w:val="nil"/>
              <w:bottom w:val="single" w:sz="4" w:space="0" w:color="auto"/>
              <w:right w:val="single" w:sz="4" w:space="0" w:color="auto"/>
            </w:tcBorders>
            <w:shd w:val="clear" w:color="000000" w:fill="C6EFCE"/>
            <w:noWrap/>
            <w:vAlign w:val="center"/>
          </w:tcPr>
          <w:p w14:paraId="6531587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311C279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Zvýšení kapacity pro daňovou kodifikaci</w:t>
            </w:r>
          </w:p>
        </w:tc>
      </w:tr>
      <w:tr w:rsidR="00515398" w14:paraId="1FA241E6"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108667F" w14:textId="77777777" w:rsidR="00515398" w:rsidRDefault="006711E6">
            <w:pPr>
              <w:pStyle w:val="P68B1DB1-Normal8"/>
              <w:keepNext/>
              <w:spacing w:before="40" w:after="0" w:line="259" w:lineRule="auto"/>
              <w:jc w:val="both"/>
              <w:rPr>
                <w:rFonts w:eastAsia="Times New Roman" w:cs="Times New Roman"/>
                <w:noProof/>
                <w:szCs w:val="18"/>
              </w:rPr>
            </w:pPr>
            <w:r>
              <w:rPr>
                <w:noProof/>
              </w:rPr>
              <w:t>205</w:t>
            </w:r>
          </w:p>
        </w:tc>
        <w:tc>
          <w:tcPr>
            <w:tcW w:w="4283" w:type="dxa"/>
            <w:tcBorders>
              <w:top w:val="nil"/>
              <w:left w:val="nil"/>
              <w:bottom w:val="single" w:sz="4" w:space="0" w:color="auto"/>
              <w:right w:val="single" w:sz="4" w:space="0" w:color="auto"/>
            </w:tcBorders>
            <w:shd w:val="clear" w:color="000000" w:fill="C6EFCE"/>
            <w:noWrap/>
            <w:vAlign w:val="center"/>
          </w:tcPr>
          <w:p w14:paraId="0A50DAB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Modernizace veřejné </w:t>
            </w:r>
            <w:r>
              <w:rPr>
                <w:noProof/>
              </w:rPr>
              <w:t>správy, mimo jiné urychlením provádění veřejných investic, zlepšením rámce pro zadávání veřejných zakázek, opatřeními na budování kapacit a bojem proti korupci – 16972_Reforma veřejné správy</w:t>
            </w:r>
          </w:p>
        </w:tc>
        <w:tc>
          <w:tcPr>
            <w:tcW w:w="1692" w:type="dxa"/>
            <w:tcBorders>
              <w:top w:val="nil"/>
              <w:left w:val="nil"/>
              <w:bottom w:val="single" w:sz="4" w:space="0" w:color="auto"/>
              <w:right w:val="single" w:sz="4" w:space="0" w:color="auto"/>
            </w:tcBorders>
            <w:shd w:val="clear" w:color="000000" w:fill="C6EFCE"/>
            <w:noWrap/>
            <w:vAlign w:val="center"/>
          </w:tcPr>
          <w:p w14:paraId="5AE2C03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47F5113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Veřejná správa – spuštění systému odměňování výkonnosti</w:t>
            </w:r>
          </w:p>
        </w:tc>
      </w:tr>
      <w:tr w:rsidR="00515398" w14:paraId="6247B211"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2EC6E302" w14:textId="77777777" w:rsidR="00515398" w:rsidRDefault="006711E6">
            <w:pPr>
              <w:pStyle w:val="P68B1DB1-Normal8"/>
              <w:keepNext/>
              <w:spacing w:before="40" w:after="0" w:line="259" w:lineRule="auto"/>
              <w:jc w:val="both"/>
              <w:rPr>
                <w:rFonts w:eastAsia="Times New Roman" w:cs="Times New Roman"/>
                <w:noProof/>
                <w:szCs w:val="18"/>
              </w:rPr>
            </w:pPr>
            <w:r>
              <w:rPr>
                <w:noProof/>
              </w:rPr>
              <w:t>2</w:t>
            </w:r>
            <w:r>
              <w:rPr>
                <w:noProof/>
              </w:rPr>
              <w:t>54</w:t>
            </w:r>
          </w:p>
        </w:tc>
        <w:tc>
          <w:tcPr>
            <w:tcW w:w="4283" w:type="dxa"/>
            <w:tcBorders>
              <w:top w:val="nil"/>
              <w:left w:val="nil"/>
              <w:bottom w:val="single" w:sz="4" w:space="0" w:color="auto"/>
              <w:right w:val="single" w:sz="4" w:space="0" w:color="auto"/>
            </w:tcBorders>
            <w:shd w:val="clear" w:color="000000" w:fill="C6EFCE"/>
            <w:noWrap/>
            <w:vAlign w:val="center"/>
          </w:tcPr>
          <w:p w14:paraId="1EFF7E0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16628_Central Greece Highway E-65: Úsek Trikala-Egnatia</w:t>
            </w:r>
          </w:p>
        </w:tc>
        <w:tc>
          <w:tcPr>
            <w:tcW w:w="1692" w:type="dxa"/>
            <w:tcBorders>
              <w:top w:val="nil"/>
              <w:left w:val="nil"/>
              <w:bottom w:val="single" w:sz="4" w:space="0" w:color="auto"/>
              <w:right w:val="single" w:sz="4" w:space="0" w:color="auto"/>
            </w:tcBorders>
            <w:shd w:val="clear" w:color="000000" w:fill="C6EFCE"/>
            <w:noWrap/>
            <w:vAlign w:val="center"/>
          </w:tcPr>
          <w:p w14:paraId="4A926BC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6E3E2CC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Zahájení stavebních prací v E-65</w:t>
            </w:r>
          </w:p>
        </w:tc>
      </w:tr>
      <w:tr w:rsidR="00515398" w14:paraId="428FF6E1"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73871ACD" w14:textId="77777777" w:rsidR="00515398" w:rsidRDefault="006711E6">
            <w:pPr>
              <w:pStyle w:val="P68B1DB1-Normal8"/>
              <w:keepNext/>
              <w:spacing w:before="40" w:after="0" w:line="259" w:lineRule="auto"/>
              <w:jc w:val="both"/>
              <w:rPr>
                <w:rFonts w:eastAsia="Times New Roman" w:cs="Times New Roman"/>
                <w:noProof/>
                <w:szCs w:val="18"/>
              </w:rPr>
            </w:pPr>
            <w:r>
              <w:rPr>
                <w:noProof/>
              </w:rPr>
              <w:t>264</w:t>
            </w:r>
          </w:p>
        </w:tc>
        <w:tc>
          <w:tcPr>
            <w:tcW w:w="4283" w:type="dxa"/>
            <w:tcBorders>
              <w:top w:val="nil"/>
              <w:left w:val="nil"/>
              <w:bottom w:val="single" w:sz="4" w:space="0" w:color="auto"/>
              <w:right w:val="single" w:sz="4" w:space="0" w:color="auto"/>
            </w:tcBorders>
            <w:shd w:val="clear" w:color="000000" w:fill="C6EFCE"/>
            <w:noWrap/>
            <w:vAlign w:val="center"/>
          </w:tcPr>
          <w:p w14:paraId="211C288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Modernizace a zlepšení odolnosti klíčových hospodářských odvětví – </w:t>
            </w:r>
            <w:r>
              <w:rPr>
                <w:noProof/>
              </w:rPr>
              <w:t>16982_Organizační reforma v odvětví železniční dopravy</w:t>
            </w:r>
          </w:p>
        </w:tc>
        <w:tc>
          <w:tcPr>
            <w:tcW w:w="1692" w:type="dxa"/>
            <w:tcBorders>
              <w:top w:val="nil"/>
              <w:left w:val="nil"/>
              <w:bottom w:val="single" w:sz="4" w:space="0" w:color="auto"/>
              <w:right w:val="single" w:sz="4" w:space="0" w:color="auto"/>
            </w:tcBorders>
            <w:shd w:val="clear" w:color="000000" w:fill="C6EFCE"/>
            <w:noWrap/>
            <w:vAlign w:val="center"/>
          </w:tcPr>
          <w:p w14:paraId="504AA46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nil"/>
              <w:left w:val="nil"/>
              <w:bottom w:val="single" w:sz="4" w:space="0" w:color="auto"/>
              <w:right w:val="single" w:sz="4" w:space="0" w:color="auto"/>
            </w:tcBorders>
            <w:shd w:val="clear" w:color="000000" w:fill="C6EFCE"/>
            <w:noWrap/>
            <w:vAlign w:val="center"/>
          </w:tcPr>
          <w:p w14:paraId="5A92889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Zákon o reformě železnic</w:t>
            </w:r>
          </w:p>
        </w:tc>
      </w:tr>
      <w:tr w:rsidR="00515398" w14:paraId="2187A4C1"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FEFBA4"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7C089D9D" w14:textId="77777777" w:rsidR="00515398" w:rsidRDefault="00515398">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71938479" w14:textId="77777777" w:rsidR="00515398" w:rsidRDefault="006711E6">
            <w:pPr>
              <w:pStyle w:val="P68B1DB1-Normal8"/>
              <w:keepNext/>
              <w:spacing w:before="40" w:after="0" w:line="240" w:lineRule="auto"/>
              <w:jc w:val="both"/>
              <w:rPr>
                <w:rFonts w:eastAsia="Times New Roman" w:cs="Times New Roman"/>
                <w:noProof/>
                <w:szCs w:val="18"/>
              </w:rPr>
            </w:pPr>
            <w:r>
              <w:rPr>
                <w:noProof/>
              </w:rPr>
              <w:t>Splátková částka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434DFA49" w14:textId="77777777" w:rsidR="00515398" w:rsidRDefault="006711E6">
            <w:pPr>
              <w:pStyle w:val="P68B1DB1-Normal8"/>
              <w:keepNext/>
              <w:spacing w:before="40" w:after="0" w:line="240" w:lineRule="auto"/>
              <w:jc w:val="both"/>
              <w:rPr>
                <w:rFonts w:eastAsia="Times New Roman" w:cs="Times New Roman"/>
                <w:noProof/>
                <w:szCs w:val="18"/>
              </w:rPr>
            </w:pPr>
            <w:r>
              <w:rPr>
                <w:noProof/>
              </w:rPr>
              <w:t>1 974 438 067 EUR</w:t>
            </w:r>
          </w:p>
        </w:tc>
      </w:tr>
    </w:tbl>
    <w:p w14:paraId="00F418A6"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594A4EB5" w14:textId="6CFA6348" w:rsidR="00515398" w:rsidRDefault="006711E6">
      <w:pPr>
        <w:pStyle w:val="P68B1DB1-Normal4"/>
        <w:keepNext/>
        <w:numPr>
          <w:ilvl w:val="1"/>
          <w:numId w:val="22"/>
        </w:numPr>
        <w:spacing w:before="40" w:after="160" w:line="259" w:lineRule="auto"/>
        <w:ind w:left="0"/>
        <w:contextualSpacing/>
        <w:jc w:val="both"/>
        <w:rPr>
          <w:noProof/>
        </w:rPr>
      </w:pPr>
      <w:r>
        <w:rPr>
          <w:noProof/>
        </w:rPr>
        <w:t xml:space="preserve"> Třetí žádost o platbu (nevratná podpora):</w:t>
      </w:r>
    </w:p>
    <w:p w14:paraId="41FCA885" w14:textId="77777777" w:rsidR="00515398" w:rsidRDefault="00515398">
      <w:pPr>
        <w:keepNext/>
        <w:spacing w:before="40" w:after="160" w:line="259" w:lineRule="auto"/>
        <w:contextualSpacing/>
        <w:jc w:val="both"/>
        <w:rPr>
          <w:rFonts w:ascii="Times New Roman" w:hAnsi="Times New Roman"/>
          <w:noProof/>
          <w:sz w:val="24"/>
        </w:rPr>
      </w:pPr>
    </w:p>
    <w:tbl>
      <w:tblPr>
        <w:tblpPr w:leftFromText="180" w:rightFromText="180" w:vertAnchor="text" w:tblpX="-252" w:tblpY="1"/>
        <w:tblOverlap w:val="never"/>
        <w:tblW w:w="9595" w:type="dxa"/>
        <w:tblLook w:val="04A0" w:firstRow="1" w:lastRow="0" w:firstColumn="1" w:lastColumn="0" w:noHBand="0" w:noVBand="1"/>
      </w:tblPr>
      <w:tblGrid>
        <w:gridCol w:w="1795"/>
        <w:gridCol w:w="4320"/>
        <w:gridCol w:w="1680"/>
        <w:gridCol w:w="1800"/>
      </w:tblGrid>
      <w:tr w:rsidR="00515398" w14:paraId="5DD63934" w14:textId="77777777">
        <w:trPr>
          <w:trHeight w:val="906"/>
          <w:tblHeader/>
        </w:trPr>
        <w:tc>
          <w:tcPr>
            <w:tcW w:w="179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2BA555E"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3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69A1F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C761CCD"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800" w:type="dxa"/>
            <w:vMerge w:val="restart"/>
            <w:tcBorders>
              <w:top w:val="single" w:sz="4" w:space="0" w:color="auto"/>
              <w:left w:val="nil"/>
              <w:bottom w:val="single" w:sz="4" w:space="0" w:color="000000"/>
              <w:right w:val="single" w:sz="4" w:space="0" w:color="auto"/>
            </w:tcBorders>
            <w:shd w:val="clear" w:color="auto" w:fill="BDD7EE"/>
            <w:vAlign w:val="center"/>
            <w:hideMark/>
          </w:tcPr>
          <w:p w14:paraId="7A3BA92E"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0D8AC649" w14:textId="77777777">
        <w:trPr>
          <w:trHeight w:val="990"/>
        </w:trPr>
        <w:tc>
          <w:tcPr>
            <w:tcW w:w="1795" w:type="dxa"/>
            <w:vMerge/>
            <w:tcBorders>
              <w:top w:val="single" w:sz="4" w:space="0" w:color="auto"/>
              <w:left w:val="single" w:sz="4" w:space="0" w:color="auto"/>
              <w:bottom w:val="single" w:sz="4" w:space="0" w:color="000000"/>
              <w:right w:val="single" w:sz="4" w:space="0" w:color="auto"/>
            </w:tcBorders>
            <w:vAlign w:val="center"/>
            <w:hideMark/>
          </w:tcPr>
          <w:p w14:paraId="7E5D6484"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000000"/>
              <w:right w:val="single" w:sz="4" w:space="0" w:color="auto"/>
            </w:tcBorders>
            <w:vAlign w:val="center"/>
            <w:hideMark/>
          </w:tcPr>
          <w:p w14:paraId="5FE619F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14:paraId="197FA01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nil"/>
              <w:bottom w:val="single" w:sz="4" w:space="0" w:color="000000"/>
              <w:right w:val="single" w:sz="4" w:space="0" w:color="auto"/>
            </w:tcBorders>
            <w:vAlign w:val="center"/>
            <w:hideMark/>
          </w:tcPr>
          <w:p w14:paraId="502DF13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5B058B4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FE59E10" w14:textId="77777777" w:rsidR="00515398" w:rsidRDefault="006711E6">
            <w:pPr>
              <w:pStyle w:val="P68B1DB1-Normal8"/>
              <w:keepNext/>
              <w:spacing w:before="40" w:after="0" w:line="240" w:lineRule="auto"/>
              <w:jc w:val="both"/>
              <w:rPr>
                <w:rFonts w:eastAsia="Times New Roman" w:cs="Times New Roman"/>
                <w:noProof/>
                <w:szCs w:val="18"/>
              </w:rPr>
            </w:pPr>
            <w:r>
              <w:rPr>
                <w:noProof/>
              </w:rPr>
              <w:t>21</w:t>
            </w:r>
          </w:p>
        </w:tc>
        <w:tc>
          <w:tcPr>
            <w:tcW w:w="4320" w:type="dxa"/>
            <w:tcBorders>
              <w:top w:val="single" w:sz="4" w:space="0" w:color="auto"/>
              <w:left w:val="nil"/>
              <w:bottom w:val="single" w:sz="4" w:space="0" w:color="auto"/>
              <w:right w:val="single" w:sz="4" w:space="0" w:color="auto"/>
            </w:tcBorders>
            <w:shd w:val="clear" w:color="000000" w:fill="C6EFCE"/>
            <w:noWrap/>
            <w:vAlign w:val="center"/>
          </w:tcPr>
          <w:p w14:paraId="46ED807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16872_Energetická renovace obytných budov</w:t>
            </w:r>
          </w:p>
        </w:tc>
        <w:tc>
          <w:tcPr>
            <w:tcW w:w="1680" w:type="dxa"/>
            <w:tcBorders>
              <w:top w:val="single" w:sz="4" w:space="0" w:color="auto"/>
              <w:left w:val="nil"/>
              <w:bottom w:val="single" w:sz="4" w:space="0" w:color="auto"/>
              <w:right w:val="single" w:sz="4" w:space="0" w:color="auto"/>
            </w:tcBorders>
            <w:shd w:val="clear" w:color="000000" w:fill="C6EFCE"/>
            <w:noWrap/>
            <w:vAlign w:val="center"/>
          </w:tcPr>
          <w:p w14:paraId="2067097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000000" w:fill="C6EFCE"/>
            <w:noWrap/>
            <w:vAlign w:val="center"/>
          </w:tcPr>
          <w:p w14:paraId="2BE3BE3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Renovace obytných budov – 2. kolo zahájení činnosti zahrnující domácnosti trpící energetickou chudobou</w:t>
            </w:r>
          </w:p>
        </w:tc>
      </w:tr>
      <w:tr w:rsidR="00515398" w14:paraId="05E37284"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EBD7603" w14:textId="77777777" w:rsidR="00515398" w:rsidRDefault="006711E6">
            <w:pPr>
              <w:pStyle w:val="P68B1DB1-Normal8"/>
              <w:keepNext/>
              <w:spacing w:before="40" w:after="0" w:line="240" w:lineRule="auto"/>
              <w:jc w:val="both"/>
              <w:rPr>
                <w:rFonts w:eastAsia="Times New Roman" w:cs="Times New Roman"/>
                <w:noProof/>
                <w:szCs w:val="18"/>
              </w:rPr>
            </w:pPr>
            <w:r>
              <w:rPr>
                <w:noProof/>
              </w:rPr>
              <w:t>45</w:t>
            </w:r>
          </w:p>
        </w:tc>
        <w:tc>
          <w:tcPr>
            <w:tcW w:w="4320" w:type="dxa"/>
            <w:tcBorders>
              <w:top w:val="nil"/>
              <w:left w:val="nil"/>
              <w:bottom w:val="single" w:sz="4" w:space="0" w:color="auto"/>
              <w:right w:val="single" w:sz="4" w:space="0" w:color="auto"/>
            </w:tcBorders>
            <w:shd w:val="clear" w:color="000000" w:fill="C6EFCE"/>
            <w:noWrap/>
            <w:vAlign w:val="center"/>
          </w:tcPr>
          <w:p w14:paraId="4565530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 Dobíjení a doplňování paliva – 16924_Elektromobilita</w:t>
            </w:r>
          </w:p>
        </w:tc>
        <w:tc>
          <w:tcPr>
            <w:tcW w:w="1680" w:type="dxa"/>
            <w:tcBorders>
              <w:top w:val="nil"/>
              <w:left w:val="nil"/>
              <w:bottom w:val="single" w:sz="4" w:space="0" w:color="auto"/>
              <w:right w:val="single" w:sz="4" w:space="0" w:color="auto"/>
            </w:tcBorders>
            <w:shd w:val="clear" w:color="000000" w:fill="C6EFCE"/>
            <w:noWrap/>
            <w:vAlign w:val="center"/>
          </w:tcPr>
          <w:p w14:paraId="5B2E991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25B402F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Veřejná </w:t>
            </w:r>
            <w:r>
              <w:rPr>
                <w:noProof/>
              </w:rPr>
              <w:t>doprava – provádění nové regulace trhu se závazky veřejné služby (autobusy)</w:t>
            </w:r>
          </w:p>
        </w:tc>
      </w:tr>
      <w:tr w:rsidR="00515398" w14:paraId="3157A41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1ACD3D3" w14:textId="77777777" w:rsidR="00515398" w:rsidRDefault="006711E6">
            <w:pPr>
              <w:pStyle w:val="P68B1DB1-Normal8"/>
              <w:keepNext/>
              <w:spacing w:before="40" w:after="0" w:line="240" w:lineRule="auto"/>
              <w:jc w:val="both"/>
              <w:rPr>
                <w:rFonts w:eastAsia="Times New Roman" w:cs="Times New Roman"/>
                <w:noProof/>
                <w:szCs w:val="18"/>
              </w:rPr>
            </w:pPr>
            <w:r>
              <w:rPr>
                <w:noProof/>
              </w:rPr>
              <w:t>57</w:t>
            </w:r>
          </w:p>
        </w:tc>
        <w:tc>
          <w:tcPr>
            <w:tcW w:w="4320" w:type="dxa"/>
            <w:tcBorders>
              <w:top w:val="nil"/>
              <w:left w:val="nil"/>
              <w:bottom w:val="single" w:sz="4" w:space="0" w:color="auto"/>
              <w:right w:val="single" w:sz="4" w:space="0" w:color="auto"/>
            </w:tcBorders>
            <w:shd w:val="clear" w:color="000000" w:fill="C6EFCE"/>
            <w:noWrap/>
            <w:vAlign w:val="center"/>
          </w:tcPr>
          <w:p w14:paraId="5E46FD0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4–1.4. Udržitelné využívání zdrojů, odolnost vůči změně klimatu a ochrana životního prostředí – 16772_Právní předpisy o nakládání s odpady pro provádění udržitelného </w:t>
            </w:r>
            <w:r>
              <w:rPr>
                <w:noProof/>
              </w:rPr>
              <w:t>skládkování a recyklace</w:t>
            </w:r>
          </w:p>
        </w:tc>
        <w:tc>
          <w:tcPr>
            <w:tcW w:w="1680" w:type="dxa"/>
            <w:tcBorders>
              <w:top w:val="nil"/>
              <w:left w:val="nil"/>
              <w:bottom w:val="single" w:sz="4" w:space="0" w:color="auto"/>
              <w:right w:val="single" w:sz="4" w:space="0" w:color="auto"/>
            </w:tcBorders>
            <w:shd w:val="clear" w:color="000000" w:fill="C6EFCE"/>
            <w:noWrap/>
            <w:vAlign w:val="center"/>
          </w:tcPr>
          <w:p w14:paraId="6465B1F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2C681E1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Vstup v platnost zákona o regulačním orgánu pro nakládání s odpady</w:t>
            </w:r>
          </w:p>
        </w:tc>
      </w:tr>
      <w:tr w:rsidR="00515398" w14:paraId="431B671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A3EB54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85</w:t>
            </w:r>
          </w:p>
        </w:tc>
        <w:tc>
          <w:tcPr>
            <w:tcW w:w="4320" w:type="dxa"/>
            <w:tcBorders>
              <w:top w:val="nil"/>
              <w:left w:val="nil"/>
              <w:bottom w:val="single" w:sz="4" w:space="0" w:color="auto"/>
              <w:right w:val="single" w:sz="4" w:space="0" w:color="auto"/>
            </w:tcBorders>
            <w:shd w:val="clear" w:color="000000" w:fill="C6EFCE"/>
            <w:noWrap/>
            <w:vAlign w:val="center"/>
          </w:tcPr>
          <w:p w14:paraId="22BC99F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5–2.1. Connect – 16818_Infrastruktura optických vláken v budovách</w:t>
            </w:r>
          </w:p>
        </w:tc>
        <w:tc>
          <w:tcPr>
            <w:tcW w:w="1680" w:type="dxa"/>
            <w:tcBorders>
              <w:top w:val="nil"/>
              <w:left w:val="nil"/>
              <w:bottom w:val="single" w:sz="4" w:space="0" w:color="auto"/>
              <w:right w:val="single" w:sz="4" w:space="0" w:color="auto"/>
            </w:tcBorders>
            <w:shd w:val="clear" w:color="000000" w:fill="C6EFCE"/>
            <w:noWrap/>
            <w:vAlign w:val="center"/>
          </w:tcPr>
          <w:p w14:paraId="386A7AC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7F52864"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(zakázek) na projekt „Infrastruktura optických vláken v budovách“</w:t>
            </w:r>
          </w:p>
        </w:tc>
      </w:tr>
      <w:tr w:rsidR="00515398" w14:paraId="2A9CD0A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D4E79E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96</w:t>
            </w:r>
          </w:p>
        </w:tc>
        <w:tc>
          <w:tcPr>
            <w:tcW w:w="4320" w:type="dxa"/>
            <w:tcBorders>
              <w:top w:val="nil"/>
              <w:left w:val="nil"/>
              <w:bottom w:val="single" w:sz="4" w:space="0" w:color="auto"/>
              <w:right w:val="single" w:sz="4" w:space="0" w:color="auto"/>
            </w:tcBorders>
            <w:shd w:val="clear" w:color="000000" w:fill="C6EFCE"/>
            <w:noWrap/>
            <w:vAlign w:val="center"/>
          </w:tcPr>
          <w:p w14:paraId="16A774A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16929_Směrem ke službám veřejné správy zaměřeným na zákazníky prostřednictvím zjednodušení a zlepšení procesů, zlepšení systémů a souladu s evropskými strategiemi a politikami</w:t>
            </w:r>
          </w:p>
        </w:tc>
        <w:tc>
          <w:tcPr>
            <w:tcW w:w="1680" w:type="dxa"/>
            <w:tcBorders>
              <w:top w:val="nil"/>
              <w:left w:val="nil"/>
              <w:bottom w:val="single" w:sz="4" w:space="0" w:color="auto"/>
              <w:right w:val="single" w:sz="4" w:space="0" w:color="auto"/>
            </w:tcBorders>
            <w:shd w:val="clear" w:color="000000" w:fill="C6EFCE"/>
            <w:noWrap/>
            <w:vAlign w:val="center"/>
          </w:tcPr>
          <w:p w14:paraId="3131F29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43399B6"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Zřízení vnitrostátního registru postupů a </w:t>
            </w:r>
            <w:r>
              <w:rPr>
                <w:noProof/>
              </w:rPr>
              <w:t>provádění národního plánu pro zjednodušení postupů (první fáze)</w:t>
            </w:r>
          </w:p>
        </w:tc>
      </w:tr>
      <w:tr w:rsidR="00515398" w14:paraId="3CA61B4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CFE7CD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142</w:t>
            </w:r>
          </w:p>
        </w:tc>
        <w:tc>
          <w:tcPr>
            <w:tcW w:w="4320" w:type="dxa"/>
            <w:tcBorders>
              <w:top w:val="nil"/>
              <w:left w:val="nil"/>
              <w:bottom w:val="single" w:sz="4" w:space="0" w:color="auto"/>
              <w:right w:val="single" w:sz="4" w:space="0" w:color="auto"/>
            </w:tcBorders>
            <w:shd w:val="clear" w:color="000000" w:fill="C6EFCE"/>
            <w:noWrap/>
            <w:vAlign w:val="center"/>
          </w:tcPr>
          <w:p w14:paraId="2A078DC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8–3.1. Podpora tvorby pracovních míst a účasti na trhu práce – 16746_Reforma pasivních politik na trhu práce na podporu přechodu k zaměstnání</w:t>
            </w:r>
          </w:p>
        </w:tc>
        <w:tc>
          <w:tcPr>
            <w:tcW w:w="1680" w:type="dxa"/>
            <w:tcBorders>
              <w:top w:val="nil"/>
              <w:left w:val="nil"/>
              <w:bottom w:val="single" w:sz="4" w:space="0" w:color="auto"/>
              <w:right w:val="single" w:sz="4" w:space="0" w:color="auto"/>
            </w:tcBorders>
            <w:shd w:val="clear" w:color="000000" w:fill="C6EFCE"/>
            <w:noWrap/>
            <w:vAlign w:val="center"/>
          </w:tcPr>
          <w:p w14:paraId="7ED7176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1CA9E440" w14:textId="77777777" w:rsidR="00515398" w:rsidRDefault="006711E6">
            <w:pPr>
              <w:pStyle w:val="P68B1DB1-Normal8"/>
              <w:keepNext/>
              <w:spacing w:before="40" w:after="0" w:line="240" w:lineRule="auto"/>
              <w:jc w:val="both"/>
              <w:rPr>
                <w:rFonts w:eastAsia="Times New Roman" w:cs="Times New Roman"/>
                <w:noProof/>
                <w:szCs w:val="18"/>
              </w:rPr>
            </w:pPr>
            <w:r>
              <w:rPr>
                <w:noProof/>
              </w:rPr>
              <w:t>Reforma rámce vzájemných závazků, vstu</w:t>
            </w:r>
            <w:r>
              <w:rPr>
                <w:noProof/>
              </w:rPr>
              <w:t xml:space="preserve">p právních předpisů v platnost </w:t>
            </w:r>
          </w:p>
        </w:tc>
      </w:tr>
      <w:tr w:rsidR="00515398" w14:paraId="1BC2F982"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B715D3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191</w:t>
            </w:r>
          </w:p>
        </w:tc>
        <w:tc>
          <w:tcPr>
            <w:tcW w:w="4320" w:type="dxa"/>
            <w:tcBorders>
              <w:top w:val="nil"/>
              <w:left w:val="nil"/>
              <w:bottom w:val="single" w:sz="4" w:space="0" w:color="auto"/>
              <w:right w:val="single" w:sz="4" w:space="0" w:color="auto"/>
            </w:tcBorders>
            <w:shd w:val="clear" w:color="000000" w:fill="C6EFCE"/>
            <w:noWrap/>
            <w:vAlign w:val="center"/>
          </w:tcPr>
          <w:p w14:paraId="5710F7F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 daňovou správu a výběr daní – 16656_Nový rámec pro boj proti pašování, zejména u výrobků podléhajících spotřebním daním (tabák, alkohol a energie)</w:t>
            </w:r>
          </w:p>
        </w:tc>
        <w:tc>
          <w:tcPr>
            <w:tcW w:w="1680" w:type="dxa"/>
            <w:tcBorders>
              <w:top w:val="nil"/>
              <w:left w:val="nil"/>
              <w:bottom w:val="single" w:sz="4" w:space="0" w:color="auto"/>
              <w:right w:val="single" w:sz="4" w:space="0" w:color="auto"/>
            </w:tcBorders>
            <w:shd w:val="clear" w:color="000000" w:fill="C6EFCE"/>
            <w:noWrap/>
            <w:vAlign w:val="center"/>
          </w:tcPr>
          <w:p w14:paraId="4104BBE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DA98793"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Boj proti </w:t>
            </w:r>
            <w:r>
              <w:rPr>
                <w:noProof/>
              </w:rPr>
              <w:t>pašování – přijetí regulačních rozhodnutí</w:t>
            </w:r>
          </w:p>
        </w:tc>
      </w:tr>
      <w:tr w:rsidR="00515398" w14:paraId="152674D9"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21EAA14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206</w:t>
            </w:r>
          </w:p>
        </w:tc>
        <w:tc>
          <w:tcPr>
            <w:tcW w:w="4320" w:type="dxa"/>
            <w:tcBorders>
              <w:top w:val="nil"/>
              <w:left w:val="nil"/>
              <w:bottom w:val="single" w:sz="4" w:space="0" w:color="auto"/>
              <w:right w:val="single" w:sz="4" w:space="0" w:color="auto"/>
            </w:tcBorders>
            <w:shd w:val="clear" w:color="000000" w:fill="C6EFCE"/>
            <w:noWrap/>
            <w:vAlign w:val="center"/>
          </w:tcPr>
          <w:p w14:paraId="413B063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Modernizace veřejné správy, mimo jiné urychlením provádění veřejných investic, zlepšením rámce pro zadávání veřejných zakázek, opatřeními na budování kapacit a bojem proti korupci – 16972_Reforma veřejné</w:t>
            </w:r>
            <w:r>
              <w:rPr>
                <w:noProof/>
              </w:rPr>
              <w:t xml:space="preserve"> správy</w:t>
            </w:r>
          </w:p>
        </w:tc>
        <w:tc>
          <w:tcPr>
            <w:tcW w:w="1680" w:type="dxa"/>
            <w:tcBorders>
              <w:top w:val="nil"/>
              <w:left w:val="nil"/>
              <w:bottom w:val="single" w:sz="4" w:space="0" w:color="auto"/>
              <w:right w:val="single" w:sz="4" w:space="0" w:color="auto"/>
            </w:tcBorders>
            <w:shd w:val="clear" w:color="000000" w:fill="C6EFCE"/>
            <w:noWrap/>
            <w:vAlign w:val="center"/>
          </w:tcPr>
          <w:p w14:paraId="1069BCB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437907A1" w14:textId="77777777" w:rsidR="00515398" w:rsidRDefault="006711E6">
            <w:pPr>
              <w:pStyle w:val="P68B1DB1-Normal8"/>
              <w:keepNext/>
              <w:spacing w:before="40" w:after="0" w:line="240" w:lineRule="auto"/>
              <w:jc w:val="both"/>
              <w:rPr>
                <w:rFonts w:eastAsia="Times New Roman" w:cs="Times New Roman"/>
                <w:noProof/>
                <w:szCs w:val="18"/>
              </w:rPr>
            </w:pPr>
            <w:r>
              <w:rPr>
                <w:noProof/>
              </w:rPr>
              <w:t>Veřejná správa – legislativní rámec pro vyjasnění mandátů</w:t>
            </w:r>
          </w:p>
        </w:tc>
      </w:tr>
      <w:tr w:rsidR="00515398" w14:paraId="656BFE3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F5D55A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209</w:t>
            </w:r>
          </w:p>
        </w:tc>
        <w:tc>
          <w:tcPr>
            <w:tcW w:w="4320" w:type="dxa"/>
            <w:tcBorders>
              <w:top w:val="nil"/>
              <w:left w:val="nil"/>
              <w:bottom w:val="single" w:sz="4" w:space="0" w:color="auto"/>
              <w:right w:val="single" w:sz="4" w:space="0" w:color="auto"/>
            </w:tcBorders>
            <w:shd w:val="clear" w:color="000000" w:fill="C6EFCE"/>
            <w:noWrap/>
            <w:vAlign w:val="center"/>
          </w:tcPr>
          <w:p w14:paraId="3AAB3FE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Modernizovat veřejnou správu, mimo jiné urychlením provádění veřejných investic, zlepšením rámce pro zadávání veřejných zakázek, opatřeními na budování kapacit a bojem prot</w:t>
            </w:r>
            <w:r>
              <w:rPr>
                <w:noProof/>
              </w:rPr>
              <w:t>i korupci – 16978_Efektivní boj proti korupci</w:t>
            </w:r>
          </w:p>
        </w:tc>
        <w:tc>
          <w:tcPr>
            <w:tcW w:w="1680" w:type="dxa"/>
            <w:tcBorders>
              <w:top w:val="nil"/>
              <w:left w:val="nil"/>
              <w:bottom w:val="single" w:sz="4" w:space="0" w:color="auto"/>
              <w:right w:val="single" w:sz="4" w:space="0" w:color="auto"/>
            </w:tcBorders>
            <w:shd w:val="clear" w:color="000000" w:fill="C6EFCE"/>
            <w:noWrap/>
            <w:vAlign w:val="center"/>
          </w:tcPr>
          <w:p w14:paraId="56BE89B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6B5BEF7" w14:textId="77777777" w:rsidR="00515398" w:rsidRDefault="006711E6">
            <w:pPr>
              <w:pStyle w:val="P68B1DB1-Normal8"/>
              <w:keepNext/>
              <w:spacing w:before="40" w:after="0" w:line="240" w:lineRule="auto"/>
              <w:jc w:val="both"/>
              <w:rPr>
                <w:rFonts w:eastAsia="Times New Roman" w:cs="Times New Roman"/>
                <w:noProof/>
                <w:szCs w:val="18"/>
              </w:rPr>
            </w:pPr>
            <w:r>
              <w:rPr>
                <w:noProof/>
              </w:rPr>
              <w:t>Majetková přiznání a politické strany</w:t>
            </w:r>
          </w:p>
        </w:tc>
      </w:tr>
      <w:tr w:rsidR="00515398" w14:paraId="59144FC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B057BA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210</w:t>
            </w:r>
          </w:p>
        </w:tc>
        <w:tc>
          <w:tcPr>
            <w:tcW w:w="4320" w:type="dxa"/>
            <w:tcBorders>
              <w:top w:val="nil"/>
              <w:left w:val="nil"/>
              <w:bottom w:val="single" w:sz="4" w:space="0" w:color="auto"/>
              <w:right w:val="single" w:sz="4" w:space="0" w:color="auto"/>
            </w:tcBorders>
            <w:shd w:val="clear" w:color="000000" w:fill="C6EFCE"/>
            <w:noWrap/>
            <w:vAlign w:val="center"/>
          </w:tcPr>
          <w:p w14:paraId="1C66459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Modernizace veřejné správy, mimo jiné urychlením provádění veřejných investic, zlepšením rámce pro zadávání veřejných zakázek, opatřeními na budování </w:t>
            </w:r>
            <w:r>
              <w:rPr>
                <w:noProof/>
              </w:rPr>
              <w:t>kapacit a bojem proti korupci – 16952_ Posílení národního protikorupčního rámce prostřednictvím cílených zásahů v oblasti odhalování, prevence a zvyšování povědomí</w:t>
            </w:r>
          </w:p>
        </w:tc>
        <w:tc>
          <w:tcPr>
            <w:tcW w:w="1680" w:type="dxa"/>
            <w:tcBorders>
              <w:top w:val="nil"/>
              <w:left w:val="nil"/>
              <w:bottom w:val="single" w:sz="4" w:space="0" w:color="auto"/>
              <w:right w:val="single" w:sz="4" w:space="0" w:color="auto"/>
            </w:tcBorders>
            <w:shd w:val="clear" w:color="000000" w:fill="C6EFCE"/>
            <w:noWrap/>
            <w:vAlign w:val="center"/>
          </w:tcPr>
          <w:p w14:paraId="1A8845B7"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78E73620" w14:textId="77777777" w:rsidR="00515398" w:rsidRDefault="006711E6">
            <w:pPr>
              <w:pStyle w:val="P68B1DB1-Normal8"/>
              <w:keepNext/>
              <w:spacing w:before="40" w:after="0" w:line="240" w:lineRule="auto"/>
              <w:jc w:val="both"/>
              <w:rPr>
                <w:rFonts w:eastAsia="Times New Roman" w:cs="Times New Roman"/>
                <w:noProof/>
                <w:szCs w:val="18"/>
              </w:rPr>
            </w:pPr>
            <w:r>
              <w:rPr>
                <w:noProof/>
              </w:rPr>
              <w:t>Národní protikorupční akční plán</w:t>
            </w:r>
          </w:p>
        </w:tc>
      </w:tr>
      <w:tr w:rsidR="00515398" w14:paraId="0D3C55F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B4468C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223</w:t>
            </w:r>
          </w:p>
        </w:tc>
        <w:tc>
          <w:tcPr>
            <w:tcW w:w="4320" w:type="dxa"/>
            <w:tcBorders>
              <w:top w:val="nil"/>
              <w:left w:val="nil"/>
              <w:bottom w:val="single" w:sz="4" w:space="0" w:color="auto"/>
              <w:right w:val="single" w:sz="4" w:space="0" w:color="auto"/>
            </w:tcBorders>
            <w:shd w:val="clear" w:color="000000" w:fill="C6EFCE"/>
            <w:noWrap/>
            <w:vAlign w:val="center"/>
          </w:tcPr>
          <w:p w14:paraId="0A74164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Zlepšit účinnosti systému spravedlnosti</w:t>
            </w:r>
            <w:r>
              <w:rPr>
                <w:noProof/>
              </w:rPr>
              <w:t xml:space="preserve"> – 16575 Zrychlení soudní správy</w:t>
            </w:r>
          </w:p>
        </w:tc>
        <w:tc>
          <w:tcPr>
            <w:tcW w:w="1680" w:type="dxa"/>
            <w:tcBorders>
              <w:top w:val="nil"/>
              <w:left w:val="nil"/>
              <w:bottom w:val="single" w:sz="4" w:space="0" w:color="auto"/>
              <w:right w:val="single" w:sz="4" w:space="0" w:color="auto"/>
            </w:tcBorders>
            <w:shd w:val="clear" w:color="000000" w:fill="C6EFCE"/>
            <w:noWrap/>
            <w:vAlign w:val="center"/>
          </w:tcPr>
          <w:p w14:paraId="2286503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15C04C50" w14:textId="77777777" w:rsidR="00515398" w:rsidRDefault="006711E6">
            <w:pPr>
              <w:pStyle w:val="P68B1DB1-Normal8"/>
              <w:keepNext/>
              <w:spacing w:before="40" w:after="0" w:line="240" w:lineRule="auto"/>
              <w:jc w:val="both"/>
              <w:rPr>
                <w:rFonts w:eastAsia="Times New Roman" w:cs="Times New Roman"/>
                <w:noProof/>
                <w:szCs w:val="18"/>
              </w:rPr>
            </w:pPr>
            <w:r>
              <w:rPr>
                <w:noProof/>
              </w:rPr>
              <w:t>Technická podpora – nástroj pro výkon soudnictví</w:t>
            </w:r>
          </w:p>
        </w:tc>
      </w:tr>
      <w:tr w:rsidR="00515398" w14:paraId="188516FA"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EBB4B8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225</w:t>
            </w:r>
          </w:p>
        </w:tc>
        <w:tc>
          <w:tcPr>
            <w:tcW w:w="4320" w:type="dxa"/>
            <w:tcBorders>
              <w:top w:val="nil"/>
              <w:left w:val="nil"/>
              <w:bottom w:val="single" w:sz="4" w:space="0" w:color="auto"/>
              <w:right w:val="single" w:sz="4" w:space="0" w:color="auto"/>
            </w:tcBorders>
            <w:shd w:val="clear" w:color="000000" w:fill="C6EFCE"/>
            <w:noWrap/>
            <w:vAlign w:val="center"/>
          </w:tcPr>
          <w:p w14:paraId="524CA57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Zlepšit účinnosti systému spravedlnosti – 16575 Zrychlení soudní správy</w:t>
            </w:r>
          </w:p>
        </w:tc>
        <w:tc>
          <w:tcPr>
            <w:tcW w:w="1680" w:type="dxa"/>
            <w:tcBorders>
              <w:top w:val="nil"/>
              <w:left w:val="nil"/>
              <w:bottom w:val="single" w:sz="4" w:space="0" w:color="auto"/>
              <w:right w:val="single" w:sz="4" w:space="0" w:color="auto"/>
            </w:tcBorders>
            <w:shd w:val="clear" w:color="000000" w:fill="C6EFCE"/>
            <w:noWrap/>
            <w:vAlign w:val="center"/>
          </w:tcPr>
          <w:p w14:paraId="617403D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3AC451DB"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Soudní policie – Sekundární právní předpisy </w:t>
            </w:r>
          </w:p>
        </w:tc>
      </w:tr>
      <w:tr w:rsidR="00515398" w14:paraId="6A3B7C3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4CF352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278</w:t>
            </w:r>
          </w:p>
        </w:tc>
        <w:tc>
          <w:tcPr>
            <w:tcW w:w="4320" w:type="dxa"/>
            <w:tcBorders>
              <w:top w:val="nil"/>
              <w:left w:val="nil"/>
              <w:bottom w:val="single" w:sz="4" w:space="0" w:color="auto"/>
              <w:right w:val="single" w:sz="4" w:space="0" w:color="auto"/>
            </w:tcBorders>
            <w:shd w:val="clear" w:color="000000" w:fill="C6EFCE"/>
            <w:noWrap/>
            <w:vAlign w:val="center"/>
          </w:tcPr>
          <w:p w14:paraId="5C38270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Modernizace a </w:t>
            </w:r>
            <w:r>
              <w:rPr>
                <w:noProof/>
              </w:rPr>
              <w:t>zlepšení odolnosti klíčových hospodářských odvětví – 16715_Reforma v oblasti kultury</w:t>
            </w:r>
          </w:p>
        </w:tc>
        <w:tc>
          <w:tcPr>
            <w:tcW w:w="1680" w:type="dxa"/>
            <w:tcBorders>
              <w:top w:val="nil"/>
              <w:left w:val="nil"/>
              <w:bottom w:val="single" w:sz="4" w:space="0" w:color="auto"/>
              <w:right w:val="single" w:sz="4" w:space="0" w:color="auto"/>
            </w:tcBorders>
            <w:shd w:val="clear" w:color="000000" w:fill="C6EFCE"/>
            <w:noWrap/>
            <w:vAlign w:val="center"/>
          </w:tcPr>
          <w:p w14:paraId="713E71B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039E47F7" w14:textId="77777777" w:rsidR="00515398" w:rsidRDefault="006711E6">
            <w:pPr>
              <w:pStyle w:val="P68B1DB1-Normal8"/>
              <w:keepNext/>
              <w:spacing w:before="40" w:after="0" w:line="240" w:lineRule="auto"/>
              <w:jc w:val="both"/>
              <w:rPr>
                <w:rFonts w:eastAsia="Times New Roman" w:cs="Times New Roman"/>
                <w:noProof/>
                <w:szCs w:val="18"/>
              </w:rPr>
            </w:pPr>
            <w:r>
              <w:rPr>
                <w:noProof/>
              </w:rPr>
              <w:t>Právní předpisy pro reformu práce v kulturním odvětví</w:t>
            </w:r>
          </w:p>
        </w:tc>
      </w:tr>
      <w:tr w:rsidR="00515398" w14:paraId="3F23838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719074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302</w:t>
            </w:r>
          </w:p>
        </w:tc>
        <w:tc>
          <w:tcPr>
            <w:tcW w:w="4320" w:type="dxa"/>
            <w:tcBorders>
              <w:top w:val="nil"/>
              <w:left w:val="nil"/>
              <w:bottom w:val="single" w:sz="4" w:space="0" w:color="auto"/>
              <w:right w:val="single" w:sz="4" w:space="0" w:color="auto"/>
            </w:tcBorders>
            <w:shd w:val="clear" w:color="000000" w:fill="C6EFCE"/>
            <w:noWrap/>
            <w:vAlign w:val="center"/>
          </w:tcPr>
          <w:p w14:paraId="6638D23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16634_Nové průmyslové parky</w:t>
            </w:r>
          </w:p>
        </w:tc>
        <w:tc>
          <w:tcPr>
            <w:tcW w:w="1680" w:type="dxa"/>
            <w:tcBorders>
              <w:top w:val="nil"/>
              <w:left w:val="nil"/>
              <w:bottom w:val="single" w:sz="4" w:space="0" w:color="auto"/>
              <w:right w:val="single" w:sz="4" w:space="0" w:color="auto"/>
            </w:tcBorders>
            <w:shd w:val="clear" w:color="000000" w:fill="C6EFCE"/>
            <w:noWrap/>
            <w:vAlign w:val="center"/>
          </w:tcPr>
          <w:p w14:paraId="2CE61E6A" w14:textId="77777777" w:rsidR="00515398" w:rsidRDefault="006711E6">
            <w:pPr>
              <w:pStyle w:val="P68B1DB1-Normal8"/>
              <w:keepNext/>
              <w:spacing w:before="40" w:after="0" w:line="240" w:lineRule="auto"/>
              <w:jc w:val="both"/>
              <w:rPr>
                <w:rFonts w:eastAsia="Times New Roman" w:cs="Times New Roman"/>
                <w:noProof/>
                <w:szCs w:val="18"/>
              </w:rPr>
            </w:pPr>
            <w:r>
              <w:rPr>
                <w:noProof/>
              </w:rPr>
              <w:t>Mi</w:t>
            </w:r>
            <w:r>
              <w:rPr>
                <w:noProof/>
              </w:rPr>
              <w:t>lník</w:t>
            </w:r>
          </w:p>
        </w:tc>
        <w:tc>
          <w:tcPr>
            <w:tcW w:w="1800" w:type="dxa"/>
            <w:tcBorders>
              <w:top w:val="nil"/>
              <w:left w:val="nil"/>
              <w:bottom w:val="single" w:sz="4" w:space="0" w:color="auto"/>
              <w:right w:val="single" w:sz="4" w:space="0" w:color="auto"/>
            </w:tcBorders>
            <w:shd w:val="clear" w:color="000000" w:fill="C6EFCE"/>
            <w:noWrap/>
            <w:vAlign w:val="center"/>
          </w:tcPr>
          <w:p w14:paraId="1329A173" w14:textId="77777777" w:rsidR="00515398" w:rsidRDefault="006711E6">
            <w:pPr>
              <w:pStyle w:val="P68B1DB1-Normal8"/>
              <w:keepNext/>
              <w:spacing w:before="40" w:after="0" w:line="240" w:lineRule="auto"/>
              <w:jc w:val="both"/>
              <w:rPr>
                <w:rFonts w:eastAsia="Times New Roman" w:cs="Times New Roman"/>
                <w:noProof/>
                <w:szCs w:val="18"/>
              </w:rPr>
            </w:pPr>
            <w:r>
              <w:rPr>
                <w:noProof/>
              </w:rPr>
              <w:t>Průmyslové parky – legislativní reforma (primární právo)</w:t>
            </w:r>
          </w:p>
        </w:tc>
      </w:tr>
      <w:tr w:rsidR="00515398" w14:paraId="5E10311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07AC31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311</w:t>
            </w:r>
          </w:p>
        </w:tc>
        <w:tc>
          <w:tcPr>
            <w:tcW w:w="4320" w:type="dxa"/>
            <w:tcBorders>
              <w:top w:val="nil"/>
              <w:left w:val="nil"/>
              <w:bottom w:val="single" w:sz="4" w:space="0" w:color="auto"/>
              <w:right w:val="single" w:sz="4" w:space="0" w:color="auto"/>
            </w:tcBorders>
            <w:shd w:val="clear" w:color="000000" w:fill="C6EFCE"/>
            <w:noWrap/>
            <w:vAlign w:val="center"/>
          </w:tcPr>
          <w:p w14:paraId="109A2CE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 17–4.6. Modernizace a zlepšení odolnosti klíčových hospodářských odvětví – 16653_Digitální transformace zemědělsko-potravinářského odvětví </w:t>
            </w:r>
          </w:p>
        </w:tc>
        <w:tc>
          <w:tcPr>
            <w:tcW w:w="1680" w:type="dxa"/>
            <w:tcBorders>
              <w:top w:val="nil"/>
              <w:left w:val="nil"/>
              <w:bottom w:val="single" w:sz="4" w:space="0" w:color="auto"/>
              <w:right w:val="single" w:sz="4" w:space="0" w:color="auto"/>
            </w:tcBorders>
            <w:shd w:val="clear" w:color="000000" w:fill="C6EFCE"/>
            <w:noWrap/>
            <w:vAlign w:val="center"/>
          </w:tcPr>
          <w:p w14:paraId="05B98FEF" w14:textId="77777777" w:rsidR="00515398" w:rsidRDefault="006711E6">
            <w:pPr>
              <w:pStyle w:val="P68B1DB1-Normal8"/>
              <w:keepNext/>
              <w:spacing w:before="40" w:after="0" w:line="240" w:lineRule="auto"/>
              <w:jc w:val="both"/>
              <w:rPr>
                <w:rFonts w:eastAsia="Times New Roman" w:cs="Times New Roman"/>
                <w:noProof/>
                <w:szCs w:val="18"/>
              </w:rPr>
            </w:pPr>
            <w:r>
              <w:rPr>
                <w:noProof/>
              </w:rPr>
              <w:t> Milník</w:t>
            </w:r>
          </w:p>
        </w:tc>
        <w:tc>
          <w:tcPr>
            <w:tcW w:w="1800" w:type="dxa"/>
            <w:tcBorders>
              <w:top w:val="nil"/>
              <w:left w:val="nil"/>
              <w:bottom w:val="single" w:sz="4" w:space="0" w:color="auto"/>
              <w:right w:val="single" w:sz="4" w:space="0" w:color="auto"/>
            </w:tcBorders>
            <w:shd w:val="clear" w:color="000000" w:fill="C6EFCE"/>
            <w:noWrap/>
            <w:vAlign w:val="center"/>
          </w:tcPr>
          <w:p w14:paraId="3AD37A86"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Vyhlášení výzvy k digitální transformaci zemědělsko-potravinářského odvětví </w:t>
            </w:r>
          </w:p>
        </w:tc>
      </w:tr>
      <w:tr w:rsidR="00515398" w14:paraId="3EE5856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2E37DAA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w:t>
            </w:r>
          </w:p>
        </w:tc>
        <w:tc>
          <w:tcPr>
            <w:tcW w:w="4320" w:type="dxa"/>
            <w:tcBorders>
              <w:top w:val="nil"/>
              <w:left w:val="nil"/>
              <w:bottom w:val="single" w:sz="4" w:space="0" w:color="auto"/>
              <w:right w:val="single" w:sz="4" w:space="0" w:color="auto"/>
            </w:tcBorders>
            <w:shd w:val="clear" w:color="000000" w:fill="C6EFCE"/>
            <w:noWrap/>
            <w:vAlign w:val="center"/>
          </w:tcPr>
          <w:p w14:paraId="2FCB30D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16872_Energetická renovace obytných budov</w:t>
            </w:r>
          </w:p>
        </w:tc>
        <w:tc>
          <w:tcPr>
            <w:tcW w:w="1680" w:type="dxa"/>
            <w:tcBorders>
              <w:top w:val="nil"/>
              <w:left w:val="nil"/>
              <w:bottom w:val="single" w:sz="4" w:space="0" w:color="auto"/>
              <w:right w:val="single" w:sz="4" w:space="0" w:color="auto"/>
            </w:tcBorders>
            <w:shd w:val="clear" w:color="000000" w:fill="C6EFCE"/>
            <w:noWrap/>
            <w:vAlign w:val="center"/>
          </w:tcPr>
          <w:p w14:paraId="211CDC6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B413044" w14:textId="77777777" w:rsidR="00515398" w:rsidRDefault="006711E6">
            <w:pPr>
              <w:pStyle w:val="P68B1DB1-Normal8"/>
              <w:keepNext/>
              <w:spacing w:before="40" w:after="0" w:line="240" w:lineRule="auto"/>
              <w:jc w:val="both"/>
              <w:rPr>
                <w:rFonts w:eastAsia="Times New Roman" w:cs="Times New Roman"/>
                <w:noProof/>
                <w:szCs w:val="18"/>
              </w:rPr>
            </w:pPr>
            <w:r>
              <w:rPr>
                <w:noProof/>
              </w:rPr>
              <w:t>Renovace obytných budov – 3. kolo zahájení zahrnující domácnosti trpící energetickou chudobou</w:t>
            </w:r>
          </w:p>
        </w:tc>
      </w:tr>
      <w:tr w:rsidR="00515398" w14:paraId="3532612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63BC56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w:t>
            </w:r>
          </w:p>
        </w:tc>
        <w:tc>
          <w:tcPr>
            <w:tcW w:w="4320" w:type="dxa"/>
            <w:tcBorders>
              <w:top w:val="nil"/>
              <w:left w:val="nil"/>
              <w:bottom w:val="single" w:sz="4" w:space="0" w:color="auto"/>
              <w:right w:val="single" w:sz="4" w:space="0" w:color="auto"/>
            </w:tcBorders>
            <w:shd w:val="clear" w:color="000000" w:fill="C6EFCE"/>
            <w:noWrap/>
            <w:vAlign w:val="center"/>
          </w:tcPr>
          <w:p w14:paraId="3E115D2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2–1.2. </w:t>
            </w:r>
            <w:r>
              <w:rPr>
                <w:noProof/>
              </w:rPr>
              <w:t>Renovace – 16879_Příprava městských plánů při provádění reformy městské politiky</w:t>
            </w:r>
          </w:p>
        </w:tc>
        <w:tc>
          <w:tcPr>
            <w:tcW w:w="1680" w:type="dxa"/>
            <w:tcBorders>
              <w:top w:val="nil"/>
              <w:left w:val="nil"/>
              <w:bottom w:val="single" w:sz="4" w:space="0" w:color="auto"/>
              <w:right w:val="single" w:sz="4" w:space="0" w:color="auto"/>
            </w:tcBorders>
            <w:shd w:val="clear" w:color="000000" w:fill="C6EFCE"/>
            <w:noWrap/>
            <w:vAlign w:val="center"/>
          </w:tcPr>
          <w:p w14:paraId="3B2FA5B7"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2DF543AF" w14:textId="77777777" w:rsidR="00515398" w:rsidRDefault="006711E6">
            <w:pPr>
              <w:pStyle w:val="P68B1DB1-Normal8"/>
              <w:keepNext/>
              <w:spacing w:before="40" w:after="0" w:line="240" w:lineRule="auto"/>
              <w:jc w:val="both"/>
              <w:rPr>
                <w:rFonts w:eastAsia="Times New Roman" w:cs="Times New Roman"/>
                <w:noProof/>
                <w:szCs w:val="18"/>
              </w:rPr>
            </w:pPr>
            <w:r>
              <w:rPr>
                <w:noProof/>
              </w:rPr>
              <w:t>Ocenění Městské plány</w:t>
            </w:r>
          </w:p>
        </w:tc>
      </w:tr>
      <w:tr w:rsidR="00515398" w14:paraId="4FB1E8BD"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8C4C63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43</w:t>
            </w:r>
          </w:p>
        </w:tc>
        <w:tc>
          <w:tcPr>
            <w:tcW w:w="4320" w:type="dxa"/>
            <w:tcBorders>
              <w:top w:val="nil"/>
              <w:left w:val="nil"/>
              <w:bottom w:val="single" w:sz="4" w:space="0" w:color="auto"/>
              <w:right w:val="single" w:sz="4" w:space="0" w:color="auto"/>
            </w:tcBorders>
            <w:shd w:val="clear" w:color="000000" w:fill="C6EFCE"/>
            <w:noWrap/>
            <w:vAlign w:val="center"/>
          </w:tcPr>
          <w:p w14:paraId="5FF511A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 Dobíjení a doplňování paliva – 16281_Rámec pro instalaci a provoz infrastruktury pro dobíjení elektrických vozidel</w:t>
            </w:r>
          </w:p>
        </w:tc>
        <w:tc>
          <w:tcPr>
            <w:tcW w:w="1680" w:type="dxa"/>
            <w:tcBorders>
              <w:top w:val="nil"/>
              <w:left w:val="nil"/>
              <w:bottom w:val="single" w:sz="4" w:space="0" w:color="auto"/>
              <w:right w:val="single" w:sz="4" w:space="0" w:color="auto"/>
            </w:tcBorders>
            <w:shd w:val="clear" w:color="000000" w:fill="C6EFCE"/>
            <w:noWrap/>
            <w:vAlign w:val="center"/>
          </w:tcPr>
          <w:p w14:paraId="57B34687"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000000" w:fill="C6EFCE"/>
            <w:noWrap/>
            <w:vAlign w:val="center"/>
          </w:tcPr>
          <w:p w14:paraId="13A5837C" w14:textId="77777777" w:rsidR="00515398" w:rsidRDefault="006711E6">
            <w:pPr>
              <w:pStyle w:val="P68B1DB1-Normal8"/>
              <w:keepNext/>
              <w:spacing w:before="40" w:after="0" w:line="240" w:lineRule="auto"/>
              <w:jc w:val="both"/>
              <w:rPr>
                <w:rFonts w:eastAsia="Times New Roman" w:cs="Times New Roman"/>
                <w:noProof/>
                <w:szCs w:val="18"/>
              </w:rPr>
            </w:pPr>
            <w:r>
              <w:rPr>
                <w:noProof/>
              </w:rPr>
              <w:t>Dobíjecí stan</w:t>
            </w:r>
            <w:r>
              <w:rPr>
                <w:noProof/>
              </w:rPr>
              <w:t>ice pro elektrická vozidla – schváleny místní plány</w:t>
            </w:r>
          </w:p>
        </w:tc>
      </w:tr>
      <w:tr w:rsidR="00515398" w14:paraId="016471B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73A797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46</w:t>
            </w:r>
          </w:p>
        </w:tc>
        <w:tc>
          <w:tcPr>
            <w:tcW w:w="4320" w:type="dxa"/>
            <w:tcBorders>
              <w:top w:val="nil"/>
              <w:left w:val="nil"/>
              <w:bottom w:val="single" w:sz="4" w:space="0" w:color="auto"/>
              <w:right w:val="single" w:sz="4" w:space="0" w:color="auto"/>
            </w:tcBorders>
            <w:shd w:val="clear" w:color="000000" w:fill="C6EFCE"/>
            <w:noWrap/>
            <w:vAlign w:val="center"/>
          </w:tcPr>
          <w:p w14:paraId="1951DBA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3–1.3. Dobíjení a doplňování paliva – 16831_Produc- E Green </w:t>
            </w:r>
          </w:p>
        </w:tc>
        <w:tc>
          <w:tcPr>
            <w:tcW w:w="1680" w:type="dxa"/>
            <w:tcBorders>
              <w:top w:val="nil"/>
              <w:left w:val="nil"/>
              <w:bottom w:val="single" w:sz="4" w:space="0" w:color="auto"/>
              <w:right w:val="single" w:sz="4" w:space="0" w:color="auto"/>
            </w:tcBorders>
            <w:shd w:val="clear" w:color="000000" w:fill="C6EFCE"/>
            <w:noWrap/>
            <w:vAlign w:val="center"/>
          </w:tcPr>
          <w:p w14:paraId="7463D22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34822F7C" w14:textId="77777777" w:rsidR="00515398" w:rsidRDefault="006711E6">
            <w:pPr>
              <w:pStyle w:val="P68B1DB1-Normal8"/>
              <w:keepNext/>
              <w:spacing w:before="40" w:after="0" w:line="240" w:lineRule="auto"/>
              <w:jc w:val="both"/>
              <w:rPr>
                <w:rFonts w:eastAsia="Times New Roman" w:cs="Times New Roman"/>
                <w:noProof/>
                <w:szCs w:val="18"/>
              </w:rPr>
            </w:pPr>
            <w:r>
              <w:rPr>
                <w:noProof/>
              </w:rPr>
              <w:t>Průmyslové jednotky – zahájení programu</w:t>
            </w:r>
          </w:p>
        </w:tc>
      </w:tr>
      <w:tr w:rsidR="00515398" w14:paraId="642171E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56ACF1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47</w:t>
            </w:r>
          </w:p>
        </w:tc>
        <w:tc>
          <w:tcPr>
            <w:tcW w:w="4320" w:type="dxa"/>
            <w:tcBorders>
              <w:top w:val="nil"/>
              <w:left w:val="nil"/>
              <w:bottom w:val="single" w:sz="4" w:space="0" w:color="auto"/>
              <w:right w:val="single" w:sz="4" w:space="0" w:color="auto"/>
            </w:tcBorders>
            <w:shd w:val="clear" w:color="000000" w:fill="C6EFCE"/>
            <w:noWrap/>
            <w:vAlign w:val="center"/>
          </w:tcPr>
          <w:p w14:paraId="6D96C6B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 Dobíjení a doplňování paliva – 16924_Elektromobilita</w:t>
            </w:r>
          </w:p>
        </w:tc>
        <w:tc>
          <w:tcPr>
            <w:tcW w:w="1680" w:type="dxa"/>
            <w:tcBorders>
              <w:top w:val="nil"/>
              <w:left w:val="nil"/>
              <w:bottom w:val="single" w:sz="4" w:space="0" w:color="auto"/>
              <w:right w:val="single" w:sz="4" w:space="0" w:color="auto"/>
            </w:tcBorders>
            <w:shd w:val="clear" w:color="000000" w:fill="C6EFCE"/>
            <w:noWrap/>
            <w:vAlign w:val="center"/>
          </w:tcPr>
          <w:p w14:paraId="4C527CB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13880481"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 Dobíjecí stanice pro elektrická vozidla – spuštění programů</w:t>
            </w:r>
          </w:p>
        </w:tc>
      </w:tr>
      <w:tr w:rsidR="00515398" w14:paraId="4ED47555"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21C594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48</w:t>
            </w:r>
          </w:p>
        </w:tc>
        <w:tc>
          <w:tcPr>
            <w:tcW w:w="4320" w:type="dxa"/>
            <w:tcBorders>
              <w:top w:val="nil"/>
              <w:left w:val="nil"/>
              <w:bottom w:val="single" w:sz="4" w:space="0" w:color="auto"/>
              <w:right w:val="single" w:sz="4" w:space="0" w:color="auto"/>
            </w:tcBorders>
            <w:shd w:val="clear" w:color="000000" w:fill="C6EFCE"/>
            <w:noWrap/>
            <w:vAlign w:val="center"/>
          </w:tcPr>
          <w:p w14:paraId="4498E96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 Dobíjení a doplňování paliva – 16924_Elektromobilita</w:t>
            </w:r>
          </w:p>
        </w:tc>
        <w:tc>
          <w:tcPr>
            <w:tcW w:w="1680" w:type="dxa"/>
            <w:tcBorders>
              <w:top w:val="nil"/>
              <w:left w:val="nil"/>
              <w:bottom w:val="single" w:sz="4" w:space="0" w:color="auto"/>
              <w:right w:val="single" w:sz="4" w:space="0" w:color="auto"/>
            </w:tcBorders>
            <w:shd w:val="clear" w:color="000000" w:fill="C6EFCE"/>
            <w:noWrap/>
            <w:vAlign w:val="center"/>
          </w:tcPr>
          <w:p w14:paraId="393E154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1DC2A22E" w14:textId="77777777" w:rsidR="00515398" w:rsidRDefault="006711E6">
            <w:pPr>
              <w:pStyle w:val="P68B1DB1-Normal8"/>
              <w:keepNext/>
              <w:spacing w:before="40" w:after="0" w:line="240" w:lineRule="auto"/>
              <w:jc w:val="both"/>
              <w:rPr>
                <w:rFonts w:eastAsia="Times New Roman" w:cs="Times New Roman"/>
                <w:noProof/>
                <w:szCs w:val="18"/>
              </w:rPr>
            </w:pPr>
            <w:r>
              <w:rPr>
                <w:noProof/>
              </w:rPr>
              <w:t>Udržitelná doprava – studie proveditelnosti</w:t>
            </w:r>
          </w:p>
        </w:tc>
      </w:tr>
      <w:tr w:rsidR="00515398" w14:paraId="094BE584"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7A627A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58</w:t>
            </w:r>
          </w:p>
        </w:tc>
        <w:tc>
          <w:tcPr>
            <w:tcW w:w="4320" w:type="dxa"/>
            <w:tcBorders>
              <w:top w:val="nil"/>
              <w:left w:val="nil"/>
              <w:bottom w:val="single" w:sz="4" w:space="0" w:color="auto"/>
              <w:right w:val="single" w:sz="4" w:space="0" w:color="auto"/>
            </w:tcBorders>
            <w:shd w:val="clear" w:color="000000" w:fill="C6EFCE"/>
            <w:noWrap/>
            <w:vAlign w:val="center"/>
          </w:tcPr>
          <w:p w14:paraId="4C4D03F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4–1.4. Udržitelné využívání zdrojů, odolnost vůči změně klimatu a ochrana </w:t>
            </w:r>
            <w:r>
              <w:rPr>
                <w:noProof/>
              </w:rPr>
              <w:t>životního prostředí – 16979_Zřízení nového regulačního orgánu pro vodu a odpadní vody</w:t>
            </w:r>
          </w:p>
        </w:tc>
        <w:tc>
          <w:tcPr>
            <w:tcW w:w="1680" w:type="dxa"/>
            <w:tcBorders>
              <w:top w:val="nil"/>
              <w:left w:val="nil"/>
              <w:bottom w:val="single" w:sz="4" w:space="0" w:color="auto"/>
              <w:right w:val="single" w:sz="4" w:space="0" w:color="auto"/>
            </w:tcBorders>
            <w:shd w:val="clear" w:color="000000" w:fill="C6EFCE"/>
            <w:noWrap/>
            <w:vAlign w:val="center"/>
          </w:tcPr>
          <w:p w14:paraId="419E1F0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A1A2D62" w14:textId="77777777" w:rsidR="00515398" w:rsidRDefault="006711E6">
            <w:pPr>
              <w:pStyle w:val="P68B1DB1-Normal8"/>
              <w:keepNext/>
              <w:spacing w:before="40" w:after="0" w:line="240" w:lineRule="auto"/>
              <w:jc w:val="both"/>
              <w:rPr>
                <w:rFonts w:eastAsia="Times New Roman" w:cs="Times New Roman"/>
                <w:noProof/>
                <w:szCs w:val="18"/>
              </w:rPr>
            </w:pPr>
            <w:r>
              <w:rPr>
                <w:noProof/>
              </w:rPr>
              <w:t>Vstup v platnost zákona o vodohospodářských orgánech</w:t>
            </w:r>
          </w:p>
        </w:tc>
      </w:tr>
      <w:tr w:rsidR="00515398" w14:paraId="65192AA7"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3FB0B56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78</w:t>
            </w:r>
          </w:p>
        </w:tc>
        <w:tc>
          <w:tcPr>
            <w:tcW w:w="4320" w:type="dxa"/>
            <w:tcBorders>
              <w:top w:val="nil"/>
              <w:left w:val="nil"/>
              <w:bottom w:val="single" w:sz="4" w:space="0" w:color="auto"/>
              <w:right w:val="single" w:sz="4" w:space="0" w:color="auto"/>
            </w:tcBorders>
            <w:shd w:val="clear" w:color="000000" w:fill="C6EFCE"/>
            <w:noWrap/>
            <w:vAlign w:val="center"/>
          </w:tcPr>
          <w:p w14:paraId="792CBA1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16910_Syst</w:t>
            </w:r>
            <w:r>
              <w:rPr>
                <w:noProof/>
              </w:rPr>
              <w:t>ém monitorování a řízení</w:t>
            </w:r>
          </w:p>
        </w:tc>
        <w:tc>
          <w:tcPr>
            <w:tcW w:w="1680" w:type="dxa"/>
            <w:tcBorders>
              <w:top w:val="nil"/>
              <w:left w:val="nil"/>
              <w:bottom w:val="single" w:sz="4" w:space="0" w:color="auto"/>
              <w:right w:val="single" w:sz="4" w:space="0" w:color="auto"/>
            </w:tcBorders>
            <w:shd w:val="clear" w:color="000000" w:fill="C6EFCE"/>
            <w:noWrap/>
            <w:vAlign w:val="center"/>
          </w:tcPr>
          <w:p w14:paraId="43ECC81F"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DC62227" w14:textId="77777777" w:rsidR="00515398" w:rsidRDefault="006711E6">
            <w:pPr>
              <w:pStyle w:val="P68B1DB1-Normal8"/>
              <w:keepNext/>
              <w:spacing w:before="40" w:after="0" w:line="240" w:lineRule="auto"/>
              <w:jc w:val="both"/>
              <w:rPr>
                <w:rFonts w:eastAsia="Times New Roman" w:cs="Times New Roman"/>
                <w:noProof/>
                <w:szCs w:val="18"/>
              </w:rPr>
            </w:pPr>
            <w:r>
              <w:rPr>
                <w:noProof/>
              </w:rPr>
              <w:t>Smlouva na GPS</w:t>
            </w:r>
          </w:p>
        </w:tc>
      </w:tr>
      <w:tr w:rsidR="00515398" w14:paraId="311A6F97"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1186258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93</w:t>
            </w:r>
          </w:p>
        </w:tc>
        <w:tc>
          <w:tcPr>
            <w:tcW w:w="4320" w:type="dxa"/>
            <w:tcBorders>
              <w:top w:val="nil"/>
              <w:left w:val="nil"/>
              <w:bottom w:val="single" w:sz="4" w:space="0" w:color="auto"/>
              <w:right w:val="single" w:sz="4" w:space="0" w:color="auto"/>
            </w:tcBorders>
            <w:shd w:val="clear" w:color="000000" w:fill="C6EFCE"/>
            <w:noWrap/>
            <w:vAlign w:val="center"/>
          </w:tcPr>
          <w:p w14:paraId="6259A1B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16778_Digitalizace archivů a souvisejících služeb</w:t>
            </w:r>
          </w:p>
        </w:tc>
        <w:tc>
          <w:tcPr>
            <w:tcW w:w="1680" w:type="dxa"/>
            <w:tcBorders>
              <w:top w:val="nil"/>
              <w:left w:val="nil"/>
              <w:bottom w:val="single" w:sz="4" w:space="0" w:color="auto"/>
              <w:right w:val="single" w:sz="4" w:space="0" w:color="auto"/>
            </w:tcBorders>
            <w:shd w:val="clear" w:color="000000" w:fill="C6EFCE"/>
            <w:noWrap/>
            <w:vAlign w:val="center"/>
          </w:tcPr>
          <w:p w14:paraId="239E2A93"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05D40041"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(zakázek) na digitalizaci archivů</w:t>
            </w:r>
          </w:p>
        </w:tc>
      </w:tr>
      <w:tr w:rsidR="00515398" w14:paraId="4A88513E"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E37D39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100</w:t>
            </w:r>
          </w:p>
        </w:tc>
        <w:tc>
          <w:tcPr>
            <w:tcW w:w="4320" w:type="dxa"/>
            <w:tcBorders>
              <w:top w:val="nil"/>
              <w:left w:val="nil"/>
              <w:bottom w:val="single" w:sz="4" w:space="0" w:color="auto"/>
              <w:right w:val="single" w:sz="4" w:space="0" w:color="auto"/>
            </w:tcBorders>
            <w:shd w:val="clear" w:color="000000" w:fill="C6EFCE"/>
            <w:noWrap/>
            <w:vAlign w:val="center"/>
          </w:tcPr>
          <w:p w14:paraId="1EBE0D1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16779_Interoperabilita a rozvoj internetových služeb</w:t>
            </w:r>
          </w:p>
        </w:tc>
        <w:tc>
          <w:tcPr>
            <w:tcW w:w="1680" w:type="dxa"/>
            <w:tcBorders>
              <w:top w:val="nil"/>
              <w:left w:val="nil"/>
              <w:bottom w:val="single" w:sz="4" w:space="0" w:color="auto"/>
              <w:right w:val="single" w:sz="4" w:space="0" w:color="auto"/>
            </w:tcBorders>
            <w:shd w:val="clear" w:color="000000" w:fill="C6EFCE"/>
            <w:noWrap/>
            <w:vAlign w:val="center"/>
          </w:tcPr>
          <w:p w14:paraId="7C0A24F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2C3A1019"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na projekt rozvoje interoperability a internetových služeb</w:t>
            </w:r>
          </w:p>
        </w:tc>
      </w:tr>
      <w:tr w:rsidR="00515398" w14:paraId="68DFD10D"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AA1A04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101</w:t>
            </w:r>
          </w:p>
        </w:tc>
        <w:tc>
          <w:tcPr>
            <w:tcW w:w="4320" w:type="dxa"/>
            <w:tcBorders>
              <w:top w:val="nil"/>
              <w:left w:val="nil"/>
              <w:bottom w:val="single" w:sz="4" w:space="0" w:color="auto"/>
              <w:right w:val="single" w:sz="4" w:space="0" w:color="auto"/>
            </w:tcBorders>
            <w:shd w:val="clear" w:color="000000" w:fill="C6EFCE"/>
            <w:noWrap/>
            <w:vAlign w:val="center"/>
          </w:tcPr>
          <w:p w14:paraId="558E74B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16810_CRM pro vládní instituce</w:t>
            </w:r>
          </w:p>
        </w:tc>
        <w:tc>
          <w:tcPr>
            <w:tcW w:w="1680" w:type="dxa"/>
            <w:tcBorders>
              <w:top w:val="nil"/>
              <w:left w:val="nil"/>
              <w:bottom w:val="single" w:sz="4" w:space="0" w:color="auto"/>
              <w:right w:val="single" w:sz="4" w:space="0" w:color="auto"/>
            </w:tcBorders>
            <w:shd w:val="clear" w:color="000000" w:fill="C6EFCE"/>
            <w:noWrap/>
            <w:vAlign w:val="center"/>
          </w:tcPr>
          <w:p w14:paraId="5520A82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0DF12C4"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Zadání zakázky na CRM pro vládní instituce </w:t>
            </w:r>
          </w:p>
        </w:tc>
      </w:tr>
      <w:tr w:rsidR="00515398" w14:paraId="06EC79B2"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D63D67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102</w:t>
            </w:r>
          </w:p>
        </w:tc>
        <w:tc>
          <w:tcPr>
            <w:tcW w:w="4320" w:type="dxa"/>
            <w:tcBorders>
              <w:top w:val="nil"/>
              <w:left w:val="nil"/>
              <w:bottom w:val="single" w:sz="4" w:space="0" w:color="auto"/>
              <w:right w:val="single" w:sz="4" w:space="0" w:color="auto"/>
            </w:tcBorders>
            <w:shd w:val="clear" w:color="000000" w:fill="C6EFCE"/>
            <w:noWrap/>
            <w:vAlign w:val="center"/>
          </w:tcPr>
          <w:p w14:paraId="2A28291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6–2.2. Modernizace – 16780_Další modernizace jednotných </w:t>
            </w:r>
            <w:r>
              <w:rPr>
                <w:noProof/>
              </w:rPr>
              <w:t>kontaktních míst veřejné správy</w:t>
            </w:r>
          </w:p>
        </w:tc>
        <w:tc>
          <w:tcPr>
            <w:tcW w:w="1680" w:type="dxa"/>
            <w:tcBorders>
              <w:top w:val="nil"/>
              <w:left w:val="nil"/>
              <w:bottom w:val="single" w:sz="4" w:space="0" w:color="auto"/>
              <w:right w:val="single" w:sz="4" w:space="0" w:color="auto"/>
            </w:tcBorders>
            <w:shd w:val="clear" w:color="000000" w:fill="C6EFCE"/>
            <w:noWrap/>
            <w:vAlign w:val="center"/>
          </w:tcPr>
          <w:p w14:paraId="61BC38B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0CD949AF"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na další modernizaci jednotných kontaktních míst veřejné správy</w:t>
            </w:r>
          </w:p>
        </w:tc>
      </w:tr>
      <w:tr w:rsidR="00515398" w14:paraId="1497BF8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3905613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w:t>
            </w:r>
          </w:p>
        </w:tc>
        <w:tc>
          <w:tcPr>
            <w:tcW w:w="4320" w:type="dxa"/>
            <w:tcBorders>
              <w:top w:val="nil"/>
              <w:left w:val="nil"/>
              <w:bottom w:val="single" w:sz="4" w:space="0" w:color="auto"/>
              <w:right w:val="single" w:sz="4" w:space="0" w:color="auto"/>
            </w:tcBorders>
            <w:shd w:val="clear" w:color="000000" w:fill="C6EFCE"/>
            <w:noWrap/>
            <w:vAlign w:val="center"/>
          </w:tcPr>
          <w:p w14:paraId="1E6EE2E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16736_Nový systém pro zadávání veřejných zakázek</w:t>
            </w:r>
          </w:p>
        </w:tc>
        <w:tc>
          <w:tcPr>
            <w:tcW w:w="1680" w:type="dxa"/>
            <w:tcBorders>
              <w:top w:val="nil"/>
              <w:left w:val="nil"/>
              <w:bottom w:val="single" w:sz="4" w:space="0" w:color="auto"/>
              <w:right w:val="single" w:sz="4" w:space="0" w:color="auto"/>
            </w:tcBorders>
            <w:shd w:val="clear" w:color="000000" w:fill="C6EFCE"/>
            <w:noWrap/>
            <w:vAlign w:val="center"/>
          </w:tcPr>
          <w:p w14:paraId="1F04928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0D7675F4"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na nový systém pro zadávání veřejných zak</w:t>
            </w:r>
            <w:r>
              <w:rPr>
                <w:noProof/>
              </w:rPr>
              <w:t>ázek</w:t>
            </w:r>
          </w:p>
        </w:tc>
      </w:tr>
      <w:tr w:rsidR="00515398" w14:paraId="450DDFC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1C9A4B4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104</w:t>
            </w:r>
          </w:p>
        </w:tc>
        <w:tc>
          <w:tcPr>
            <w:tcW w:w="4320" w:type="dxa"/>
            <w:tcBorders>
              <w:top w:val="nil"/>
              <w:left w:val="nil"/>
              <w:bottom w:val="single" w:sz="4" w:space="0" w:color="auto"/>
              <w:right w:val="single" w:sz="4" w:space="0" w:color="auto"/>
            </w:tcBorders>
            <w:shd w:val="clear" w:color="000000" w:fill="C6EFCE"/>
            <w:noWrap/>
            <w:vAlign w:val="center"/>
          </w:tcPr>
          <w:p w14:paraId="664671A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16823_Strategie a politiky v oblasti kybernetické bezpečnosti pro veřejný sektor a pokročilé bezpečnostní služby pro vnitrostátní kritické infrastruktury</w:t>
            </w:r>
          </w:p>
        </w:tc>
        <w:tc>
          <w:tcPr>
            <w:tcW w:w="1680" w:type="dxa"/>
            <w:tcBorders>
              <w:top w:val="nil"/>
              <w:left w:val="nil"/>
              <w:bottom w:val="single" w:sz="4" w:space="0" w:color="auto"/>
              <w:right w:val="single" w:sz="4" w:space="0" w:color="auto"/>
            </w:tcBorders>
            <w:shd w:val="clear" w:color="000000" w:fill="C6EFCE"/>
            <w:noWrap/>
            <w:vAlign w:val="center"/>
          </w:tcPr>
          <w:p w14:paraId="378205F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122C3585"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na strategii kybernetické bezpečnosti</w:t>
            </w:r>
          </w:p>
        </w:tc>
      </w:tr>
      <w:tr w:rsidR="00515398" w14:paraId="5EC38AC1"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04F5C9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105</w:t>
            </w:r>
          </w:p>
        </w:tc>
        <w:tc>
          <w:tcPr>
            <w:tcW w:w="4320" w:type="dxa"/>
            <w:tcBorders>
              <w:top w:val="nil"/>
              <w:left w:val="nil"/>
              <w:bottom w:val="single" w:sz="4" w:space="0" w:color="auto"/>
              <w:right w:val="single" w:sz="4" w:space="0" w:color="auto"/>
            </w:tcBorders>
            <w:shd w:val="clear" w:color="000000" w:fill="C6EFCE"/>
            <w:noWrap/>
            <w:vAlign w:val="center"/>
          </w:tcPr>
          <w:p w14:paraId="3F9FF1A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w:t>
            </w:r>
            <w:r>
              <w:rPr>
                <w:noProof/>
              </w:rPr>
              <w:t xml:space="preserve"> Modernizace – 16826_Programy modernizace digitálních dovedností pro brance</w:t>
            </w:r>
          </w:p>
        </w:tc>
        <w:tc>
          <w:tcPr>
            <w:tcW w:w="1680" w:type="dxa"/>
            <w:tcBorders>
              <w:top w:val="nil"/>
              <w:left w:val="nil"/>
              <w:bottom w:val="single" w:sz="4" w:space="0" w:color="auto"/>
              <w:right w:val="single" w:sz="4" w:space="0" w:color="auto"/>
            </w:tcBorders>
            <w:shd w:val="clear" w:color="000000" w:fill="C6EFCE"/>
            <w:noWrap/>
            <w:vAlign w:val="center"/>
          </w:tcPr>
          <w:p w14:paraId="7605B97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54A87CAB"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na programy zlepšování digitálních dovedností pro brance</w:t>
            </w:r>
          </w:p>
        </w:tc>
      </w:tr>
      <w:tr w:rsidR="00515398" w14:paraId="4B845BC2"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EAEF7C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106</w:t>
            </w:r>
          </w:p>
        </w:tc>
        <w:tc>
          <w:tcPr>
            <w:tcW w:w="4320" w:type="dxa"/>
            <w:tcBorders>
              <w:top w:val="nil"/>
              <w:left w:val="nil"/>
              <w:bottom w:val="single" w:sz="4" w:space="0" w:color="auto"/>
              <w:right w:val="single" w:sz="4" w:space="0" w:color="auto"/>
            </w:tcBorders>
            <w:shd w:val="clear" w:color="000000" w:fill="C6EFCE"/>
            <w:noWrap/>
            <w:vAlign w:val="center"/>
          </w:tcPr>
          <w:p w14:paraId="6963D20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16742_Digitální transformace ministerstva zahraničních věcí</w:t>
            </w:r>
          </w:p>
        </w:tc>
        <w:tc>
          <w:tcPr>
            <w:tcW w:w="1680" w:type="dxa"/>
            <w:tcBorders>
              <w:top w:val="nil"/>
              <w:left w:val="nil"/>
              <w:bottom w:val="single" w:sz="4" w:space="0" w:color="auto"/>
              <w:right w:val="single" w:sz="4" w:space="0" w:color="auto"/>
            </w:tcBorders>
            <w:shd w:val="clear" w:color="000000" w:fill="C6EFCE"/>
            <w:noWrap/>
            <w:vAlign w:val="center"/>
          </w:tcPr>
          <w:p w14:paraId="357D166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1AD07E27"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Zadání </w:t>
            </w:r>
            <w:r>
              <w:rPr>
                <w:noProof/>
              </w:rPr>
              <w:t>zakázky na digitální transformaci Ministerstva zahraničních věcí</w:t>
            </w:r>
          </w:p>
        </w:tc>
      </w:tr>
      <w:tr w:rsidR="00515398" w14:paraId="03E3FF4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2FC1072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107</w:t>
            </w:r>
          </w:p>
        </w:tc>
        <w:tc>
          <w:tcPr>
            <w:tcW w:w="4320" w:type="dxa"/>
            <w:tcBorders>
              <w:top w:val="nil"/>
              <w:left w:val="nil"/>
              <w:bottom w:val="single" w:sz="4" w:space="0" w:color="auto"/>
              <w:right w:val="single" w:sz="4" w:space="0" w:color="auto"/>
            </w:tcBorders>
            <w:shd w:val="clear" w:color="000000" w:fill="C6EFCE"/>
            <w:noWrap/>
            <w:vAlign w:val="center"/>
          </w:tcPr>
          <w:p w14:paraId="1B3C4FA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16824_ERegistry</w:t>
            </w:r>
          </w:p>
        </w:tc>
        <w:tc>
          <w:tcPr>
            <w:tcW w:w="1680" w:type="dxa"/>
            <w:tcBorders>
              <w:top w:val="nil"/>
              <w:left w:val="nil"/>
              <w:bottom w:val="single" w:sz="4" w:space="0" w:color="auto"/>
              <w:right w:val="single" w:sz="4" w:space="0" w:color="auto"/>
            </w:tcBorders>
            <w:shd w:val="clear" w:color="000000" w:fill="C6EFCE"/>
            <w:noWrap/>
            <w:vAlign w:val="center"/>
          </w:tcPr>
          <w:p w14:paraId="73C9073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0225EC39"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pro elektronické rejstříky</w:t>
            </w:r>
          </w:p>
        </w:tc>
      </w:tr>
      <w:tr w:rsidR="00515398" w14:paraId="140118AC"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CC525F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121</w:t>
            </w:r>
          </w:p>
        </w:tc>
        <w:tc>
          <w:tcPr>
            <w:tcW w:w="4320" w:type="dxa"/>
            <w:tcBorders>
              <w:top w:val="nil"/>
              <w:left w:val="nil"/>
              <w:bottom w:val="single" w:sz="4" w:space="0" w:color="auto"/>
              <w:right w:val="single" w:sz="4" w:space="0" w:color="auto"/>
            </w:tcBorders>
            <w:shd w:val="clear" w:color="000000" w:fill="C6EFCE"/>
            <w:noWrap/>
            <w:vAlign w:val="center"/>
          </w:tcPr>
          <w:p w14:paraId="124DE65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16842_Central BI – Analytika dat</w:t>
            </w:r>
          </w:p>
        </w:tc>
        <w:tc>
          <w:tcPr>
            <w:tcW w:w="1680" w:type="dxa"/>
            <w:tcBorders>
              <w:top w:val="nil"/>
              <w:left w:val="nil"/>
              <w:bottom w:val="single" w:sz="4" w:space="0" w:color="auto"/>
              <w:right w:val="single" w:sz="4" w:space="0" w:color="auto"/>
            </w:tcBorders>
            <w:shd w:val="clear" w:color="000000" w:fill="C6EFCE"/>
            <w:noWrap/>
            <w:vAlign w:val="center"/>
          </w:tcPr>
          <w:p w14:paraId="518A4097"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3FDCC868"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Zadání zakázky Centrální obchodní </w:t>
            </w:r>
            <w:r>
              <w:rPr>
                <w:noProof/>
              </w:rPr>
              <w:t xml:space="preserve">zpravodajství (BI) </w:t>
            </w:r>
          </w:p>
        </w:tc>
      </w:tr>
      <w:tr w:rsidR="00515398" w14:paraId="12613FE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091C3EA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w:t>
            </w:r>
          </w:p>
        </w:tc>
        <w:tc>
          <w:tcPr>
            <w:tcW w:w="4320" w:type="dxa"/>
            <w:tcBorders>
              <w:top w:val="nil"/>
              <w:left w:val="nil"/>
              <w:bottom w:val="single" w:sz="4" w:space="0" w:color="auto"/>
              <w:right w:val="single" w:sz="4" w:space="0" w:color="auto"/>
            </w:tcBorders>
            <w:shd w:val="clear" w:color="000000" w:fill="C6EFCE"/>
            <w:noWrap/>
            <w:vAlign w:val="center"/>
          </w:tcPr>
          <w:p w14:paraId="1B9B462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8–3.1. Podpora tvorby pracovních míst a účasti na trhu práce – 16750_Digitální transformace systémů práce</w:t>
            </w:r>
          </w:p>
        </w:tc>
        <w:tc>
          <w:tcPr>
            <w:tcW w:w="1680" w:type="dxa"/>
            <w:tcBorders>
              <w:top w:val="nil"/>
              <w:left w:val="nil"/>
              <w:bottom w:val="single" w:sz="4" w:space="0" w:color="auto"/>
              <w:right w:val="single" w:sz="4" w:space="0" w:color="auto"/>
            </w:tcBorders>
            <w:shd w:val="clear" w:color="000000" w:fill="C6EFCE"/>
            <w:noWrap/>
            <w:vAlign w:val="center"/>
          </w:tcPr>
          <w:p w14:paraId="2EE04C8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6DE557AB"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zakázek v oblasti informačních systémů práce</w:t>
            </w:r>
          </w:p>
        </w:tc>
      </w:tr>
      <w:tr w:rsidR="00515398" w14:paraId="6EB8C623"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37DD08F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139</w:t>
            </w:r>
          </w:p>
        </w:tc>
        <w:tc>
          <w:tcPr>
            <w:tcW w:w="4320" w:type="dxa"/>
            <w:tcBorders>
              <w:top w:val="nil"/>
              <w:left w:val="nil"/>
              <w:bottom w:val="single" w:sz="4" w:space="0" w:color="auto"/>
              <w:right w:val="single" w:sz="4" w:space="0" w:color="auto"/>
            </w:tcBorders>
            <w:shd w:val="clear" w:color="000000" w:fill="C6EFCE"/>
            <w:noWrap/>
            <w:vAlign w:val="center"/>
          </w:tcPr>
          <w:p w14:paraId="35ACA36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9–3.2. Vzdělávání, odborné vzdělávání a příprava a dovednosti</w:t>
            </w:r>
            <w:r>
              <w:rPr>
                <w:noProof/>
              </w:rPr>
              <w:t xml:space="preserve"> – 16913_Nová strategie pro celoživotní dovednosti: Modernizace a vylepšení řeckého systému prohlubování dovedností a rekvalifikace</w:t>
            </w:r>
          </w:p>
        </w:tc>
        <w:tc>
          <w:tcPr>
            <w:tcW w:w="1680" w:type="dxa"/>
            <w:tcBorders>
              <w:top w:val="nil"/>
              <w:left w:val="nil"/>
              <w:bottom w:val="single" w:sz="4" w:space="0" w:color="auto"/>
              <w:right w:val="single" w:sz="4" w:space="0" w:color="auto"/>
            </w:tcBorders>
            <w:shd w:val="clear" w:color="000000" w:fill="C6EFCE"/>
            <w:noWrap/>
            <w:vAlign w:val="center"/>
          </w:tcPr>
          <w:p w14:paraId="3B045897"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000000" w:fill="C6EFCE"/>
            <w:noWrap/>
            <w:vAlign w:val="center"/>
          </w:tcPr>
          <w:p w14:paraId="30C773F8" w14:textId="77777777" w:rsidR="00515398" w:rsidRDefault="006711E6">
            <w:pPr>
              <w:pStyle w:val="P68B1DB1-Normal8"/>
              <w:keepNext/>
              <w:spacing w:before="40" w:after="0" w:line="240" w:lineRule="auto"/>
              <w:jc w:val="both"/>
              <w:rPr>
                <w:rFonts w:eastAsia="Times New Roman" w:cs="Times New Roman"/>
                <w:noProof/>
                <w:szCs w:val="18"/>
              </w:rPr>
            </w:pPr>
            <w:r>
              <w:rPr>
                <w:noProof/>
              </w:rPr>
              <w:t>Validace programů odborné přípravy týkajících se dokončení strategie celoživotního učení</w:t>
            </w:r>
          </w:p>
        </w:tc>
      </w:tr>
      <w:tr w:rsidR="00515398" w14:paraId="1DF13EAA"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1960CC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159</w:t>
            </w:r>
          </w:p>
        </w:tc>
        <w:tc>
          <w:tcPr>
            <w:tcW w:w="4320" w:type="dxa"/>
            <w:tcBorders>
              <w:top w:val="nil"/>
              <w:left w:val="nil"/>
              <w:bottom w:val="single" w:sz="4" w:space="0" w:color="auto"/>
              <w:right w:val="single" w:sz="4" w:space="0" w:color="auto"/>
            </w:tcBorders>
            <w:shd w:val="clear" w:color="000000" w:fill="C6EFCE"/>
            <w:noWrap/>
            <w:vAlign w:val="center"/>
          </w:tcPr>
          <w:p w14:paraId="3474DCA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w:t>
            </w:r>
            <w:r>
              <w:rPr>
                <w:noProof/>
              </w:rPr>
              <w:t>sti, dostupnosti a udržitelnosti zdravotní péče – 16755_Reforma systému primární zdravotní péče</w:t>
            </w:r>
          </w:p>
        </w:tc>
        <w:tc>
          <w:tcPr>
            <w:tcW w:w="1680" w:type="dxa"/>
            <w:tcBorders>
              <w:top w:val="nil"/>
              <w:left w:val="nil"/>
              <w:bottom w:val="single" w:sz="4" w:space="0" w:color="auto"/>
              <w:right w:val="single" w:sz="4" w:space="0" w:color="auto"/>
            </w:tcBorders>
            <w:shd w:val="clear" w:color="000000" w:fill="C6EFCE"/>
            <w:noWrap/>
            <w:vAlign w:val="center"/>
          </w:tcPr>
          <w:p w14:paraId="02429D09"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508F20FC"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Aktivace učebních osnov pro rodinu primární zdravotní péče </w:t>
            </w:r>
          </w:p>
        </w:tc>
      </w:tr>
      <w:tr w:rsidR="00515398" w14:paraId="5CBD3559"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AFDC57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160</w:t>
            </w:r>
          </w:p>
        </w:tc>
        <w:tc>
          <w:tcPr>
            <w:tcW w:w="4320" w:type="dxa"/>
            <w:tcBorders>
              <w:top w:val="nil"/>
              <w:left w:val="nil"/>
              <w:bottom w:val="single" w:sz="4" w:space="0" w:color="auto"/>
              <w:right w:val="single" w:sz="4" w:space="0" w:color="auto"/>
            </w:tcBorders>
            <w:shd w:val="clear" w:color="000000" w:fill="C6EFCE"/>
            <w:noWrap/>
            <w:vAlign w:val="center"/>
          </w:tcPr>
          <w:p w14:paraId="048C570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zdravotní péče – 16820_Reforma v</w:t>
            </w:r>
            <w:r>
              <w:rPr>
                <w:noProof/>
              </w:rPr>
              <w:t xml:space="preserve"> oblasti duševního zdraví a závislostí</w:t>
            </w:r>
          </w:p>
        </w:tc>
        <w:tc>
          <w:tcPr>
            <w:tcW w:w="1680" w:type="dxa"/>
            <w:tcBorders>
              <w:top w:val="nil"/>
              <w:left w:val="nil"/>
              <w:bottom w:val="single" w:sz="4" w:space="0" w:color="auto"/>
              <w:right w:val="single" w:sz="4" w:space="0" w:color="auto"/>
            </w:tcBorders>
            <w:shd w:val="clear" w:color="000000" w:fill="C6EFCE"/>
            <w:noWrap/>
            <w:vAlign w:val="center"/>
          </w:tcPr>
          <w:p w14:paraId="16F4166B"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000000" w:fill="C6EFCE"/>
            <w:noWrap/>
            <w:vAlign w:val="center"/>
          </w:tcPr>
          <w:p w14:paraId="2D0CBD0C" w14:textId="77777777" w:rsidR="00515398" w:rsidRDefault="006711E6">
            <w:pPr>
              <w:pStyle w:val="P68B1DB1-Normal8"/>
              <w:keepNext/>
              <w:spacing w:before="40" w:after="0" w:line="240" w:lineRule="auto"/>
              <w:jc w:val="both"/>
              <w:rPr>
                <w:rFonts w:eastAsia="Times New Roman" w:cs="Times New Roman"/>
                <w:noProof/>
                <w:szCs w:val="18"/>
              </w:rPr>
            </w:pPr>
            <w:r>
              <w:rPr>
                <w:noProof/>
              </w:rPr>
              <w:t>Duševní zdraví – otevřeno 50 jednotek – krok 1 z 2</w:t>
            </w:r>
          </w:p>
        </w:tc>
      </w:tr>
      <w:tr w:rsidR="00515398" w14:paraId="74A1907F"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61B475D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211</w:t>
            </w:r>
          </w:p>
        </w:tc>
        <w:tc>
          <w:tcPr>
            <w:tcW w:w="4320" w:type="dxa"/>
            <w:tcBorders>
              <w:top w:val="nil"/>
              <w:left w:val="nil"/>
              <w:bottom w:val="single" w:sz="4" w:space="0" w:color="auto"/>
              <w:right w:val="single" w:sz="4" w:space="0" w:color="auto"/>
            </w:tcBorders>
            <w:shd w:val="clear" w:color="000000" w:fill="C6EFCE"/>
            <w:noWrap/>
            <w:vAlign w:val="center"/>
          </w:tcPr>
          <w:p w14:paraId="6318AEA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Modernizace veřejné správy, mimo jiné urychlením provádění veřejných investic, zlepšením rámce pro zadávání veřejných zakázek, opatřeními na budován</w:t>
            </w:r>
            <w:r>
              <w:rPr>
                <w:noProof/>
              </w:rPr>
              <w:t>í kapacit a bojem proti korupci – 16952_ Posílení národního protikorupčního rámce prostřednictvím cílených zásahů v oblasti odhalování, prevence a zvyšování povědomí</w:t>
            </w:r>
          </w:p>
        </w:tc>
        <w:tc>
          <w:tcPr>
            <w:tcW w:w="1680" w:type="dxa"/>
            <w:tcBorders>
              <w:top w:val="nil"/>
              <w:left w:val="nil"/>
              <w:bottom w:val="single" w:sz="4" w:space="0" w:color="auto"/>
              <w:right w:val="single" w:sz="4" w:space="0" w:color="auto"/>
            </w:tcBorders>
            <w:shd w:val="clear" w:color="000000" w:fill="C6EFCE"/>
            <w:noWrap/>
            <w:vAlign w:val="center"/>
          </w:tcPr>
          <w:p w14:paraId="44F089A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5ADD3E08" w14:textId="77777777" w:rsidR="00515398" w:rsidRDefault="006711E6">
            <w:pPr>
              <w:pStyle w:val="P68B1DB1-Normal8"/>
              <w:keepNext/>
              <w:spacing w:before="40" w:after="0" w:line="240" w:lineRule="auto"/>
              <w:jc w:val="both"/>
              <w:rPr>
                <w:rFonts w:eastAsia="Times New Roman" w:cs="Times New Roman"/>
                <w:noProof/>
                <w:szCs w:val="18"/>
              </w:rPr>
            </w:pPr>
            <w:r>
              <w:rPr>
                <w:noProof/>
              </w:rPr>
              <w:t>Provádění právních předpisů o vnitřní kontrole</w:t>
            </w:r>
          </w:p>
        </w:tc>
      </w:tr>
      <w:tr w:rsidR="00515398" w14:paraId="2DD48666"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5313EE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214</w:t>
            </w:r>
          </w:p>
        </w:tc>
        <w:tc>
          <w:tcPr>
            <w:tcW w:w="4320" w:type="dxa"/>
            <w:tcBorders>
              <w:top w:val="nil"/>
              <w:left w:val="nil"/>
              <w:bottom w:val="single" w:sz="4" w:space="0" w:color="auto"/>
              <w:right w:val="single" w:sz="4" w:space="0" w:color="auto"/>
            </w:tcBorders>
            <w:shd w:val="clear" w:color="000000" w:fill="C6EFCE"/>
            <w:noWrap/>
            <w:vAlign w:val="center"/>
          </w:tcPr>
          <w:p w14:paraId="7D485F1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Modernizace veřejné </w:t>
            </w:r>
            <w:r>
              <w:rPr>
                <w:noProof/>
              </w:rPr>
              <w:t>správy, mimo jiné urychlením provádění veřejných investic, zlepšením rámce pro zadávání veřejných zakázek, opatřeními na budování kapacit a bojem proti korupci – 16701_Posílit síť státní podpory</w:t>
            </w:r>
          </w:p>
        </w:tc>
        <w:tc>
          <w:tcPr>
            <w:tcW w:w="1680" w:type="dxa"/>
            <w:tcBorders>
              <w:top w:val="nil"/>
              <w:left w:val="nil"/>
              <w:bottom w:val="single" w:sz="4" w:space="0" w:color="auto"/>
              <w:right w:val="single" w:sz="4" w:space="0" w:color="auto"/>
            </w:tcBorders>
            <w:shd w:val="clear" w:color="000000" w:fill="C6EFCE"/>
            <w:noWrap/>
            <w:vAlign w:val="center"/>
          </w:tcPr>
          <w:p w14:paraId="5C75EB5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32D19882" w14:textId="77777777" w:rsidR="00515398" w:rsidRDefault="006711E6">
            <w:pPr>
              <w:pStyle w:val="P68B1DB1-Normal8"/>
              <w:keepNext/>
              <w:spacing w:before="40" w:after="0" w:line="240" w:lineRule="auto"/>
              <w:jc w:val="both"/>
              <w:rPr>
                <w:rFonts w:eastAsia="Times New Roman" w:cs="Times New Roman"/>
                <w:noProof/>
                <w:szCs w:val="18"/>
              </w:rPr>
            </w:pPr>
            <w:r>
              <w:rPr>
                <w:noProof/>
              </w:rPr>
              <w:t>Posílená síť státní podpory</w:t>
            </w:r>
          </w:p>
        </w:tc>
      </w:tr>
      <w:tr w:rsidR="00515398" w14:paraId="69BEA6F0"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4D34C25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215</w:t>
            </w:r>
          </w:p>
        </w:tc>
        <w:tc>
          <w:tcPr>
            <w:tcW w:w="4320" w:type="dxa"/>
            <w:tcBorders>
              <w:top w:val="nil"/>
              <w:left w:val="nil"/>
              <w:bottom w:val="single" w:sz="4" w:space="0" w:color="auto"/>
              <w:right w:val="single" w:sz="4" w:space="0" w:color="auto"/>
            </w:tcBorders>
            <w:shd w:val="clear" w:color="000000" w:fill="C6EFCE"/>
            <w:noWrap/>
            <w:vAlign w:val="center"/>
          </w:tcPr>
          <w:p w14:paraId="7C110BF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Modernizace veř</w:t>
            </w:r>
            <w:r>
              <w:rPr>
                <w:noProof/>
              </w:rPr>
              <w:t>ejné správy, mimo jiné urychlením provádění veřejných investic, zlepšením rámce pro zadávání veřejných zakázek, opatřeními na budování kapacit a bojem proti korupci – 16981_Zlepšení plánování a koordinace politik</w:t>
            </w:r>
          </w:p>
        </w:tc>
        <w:tc>
          <w:tcPr>
            <w:tcW w:w="1680" w:type="dxa"/>
            <w:tcBorders>
              <w:top w:val="nil"/>
              <w:left w:val="nil"/>
              <w:bottom w:val="single" w:sz="4" w:space="0" w:color="auto"/>
              <w:right w:val="single" w:sz="4" w:space="0" w:color="auto"/>
            </w:tcBorders>
            <w:shd w:val="clear" w:color="000000" w:fill="C6EFCE"/>
            <w:noWrap/>
            <w:vAlign w:val="center"/>
          </w:tcPr>
          <w:p w14:paraId="350462E3"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045270D1" w14:textId="77777777" w:rsidR="00515398" w:rsidRDefault="006711E6">
            <w:pPr>
              <w:pStyle w:val="P68B1DB1-Normal8"/>
              <w:keepNext/>
              <w:spacing w:before="40" w:after="0" w:line="240" w:lineRule="auto"/>
              <w:jc w:val="both"/>
              <w:rPr>
                <w:rFonts w:eastAsia="Times New Roman" w:cs="Times New Roman"/>
                <w:noProof/>
                <w:szCs w:val="18"/>
              </w:rPr>
            </w:pPr>
            <w:r>
              <w:rPr>
                <w:noProof/>
              </w:rPr>
              <w:t>Plánování a koordinace politik – pos</w:t>
            </w:r>
            <w:r>
              <w:rPr>
                <w:noProof/>
              </w:rPr>
              <w:t>ouzení dopadů</w:t>
            </w:r>
          </w:p>
        </w:tc>
      </w:tr>
      <w:tr w:rsidR="00515398" w14:paraId="2E0B186B"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52173B0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226</w:t>
            </w:r>
          </w:p>
        </w:tc>
        <w:tc>
          <w:tcPr>
            <w:tcW w:w="4320" w:type="dxa"/>
            <w:tcBorders>
              <w:top w:val="nil"/>
              <w:left w:val="nil"/>
              <w:bottom w:val="single" w:sz="4" w:space="0" w:color="auto"/>
              <w:right w:val="single" w:sz="4" w:space="0" w:color="auto"/>
            </w:tcBorders>
            <w:shd w:val="clear" w:color="000000" w:fill="C6EFCE"/>
            <w:noWrap/>
            <w:vAlign w:val="center"/>
          </w:tcPr>
          <w:p w14:paraId="604130D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Zlepšit účinnosti systému spravedlnosti – 16575 Zrychlení soudní správy</w:t>
            </w:r>
          </w:p>
        </w:tc>
        <w:tc>
          <w:tcPr>
            <w:tcW w:w="1680" w:type="dxa"/>
            <w:tcBorders>
              <w:top w:val="nil"/>
              <w:left w:val="nil"/>
              <w:bottom w:val="single" w:sz="4" w:space="0" w:color="auto"/>
              <w:right w:val="single" w:sz="4" w:space="0" w:color="auto"/>
            </w:tcBorders>
            <w:shd w:val="clear" w:color="000000" w:fill="C6EFCE"/>
            <w:noWrap/>
            <w:vAlign w:val="center"/>
          </w:tcPr>
          <w:p w14:paraId="3FFBC77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39207A92" w14:textId="77777777" w:rsidR="00515398" w:rsidRDefault="006711E6">
            <w:pPr>
              <w:pStyle w:val="P68B1DB1-Normal8"/>
              <w:keepNext/>
              <w:spacing w:before="40" w:after="0" w:line="240" w:lineRule="auto"/>
              <w:jc w:val="both"/>
              <w:rPr>
                <w:rFonts w:eastAsia="Times New Roman" w:cs="Times New Roman"/>
                <w:noProof/>
                <w:szCs w:val="18"/>
              </w:rPr>
            </w:pPr>
            <w:r>
              <w:rPr>
                <w:noProof/>
              </w:rPr>
              <w:t>Soudní mapa – primární právo – správní</w:t>
            </w:r>
          </w:p>
        </w:tc>
      </w:tr>
      <w:tr w:rsidR="00515398" w14:paraId="78C7A6A8" w14:textId="77777777">
        <w:trPr>
          <w:trHeight w:val="302"/>
        </w:trPr>
        <w:tc>
          <w:tcPr>
            <w:tcW w:w="1795" w:type="dxa"/>
            <w:tcBorders>
              <w:top w:val="nil"/>
              <w:left w:val="single" w:sz="4" w:space="0" w:color="auto"/>
              <w:bottom w:val="single" w:sz="4" w:space="0" w:color="auto"/>
              <w:right w:val="single" w:sz="4" w:space="0" w:color="auto"/>
            </w:tcBorders>
            <w:shd w:val="clear" w:color="000000" w:fill="C6EFCE"/>
            <w:noWrap/>
            <w:vAlign w:val="center"/>
          </w:tcPr>
          <w:p w14:paraId="7AB4917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227</w:t>
            </w:r>
          </w:p>
        </w:tc>
        <w:tc>
          <w:tcPr>
            <w:tcW w:w="4320" w:type="dxa"/>
            <w:tcBorders>
              <w:top w:val="nil"/>
              <w:left w:val="nil"/>
              <w:bottom w:val="single" w:sz="4" w:space="0" w:color="auto"/>
              <w:right w:val="single" w:sz="4" w:space="0" w:color="auto"/>
            </w:tcBorders>
            <w:shd w:val="clear" w:color="000000" w:fill="C6EFCE"/>
            <w:noWrap/>
            <w:vAlign w:val="center"/>
          </w:tcPr>
          <w:p w14:paraId="7C3E79B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Zlepšení účinnosti soudního systému – 16292_Nové soudní budovy</w:t>
            </w:r>
          </w:p>
        </w:tc>
        <w:tc>
          <w:tcPr>
            <w:tcW w:w="1680" w:type="dxa"/>
            <w:tcBorders>
              <w:top w:val="nil"/>
              <w:left w:val="nil"/>
              <w:bottom w:val="single" w:sz="4" w:space="0" w:color="auto"/>
              <w:right w:val="single" w:sz="4" w:space="0" w:color="auto"/>
            </w:tcBorders>
            <w:shd w:val="clear" w:color="000000" w:fill="C6EFCE"/>
            <w:noWrap/>
            <w:vAlign w:val="center"/>
          </w:tcPr>
          <w:p w14:paraId="03CF834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000000" w:fill="C6EFCE"/>
            <w:noWrap/>
            <w:vAlign w:val="center"/>
          </w:tcPr>
          <w:p w14:paraId="4AECC829" w14:textId="77777777" w:rsidR="00515398" w:rsidRDefault="006711E6">
            <w:pPr>
              <w:pStyle w:val="P68B1DB1-Normal8"/>
              <w:keepNext/>
              <w:spacing w:before="40" w:after="0" w:line="240" w:lineRule="auto"/>
              <w:jc w:val="both"/>
              <w:rPr>
                <w:rFonts w:eastAsia="Times New Roman" w:cs="Times New Roman"/>
                <w:noProof/>
                <w:szCs w:val="18"/>
              </w:rPr>
            </w:pPr>
            <w:r>
              <w:rPr>
                <w:noProof/>
              </w:rPr>
              <w:t>Výstavba a renovace soudních</w:t>
            </w:r>
            <w:r>
              <w:rPr>
                <w:noProof/>
              </w:rPr>
              <w:t xml:space="preserve"> budov – Úprava seznamů – Zahájení nabídkových řízení</w:t>
            </w:r>
          </w:p>
        </w:tc>
      </w:tr>
      <w:tr w:rsidR="00515398" w14:paraId="17516E5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E516C1A" w14:textId="77777777" w:rsidR="00515398" w:rsidRDefault="00515398">
            <w:pPr>
              <w:keepNext/>
              <w:spacing w:before="40" w:after="0" w:line="240"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34ACD8AB" w14:textId="77777777" w:rsidR="00515398" w:rsidRDefault="00515398">
            <w:pPr>
              <w:keepNext/>
              <w:spacing w:before="40" w:after="0" w:line="240"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6600ECF0" w14:textId="77777777" w:rsidR="00515398" w:rsidRDefault="006711E6">
            <w:pPr>
              <w:pStyle w:val="P68B1DB1-Normal8"/>
              <w:keepNext/>
              <w:spacing w:before="40" w:after="0" w:line="240" w:lineRule="auto"/>
              <w:jc w:val="both"/>
              <w:rPr>
                <w:rFonts w:eastAsia="Times New Roman" w:cs="Times New Roman"/>
                <w:noProof/>
                <w:szCs w:val="18"/>
              </w:rPr>
            </w:pPr>
            <w:r>
              <w:rPr>
                <w:noProof/>
              </w:rPr>
              <w:t>Splátková částka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4C8EA4B4" w14:textId="77777777" w:rsidR="00515398" w:rsidRDefault="006711E6">
            <w:pPr>
              <w:pStyle w:val="P68B1DB1-Normal8"/>
              <w:keepNext/>
              <w:spacing w:before="40" w:after="0" w:line="240" w:lineRule="auto"/>
              <w:jc w:val="both"/>
              <w:rPr>
                <w:rFonts w:eastAsia="Times New Roman" w:cs="Times New Roman"/>
                <w:noProof/>
                <w:szCs w:val="18"/>
              </w:rPr>
            </w:pPr>
            <w:r>
              <w:rPr>
                <w:noProof/>
              </w:rPr>
              <w:t>1 974 438 067 EUR</w:t>
            </w:r>
          </w:p>
        </w:tc>
      </w:tr>
    </w:tbl>
    <w:p w14:paraId="59235CDB"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074ACF41" w14:textId="07EA229A" w:rsidR="00515398" w:rsidRDefault="006711E6">
      <w:pPr>
        <w:pStyle w:val="P68B1DB1-Normal4"/>
        <w:keepNext/>
        <w:numPr>
          <w:ilvl w:val="1"/>
          <w:numId w:val="22"/>
        </w:numPr>
        <w:spacing w:before="40" w:after="0" w:line="259" w:lineRule="auto"/>
        <w:ind w:left="0"/>
        <w:contextualSpacing/>
        <w:jc w:val="both"/>
        <w:rPr>
          <w:rFonts w:eastAsia="Times New Roman" w:cs="Times New Roman"/>
          <w:i/>
          <w:noProof/>
          <w:color w:val="4F81BD"/>
        </w:rPr>
      </w:pPr>
      <w:r>
        <w:rPr>
          <w:noProof/>
        </w:rPr>
        <w:t xml:space="preserve"> Čtvrtá žádost o platbu (nevratná podpora): </w:t>
      </w:r>
    </w:p>
    <w:p w14:paraId="37CE66CE" w14:textId="77777777" w:rsidR="00515398" w:rsidRDefault="00515398">
      <w:pPr>
        <w:keepNext/>
        <w:spacing w:before="40" w:after="0" w:line="259" w:lineRule="auto"/>
        <w:contextualSpacing/>
        <w:jc w:val="both"/>
        <w:rPr>
          <w:rFonts w:ascii="Times New Roman" w:eastAsia="Times New Roman" w:hAnsi="Times New Roman" w:cs="Times New Roman"/>
          <w:i/>
          <w:noProof/>
          <w:color w:val="4F81BD"/>
          <w:sz w:val="24"/>
        </w:rPr>
      </w:pPr>
    </w:p>
    <w:tbl>
      <w:tblPr>
        <w:tblpPr w:leftFromText="180" w:rightFromText="180" w:vertAnchor="text" w:tblpX="-252" w:tblpY="1"/>
        <w:tblOverlap w:val="never"/>
        <w:tblW w:w="9595" w:type="dxa"/>
        <w:tblLayout w:type="fixed"/>
        <w:tblLook w:val="04A0" w:firstRow="1" w:lastRow="0" w:firstColumn="1" w:lastColumn="0" w:noHBand="0" w:noVBand="1"/>
      </w:tblPr>
      <w:tblGrid>
        <w:gridCol w:w="1795"/>
        <w:gridCol w:w="4320"/>
        <w:gridCol w:w="1680"/>
        <w:gridCol w:w="1800"/>
      </w:tblGrid>
      <w:tr w:rsidR="00515398" w14:paraId="6B21D3DA"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1F9CF1" w14:textId="77777777" w:rsidR="00515398" w:rsidRDefault="006711E6">
            <w:pPr>
              <w:pStyle w:val="P68B1DB1-Normal7"/>
              <w:keepNext/>
              <w:spacing w:before="40" w:after="0" w:line="259" w:lineRule="auto"/>
              <w:jc w:val="both"/>
              <w:rPr>
                <w:rFonts w:eastAsia="Times New Roman" w:cs="Times New Roman"/>
                <w:bCs/>
                <w:noProof/>
                <w:szCs w:val="18"/>
              </w:rPr>
            </w:pPr>
            <w:r>
              <w:rPr>
                <w:noProof/>
              </w:rPr>
              <w:t>Pořadové číslo</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D4A616" w14:textId="77777777" w:rsidR="00515398" w:rsidRDefault="006711E6">
            <w:pPr>
              <w:pStyle w:val="P68B1DB1-Normal7"/>
              <w:keepNext/>
              <w:spacing w:before="40" w:after="0" w:line="259" w:lineRule="auto"/>
              <w:jc w:val="both"/>
              <w:rPr>
                <w:rFonts w:eastAsia="Times New Roman" w:cs="Times New Roman"/>
                <w:bCs/>
                <w:noProof/>
                <w:szCs w:val="18"/>
              </w:rPr>
            </w:pPr>
            <w:r>
              <w:rPr>
                <w:noProof/>
              </w:rPr>
              <w:t>Související opatření (reforma nebo investice)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F48059" w14:textId="77777777" w:rsidR="00515398" w:rsidRDefault="006711E6">
            <w:pPr>
              <w:pStyle w:val="P68B1DB1-Normal7"/>
              <w:keepNext/>
              <w:spacing w:before="40" w:after="0" w:line="259" w:lineRule="auto"/>
              <w:jc w:val="both"/>
              <w:rPr>
                <w:rFonts w:eastAsia="Times New Roman" w:cs="Times New Roman"/>
                <w:bCs/>
                <w:noProof/>
                <w:szCs w:val="18"/>
              </w:rPr>
            </w:pPr>
            <w:r>
              <w:rPr>
                <w:noProof/>
              </w:rPr>
              <w:t>Milník/cíl</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EC8E75" w14:textId="77777777" w:rsidR="00515398" w:rsidRDefault="006711E6">
            <w:pPr>
              <w:pStyle w:val="P68B1DB1-Normal7"/>
              <w:keepNext/>
              <w:spacing w:before="40" w:after="0" w:line="259" w:lineRule="auto"/>
              <w:jc w:val="both"/>
              <w:rPr>
                <w:rFonts w:eastAsia="Times New Roman" w:cs="Times New Roman"/>
                <w:bCs/>
                <w:noProof/>
                <w:szCs w:val="18"/>
              </w:rPr>
            </w:pPr>
            <w:r>
              <w:rPr>
                <w:noProof/>
              </w:rPr>
              <w:t>Jméno</w:t>
            </w:r>
          </w:p>
        </w:tc>
      </w:tr>
      <w:tr w:rsidR="00515398" w14:paraId="5BFA6549" w14:textId="77777777">
        <w:trPr>
          <w:trHeight w:val="509"/>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0BC938A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left w:val="single" w:sz="4" w:space="0" w:color="auto"/>
              <w:right w:val="single" w:sz="4" w:space="0" w:color="auto"/>
            </w:tcBorders>
            <w:vAlign w:val="center"/>
            <w:hideMark/>
          </w:tcPr>
          <w:p w14:paraId="418E2838"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05A9BADF"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B72BE46"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0D49D0B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0C83E7" w14:textId="77777777" w:rsidR="00515398" w:rsidRDefault="006711E6">
            <w:pPr>
              <w:pStyle w:val="P68B1DB1-Normal8"/>
              <w:keepNext/>
              <w:spacing w:before="40" w:after="0" w:line="240" w:lineRule="auto"/>
              <w:jc w:val="both"/>
              <w:rPr>
                <w:noProof/>
              </w:rPr>
            </w:pPr>
            <w:r>
              <w:rPr>
                <w:noProof/>
              </w:rPr>
              <w:t>7</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6B2CFB59" w14:textId="77777777" w:rsidR="00515398" w:rsidRDefault="006711E6">
            <w:pPr>
              <w:pStyle w:val="P68B1DB1-Normal8"/>
              <w:keepNext/>
              <w:spacing w:before="40" w:after="0" w:line="240" w:lineRule="auto"/>
              <w:jc w:val="both"/>
              <w:rPr>
                <w:noProof/>
              </w:rPr>
            </w:pPr>
            <w:r>
              <w:rPr>
                <w:noProof/>
              </w:rPr>
              <w:t xml:space="preserve">1–1.1 Zvýšení výkonu – </w:t>
            </w:r>
            <w:r>
              <w:rPr>
                <w:noProof/>
              </w:rPr>
              <w:t>16865_Restrukturalizace a posílení příjmů účtu CHP OZE</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37B37BA5" w14:textId="77777777" w:rsidR="00515398" w:rsidRDefault="006711E6">
            <w:pPr>
              <w:pStyle w:val="P68B1DB1-Normal8"/>
              <w:keepNext/>
              <w:spacing w:before="40" w:after="0" w:line="240" w:lineRule="auto"/>
              <w:jc w:val="both"/>
              <w:rPr>
                <w:noProof/>
              </w:rPr>
            </w:pPr>
            <w:r>
              <w:rPr>
                <w:noProof/>
              </w:rPr>
              <w:t>Cílová</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7B9B3B96" w14:textId="77777777" w:rsidR="00515398" w:rsidRDefault="006711E6">
            <w:pPr>
              <w:pStyle w:val="P68B1DB1-Normal8"/>
              <w:keepNext/>
              <w:spacing w:before="40" w:after="0" w:line="240" w:lineRule="auto"/>
              <w:jc w:val="both"/>
              <w:rPr>
                <w:noProof/>
              </w:rPr>
            </w:pPr>
            <w:r>
              <w:rPr>
                <w:noProof/>
              </w:rPr>
              <w:t>Účet OZE – cíl 2 zvýšení kapacity</w:t>
            </w:r>
          </w:p>
        </w:tc>
      </w:tr>
      <w:tr w:rsidR="00515398" w14:paraId="5BA0ADB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3D9EE8D" w14:textId="77777777" w:rsidR="00515398" w:rsidRDefault="006711E6">
            <w:pPr>
              <w:pStyle w:val="P68B1DB1-Normal8"/>
              <w:keepNext/>
              <w:spacing w:before="40" w:after="0" w:line="240" w:lineRule="auto"/>
              <w:jc w:val="both"/>
              <w:rPr>
                <w:rFonts w:eastAsia="Times New Roman" w:cs="Times New Roman"/>
                <w:noProof/>
                <w:szCs w:val="18"/>
              </w:rPr>
            </w:pPr>
            <w:r>
              <w:rPr>
                <w:noProof/>
              </w:rPr>
              <w:t>37</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3AA175C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16932_Olympijské atletické středisko v Aténách</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5F305C5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5D53318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OAKA – zadání zakázky</w:t>
            </w:r>
          </w:p>
        </w:tc>
      </w:tr>
      <w:tr w:rsidR="00515398" w14:paraId="4264ECC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E340D02" w14:textId="77777777" w:rsidR="00515398" w:rsidRDefault="006711E6">
            <w:pPr>
              <w:pStyle w:val="P68B1DB1-Normal8"/>
              <w:keepNext/>
              <w:spacing w:before="40" w:after="0" w:line="240" w:lineRule="auto"/>
              <w:jc w:val="both"/>
              <w:rPr>
                <w:rFonts w:eastAsia="Times New Roman" w:cs="Times New Roman"/>
                <w:noProof/>
                <w:szCs w:val="18"/>
              </w:rPr>
            </w:pPr>
            <w:r>
              <w:rPr>
                <w:noProof/>
              </w:rPr>
              <w:t>228</w:t>
            </w:r>
          </w:p>
        </w:tc>
        <w:tc>
          <w:tcPr>
            <w:tcW w:w="4320" w:type="dxa"/>
            <w:tcBorders>
              <w:top w:val="nil"/>
              <w:left w:val="nil"/>
              <w:bottom w:val="single" w:sz="4" w:space="0" w:color="auto"/>
              <w:right w:val="single" w:sz="4" w:space="0" w:color="auto"/>
            </w:tcBorders>
            <w:shd w:val="clear" w:color="auto" w:fill="C6EFCE"/>
            <w:noWrap/>
            <w:vAlign w:val="center"/>
          </w:tcPr>
          <w:p w14:paraId="6DE3D7E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14–4.3. Zlepšit účinnost soudního systému – </w:t>
            </w:r>
            <w:r>
              <w:rPr>
                <w:noProof/>
              </w:rPr>
              <w:t>16733_Dovednosti a digitální dovednosti soudců a soudních zaměstnanců (soudní zaměstnanci)</w:t>
            </w:r>
          </w:p>
        </w:tc>
        <w:tc>
          <w:tcPr>
            <w:tcW w:w="1680" w:type="dxa"/>
            <w:tcBorders>
              <w:top w:val="nil"/>
              <w:left w:val="nil"/>
              <w:bottom w:val="single" w:sz="4" w:space="0" w:color="auto"/>
              <w:right w:val="single" w:sz="4" w:space="0" w:color="auto"/>
            </w:tcBorders>
            <w:shd w:val="clear" w:color="auto" w:fill="C6EFCE"/>
            <w:noWrap/>
            <w:vAlign w:val="center"/>
          </w:tcPr>
          <w:p w14:paraId="58DF5C8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0BEDF1E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Školení – soudci a úředníci</w:t>
            </w:r>
          </w:p>
        </w:tc>
      </w:tr>
      <w:tr w:rsidR="00515398" w14:paraId="6262273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4DB5B7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w:t>
            </w:r>
          </w:p>
        </w:tc>
        <w:tc>
          <w:tcPr>
            <w:tcW w:w="4320" w:type="dxa"/>
            <w:tcBorders>
              <w:top w:val="nil"/>
              <w:left w:val="nil"/>
              <w:bottom w:val="single" w:sz="4" w:space="0" w:color="auto"/>
              <w:right w:val="single" w:sz="4" w:space="0" w:color="auto"/>
            </w:tcBorders>
            <w:shd w:val="clear" w:color="auto" w:fill="C6EFCE"/>
            <w:noWrap/>
            <w:vAlign w:val="center"/>
          </w:tcPr>
          <w:p w14:paraId="5E4FC1C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16870_Intervence pro propojení elektrických sítí ostrovů a modernizaci elektrické sítě</w:t>
            </w:r>
          </w:p>
        </w:tc>
        <w:tc>
          <w:tcPr>
            <w:tcW w:w="1680" w:type="dxa"/>
            <w:tcBorders>
              <w:top w:val="nil"/>
              <w:left w:val="nil"/>
              <w:bottom w:val="single" w:sz="4" w:space="0" w:color="auto"/>
              <w:right w:val="single" w:sz="4" w:space="0" w:color="auto"/>
            </w:tcBorders>
            <w:shd w:val="clear" w:color="auto" w:fill="C6EFCE"/>
            <w:noWrap/>
            <w:vAlign w:val="center"/>
          </w:tcPr>
          <w:p w14:paraId="34CA1DA7"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8E05D25"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Propojení </w:t>
            </w:r>
            <w:r>
              <w:rPr>
                <w:noProof/>
              </w:rPr>
              <w:t>ostrovů – zadávání zakázek</w:t>
            </w:r>
          </w:p>
        </w:tc>
      </w:tr>
      <w:tr w:rsidR="00515398" w14:paraId="33A1337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A881DF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w:t>
            </w:r>
          </w:p>
        </w:tc>
        <w:tc>
          <w:tcPr>
            <w:tcW w:w="4320" w:type="dxa"/>
            <w:tcBorders>
              <w:top w:val="nil"/>
              <w:left w:val="nil"/>
              <w:bottom w:val="single" w:sz="4" w:space="0" w:color="auto"/>
              <w:right w:val="single" w:sz="4" w:space="0" w:color="auto"/>
            </w:tcBorders>
            <w:shd w:val="clear" w:color="auto" w:fill="C6EFCE"/>
            <w:noWrap/>
            <w:vAlign w:val="center"/>
          </w:tcPr>
          <w:p w14:paraId="02F329B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16865_Restrukturalizace a posílení příjmů účtu CHP OZE</w:t>
            </w:r>
          </w:p>
        </w:tc>
        <w:tc>
          <w:tcPr>
            <w:tcW w:w="1680" w:type="dxa"/>
            <w:tcBorders>
              <w:top w:val="nil"/>
              <w:left w:val="nil"/>
              <w:bottom w:val="single" w:sz="4" w:space="0" w:color="auto"/>
              <w:right w:val="single" w:sz="4" w:space="0" w:color="auto"/>
            </w:tcBorders>
            <w:shd w:val="clear" w:color="auto" w:fill="C6EFCE"/>
            <w:noWrap/>
            <w:vAlign w:val="center"/>
          </w:tcPr>
          <w:p w14:paraId="4592EFF2"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310BFACC" w14:textId="77777777" w:rsidR="00515398" w:rsidRDefault="006711E6">
            <w:pPr>
              <w:pStyle w:val="P68B1DB1-Normal8"/>
              <w:keepNext/>
              <w:spacing w:before="40" w:after="0" w:line="240" w:lineRule="auto"/>
              <w:jc w:val="both"/>
              <w:rPr>
                <w:rFonts w:eastAsia="Times New Roman" w:cs="Times New Roman"/>
                <w:noProof/>
                <w:szCs w:val="18"/>
              </w:rPr>
            </w:pPr>
            <w:r>
              <w:rPr>
                <w:noProof/>
              </w:rPr>
              <w:t>Účet OZE – cíl 1 zvýšení kapacity</w:t>
            </w:r>
          </w:p>
        </w:tc>
      </w:tr>
      <w:tr w:rsidR="00515398" w14:paraId="495E2C2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A3FF70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w:t>
            </w:r>
          </w:p>
        </w:tc>
        <w:tc>
          <w:tcPr>
            <w:tcW w:w="4320" w:type="dxa"/>
            <w:tcBorders>
              <w:top w:val="nil"/>
              <w:left w:val="nil"/>
              <w:bottom w:val="single" w:sz="4" w:space="0" w:color="auto"/>
              <w:right w:val="single" w:sz="4" w:space="0" w:color="auto"/>
            </w:tcBorders>
            <w:shd w:val="clear" w:color="auto" w:fill="C6EFCE"/>
            <w:noWrap/>
            <w:vAlign w:val="center"/>
          </w:tcPr>
          <w:p w14:paraId="12F5AEF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16926_Podpora instalace akumulačních systémů za</w:t>
            </w:r>
            <w:r>
              <w:rPr>
                <w:noProof/>
              </w:rPr>
              <w:t xml:space="preserve"> účelem zlepšení pronikání energie z obnovitelných zdrojů</w:t>
            </w:r>
          </w:p>
        </w:tc>
        <w:tc>
          <w:tcPr>
            <w:tcW w:w="1680" w:type="dxa"/>
            <w:tcBorders>
              <w:top w:val="nil"/>
              <w:left w:val="nil"/>
              <w:bottom w:val="single" w:sz="4" w:space="0" w:color="auto"/>
              <w:right w:val="single" w:sz="4" w:space="0" w:color="auto"/>
            </w:tcBorders>
            <w:shd w:val="clear" w:color="auto" w:fill="C6EFCE"/>
            <w:noWrap/>
            <w:vAlign w:val="center"/>
          </w:tcPr>
          <w:p w14:paraId="76466CF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6CEDF6E" w14:textId="77777777" w:rsidR="00515398" w:rsidRDefault="006711E6">
            <w:pPr>
              <w:pStyle w:val="P68B1DB1-Normal8"/>
              <w:keepNext/>
              <w:spacing w:before="40" w:after="0" w:line="240" w:lineRule="auto"/>
              <w:jc w:val="both"/>
              <w:rPr>
                <w:rFonts w:eastAsia="Times New Roman" w:cs="Times New Roman"/>
                <w:noProof/>
                <w:szCs w:val="18"/>
              </w:rPr>
            </w:pPr>
            <w:r>
              <w:rPr>
                <w:noProof/>
              </w:rPr>
              <w:t>Skladování – smlouvy</w:t>
            </w:r>
          </w:p>
        </w:tc>
      </w:tr>
      <w:tr w:rsidR="00515398" w14:paraId="6D2CF28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CD04F3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34</w:t>
            </w:r>
          </w:p>
        </w:tc>
        <w:tc>
          <w:tcPr>
            <w:tcW w:w="4320" w:type="dxa"/>
            <w:tcBorders>
              <w:top w:val="nil"/>
              <w:left w:val="nil"/>
              <w:bottom w:val="single" w:sz="4" w:space="0" w:color="auto"/>
              <w:right w:val="single" w:sz="4" w:space="0" w:color="auto"/>
            </w:tcBorders>
            <w:shd w:val="clear" w:color="auto" w:fill="C6EFCE"/>
            <w:noWrap/>
            <w:vAlign w:val="center"/>
          </w:tcPr>
          <w:p w14:paraId="1E7C17F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2–1.2. Renovace – 16876_Energetická modernizace budov veřejného sektoru </w:t>
            </w:r>
          </w:p>
        </w:tc>
        <w:tc>
          <w:tcPr>
            <w:tcW w:w="1680" w:type="dxa"/>
            <w:tcBorders>
              <w:top w:val="nil"/>
              <w:left w:val="nil"/>
              <w:bottom w:val="single" w:sz="4" w:space="0" w:color="auto"/>
              <w:right w:val="single" w:sz="4" w:space="0" w:color="auto"/>
            </w:tcBorders>
            <w:shd w:val="clear" w:color="auto" w:fill="C6EFCE"/>
            <w:noWrap/>
            <w:vAlign w:val="center"/>
          </w:tcPr>
          <w:p w14:paraId="19B166C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5BFE124" w14:textId="77777777" w:rsidR="00515398" w:rsidRDefault="006711E6">
            <w:pPr>
              <w:pStyle w:val="P68B1DB1-Normal8"/>
              <w:keepNext/>
              <w:spacing w:before="40" w:after="0" w:line="240" w:lineRule="auto"/>
              <w:jc w:val="both"/>
              <w:rPr>
                <w:rFonts w:eastAsia="Times New Roman" w:cs="Times New Roman"/>
                <w:noProof/>
                <w:szCs w:val="18"/>
              </w:rPr>
            </w:pPr>
            <w:r>
              <w:rPr>
                <w:noProof/>
              </w:rPr>
              <w:t>Energetická účinnost veřejných budov – schválené žádosti</w:t>
            </w:r>
          </w:p>
        </w:tc>
      </w:tr>
      <w:tr w:rsidR="00515398" w14:paraId="7562B03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061E83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61</w:t>
            </w:r>
          </w:p>
        </w:tc>
        <w:tc>
          <w:tcPr>
            <w:tcW w:w="4320" w:type="dxa"/>
            <w:tcBorders>
              <w:top w:val="nil"/>
              <w:left w:val="nil"/>
              <w:bottom w:val="single" w:sz="4" w:space="0" w:color="auto"/>
              <w:right w:val="single" w:sz="4" w:space="0" w:color="auto"/>
            </w:tcBorders>
            <w:shd w:val="clear" w:color="auto" w:fill="C6EFCE"/>
            <w:noWrap/>
            <w:vAlign w:val="center"/>
          </w:tcPr>
          <w:p w14:paraId="77162320" w14:textId="77777777" w:rsidR="00515398" w:rsidRDefault="006711E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4–1.4. Udržitelné využívání zdrojů, odolnost vůči změně klimatu a ochrana životního prostředí – 16849_Národní plán opětovného zalesňování, </w:t>
            </w:r>
            <w:r>
              <w:rPr>
                <w:noProof/>
              </w:rPr>
              <w:t xml:space="preserve"> </w:t>
            </w:r>
            <w:r>
              <w:rPr>
                <w:rFonts w:ascii="Times New Roman" w:hAnsi="Times New Roman"/>
                <w:noProof/>
                <w:sz w:val="18"/>
              </w:rPr>
              <w:t>obnova a prevence („antiNERO“), opatření proti erozi a protipovodňová opatření</w:t>
            </w:r>
          </w:p>
        </w:tc>
        <w:tc>
          <w:tcPr>
            <w:tcW w:w="1680" w:type="dxa"/>
            <w:tcBorders>
              <w:top w:val="nil"/>
              <w:left w:val="nil"/>
              <w:bottom w:val="single" w:sz="4" w:space="0" w:color="auto"/>
              <w:right w:val="single" w:sz="4" w:space="0" w:color="auto"/>
            </w:tcBorders>
            <w:shd w:val="clear" w:color="auto" w:fill="C6EFCE"/>
            <w:noWrap/>
            <w:vAlign w:val="center"/>
          </w:tcPr>
          <w:p w14:paraId="274E75C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809A745" w14:textId="77777777" w:rsidR="00515398" w:rsidRDefault="006711E6">
            <w:pPr>
              <w:pStyle w:val="P68B1DB1-Normal8"/>
              <w:keepNext/>
              <w:spacing w:before="40" w:after="0" w:line="240" w:lineRule="auto"/>
              <w:jc w:val="both"/>
              <w:rPr>
                <w:rFonts w:eastAsia="Times New Roman" w:cs="Times New Roman"/>
                <w:noProof/>
                <w:szCs w:val="18"/>
              </w:rPr>
            </w:pPr>
            <w:r>
              <w:rPr>
                <w:noProof/>
              </w:rPr>
              <w:t>Opětovné zalesňování, obnova a</w:t>
            </w:r>
            <w:r>
              <w:rPr>
                <w:noProof/>
              </w:rPr>
              <w:t xml:space="preserve"> prevence – zakázky 1</w:t>
            </w:r>
          </w:p>
        </w:tc>
      </w:tr>
      <w:tr w:rsidR="00515398" w14:paraId="257F9C5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60F505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66</w:t>
            </w:r>
          </w:p>
        </w:tc>
        <w:tc>
          <w:tcPr>
            <w:tcW w:w="4320" w:type="dxa"/>
            <w:tcBorders>
              <w:top w:val="nil"/>
              <w:left w:val="nil"/>
              <w:bottom w:val="single" w:sz="4" w:space="0" w:color="auto"/>
              <w:right w:val="single" w:sz="4" w:space="0" w:color="auto"/>
            </w:tcBorders>
            <w:shd w:val="clear" w:color="auto" w:fill="C6EFCE"/>
            <w:noWrap/>
            <w:vAlign w:val="center"/>
          </w:tcPr>
          <w:p w14:paraId="748A57D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16850_Infrastruktury pro dodávky a úspory pitné vody</w:t>
            </w:r>
          </w:p>
        </w:tc>
        <w:tc>
          <w:tcPr>
            <w:tcW w:w="1680" w:type="dxa"/>
            <w:tcBorders>
              <w:top w:val="nil"/>
              <w:left w:val="nil"/>
              <w:bottom w:val="single" w:sz="4" w:space="0" w:color="auto"/>
              <w:right w:val="single" w:sz="4" w:space="0" w:color="auto"/>
            </w:tcBorders>
            <w:shd w:val="clear" w:color="auto" w:fill="C6EFCE"/>
            <w:noWrap/>
            <w:vAlign w:val="center"/>
          </w:tcPr>
          <w:p w14:paraId="7A5900C9"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3802105" w14:textId="77777777" w:rsidR="00515398" w:rsidRDefault="006711E6">
            <w:pPr>
              <w:pStyle w:val="P68B1DB1-Normal8"/>
              <w:keepNext/>
              <w:spacing w:before="40" w:after="0" w:line="240" w:lineRule="auto"/>
              <w:jc w:val="both"/>
              <w:rPr>
                <w:rFonts w:eastAsia="Times New Roman" w:cs="Times New Roman"/>
                <w:noProof/>
                <w:szCs w:val="18"/>
              </w:rPr>
            </w:pPr>
            <w:r>
              <w:rPr>
                <w:noProof/>
              </w:rPr>
              <w:t>Schvalování žádostí o vodohospodářské infrastruktury</w:t>
            </w:r>
          </w:p>
        </w:tc>
      </w:tr>
      <w:tr w:rsidR="00515398" w14:paraId="53A9AB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B9DF2E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87</w:t>
            </w:r>
          </w:p>
        </w:tc>
        <w:tc>
          <w:tcPr>
            <w:tcW w:w="4320" w:type="dxa"/>
            <w:tcBorders>
              <w:top w:val="nil"/>
              <w:left w:val="nil"/>
              <w:bottom w:val="single" w:sz="4" w:space="0" w:color="auto"/>
              <w:right w:val="single" w:sz="4" w:space="0" w:color="auto"/>
            </w:tcBorders>
            <w:shd w:val="clear" w:color="auto" w:fill="C6EFCE"/>
            <w:noWrap/>
            <w:vAlign w:val="center"/>
          </w:tcPr>
          <w:p w14:paraId="657B4E7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5–2.1. Connect – </w:t>
            </w:r>
            <w:r>
              <w:rPr>
                <w:noProof/>
              </w:rPr>
              <w:t>16855_Malé družice</w:t>
            </w:r>
          </w:p>
        </w:tc>
        <w:tc>
          <w:tcPr>
            <w:tcW w:w="1680" w:type="dxa"/>
            <w:tcBorders>
              <w:top w:val="nil"/>
              <w:left w:val="nil"/>
              <w:bottom w:val="single" w:sz="4" w:space="0" w:color="auto"/>
              <w:right w:val="single" w:sz="4" w:space="0" w:color="auto"/>
            </w:tcBorders>
            <w:shd w:val="clear" w:color="auto" w:fill="C6EFCE"/>
            <w:noWrap/>
            <w:vAlign w:val="center"/>
          </w:tcPr>
          <w:p w14:paraId="467E3C4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3DBD5E5"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(zakázek) na projekt „Malé družice“</w:t>
            </w:r>
          </w:p>
        </w:tc>
      </w:tr>
      <w:tr w:rsidR="00515398" w14:paraId="1639A8F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F224A8B" w14:textId="77777777" w:rsidR="00515398" w:rsidRDefault="006711E6">
            <w:pPr>
              <w:pStyle w:val="P68B1DB1-Normal8"/>
              <w:keepNext/>
              <w:spacing w:before="40" w:after="0" w:line="240" w:lineRule="auto"/>
              <w:jc w:val="both"/>
              <w:rPr>
                <w:noProof/>
              </w:rPr>
            </w:pPr>
            <w:r>
              <w:rPr>
                <w:noProof/>
              </w:rPr>
              <w:t>135</w:t>
            </w:r>
          </w:p>
        </w:tc>
        <w:tc>
          <w:tcPr>
            <w:tcW w:w="4320" w:type="dxa"/>
            <w:tcBorders>
              <w:top w:val="nil"/>
              <w:left w:val="nil"/>
              <w:bottom w:val="single" w:sz="4" w:space="0" w:color="auto"/>
              <w:right w:val="single" w:sz="4" w:space="0" w:color="auto"/>
            </w:tcBorders>
            <w:shd w:val="clear" w:color="auto" w:fill="C6EFCE"/>
            <w:noWrap/>
            <w:vAlign w:val="center"/>
          </w:tcPr>
          <w:p w14:paraId="51927715" w14:textId="77777777" w:rsidR="00515398" w:rsidRDefault="006711E6">
            <w:pPr>
              <w:pStyle w:val="P68B1DB1-Normal8"/>
              <w:keepNext/>
              <w:spacing w:before="40" w:after="0" w:line="240" w:lineRule="auto"/>
              <w:jc w:val="both"/>
              <w:rPr>
                <w:noProof/>
              </w:rPr>
            </w:pPr>
            <w:r>
              <w:rPr>
                <w:noProof/>
              </w:rPr>
              <w:t>8–3.1. Podpora tvorby pracovních míst a účasti na trhu práce – 16942_Digitální transformace veřejné služby zaměstnanosti (DYPA)</w:t>
            </w:r>
          </w:p>
        </w:tc>
        <w:tc>
          <w:tcPr>
            <w:tcW w:w="1680" w:type="dxa"/>
            <w:tcBorders>
              <w:top w:val="nil"/>
              <w:left w:val="nil"/>
              <w:bottom w:val="single" w:sz="4" w:space="0" w:color="auto"/>
              <w:right w:val="single" w:sz="4" w:space="0" w:color="auto"/>
            </w:tcBorders>
            <w:shd w:val="clear" w:color="auto" w:fill="C6EFCE"/>
            <w:noWrap/>
            <w:vAlign w:val="center"/>
          </w:tcPr>
          <w:p w14:paraId="7AEF507E" w14:textId="77777777" w:rsidR="00515398" w:rsidRDefault="006711E6">
            <w:pPr>
              <w:pStyle w:val="P68B1DB1-Normal49"/>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9EFF93E" w14:textId="77777777" w:rsidR="00515398" w:rsidRDefault="006711E6">
            <w:pPr>
              <w:pStyle w:val="P68B1DB1-Normal24"/>
              <w:keepNext/>
              <w:spacing w:before="40" w:after="0" w:line="240" w:lineRule="auto"/>
              <w:jc w:val="both"/>
              <w:rPr>
                <w:rFonts w:ascii="Times New Roman" w:hAnsi="Times New Roman"/>
                <w:noProof/>
              </w:rPr>
            </w:pPr>
            <w:r>
              <w:rPr>
                <w:rFonts w:ascii="Times New Roman" w:hAnsi="Times New Roman"/>
                <w:noProof/>
              </w:rPr>
              <w:t xml:space="preserve">DYPA </w:t>
            </w:r>
            <w:r>
              <w:rPr>
                <w:rFonts w:asciiTheme="minorHAnsi" w:eastAsiaTheme="minorEastAsia" w:hAnsiTheme="minorHAnsi" w:cstheme="minorBidi"/>
                <w:noProof/>
              </w:rPr>
              <w:t xml:space="preserve">Digitalizace, uchovávání a </w:t>
            </w:r>
            <w:r>
              <w:rPr>
                <w:rFonts w:asciiTheme="minorHAnsi" w:eastAsiaTheme="minorEastAsia" w:hAnsiTheme="minorHAnsi" w:cstheme="minorBidi"/>
                <w:noProof/>
              </w:rPr>
              <w:t>archivace archivů</w:t>
            </w:r>
          </w:p>
        </w:tc>
      </w:tr>
      <w:tr w:rsidR="00515398" w14:paraId="6A9B98A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D133B8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143</w:t>
            </w:r>
          </w:p>
        </w:tc>
        <w:tc>
          <w:tcPr>
            <w:tcW w:w="4320" w:type="dxa"/>
            <w:tcBorders>
              <w:top w:val="nil"/>
              <w:left w:val="nil"/>
              <w:bottom w:val="single" w:sz="4" w:space="0" w:color="auto"/>
              <w:right w:val="single" w:sz="4" w:space="0" w:color="auto"/>
            </w:tcBorders>
            <w:shd w:val="clear" w:color="auto" w:fill="C6EFCE"/>
            <w:noWrap/>
            <w:vAlign w:val="center"/>
          </w:tcPr>
          <w:p w14:paraId="25E0A92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9–3.2. Vzdělávání, odborné vzdělávání a příprava a dovednosti – 16792_Pracovní dovednosti, rekvalifikace a prohlubování dovedností prostřednictvím reformovaného modelu odborné přípravy (reforma odborného vzdělávání a odborné přípravy</w:t>
            </w:r>
            <w:r>
              <w:rPr>
                <w:noProof/>
              </w:rPr>
              <w:t>)</w:t>
            </w:r>
          </w:p>
        </w:tc>
        <w:tc>
          <w:tcPr>
            <w:tcW w:w="1680" w:type="dxa"/>
            <w:tcBorders>
              <w:top w:val="nil"/>
              <w:left w:val="nil"/>
              <w:bottom w:val="single" w:sz="4" w:space="0" w:color="auto"/>
              <w:right w:val="single" w:sz="4" w:space="0" w:color="auto"/>
            </w:tcBorders>
            <w:shd w:val="clear" w:color="auto" w:fill="C6EFCE"/>
            <w:noWrap/>
            <w:vAlign w:val="center"/>
          </w:tcPr>
          <w:p w14:paraId="36C60C9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66DDEB5F"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v rámci systému kontroly kvality odborného vzdělávání a přípravy</w:t>
            </w:r>
          </w:p>
        </w:tc>
      </w:tr>
      <w:tr w:rsidR="00515398" w14:paraId="0AC6E14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E3BB27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154</w:t>
            </w:r>
          </w:p>
        </w:tc>
        <w:tc>
          <w:tcPr>
            <w:tcW w:w="4320" w:type="dxa"/>
            <w:tcBorders>
              <w:top w:val="nil"/>
              <w:left w:val="nil"/>
              <w:bottom w:val="single" w:sz="4" w:space="0" w:color="auto"/>
              <w:right w:val="single" w:sz="4" w:space="0" w:color="auto"/>
            </w:tcBorders>
            <w:shd w:val="clear" w:color="auto" w:fill="C6EFCE"/>
            <w:noWrap/>
            <w:vAlign w:val="center"/>
          </w:tcPr>
          <w:p w14:paraId="0339F50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zdravotní péče – 16816_Reformy a urychlení investic v odvětví zdravotní péče – snížení zpětného vymáhání a</w:t>
            </w:r>
            <w:r>
              <w:rPr>
                <w:noProof/>
              </w:rPr>
              <w:t xml:space="preserve"> racionalizace výdajů na zdravotní péči</w:t>
            </w:r>
          </w:p>
        </w:tc>
        <w:tc>
          <w:tcPr>
            <w:tcW w:w="1680" w:type="dxa"/>
            <w:tcBorders>
              <w:top w:val="nil"/>
              <w:left w:val="nil"/>
              <w:bottom w:val="single" w:sz="4" w:space="0" w:color="auto"/>
              <w:right w:val="single" w:sz="4" w:space="0" w:color="auto"/>
            </w:tcBorders>
            <w:shd w:val="clear" w:color="auto" w:fill="C6EFCE"/>
            <w:noWrap/>
            <w:vAlign w:val="center"/>
          </w:tcPr>
          <w:p w14:paraId="617A65DC"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2FA291FA" w14:textId="77777777" w:rsidR="00515398" w:rsidRDefault="006711E6">
            <w:pPr>
              <w:pStyle w:val="P68B1DB1-Normal8"/>
              <w:keepNext/>
              <w:spacing w:before="40" w:after="0" w:line="240" w:lineRule="auto"/>
              <w:jc w:val="both"/>
              <w:rPr>
                <w:rFonts w:eastAsia="Times New Roman" w:cs="Times New Roman"/>
                <w:noProof/>
                <w:szCs w:val="18"/>
              </w:rPr>
            </w:pPr>
            <w:r>
              <w:rPr>
                <w:noProof/>
              </w:rPr>
              <w:t>Snížení zpětného získání 50000000 – krok 1</w:t>
            </w:r>
          </w:p>
        </w:tc>
      </w:tr>
      <w:tr w:rsidR="00515398" w14:paraId="1C55E4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ABC9F1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203</w:t>
            </w:r>
          </w:p>
        </w:tc>
        <w:tc>
          <w:tcPr>
            <w:tcW w:w="4320" w:type="dxa"/>
            <w:tcBorders>
              <w:top w:val="nil"/>
              <w:left w:val="nil"/>
              <w:bottom w:val="single" w:sz="4" w:space="0" w:color="auto"/>
              <w:right w:val="single" w:sz="4" w:space="0" w:color="auto"/>
            </w:tcBorders>
            <w:shd w:val="clear" w:color="auto" w:fill="C6EFCE"/>
            <w:noWrap/>
            <w:vAlign w:val="center"/>
          </w:tcPr>
          <w:p w14:paraId="012FB70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 daňovou správu a výběr daní – 16643_Kodifikace a zjednodušení daňových právních předpisů</w:t>
            </w:r>
          </w:p>
        </w:tc>
        <w:tc>
          <w:tcPr>
            <w:tcW w:w="1680" w:type="dxa"/>
            <w:tcBorders>
              <w:top w:val="nil"/>
              <w:left w:val="nil"/>
              <w:bottom w:val="single" w:sz="4" w:space="0" w:color="auto"/>
              <w:right w:val="single" w:sz="4" w:space="0" w:color="auto"/>
            </w:tcBorders>
            <w:shd w:val="clear" w:color="auto" w:fill="C6EFCE"/>
            <w:noWrap/>
            <w:vAlign w:val="center"/>
          </w:tcPr>
          <w:p w14:paraId="1E8C7B0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E598BD3" w14:textId="77777777" w:rsidR="00515398" w:rsidRDefault="006711E6">
            <w:pPr>
              <w:pStyle w:val="P68B1DB1-Normal8"/>
              <w:keepNext/>
              <w:spacing w:before="40" w:after="0" w:line="240" w:lineRule="auto"/>
              <w:jc w:val="both"/>
              <w:rPr>
                <w:rFonts w:eastAsia="Times New Roman" w:cs="Times New Roman"/>
                <w:noProof/>
                <w:szCs w:val="18"/>
              </w:rPr>
            </w:pPr>
            <w:r>
              <w:rPr>
                <w:noProof/>
              </w:rPr>
              <w:t>Přepisování kó</w:t>
            </w:r>
            <w:r>
              <w:rPr>
                <w:noProof/>
              </w:rPr>
              <w:t>dů daně z příjmu a daňových postupů</w:t>
            </w:r>
          </w:p>
        </w:tc>
      </w:tr>
      <w:tr w:rsidR="00515398" w14:paraId="76AD190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628DF5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229</w:t>
            </w:r>
          </w:p>
        </w:tc>
        <w:tc>
          <w:tcPr>
            <w:tcW w:w="4320" w:type="dxa"/>
            <w:tcBorders>
              <w:top w:val="nil"/>
              <w:left w:val="nil"/>
              <w:bottom w:val="single" w:sz="4" w:space="0" w:color="auto"/>
              <w:right w:val="single" w:sz="4" w:space="0" w:color="auto"/>
            </w:tcBorders>
            <w:shd w:val="clear" w:color="auto" w:fill="C6EFCE"/>
            <w:noWrap/>
            <w:vAlign w:val="center"/>
          </w:tcPr>
          <w:p w14:paraId="090D9FA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14–4.3. Zlepšit účinnost soudního systému – 16727 Digitální transformace soudnictví (e-justice)</w:t>
            </w:r>
          </w:p>
        </w:tc>
        <w:tc>
          <w:tcPr>
            <w:tcW w:w="1680" w:type="dxa"/>
            <w:tcBorders>
              <w:top w:val="nil"/>
              <w:left w:val="nil"/>
              <w:bottom w:val="single" w:sz="4" w:space="0" w:color="auto"/>
              <w:right w:val="single" w:sz="4" w:space="0" w:color="auto"/>
            </w:tcBorders>
            <w:shd w:val="clear" w:color="auto" w:fill="C6EFCE"/>
            <w:noWrap/>
            <w:vAlign w:val="center"/>
          </w:tcPr>
          <w:p w14:paraId="6AB1C57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0F0F328" w14:textId="77777777" w:rsidR="00515398" w:rsidRDefault="006711E6">
            <w:pPr>
              <w:pStyle w:val="P68B1DB1-Normal8"/>
              <w:keepNext/>
              <w:spacing w:before="40" w:after="0" w:line="240" w:lineRule="auto"/>
              <w:jc w:val="both"/>
              <w:rPr>
                <w:rFonts w:eastAsia="Times New Roman" w:cs="Times New Roman"/>
                <w:noProof/>
                <w:szCs w:val="18"/>
              </w:rPr>
            </w:pPr>
            <w:r>
              <w:rPr>
                <w:noProof/>
              </w:rPr>
              <w:t>Modernizace záznamových systémů a justičních systémů IT</w:t>
            </w:r>
          </w:p>
        </w:tc>
      </w:tr>
      <w:tr w:rsidR="00515398" w14:paraId="4995DD1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9A4FC2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230</w:t>
            </w:r>
          </w:p>
        </w:tc>
        <w:tc>
          <w:tcPr>
            <w:tcW w:w="4320" w:type="dxa"/>
            <w:tcBorders>
              <w:top w:val="nil"/>
              <w:left w:val="nil"/>
              <w:bottom w:val="single" w:sz="4" w:space="0" w:color="auto"/>
              <w:right w:val="single" w:sz="4" w:space="0" w:color="auto"/>
            </w:tcBorders>
            <w:shd w:val="clear" w:color="auto" w:fill="C6EFCE"/>
            <w:noWrap/>
            <w:vAlign w:val="center"/>
          </w:tcPr>
          <w:p w14:paraId="796B28D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14–4.3. Zlepšit účinnosti systému spravedlnosti</w:t>
            </w:r>
            <w:r>
              <w:rPr>
                <w:noProof/>
              </w:rPr>
              <w:t xml:space="preserve"> – 16575 Zrychlení soudní správy</w:t>
            </w:r>
          </w:p>
        </w:tc>
        <w:tc>
          <w:tcPr>
            <w:tcW w:w="1680" w:type="dxa"/>
            <w:tcBorders>
              <w:top w:val="nil"/>
              <w:left w:val="nil"/>
              <w:bottom w:val="single" w:sz="4" w:space="0" w:color="auto"/>
              <w:right w:val="single" w:sz="4" w:space="0" w:color="auto"/>
            </w:tcBorders>
            <w:shd w:val="clear" w:color="auto" w:fill="C6EFCE"/>
            <w:noWrap/>
            <w:vAlign w:val="center"/>
          </w:tcPr>
          <w:p w14:paraId="1F0A4F1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69890BC8" w14:textId="77777777" w:rsidR="00515398" w:rsidRDefault="006711E6">
            <w:pPr>
              <w:pStyle w:val="P68B1DB1-Normal8"/>
              <w:keepNext/>
              <w:spacing w:before="40" w:after="0" w:line="240" w:lineRule="auto"/>
              <w:jc w:val="both"/>
              <w:rPr>
                <w:rFonts w:eastAsia="Times New Roman" w:cs="Times New Roman"/>
                <w:noProof/>
                <w:szCs w:val="18"/>
              </w:rPr>
            </w:pPr>
            <w:r>
              <w:rPr>
                <w:noProof/>
              </w:rPr>
              <w:t>Vstup v platnost – nástroj pro výkon soudních úředníků</w:t>
            </w:r>
          </w:p>
        </w:tc>
      </w:tr>
      <w:tr w:rsidR="00515398" w14:paraId="7C24AE3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55052C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231</w:t>
            </w:r>
          </w:p>
        </w:tc>
        <w:tc>
          <w:tcPr>
            <w:tcW w:w="4320" w:type="dxa"/>
            <w:tcBorders>
              <w:top w:val="nil"/>
              <w:left w:val="nil"/>
              <w:bottom w:val="single" w:sz="4" w:space="0" w:color="auto"/>
              <w:right w:val="single" w:sz="4" w:space="0" w:color="auto"/>
            </w:tcBorders>
            <w:shd w:val="clear" w:color="auto" w:fill="C6EFCE"/>
            <w:noWrap/>
            <w:vAlign w:val="center"/>
          </w:tcPr>
          <w:p w14:paraId="4583E9A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14–4.3. Zlepšení účinnosti soudního systému – 16292_Nové soudní budovy</w:t>
            </w:r>
          </w:p>
        </w:tc>
        <w:tc>
          <w:tcPr>
            <w:tcW w:w="1680" w:type="dxa"/>
            <w:tcBorders>
              <w:top w:val="nil"/>
              <w:left w:val="nil"/>
              <w:bottom w:val="single" w:sz="4" w:space="0" w:color="auto"/>
              <w:right w:val="single" w:sz="4" w:space="0" w:color="auto"/>
            </w:tcBorders>
            <w:shd w:val="clear" w:color="auto" w:fill="C6EFCE"/>
            <w:noWrap/>
            <w:vAlign w:val="center"/>
          </w:tcPr>
          <w:p w14:paraId="70A71A8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55B0D693"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Smlouvy </w:t>
            </w:r>
          </w:p>
        </w:tc>
      </w:tr>
      <w:tr w:rsidR="00515398" w14:paraId="40D5CF1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63CC55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257</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046B14D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Modernizace a zlepšení odolnosti klíčových </w:t>
            </w:r>
            <w:r>
              <w:rPr>
                <w:noProof/>
              </w:rPr>
              <w:t>hospodářských odvětví – 16631_Zlepšení bezpečnosti silničního provozu</w:t>
            </w:r>
          </w:p>
        </w:tc>
        <w:tc>
          <w:tcPr>
            <w:tcW w:w="1680" w:type="dxa"/>
            <w:tcBorders>
              <w:top w:val="nil"/>
              <w:left w:val="nil"/>
              <w:bottom w:val="single" w:sz="4" w:space="0" w:color="auto"/>
              <w:right w:val="single" w:sz="4" w:space="0" w:color="auto"/>
            </w:tcBorders>
            <w:shd w:val="clear" w:color="auto" w:fill="C6EFCE"/>
            <w:noWrap/>
            <w:vAlign w:val="center"/>
          </w:tcPr>
          <w:p w14:paraId="1B0B301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174157E6"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Zadání zakázky v oblasti bezpečnosti silničního provozu – první soubor zakázek</w:t>
            </w:r>
          </w:p>
        </w:tc>
      </w:tr>
      <w:tr w:rsidR="00515398" w14:paraId="3A77CA1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576C2E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260</w:t>
            </w:r>
          </w:p>
        </w:tc>
        <w:tc>
          <w:tcPr>
            <w:tcW w:w="4320" w:type="dxa"/>
            <w:tcBorders>
              <w:top w:val="nil"/>
              <w:left w:val="nil"/>
              <w:bottom w:val="single" w:sz="4" w:space="0" w:color="auto"/>
              <w:right w:val="single" w:sz="4" w:space="0" w:color="auto"/>
            </w:tcBorders>
            <w:shd w:val="clear" w:color="auto" w:fill="C6EFCE"/>
            <w:noWrap/>
            <w:vAlign w:val="center"/>
          </w:tcPr>
          <w:p w14:paraId="1820FDE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16630_Severní dálnic</w:t>
            </w:r>
            <w:r>
              <w:rPr>
                <w:noProof/>
              </w:rPr>
              <w:t>e Krétánu</w:t>
            </w:r>
          </w:p>
        </w:tc>
        <w:tc>
          <w:tcPr>
            <w:tcW w:w="1680" w:type="dxa"/>
            <w:tcBorders>
              <w:top w:val="nil"/>
              <w:left w:val="nil"/>
              <w:bottom w:val="single" w:sz="4" w:space="0" w:color="auto"/>
              <w:right w:val="single" w:sz="4" w:space="0" w:color="auto"/>
            </w:tcBorders>
            <w:shd w:val="clear" w:color="auto" w:fill="C6EFCE"/>
            <w:noWrap/>
            <w:vAlign w:val="center"/>
          </w:tcPr>
          <w:p w14:paraId="44BA424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388DFEE1" w14:textId="77777777" w:rsidR="00515398" w:rsidRDefault="006711E6">
            <w:pPr>
              <w:pStyle w:val="P68B1DB1-Normal8"/>
              <w:keepNext/>
              <w:spacing w:before="40" w:after="0" w:line="240" w:lineRule="auto"/>
              <w:jc w:val="both"/>
              <w:rPr>
                <w:rFonts w:eastAsia="Times New Roman" w:cs="Times New Roman"/>
                <w:noProof/>
                <w:szCs w:val="18"/>
              </w:rPr>
            </w:pPr>
            <w:r>
              <w:rPr>
                <w:noProof/>
              </w:rPr>
              <w:t>Oznámení o zadání zakázek na tři dílčí projekty BOAK</w:t>
            </w:r>
          </w:p>
        </w:tc>
      </w:tr>
      <w:tr w:rsidR="00515398" w14:paraId="33502D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090B1B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267</w:t>
            </w:r>
          </w:p>
        </w:tc>
        <w:tc>
          <w:tcPr>
            <w:tcW w:w="4320" w:type="dxa"/>
            <w:tcBorders>
              <w:top w:val="nil"/>
              <w:left w:val="nil"/>
              <w:bottom w:val="single" w:sz="4" w:space="0" w:color="auto"/>
              <w:right w:val="single" w:sz="4" w:space="0" w:color="auto"/>
            </w:tcBorders>
            <w:shd w:val="clear" w:color="auto" w:fill="C6EFCE"/>
            <w:noWrap/>
            <w:vAlign w:val="center"/>
          </w:tcPr>
          <w:p w14:paraId="69FE9FC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16833_Provádění oprav v oblasti dodržování předpisů agenturou EASA</w:t>
            </w:r>
          </w:p>
        </w:tc>
        <w:tc>
          <w:tcPr>
            <w:tcW w:w="1680" w:type="dxa"/>
            <w:tcBorders>
              <w:top w:val="nil"/>
              <w:left w:val="nil"/>
              <w:bottom w:val="single" w:sz="4" w:space="0" w:color="auto"/>
              <w:right w:val="single" w:sz="4" w:space="0" w:color="auto"/>
            </w:tcBorders>
            <w:shd w:val="clear" w:color="auto" w:fill="C6EFCE"/>
            <w:noWrap/>
            <w:vAlign w:val="center"/>
          </w:tcPr>
          <w:p w14:paraId="6843ACF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7506C1C" w14:textId="77777777" w:rsidR="00515398" w:rsidRDefault="006711E6">
            <w:pPr>
              <w:pStyle w:val="P68B1DB1-Normal8"/>
              <w:keepNext/>
              <w:spacing w:before="40" w:after="0" w:line="240" w:lineRule="auto"/>
              <w:jc w:val="both"/>
              <w:rPr>
                <w:rFonts w:eastAsia="Times New Roman" w:cs="Times New Roman"/>
                <w:noProof/>
                <w:szCs w:val="18"/>
              </w:rPr>
            </w:pPr>
            <w:r>
              <w:rPr>
                <w:noProof/>
              </w:rPr>
              <w:t>Oznámení o udělení ceny za práce</w:t>
            </w:r>
            <w:r>
              <w:rPr>
                <w:noProof/>
              </w:rPr>
              <w:t xml:space="preserve"> Agentury Evropské unie pro bezpečnost letectví (EASA) na regionálních letištích</w:t>
            </w:r>
          </w:p>
        </w:tc>
      </w:tr>
      <w:tr w:rsidR="00515398" w14:paraId="55319D6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5FC39E6"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5845F263"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0E70A4E6" w14:textId="77777777" w:rsidR="00515398" w:rsidRDefault="006711E6">
            <w:pPr>
              <w:pStyle w:val="P68B1DB1-Normal8"/>
              <w:keepNext/>
              <w:spacing w:before="40" w:after="0" w:line="259" w:lineRule="auto"/>
              <w:jc w:val="both"/>
              <w:rPr>
                <w:rFonts w:eastAsia="Times New Roman" w:cs="Times New Roman"/>
                <w:noProof/>
                <w:szCs w:val="18"/>
              </w:rPr>
            </w:pPr>
            <w:r>
              <w:rPr>
                <w:noProof/>
              </w:rPr>
              <w:t>Splátková částka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1272B25F" w14:textId="47FCF559" w:rsidR="00515398" w:rsidRDefault="006711E6">
            <w:pPr>
              <w:pStyle w:val="P68B1DB1-Normal8"/>
              <w:keepNext/>
              <w:spacing w:before="40" w:after="0" w:line="259" w:lineRule="auto"/>
              <w:jc w:val="both"/>
              <w:rPr>
                <w:rFonts w:eastAsia="Times New Roman" w:cs="Times New Roman"/>
                <w:noProof/>
                <w:szCs w:val="18"/>
              </w:rPr>
            </w:pPr>
            <w:r>
              <w:rPr>
                <w:noProof/>
              </w:rPr>
              <w:t>1 155 362 463 EUR</w:t>
            </w:r>
          </w:p>
        </w:tc>
      </w:tr>
    </w:tbl>
    <w:p w14:paraId="6B718AA1"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7DE0447C"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Pátá žádost o platbu (nevratná podpora):</w:t>
      </w:r>
    </w:p>
    <w:p w14:paraId="5255ED44" w14:textId="77777777" w:rsidR="00515398" w:rsidRDefault="00515398">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52" w:tblpY="1"/>
        <w:tblOverlap w:val="never"/>
        <w:tblW w:w="9595" w:type="dxa"/>
        <w:tblLayout w:type="fixed"/>
        <w:tblLook w:val="04A0" w:firstRow="1" w:lastRow="0" w:firstColumn="1" w:lastColumn="0" w:noHBand="0" w:noVBand="1"/>
      </w:tblPr>
      <w:tblGrid>
        <w:gridCol w:w="1795"/>
        <w:gridCol w:w="4320"/>
        <w:gridCol w:w="1680"/>
        <w:gridCol w:w="1800"/>
      </w:tblGrid>
      <w:tr w:rsidR="00515398" w14:paraId="2FC51C32"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B04EF2"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D1642B"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FC9FB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800" w:type="dxa"/>
            <w:vMerge w:val="restart"/>
            <w:tcBorders>
              <w:top w:val="single" w:sz="4" w:space="0" w:color="auto"/>
              <w:left w:val="nil"/>
              <w:bottom w:val="single" w:sz="4" w:space="0" w:color="auto"/>
              <w:right w:val="single" w:sz="4" w:space="0" w:color="auto"/>
            </w:tcBorders>
            <w:shd w:val="clear" w:color="auto" w:fill="BDD7EE"/>
            <w:vAlign w:val="center"/>
            <w:hideMark/>
          </w:tcPr>
          <w:p w14:paraId="7686E326"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62CF41AE"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37D7850E"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2182A39"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418B92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382FA75"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448A8FD2"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4178E9F" w14:textId="77777777" w:rsidR="00515398" w:rsidRDefault="006711E6">
            <w:pPr>
              <w:pStyle w:val="P68B1DB1-Normal8"/>
              <w:keepNext/>
              <w:spacing w:before="40" w:after="0" w:line="240" w:lineRule="auto"/>
              <w:jc w:val="both"/>
              <w:rPr>
                <w:rFonts w:eastAsia="Times New Roman" w:cs="Times New Roman"/>
                <w:noProof/>
                <w:szCs w:val="18"/>
              </w:rPr>
            </w:pPr>
            <w:r>
              <w:rPr>
                <w:noProof/>
              </w:rPr>
              <w:t>12</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56C73E8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w:t>
            </w:r>
            <w:r>
              <w:rPr>
                <w:noProof/>
              </w:rPr>
              <w:t xml:space="preserve"> Zvýšení výkonu – 16901_modernizace sítě HEDNO s cílem zvýšit odolnost a chránit životní prostředí</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34B5C56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3C63323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HEDNO – smlouvy 1</w:t>
            </w:r>
          </w:p>
        </w:tc>
      </w:tr>
      <w:tr w:rsidR="00515398" w14:paraId="50432E0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2BC4056" w14:textId="77777777" w:rsidR="00515398" w:rsidRDefault="006711E6">
            <w:pPr>
              <w:pStyle w:val="P68B1DB1-Normal8"/>
              <w:keepNext/>
              <w:spacing w:before="40" w:after="0" w:line="240" w:lineRule="auto"/>
              <w:jc w:val="both"/>
              <w:rPr>
                <w:rFonts w:eastAsia="Times New Roman" w:cs="Times New Roman"/>
                <w:noProof/>
                <w:szCs w:val="18"/>
              </w:rPr>
            </w:pPr>
            <w:r>
              <w:rPr>
                <w:noProof/>
              </w:rPr>
              <w:t>13</w:t>
            </w:r>
          </w:p>
        </w:tc>
        <w:tc>
          <w:tcPr>
            <w:tcW w:w="4320" w:type="dxa"/>
            <w:tcBorders>
              <w:top w:val="nil"/>
              <w:left w:val="nil"/>
              <w:bottom w:val="single" w:sz="4" w:space="0" w:color="auto"/>
              <w:right w:val="single" w:sz="4" w:space="0" w:color="auto"/>
            </w:tcBorders>
            <w:shd w:val="clear" w:color="auto" w:fill="C6EFCE"/>
            <w:noWrap/>
            <w:vAlign w:val="center"/>
          </w:tcPr>
          <w:p w14:paraId="5AFCDCF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Navýšení elektrické energie – 16900_HEDNO – modernizace nadzemní sítě v lesních oblastech</w:t>
            </w:r>
          </w:p>
        </w:tc>
        <w:tc>
          <w:tcPr>
            <w:tcW w:w="1680" w:type="dxa"/>
            <w:tcBorders>
              <w:top w:val="nil"/>
              <w:left w:val="nil"/>
              <w:bottom w:val="single" w:sz="4" w:space="0" w:color="auto"/>
              <w:right w:val="single" w:sz="4" w:space="0" w:color="auto"/>
            </w:tcBorders>
            <w:shd w:val="clear" w:color="auto" w:fill="C6EFCE"/>
            <w:noWrap/>
            <w:vAlign w:val="center"/>
          </w:tcPr>
          <w:p w14:paraId="31B4B7C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CFB504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HEDNO – smlouvy 2</w:t>
            </w:r>
          </w:p>
        </w:tc>
      </w:tr>
      <w:tr w:rsidR="00515398" w14:paraId="56F066B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C49769E" w14:textId="77777777" w:rsidR="00515398" w:rsidRDefault="006711E6">
            <w:pPr>
              <w:pStyle w:val="P68B1DB1-Normal8"/>
              <w:keepNext/>
              <w:spacing w:before="40" w:after="0" w:line="240" w:lineRule="auto"/>
              <w:jc w:val="both"/>
              <w:rPr>
                <w:rFonts w:eastAsia="Times New Roman" w:cs="Times New Roman"/>
                <w:noProof/>
                <w:szCs w:val="18"/>
              </w:rPr>
            </w:pPr>
            <w:r>
              <w:rPr>
                <w:noProof/>
              </w:rPr>
              <w:t>14</w:t>
            </w:r>
          </w:p>
        </w:tc>
        <w:tc>
          <w:tcPr>
            <w:tcW w:w="4320" w:type="dxa"/>
            <w:tcBorders>
              <w:top w:val="nil"/>
              <w:left w:val="nil"/>
              <w:bottom w:val="single" w:sz="4" w:space="0" w:color="auto"/>
              <w:right w:val="single" w:sz="4" w:space="0" w:color="auto"/>
            </w:tcBorders>
            <w:shd w:val="clear" w:color="auto" w:fill="C6EFCE"/>
            <w:noWrap/>
            <w:vAlign w:val="center"/>
          </w:tcPr>
          <w:p w14:paraId="69586E7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16899_Zvýšení kapacity v rozvodnách HV/MV v Řeckém provozovateli elektrické distribuční sítě (HEDNO) pro nové připojení k obnovitelným zdrojům energie</w:t>
            </w:r>
          </w:p>
        </w:tc>
        <w:tc>
          <w:tcPr>
            <w:tcW w:w="1680" w:type="dxa"/>
            <w:tcBorders>
              <w:top w:val="nil"/>
              <w:left w:val="nil"/>
              <w:bottom w:val="single" w:sz="4" w:space="0" w:color="auto"/>
              <w:right w:val="single" w:sz="4" w:space="0" w:color="auto"/>
            </w:tcBorders>
            <w:shd w:val="clear" w:color="auto" w:fill="C6EFCE"/>
            <w:noWrap/>
            <w:vAlign w:val="center"/>
          </w:tcPr>
          <w:p w14:paraId="009236E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451F35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HEDNO – smlouvy 3</w:t>
            </w:r>
          </w:p>
        </w:tc>
      </w:tr>
      <w:tr w:rsidR="00515398" w14:paraId="5FF43FA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FA2066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w:t>
            </w:r>
          </w:p>
        </w:tc>
        <w:tc>
          <w:tcPr>
            <w:tcW w:w="4320" w:type="dxa"/>
            <w:tcBorders>
              <w:top w:val="nil"/>
              <w:left w:val="nil"/>
              <w:bottom w:val="single" w:sz="4" w:space="0" w:color="auto"/>
              <w:right w:val="single" w:sz="4" w:space="0" w:color="auto"/>
            </w:tcBorders>
            <w:shd w:val="clear" w:color="auto" w:fill="C6EFCE"/>
            <w:noWrap/>
            <w:vAlign w:val="center"/>
          </w:tcPr>
          <w:p w14:paraId="65DBAE2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16872_Energetická renovace obytných</w:t>
            </w:r>
            <w:r>
              <w:rPr>
                <w:noProof/>
              </w:rPr>
              <w:t xml:space="preserve"> budov</w:t>
            </w:r>
          </w:p>
        </w:tc>
        <w:tc>
          <w:tcPr>
            <w:tcW w:w="1680" w:type="dxa"/>
            <w:tcBorders>
              <w:top w:val="nil"/>
              <w:left w:val="nil"/>
              <w:bottom w:val="single" w:sz="4" w:space="0" w:color="auto"/>
              <w:right w:val="single" w:sz="4" w:space="0" w:color="auto"/>
            </w:tcBorders>
            <w:shd w:val="clear" w:color="auto" w:fill="C6EFCE"/>
            <w:noWrap/>
            <w:vAlign w:val="center"/>
          </w:tcPr>
          <w:p w14:paraId="37B4CBC3"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2DF9B728" w14:textId="77777777" w:rsidR="00515398" w:rsidRDefault="006711E6">
            <w:pPr>
              <w:pStyle w:val="P68B1DB1-Normal8"/>
              <w:keepNext/>
              <w:spacing w:before="40" w:after="0" w:line="240" w:lineRule="auto"/>
              <w:jc w:val="both"/>
              <w:rPr>
                <w:rFonts w:eastAsia="Times New Roman" w:cs="Times New Roman"/>
                <w:noProof/>
                <w:szCs w:val="18"/>
              </w:rPr>
            </w:pPr>
            <w:r>
              <w:rPr>
                <w:noProof/>
              </w:rPr>
              <w:t>Renovace obytných budov – renovace rezidenčních nemovitostí #1</w:t>
            </w:r>
          </w:p>
        </w:tc>
      </w:tr>
      <w:tr w:rsidR="00515398" w14:paraId="084A2B9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83B373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28</w:t>
            </w:r>
          </w:p>
        </w:tc>
        <w:tc>
          <w:tcPr>
            <w:tcW w:w="4320" w:type="dxa"/>
            <w:tcBorders>
              <w:top w:val="nil"/>
              <w:left w:val="nil"/>
              <w:bottom w:val="single" w:sz="4" w:space="0" w:color="auto"/>
              <w:right w:val="single" w:sz="4" w:space="0" w:color="auto"/>
            </w:tcBorders>
            <w:shd w:val="clear" w:color="auto" w:fill="C6EFCE"/>
            <w:noWrap/>
            <w:vAlign w:val="center"/>
          </w:tcPr>
          <w:p w14:paraId="52C15C3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16879_Příprava městských plánů při provádění reformy městské politiky</w:t>
            </w:r>
          </w:p>
        </w:tc>
        <w:tc>
          <w:tcPr>
            <w:tcW w:w="1680" w:type="dxa"/>
            <w:tcBorders>
              <w:top w:val="nil"/>
              <w:left w:val="nil"/>
              <w:bottom w:val="single" w:sz="4" w:space="0" w:color="auto"/>
              <w:right w:val="single" w:sz="4" w:space="0" w:color="auto"/>
            </w:tcBorders>
            <w:shd w:val="clear" w:color="auto" w:fill="C6EFCE"/>
            <w:noWrap/>
            <w:vAlign w:val="center"/>
          </w:tcPr>
          <w:p w14:paraId="5EFBAF2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87A5635" w14:textId="77777777" w:rsidR="00515398" w:rsidRDefault="006711E6">
            <w:pPr>
              <w:pStyle w:val="P68B1DB1-Normal8"/>
              <w:keepNext/>
              <w:spacing w:before="40" w:after="0" w:line="240" w:lineRule="auto"/>
              <w:jc w:val="both"/>
              <w:rPr>
                <w:rFonts w:eastAsia="Times New Roman" w:cs="Times New Roman"/>
                <w:noProof/>
                <w:szCs w:val="18"/>
              </w:rPr>
            </w:pPr>
            <w:r>
              <w:rPr>
                <w:noProof/>
              </w:rPr>
              <w:t>Ocenění Městské plány</w:t>
            </w:r>
          </w:p>
        </w:tc>
      </w:tr>
      <w:tr w:rsidR="00515398" w14:paraId="4D45108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075F3FA" w14:textId="77777777" w:rsidR="00515398" w:rsidRDefault="006711E6">
            <w:pPr>
              <w:pStyle w:val="P68B1DB1-Normal8"/>
              <w:keepNext/>
              <w:spacing w:before="40" w:after="0" w:line="240" w:lineRule="auto"/>
              <w:jc w:val="both"/>
              <w:rPr>
                <w:noProof/>
              </w:rPr>
            </w:pPr>
            <w:r>
              <w:rPr>
                <w:noProof/>
              </w:rPr>
              <w:t>33</w:t>
            </w:r>
          </w:p>
        </w:tc>
        <w:tc>
          <w:tcPr>
            <w:tcW w:w="4320" w:type="dxa"/>
            <w:tcBorders>
              <w:top w:val="nil"/>
              <w:left w:val="nil"/>
              <w:bottom w:val="single" w:sz="4" w:space="0" w:color="auto"/>
              <w:right w:val="single" w:sz="4" w:space="0" w:color="auto"/>
            </w:tcBorders>
            <w:shd w:val="clear" w:color="auto" w:fill="C6EFCE"/>
            <w:noWrap/>
            <w:vAlign w:val="center"/>
          </w:tcPr>
          <w:p w14:paraId="681D8E4B" w14:textId="77777777" w:rsidR="00515398" w:rsidRDefault="006711E6">
            <w:pPr>
              <w:pStyle w:val="P68B1DB1-Normal8"/>
              <w:keepNext/>
              <w:spacing w:before="40" w:after="0" w:line="240" w:lineRule="auto"/>
              <w:jc w:val="both"/>
              <w:rPr>
                <w:noProof/>
              </w:rPr>
            </w:pPr>
            <w:r>
              <w:rPr>
                <w:noProof/>
              </w:rPr>
              <w:t>2–1.2. Renovace – 16874_Energetika a podnikání</w:t>
            </w:r>
          </w:p>
        </w:tc>
        <w:tc>
          <w:tcPr>
            <w:tcW w:w="1680" w:type="dxa"/>
            <w:tcBorders>
              <w:top w:val="nil"/>
              <w:left w:val="nil"/>
              <w:bottom w:val="single" w:sz="4" w:space="0" w:color="auto"/>
              <w:right w:val="single" w:sz="4" w:space="0" w:color="auto"/>
            </w:tcBorders>
            <w:shd w:val="clear" w:color="auto" w:fill="C6EFCE"/>
            <w:noWrap/>
            <w:vAlign w:val="center"/>
          </w:tcPr>
          <w:p w14:paraId="50E8B03B" w14:textId="77777777"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9BDB13C" w14:textId="77777777" w:rsidR="00515398" w:rsidRDefault="006711E6">
            <w:pPr>
              <w:pStyle w:val="P68B1DB1-Normal8"/>
              <w:keepNext/>
              <w:spacing w:before="40" w:after="0" w:line="240" w:lineRule="auto"/>
              <w:jc w:val="both"/>
              <w:rPr>
                <w:noProof/>
              </w:rPr>
            </w:pPr>
            <w:r>
              <w:rPr>
                <w:noProof/>
              </w:rPr>
              <w:t>Energetická účinnost soukromého sektoru – schválené žádosti</w:t>
            </w:r>
          </w:p>
        </w:tc>
      </w:tr>
      <w:tr w:rsidR="00515398" w14:paraId="1A48F2E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D98F58B" w14:textId="77777777" w:rsidR="00515398" w:rsidRDefault="006711E6">
            <w:pPr>
              <w:pStyle w:val="P68B1DB1-Normal8"/>
              <w:keepNext/>
              <w:spacing w:before="40" w:after="0" w:line="240" w:lineRule="auto"/>
              <w:jc w:val="both"/>
              <w:rPr>
                <w:noProof/>
              </w:rPr>
            </w:pPr>
            <w:r>
              <w:rPr>
                <w:noProof/>
              </w:rPr>
              <w:t>38</w:t>
            </w:r>
          </w:p>
        </w:tc>
        <w:tc>
          <w:tcPr>
            <w:tcW w:w="4320" w:type="dxa"/>
            <w:tcBorders>
              <w:top w:val="nil"/>
              <w:left w:val="nil"/>
              <w:bottom w:val="single" w:sz="4" w:space="0" w:color="auto"/>
              <w:right w:val="single" w:sz="4" w:space="0" w:color="auto"/>
            </w:tcBorders>
            <w:shd w:val="clear" w:color="auto" w:fill="C6EFCE"/>
            <w:noWrap/>
            <w:vAlign w:val="center"/>
          </w:tcPr>
          <w:p w14:paraId="2010CD29" w14:textId="77777777" w:rsidR="00515398" w:rsidRDefault="006711E6">
            <w:pPr>
              <w:pStyle w:val="P68B1DB1-Normal8"/>
              <w:keepNext/>
              <w:spacing w:before="40" w:after="0" w:line="240" w:lineRule="auto"/>
              <w:jc w:val="both"/>
              <w:rPr>
                <w:noProof/>
              </w:rPr>
            </w:pPr>
            <w:r>
              <w:rPr>
                <w:noProof/>
              </w:rPr>
              <w:t>2–1.2. Renovace – 16873_ Intervence v obytných oblastech a ve fondu budov</w:t>
            </w:r>
          </w:p>
        </w:tc>
        <w:tc>
          <w:tcPr>
            <w:tcW w:w="1680" w:type="dxa"/>
            <w:tcBorders>
              <w:top w:val="nil"/>
              <w:left w:val="nil"/>
              <w:bottom w:val="single" w:sz="4" w:space="0" w:color="auto"/>
              <w:right w:val="single" w:sz="4" w:space="0" w:color="auto"/>
            </w:tcBorders>
            <w:shd w:val="clear" w:color="auto" w:fill="C6EFCE"/>
            <w:noWrap/>
            <w:vAlign w:val="center"/>
          </w:tcPr>
          <w:p w14:paraId="3F9B5485" w14:textId="77777777"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50635C0" w14:textId="77777777" w:rsidR="00515398" w:rsidRDefault="006711E6">
            <w:pPr>
              <w:pStyle w:val="P68B1DB1-Normal8"/>
              <w:keepNext/>
              <w:spacing w:before="40" w:after="0" w:line="240" w:lineRule="auto"/>
              <w:jc w:val="both"/>
              <w:rPr>
                <w:noProof/>
              </w:rPr>
            </w:pPr>
            <w:r>
              <w:rPr>
                <w:noProof/>
              </w:rPr>
              <w:t>Městské intervence – zadávání zakázek</w:t>
            </w:r>
          </w:p>
        </w:tc>
      </w:tr>
      <w:tr w:rsidR="00515398" w14:paraId="2522F3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B9A32F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50</w:t>
            </w:r>
          </w:p>
        </w:tc>
        <w:tc>
          <w:tcPr>
            <w:tcW w:w="4320" w:type="dxa"/>
            <w:tcBorders>
              <w:top w:val="nil"/>
              <w:left w:val="nil"/>
              <w:bottom w:val="single" w:sz="4" w:space="0" w:color="auto"/>
              <w:right w:val="single" w:sz="4" w:space="0" w:color="auto"/>
            </w:tcBorders>
            <w:shd w:val="clear" w:color="auto" w:fill="C6EFCE"/>
            <w:noWrap/>
            <w:vAlign w:val="center"/>
          </w:tcPr>
          <w:p w14:paraId="65A24BC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 Dobíjení a doplňování paliva – 16831_Produc- E Green</w:t>
            </w:r>
          </w:p>
        </w:tc>
        <w:tc>
          <w:tcPr>
            <w:tcW w:w="1680" w:type="dxa"/>
            <w:tcBorders>
              <w:top w:val="nil"/>
              <w:left w:val="nil"/>
              <w:bottom w:val="single" w:sz="4" w:space="0" w:color="auto"/>
              <w:right w:val="single" w:sz="4" w:space="0" w:color="auto"/>
            </w:tcBorders>
            <w:shd w:val="clear" w:color="auto" w:fill="C6EFCE"/>
            <w:noWrap/>
            <w:vAlign w:val="center"/>
          </w:tcPr>
          <w:p w14:paraId="1E41081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3FE090E2" w14:textId="77777777" w:rsidR="00515398" w:rsidRDefault="006711E6">
            <w:pPr>
              <w:pStyle w:val="P68B1DB1-Normal8"/>
              <w:keepNext/>
              <w:spacing w:before="40" w:after="0" w:line="240" w:lineRule="auto"/>
              <w:jc w:val="both"/>
              <w:rPr>
                <w:rFonts w:eastAsia="Times New Roman" w:cs="Times New Roman"/>
                <w:noProof/>
                <w:szCs w:val="18"/>
              </w:rPr>
            </w:pPr>
            <w:r>
              <w:rPr>
                <w:noProof/>
              </w:rPr>
              <w:t>Průmyslové jednotky – vybrané společnosti</w:t>
            </w:r>
          </w:p>
        </w:tc>
      </w:tr>
      <w:tr w:rsidR="00515398" w14:paraId="445F403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8F21CE2" w14:textId="77777777" w:rsidR="00515398" w:rsidRDefault="006711E6">
            <w:pPr>
              <w:pStyle w:val="P68B1DB1-Normal8"/>
              <w:keepNext/>
              <w:spacing w:before="40" w:after="0" w:line="240" w:lineRule="auto"/>
              <w:jc w:val="both"/>
              <w:rPr>
                <w:rFonts w:cs="Times New Roman"/>
                <w:noProof/>
                <w:szCs w:val="18"/>
              </w:rPr>
            </w:pPr>
            <w:r>
              <w:rPr>
                <w:noProof/>
              </w:rPr>
              <w:t>59</w:t>
            </w:r>
          </w:p>
        </w:tc>
        <w:tc>
          <w:tcPr>
            <w:tcW w:w="4320" w:type="dxa"/>
            <w:tcBorders>
              <w:top w:val="nil"/>
              <w:left w:val="nil"/>
              <w:bottom w:val="single" w:sz="4" w:space="0" w:color="auto"/>
              <w:right w:val="single" w:sz="4" w:space="0" w:color="auto"/>
            </w:tcBorders>
            <w:shd w:val="clear" w:color="auto" w:fill="C6EFCE"/>
            <w:noWrap/>
            <w:vAlign w:val="center"/>
          </w:tcPr>
          <w:p w14:paraId="0B4ADB67" w14:textId="77777777" w:rsidR="00515398" w:rsidRDefault="006711E6">
            <w:pPr>
              <w:pStyle w:val="P68B1DB1-Normal8"/>
              <w:keepNext/>
              <w:spacing w:before="40" w:after="0" w:line="240" w:lineRule="auto"/>
              <w:jc w:val="both"/>
              <w:rPr>
                <w:rFonts w:cs="Times New Roman"/>
                <w:noProof/>
                <w:szCs w:val="18"/>
              </w:rPr>
            </w:pPr>
            <w:r>
              <w:rPr>
                <w:noProof/>
              </w:rPr>
              <w:t>4–1.4. Udržitelné využívání zdrojů, odolnost vůči změně klimatu a ochrana životního prostředí – 16772_Právní předpisy o nakládání s odpady pro provádění udržitelného skládkování a recyklace</w:t>
            </w:r>
          </w:p>
        </w:tc>
        <w:tc>
          <w:tcPr>
            <w:tcW w:w="1680" w:type="dxa"/>
            <w:tcBorders>
              <w:top w:val="nil"/>
              <w:left w:val="nil"/>
              <w:bottom w:val="single" w:sz="4" w:space="0" w:color="auto"/>
              <w:right w:val="single" w:sz="4" w:space="0" w:color="auto"/>
            </w:tcBorders>
            <w:shd w:val="clear" w:color="auto" w:fill="C6EFCE"/>
            <w:noWrap/>
            <w:vAlign w:val="center"/>
          </w:tcPr>
          <w:p w14:paraId="51CFB4F7"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285E4A90" w14:textId="77777777" w:rsidR="00515398" w:rsidRDefault="006711E6">
            <w:pPr>
              <w:pStyle w:val="P68B1DB1-Normal8"/>
              <w:keepNext/>
              <w:spacing w:before="40" w:after="0" w:line="240" w:lineRule="auto"/>
              <w:jc w:val="both"/>
              <w:rPr>
                <w:rFonts w:cs="Times New Roman"/>
                <w:noProof/>
                <w:szCs w:val="18"/>
              </w:rPr>
            </w:pPr>
            <w:r>
              <w:rPr>
                <w:noProof/>
              </w:rPr>
              <w:t>Zřízení a fun</w:t>
            </w:r>
            <w:r>
              <w:rPr>
                <w:noProof/>
              </w:rPr>
              <w:t>gování regulačního orgánu pro nakládání s odpady</w:t>
            </w:r>
          </w:p>
        </w:tc>
      </w:tr>
      <w:tr w:rsidR="00515398" w14:paraId="4CE2220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52E756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60</w:t>
            </w:r>
          </w:p>
        </w:tc>
        <w:tc>
          <w:tcPr>
            <w:tcW w:w="4320" w:type="dxa"/>
            <w:tcBorders>
              <w:top w:val="nil"/>
              <w:left w:val="nil"/>
              <w:bottom w:val="single" w:sz="4" w:space="0" w:color="auto"/>
              <w:right w:val="single" w:sz="4" w:space="0" w:color="auto"/>
            </w:tcBorders>
            <w:shd w:val="clear" w:color="auto" w:fill="C6EFCE"/>
            <w:noWrap/>
            <w:vAlign w:val="center"/>
          </w:tcPr>
          <w:p w14:paraId="325A2BC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16979_Zřízení nového regulačního orgánu pro vodu a odpadní vody</w:t>
            </w:r>
          </w:p>
        </w:tc>
        <w:tc>
          <w:tcPr>
            <w:tcW w:w="1680" w:type="dxa"/>
            <w:tcBorders>
              <w:top w:val="nil"/>
              <w:left w:val="nil"/>
              <w:bottom w:val="single" w:sz="4" w:space="0" w:color="auto"/>
              <w:right w:val="single" w:sz="4" w:space="0" w:color="auto"/>
            </w:tcBorders>
            <w:shd w:val="clear" w:color="auto" w:fill="C6EFCE"/>
            <w:noWrap/>
            <w:vAlign w:val="center"/>
          </w:tcPr>
          <w:p w14:paraId="484E892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7F13DF2"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Zřízení a fungování </w:t>
            </w:r>
            <w:r>
              <w:rPr>
                <w:noProof/>
              </w:rPr>
              <w:t>vodohospodářského regulačního orgánu</w:t>
            </w:r>
          </w:p>
        </w:tc>
      </w:tr>
      <w:tr w:rsidR="00515398" w14:paraId="3B3F218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A40AB28" w14:textId="77777777" w:rsidR="00515398" w:rsidRDefault="006711E6">
            <w:pPr>
              <w:pStyle w:val="P68B1DB1-Normal8"/>
              <w:keepNext/>
              <w:spacing w:before="40" w:after="0" w:line="240" w:lineRule="auto"/>
              <w:jc w:val="both"/>
              <w:rPr>
                <w:rFonts w:cs="Times New Roman"/>
                <w:noProof/>
                <w:szCs w:val="18"/>
              </w:rPr>
            </w:pPr>
            <w:r>
              <w:rPr>
                <w:noProof/>
              </w:rPr>
              <w:t>62</w:t>
            </w:r>
          </w:p>
        </w:tc>
        <w:tc>
          <w:tcPr>
            <w:tcW w:w="4320" w:type="dxa"/>
            <w:tcBorders>
              <w:top w:val="nil"/>
              <w:left w:val="nil"/>
              <w:bottom w:val="single" w:sz="4" w:space="0" w:color="auto"/>
              <w:right w:val="single" w:sz="4" w:space="0" w:color="auto"/>
            </w:tcBorders>
            <w:shd w:val="clear" w:color="auto" w:fill="C6EFCE"/>
            <w:noWrap/>
            <w:vAlign w:val="center"/>
          </w:tcPr>
          <w:p w14:paraId="3DF2E8FC" w14:textId="77777777" w:rsidR="00515398" w:rsidRDefault="006711E6">
            <w:pPr>
              <w:pStyle w:val="P68B1DB1-Normal8"/>
              <w:keepNext/>
              <w:spacing w:before="40" w:after="0" w:line="240" w:lineRule="auto"/>
              <w:jc w:val="both"/>
              <w:rPr>
                <w:rFonts w:cs="Times New Roman"/>
                <w:noProof/>
                <w:szCs w:val="18"/>
              </w:rPr>
            </w:pPr>
            <w:r>
              <w:rPr>
                <w:noProof/>
              </w:rPr>
              <w:t>4–1.4. Udržitelné využívání zdrojů, odolnost vůči změně klimatu a ochrana životního prostředí – 16849_Národní plán opětovného zalesňování, obnova a prevence („antiNERO“), opatření proti erozi a protipovodňová opatře</w:t>
            </w:r>
            <w:r>
              <w:rPr>
                <w:noProof/>
              </w:rPr>
              <w:t>ní</w:t>
            </w:r>
          </w:p>
        </w:tc>
        <w:tc>
          <w:tcPr>
            <w:tcW w:w="1680" w:type="dxa"/>
            <w:tcBorders>
              <w:top w:val="nil"/>
              <w:left w:val="nil"/>
              <w:bottom w:val="single" w:sz="4" w:space="0" w:color="auto"/>
              <w:right w:val="single" w:sz="4" w:space="0" w:color="auto"/>
            </w:tcBorders>
            <w:shd w:val="clear" w:color="auto" w:fill="C6EFCE"/>
            <w:noWrap/>
            <w:vAlign w:val="center"/>
          </w:tcPr>
          <w:p w14:paraId="2AE0E204"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104B7E76" w14:textId="77777777" w:rsidR="00515398" w:rsidRDefault="006711E6">
            <w:pPr>
              <w:pStyle w:val="P68B1DB1-Normal8"/>
              <w:keepNext/>
              <w:spacing w:before="40" w:after="0" w:line="240" w:lineRule="auto"/>
              <w:jc w:val="both"/>
              <w:rPr>
                <w:rFonts w:cs="Times New Roman"/>
                <w:noProof/>
                <w:szCs w:val="18"/>
              </w:rPr>
            </w:pPr>
            <w:r>
              <w:rPr>
                <w:noProof/>
              </w:rPr>
              <w:t>Opětovné zalesňování, obnova a prevence – zakázky 2</w:t>
            </w:r>
          </w:p>
        </w:tc>
      </w:tr>
      <w:tr w:rsidR="00515398" w14:paraId="7C77F9C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FF5F56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68</w:t>
            </w:r>
          </w:p>
        </w:tc>
        <w:tc>
          <w:tcPr>
            <w:tcW w:w="4320" w:type="dxa"/>
            <w:tcBorders>
              <w:top w:val="nil"/>
              <w:left w:val="nil"/>
              <w:bottom w:val="single" w:sz="4" w:space="0" w:color="auto"/>
              <w:right w:val="single" w:sz="4" w:space="0" w:color="auto"/>
            </w:tcBorders>
            <w:shd w:val="clear" w:color="auto" w:fill="C6EFCE"/>
            <w:noWrap/>
            <w:vAlign w:val="center"/>
          </w:tcPr>
          <w:p w14:paraId="19D48DE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16846_ Infrastruktury pro nakládání s městskými odpadními vodami a kaly z čištění odpadních vo</w:t>
            </w:r>
            <w:r>
              <w:rPr>
                <w:noProof/>
              </w:rPr>
              <w:t>d</w:t>
            </w:r>
          </w:p>
        </w:tc>
        <w:tc>
          <w:tcPr>
            <w:tcW w:w="1680" w:type="dxa"/>
            <w:tcBorders>
              <w:top w:val="nil"/>
              <w:left w:val="nil"/>
              <w:bottom w:val="single" w:sz="4" w:space="0" w:color="auto"/>
              <w:right w:val="single" w:sz="4" w:space="0" w:color="auto"/>
            </w:tcBorders>
            <w:shd w:val="clear" w:color="auto" w:fill="C6EFCE"/>
            <w:noWrap/>
            <w:vAlign w:val="center"/>
          </w:tcPr>
          <w:p w14:paraId="0A55430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3F8D7B5" w14:textId="77777777" w:rsidR="00515398" w:rsidRDefault="006711E6">
            <w:pPr>
              <w:pStyle w:val="P68B1DB1-Normal8"/>
              <w:keepNext/>
              <w:spacing w:before="40" w:after="0" w:line="240" w:lineRule="auto"/>
              <w:jc w:val="both"/>
              <w:rPr>
                <w:rFonts w:eastAsia="Times New Roman" w:cs="Times New Roman"/>
                <w:noProof/>
                <w:szCs w:val="18"/>
              </w:rPr>
            </w:pPr>
            <w:r>
              <w:rPr>
                <w:noProof/>
              </w:rPr>
              <w:t>Oznámení o zadání zakázky na projekty v oblasti odpadních vod</w:t>
            </w:r>
          </w:p>
        </w:tc>
      </w:tr>
      <w:tr w:rsidR="00515398" w14:paraId="1FF5153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1B5CB3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79</w:t>
            </w:r>
          </w:p>
        </w:tc>
        <w:tc>
          <w:tcPr>
            <w:tcW w:w="4320" w:type="dxa"/>
            <w:tcBorders>
              <w:top w:val="nil"/>
              <w:left w:val="nil"/>
              <w:bottom w:val="single" w:sz="4" w:space="0" w:color="auto"/>
              <w:right w:val="single" w:sz="4" w:space="0" w:color="auto"/>
            </w:tcBorders>
            <w:shd w:val="clear" w:color="auto" w:fill="C6EFCE"/>
            <w:noWrap/>
            <w:vAlign w:val="center"/>
          </w:tcPr>
          <w:p w14:paraId="5640DB5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16911_Aerialní prostředky pro řešení krizí</w:t>
            </w:r>
          </w:p>
        </w:tc>
        <w:tc>
          <w:tcPr>
            <w:tcW w:w="1680" w:type="dxa"/>
            <w:tcBorders>
              <w:top w:val="nil"/>
              <w:left w:val="nil"/>
              <w:bottom w:val="single" w:sz="4" w:space="0" w:color="auto"/>
              <w:right w:val="single" w:sz="4" w:space="0" w:color="auto"/>
            </w:tcBorders>
            <w:shd w:val="clear" w:color="auto" w:fill="C6EFCE"/>
            <w:noWrap/>
            <w:vAlign w:val="center"/>
          </w:tcPr>
          <w:p w14:paraId="112C39F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68B918B0"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Nákup dvou středně velkých </w:t>
            </w:r>
            <w:r>
              <w:rPr>
                <w:noProof/>
              </w:rPr>
              <w:t>hasičských vrtulníků</w:t>
            </w:r>
          </w:p>
        </w:tc>
      </w:tr>
      <w:tr w:rsidR="00515398" w14:paraId="75E18CF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83BD3CC" w14:textId="77777777" w:rsidR="00515398" w:rsidRDefault="006711E6">
            <w:pPr>
              <w:pStyle w:val="P68B1DB1-Normal8"/>
              <w:keepNext/>
              <w:spacing w:before="40" w:after="0" w:line="240" w:lineRule="auto"/>
              <w:jc w:val="both"/>
              <w:rPr>
                <w:noProof/>
              </w:rPr>
            </w:pPr>
            <w:r>
              <w:rPr>
                <w:noProof/>
              </w:rPr>
              <w:t>334</w:t>
            </w:r>
          </w:p>
        </w:tc>
        <w:tc>
          <w:tcPr>
            <w:tcW w:w="4320" w:type="dxa"/>
            <w:tcBorders>
              <w:top w:val="nil"/>
              <w:left w:val="nil"/>
              <w:bottom w:val="single" w:sz="4" w:space="0" w:color="auto"/>
              <w:right w:val="single" w:sz="4" w:space="0" w:color="auto"/>
            </w:tcBorders>
            <w:shd w:val="clear" w:color="auto" w:fill="C6EFCE"/>
            <w:noWrap/>
          </w:tcPr>
          <w:p w14:paraId="4A38F367" w14:textId="77777777" w:rsidR="00515398" w:rsidRDefault="006711E6">
            <w:pPr>
              <w:pStyle w:val="P68B1DB1-Normal8"/>
              <w:keepNext/>
              <w:spacing w:before="40" w:after="0" w:line="240" w:lineRule="auto"/>
              <w:jc w:val="both"/>
              <w:rPr>
                <w:noProof/>
              </w:rPr>
            </w:pPr>
            <w:r>
              <w:rPr>
                <w:noProof/>
              </w:rPr>
              <w:t>16857_Připojení na gigabitová širokopásmová připojení – Přechod na gigabitové širokopásmové připojení a posílení poptávky po gigabitovém širokopásmovém připojení</w:t>
            </w:r>
          </w:p>
        </w:tc>
        <w:tc>
          <w:tcPr>
            <w:tcW w:w="1680" w:type="dxa"/>
            <w:tcBorders>
              <w:top w:val="nil"/>
              <w:left w:val="nil"/>
              <w:bottom w:val="single" w:sz="4" w:space="0" w:color="auto"/>
              <w:right w:val="single" w:sz="4" w:space="0" w:color="auto"/>
            </w:tcBorders>
            <w:shd w:val="clear" w:color="auto" w:fill="C6EFCE"/>
            <w:noWrap/>
          </w:tcPr>
          <w:p w14:paraId="05DE9C66" w14:textId="77777777"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tcPr>
          <w:p w14:paraId="4822B0B3" w14:textId="77777777" w:rsidR="00515398" w:rsidRDefault="006711E6">
            <w:pPr>
              <w:pStyle w:val="P68B1DB1-Normal8"/>
              <w:keepNext/>
              <w:spacing w:before="40" w:after="0" w:line="240" w:lineRule="auto"/>
              <w:jc w:val="both"/>
              <w:rPr>
                <w:noProof/>
              </w:rPr>
            </w:pPr>
            <w:r>
              <w:rPr>
                <w:noProof/>
              </w:rPr>
              <w:t>Vstup v platnost reformy přechodu na gigabitové širokopásmové</w:t>
            </w:r>
            <w:r>
              <w:rPr>
                <w:noProof/>
              </w:rPr>
              <w:t xml:space="preserve"> připojení</w:t>
            </w:r>
          </w:p>
        </w:tc>
      </w:tr>
      <w:tr w:rsidR="00515398" w14:paraId="3D3A85C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8EA5DB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97</w:t>
            </w:r>
          </w:p>
        </w:tc>
        <w:tc>
          <w:tcPr>
            <w:tcW w:w="4320" w:type="dxa"/>
            <w:tcBorders>
              <w:top w:val="nil"/>
              <w:left w:val="nil"/>
              <w:bottom w:val="single" w:sz="4" w:space="0" w:color="auto"/>
              <w:right w:val="single" w:sz="4" w:space="0" w:color="auto"/>
            </w:tcBorders>
            <w:shd w:val="clear" w:color="auto" w:fill="C6EFCE"/>
            <w:noWrap/>
            <w:vAlign w:val="center"/>
          </w:tcPr>
          <w:p w14:paraId="021AEC8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16929_Směrem ke službám veřejné správy zaměřeným na zákazníky prostřednictvím zjednodušení a zlepšení procesů, zlepšení systémů a souladu s evropskými strategiemi a politikami</w:t>
            </w:r>
          </w:p>
        </w:tc>
        <w:tc>
          <w:tcPr>
            <w:tcW w:w="1680" w:type="dxa"/>
            <w:tcBorders>
              <w:top w:val="nil"/>
              <w:left w:val="nil"/>
              <w:bottom w:val="single" w:sz="4" w:space="0" w:color="auto"/>
              <w:right w:val="single" w:sz="4" w:space="0" w:color="auto"/>
            </w:tcBorders>
            <w:shd w:val="clear" w:color="auto" w:fill="C6EFCE"/>
            <w:noWrap/>
            <w:vAlign w:val="center"/>
          </w:tcPr>
          <w:p w14:paraId="5DF010B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5DBD2B7F"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Provádění národního plánu pro </w:t>
            </w:r>
            <w:r>
              <w:rPr>
                <w:noProof/>
              </w:rPr>
              <w:t>zjednodušení postupů (druhá fáze)</w:t>
            </w:r>
          </w:p>
        </w:tc>
      </w:tr>
      <w:tr w:rsidR="00515398" w14:paraId="40B9AE7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92AC038" w14:textId="77777777" w:rsidR="00515398" w:rsidRDefault="006711E6">
            <w:pPr>
              <w:pStyle w:val="P68B1DB1-Normal49"/>
              <w:keepNext/>
              <w:spacing w:before="40" w:after="0" w:line="240" w:lineRule="auto"/>
              <w:jc w:val="both"/>
              <w:rPr>
                <w:rFonts w:eastAsia="Times New Roman" w:cs="Times New Roman"/>
                <w:bCs/>
                <w:noProof/>
              </w:rPr>
            </w:pPr>
            <w:r>
              <w:rPr>
                <w:noProof/>
              </w:rPr>
              <w:t>147</w:t>
            </w:r>
          </w:p>
        </w:tc>
        <w:tc>
          <w:tcPr>
            <w:tcW w:w="4320" w:type="dxa"/>
            <w:tcBorders>
              <w:top w:val="nil"/>
              <w:left w:val="nil"/>
              <w:bottom w:val="single" w:sz="4" w:space="0" w:color="auto"/>
              <w:right w:val="single" w:sz="4" w:space="0" w:color="auto"/>
            </w:tcBorders>
            <w:shd w:val="clear" w:color="auto" w:fill="C6EFCE"/>
            <w:noWrap/>
            <w:vAlign w:val="center"/>
          </w:tcPr>
          <w:p w14:paraId="481CDC2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9–3.2. Vzdělávání, odborné vzdělávání a příprava a dovednosti – 16289_Strategie excelence na univerzitách a inovacích</w:t>
            </w:r>
          </w:p>
        </w:tc>
        <w:tc>
          <w:tcPr>
            <w:tcW w:w="1680" w:type="dxa"/>
            <w:tcBorders>
              <w:top w:val="nil"/>
              <w:left w:val="nil"/>
              <w:bottom w:val="single" w:sz="4" w:space="0" w:color="auto"/>
              <w:right w:val="single" w:sz="4" w:space="0" w:color="auto"/>
            </w:tcBorders>
            <w:shd w:val="clear" w:color="auto" w:fill="C6EFCE"/>
            <w:noWrap/>
            <w:vAlign w:val="center"/>
          </w:tcPr>
          <w:p w14:paraId="16371D76"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5B72086A" w14:textId="54AF5724" w:rsidR="00515398" w:rsidRDefault="006711E6">
            <w:pPr>
              <w:pStyle w:val="P68B1DB1-Normal8"/>
              <w:keepNext/>
              <w:spacing w:before="40" w:after="0" w:line="240" w:lineRule="auto"/>
              <w:jc w:val="both"/>
              <w:rPr>
                <w:rFonts w:eastAsia="Times New Roman" w:cs="Times New Roman"/>
                <w:noProof/>
                <w:szCs w:val="18"/>
              </w:rPr>
            </w:pPr>
            <w:r>
              <w:rPr>
                <w:noProof/>
              </w:rPr>
              <w:t>Rozhodnutí o schválení univerzit excelence a klastrů excelence výzkumu</w:t>
            </w:r>
          </w:p>
        </w:tc>
      </w:tr>
      <w:tr w:rsidR="00515398" w14:paraId="1955BFC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E66CA8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162</w:t>
            </w:r>
          </w:p>
        </w:tc>
        <w:tc>
          <w:tcPr>
            <w:tcW w:w="4320" w:type="dxa"/>
            <w:tcBorders>
              <w:top w:val="nil"/>
              <w:left w:val="nil"/>
              <w:bottom w:val="single" w:sz="4" w:space="0" w:color="auto"/>
              <w:right w:val="single" w:sz="4" w:space="0" w:color="auto"/>
            </w:tcBorders>
            <w:shd w:val="clear" w:color="auto" w:fill="C6EFCE"/>
            <w:noWrap/>
            <w:vAlign w:val="center"/>
          </w:tcPr>
          <w:p w14:paraId="387522F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w:t>
            </w:r>
            <w:r>
              <w:rPr>
                <w:noProof/>
              </w:rPr>
              <w:t xml:space="preserve"> odolnosti, dostupnosti a udržitelnosti zdravotní péče – 16820_Reforma v oblasti duševního zdraví a závislostí</w:t>
            </w:r>
          </w:p>
        </w:tc>
        <w:tc>
          <w:tcPr>
            <w:tcW w:w="1680" w:type="dxa"/>
            <w:tcBorders>
              <w:top w:val="nil"/>
              <w:left w:val="nil"/>
              <w:bottom w:val="single" w:sz="4" w:space="0" w:color="auto"/>
              <w:right w:val="single" w:sz="4" w:space="0" w:color="auto"/>
            </w:tcBorders>
            <w:shd w:val="clear" w:color="auto" w:fill="C6EFCE"/>
            <w:noWrap/>
            <w:vAlign w:val="center"/>
          </w:tcPr>
          <w:p w14:paraId="00CC44B7"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3774DD2C" w14:textId="77777777" w:rsidR="00515398" w:rsidRDefault="006711E6">
            <w:pPr>
              <w:pStyle w:val="P68B1DB1-Normal8"/>
              <w:keepNext/>
              <w:spacing w:before="40" w:after="0" w:line="240" w:lineRule="auto"/>
              <w:jc w:val="both"/>
              <w:rPr>
                <w:rFonts w:eastAsia="Times New Roman" w:cs="Times New Roman"/>
                <w:noProof/>
                <w:szCs w:val="18"/>
              </w:rPr>
            </w:pPr>
            <w:r>
              <w:rPr>
                <w:noProof/>
              </w:rPr>
              <w:t>Duševní zdraví – otevřeno 106 oddělení – krok 2 z 2</w:t>
            </w:r>
          </w:p>
        </w:tc>
      </w:tr>
      <w:tr w:rsidR="00515398" w14:paraId="75D7B59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9AAC542" w14:textId="77777777" w:rsidR="00515398" w:rsidRDefault="006711E6">
            <w:pPr>
              <w:pStyle w:val="P68B1DB1-Normal8"/>
              <w:keepNext/>
              <w:spacing w:before="40" w:after="0" w:line="240" w:lineRule="auto"/>
              <w:jc w:val="both"/>
              <w:rPr>
                <w:rFonts w:cs="Times New Roman"/>
                <w:noProof/>
                <w:szCs w:val="18"/>
              </w:rPr>
            </w:pPr>
            <w:r>
              <w:rPr>
                <w:noProof/>
              </w:rPr>
              <w:t>192</w:t>
            </w:r>
          </w:p>
        </w:tc>
        <w:tc>
          <w:tcPr>
            <w:tcW w:w="4320" w:type="dxa"/>
            <w:tcBorders>
              <w:top w:val="nil"/>
              <w:left w:val="nil"/>
              <w:bottom w:val="single" w:sz="4" w:space="0" w:color="auto"/>
              <w:right w:val="single" w:sz="4" w:space="0" w:color="auto"/>
            </w:tcBorders>
            <w:shd w:val="clear" w:color="auto" w:fill="C6EFCE"/>
            <w:noWrap/>
            <w:vAlign w:val="center"/>
          </w:tcPr>
          <w:p w14:paraId="775E1C89" w14:textId="77777777" w:rsidR="00515398" w:rsidRDefault="006711E6">
            <w:pPr>
              <w:pStyle w:val="P68B1DB1-Normal8"/>
              <w:keepNext/>
              <w:spacing w:before="40" w:after="0" w:line="240" w:lineRule="auto"/>
              <w:jc w:val="both"/>
              <w:rPr>
                <w:rFonts w:cs="Times New Roman"/>
                <w:noProof/>
                <w:szCs w:val="18"/>
              </w:rPr>
            </w:pPr>
            <w:r>
              <w:rPr>
                <w:noProof/>
              </w:rPr>
              <w:t xml:space="preserve">12–4.1. Učinit daně příznivější pro růst a zlepšit daňovou správu a výběr daní – </w:t>
            </w:r>
            <w:r>
              <w:rPr>
                <w:noProof/>
              </w:rPr>
              <w:t>16611_Digitální transformace daňových auditů</w:t>
            </w:r>
          </w:p>
        </w:tc>
        <w:tc>
          <w:tcPr>
            <w:tcW w:w="1680" w:type="dxa"/>
            <w:tcBorders>
              <w:top w:val="nil"/>
              <w:left w:val="nil"/>
              <w:bottom w:val="single" w:sz="4" w:space="0" w:color="auto"/>
              <w:right w:val="single" w:sz="4" w:space="0" w:color="auto"/>
            </w:tcBorders>
            <w:shd w:val="clear" w:color="auto" w:fill="C6EFCE"/>
            <w:noWrap/>
            <w:vAlign w:val="center"/>
          </w:tcPr>
          <w:p w14:paraId="7079B05F"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7702F6A" w14:textId="77777777" w:rsidR="00515398" w:rsidRDefault="006711E6">
            <w:pPr>
              <w:pStyle w:val="P68B1DB1-Normal8"/>
              <w:keepNext/>
              <w:spacing w:before="40" w:after="0" w:line="240" w:lineRule="auto"/>
              <w:jc w:val="both"/>
              <w:rPr>
                <w:rFonts w:cs="Times New Roman"/>
                <w:noProof/>
                <w:szCs w:val="18"/>
              </w:rPr>
            </w:pPr>
            <w:r>
              <w:rPr>
                <w:noProof/>
              </w:rPr>
              <w:t>Daňové audity – Moje údaje a bankovní informace</w:t>
            </w:r>
          </w:p>
        </w:tc>
      </w:tr>
      <w:tr w:rsidR="00515398" w14:paraId="256248C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F5D877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193</w:t>
            </w:r>
          </w:p>
        </w:tc>
        <w:tc>
          <w:tcPr>
            <w:tcW w:w="4320" w:type="dxa"/>
            <w:tcBorders>
              <w:top w:val="nil"/>
              <w:left w:val="nil"/>
              <w:bottom w:val="single" w:sz="4" w:space="0" w:color="auto"/>
              <w:right w:val="single" w:sz="4" w:space="0" w:color="auto"/>
            </w:tcBorders>
            <w:shd w:val="clear" w:color="auto" w:fill="C6EFCE"/>
            <w:noWrap/>
            <w:vAlign w:val="center"/>
          </w:tcPr>
          <w:p w14:paraId="7223C48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 daňovou správu a výběr daní – 16610_Podpora urychlení vracení DPH</w:t>
            </w:r>
          </w:p>
        </w:tc>
        <w:tc>
          <w:tcPr>
            <w:tcW w:w="1680" w:type="dxa"/>
            <w:tcBorders>
              <w:top w:val="nil"/>
              <w:left w:val="nil"/>
              <w:bottom w:val="single" w:sz="4" w:space="0" w:color="auto"/>
              <w:right w:val="single" w:sz="4" w:space="0" w:color="auto"/>
            </w:tcBorders>
            <w:shd w:val="clear" w:color="auto" w:fill="C6EFCE"/>
            <w:noWrap/>
            <w:vAlign w:val="center"/>
          </w:tcPr>
          <w:p w14:paraId="6136CA67"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DFFB227" w14:textId="77777777" w:rsidR="00515398" w:rsidRDefault="006711E6">
            <w:pPr>
              <w:pStyle w:val="P68B1DB1-Normal8"/>
              <w:keepNext/>
              <w:spacing w:before="40" w:after="0" w:line="240" w:lineRule="auto"/>
              <w:jc w:val="both"/>
              <w:rPr>
                <w:rFonts w:eastAsia="Times New Roman" w:cs="Times New Roman"/>
                <w:noProof/>
                <w:szCs w:val="18"/>
              </w:rPr>
            </w:pPr>
            <w:r>
              <w:rPr>
                <w:noProof/>
              </w:rPr>
              <w:t>Plně automatizované vracení</w:t>
            </w:r>
            <w:r>
              <w:rPr>
                <w:noProof/>
              </w:rPr>
              <w:t xml:space="preserve"> DPH – spuštění informačního systému</w:t>
            </w:r>
          </w:p>
        </w:tc>
      </w:tr>
      <w:tr w:rsidR="00515398" w14:paraId="11AF6F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68DCBA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207</w:t>
            </w:r>
          </w:p>
        </w:tc>
        <w:tc>
          <w:tcPr>
            <w:tcW w:w="4320" w:type="dxa"/>
            <w:tcBorders>
              <w:top w:val="nil"/>
              <w:left w:val="nil"/>
              <w:bottom w:val="single" w:sz="4" w:space="0" w:color="auto"/>
              <w:right w:val="single" w:sz="4" w:space="0" w:color="auto"/>
            </w:tcBorders>
            <w:shd w:val="clear" w:color="auto" w:fill="C6EFCE"/>
            <w:noWrap/>
            <w:vAlign w:val="center"/>
          </w:tcPr>
          <w:p w14:paraId="48C9F68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Modernizace veřejné správy, mimo jiné urychlením provádění veřejných investic, zlepšením rámce pro zadávání veřejných zakázek, opatřeními na budování kapacit a bojem proti korupci – 16972_Reforma veřejné sprá</w:t>
            </w:r>
            <w:r>
              <w:rPr>
                <w:noProof/>
              </w:rPr>
              <w:t>vy</w:t>
            </w:r>
          </w:p>
        </w:tc>
        <w:tc>
          <w:tcPr>
            <w:tcW w:w="1680" w:type="dxa"/>
            <w:tcBorders>
              <w:top w:val="nil"/>
              <w:left w:val="nil"/>
              <w:bottom w:val="single" w:sz="4" w:space="0" w:color="auto"/>
              <w:right w:val="single" w:sz="4" w:space="0" w:color="auto"/>
            </w:tcBorders>
            <w:shd w:val="clear" w:color="auto" w:fill="C6EFCE"/>
            <w:noWrap/>
            <w:vAlign w:val="center"/>
          </w:tcPr>
          <w:p w14:paraId="0704138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26E0480" w14:textId="77777777" w:rsidR="00515398" w:rsidRDefault="006711E6">
            <w:pPr>
              <w:pStyle w:val="P68B1DB1-Normal8"/>
              <w:keepNext/>
              <w:spacing w:before="40" w:after="0" w:line="240" w:lineRule="auto"/>
              <w:jc w:val="both"/>
              <w:rPr>
                <w:rFonts w:eastAsia="Times New Roman" w:cs="Times New Roman"/>
                <w:noProof/>
                <w:szCs w:val="18"/>
              </w:rPr>
            </w:pPr>
            <w:r>
              <w:rPr>
                <w:noProof/>
              </w:rPr>
              <w:t>Veřejná správa – nový systém odměňování</w:t>
            </w:r>
          </w:p>
        </w:tc>
      </w:tr>
      <w:tr w:rsidR="00515398" w14:paraId="43F4931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264BCC0" w14:textId="77777777" w:rsidR="00515398" w:rsidRDefault="006711E6">
            <w:pPr>
              <w:pStyle w:val="P68B1DB1-Normal8"/>
              <w:keepNext/>
              <w:spacing w:before="40" w:after="0" w:line="240" w:lineRule="auto"/>
              <w:jc w:val="both"/>
              <w:rPr>
                <w:rFonts w:cs="Times New Roman"/>
                <w:noProof/>
                <w:szCs w:val="18"/>
              </w:rPr>
            </w:pPr>
            <w:r>
              <w:rPr>
                <w:noProof/>
              </w:rPr>
              <w:t>216a</w:t>
            </w:r>
          </w:p>
        </w:tc>
        <w:tc>
          <w:tcPr>
            <w:tcW w:w="4320" w:type="dxa"/>
            <w:tcBorders>
              <w:top w:val="nil"/>
              <w:left w:val="nil"/>
              <w:bottom w:val="single" w:sz="4" w:space="0" w:color="auto"/>
              <w:right w:val="single" w:sz="4" w:space="0" w:color="auto"/>
            </w:tcBorders>
            <w:shd w:val="clear" w:color="auto" w:fill="C6EFCE"/>
            <w:noWrap/>
          </w:tcPr>
          <w:p w14:paraId="3DA9BE55" w14:textId="77777777" w:rsidR="00515398" w:rsidRDefault="006711E6">
            <w:pPr>
              <w:pStyle w:val="P68B1DB1-Normal8"/>
              <w:keepNext/>
              <w:spacing w:before="40" w:after="0" w:line="240" w:lineRule="auto"/>
              <w:jc w:val="both"/>
              <w:rPr>
                <w:rFonts w:cs="Times New Roman"/>
                <w:noProof/>
                <w:szCs w:val="18"/>
              </w:rPr>
            </w:pPr>
            <w:r>
              <w:rPr>
                <w:noProof/>
              </w:rPr>
              <w:t xml:space="preserve">13–4. Modernizace veřejné správy, mimo jiné urychlením provádění veřejných investic, zlepšením rámce pro zadávání veřejných zakázek, opatřeními na budování kapacit a bojem proti korupci – 16711_Profesionalizace oblasti zadávání veřejných zakázek  </w:t>
            </w:r>
          </w:p>
        </w:tc>
        <w:tc>
          <w:tcPr>
            <w:tcW w:w="1680" w:type="dxa"/>
            <w:tcBorders>
              <w:top w:val="nil"/>
              <w:left w:val="nil"/>
              <w:bottom w:val="single" w:sz="4" w:space="0" w:color="auto"/>
              <w:right w:val="single" w:sz="4" w:space="0" w:color="auto"/>
            </w:tcBorders>
            <w:shd w:val="clear" w:color="auto" w:fill="C6EFCE"/>
            <w:noWrap/>
          </w:tcPr>
          <w:p w14:paraId="33F79FA4"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tcPr>
          <w:p w14:paraId="3DB42B79" w14:textId="77777777" w:rsidR="00515398" w:rsidRDefault="006711E6">
            <w:pPr>
              <w:pStyle w:val="P68B1DB1-Normal8"/>
              <w:keepNext/>
              <w:spacing w:before="40" w:after="0" w:line="240" w:lineRule="auto"/>
              <w:jc w:val="both"/>
              <w:rPr>
                <w:rFonts w:cs="Times New Roman"/>
                <w:noProof/>
                <w:szCs w:val="18"/>
              </w:rPr>
            </w:pPr>
            <w:r>
              <w:rPr>
                <w:noProof/>
              </w:rPr>
              <w:t>Z</w:t>
            </w:r>
            <w:r>
              <w:rPr>
                <w:noProof/>
              </w:rPr>
              <w:t>měna národní strategie pro zadávání veřejných zakázek na období 2021–2025</w:t>
            </w:r>
          </w:p>
        </w:tc>
      </w:tr>
      <w:tr w:rsidR="00515398" w14:paraId="4A00288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8BB431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232</w:t>
            </w:r>
          </w:p>
        </w:tc>
        <w:tc>
          <w:tcPr>
            <w:tcW w:w="4320" w:type="dxa"/>
            <w:tcBorders>
              <w:top w:val="nil"/>
              <w:left w:val="nil"/>
              <w:bottom w:val="single" w:sz="4" w:space="0" w:color="auto"/>
              <w:right w:val="single" w:sz="4" w:space="0" w:color="auto"/>
            </w:tcBorders>
            <w:shd w:val="clear" w:color="auto" w:fill="C6EFCE"/>
            <w:noWrap/>
            <w:vAlign w:val="center"/>
          </w:tcPr>
          <w:p w14:paraId="630A184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Zlepšit účinnosti systému spravedlnosti – 16575 Zrychlení soudní správy</w:t>
            </w:r>
          </w:p>
        </w:tc>
        <w:tc>
          <w:tcPr>
            <w:tcW w:w="1680" w:type="dxa"/>
            <w:tcBorders>
              <w:top w:val="nil"/>
              <w:left w:val="nil"/>
              <w:bottom w:val="single" w:sz="4" w:space="0" w:color="auto"/>
              <w:right w:val="single" w:sz="4" w:space="0" w:color="auto"/>
            </w:tcBorders>
            <w:shd w:val="clear" w:color="auto" w:fill="C6EFCE"/>
            <w:noWrap/>
            <w:vAlign w:val="center"/>
          </w:tcPr>
          <w:p w14:paraId="15535CB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3A181C3D" w14:textId="77777777" w:rsidR="00515398" w:rsidRDefault="006711E6">
            <w:pPr>
              <w:pStyle w:val="P68B1DB1-Normal8"/>
              <w:keepNext/>
              <w:spacing w:before="40" w:after="0" w:line="240" w:lineRule="auto"/>
              <w:jc w:val="both"/>
              <w:rPr>
                <w:rFonts w:eastAsia="Times New Roman" w:cs="Times New Roman"/>
                <w:noProof/>
                <w:szCs w:val="18"/>
              </w:rPr>
            </w:pPr>
            <w:r>
              <w:rPr>
                <w:noProof/>
              </w:rPr>
              <w:t>Revize soudní mapy – primární právo – Občanskoprávní a trestní</w:t>
            </w:r>
          </w:p>
        </w:tc>
      </w:tr>
      <w:tr w:rsidR="00515398" w14:paraId="65D0152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31E964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233</w:t>
            </w:r>
          </w:p>
        </w:tc>
        <w:tc>
          <w:tcPr>
            <w:tcW w:w="4320" w:type="dxa"/>
            <w:tcBorders>
              <w:top w:val="nil"/>
              <w:left w:val="nil"/>
              <w:bottom w:val="single" w:sz="4" w:space="0" w:color="auto"/>
              <w:right w:val="single" w:sz="4" w:space="0" w:color="auto"/>
            </w:tcBorders>
            <w:shd w:val="clear" w:color="auto" w:fill="C6EFCE"/>
            <w:noWrap/>
            <w:vAlign w:val="center"/>
          </w:tcPr>
          <w:p w14:paraId="4777410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14–4.3. Zlepšení </w:t>
            </w:r>
            <w:r>
              <w:rPr>
                <w:noProof/>
              </w:rPr>
              <w:t>účinnosti soudního systému – 16292_Nové soudní budovy</w:t>
            </w:r>
          </w:p>
        </w:tc>
        <w:tc>
          <w:tcPr>
            <w:tcW w:w="1680" w:type="dxa"/>
            <w:tcBorders>
              <w:top w:val="nil"/>
              <w:left w:val="nil"/>
              <w:bottom w:val="single" w:sz="4" w:space="0" w:color="auto"/>
              <w:right w:val="single" w:sz="4" w:space="0" w:color="auto"/>
            </w:tcBorders>
            <w:shd w:val="clear" w:color="auto" w:fill="C6EFCE"/>
            <w:noWrap/>
            <w:vAlign w:val="center"/>
          </w:tcPr>
          <w:p w14:paraId="4507C98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56CBDC52" w14:textId="77777777" w:rsidR="00515398" w:rsidRDefault="006711E6">
            <w:pPr>
              <w:pStyle w:val="P68B1DB1-Normal8"/>
              <w:keepNext/>
              <w:spacing w:before="40" w:after="0" w:line="240" w:lineRule="auto"/>
              <w:jc w:val="both"/>
              <w:rPr>
                <w:rFonts w:eastAsia="Times New Roman" w:cs="Times New Roman"/>
                <w:noProof/>
                <w:szCs w:val="18"/>
              </w:rPr>
            </w:pPr>
            <w:r>
              <w:rPr>
                <w:noProof/>
              </w:rPr>
              <w:t>Výstavba a renovace soudních budov – zahájení nabídkových řízení</w:t>
            </w:r>
          </w:p>
        </w:tc>
      </w:tr>
      <w:tr w:rsidR="00515398" w14:paraId="46B86A0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AC91B9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279</w:t>
            </w:r>
          </w:p>
        </w:tc>
        <w:tc>
          <w:tcPr>
            <w:tcW w:w="4320" w:type="dxa"/>
            <w:tcBorders>
              <w:top w:val="nil"/>
              <w:left w:val="nil"/>
              <w:bottom w:val="single" w:sz="4" w:space="0" w:color="auto"/>
              <w:right w:val="single" w:sz="4" w:space="0" w:color="auto"/>
            </w:tcBorders>
            <w:shd w:val="clear" w:color="auto" w:fill="C6EFCE"/>
            <w:noWrap/>
            <w:vAlign w:val="center"/>
          </w:tcPr>
          <w:p w14:paraId="10344B3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16486_Muzeum podvodních starožitností</w:t>
            </w:r>
          </w:p>
        </w:tc>
        <w:tc>
          <w:tcPr>
            <w:tcW w:w="1680" w:type="dxa"/>
            <w:tcBorders>
              <w:top w:val="nil"/>
              <w:left w:val="nil"/>
              <w:bottom w:val="single" w:sz="4" w:space="0" w:color="auto"/>
              <w:right w:val="single" w:sz="4" w:space="0" w:color="auto"/>
            </w:tcBorders>
            <w:shd w:val="clear" w:color="auto" w:fill="C6EFCE"/>
            <w:noWrap/>
            <w:vAlign w:val="center"/>
          </w:tcPr>
          <w:p w14:paraId="413580D3"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3C9BF951"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Zadán</w:t>
            </w:r>
            <w:r>
              <w:rPr>
                <w:noProof/>
              </w:rPr>
              <w:t>í zakázky muzeu podvodních starožitností</w:t>
            </w:r>
          </w:p>
        </w:tc>
      </w:tr>
      <w:tr w:rsidR="00515398" w14:paraId="1C4EEE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BC83A9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303</w:t>
            </w:r>
          </w:p>
        </w:tc>
        <w:tc>
          <w:tcPr>
            <w:tcW w:w="4320" w:type="dxa"/>
            <w:tcBorders>
              <w:top w:val="nil"/>
              <w:left w:val="nil"/>
              <w:bottom w:val="single" w:sz="4" w:space="0" w:color="auto"/>
              <w:right w:val="single" w:sz="4" w:space="0" w:color="auto"/>
            </w:tcBorders>
            <w:shd w:val="clear" w:color="auto" w:fill="C6EFCE"/>
            <w:noWrap/>
            <w:vAlign w:val="center"/>
          </w:tcPr>
          <w:p w14:paraId="3B7CF84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16593_Změna právního rámce pro přilákání strategických investic</w:t>
            </w:r>
          </w:p>
        </w:tc>
        <w:tc>
          <w:tcPr>
            <w:tcW w:w="1680" w:type="dxa"/>
            <w:tcBorders>
              <w:top w:val="nil"/>
              <w:left w:val="nil"/>
              <w:bottom w:val="single" w:sz="4" w:space="0" w:color="auto"/>
              <w:right w:val="single" w:sz="4" w:space="0" w:color="auto"/>
            </w:tcBorders>
            <w:shd w:val="clear" w:color="auto" w:fill="C6EFCE"/>
            <w:noWrap/>
            <w:vAlign w:val="center"/>
          </w:tcPr>
          <w:p w14:paraId="444E20A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44669A1" w14:textId="77777777" w:rsidR="00515398" w:rsidRDefault="006711E6">
            <w:pPr>
              <w:pStyle w:val="P68B1DB1-Normal8"/>
              <w:keepNext/>
              <w:spacing w:before="40" w:after="0" w:line="240" w:lineRule="auto"/>
              <w:jc w:val="both"/>
              <w:rPr>
                <w:rFonts w:eastAsia="Times New Roman" w:cs="Times New Roman"/>
                <w:noProof/>
                <w:szCs w:val="18"/>
              </w:rPr>
            </w:pPr>
            <w:r>
              <w:rPr>
                <w:noProof/>
              </w:rPr>
              <w:t>Strategické investice – výběr způsobilých projektů</w:t>
            </w:r>
          </w:p>
        </w:tc>
      </w:tr>
      <w:tr w:rsidR="00515398" w14:paraId="0F10760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B16DFE6" w14:textId="77777777" w:rsidR="00515398" w:rsidRDefault="006711E6">
            <w:pPr>
              <w:pStyle w:val="P68B1DB1-Normal8"/>
              <w:keepNext/>
              <w:spacing w:before="40" w:after="0" w:line="240" w:lineRule="auto"/>
              <w:jc w:val="both"/>
              <w:rPr>
                <w:rFonts w:cs="Times New Roman"/>
                <w:noProof/>
                <w:szCs w:val="18"/>
              </w:rPr>
            </w:pPr>
            <w:r>
              <w:rPr>
                <w:noProof/>
              </w:rPr>
              <w:t>337</w:t>
            </w:r>
          </w:p>
        </w:tc>
        <w:tc>
          <w:tcPr>
            <w:tcW w:w="4320" w:type="dxa"/>
            <w:tcBorders>
              <w:top w:val="nil"/>
              <w:left w:val="nil"/>
              <w:bottom w:val="single" w:sz="4" w:space="0" w:color="auto"/>
              <w:right w:val="single" w:sz="4" w:space="0" w:color="auto"/>
            </w:tcBorders>
            <w:shd w:val="clear" w:color="auto" w:fill="C6EFCE"/>
            <w:noWrap/>
          </w:tcPr>
          <w:p w14:paraId="57983B71" w14:textId="77777777" w:rsidR="00515398" w:rsidRDefault="006711E6">
            <w:pPr>
              <w:pStyle w:val="P68B1DB1-Normal8"/>
              <w:keepNext/>
              <w:spacing w:before="40" w:after="0" w:line="240" w:lineRule="auto"/>
              <w:jc w:val="both"/>
              <w:rPr>
                <w:rFonts w:cs="Times New Roman"/>
                <w:noProof/>
                <w:szCs w:val="18"/>
              </w:rPr>
            </w:pPr>
            <w:r>
              <w:rPr>
                <w:noProof/>
              </w:rPr>
              <w:t xml:space="preserve">12–4.1. </w:t>
            </w:r>
            <w:r>
              <w:rPr>
                <w:noProof/>
              </w:rPr>
              <w:t>Učinit daně příznivější pro růst a zlepšit daňovou správu a výběr daní – 16985_Změny řeckého rámce daňové politiky</w:t>
            </w:r>
          </w:p>
        </w:tc>
        <w:tc>
          <w:tcPr>
            <w:tcW w:w="1680" w:type="dxa"/>
            <w:tcBorders>
              <w:top w:val="nil"/>
              <w:left w:val="nil"/>
              <w:bottom w:val="single" w:sz="4" w:space="0" w:color="auto"/>
              <w:right w:val="single" w:sz="4" w:space="0" w:color="auto"/>
            </w:tcBorders>
            <w:shd w:val="clear" w:color="auto" w:fill="C6EFCE"/>
            <w:noWrap/>
          </w:tcPr>
          <w:p w14:paraId="062D436F"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tcPr>
          <w:p w14:paraId="1180A396" w14:textId="77777777" w:rsidR="00515398" w:rsidRDefault="006711E6">
            <w:pPr>
              <w:pStyle w:val="P68B1DB1-Normal8"/>
              <w:keepNext/>
              <w:spacing w:before="40" w:after="0" w:line="240" w:lineRule="auto"/>
              <w:jc w:val="both"/>
              <w:rPr>
                <w:rFonts w:cs="Times New Roman"/>
                <w:noProof/>
                <w:szCs w:val="18"/>
              </w:rPr>
            </w:pPr>
            <w:r>
              <w:rPr>
                <w:noProof/>
              </w:rPr>
              <w:t>Boj proti daňovým únikům a podpora elektronických plateb</w:t>
            </w:r>
          </w:p>
        </w:tc>
      </w:tr>
      <w:tr w:rsidR="00515398" w14:paraId="6D53254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058DB248" w14:textId="77777777" w:rsidR="00515398" w:rsidRDefault="006711E6">
            <w:pPr>
              <w:pStyle w:val="P68B1DB1-Normal8"/>
              <w:keepNext/>
              <w:spacing w:before="40" w:after="0" w:line="240" w:lineRule="auto"/>
              <w:jc w:val="both"/>
              <w:rPr>
                <w:noProof/>
              </w:rPr>
            </w:pPr>
            <w:r>
              <w:rPr>
                <w:noProof/>
              </w:rPr>
              <w:t>338</w:t>
            </w:r>
          </w:p>
        </w:tc>
        <w:tc>
          <w:tcPr>
            <w:tcW w:w="4320" w:type="dxa"/>
            <w:tcBorders>
              <w:top w:val="nil"/>
              <w:left w:val="nil"/>
              <w:bottom w:val="single" w:sz="4" w:space="0" w:color="auto"/>
              <w:right w:val="single" w:sz="4" w:space="0" w:color="auto"/>
            </w:tcBorders>
            <w:shd w:val="clear" w:color="auto" w:fill="C6EFCE"/>
            <w:noWrap/>
          </w:tcPr>
          <w:p w14:paraId="27FD3AAA" w14:textId="77777777" w:rsidR="00515398" w:rsidRDefault="006711E6">
            <w:pPr>
              <w:pStyle w:val="P68B1DB1-Normal8"/>
              <w:keepNext/>
              <w:spacing w:before="40" w:after="0" w:line="240" w:lineRule="auto"/>
              <w:jc w:val="both"/>
              <w:rPr>
                <w:noProof/>
              </w:rPr>
            </w:pPr>
            <w:r>
              <w:rPr>
                <w:noProof/>
              </w:rPr>
              <w:t xml:space="preserve">12–4.1. Učinit daně příznivější pro růst a zlepšit daňovou správu a </w:t>
            </w:r>
            <w:r>
              <w:rPr>
                <w:noProof/>
              </w:rPr>
              <w:t>výběr daní – 16985_Změny řeckého rámce daňové politiky</w:t>
            </w:r>
          </w:p>
        </w:tc>
        <w:tc>
          <w:tcPr>
            <w:tcW w:w="1680" w:type="dxa"/>
            <w:tcBorders>
              <w:top w:val="nil"/>
              <w:left w:val="nil"/>
              <w:bottom w:val="single" w:sz="4" w:space="0" w:color="auto"/>
              <w:right w:val="single" w:sz="4" w:space="0" w:color="auto"/>
            </w:tcBorders>
            <w:shd w:val="clear" w:color="auto" w:fill="C6EFCE"/>
            <w:noWrap/>
          </w:tcPr>
          <w:p w14:paraId="38C062AD" w14:textId="77777777"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tcPr>
          <w:p w14:paraId="4796554C" w14:textId="77777777" w:rsidR="00515398" w:rsidRDefault="006711E6">
            <w:pPr>
              <w:pStyle w:val="P68B1DB1-Normal8"/>
              <w:keepNext/>
              <w:spacing w:before="40" w:after="0" w:line="240" w:lineRule="auto"/>
              <w:jc w:val="both"/>
              <w:rPr>
                <w:noProof/>
              </w:rPr>
            </w:pPr>
            <w:r>
              <w:rPr>
                <w:noProof/>
              </w:rPr>
              <w:t>Reforma zdanění osob samostatně výdělečně činných a kolkovného</w:t>
            </w:r>
          </w:p>
        </w:tc>
      </w:tr>
      <w:tr w:rsidR="00515398" w14:paraId="427BB229"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9C987AF"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341</w:t>
            </w:r>
          </w:p>
        </w:tc>
        <w:tc>
          <w:tcPr>
            <w:tcW w:w="4320" w:type="dxa"/>
            <w:tcBorders>
              <w:top w:val="single" w:sz="4" w:space="0" w:color="auto"/>
              <w:left w:val="nil"/>
              <w:bottom w:val="single" w:sz="4" w:space="0" w:color="auto"/>
              <w:right w:val="single" w:sz="4" w:space="0" w:color="auto"/>
            </w:tcBorders>
            <w:shd w:val="clear" w:color="auto" w:fill="C6EFCE"/>
            <w:noWrap/>
          </w:tcPr>
          <w:p w14:paraId="3367004B"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 xml:space="preserve">13–4. Modernizovat veřejnou správu, mimo jiné urychlením provádění veřejných investic, zlepšením rámce pro zadávání veřejných </w:t>
            </w:r>
            <w:r>
              <w:rPr>
                <w:noProof/>
              </w:rPr>
              <w:t>zakázek, opatřeními na budování kapacit a bojem proti korupci – 16986_Dokončení národního katastru</w:t>
            </w:r>
          </w:p>
        </w:tc>
        <w:tc>
          <w:tcPr>
            <w:tcW w:w="1680" w:type="dxa"/>
            <w:tcBorders>
              <w:top w:val="single" w:sz="4" w:space="0" w:color="auto"/>
              <w:left w:val="nil"/>
              <w:bottom w:val="single" w:sz="4" w:space="0" w:color="auto"/>
              <w:right w:val="single" w:sz="4" w:space="0" w:color="auto"/>
            </w:tcBorders>
            <w:shd w:val="clear" w:color="auto" w:fill="C6EFCE"/>
            <w:noWrap/>
          </w:tcPr>
          <w:p w14:paraId="11830E2C" w14:textId="77777777" w:rsidR="00515398" w:rsidRDefault="006711E6">
            <w:pPr>
              <w:pStyle w:val="P68B1DB1-Normal8"/>
              <w:keepNext/>
              <w:spacing w:before="40" w:after="0" w:line="259" w:lineRule="auto"/>
              <w:jc w:val="both"/>
              <w:rPr>
                <w:rFonts w:eastAsia="Times New Roman" w:cs="Times New Roman"/>
                <w:noProof/>
                <w:szCs w:val="18"/>
              </w:rPr>
            </w:pPr>
            <w:r>
              <w:rPr>
                <w:noProof/>
              </w:rPr>
              <w:t>Cílová</w:t>
            </w:r>
          </w:p>
        </w:tc>
        <w:tc>
          <w:tcPr>
            <w:tcW w:w="1800" w:type="dxa"/>
            <w:tcBorders>
              <w:top w:val="single" w:sz="4" w:space="0" w:color="auto"/>
              <w:left w:val="nil"/>
              <w:bottom w:val="single" w:sz="4" w:space="0" w:color="auto"/>
              <w:right w:val="single" w:sz="4" w:space="0" w:color="auto"/>
            </w:tcBorders>
            <w:shd w:val="clear" w:color="auto" w:fill="C6EFCE"/>
            <w:noWrap/>
          </w:tcPr>
          <w:p w14:paraId="6BC3680D" w14:textId="77777777" w:rsidR="00515398" w:rsidRDefault="006711E6">
            <w:pPr>
              <w:pStyle w:val="P68B1DB1-Normal8"/>
              <w:keepNext/>
              <w:spacing w:before="40" w:after="0" w:line="259" w:lineRule="auto"/>
              <w:jc w:val="both"/>
              <w:rPr>
                <w:rFonts w:eastAsia="Times New Roman" w:cs="Times New Roman"/>
                <w:noProof/>
                <w:szCs w:val="18"/>
              </w:rPr>
            </w:pPr>
            <w:r>
              <w:rPr>
                <w:noProof/>
              </w:rPr>
              <w:t>Katastrální mapování – dokončení 85 %</w:t>
            </w:r>
          </w:p>
        </w:tc>
      </w:tr>
      <w:tr w:rsidR="00515398" w14:paraId="77C92919"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1E6E970E" w14:textId="77777777" w:rsidR="00515398" w:rsidRDefault="006711E6">
            <w:pPr>
              <w:pStyle w:val="P68B1DB1-Normal50"/>
              <w:keepNext/>
              <w:spacing w:before="40" w:after="0" w:line="259" w:lineRule="auto"/>
              <w:jc w:val="both"/>
              <w:rPr>
                <w:rFonts w:eastAsia="Times New Roman" w:cs="Times New Roman"/>
                <w:bCs/>
                <w:noProof/>
                <w:szCs w:val="18"/>
              </w:rPr>
            </w:pPr>
            <w:r>
              <w:rPr>
                <w:noProof/>
              </w:rPr>
              <w:t>367</w:t>
            </w:r>
          </w:p>
        </w:tc>
        <w:tc>
          <w:tcPr>
            <w:tcW w:w="4320" w:type="dxa"/>
            <w:tcBorders>
              <w:top w:val="single" w:sz="4" w:space="0" w:color="auto"/>
              <w:left w:val="nil"/>
              <w:bottom w:val="single" w:sz="4" w:space="0" w:color="auto"/>
              <w:right w:val="single" w:sz="4" w:space="0" w:color="auto"/>
            </w:tcBorders>
            <w:shd w:val="clear" w:color="auto" w:fill="C6EFCE"/>
            <w:noWrap/>
          </w:tcPr>
          <w:p w14:paraId="13A5A47E" w14:textId="77777777" w:rsidR="00515398" w:rsidRDefault="006711E6">
            <w:pPr>
              <w:pStyle w:val="P68B1DB1-Normal50"/>
              <w:keepNext/>
              <w:spacing w:before="40" w:after="0" w:line="259" w:lineRule="auto"/>
              <w:jc w:val="both"/>
              <w:rPr>
                <w:rFonts w:eastAsia="Times New Roman" w:cs="Times New Roman"/>
                <w:bCs/>
                <w:noProof/>
                <w:szCs w:val="18"/>
              </w:rPr>
            </w:pPr>
            <w:r>
              <w:rPr>
                <w:noProof/>
              </w:rPr>
              <w:t xml:space="preserve">21–5.2 Investice REPowerEU – 16994_Energetická účinnost a podpora obnovitelných zdrojů energie pro vlastní spotřebu </w:t>
            </w:r>
          </w:p>
        </w:tc>
        <w:tc>
          <w:tcPr>
            <w:tcW w:w="1680" w:type="dxa"/>
            <w:tcBorders>
              <w:top w:val="single" w:sz="4" w:space="0" w:color="auto"/>
              <w:left w:val="nil"/>
              <w:bottom w:val="single" w:sz="4" w:space="0" w:color="auto"/>
              <w:right w:val="single" w:sz="4" w:space="0" w:color="auto"/>
            </w:tcBorders>
            <w:shd w:val="clear" w:color="auto" w:fill="C6EFCE"/>
            <w:noWrap/>
          </w:tcPr>
          <w:p w14:paraId="54A43649" w14:textId="77777777" w:rsidR="00515398" w:rsidRDefault="006711E6">
            <w:pPr>
              <w:pStyle w:val="P68B1DB1-Normal50"/>
              <w:keepNext/>
              <w:spacing w:before="40" w:after="0" w:line="259" w:lineRule="auto"/>
              <w:jc w:val="both"/>
              <w:rPr>
                <w:rFonts w:eastAsia="Times New Roman"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3AC3776B" w14:textId="77777777" w:rsidR="00515398" w:rsidRDefault="006711E6">
            <w:pPr>
              <w:pStyle w:val="P68B1DB1-Normal50"/>
              <w:keepNext/>
              <w:spacing w:before="40" w:after="0" w:line="259" w:lineRule="auto"/>
              <w:jc w:val="both"/>
              <w:rPr>
                <w:rFonts w:eastAsia="Times New Roman" w:cs="Times New Roman"/>
                <w:noProof/>
                <w:szCs w:val="18"/>
              </w:rPr>
            </w:pPr>
            <w:r>
              <w:rPr>
                <w:noProof/>
              </w:rPr>
              <w:t>Zahájení podpůrných programů</w:t>
            </w:r>
          </w:p>
        </w:tc>
      </w:tr>
      <w:tr w:rsidR="00515398" w14:paraId="4DA8E292"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B3A8D2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10451E4E"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46A85ECB" w14:textId="77777777" w:rsidR="00515398" w:rsidRDefault="006711E6">
            <w:pPr>
              <w:pStyle w:val="P68B1DB1-Normal8"/>
              <w:keepNext/>
              <w:spacing w:before="40" w:after="0" w:line="259" w:lineRule="auto"/>
              <w:jc w:val="both"/>
              <w:rPr>
                <w:rFonts w:eastAsia="Times New Roman" w:cs="Times New Roman"/>
                <w:noProof/>
                <w:szCs w:val="18"/>
              </w:rPr>
            </w:pPr>
            <w:r>
              <w:rPr>
                <w:noProof/>
              </w:rPr>
              <w:t>Splátková částka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44495E06" w14:textId="165BBEBA" w:rsidR="00515398" w:rsidRDefault="006711E6">
            <w:pPr>
              <w:pStyle w:val="P68B1DB1-Normal8"/>
              <w:keepNext/>
              <w:spacing w:before="40" w:after="0" w:line="259" w:lineRule="auto"/>
              <w:jc w:val="both"/>
              <w:rPr>
                <w:rFonts w:eastAsia="Times New Roman" w:cs="Times New Roman"/>
                <w:noProof/>
                <w:szCs w:val="18"/>
              </w:rPr>
            </w:pPr>
            <w:r>
              <w:rPr>
                <w:noProof/>
              </w:rPr>
              <w:t>1 557 198 947 EUR</w:t>
            </w:r>
          </w:p>
        </w:tc>
      </w:tr>
    </w:tbl>
    <w:p w14:paraId="6308E56F" w14:textId="77777777" w:rsidR="00515398" w:rsidRDefault="00515398">
      <w:pPr>
        <w:keepNext/>
        <w:spacing w:before="40" w:line="259" w:lineRule="auto"/>
        <w:jc w:val="both"/>
        <w:rPr>
          <w:rFonts w:eastAsia="Times New Roman"/>
          <w:i/>
          <w:noProof/>
          <w:color w:val="4F81BD"/>
        </w:rPr>
      </w:pPr>
    </w:p>
    <w:p w14:paraId="6756D0D4"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Šestá žádost o platbu (nevratná podpora): </w:t>
      </w:r>
    </w:p>
    <w:p w14:paraId="5943ADC4" w14:textId="77777777" w:rsidR="00515398" w:rsidRDefault="00515398">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52" w:tblpY="1"/>
        <w:tblOverlap w:val="never"/>
        <w:tblW w:w="9595" w:type="dxa"/>
        <w:tblLook w:val="04A0" w:firstRow="1" w:lastRow="0" w:firstColumn="1" w:lastColumn="0" w:noHBand="0" w:noVBand="1"/>
      </w:tblPr>
      <w:tblGrid>
        <w:gridCol w:w="1795"/>
        <w:gridCol w:w="4320"/>
        <w:gridCol w:w="1680"/>
        <w:gridCol w:w="1800"/>
      </w:tblGrid>
      <w:tr w:rsidR="00515398" w14:paraId="2A75845B"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96386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FD68CF"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AA8DEF"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1407A1"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3FFB8DDC"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79635ADE"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3A1DF3F"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23FE639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140048D"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085A5C1C"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1EFA90" w14:textId="50CC13FF" w:rsidR="00515398" w:rsidRDefault="006711E6">
            <w:pPr>
              <w:pStyle w:val="P68B1DB1-Normal8"/>
              <w:keepNext/>
              <w:spacing w:before="40" w:after="0" w:line="240" w:lineRule="auto"/>
              <w:jc w:val="both"/>
              <w:rPr>
                <w:noProof/>
              </w:rPr>
            </w:pPr>
            <w:r>
              <w:rPr>
                <w:noProof/>
              </w:rPr>
              <w:t>8</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4F7F4ED6" w14:textId="4027F0BC" w:rsidR="00515398" w:rsidRDefault="006711E6">
            <w:pPr>
              <w:pStyle w:val="P68B1DB1-Normal8"/>
              <w:keepNext/>
              <w:spacing w:before="40" w:after="0" w:line="240" w:lineRule="auto"/>
              <w:jc w:val="both"/>
              <w:rPr>
                <w:noProof/>
              </w:rPr>
            </w:pPr>
            <w:r>
              <w:rPr>
                <w:noProof/>
              </w:rPr>
              <w:t>1–1.1 Zvýšení výkonu – 16865_Restrukturalizace a posílení příjmů účtu CHP OZE</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6200507D" w14:textId="574B20A1" w:rsidR="00515398" w:rsidRDefault="006711E6">
            <w:pPr>
              <w:pStyle w:val="P68B1DB1-Normal8"/>
              <w:keepNext/>
              <w:spacing w:before="40" w:after="0" w:line="240" w:lineRule="auto"/>
              <w:jc w:val="both"/>
              <w:rPr>
                <w:noProof/>
              </w:rPr>
            </w:pPr>
            <w:r>
              <w:rPr>
                <w:noProof/>
              </w:rPr>
              <w:t>Cílová</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411CC911" w14:textId="782FB380" w:rsidR="00515398" w:rsidRDefault="006711E6">
            <w:pPr>
              <w:pStyle w:val="P68B1DB1-Normal8"/>
              <w:keepNext/>
              <w:spacing w:before="40" w:after="0" w:line="240" w:lineRule="auto"/>
              <w:jc w:val="both"/>
              <w:rPr>
                <w:noProof/>
              </w:rPr>
            </w:pPr>
            <w:r>
              <w:rPr>
                <w:noProof/>
              </w:rPr>
              <w:t>Účet OZE – cíl 3 zvýšení kapacity </w:t>
            </w:r>
          </w:p>
        </w:tc>
      </w:tr>
      <w:tr w:rsidR="00515398" w14:paraId="215289F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542FDD" w14:textId="77777777" w:rsidR="00515398" w:rsidRDefault="006711E6">
            <w:pPr>
              <w:pStyle w:val="P68B1DB1-Normal8"/>
              <w:keepNext/>
              <w:spacing w:before="40" w:after="0" w:line="240" w:lineRule="auto"/>
              <w:jc w:val="both"/>
              <w:rPr>
                <w:rFonts w:cs="Times New Roman"/>
                <w:noProof/>
                <w:szCs w:val="18"/>
              </w:rPr>
            </w:pPr>
            <w:r>
              <w:rPr>
                <w:noProof/>
              </w:rPr>
              <w:t>10</w:t>
            </w:r>
          </w:p>
        </w:tc>
        <w:tc>
          <w:tcPr>
            <w:tcW w:w="4320" w:type="dxa"/>
            <w:tcBorders>
              <w:top w:val="single" w:sz="4" w:space="0" w:color="auto"/>
              <w:left w:val="nil"/>
              <w:bottom w:val="single" w:sz="4" w:space="0" w:color="auto"/>
              <w:right w:val="single" w:sz="4" w:space="0" w:color="auto"/>
            </w:tcBorders>
            <w:shd w:val="clear" w:color="auto" w:fill="C6EFCE"/>
            <w:noWrap/>
            <w:vAlign w:val="center"/>
          </w:tcPr>
          <w:p w14:paraId="32BD1384" w14:textId="77777777" w:rsidR="00515398" w:rsidRDefault="006711E6">
            <w:pPr>
              <w:pStyle w:val="P68B1DB1-Normal8"/>
              <w:keepNext/>
              <w:spacing w:before="40" w:after="0" w:line="240" w:lineRule="auto"/>
              <w:jc w:val="both"/>
              <w:rPr>
                <w:rFonts w:cs="Times New Roman"/>
                <w:noProof/>
                <w:szCs w:val="18"/>
              </w:rPr>
            </w:pPr>
            <w:r>
              <w:rPr>
                <w:noProof/>
              </w:rPr>
              <w:t xml:space="preserve">1–1.1 Posílení moci – 16871_Opatření v oblasti revitalizace </w:t>
            </w:r>
            <w:r>
              <w:rPr>
                <w:noProof/>
              </w:rPr>
              <w:t>nejvíce postižených území (území pro spravedlivou transformaci)</w:t>
            </w:r>
          </w:p>
        </w:tc>
        <w:tc>
          <w:tcPr>
            <w:tcW w:w="1680" w:type="dxa"/>
            <w:tcBorders>
              <w:top w:val="single" w:sz="4" w:space="0" w:color="auto"/>
              <w:left w:val="nil"/>
              <w:bottom w:val="single" w:sz="4" w:space="0" w:color="auto"/>
              <w:right w:val="single" w:sz="4" w:space="0" w:color="auto"/>
            </w:tcBorders>
            <w:shd w:val="clear" w:color="auto" w:fill="C6EFCE"/>
            <w:noWrap/>
            <w:vAlign w:val="center"/>
          </w:tcPr>
          <w:p w14:paraId="1AA28DD1"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vAlign w:val="center"/>
          </w:tcPr>
          <w:p w14:paraId="69273CC0" w14:textId="77777777" w:rsidR="00515398" w:rsidRDefault="006711E6">
            <w:pPr>
              <w:pStyle w:val="P68B1DB1-Normal8"/>
              <w:keepNext/>
              <w:spacing w:before="40" w:after="0" w:line="240" w:lineRule="auto"/>
              <w:jc w:val="both"/>
              <w:rPr>
                <w:rFonts w:cs="Times New Roman"/>
                <w:noProof/>
                <w:szCs w:val="18"/>
              </w:rPr>
            </w:pPr>
            <w:r>
              <w:rPr>
                <w:noProof/>
              </w:rPr>
              <w:t>Sanace půdy – městské plány</w:t>
            </w:r>
          </w:p>
        </w:tc>
      </w:tr>
      <w:tr w:rsidR="00515398" w14:paraId="676A921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7409D9F" w14:textId="6A0C4A01" w:rsidR="00515398" w:rsidRDefault="006711E6">
            <w:pPr>
              <w:pStyle w:val="P68B1DB1-Normal49"/>
              <w:keepNext/>
              <w:spacing w:before="40" w:after="0" w:line="240" w:lineRule="auto"/>
              <w:jc w:val="both"/>
              <w:rPr>
                <w:noProof/>
              </w:rPr>
            </w:pPr>
            <w:r>
              <w:rPr>
                <w:noProof/>
              </w:rPr>
              <w:t>31</w:t>
            </w:r>
          </w:p>
        </w:tc>
        <w:tc>
          <w:tcPr>
            <w:tcW w:w="4320" w:type="dxa"/>
            <w:tcBorders>
              <w:top w:val="nil"/>
              <w:left w:val="nil"/>
              <w:bottom w:val="single" w:sz="4" w:space="0" w:color="auto"/>
              <w:right w:val="single" w:sz="4" w:space="0" w:color="auto"/>
            </w:tcBorders>
            <w:shd w:val="clear" w:color="auto" w:fill="C6EFCE"/>
            <w:noWrap/>
            <w:vAlign w:val="center"/>
          </w:tcPr>
          <w:p w14:paraId="44EBB8A0" w14:textId="2948D0FF" w:rsidR="00515398" w:rsidRDefault="006711E6">
            <w:pPr>
              <w:pStyle w:val="P68B1DB1-Normal8"/>
              <w:keepNext/>
              <w:spacing w:before="40" w:after="0" w:line="240" w:lineRule="auto"/>
              <w:jc w:val="both"/>
              <w:rPr>
                <w:noProof/>
              </w:rPr>
            </w:pPr>
            <w:r>
              <w:rPr>
                <w:noProof/>
              </w:rPr>
              <w:t>2–1.2. Renovace – 16891_Zavedení nového územního plánování námořních prostor</w:t>
            </w:r>
          </w:p>
        </w:tc>
        <w:tc>
          <w:tcPr>
            <w:tcW w:w="1680" w:type="dxa"/>
            <w:tcBorders>
              <w:top w:val="nil"/>
              <w:left w:val="nil"/>
              <w:bottom w:val="single" w:sz="4" w:space="0" w:color="auto"/>
              <w:right w:val="single" w:sz="4" w:space="0" w:color="auto"/>
            </w:tcBorders>
            <w:shd w:val="clear" w:color="auto" w:fill="C6EFCE"/>
            <w:noWrap/>
            <w:vAlign w:val="center"/>
          </w:tcPr>
          <w:p w14:paraId="2216A021" w14:textId="69868E43"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5909C8D6" w14:textId="2994B8A4" w:rsidR="00515398" w:rsidRDefault="006711E6">
            <w:pPr>
              <w:pStyle w:val="P68B1DB1-Normal49"/>
              <w:keepNext/>
              <w:spacing w:before="40" w:after="0" w:line="240" w:lineRule="auto"/>
              <w:jc w:val="both"/>
              <w:rPr>
                <w:noProof/>
              </w:rPr>
            </w:pPr>
            <w:r>
              <w:rPr>
                <w:noProof/>
              </w:rPr>
              <w:t>Přijetí námořní strategie</w:t>
            </w:r>
          </w:p>
        </w:tc>
      </w:tr>
      <w:tr w:rsidR="00515398" w14:paraId="6CEC7A7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A43156A" w14:textId="2E7FDFF3" w:rsidR="00515398" w:rsidRDefault="006711E6">
            <w:pPr>
              <w:pStyle w:val="P68B1DB1-Normal49"/>
              <w:keepNext/>
              <w:spacing w:before="40" w:after="0" w:line="240" w:lineRule="auto"/>
              <w:jc w:val="both"/>
              <w:rPr>
                <w:rFonts w:eastAsia="Times New Roman" w:cs="Times New Roman"/>
                <w:noProof/>
              </w:rPr>
            </w:pPr>
            <w:r>
              <w:rPr>
                <w:noProof/>
              </w:rPr>
              <w:t>113</w:t>
            </w:r>
          </w:p>
        </w:tc>
        <w:tc>
          <w:tcPr>
            <w:tcW w:w="4320" w:type="dxa"/>
            <w:tcBorders>
              <w:top w:val="nil"/>
              <w:left w:val="nil"/>
              <w:bottom w:val="single" w:sz="4" w:space="0" w:color="auto"/>
              <w:right w:val="single" w:sz="4" w:space="0" w:color="auto"/>
            </w:tcBorders>
            <w:shd w:val="clear" w:color="auto" w:fill="C6EFCE"/>
            <w:noWrap/>
            <w:vAlign w:val="center"/>
          </w:tcPr>
          <w:p w14:paraId="6FAE7572" w14:textId="7ABF331B" w:rsidR="00515398" w:rsidRDefault="006711E6">
            <w:pPr>
              <w:pStyle w:val="P68B1DB1-Normal49"/>
              <w:keepNext/>
              <w:spacing w:before="40" w:after="0" w:line="240" w:lineRule="auto"/>
              <w:jc w:val="both"/>
              <w:rPr>
                <w:rFonts w:eastAsia="Times New Roman" w:cs="Times New Roman"/>
                <w:noProof/>
              </w:rPr>
            </w:pPr>
            <w:r>
              <w:rPr>
                <w:noProof/>
              </w:rPr>
              <w:t xml:space="preserve">6–2.2. Modernizace – 16738_Centrální </w:t>
            </w:r>
            <w:r>
              <w:rPr>
                <w:noProof/>
              </w:rPr>
              <w:t>systém správy dokumentů</w:t>
            </w:r>
          </w:p>
        </w:tc>
        <w:tc>
          <w:tcPr>
            <w:tcW w:w="1680" w:type="dxa"/>
            <w:tcBorders>
              <w:top w:val="nil"/>
              <w:left w:val="nil"/>
              <w:bottom w:val="single" w:sz="4" w:space="0" w:color="auto"/>
              <w:right w:val="single" w:sz="4" w:space="0" w:color="auto"/>
            </w:tcBorders>
            <w:shd w:val="clear" w:color="auto" w:fill="C6EFCE"/>
            <w:noWrap/>
            <w:vAlign w:val="center"/>
          </w:tcPr>
          <w:p w14:paraId="59BF0E81" w14:textId="14189E1A" w:rsidR="00515398" w:rsidRDefault="006711E6">
            <w:pPr>
              <w:pStyle w:val="P68B1DB1-Normal49"/>
              <w:keepNext/>
              <w:spacing w:before="40" w:after="0" w:line="240" w:lineRule="auto"/>
              <w:jc w:val="both"/>
              <w:rPr>
                <w:rFonts w:eastAsia="Times New Roman" w:cs="Times New Roman"/>
                <w:noProof/>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4C668B02" w14:textId="0F7618B3" w:rsidR="00515398" w:rsidRDefault="006711E6">
            <w:pPr>
              <w:pStyle w:val="P68B1DB1-Normal49"/>
              <w:keepNext/>
              <w:spacing w:before="40" w:after="0" w:line="240" w:lineRule="auto"/>
              <w:jc w:val="both"/>
              <w:rPr>
                <w:rFonts w:eastAsia="Times New Roman" w:cs="Times New Roman"/>
                <w:noProof/>
              </w:rPr>
            </w:pPr>
            <w:r>
              <w:rPr>
                <w:noProof/>
              </w:rPr>
              <w:t xml:space="preserve">Dokončení projektu Centrálního systému správy dokumentů </w:t>
            </w:r>
          </w:p>
        </w:tc>
      </w:tr>
      <w:tr w:rsidR="00515398" w14:paraId="4048DA0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378AF7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122</w:t>
            </w:r>
          </w:p>
        </w:tc>
        <w:tc>
          <w:tcPr>
            <w:tcW w:w="4320" w:type="dxa"/>
            <w:tcBorders>
              <w:top w:val="nil"/>
              <w:left w:val="nil"/>
              <w:bottom w:val="single" w:sz="4" w:space="0" w:color="auto"/>
              <w:right w:val="single" w:sz="4" w:space="0" w:color="auto"/>
            </w:tcBorders>
            <w:shd w:val="clear" w:color="auto" w:fill="C6EFCE"/>
            <w:noWrap/>
            <w:vAlign w:val="center"/>
          </w:tcPr>
          <w:p w14:paraId="07F0439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16853 Poskytování infrastruktury a služeb centrální cloud computingu</w:t>
            </w:r>
          </w:p>
        </w:tc>
        <w:tc>
          <w:tcPr>
            <w:tcW w:w="1680" w:type="dxa"/>
            <w:tcBorders>
              <w:top w:val="nil"/>
              <w:left w:val="nil"/>
              <w:bottom w:val="single" w:sz="4" w:space="0" w:color="auto"/>
              <w:right w:val="single" w:sz="4" w:space="0" w:color="auto"/>
            </w:tcBorders>
            <w:shd w:val="clear" w:color="auto" w:fill="C6EFCE"/>
            <w:noWrap/>
            <w:vAlign w:val="center"/>
          </w:tcPr>
          <w:p w14:paraId="275CFBA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352DFCD2"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infrastruktury a služeb centrální cloud computingu</w:t>
            </w:r>
          </w:p>
        </w:tc>
      </w:tr>
      <w:tr w:rsidR="00515398" w14:paraId="316775B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5E050C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155</w:t>
            </w:r>
          </w:p>
        </w:tc>
        <w:tc>
          <w:tcPr>
            <w:tcW w:w="4320" w:type="dxa"/>
            <w:tcBorders>
              <w:top w:val="nil"/>
              <w:left w:val="nil"/>
              <w:bottom w:val="single" w:sz="4" w:space="0" w:color="auto"/>
              <w:right w:val="single" w:sz="4" w:space="0" w:color="auto"/>
            </w:tcBorders>
            <w:shd w:val="clear" w:color="auto" w:fill="C6EFCE"/>
            <w:noWrap/>
            <w:vAlign w:val="center"/>
          </w:tcPr>
          <w:p w14:paraId="498791C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zdravotní péče – 16816_Reformy a urychlení investic v odvětví zdravotní péče – snížení zpětného vymáhání a racionalizace výdajů na zdravotní péči</w:t>
            </w:r>
          </w:p>
        </w:tc>
        <w:tc>
          <w:tcPr>
            <w:tcW w:w="1680" w:type="dxa"/>
            <w:tcBorders>
              <w:top w:val="nil"/>
              <w:left w:val="nil"/>
              <w:bottom w:val="single" w:sz="4" w:space="0" w:color="auto"/>
              <w:right w:val="single" w:sz="4" w:space="0" w:color="auto"/>
            </w:tcBorders>
            <w:shd w:val="clear" w:color="auto" w:fill="C6EFCE"/>
            <w:noWrap/>
            <w:vAlign w:val="center"/>
          </w:tcPr>
          <w:p w14:paraId="70F11F17"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6D42A958" w14:textId="77777777" w:rsidR="00515398" w:rsidRDefault="006711E6">
            <w:pPr>
              <w:pStyle w:val="P68B1DB1-Normal8"/>
              <w:keepNext/>
              <w:spacing w:before="40" w:after="0" w:line="240" w:lineRule="auto"/>
              <w:jc w:val="both"/>
              <w:rPr>
                <w:rFonts w:eastAsia="Times New Roman" w:cs="Times New Roman"/>
                <w:noProof/>
                <w:szCs w:val="18"/>
              </w:rPr>
            </w:pPr>
            <w:r>
              <w:rPr>
                <w:noProof/>
              </w:rPr>
              <w:t>Snížení zpětného získání 150000000 – krok 2</w:t>
            </w:r>
          </w:p>
        </w:tc>
      </w:tr>
      <w:tr w:rsidR="00515398" w14:paraId="418DD1F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C3A4FF8" w14:textId="7C4E1B03" w:rsidR="00515398" w:rsidRDefault="006711E6">
            <w:pPr>
              <w:pStyle w:val="P68B1DB1-Normal8"/>
              <w:keepNext/>
              <w:spacing w:before="40" w:after="0" w:line="240" w:lineRule="auto"/>
              <w:jc w:val="both"/>
              <w:rPr>
                <w:noProof/>
              </w:rPr>
            </w:pPr>
            <w:r>
              <w:rPr>
                <w:noProof/>
              </w:rPr>
              <w:t>14</w:t>
            </w:r>
            <w:r>
              <w:rPr>
                <w:noProof/>
              </w:rPr>
              <w:t>8</w:t>
            </w:r>
          </w:p>
        </w:tc>
        <w:tc>
          <w:tcPr>
            <w:tcW w:w="4320" w:type="dxa"/>
            <w:tcBorders>
              <w:top w:val="nil"/>
              <w:left w:val="nil"/>
              <w:bottom w:val="single" w:sz="4" w:space="0" w:color="auto"/>
              <w:right w:val="single" w:sz="4" w:space="0" w:color="auto"/>
            </w:tcBorders>
            <w:shd w:val="clear" w:color="auto" w:fill="C6EFCE"/>
            <w:noWrap/>
            <w:vAlign w:val="center"/>
          </w:tcPr>
          <w:p w14:paraId="741ACD09" w14:textId="1540E36B" w:rsidR="00515398" w:rsidRDefault="006711E6">
            <w:pPr>
              <w:pStyle w:val="P68B1DB1-Normal8"/>
              <w:keepNext/>
              <w:spacing w:before="40" w:after="0" w:line="240" w:lineRule="auto"/>
              <w:jc w:val="both"/>
              <w:rPr>
                <w:noProof/>
              </w:rPr>
            </w:pPr>
            <w:r>
              <w:rPr>
                <w:noProof/>
              </w:rPr>
              <w:t>9–3.2. Vzdělávání, odborné vzdělávání a příprava a dovednosti – 16676_Digitální transformace vzdělávání</w:t>
            </w:r>
          </w:p>
        </w:tc>
        <w:tc>
          <w:tcPr>
            <w:tcW w:w="1680" w:type="dxa"/>
            <w:tcBorders>
              <w:top w:val="nil"/>
              <w:left w:val="nil"/>
              <w:bottom w:val="single" w:sz="4" w:space="0" w:color="auto"/>
              <w:right w:val="single" w:sz="4" w:space="0" w:color="auto"/>
            </w:tcBorders>
            <w:shd w:val="clear" w:color="auto" w:fill="C6EFCE"/>
            <w:noWrap/>
            <w:vAlign w:val="center"/>
          </w:tcPr>
          <w:p w14:paraId="4338BA58" w14:textId="75614DDE" w:rsidR="00515398" w:rsidRDefault="006711E6">
            <w:pPr>
              <w:pStyle w:val="P68B1DB1-Normal8"/>
              <w:keepNext/>
              <w:spacing w:before="40" w:after="0" w:line="240" w:lineRule="auto"/>
              <w:jc w:val="both"/>
              <w:rPr>
                <w:noProof/>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7251A758" w14:textId="1C82FE70" w:rsidR="00515398" w:rsidRDefault="006711E6">
            <w:pPr>
              <w:pStyle w:val="P68B1DB1-Normal8"/>
              <w:keepNext/>
              <w:spacing w:before="40" w:after="0" w:line="240" w:lineRule="auto"/>
              <w:jc w:val="both"/>
              <w:rPr>
                <w:noProof/>
              </w:rPr>
            </w:pPr>
            <w:r>
              <w:rPr>
                <w:noProof/>
              </w:rPr>
              <w:t>Dokončení instalace interaktivních systémů</w:t>
            </w:r>
          </w:p>
        </w:tc>
      </w:tr>
      <w:tr w:rsidR="00515398" w14:paraId="125B5B9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91B410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156</w:t>
            </w:r>
          </w:p>
        </w:tc>
        <w:tc>
          <w:tcPr>
            <w:tcW w:w="4320" w:type="dxa"/>
            <w:tcBorders>
              <w:top w:val="nil"/>
              <w:left w:val="nil"/>
              <w:bottom w:val="single" w:sz="4" w:space="0" w:color="auto"/>
              <w:right w:val="single" w:sz="4" w:space="0" w:color="auto"/>
            </w:tcBorders>
            <w:shd w:val="clear" w:color="auto" w:fill="C6EFCE"/>
            <w:noWrap/>
            <w:vAlign w:val="center"/>
          </w:tcPr>
          <w:p w14:paraId="559B4E3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10–3.3. Zlepšení odolnosti, dostupnosti a udržitelnosti zdravotní péče – 16816_Reformy a </w:t>
            </w:r>
            <w:r>
              <w:rPr>
                <w:noProof/>
              </w:rPr>
              <w:t>urychlení investic v odvětví zdravotní péče – snížení zpětného vymáhání a racionalizace výdajů na zdravotní péči</w:t>
            </w:r>
          </w:p>
        </w:tc>
        <w:tc>
          <w:tcPr>
            <w:tcW w:w="1680" w:type="dxa"/>
            <w:tcBorders>
              <w:top w:val="nil"/>
              <w:left w:val="nil"/>
              <w:bottom w:val="single" w:sz="4" w:space="0" w:color="auto"/>
              <w:right w:val="single" w:sz="4" w:space="0" w:color="auto"/>
            </w:tcBorders>
            <w:shd w:val="clear" w:color="auto" w:fill="C6EFCE"/>
            <w:noWrap/>
            <w:vAlign w:val="center"/>
          </w:tcPr>
          <w:p w14:paraId="42145A30"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21D4C4D9" w14:textId="77777777" w:rsidR="00515398" w:rsidRDefault="006711E6">
            <w:pPr>
              <w:pStyle w:val="P68B1DB1-Normal8"/>
              <w:keepNext/>
              <w:spacing w:before="40" w:after="0" w:line="240" w:lineRule="auto"/>
              <w:jc w:val="both"/>
              <w:rPr>
                <w:rFonts w:cs="Times New Roman"/>
                <w:noProof/>
                <w:szCs w:val="18"/>
              </w:rPr>
            </w:pPr>
            <w:r>
              <w:rPr>
                <w:noProof/>
              </w:rPr>
              <w:t>Výzkum a vývoj farmaceutických výrobků</w:t>
            </w:r>
          </w:p>
          <w:p w14:paraId="7A907166" w14:textId="41935109" w:rsidR="00515398" w:rsidRDefault="006711E6">
            <w:pPr>
              <w:pStyle w:val="P68B1DB1-Normal49"/>
              <w:keepNext/>
              <w:spacing w:before="40" w:after="0" w:line="240" w:lineRule="auto"/>
              <w:jc w:val="both"/>
              <w:rPr>
                <w:rFonts w:eastAsia="Times New Roman" w:cs="Times New Roman"/>
                <w:noProof/>
              </w:rPr>
            </w:pPr>
            <w:r>
              <w:rPr>
                <w:noProof/>
              </w:rPr>
              <w:t>důkaz o investici – krok 1</w:t>
            </w:r>
          </w:p>
        </w:tc>
      </w:tr>
      <w:tr w:rsidR="00515398" w14:paraId="29B83AB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8ABE578" w14:textId="77777777" w:rsidR="00515398" w:rsidRDefault="006711E6">
            <w:pPr>
              <w:pStyle w:val="P68B1DB1-Normal8"/>
              <w:keepNext/>
              <w:spacing w:before="40" w:after="0" w:line="240" w:lineRule="auto"/>
              <w:jc w:val="both"/>
              <w:rPr>
                <w:rFonts w:cs="Times New Roman"/>
                <w:noProof/>
                <w:szCs w:val="18"/>
              </w:rPr>
            </w:pPr>
            <w:r>
              <w:rPr>
                <w:noProof/>
              </w:rPr>
              <w:t>167</w:t>
            </w:r>
          </w:p>
        </w:tc>
        <w:tc>
          <w:tcPr>
            <w:tcW w:w="4320" w:type="dxa"/>
            <w:tcBorders>
              <w:top w:val="nil"/>
              <w:left w:val="nil"/>
              <w:bottom w:val="single" w:sz="4" w:space="0" w:color="auto"/>
              <w:right w:val="single" w:sz="4" w:space="0" w:color="auto"/>
            </w:tcBorders>
            <w:shd w:val="clear" w:color="auto" w:fill="C6EFCE"/>
            <w:noWrap/>
            <w:vAlign w:val="center"/>
          </w:tcPr>
          <w:p w14:paraId="058F14D3" w14:textId="77777777" w:rsidR="00515398" w:rsidRDefault="006711E6">
            <w:pPr>
              <w:pStyle w:val="P68B1DB1-Normal8"/>
              <w:keepNext/>
              <w:spacing w:before="40" w:after="0" w:line="240" w:lineRule="auto"/>
              <w:jc w:val="both"/>
              <w:rPr>
                <w:rFonts w:cs="Times New Roman"/>
                <w:noProof/>
                <w:szCs w:val="18"/>
              </w:rPr>
            </w:pPr>
            <w:r>
              <w:rPr>
                <w:noProof/>
              </w:rPr>
              <w:t>10–3.3. Zlepšení odolnosti, dostupnosti a udržitelnosti zdravotní</w:t>
            </w:r>
            <w:r>
              <w:rPr>
                <w:noProof/>
              </w:rPr>
              <w:t xml:space="preserve"> péče – 16752_Digitální transformace zdraví (DigHealth)</w:t>
            </w:r>
          </w:p>
        </w:tc>
        <w:tc>
          <w:tcPr>
            <w:tcW w:w="1680" w:type="dxa"/>
            <w:tcBorders>
              <w:top w:val="nil"/>
              <w:left w:val="nil"/>
              <w:bottom w:val="single" w:sz="4" w:space="0" w:color="auto"/>
              <w:right w:val="single" w:sz="4" w:space="0" w:color="auto"/>
            </w:tcBorders>
            <w:shd w:val="clear" w:color="auto" w:fill="C6EFCE"/>
            <w:noWrap/>
            <w:vAlign w:val="center"/>
          </w:tcPr>
          <w:p w14:paraId="5D1E892A"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780F808" w14:textId="77777777" w:rsidR="00515398" w:rsidRDefault="006711E6">
            <w:pPr>
              <w:pStyle w:val="P68B1DB1-Normal8"/>
              <w:keepNext/>
              <w:spacing w:before="40" w:after="0" w:line="240" w:lineRule="auto"/>
              <w:jc w:val="both"/>
              <w:rPr>
                <w:rFonts w:cs="Times New Roman"/>
                <w:noProof/>
                <w:szCs w:val="18"/>
              </w:rPr>
            </w:pPr>
            <w:r>
              <w:rPr>
                <w:noProof/>
              </w:rPr>
              <w:t>Digitální transformace v oblasti zdravotní péče – vnitrostátní digitální zdravotní záznamy (dílčí projekt 1)</w:t>
            </w:r>
          </w:p>
        </w:tc>
      </w:tr>
      <w:tr w:rsidR="00515398" w14:paraId="0DAED16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BB0BF2B" w14:textId="4B989B03" w:rsidR="00515398" w:rsidRDefault="006711E6">
            <w:pPr>
              <w:pStyle w:val="P68B1DB1-Normal8"/>
              <w:keepNext/>
              <w:spacing w:before="40" w:after="0" w:line="240" w:lineRule="auto"/>
              <w:jc w:val="both"/>
              <w:rPr>
                <w:rFonts w:cs="Times New Roman"/>
                <w:noProof/>
                <w:szCs w:val="18"/>
              </w:rPr>
            </w:pPr>
            <w:r>
              <w:rPr>
                <w:noProof/>
              </w:rPr>
              <w:t>175a</w:t>
            </w:r>
          </w:p>
        </w:tc>
        <w:tc>
          <w:tcPr>
            <w:tcW w:w="4320" w:type="dxa"/>
            <w:tcBorders>
              <w:top w:val="nil"/>
              <w:left w:val="nil"/>
              <w:bottom w:val="single" w:sz="4" w:space="0" w:color="auto"/>
              <w:right w:val="single" w:sz="4" w:space="0" w:color="auto"/>
            </w:tcBorders>
            <w:shd w:val="clear" w:color="auto" w:fill="C6EFCE"/>
            <w:noWrap/>
            <w:vAlign w:val="center"/>
          </w:tcPr>
          <w:p w14:paraId="66A29BCD" w14:textId="150ECE4C" w:rsidR="00515398" w:rsidRDefault="006711E6">
            <w:pPr>
              <w:pStyle w:val="P68B1DB1-Normal8"/>
              <w:keepNext/>
              <w:spacing w:before="40" w:after="0" w:line="240" w:lineRule="auto"/>
              <w:jc w:val="both"/>
              <w:rPr>
                <w:rFonts w:cs="Times New Roman"/>
                <w:noProof/>
                <w:szCs w:val="18"/>
              </w:rPr>
            </w:pPr>
            <w:r>
              <w:rPr>
                <w:noProof/>
              </w:rPr>
              <w:t xml:space="preserve">11–3.4. Zlepšení přístupu k účinným a inkluzivním sociálním politikám – 16726 </w:t>
            </w:r>
            <w:r>
              <w:rPr>
                <w:noProof/>
              </w:rPr>
              <w:t>optimalizace sociálních dávek</w:t>
            </w:r>
          </w:p>
        </w:tc>
        <w:tc>
          <w:tcPr>
            <w:tcW w:w="1680" w:type="dxa"/>
            <w:tcBorders>
              <w:top w:val="nil"/>
              <w:left w:val="nil"/>
              <w:bottom w:val="single" w:sz="4" w:space="0" w:color="auto"/>
              <w:right w:val="single" w:sz="4" w:space="0" w:color="auto"/>
            </w:tcBorders>
            <w:shd w:val="clear" w:color="auto" w:fill="C6EFCE"/>
            <w:noWrap/>
            <w:vAlign w:val="center"/>
          </w:tcPr>
          <w:p w14:paraId="073FF6BF" w14:textId="740CEE5B"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3BE9A6BF" w14:textId="231AF95E" w:rsidR="00515398" w:rsidRDefault="006711E6">
            <w:pPr>
              <w:pStyle w:val="P68B1DB1-Normal8"/>
              <w:keepNext/>
              <w:spacing w:before="40" w:after="0" w:line="240" w:lineRule="auto"/>
              <w:jc w:val="both"/>
              <w:rPr>
                <w:rFonts w:cs="Times New Roman"/>
                <w:noProof/>
                <w:szCs w:val="18"/>
              </w:rPr>
            </w:pPr>
            <w:r>
              <w:rPr>
                <w:noProof/>
              </w:rPr>
              <w:t>Optimalizace sociálních dávek předplacené karty</w:t>
            </w:r>
          </w:p>
        </w:tc>
      </w:tr>
      <w:tr w:rsidR="00515398" w14:paraId="7C3888F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6A4BC2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189</w:t>
            </w:r>
          </w:p>
        </w:tc>
        <w:tc>
          <w:tcPr>
            <w:tcW w:w="4320" w:type="dxa"/>
            <w:tcBorders>
              <w:top w:val="nil"/>
              <w:left w:val="nil"/>
              <w:bottom w:val="single" w:sz="4" w:space="0" w:color="auto"/>
              <w:right w:val="single" w:sz="4" w:space="0" w:color="auto"/>
            </w:tcBorders>
            <w:shd w:val="clear" w:color="auto" w:fill="C6EFCE"/>
            <w:noWrap/>
            <w:vAlign w:val="center"/>
          </w:tcPr>
          <w:p w14:paraId="78D30C8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příznivějšími pro růst a zlepšit daňovou správu a výběr daní – 16614_Online registrační pokladny a POS (reforma)</w:t>
            </w:r>
          </w:p>
        </w:tc>
        <w:tc>
          <w:tcPr>
            <w:tcW w:w="1680" w:type="dxa"/>
            <w:tcBorders>
              <w:top w:val="nil"/>
              <w:left w:val="nil"/>
              <w:bottom w:val="single" w:sz="4" w:space="0" w:color="auto"/>
              <w:right w:val="single" w:sz="4" w:space="0" w:color="auto"/>
            </w:tcBorders>
            <w:shd w:val="clear" w:color="auto" w:fill="C6EFCE"/>
            <w:noWrap/>
            <w:vAlign w:val="center"/>
          </w:tcPr>
          <w:p w14:paraId="53950B4F"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800" w:type="dxa"/>
            <w:tcBorders>
              <w:top w:val="nil"/>
              <w:left w:val="nil"/>
              <w:bottom w:val="single" w:sz="4" w:space="0" w:color="auto"/>
              <w:right w:val="single" w:sz="4" w:space="0" w:color="auto"/>
            </w:tcBorders>
            <w:shd w:val="clear" w:color="auto" w:fill="C6EFCE"/>
            <w:noWrap/>
            <w:vAlign w:val="center"/>
          </w:tcPr>
          <w:p w14:paraId="17DFB53C" w14:textId="5CDD4059" w:rsidR="00515398" w:rsidRDefault="006711E6">
            <w:pPr>
              <w:pStyle w:val="P68B1DB1-Normal8"/>
              <w:keepNext/>
              <w:spacing w:before="40" w:after="0" w:line="240" w:lineRule="auto"/>
              <w:jc w:val="both"/>
              <w:rPr>
                <w:rFonts w:eastAsia="Times New Roman" w:cs="Times New Roman"/>
                <w:noProof/>
                <w:szCs w:val="18"/>
              </w:rPr>
            </w:pPr>
            <w:r>
              <w:rPr>
                <w:noProof/>
              </w:rPr>
              <w:t>Nezávislý úřad pro veřejné</w:t>
            </w:r>
            <w:r>
              <w:rPr>
                <w:noProof/>
              </w:rPr>
              <w:t xml:space="preserve"> příjmy: On-line registrační pokladny a prodejní místa – </w:t>
            </w:r>
            <w:r>
              <w:rPr>
                <w:noProof/>
                <w:szCs w:val="18"/>
              </w:rPr>
              <w:t xml:space="preserve">integrace </w:t>
            </w:r>
            <w:r>
              <w:rPr>
                <w:noProof/>
              </w:rPr>
              <w:t xml:space="preserve">a propojení </w:t>
            </w:r>
          </w:p>
        </w:tc>
      </w:tr>
      <w:tr w:rsidR="00515398" w14:paraId="7772A8A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FEBB1E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204</w:t>
            </w:r>
          </w:p>
        </w:tc>
        <w:tc>
          <w:tcPr>
            <w:tcW w:w="4320" w:type="dxa"/>
            <w:tcBorders>
              <w:top w:val="nil"/>
              <w:left w:val="nil"/>
              <w:bottom w:val="single" w:sz="4" w:space="0" w:color="auto"/>
              <w:right w:val="single" w:sz="4" w:space="0" w:color="auto"/>
            </w:tcBorders>
            <w:shd w:val="clear" w:color="auto" w:fill="C6EFCE"/>
            <w:noWrap/>
            <w:vAlign w:val="center"/>
          </w:tcPr>
          <w:p w14:paraId="301548C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 daňovou správu a výběr daní – 16643_Kodifikace a zjednodušení daňových právních předpisů</w:t>
            </w:r>
          </w:p>
        </w:tc>
        <w:tc>
          <w:tcPr>
            <w:tcW w:w="1680" w:type="dxa"/>
            <w:tcBorders>
              <w:top w:val="nil"/>
              <w:left w:val="nil"/>
              <w:bottom w:val="single" w:sz="4" w:space="0" w:color="auto"/>
              <w:right w:val="single" w:sz="4" w:space="0" w:color="auto"/>
            </w:tcBorders>
            <w:shd w:val="clear" w:color="auto" w:fill="C6EFCE"/>
            <w:noWrap/>
            <w:vAlign w:val="center"/>
          </w:tcPr>
          <w:p w14:paraId="3B95F447"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2C9168C"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počáteční </w:t>
            </w:r>
            <w:r>
              <w:rPr>
                <w:noProof/>
              </w:rPr>
              <w:t>kodifikace daní a informačního systému pro daňové poplatníky</w:t>
            </w:r>
          </w:p>
        </w:tc>
      </w:tr>
      <w:tr w:rsidR="00515398" w14:paraId="2DD36E6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1D956256" w14:textId="573A46C8" w:rsidR="00515398" w:rsidRDefault="006711E6">
            <w:pPr>
              <w:pStyle w:val="P68B1DB1-Normal8"/>
              <w:keepNext/>
              <w:spacing w:before="40" w:after="0" w:line="240" w:lineRule="auto"/>
              <w:jc w:val="both"/>
              <w:rPr>
                <w:noProof/>
              </w:rPr>
            </w:pPr>
            <w:r>
              <w:rPr>
                <w:noProof/>
              </w:rPr>
              <w:t>340</w:t>
            </w:r>
          </w:p>
        </w:tc>
        <w:tc>
          <w:tcPr>
            <w:tcW w:w="4320" w:type="dxa"/>
            <w:tcBorders>
              <w:top w:val="nil"/>
              <w:left w:val="nil"/>
              <w:bottom w:val="single" w:sz="4" w:space="0" w:color="auto"/>
              <w:right w:val="single" w:sz="4" w:space="0" w:color="auto"/>
            </w:tcBorders>
            <w:shd w:val="clear" w:color="auto" w:fill="C6EFCE"/>
            <w:noWrap/>
          </w:tcPr>
          <w:p w14:paraId="06EA3657" w14:textId="71BA49DC" w:rsidR="00515398" w:rsidRDefault="006711E6">
            <w:pPr>
              <w:pStyle w:val="P68B1DB1-Normal8"/>
              <w:keepNext/>
              <w:spacing w:before="40" w:after="0" w:line="240" w:lineRule="auto"/>
              <w:jc w:val="both"/>
              <w:rPr>
                <w:noProof/>
              </w:rPr>
            </w:pPr>
            <w:r>
              <w:rPr>
                <w:noProof/>
              </w:rPr>
              <w:t>12–4.1. Učinit daně příznivější pro růst a zlepšit daňovou správu a výběr daní – 16985_Změny řeckého rámce daňové politiky</w:t>
            </w:r>
          </w:p>
        </w:tc>
        <w:tc>
          <w:tcPr>
            <w:tcW w:w="1680" w:type="dxa"/>
            <w:tcBorders>
              <w:top w:val="nil"/>
              <w:left w:val="nil"/>
              <w:bottom w:val="single" w:sz="4" w:space="0" w:color="auto"/>
              <w:right w:val="single" w:sz="4" w:space="0" w:color="auto"/>
            </w:tcBorders>
            <w:shd w:val="clear" w:color="auto" w:fill="C6EFCE"/>
            <w:noWrap/>
          </w:tcPr>
          <w:p w14:paraId="62336AD0" w14:textId="12B069A5"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tcPr>
          <w:p w14:paraId="6995AB24" w14:textId="14D1A800" w:rsidR="00515398" w:rsidRDefault="006711E6">
            <w:pPr>
              <w:pStyle w:val="P68B1DB1-Normal8"/>
              <w:keepNext/>
              <w:spacing w:before="40" w:after="0" w:line="240" w:lineRule="auto"/>
              <w:jc w:val="both"/>
              <w:rPr>
                <w:noProof/>
              </w:rPr>
            </w:pPr>
            <w:r>
              <w:rPr>
                <w:noProof/>
              </w:rPr>
              <w:t>Bojovat proti daňovým únikům využíváním myDATA pro účely dan</w:t>
            </w:r>
            <w:r>
              <w:rPr>
                <w:noProof/>
              </w:rPr>
              <w:t>ě z příjmů</w:t>
            </w:r>
          </w:p>
        </w:tc>
      </w:tr>
      <w:tr w:rsidR="00515398" w14:paraId="3A7FC83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4BD5742" w14:textId="77777777" w:rsidR="00515398" w:rsidRDefault="006711E6">
            <w:pPr>
              <w:pStyle w:val="P68B1DB1-Normal8"/>
              <w:keepNext/>
              <w:spacing w:before="40" w:after="0" w:line="240" w:lineRule="auto"/>
              <w:jc w:val="both"/>
              <w:rPr>
                <w:rFonts w:cs="Times New Roman"/>
                <w:noProof/>
                <w:szCs w:val="18"/>
              </w:rPr>
            </w:pPr>
            <w:r>
              <w:rPr>
                <w:noProof/>
              </w:rPr>
              <w:t>212</w:t>
            </w:r>
          </w:p>
        </w:tc>
        <w:tc>
          <w:tcPr>
            <w:tcW w:w="4320" w:type="dxa"/>
            <w:tcBorders>
              <w:top w:val="nil"/>
              <w:left w:val="nil"/>
              <w:bottom w:val="single" w:sz="4" w:space="0" w:color="auto"/>
              <w:right w:val="single" w:sz="4" w:space="0" w:color="auto"/>
            </w:tcBorders>
            <w:shd w:val="clear" w:color="auto" w:fill="C6EFCE"/>
            <w:noWrap/>
            <w:vAlign w:val="center"/>
          </w:tcPr>
          <w:p w14:paraId="6EC92CC1" w14:textId="77777777" w:rsidR="00515398" w:rsidRDefault="006711E6">
            <w:pPr>
              <w:pStyle w:val="P68B1DB1-Normal8"/>
              <w:keepNext/>
              <w:spacing w:before="40" w:after="0" w:line="240" w:lineRule="auto"/>
              <w:jc w:val="both"/>
              <w:rPr>
                <w:rFonts w:cs="Times New Roman"/>
                <w:noProof/>
                <w:szCs w:val="18"/>
              </w:rPr>
            </w:pPr>
            <w:r>
              <w:rPr>
                <w:noProof/>
              </w:rPr>
              <w:t xml:space="preserve">13–4. Modernizace veřejné správy, mimo jiné urychlením provádění veřejných investic, zlepšením rámce pro zadávání veřejných zakázek, opatřeními na budování kapacit a bojem proti korupci – 16702_Posílení rámce pro boj proti praní peněz a </w:t>
            </w:r>
            <w:r>
              <w:rPr>
                <w:noProof/>
              </w:rPr>
              <w:t>financování terorismu</w:t>
            </w:r>
          </w:p>
        </w:tc>
        <w:tc>
          <w:tcPr>
            <w:tcW w:w="1680" w:type="dxa"/>
            <w:tcBorders>
              <w:top w:val="nil"/>
              <w:left w:val="nil"/>
              <w:bottom w:val="single" w:sz="4" w:space="0" w:color="auto"/>
              <w:right w:val="single" w:sz="4" w:space="0" w:color="auto"/>
            </w:tcBorders>
            <w:shd w:val="clear" w:color="auto" w:fill="C6EFCE"/>
            <w:noWrap/>
            <w:vAlign w:val="center"/>
          </w:tcPr>
          <w:p w14:paraId="36C6E7A4"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7B15E6A" w14:textId="77777777" w:rsidR="00515398" w:rsidRDefault="006711E6">
            <w:pPr>
              <w:pStyle w:val="P68B1DB1-Normal8"/>
              <w:keepNext/>
              <w:spacing w:before="40" w:after="0" w:line="240" w:lineRule="auto"/>
              <w:jc w:val="both"/>
              <w:rPr>
                <w:rFonts w:cs="Times New Roman"/>
                <w:noProof/>
                <w:szCs w:val="18"/>
              </w:rPr>
            </w:pPr>
            <w:r>
              <w:rPr>
                <w:noProof/>
              </w:rPr>
              <w:t>Posílený rámec pro boj proti praní peněz a financování terorismu</w:t>
            </w:r>
          </w:p>
        </w:tc>
      </w:tr>
      <w:tr w:rsidR="00515398" w14:paraId="2E1186E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3300F2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216</w:t>
            </w:r>
          </w:p>
        </w:tc>
        <w:tc>
          <w:tcPr>
            <w:tcW w:w="4320" w:type="dxa"/>
            <w:tcBorders>
              <w:top w:val="nil"/>
              <w:left w:val="nil"/>
              <w:bottom w:val="single" w:sz="4" w:space="0" w:color="auto"/>
              <w:right w:val="single" w:sz="4" w:space="0" w:color="auto"/>
            </w:tcBorders>
            <w:shd w:val="clear" w:color="auto" w:fill="C6EFCE"/>
            <w:noWrap/>
            <w:vAlign w:val="center"/>
          </w:tcPr>
          <w:p w14:paraId="75C19DE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Modernizace veřejné správy, mimo jiné urychlením provádění veřejných investic, zlepšením rámce pro zadávání veřejných zakázek, opatřeními na budování </w:t>
            </w:r>
            <w:r>
              <w:rPr>
                <w:noProof/>
              </w:rPr>
              <w:t>kapacit a bojem proti korupci – 16711_Profesionalizace oblasti zadávání veřejných zakázek</w:t>
            </w:r>
          </w:p>
        </w:tc>
        <w:tc>
          <w:tcPr>
            <w:tcW w:w="1680" w:type="dxa"/>
            <w:tcBorders>
              <w:top w:val="nil"/>
              <w:left w:val="nil"/>
              <w:bottom w:val="single" w:sz="4" w:space="0" w:color="auto"/>
              <w:right w:val="single" w:sz="4" w:space="0" w:color="auto"/>
            </w:tcBorders>
            <w:shd w:val="clear" w:color="auto" w:fill="C6EFCE"/>
            <w:noWrap/>
            <w:vAlign w:val="center"/>
          </w:tcPr>
          <w:p w14:paraId="1FD3D893"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1D284CA8" w14:textId="77777777" w:rsidR="00515398" w:rsidRDefault="006711E6">
            <w:pPr>
              <w:pStyle w:val="P68B1DB1-Normal8"/>
              <w:keepNext/>
              <w:spacing w:before="40" w:after="0" w:line="240" w:lineRule="auto"/>
              <w:jc w:val="both"/>
              <w:rPr>
                <w:rFonts w:eastAsia="Times New Roman" w:cs="Times New Roman"/>
                <w:noProof/>
                <w:szCs w:val="18"/>
              </w:rPr>
            </w:pPr>
            <w:r>
              <w:rPr>
                <w:noProof/>
              </w:rPr>
              <w:t>Profesionalizace oblasti zadávání veřejných zakázek – nové právní předpisy</w:t>
            </w:r>
          </w:p>
        </w:tc>
      </w:tr>
      <w:tr w:rsidR="00515398" w14:paraId="4CDE055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171E6EB" w14:textId="77777777" w:rsidR="00515398" w:rsidRDefault="006711E6">
            <w:pPr>
              <w:pStyle w:val="P68B1DB1-Normal8"/>
              <w:keepNext/>
              <w:spacing w:before="40" w:after="0" w:line="240" w:lineRule="auto"/>
              <w:jc w:val="both"/>
              <w:rPr>
                <w:noProof/>
              </w:rPr>
            </w:pPr>
            <w:r>
              <w:rPr>
                <w:noProof/>
              </w:rPr>
              <w:t>234</w:t>
            </w:r>
          </w:p>
        </w:tc>
        <w:tc>
          <w:tcPr>
            <w:tcW w:w="4320" w:type="dxa"/>
            <w:tcBorders>
              <w:top w:val="nil"/>
              <w:left w:val="nil"/>
              <w:bottom w:val="single" w:sz="4" w:space="0" w:color="auto"/>
              <w:right w:val="single" w:sz="4" w:space="0" w:color="auto"/>
            </w:tcBorders>
            <w:shd w:val="clear" w:color="auto" w:fill="C6EFCE"/>
            <w:noWrap/>
            <w:vAlign w:val="center"/>
          </w:tcPr>
          <w:p w14:paraId="39B4C7BF" w14:textId="77777777" w:rsidR="00515398" w:rsidRDefault="006711E6">
            <w:pPr>
              <w:pStyle w:val="P68B1DB1-Normal8"/>
              <w:keepNext/>
              <w:spacing w:before="40" w:after="0" w:line="240" w:lineRule="auto"/>
              <w:jc w:val="both"/>
              <w:rPr>
                <w:noProof/>
              </w:rPr>
            </w:pPr>
            <w:r>
              <w:rPr>
                <w:noProof/>
              </w:rPr>
              <w:t>14–4.3. Zlepšit účinnosti systému spravedlnosti – 16575 Zrychlení soudní správy</w:t>
            </w:r>
          </w:p>
        </w:tc>
        <w:tc>
          <w:tcPr>
            <w:tcW w:w="1680" w:type="dxa"/>
            <w:tcBorders>
              <w:top w:val="nil"/>
              <w:left w:val="nil"/>
              <w:bottom w:val="single" w:sz="4" w:space="0" w:color="auto"/>
              <w:right w:val="single" w:sz="4" w:space="0" w:color="auto"/>
            </w:tcBorders>
            <w:shd w:val="clear" w:color="auto" w:fill="C6EFCE"/>
            <w:noWrap/>
            <w:vAlign w:val="center"/>
          </w:tcPr>
          <w:p w14:paraId="675FC652" w14:textId="77777777"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6048331F" w14:textId="77777777" w:rsidR="00515398" w:rsidRDefault="006711E6">
            <w:pPr>
              <w:pStyle w:val="P68B1DB1-Normal8"/>
              <w:keepNext/>
              <w:spacing w:before="40" w:after="0" w:line="240" w:lineRule="auto"/>
              <w:jc w:val="both"/>
              <w:rPr>
                <w:noProof/>
              </w:rPr>
            </w:pPr>
            <w:r>
              <w:rPr>
                <w:noProof/>
              </w:rPr>
              <w:t>Soudní policie zahájila fungování</w:t>
            </w:r>
          </w:p>
        </w:tc>
      </w:tr>
      <w:tr w:rsidR="00515398" w14:paraId="6D567FE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7C802668" w14:textId="77777777" w:rsidR="00515398" w:rsidRDefault="006711E6">
            <w:pPr>
              <w:pStyle w:val="P68B1DB1-Normal8"/>
              <w:keepNext/>
              <w:spacing w:before="40" w:after="0" w:line="240" w:lineRule="auto"/>
              <w:jc w:val="both"/>
              <w:rPr>
                <w:rFonts w:cs="Times New Roman"/>
                <w:noProof/>
                <w:szCs w:val="18"/>
              </w:rPr>
            </w:pPr>
            <w:r>
              <w:rPr>
                <w:noProof/>
              </w:rPr>
              <w:t>244a</w:t>
            </w:r>
          </w:p>
        </w:tc>
        <w:tc>
          <w:tcPr>
            <w:tcW w:w="4320" w:type="dxa"/>
            <w:tcBorders>
              <w:top w:val="nil"/>
              <w:left w:val="nil"/>
              <w:bottom w:val="single" w:sz="4" w:space="0" w:color="auto"/>
              <w:right w:val="single" w:sz="4" w:space="0" w:color="auto"/>
            </w:tcBorders>
            <w:shd w:val="clear" w:color="auto" w:fill="C6EFCE"/>
            <w:noWrap/>
          </w:tcPr>
          <w:p w14:paraId="5B4E6661" w14:textId="77777777" w:rsidR="00515398" w:rsidRDefault="006711E6">
            <w:pPr>
              <w:pStyle w:val="P68B1DB1-Normal8"/>
              <w:keepNext/>
              <w:spacing w:before="40" w:after="0" w:line="240" w:lineRule="auto"/>
              <w:jc w:val="both"/>
              <w:rPr>
                <w:rFonts w:cs="Times New Roman"/>
                <w:noProof/>
                <w:szCs w:val="18"/>
              </w:rPr>
            </w:pPr>
            <w:r>
              <w:rPr>
                <w:noProof/>
              </w:rPr>
              <w:t>15–4.4. Posílení finančního sektoru a kapitálových trhů – 16957_ Posílení schopnosti finančního systému překonat výzvy z minulosti a financovat reálnou ekonomiku</w:t>
            </w:r>
          </w:p>
        </w:tc>
        <w:tc>
          <w:tcPr>
            <w:tcW w:w="1680" w:type="dxa"/>
            <w:tcBorders>
              <w:top w:val="nil"/>
              <w:left w:val="nil"/>
              <w:bottom w:val="single" w:sz="4" w:space="0" w:color="auto"/>
              <w:right w:val="single" w:sz="4" w:space="0" w:color="auto"/>
            </w:tcBorders>
            <w:shd w:val="clear" w:color="auto" w:fill="C6EFCE"/>
            <w:noWrap/>
          </w:tcPr>
          <w:p w14:paraId="69BA8827"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tcPr>
          <w:p w14:paraId="3406361B" w14:textId="77777777" w:rsidR="00515398" w:rsidRDefault="006711E6">
            <w:pPr>
              <w:pStyle w:val="P68B1DB1-Normal8"/>
              <w:keepNext/>
              <w:spacing w:before="40" w:after="0" w:line="240" w:lineRule="auto"/>
              <w:jc w:val="both"/>
              <w:rPr>
                <w:rFonts w:cs="Times New Roman"/>
                <w:noProof/>
                <w:szCs w:val="18"/>
              </w:rPr>
            </w:pPr>
            <w:r>
              <w:rPr>
                <w:noProof/>
              </w:rPr>
              <w:t xml:space="preserve">Elektronické dražby pro vymáhání </w:t>
            </w:r>
            <w:r>
              <w:rPr>
                <w:noProof/>
              </w:rPr>
              <w:t>pohledávek</w:t>
            </w:r>
          </w:p>
        </w:tc>
      </w:tr>
      <w:tr w:rsidR="00515398" w14:paraId="1B34399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8459CE1" w14:textId="392B6261" w:rsidR="00515398" w:rsidRDefault="006711E6">
            <w:pPr>
              <w:pStyle w:val="P68B1DB1-Normal8"/>
              <w:keepNext/>
              <w:spacing w:before="40" w:after="0" w:line="240" w:lineRule="auto"/>
              <w:jc w:val="both"/>
              <w:rPr>
                <w:noProof/>
              </w:rPr>
            </w:pPr>
            <w:r>
              <w:rPr>
                <w:noProof/>
              </w:rPr>
              <w:t>235</w:t>
            </w:r>
          </w:p>
        </w:tc>
        <w:tc>
          <w:tcPr>
            <w:tcW w:w="4320" w:type="dxa"/>
            <w:tcBorders>
              <w:top w:val="nil"/>
              <w:left w:val="nil"/>
              <w:bottom w:val="single" w:sz="4" w:space="0" w:color="auto"/>
              <w:right w:val="single" w:sz="4" w:space="0" w:color="auto"/>
            </w:tcBorders>
            <w:shd w:val="clear" w:color="auto" w:fill="C6EFCE"/>
            <w:noWrap/>
            <w:vAlign w:val="center"/>
          </w:tcPr>
          <w:p w14:paraId="41A0357C" w14:textId="385FF89A" w:rsidR="00515398" w:rsidRDefault="006711E6">
            <w:pPr>
              <w:pStyle w:val="P68B1DB1-Normal8"/>
              <w:keepNext/>
              <w:spacing w:before="40" w:after="0" w:line="240" w:lineRule="auto"/>
              <w:jc w:val="both"/>
              <w:rPr>
                <w:noProof/>
              </w:rPr>
            </w:pPr>
            <w:r>
              <w:rPr>
                <w:noProof/>
              </w:rPr>
              <w:t>14–4.3. Zlepšit účinnost soudního systému – 16733_Dovednosti a digitální dovednosti soudců a soudních zaměstnanců (soudní zaměstnanci)</w:t>
            </w:r>
          </w:p>
        </w:tc>
        <w:tc>
          <w:tcPr>
            <w:tcW w:w="1680" w:type="dxa"/>
            <w:tcBorders>
              <w:top w:val="nil"/>
              <w:left w:val="nil"/>
              <w:bottom w:val="single" w:sz="4" w:space="0" w:color="auto"/>
              <w:right w:val="single" w:sz="4" w:space="0" w:color="auto"/>
            </w:tcBorders>
            <w:shd w:val="clear" w:color="auto" w:fill="C6EFCE"/>
            <w:noWrap/>
            <w:vAlign w:val="center"/>
          </w:tcPr>
          <w:p w14:paraId="3A30B668" w14:textId="54D0F72C" w:rsidR="00515398" w:rsidRDefault="006711E6">
            <w:pPr>
              <w:pStyle w:val="P68B1DB1-Normal8"/>
              <w:keepNext/>
              <w:spacing w:before="40" w:after="0" w:line="240" w:lineRule="auto"/>
              <w:jc w:val="both"/>
              <w:rPr>
                <w:noProof/>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9D27DE2" w14:textId="08AF8713" w:rsidR="00515398" w:rsidRDefault="006711E6">
            <w:pPr>
              <w:pStyle w:val="P68B1DB1-Normal8"/>
              <w:keepNext/>
              <w:spacing w:before="40" w:after="0" w:line="240" w:lineRule="auto"/>
              <w:jc w:val="both"/>
              <w:rPr>
                <w:noProof/>
              </w:rPr>
            </w:pPr>
            <w:r>
              <w:rPr>
                <w:noProof/>
              </w:rPr>
              <w:t>Školení – soudci a úředníci</w:t>
            </w:r>
          </w:p>
        </w:tc>
      </w:tr>
      <w:tr w:rsidR="00515398" w14:paraId="1C026C1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A758F72" w14:textId="77777777" w:rsidR="00515398" w:rsidRDefault="006711E6">
            <w:pPr>
              <w:pStyle w:val="P68B1DB1-Normal8"/>
              <w:keepNext/>
              <w:spacing w:before="40" w:after="0" w:line="240" w:lineRule="auto"/>
              <w:jc w:val="both"/>
              <w:rPr>
                <w:rFonts w:cs="Times New Roman"/>
                <w:noProof/>
                <w:szCs w:val="18"/>
              </w:rPr>
            </w:pPr>
            <w:r>
              <w:rPr>
                <w:noProof/>
              </w:rPr>
              <w:t>244b</w:t>
            </w:r>
          </w:p>
        </w:tc>
        <w:tc>
          <w:tcPr>
            <w:tcW w:w="4320" w:type="dxa"/>
            <w:tcBorders>
              <w:top w:val="nil"/>
              <w:left w:val="nil"/>
              <w:bottom w:val="single" w:sz="4" w:space="0" w:color="auto"/>
              <w:right w:val="single" w:sz="4" w:space="0" w:color="auto"/>
            </w:tcBorders>
            <w:shd w:val="clear" w:color="auto" w:fill="C6EFCE"/>
            <w:noWrap/>
          </w:tcPr>
          <w:p w14:paraId="7B0CC9AC" w14:textId="77777777" w:rsidR="00515398" w:rsidRDefault="006711E6">
            <w:pPr>
              <w:pStyle w:val="P68B1DB1-Normal8"/>
              <w:keepNext/>
              <w:spacing w:before="40" w:after="0" w:line="240" w:lineRule="auto"/>
              <w:jc w:val="both"/>
              <w:rPr>
                <w:rFonts w:cs="Times New Roman"/>
                <w:noProof/>
                <w:szCs w:val="18"/>
              </w:rPr>
            </w:pPr>
            <w:r>
              <w:rPr>
                <w:noProof/>
              </w:rPr>
              <w:t>15–4.4. Posílení finančního sektoru a kapitálových trhů – 16957_</w:t>
            </w:r>
            <w:r>
              <w:rPr>
                <w:noProof/>
              </w:rPr>
              <w:t xml:space="preserve"> Posílení schopnosti finančního systému překonat výzvy z minulosti a financovat reálnou ekonomiku</w:t>
            </w:r>
          </w:p>
        </w:tc>
        <w:tc>
          <w:tcPr>
            <w:tcW w:w="1680" w:type="dxa"/>
            <w:tcBorders>
              <w:top w:val="nil"/>
              <w:left w:val="nil"/>
              <w:bottom w:val="single" w:sz="4" w:space="0" w:color="auto"/>
              <w:right w:val="single" w:sz="4" w:space="0" w:color="auto"/>
            </w:tcBorders>
            <w:shd w:val="clear" w:color="auto" w:fill="C6EFCE"/>
            <w:noWrap/>
          </w:tcPr>
          <w:p w14:paraId="34A1D3B4"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tcPr>
          <w:p w14:paraId="3F4382EC" w14:textId="77777777" w:rsidR="00515398" w:rsidRDefault="006711E6">
            <w:pPr>
              <w:pStyle w:val="P68B1DB1-Normal8"/>
              <w:keepNext/>
              <w:spacing w:before="40" w:after="0" w:line="240" w:lineRule="auto"/>
              <w:jc w:val="both"/>
              <w:rPr>
                <w:rFonts w:cs="Times New Roman"/>
                <w:noProof/>
                <w:szCs w:val="18"/>
              </w:rPr>
            </w:pPr>
            <w:r>
              <w:rPr>
                <w:noProof/>
              </w:rPr>
              <w:t xml:space="preserve">Zadávání zakázek na opatření finančního sektoru </w:t>
            </w:r>
          </w:p>
        </w:tc>
      </w:tr>
      <w:tr w:rsidR="00515398" w14:paraId="76C7F9E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3FA0F84" w14:textId="77777777" w:rsidR="00515398" w:rsidRDefault="006711E6">
            <w:pPr>
              <w:pStyle w:val="P68B1DB1-Normal8"/>
              <w:keepNext/>
              <w:spacing w:before="40" w:after="0" w:line="240" w:lineRule="auto"/>
              <w:jc w:val="both"/>
              <w:rPr>
                <w:rFonts w:cs="Times New Roman"/>
                <w:noProof/>
                <w:szCs w:val="18"/>
              </w:rPr>
            </w:pPr>
            <w:r>
              <w:rPr>
                <w:noProof/>
              </w:rPr>
              <w:t>247</w:t>
            </w:r>
          </w:p>
        </w:tc>
        <w:tc>
          <w:tcPr>
            <w:tcW w:w="4320" w:type="dxa"/>
            <w:tcBorders>
              <w:top w:val="nil"/>
              <w:left w:val="nil"/>
              <w:bottom w:val="single" w:sz="4" w:space="0" w:color="auto"/>
              <w:right w:val="single" w:sz="4" w:space="0" w:color="auto"/>
            </w:tcBorders>
            <w:shd w:val="clear" w:color="auto" w:fill="C6EFCE"/>
            <w:noWrap/>
            <w:vAlign w:val="center"/>
          </w:tcPr>
          <w:p w14:paraId="4B320E46" w14:textId="77777777" w:rsidR="00515398" w:rsidRDefault="006711E6">
            <w:pPr>
              <w:pStyle w:val="P68B1DB1-Normal8"/>
              <w:keepNext/>
              <w:spacing w:before="40" w:after="0" w:line="240" w:lineRule="auto"/>
              <w:jc w:val="both"/>
              <w:rPr>
                <w:rFonts w:cs="Times New Roman"/>
                <w:noProof/>
                <w:szCs w:val="18"/>
              </w:rPr>
            </w:pPr>
            <w:r>
              <w:rPr>
                <w:noProof/>
              </w:rPr>
              <w:t xml:space="preserve">16–4.5. Podpora výzkumu a inovací – 16624_Creation – Rozšíření – modernizace infrastruktur </w:t>
            </w:r>
            <w:r>
              <w:rPr>
                <w:noProof/>
              </w:rPr>
              <w:t>výzkumných středisek pod dohledem Generálního sekretariátu pro výzkum a inovace (GSRI)</w:t>
            </w:r>
          </w:p>
        </w:tc>
        <w:tc>
          <w:tcPr>
            <w:tcW w:w="1680" w:type="dxa"/>
            <w:tcBorders>
              <w:top w:val="nil"/>
              <w:left w:val="nil"/>
              <w:bottom w:val="single" w:sz="4" w:space="0" w:color="auto"/>
              <w:right w:val="single" w:sz="4" w:space="0" w:color="auto"/>
            </w:tcBorders>
            <w:shd w:val="clear" w:color="auto" w:fill="C6EFCE"/>
            <w:noWrap/>
            <w:vAlign w:val="center"/>
          </w:tcPr>
          <w:p w14:paraId="5A5A6CAB"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5A07C2C6" w14:textId="77777777" w:rsidR="00515398" w:rsidRDefault="006711E6">
            <w:pPr>
              <w:pStyle w:val="P68B1DB1-Normal8"/>
              <w:keepNext/>
              <w:spacing w:before="40" w:after="0" w:line="240" w:lineRule="auto"/>
              <w:jc w:val="both"/>
              <w:rPr>
                <w:rFonts w:cs="Times New Roman"/>
                <w:noProof/>
                <w:szCs w:val="18"/>
              </w:rPr>
            </w:pPr>
            <w:r>
              <w:rPr>
                <w:noProof/>
              </w:rPr>
              <w:t>Zadávání zakázek výzkumným střediskům – stavební práce</w:t>
            </w:r>
          </w:p>
        </w:tc>
      </w:tr>
      <w:tr w:rsidR="00515398" w14:paraId="705C71B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0CBC453" w14:textId="77777777" w:rsidR="00515398" w:rsidRDefault="006711E6">
            <w:pPr>
              <w:pStyle w:val="P68B1DB1-Normal8"/>
              <w:keepNext/>
              <w:spacing w:before="40" w:after="0" w:line="240" w:lineRule="auto"/>
              <w:jc w:val="both"/>
              <w:rPr>
                <w:rFonts w:cs="Times New Roman"/>
                <w:noProof/>
                <w:szCs w:val="18"/>
              </w:rPr>
            </w:pPr>
            <w:r>
              <w:rPr>
                <w:noProof/>
              </w:rPr>
              <w:t>248</w:t>
            </w:r>
          </w:p>
        </w:tc>
        <w:tc>
          <w:tcPr>
            <w:tcW w:w="4320" w:type="dxa"/>
            <w:tcBorders>
              <w:top w:val="nil"/>
              <w:left w:val="nil"/>
              <w:bottom w:val="single" w:sz="4" w:space="0" w:color="auto"/>
              <w:right w:val="single" w:sz="4" w:space="0" w:color="auto"/>
            </w:tcBorders>
            <w:shd w:val="clear" w:color="auto" w:fill="C6EFCE"/>
            <w:noWrap/>
            <w:vAlign w:val="center"/>
          </w:tcPr>
          <w:p w14:paraId="54378C14" w14:textId="77777777" w:rsidR="00515398" w:rsidRDefault="006711E6">
            <w:pPr>
              <w:pStyle w:val="P68B1DB1-Normal8"/>
              <w:keepNext/>
              <w:spacing w:before="40" w:after="0" w:line="240" w:lineRule="auto"/>
              <w:jc w:val="both"/>
              <w:rPr>
                <w:rFonts w:cs="Times New Roman"/>
                <w:noProof/>
                <w:szCs w:val="18"/>
              </w:rPr>
            </w:pPr>
            <w:r>
              <w:rPr>
                <w:noProof/>
              </w:rPr>
              <w:t xml:space="preserve">16–4.5. Podpora výzkumu a inovací – 16654_TH 2 ORAX: Trellis Holistic &amp; Hybrid Operational Ruggedised </w:t>
            </w:r>
            <w:r>
              <w:rPr>
                <w:noProof/>
              </w:rPr>
              <w:t>Autonomous eXemplary system (Trellis Holistic &amp; Hybrid Operational Ruggedised Autonomous eXemplary system)</w:t>
            </w:r>
          </w:p>
        </w:tc>
        <w:tc>
          <w:tcPr>
            <w:tcW w:w="1680" w:type="dxa"/>
            <w:tcBorders>
              <w:top w:val="nil"/>
              <w:left w:val="nil"/>
              <w:bottom w:val="single" w:sz="4" w:space="0" w:color="auto"/>
              <w:right w:val="single" w:sz="4" w:space="0" w:color="auto"/>
            </w:tcBorders>
            <w:shd w:val="clear" w:color="auto" w:fill="C6EFCE"/>
            <w:noWrap/>
            <w:vAlign w:val="center"/>
          </w:tcPr>
          <w:p w14:paraId="7205B2B4"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5FA5A29E" w14:textId="77777777" w:rsidR="00515398" w:rsidRDefault="006711E6">
            <w:pPr>
              <w:pStyle w:val="P68B1DB1-Normal8"/>
              <w:keepNext/>
              <w:spacing w:before="40" w:after="0" w:line="240" w:lineRule="auto"/>
              <w:jc w:val="both"/>
              <w:rPr>
                <w:rFonts w:cs="Times New Roman"/>
                <w:noProof/>
                <w:szCs w:val="18"/>
              </w:rPr>
            </w:pPr>
            <w:r>
              <w:rPr>
                <w:noProof/>
              </w:rPr>
              <w:t>Zadání zakázky TH2ORAX</w:t>
            </w:r>
          </w:p>
        </w:tc>
      </w:tr>
      <w:tr w:rsidR="00515398" w14:paraId="5AE65CC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7A1E7E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258</w:t>
            </w:r>
          </w:p>
        </w:tc>
        <w:tc>
          <w:tcPr>
            <w:tcW w:w="4320" w:type="dxa"/>
            <w:tcBorders>
              <w:top w:val="nil"/>
              <w:left w:val="nil"/>
              <w:bottom w:val="single" w:sz="4" w:space="0" w:color="auto"/>
              <w:right w:val="single" w:sz="4" w:space="0" w:color="auto"/>
            </w:tcBorders>
            <w:shd w:val="clear" w:color="auto" w:fill="C6EFCE"/>
            <w:noWrap/>
            <w:vAlign w:val="center"/>
          </w:tcPr>
          <w:p w14:paraId="094B1B4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16631_Zlepšení bezpečnosti silničního p</w:t>
            </w:r>
            <w:r>
              <w:rPr>
                <w:noProof/>
              </w:rPr>
              <w:t>rovozu</w:t>
            </w:r>
          </w:p>
        </w:tc>
        <w:tc>
          <w:tcPr>
            <w:tcW w:w="1680" w:type="dxa"/>
            <w:tcBorders>
              <w:top w:val="nil"/>
              <w:left w:val="nil"/>
              <w:bottom w:val="single" w:sz="4" w:space="0" w:color="auto"/>
              <w:right w:val="single" w:sz="4" w:space="0" w:color="auto"/>
            </w:tcBorders>
            <w:shd w:val="clear" w:color="auto" w:fill="C6EFCE"/>
            <w:noWrap/>
            <w:vAlign w:val="center"/>
          </w:tcPr>
          <w:p w14:paraId="21635F9F"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C5819E5" w14:textId="77777777" w:rsidR="00515398" w:rsidRDefault="006711E6">
            <w:pPr>
              <w:pStyle w:val="P68B1DB1-Normal8"/>
              <w:keepNext/>
              <w:spacing w:before="40" w:after="0" w:line="240" w:lineRule="auto"/>
              <w:jc w:val="both"/>
              <w:rPr>
                <w:rFonts w:eastAsia="Times New Roman" w:cs="Times New Roman"/>
                <w:noProof/>
                <w:szCs w:val="18"/>
              </w:rPr>
            </w:pPr>
            <w:r>
              <w:rPr>
                <w:noProof/>
              </w:rPr>
              <w:t>Zadávání zakázek v oblasti bezpečnosti silničního provozu – všechny zakázky</w:t>
            </w:r>
          </w:p>
        </w:tc>
      </w:tr>
      <w:tr w:rsidR="00515398" w14:paraId="49004FD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28312FE" w14:textId="77777777" w:rsidR="00515398" w:rsidRDefault="006711E6">
            <w:pPr>
              <w:pStyle w:val="P68B1DB1-Normal8"/>
              <w:keepNext/>
              <w:spacing w:before="40" w:after="0" w:line="240" w:lineRule="auto"/>
              <w:jc w:val="both"/>
              <w:rPr>
                <w:rFonts w:cs="Times New Roman"/>
                <w:noProof/>
                <w:szCs w:val="18"/>
              </w:rPr>
            </w:pPr>
            <w:r>
              <w:rPr>
                <w:noProof/>
              </w:rPr>
              <w:t>268</w:t>
            </w:r>
          </w:p>
        </w:tc>
        <w:tc>
          <w:tcPr>
            <w:tcW w:w="4320" w:type="dxa"/>
            <w:tcBorders>
              <w:top w:val="nil"/>
              <w:left w:val="nil"/>
              <w:bottom w:val="single" w:sz="4" w:space="0" w:color="auto"/>
              <w:right w:val="single" w:sz="4" w:space="0" w:color="auto"/>
            </w:tcBorders>
            <w:shd w:val="clear" w:color="auto" w:fill="C6EFCE"/>
            <w:noWrap/>
            <w:vAlign w:val="center"/>
          </w:tcPr>
          <w:p w14:paraId="097C710B" w14:textId="77777777" w:rsidR="00515398" w:rsidRDefault="006711E6">
            <w:pPr>
              <w:pStyle w:val="P68B1DB1-Normal8"/>
              <w:keepNext/>
              <w:spacing w:before="40" w:after="0" w:line="240" w:lineRule="auto"/>
              <w:jc w:val="both"/>
              <w:rPr>
                <w:rFonts w:cs="Times New Roman"/>
                <w:noProof/>
                <w:szCs w:val="18"/>
              </w:rPr>
            </w:pPr>
            <w:r>
              <w:rPr>
                <w:noProof/>
              </w:rPr>
              <w:t>17–4.6. Modernizace a zlepšení odolnosti klíčových hospodářských odvětví – 16982_Organizační reforma v odvětví železniční dopravy</w:t>
            </w:r>
          </w:p>
        </w:tc>
        <w:tc>
          <w:tcPr>
            <w:tcW w:w="1680" w:type="dxa"/>
            <w:tcBorders>
              <w:top w:val="nil"/>
              <w:left w:val="nil"/>
              <w:bottom w:val="single" w:sz="4" w:space="0" w:color="auto"/>
              <w:right w:val="single" w:sz="4" w:space="0" w:color="auto"/>
            </w:tcBorders>
            <w:shd w:val="clear" w:color="auto" w:fill="C6EFCE"/>
            <w:noWrap/>
            <w:vAlign w:val="center"/>
          </w:tcPr>
          <w:p w14:paraId="06097383"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33A12B21" w14:textId="6927A963" w:rsidR="00515398" w:rsidRDefault="006711E6">
            <w:pPr>
              <w:pStyle w:val="P68B1DB1-Normal49"/>
              <w:keepNext/>
              <w:spacing w:before="40" w:after="0" w:line="240" w:lineRule="auto"/>
              <w:jc w:val="both"/>
              <w:rPr>
                <w:rFonts w:cs="Times New Roman"/>
                <w:noProof/>
              </w:rPr>
            </w:pPr>
            <w:r>
              <w:rPr>
                <w:noProof/>
              </w:rPr>
              <w:t xml:space="preserve">Prováděcí plán řeckých železnic </w:t>
            </w:r>
          </w:p>
        </w:tc>
      </w:tr>
      <w:tr w:rsidR="00515398" w14:paraId="438DDA6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EA25F36" w14:textId="77777777" w:rsidR="00515398" w:rsidRDefault="006711E6">
            <w:pPr>
              <w:pStyle w:val="P68B1DB1-Normal8"/>
              <w:keepNext/>
              <w:spacing w:before="40" w:after="0" w:line="240" w:lineRule="auto"/>
              <w:jc w:val="both"/>
              <w:rPr>
                <w:rFonts w:cs="Times New Roman"/>
                <w:noProof/>
                <w:szCs w:val="18"/>
              </w:rPr>
            </w:pPr>
            <w:r>
              <w:rPr>
                <w:noProof/>
              </w:rPr>
              <w:t>295</w:t>
            </w:r>
          </w:p>
        </w:tc>
        <w:tc>
          <w:tcPr>
            <w:tcW w:w="4320" w:type="dxa"/>
            <w:tcBorders>
              <w:top w:val="nil"/>
              <w:left w:val="nil"/>
              <w:bottom w:val="single" w:sz="4" w:space="0" w:color="auto"/>
              <w:right w:val="single" w:sz="4" w:space="0" w:color="auto"/>
            </w:tcBorders>
            <w:shd w:val="clear" w:color="auto" w:fill="C6EFCE"/>
            <w:noWrap/>
            <w:vAlign w:val="center"/>
          </w:tcPr>
          <w:p w14:paraId="362B9A5F" w14:textId="77777777" w:rsidR="00515398" w:rsidRDefault="006711E6">
            <w:pPr>
              <w:pStyle w:val="P68B1DB1-Normal8"/>
              <w:keepNext/>
              <w:spacing w:before="40" w:after="0" w:line="240" w:lineRule="auto"/>
              <w:jc w:val="both"/>
              <w:rPr>
                <w:rFonts w:cs="Times New Roman"/>
                <w:noProof/>
                <w:szCs w:val="18"/>
              </w:rPr>
            </w:pPr>
            <w:r>
              <w:rPr>
                <w:noProof/>
              </w:rPr>
              <w:t>17–4.6. Modernizace a zlepšení odolnosti klíčových hospodářských odvětví – 16931_Rozvoj cestovního ruchu</w:t>
            </w:r>
          </w:p>
        </w:tc>
        <w:tc>
          <w:tcPr>
            <w:tcW w:w="1680" w:type="dxa"/>
            <w:tcBorders>
              <w:top w:val="nil"/>
              <w:left w:val="nil"/>
              <w:bottom w:val="single" w:sz="4" w:space="0" w:color="auto"/>
              <w:right w:val="single" w:sz="4" w:space="0" w:color="auto"/>
            </w:tcBorders>
            <w:shd w:val="clear" w:color="auto" w:fill="C6EFCE"/>
            <w:noWrap/>
            <w:vAlign w:val="center"/>
          </w:tcPr>
          <w:p w14:paraId="41CDFCD0"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16688A49" w14:textId="319A28D0" w:rsidR="00515398" w:rsidRDefault="006711E6">
            <w:pPr>
              <w:pStyle w:val="P68B1DB1-Normal35"/>
              <w:keepNext/>
              <w:spacing w:before="40" w:after="0" w:line="240" w:lineRule="auto"/>
              <w:jc w:val="both"/>
              <w:rPr>
                <w:rFonts w:ascii="Times New Roman" w:hAnsi="Times New Roman" w:cs="Times New Roman"/>
                <w:noProof/>
                <w:szCs w:val="18"/>
              </w:rPr>
            </w:pPr>
            <w:r>
              <w:rPr>
                <w:rFonts w:ascii="Times New Roman" w:hAnsi="Times New Roman"/>
                <w:noProof/>
              </w:rPr>
              <w:t xml:space="preserve">Rozvoj cestovního ruchu: </w:t>
            </w:r>
            <w:r>
              <w:rPr>
                <w:noProof/>
                <w:color w:val="006100"/>
              </w:rPr>
              <w:t xml:space="preserve">Zveřejnění rozhodnutí o schválení </w:t>
            </w:r>
            <w:r>
              <w:rPr>
                <w:rFonts w:ascii="Times New Roman" w:hAnsi="Times New Roman"/>
                <w:noProof/>
              </w:rPr>
              <w:t>turistických přístavů</w:t>
            </w:r>
          </w:p>
        </w:tc>
      </w:tr>
      <w:tr w:rsidR="00515398" w14:paraId="43FC9CA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3FF7622" w14:textId="77777777" w:rsidR="00515398" w:rsidRDefault="006711E6">
            <w:pPr>
              <w:pStyle w:val="P68B1DB1-Normal8"/>
              <w:keepNext/>
              <w:spacing w:before="40" w:after="0" w:line="240" w:lineRule="auto"/>
              <w:jc w:val="both"/>
              <w:rPr>
                <w:rFonts w:cs="Times New Roman"/>
                <w:noProof/>
                <w:szCs w:val="18"/>
              </w:rPr>
            </w:pPr>
            <w:r>
              <w:rPr>
                <w:noProof/>
              </w:rPr>
              <w:t>304</w:t>
            </w:r>
          </w:p>
        </w:tc>
        <w:tc>
          <w:tcPr>
            <w:tcW w:w="4320" w:type="dxa"/>
            <w:tcBorders>
              <w:top w:val="nil"/>
              <w:left w:val="nil"/>
              <w:bottom w:val="single" w:sz="4" w:space="0" w:color="auto"/>
              <w:right w:val="single" w:sz="4" w:space="0" w:color="auto"/>
            </w:tcBorders>
            <w:shd w:val="clear" w:color="auto" w:fill="C6EFCE"/>
            <w:noWrap/>
            <w:vAlign w:val="center"/>
          </w:tcPr>
          <w:p w14:paraId="6A63C759" w14:textId="77777777" w:rsidR="00515398" w:rsidRDefault="006711E6">
            <w:pPr>
              <w:pStyle w:val="P68B1DB1-Normal8"/>
              <w:keepNext/>
              <w:spacing w:before="40" w:after="0" w:line="240" w:lineRule="auto"/>
              <w:jc w:val="both"/>
              <w:rPr>
                <w:rFonts w:cs="Times New Roman"/>
                <w:noProof/>
                <w:szCs w:val="18"/>
              </w:rPr>
            </w:pPr>
            <w:r>
              <w:rPr>
                <w:noProof/>
              </w:rPr>
              <w:t xml:space="preserve">17–4.6. Modernizace </w:t>
            </w:r>
            <w:r>
              <w:rPr>
                <w:noProof/>
              </w:rPr>
              <w:t>a zlepšení odolnosti klíčových hospodářských odvětví – 16634_Nové průmyslové parky</w:t>
            </w:r>
          </w:p>
        </w:tc>
        <w:tc>
          <w:tcPr>
            <w:tcW w:w="1680" w:type="dxa"/>
            <w:tcBorders>
              <w:top w:val="nil"/>
              <w:left w:val="nil"/>
              <w:bottom w:val="single" w:sz="4" w:space="0" w:color="auto"/>
              <w:right w:val="single" w:sz="4" w:space="0" w:color="auto"/>
            </w:tcBorders>
            <w:shd w:val="clear" w:color="auto" w:fill="C6EFCE"/>
            <w:noWrap/>
            <w:vAlign w:val="center"/>
          </w:tcPr>
          <w:p w14:paraId="10E388BC"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04016141" w14:textId="77777777" w:rsidR="00515398" w:rsidRDefault="006711E6">
            <w:pPr>
              <w:pStyle w:val="P68B1DB1-Normal8"/>
              <w:keepNext/>
              <w:spacing w:before="40" w:after="0" w:line="240" w:lineRule="auto"/>
              <w:jc w:val="both"/>
              <w:rPr>
                <w:rFonts w:cs="Times New Roman"/>
                <w:noProof/>
                <w:szCs w:val="18"/>
              </w:rPr>
            </w:pPr>
            <w:r>
              <w:rPr>
                <w:noProof/>
              </w:rPr>
              <w:t>Průmyslové parky – legislativní reforma (sekundární právní předpisy)</w:t>
            </w:r>
          </w:p>
        </w:tc>
      </w:tr>
      <w:tr w:rsidR="00515398" w14:paraId="397284D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D02D480" w14:textId="77777777" w:rsidR="00515398" w:rsidRDefault="006711E6">
            <w:pPr>
              <w:pStyle w:val="P68B1DB1-Normal8"/>
              <w:keepNext/>
              <w:spacing w:before="40" w:after="0" w:line="240" w:lineRule="auto"/>
              <w:jc w:val="both"/>
              <w:rPr>
                <w:rFonts w:cs="Times New Roman"/>
                <w:noProof/>
                <w:szCs w:val="18"/>
              </w:rPr>
            </w:pPr>
            <w:r>
              <w:rPr>
                <w:noProof/>
              </w:rPr>
              <w:t>317</w:t>
            </w:r>
          </w:p>
        </w:tc>
        <w:tc>
          <w:tcPr>
            <w:tcW w:w="4320" w:type="dxa"/>
            <w:tcBorders>
              <w:top w:val="nil"/>
              <w:left w:val="nil"/>
              <w:bottom w:val="single" w:sz="4" w:space="0" w:color="auto"/>
              <w:right w:val="single" w:sz="4" w:space="0" w:color="auto"/>
            </w:tcBorders>
            <w:shd w:val="clear" w:color="auto" w:fill="C6EFCE"/>
            <w:noWrap/>
            <w:vAlign w:val="center"/>
          </w:tcPr>
          <w:p w14:paraId="509F2B35" w14:textId="77777777" w:rsidR="00515398" w:rsidRDefault="006711E6">
            <w:pPr>
              <w:pStyle w:val="P68B1DB1-Normal8"/>
              <w:keepNext/>
              <w:spacing w:before="40" w:after="0" w:line="240" w:lineRule="auto"/>
              <w:jc w:val="both"/>
              <w:rPr>
                <w:rFonts w:cs="Times New Roman"/>
                <w:noProof/>
                <w:szCs w:val="18"/>
              </w:rPr>
            </w:pPr>
            <w:r>
              <w:rPr>
                <w:noProof/>
              </w:rPr>
              <w:t>18–4.7. Zlepšit konkurenceschopnost a podpořit soukromé investice a vývoz – 16543_Akce ke zj</w:t>
            </w:r>
            <w:r>
              <w:rPr>
                <w:noProof/>
              </w:rPr>
              <w:t>ednodušení podnikatelského prostředí a jeho zvýšení kvality a bezpečnosti</w:t>
            </w:r>
          </w:p>
        </w:tc>
        <w:tc>
          <w:tcPr>
            <w:tcW w:w="1680" w:type="dxa"/>
            <w:tcBorders>
              <w:top w:val="nil"/>
              <w:left w:val="nil"/>
              <w:bottom w:val="single" w:sz="4" w:space="0" w:color="auto"/>
              <w:right w:val="single" w:sz="4" w:space="0" w:color="auto"/>
            </w:tcBorders>
            <w:shd w:val="clear" w:color="auto" w:fill="C6EFCE"/>
            <w:noWrap/>
            <w:vAlign w:val="center"/>
          </w:tcPr>
          <w:p w14:paraId="05498200"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00CE322" w14:textId="77777777" w:rsidR="00515398" w:rsidRDefault="006711E6">
            <w:pPr>
              <w:pStyle w:val="P68B1DB1-Normal8"/>
              <w:keepNext/>
              <w:spacing w:before="40" w:after="0" w:line="240" w:lineRule="auto"/>
              <w:jc w:val="both"/>
              <w:rPr>
                <w:rFonts w:cs="Times New Roman"/>
                <w:noProof/>
                <w:szCs w:val="18"/>
              </w:rPr>
            </w:pPr>
            <w:r>
              <w:rPr>
                <w:noProof/>
              </w:rPr>
              <w:t xml:space="preserve">Zavedení politiky jakosti a nového regulačního rámce pro kvalitní infrastrukturu </w:t>
            </w:r>
          </w:p>
        </w:tc>
      </w:tr>
      <w:tr w:rsidR="00515398" w14:paraId="39C897A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95EFEC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318</w:t>
            </w:r>
          </w:p>
        </w:tc>
        <w:tc>
          <w:tcPr>
            <w:tcW w:w="4320" w:type="dxa"/>
            <w:tcBorders>
              <w:top w:val="nil"/>
              <w:left w:val="nil"/>
              <w:bottom w:val="single" w:sz="4" w:space="0" w:color="auto"/>
              <w:right w:val="single" w:sz="4" w:space="0" w:color="auto"/>
            </w:tcBorders>
            <w:shd w:val="clear" w:color="auto" w:fill="C6EFCE"/>
            <w:noWrap/>
            <w:vAlign w:val="center"/>
          </w:tcPr>
          <w:p w14:paraId="4C5FF30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18–4.7. Zlepšit konkurenceschopnost a podpořit soukromé investice a vývoz – </w:t>
            </w:r>
            <w:r>
              <w:rPr>
                <w:noProof/>
              </w:rPr>
              <w:t>16591_Výsledek podnikání</w:t>
            </w:r>
          </w:p>
        </w:tc>
        <w:tc>
          <w:tcPr>
            <w:tcW w:w="1680" w:type="dxa"/>
            <w:tcBorders>
              <w:top w:val="nil"/>
              <w:left w:val="nil"/>
              <w:bottom w:val="single" w:sz="4" w:space="0" w:color="auto"/>
              <w:right w:val="single" w:sz="4" w:space="0" w:color="auto"/>
            </w:tcBorders>
            <w:shd w:val="clear" w:color="auto" w:fill="C6EFCE"/>
            <w:noWrap/>
            <w:vAlign w:val="center"/>
          </w:tcPr>
          <w:p w14:paraId="17FA2C8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800" w:type="dxa"/>
            <w:tcBorders>
              <w:top w:val="nil"/>
              <w:left w:val="nil"/>
              <w:bottom w:val="single" w:sz="4" w:space="0" w:color="auto"/>
              <w:right w:val="single" w:sz="4" w:space="0" w:color="auto"/>
            </w:tcBorders>
            <w:shd w:val="clear" w:color="auto" w:fill="C6EFCE"/>
            <w:noWrap/>
            <w:vAlign w:val="center"/>
          </w:tcPr>
          <w:p w14:paraId="738B159A" w14:textId="77777777" w:rsidR="00515398" w:rsidRDefault="006711E6">
            <w:pPr>
              <w:pStyle w:val="P68B1DB1-Normal8"/>
              <w:keepNext/>
              <w:spacing w:before="40" w:after="0" w:line="240" w:lineRule="auto"/>
              <w:jc w:val="both"/>
              <w:rPr>
                <w:rFonts w:eastAsia="Times New Roman" w:cs="Times New Roman"/>
                <w:noProof/>
                <w:szCs w:val="18"/>
              </w:rPr>
            </w:pPr>
            <w:r>
              <w:rPr>
                <w:noProof/>
              </w:rPr>
              <w:t>Zlepšení podnikatelského prostředí – usnadnění podnikání</w:t>
            </w:r>
          </w:p>
        </w:tc>
      </w:tr>
      <w:tr w:rsidR="00515398" w14:paraId="20456F6B"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F6DB781"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335</w:t>
            </w:r>
          </w:p>
        </w:tc>
        <w:tc>
          <w:tcPr>
            <w:tcW w:w="4320" w:type="dxa"/>
            <w:tcBorders>
              <w:top w:val="single" w:sz="4" w:space="0" w:color="auto"/>
              <w:left w:val="nil"/>
              <w:bottom w:val="single" w:sz="4" w:space="0" w:color="auto"/>
              <w:right w:val="single" w:sz="4" w:space="0" w:color="auto"/>
            </w:tcBorders>
            <w:shd w:val="clear" w:color="auto" w:fill="C6EFCE"/>
            <w:noWrap/>
          </w:tcPr>
          <w:p w14:paraId="0F25BCAA"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10–3.3. Zlepšení odolnosti, dostupnosti a udržitelnosti zdravotní péče – 16984_Reforma osobních lékařů</w:t>
            </w:r>
          </w:p>
        </w:tc>
        <w:tc>
          <w:tcPr>
            <w:tcW w:w="1680" w:type="dxa"/>
            <w:tcBorders>
              <w:top w:val="single" w:sz="4" w:space="0" w:color="auto"/>
              <w:left w:val="nil"/>
              <w:bottom w:val="single" w:sz="4" w:space="0" w:color="auto"/>
              <w:right w:val="single" w:sz="4" w:space="0" w:color="auto"/>
            </w:tcBorders>
            <w:shd w:val="clear" w:color="auto" w:fill="C6EFCE"/>
            <w:noWrap/>
          </w:tcPr>
          <w:p w14:paraId="35C36F58"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2593558B" w14:textId="77777777" w:rsidR="00515398" w:rsidRDefault="006711E6">
            <w:pPr>
              <w:pStyle w:val="P68B1DB1-Normal8"/>
              <w:keepNext/>
              <w:spacing w:before="40" w:after="0" w:line="259" w:lineRule="auto"/>
              <w:jc w:val="both"/>
              <w:rPr>
                <w:rFonts w:eastAsia="Times New Roman" w:cs="Times New Roman"/>
                <w:noProof/>
                <w:szCs w:val="18"/>
              </w:rPr>
            </w:pPr>
            <w:r>
              <w:rPr>
                <w:noProof/>
              </w:rPr>
              <w:t xml:space="preserve">Reforma osobního lékaře – vstup právních předpisů v </w:t>
            </w:r>
            <w:r>
              <w:rPr>
                <w:noProof/>
              </w:rPr>
              <w:t>platnost</w:t>
            </w:r>
          </w:p>
        </w:tc>
      </w:tr>
      <w:tr w:rsidR="00515398" w14:paraId="1B4D798E"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2D01F02"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339</w:t>
            </w:r>
          </w:p>
        </w:tc>
        <w:tc>
          <w:tcPr>
            <w:tcW w:w="4320" w:type="dxa"/>
            <w:tcBorders>
              <w:top w:val="single" w:sz="4" w:space="0" w:color="auto"/>
              <w:left w:val="nil"/>
              <w:bottom w:val="single" w:sz="4" w:space="0" w:color="auto"/>
              <w:right w:val="single" w:sz="4" w:space="0" w:color="auto"/>
            </w:tcBorders>
            <w:shd w:val="clear" w:color="auto" w:fill="C6EFCE"/>
            <w:noWrap/>
          </w:tcPr>
          <w:p w14:paraId="25425FFA"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12–4.1. Učinit daně příznivější pro růst a zlepšit daňovou správu a výběr daní – 16985_Změny řeckého rámce daňové politiky</w:t>
            </w:r>
          </w:p>
        </w:tc>
        <w:tc>
          <w:tcPr>
            <w:tcW w:w="1680" w:type="dxa"/>
            <w:tcBorders>
              <w:top w:val="single" w:sz="4" w:space="0" w:color="auto"/>
              <w:left w:val="nil"/>
              <w:bottom w:val="single" w:sz="4" w:space="0" w:color="auto"/>
              <w:right w:val="single" w:sz="4" w:space="0" w:color="auto"/>
            </w:tcBorders>
            <w:shd w:val="clear" w:color="auto" w:fill="C6EFCE"/>
            <w:noWrap/>
          </w:tcPr>
          <w:p w14:paraId="7E68C1E6"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13E38AB8" w14:textId="77777777" w:rsidR="00515398" w:rsidRDefault="006711E6">
            <w:pPr>
              <w:pStyle w:val="P68B1DB1-Normal8"/>
              <w:keepNext/>
              <w:spacing w:before="40" w:after="0" w:line="259" w:lineRule="auto"/>
              <w:jc w:val="both"/>
              <w:rPr>
                <w:rFonts w:eastAsia="Times New Roman" w:cs="Times New Roman"/>
                <w:noProof/>
                <w:szCs w:val="18"/>
              </w:rPr>
            </w:pPr>
            <w:r>
              <w:rPr>
                <w:noProof/>
              </w:rPr>
              <w:t>Posílit provozní autonomii Nezávislého úřadu pro veřejné příjmy (IAPR)</w:t>
            </w:r>
          </w:p>
        </w:tc>
      </w:tr>
      <w:tr w:rsidR="00515398" w14:paraId="42439D24"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063D05B8"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342</w:t>
            </w:r>
          </w:p>
        </w:tc>
        <w:tc>
          <w:tcPr>
            <w:tcW w:w="4320" w:type="dxa"/>
            <w:tcBorders>
              <w:top w:val="single" w:sz="4" w:space="0" w:color="auto"/>
              <w:left w:val="nil"/>
              <w:bottom w:val="single" w:sz="4" w:space="0" w:color="auto"/>
              <w:right w:val="single" w:sz="4" w:space="0" w:color="auto"/>
            </w:tcBorders>
            <w:shd w:val="clear" w:color="auto" w:fill="C6EFCE"/>
            <w:noWrap/>
          </w:tcPr>
          <w:p w14:paraId="6E11221B"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 xml:space="preserve">13–4. Modernizovat veřejnou správu, </w:t>
            </w:r>
            <w:r>
              <w:rPr>
                <w:noProof/>
              </w:rPr>
              <w:t>mimo jiné urychlením provádění veřejných investic, zlepšením rámce pro zadávání veřejných zakázek, opatřeními na budování kapacit a bojem proti korupci – 16986_Dokončení národního katastru</w:t>
            </w:r>
          </w:p>
        </w:tc>
        <w:tc>
          <w:tcPr>
            <w:tcW w:w="1680" w:type="dxa"/>
            <w:tcBorders>
              <w:top w:val="single" w:sz="4" w:space="0" w:color="auto"/>
              <w:left w:val="nil"/>
              <w:bottom w:val="single" w:sz="4" w:space="0" w:color="auto"/>
              <w:right w:val="single" w:sz="4" w:space="0" w:color="auto"/>
            </w:tcBorders>
            <w:shd w:val="clear" w:color="auto" w:fill="C6EFCE"/>
            <w:noWrap/>
          </w:tcPr>
          <w:p w14:paraId="225663D7" w14:textId="77777777" w:rsidR="00515398" w:rsidRDefault="006711E6">
            <w:pPr>
              <w:pStyle w:val="P68B1DB1-Normal8"/>
              <w:keepNext/>
              <w:spacing w:before="40" w:after="0" w:line="259" w:lineRule="auto"/>
              <w:jc w:val="both"/>
              <w:rPr>
                <w:rFonts w:eastAsia="Times New Roman" w:cs="Times New Roman"/>
                <w:noProof/>
                <w:szCs w:val="18"/>
              </w:rPr>
            </w:pPr>
            <w:r>
              <w:rPr>
                <w:noProof/>
              </w:rPr>
              <w:t>Cílová</w:t>
            </w:r>
          </w:p>
        </w:tc>
        <w:tc>
          <w:tcPr>
            <w:tcW w:w="1800" w:type="dxa"/>
            <w:tcBorders>
              <w:top w:val="single" w:sz="4" w:space="0" w:color="auto"/>
              <w:left w:val="nil"/>
              <w:bottom w:val="single" w:sz="4" w:space="0" w:color="auto"/>
              <w:right w:val="single" w:sz="4" w:space="0" w:color="auto"/>
            </w:tcBorders>
            <w:shd w:val="clear" w:color="auto" w:fill="C6EFCE"/>
            <w:noWrap/>
          </w:tcPr>
          <w:p w14:paraId="6740F6A9" w14:textId="77777777" w:rsidR="00515398" w:rsidRDefault="006711E6">
            <w:pPr>
              <w:pStyle w:val="P68B1DB1-Normal8"/>
              <w:keepNext/>
              <w:spacing w:before="40" w:after="0" w:line="259" w:lineRule="auto"/>
              <w:jc w:val="both"/>
              <w:rPr>
                <w:rFonts w:eastAsia="Times New Roman" w:cs="Times New Roman"/>
                <w:noProof/>
                <w:szCs w:val="18"/>
              </w:rPr>
            </w:pPr>
            <w:r>
              <w:rPr>
                <w:noProof/>
              </w:rPr>
              <w:t>Katastrální mapování – 95 % dokončení</w:t>
            </w:r>
          </w:p>
        </w:tc>
      </w:tr>
      <w:tr w:rsidR="00515398" w14:paraId="46646231"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36F04F90"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343</w:t>
            </w:r>
          </w:p>
        </w:tc>
        <w:tc>
          <w:tcPr>
            <w:tcW w:w="4320" w:type="dxa"/>
            <w:tcBorders>
              <w:top w:val="single" w:sz="4" w:space="0" w:color="auto"/>
              <w:left w:val="nil"/>
              <w:bottom w:val="single" w:sz="4" w:space="0" w:color="auto"/>
              <w:right w:val="single" w:sz="4" w:space="0" w:color="auto"/>
            </w:tcBorders>
            <w:shd w:val="clear" w:color="auto" w:fill="C6EFCE"/>
            <w:noWrap/>
          </w:tcPr>
          <w:p w14:paraId="3C2906DA"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13–4. Modernizova</w:t>
            </w:r>
            <w:r>
              <w:rPr>
                <w:noProof/>
              </w:rPr>
              <w:t>t veřejnou správu, mimo jiné urychlením provádění veřejných investic, zlepšením rámce pro zadávání veřejných zakázek, opatřeními na budování kapacit a bojem proti korupci – 16986_Dokončení národního katastru</w:t>
            </w:r>
          </w:p>
        </w:tc>
        <w:tc>
          <w:tcPr>
            <w:tcW w:w="1680" w:type="dxa"/>
            <w:tcBorders>
              <w:top w:val="single" w:sz="4" w:space="0" w:color="auto"/>
              <w:left w:val="nil"/>
              <w:bottom w:val="single" w:sz="4" w:space="0" w:color="auto"/>
              <w:right w:val="single" w:sz="4" w:space="0" w:color="auto"/>
            </w:tcBorders>
            <w:shd w:val="clear" w:color="auto" w:fill="C6EFCE"/>
            <w:noWrap/>
          </w:tcPr>
          <w:p w14:paraId="0CF8B43D"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3C272FDF" w14:textId="021C71FB" w:rsidR="00515398" w:rsidRDefault="006711E6">
            <w:pPr>
              <w:pStyle w:val="P68B1DB1-Normal8"/>
              <w:keepNext/>
              <w:spacing w:before="40" w:after="0" w:line="259" w:lineRule="auto"/>
              <w:jc w:val="both"/>
              <w:rPr>
                <w:rFonts w:eastAsia="Times New Roman" w:cs="Times New Roman"/>
                <w:bCs/>
                <w:noProof/>
                <w:szCs w:val="18"/>
              </w:rPr>
            </w:pPr>
            <w:r>
              <w:rPr>
                <w:noProof/>
              </w:rPr>
              <w:t xml:space="preserve">Přechod na novou organizační strukturu </w:t>
            </w:r>
            <w:r>
              <w:rPr>
                <w:noProof/>
              </w:rPr>
              <w:t>řeckého katastru – úplné dokončení</w:t>
            </w:r>
          </w:p>
        </w:tc>
      </w:tr>
      <w:tr w:rsidR="00515398" w14:paraId="1F888083"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1F55D38C"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351</w:t>
            </w:r>
          </w:p>
        </w:tc>
        <w:tc>
          <w:tcPr>
            <w:tcW w:w="4320" w:type="dxa"/>
            <w:tcBorders>
              <w:top w:val="single" w:sz="4" w:space="0" w:color="auto"/>
              <w:left w:val="nil"/>
              <w:bottom w:val="single" w:sz="4" w:space="0" w:color="auto"/>
              <w:right w:val="single" w:sz="4" w:space="0" w:color="auto"/>
            </w:tcBorders>
            <w:shd w:val="clear" w:color="auto" w:fill="C6EFCE"/>
            <w:noWrap/>
          </w:tcPr>
          <w:p w14:paraId="3AA176AE"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20–5.1. Reformy REPowerEU – 16987_Rámec pro udělování licencí pro obnovitelný vodík a udržitelný biometan</w:t>
            </w:r>
          </w:p>
        </w:tc>
        <w:tc>
          <w:tcPr>
            <w:tcW w:w="1680" w:type="dxa"/>
            <w:tcBorders>
              <w:top w:val="single" w:sz="4" w:space="0" w:color="auto"/>
              <w:left w:val="nil"/>
              <w:bottom w:val="single" w:sz="4" w:space="0" w:color="auto"/>
              <w:right w:val="single" w:sz="4" w:space="0" w:color="auto"/>
            </w:tcBorders>
            <w:shd w:val="clear" w:color="auto" w:fill="C6EFCE"/>
            <w:noWrap/>
          </w:tcPr>
          <w:p w14:paraId="5F52BC5D"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04111CBF" w14:textId="77777777" w:rsidR="00515398" w:rsidRDefault="006711E6">
            <w:pPr>
              <w:pStyle w:val="P68B1DB1-Normal8"/>
              <w:keepNext/>
              <w:spacing w:before="40" w:after="0" w:line="259" w:lineRule="auto"/>
              <w:jc w:val="both"/>
              <w:rPr>
                <w:rFonts w:eastAsia="Times New Roman" w:cs="Times New Roman"/>
                <w:noProof/>
                <w:szCs w:val="18"/>
              </w:rPr>
            </w:pPr>
            <w:r>
              <w:rPr>
                <w:noProof/>
              </w:rPr>
              <w:t>Legislativní rámec pro obnovitelný vodík a udržitelný biometan</w:t>
            </w:r>
          </w:p>
        </w:tc>
      </w:tr>
      <w:tr w:rsidR="00515398" w14:paraId="27D13AC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66663D46" w14:textId="77777777" w:rsidR="00515398" w:rsidRDefault="006711E6">
            <w:pPr>
              <w:pStyle w:val="P68B1DB1-Normal8"/>
              <w:keepNext/>
              <w:spacing w:before="40" w:after="0" w:line="259" w:lineRule="auto"/>
              <w:jc w:val="both"/>
              <w:rPr>
                <w:rFonts w:cs="Times New Roman"/>
                <w:noProof/>
              </w:rPr>
            </w:pPr>
            <w:r>
              <w:rPr>
                <w:noProof/>
              </w:rPr>
              <w:t>356</w:t>
            </w:r>
          </w:p>
        </w:tc>
        <w:tc>
          <w:tcPr>
            <w:tcW w:w="4320" w:type="dxa"/>
            <w:tcBorders>
              <w:top w:val="single" w:sz="4" w:space="0" w:color="auto"/>
              <w:left w:val="nil"/>
              <w:bottom w:val="single" w:sz="4" w:space="0" w:color="auto"/>
              <w:right w:val="single" w:sz="4" w:space="0" w:color="auto"/>
            </w:tcBorders>
            <w:shd w:val="clear" w:color="auto" w:fill="C6EFCE"/>
            <w:noWrap/>
          </w:tcPr>
          <w:p w14:paraId="7B498906" w14:textId="77777777" w:rsidR="00515398" w:rsidRDefault="006711E6">
            <w:pPr>
              <w:pStyle w:val="P68B1DB1-Normal8"/>
              <w:keepNext/>
              <w:spacing w:before="40" w:after="0" w:line="259" w:lineRule="auto"/>
              <w:jc w:val="both"/>
              <w:rPr>
                <w:rFonts w:cs="Times New Roman"/>
                <w:noProof/>
              </w:rPr>
            </w:pPr>
            <w:r>
              <w:rPr>
                <w:noProof/>
              </w:rPr>
              <w:t>20–5.1. Reformy REPowerEU – 16990_Z</w:t>
            </w:r>
            <w:r>
              <w:rPr>
                <w:noProof/>
              </w:rPr>
              <w:t xml:space="preserve">výšení kapacity sítě a skladovací kapacity – podpora investic do skladování </w:t>
            </w:r>
          </w:p>
        </w:tc>
        <w:tc>
          <w:tcPr>
            <w:tcW w:w="1680" w:type="dxa"/>
            <w:tcBorders>
              <w:top w:val="single" w:sz="4" w:space="0" w:color="auto"/>
              <w:left w:val="nil"/>
              <w:bottom w:val="single" w:sz="4" w:space="0" w:color="auto"/>
              <w:right w:val="single" w:sz="4" w:space="0" w:color="auto"/>
            </w:tcBorders>
            <w:shd w:val="clear" w:color="auto" w:fill="C6EFCE"/>
            <w:noWrap/>
          </w:tcPr>
          <w:p w14:paraId="4F1A9D98" w14:textId="77777777" w:rsidR="00515398" w:rsidRDefault="006711E6">
            <w:pPr>
              <w:pStyle w:val="P68B1DB1-Normal8"/>
              <w:keepNext/>
              <w:spacing w:before="40" w:after="0" w:line="259" w:lineRule="auto"/>
              <w:jc w:val="both"/>
              <w:rPr>
                <w:rFonts w:cs="Times New Roman"/>
                <w:noProof/>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4B1CB825" w14:textId="77777777" w:rsidR="00515398" w:rsidRDefault="006711E6">
            <w:pPr>
              <w:pStyle w:val="P68B1DB1-Normal8"/>
              <w:keepNext/>
              <w:spacing w:before="40" w:after="0" w:line="259" w:lineRule="auto"/>
              <w:jc w:val="both"/>
              <w:rPr>
                <w:rFonts w:cs="Times New Roman"/>
                <w:noProof/>
              </w:rPr>
            </w:pPr>
            <w:r>
              <w:rPr>
                <w:noProof/>
              </w:rPr>
              <w:t>Vstup legislativního rámce v platnost</w:t>
            </w:r>
          </w:p>
        </w:tc>
      </w:tr>
      <w:tr w:rsidR="00515398" w14:paraId="7CD6D09E"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0C9E919" w14:textId="77777777" w:rsidR="00515398" w:rsidRDefault="006711E6">
            <w:pPr>
              <w:pStyle w:val="P68B1DB1-Normal8"/>
              <w:keepNext/>
              <w:spacing w:before="40" w:after="0" w:line="259" w:lineRule="auto"/>
              <w:jc w:val="both"/>
              <w:rPr>
                <w:rFonts w:cs="Times New Roman"/>
                <w:noProof/>
              </w:rPr>
            </w:pPr>
            <w:r>
              <w:rPr>
                <w:noProof/>
              </w:rPr>
              <w:t>358</w:t>
            </w:r>
          </w:p>
        </w:tc>
        <w:tc>
          <w:tcPr>
            <w:tcW w:w="4320" w:type="dxa"/>
            <w:tcBorders>
              <w:top w:val="single" w:sz="4" w:space="0" w:color="auto"/>
              <w:left w:val="nil"/>
              <w:bottom w:val="single" w:sz="4" w:space="0" w:color="auto"/>
              <w:right w:val="single" w:sz="4" w:space="0" w:color="auto"/>
            </w:tcBorders>
            <w:shd w:val="clear" w:color="auto" w:fill="C6EFCE"/>
            <w:noWrap/>
          </w:tcPr>
          <w:p w14:paraId="7D002C03" w14:textId="77777777" w:rsidR="00515398" w:rsidRDefault="006711E6">
            <w:pPr>
              <w:pStyle w:val="P68B1DB1-Normal8"/>
              <w:keepNext/>
              <w:spacing w:before="40" w:after="0" w:line="259" w:lineRule="auto"/>
              <w:jc w:val="both"/>
              <w:rPr>
                <w:rFonts w:cs="Times New Roman"/>
                <w:noProof/>
              </w:rPr>
            </w:pPr>
            <w:r>
              <w:rPr>
                <w:noProof/>
              </w:rPr>
              <w:t>20–5.1. Reformy REPowerEU – 16991_Regulační rámec pro vytvoření inteligentní sítě</w:t>
            </w:r>
          </w:p>
        </w:tc>
        <w:tc>
          <w:tcPr>
            <w:tcW w:w="1680" w:type="dxa"/>
            <w:tcBorders>
              <w:top w:val="single" w:sz="4" w:space="0" w:color="auto"/>
              <w:left w:val="nil"/>
              <w:bottom w:val="single" w:sz="4" w:space="0" w:color="auto"/>
              <w:right w:val="single" w:sz="4" w:space="0" w:color="auto"/>
            </w:tcBorders>
            <w:shd w:val="clear" w:color="auto" w:fill="C6EFCE"/>
            <w:noWrap/>
          </w:tcPr>
          <w:p w14:paraId="0AA55752" w14:textId="77777777" w:rsidR="00515398" w:rsidRDefault="006711E6">
            <w:pPr>
              <w:pStyle w:val="P68B1DB1-Normal8"/>
              <w:keepNext/>
              <w:spacing w:before="40" w:after="0" w:line="259" w:lineRule="auto"/>
              <w:jc w:val="both"/>
              <w:rPr>
                <w:rFonts w:cs="Times New Roman"/>
                <w:noProof/>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04138B62" w14:textId="77777777" w:rsidR="00515398" w:rsidRDefault="006711E6">
            <w:pPr>
              <w:pStyle w:val="P68B1DB1-Normal8"/>
              <w:keepNext/>
              <w:spacing w:before="40" w:after="0" w:line="259" w:lineRule="auto"/>
              <w:jc w:val="both"/>
              <w:rPr>
                <w:rFonts w:cs="Times New Roman"/>
                <w:noProof/>
              </w:rPr>
            </w:pPr>
            <w:r>
              <w:rPr>
                <w:noProof/>
              </w:rPr>
              <w:t xml:space="preserve">Vytvoření systému založeného na </w:t>
            </w:r>
            <w:r>
              <w:rPr>
                <w:noProof/>
              </w:rPr>
              <w:t>pobídkách pro provozovatele distribuční soustavy a spotřebitele s cílem zvýšit zavádění a využívání inteligentních měřičů.</w:t>
            </w:r>
          </w:p>
        </w:tc>
      </w:tr>
      <w:tr w:rsidR="00515398" w14:paraId="1A235C9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80E2912"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361</w:t>
            </w:r>
          </w:p>
        </w:tc>
        <w:tc>
          <w:tcPr>
            <w:tcW w:w="4320" w:type="dxa"/>
            <w:tcBorders>
              <w:top w:val="single" w:sz="4" w:space="0" w:color="auto"/>
              <w:left w:val="nil"/>
              <w:bottom w:val="single" w:sz="4" w:space="0" w:color="auto"/>
              <w:right w:val="single" w:sz="4" w:space="0" w:color="auto"/>
            </w:tcBorders>
            <w:shd w:val="clear" w:color="auto" w:fill="C6EFCE"/>
            <w:noWrap/>
          </w:tcPr>
          <w:p w14:paraId="324A7221"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20–5. Reformy REPowerEU – 16992_Soubor nástrojů na podporu sdílení energie, vlastní spotřeby a společenství pro obnovitelné zdro</w:t>
            </w:r>
            <w:r>
              <w:rPr>
                <w:noProof/>
              </w:rPr>
              <w:t>je energie</w:t>
            </w:r>
          </w:p>
        </w:tc>
        <w:tc>
          <w:tcPr>
            <w:tcW w:w="1680" w:type="dxa"/>
            <w:tcBorders>
              <w:top w:val="single" w:sz="4" w:space="0" w:color="auto"/>
              <w:left w:val="nil"/>
              <w:bottom w:val="single" w:sz="4" w:space="0" w:color="auto"/>
              <w:right w:val="single" w:sz="4" w:space="0" w:color="auto"/>
            </w:tcBorders>
            <w:shd w:val="clear" w:color="auto" w:fill="C6EFCE"/>
            <w:noWrap/>
          </w:tcPr>
          <w:p w14:paraId="6D09269D"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131B51F2" w14:textId="2EEAE9BC" w:rsidR="00515398" w:rsidRDefault="006711E6">
            <w:pPr>
              <w:pStyle w:val="P68B1DB1-Normal8"/>
              <w:keepNext/>
              <w:spacing w:before="40" w:after="0" w:line="259" w:lineRule="auto"/>
              <w:jc w:val="both"/>
              <w:rPr>
                <w:rFonts w:eastAsia="Times New Roman" w:cs="Times New Roman"/>
                <w:noProof/>
                <w:szCs w:val="18"/>
              </w:rPr>
            </w:pPr>
            <w:r>
              <w:rPr>
                <w:noProof/>
              </w:rPr>
              <w:t>Vstup v platnost primárních a sekundárních právních předpisů o vlastní spotřebě a usnadnění povolovacích postupů pro instalaci stanic obnovitelných zdrojů energie v bytových domech</w:t>
            </w:r>
          </w:p>
        </w:tc>
      </w:tr>
      <w:tr w:rsidR="00515398" w14:paraId="4446275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9A42F73"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363</w:t>
            </w:r>
          </w:p>
        </w:tc>
        <w:tc>
          <w:tcPr>
            <w:tcW w:w="4320" w:type="dxa"/>
            <w:tcBorders>
              <w:top w:val="single" w:sz="4" w:space="0" w:color="auto"/>
              <w:left w:val="nil"/>
              <w:bottom w:val="single" w:sz="4" w:space="0" w:color="auto"/>
              <w:right w:val="single" w:sz="4" w:space="0" w:color="auto"/>
            </w:tcBorders>
            <w:shd w:val="clear" w:color="auto" w:fill="C6EFCE"/>
            <w:noWrap/>
          </w:tcPr>
          <w:p w14:paraId="0ABD2EC4"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20–5. Reformy REPowerEU – 16993_Plán inovativních in</w:t>
            </w:r>
            <w:r>
              <w:rPr>
                <w:noProof/>
              </w:rPr>
              <w:t>tervencí v oblasti energetické účinnosti a určení nových finančních nástrojů</w:t>
            </w:r>
          </w:p>
        </w:tc>
        <w:tc>
          <w:tcPr>
            <w:tcW w:w="1680" w:type="dxa"/>
            <w:tcBorders>
              <w:top w:val="single" w:sz="4" w:space="0" w:color="auto"/>
              <w:left w:val="nil"/>
              <w:bottom w:val="single" w:sz="4" w:space="0" w:color="auto"/>
              <w:right w:val="single" w:sz="4" w:space="0" w:color="auto"/>
            </w:tcBorders>
            <w:shd w:val="clear" w:color="auto" w:fill="C6EFCE"/>
            <w:noWrap/>
          </w:tcPr>
          <w:p w14:paraId="16B7BC78"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21C601F7" w14:textId="77777777" w:rsidR="00515398" w:rsidRDefault="006711E6">
            <w:pPr>
              <w:pStyle w:val="P68B1DB1-Normal8"/>
              <w:keepNext/>
              <w:spacing w:before="40" w:after="0" w:line="259" w:lineRule="auto"/>
              <w:jc w:val="both"/>
              <w:rPr>
                <w:rFonts w:eastAsia="Times New Roman" w:cs="Times New Roman"/>
                <w:noProof/>
                <w:szCs w:val="18"/>
              </w:rPr>
            </w:pPr>
            <w:r>
              <w:rPr>
                <w:noProof/>
              </w:rPr>
              <w:t>Plán inovativních intervencí v oblasti energetické účinnosti a stanovený právní rámec</w:t>
            </w:r>
          </w:p>
        </w:tc>
      </w:tr>
      <w:tr w:rsidR="00515398" w14:paraId="57F63B36"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25F05F2"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365</w:t>
            </w:r>
          </w:p>
        </w:tc>
        <w:tc>
          <w:tcPr>
            <w:tcW w:w="4320" w:type="dxa"/>
            <w:tcBorders>
              <w:top w:val="single" w:sz="4" w:space="0" w:color="auto"/>
              <w:left w:val="nil"/>
              <w:bottom w:val="single" w:sz="4" w:space="0" w:color="auto"/>
              <w:right w:val="single" w:sz="4" w:space="0" w:color="auto"/>
            </w:tcBorders>
            <w:shd w:val="clear" w:color="auto" w:fill="C6EFCE"/>
            <w:noWrap/>
          </w:tcPr>
          <w:p w14:paraId="2274059C"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 xml:space="preserve">21–5.2 Investice REPowerEU – 16996_Instalace skladování energie pro další </w:t>
            </w:r>
            <w:r>
              <w:rPr>
                <w:noProof/>
              </w:rPr>
              <w:t>rozšíření obnovitelných zdrojů energie</w:t>
            </w:r>
          </w:p>
        </w:tc>
        <w:tc>
          <w:tcPr>
            <w:tcW w:w="1680" w:type="dxa"/>
            <w:tcBorders>
              <w:top w:val="single" w:sz="4" w:space="0" w:color="auto"/>
              <w:left w:val="nil"/>
              <w:bottom w:val="single" w:sz="4" w:space="0" w:color="auto"/>
              <w:right w:val="single" w:sz="4" w:space="0" w:color="auto"/>
            </w:tcBorders>
            <w:shd w:val="clear" w:color="auto" w:fill="C6EFCE"/>
            <w:noWrap/>
          </w:tcPr>
          <w:p w14:paraId="5807EC57"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4302A810" w14:textId="184D696D" w:rsidR="00515398" w:rsidRDefault="006711E6">
            <w:pPr>
              <w:pStyle w:val="P68B1DB1-Normal8"/>
              <w:keepNext/>
              <w:spacing w:before="40" w:after="0" w:line="259" w:lineRule="auto"/>
              <w:jc w:val="both"/>
              <w:rPr>
                <w:rFonts w:eastAsia="Times New Roman" w:cs="Times New Roman"/>
                <w:noProof/>
                <w:szCs w:val="18"/>
              </w:rPr>
            </w:pPr>
            <w:r>
              <w:rPr>
                <w:noProof/>
              </w:rPr>
              <w:t>Schválené projekty skladování energie</w:t>
            </w:r>
          </w:p>
        </w:tc>
      </w:tr>
      <w:tr w:rsidR="00515398" w14:paraId="2A88834C"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7CCBE320" w14:textId="3D7A0181" w:rsidR="00515398" w:rsidRDefault="006711E6">
            <w:pPr>
              <w:pStyle w:val="P68B1DB1-Normal8"/>
              <w:keepNext/>
              <w:spacing w:before="40" w:after="0" w:line="259" w:lineRule="auto"/>
              <w:jc w:val="both"/>
              <w:rPr>
                <w:noProof/>
              </w:rPr>
            </w:pPr>
            <w:r>
              <w:rPr>
                <w:noProof/>
              </w:rPr>
              <w:t>370</w:t>
            </w:r>
          </w:p>
        </w:tc>
        <w:tc>
          <w:tcPr>
            <w:tcW w:w="4320" w:type="dxa"/>
            <w:tcBorders>
              <w:top w:val="single" w:sz="4" w:space="0" w:color="auto"/>
              <w:left w:val="nil"/>
              <w:bottom w:val="single" w:sz="4" w:space="0" w:color="auto"/>
              <w:right w:val="single" w:sz="4" w:space="0" w:color="auto"/>
            </w:tcBorders>
            <w:shd w:val="clear" w:color="auto" w:fill="C6EFCE"/>
            <w:noWrap/>
          </w:tcPr>
          <w:p w14:paraId="34D5332B" w14:textId="57FEE367" w:rsidR="00515398" w:rsidRDefault="006711E6">
            <w:pPr>
              <w:pStyle w:val="P68B1DB1-Normal8"/>
              <w:keepNext/>
              <w:spacing w:before="40" w:after="0" w:line="259" w:lineRule="auto"/>
              <w:jc w:val="both"/>
              <w:rPr>
                <w:noProof/>
              </w:rPr>
            </w:pPr>
            <w:r>
              <w:rPr>
                <w:noProof/>
              </w:rPr>
              <w:t>21–5.2 Investice REPowerEU – 16995_Projekt výroby vodíku z obnovitelných zdrojů</w:t>
            </w:r>
          </w:p>
        </w:tc>
        <w:tc>
          <w:tcPr>
            <w:tcW w:w="1680" w:type="dxa"/>
            <w:tcBorders>
              <w:top w:val="single" w:sz="4" w:space="0" w:color="auto"/>
              <w:left w:val="nil"/>
              <w:bottom w:val="single" w:sz="4" w:space="0" w:color="auto"/>
              <w:right w:val="single" w:sz="4" w:space="0" w:color="auto"/>
            </w:tcBorders>
            <w:shd w:val="clear" w:color="auto" w:fill="C6EFCE"/>
            <w:noWrap/>
          </w:tcPr>
          <w:p w14:paraId="7218CBDD" w14:textId="53738737" w:rsidR="00515398" w:rsidRDefault="006711E6">
            <w:pPr>
              <w:pStyle w:val="P68B1DB1-Normal8"/>
              <w:keepNext/>
              <w:spacing w:before="40" w:after="0" w:line="259" w:lineRule="auto"/>
              <w:jc w:val="both"/>
              <w:rPr>
                <w:noProof/>
              </w:rPr>
            </w:pPr>
            <w:r>
              <w:rPr>
                <w:noProof/>
              </w:rPr>
              <w:t>Milník</w:t>
            </w:r>
          </w:p>
        </w:tc>
        <w:tc>
          <w:tcPr>
            <w:tcW w:w="1800" w:type="dxa"/>
            <w:tcBorders>
              <w:top w:val="single" w:sz="4" w:space="0" w:color="auto"/>
              <w:left w:val="nil"/>
              <w:bottom w:val="single" w:sz="4" w:space="0" w:color="auto"/>
              <w:right w:val="single" w:sz="4" w:space="0" w:color="auto"/>
            </w:tcBorders>
            <w:shd w:val="clear" w:color="auto" w:fill="C6EFCE"/>
            <w:noWrap/>
          </w:tcPr>
          <w:p w14:paraId="3C51D5EC" w14:textId="6866C01B" w:rsidR="00515398" w:rsidRDefault="006711E6">
            <w:pPr>
              <w:pStyle w:val="P68B1DB1-Normal8"/>
              <w:keepNext/>
              <w:spacing w:before="40" w:after="0" w:line="259" w:lineRule="auto"/>
              <w:jc w:val="both"/>
              <w:rPr>
                <w:noProof/>
              </w:rPr>
            </w:pPr>
            <w:r>
              <w:rPr>
                <w:noProof/>
              </w:rPr>
              <w:t>Vydání společného ministerského rozhodnutí o poskytnutí grantu příjemci</w:t>
            </w:r>
          </w:p>
        </w:tc>
      </w:tr>
      <w:tr w:rsidR="00515398" w14:paraId="78FF1AD1"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647E89D1" w14:textId="38546F3C" w:rsidR="00515398" w:rsidRDefault="006711E6">
            <w:pPr>
              <w:pStyle w:val="P68B1DB1-Normal8"/>
              <w:keepNext/>
              <w:spacing w:before="40" w:after="0" w:line="259" w:lineRule="auto"/>
              <w:jc w:val="both"/>
              <w:rPr>
                <w:noProof/>
              </w:rPr>
            </w:pPr>
            <w:r>
              <w:rPr>
                <w:noProof/>
              </w:rPr>
              <w:t>368</w:t>
            </w:r>
          </w:p>
        </w:tc>
        <w:tc>
          <w:tcPr>
            <w:tcW w:w="4320" w:type="dxa"/>
            <w:tcBorders>
              <w:top w:val="single" w:sz="4" w:space="0" w:color="auto"/>
              <w:left w:val="nil"/>
              <w:bottom w:val="single" w:sz="4" w:space="0" w:color="auto"/>
              <w:right w:val="single" w:sz="4" w:space="0" w:color="auto"/>
            </w:tcBorders>
            <w:shd w:val="clear" w:color="auto" w:fill="C6EFCE"/>
            <w:noWrap/>
          </w:tcPr>
          <w:p w14:paraId="657A00CC" w14:textId="1A3C1DC0" w:rsidR="00515398" w:rsidRDefault="006711E6">
            <w:pPr>
              <w:pStyle w:val="P68B1DB1-Normal8"/>
              <w:keepNext/>
              <w:spacing w:before="40" w:after="0" w:line="259" w:lineRule="auto"/>
              <w:jc w:val="both"/>
              <w:rPr>
                <w:noProof/>
              </w:rPr>
            </w:pPr>
            <w:r>
              <w:rPr>
                <w:noProof/>
              </w:rPr>
              <w:t>21–</w:t>
            </w:r>
            <w:r>
              <w:rPr>
                <w:noProof/>
              </w:rPr>
              <w:t>5.2 Investice REPowerEU – 16994_Energetická účinnost a podpora obnovitelných zdrojů energie pro vlastní spotřebu</w:t>
            </w:r>
          </w:p>
        </w:tc>
        <w:tc>
          <w:tcPr>
            <w:tcW w:w="1680" w:type="dxa"/>
            <w:tcBorders>
              <w:top w:val="single" w:sz="4" w:space="0" w:color="auto"/>
              <w:left w:val="nil"/>
              <w:bottom w:val="single" w:sz="4" w:space="0" w:color="auto"/>
              <w:right w:val="single" w:sz="4" w:space="0" w:color="auto"/>
            </w:tcBorders>
            <w:shd w:val="clear" w:color="auto" w:fill="C6EFCE"/>
            <w:noWrap/>
          </w:tcPr>
          <w:p w14:paraId="147D8534" w14:textId="0F4E1722" w:rsidR="00515398" w:rsidRDefault="006711E6">
            <w:pPr>
              <w:pStyle w:val="P68B1DB1-Normal8"/>
              <w:keepNext/>
              <w:spacing w:before="40" w:after="0" w:line="259" w:lineRule="auto"/>
              <w:jc w:val="both"/>
              <w:rPr>
                <w:noProof/>
              </w:rPr>
            </w:pPr>
            <w:r>
              <w:rPr>
                <w:noProof/>
              </w:rPr>
              <w:t>Cílová</w:t>
            </w:r>
          </w:p>
        </w:tc>
        <w:tc>
          <w:tcPr>
            <w:tcW w:w="1800" w:type="dxa"/>
            <w:tcBorders>
              <w:top w:val="single" w:sz="4" w:space="0" w:color="auto"/>
              <w:left w:val="nil"/>
              <w:bottom w:val="single" w:sz="4" w:space="0" w:color="auto"/>
              <w:right w:val="single" w:sz="4" w:space="0" w:color="auto"/>
            </w:tcBorders>
            <w:shd w:val="clear" w:color="auto" w:fill="C6EFCE"/>
            <w:noWrap/>
          </w:tcPr>
          <w:p w14:paraId="2E6BCF5E" w14:textId="3543E425" w:rsidR="00515398" w:rsidRDefault="006711E6">
            <w:pPr>
              <w:pStyle w:val="P68B1DB1-Normal8"/>
              <w:keepNext/>
              <w:spacing w:before="40" w:after="0" w:line="259" w:lineRule="auto"/>
              <w:jc w:val="both"/>
              <w:rPr>
                <w:noProof/>
              </w:rPr>
            </w:pPr>
            <w:r>
              <w:rPr>
                <w:noProof/>
              </w:rPr>
              <w:t>Instalace fotovoltaických systémů pro vlastní spotřebu</w:t>
            </w:r>
          </w:p>
        </w:tc>
      </w:tr>
      <w:tr w:rsidR="00515398" w14:paraId="2DB2DC92"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F2F1B2"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7E2F1646"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tcPr>
          <w:p w14:paraId="6F7668BF" w14:textId="77777777" w:rsidR="00515398" w:rsidRDefault="006711E6">
            <w:pPr>
              <w:pStyle w:val="P68B1DB1-Normal8"/>
              <w:keepNext/>
              <w:spacing w:before="40" w:after="0" w:line="259" w:lineRule="auto"/>
              <w:jc w:val="both"/>
              <w:rPr>
                <w:rFonts w:eastAsia="Times New Roman" w:cs="Times New Roman"/>
                <w:noProof/>
                <w:szCs w:val="18"/>
              </w:rPr>
            </w:pPr>
            <w:r>
              <w:rPr>
                <w:noProof/>
              </w:rPr>
              <w:t>Splátková částka</w:t>
            </w:r>
          </w:p>
        </w:tc>
        <w:tc>
          <w:tcPr>
            <w:tcW w:w="1800" w:type="dxa"/>
            <w:tcBorders>
              <w:top w:val="single" w:sz="4" w:space="0" w:color="auto"/>
              <w:left w:val="nil"/>
              <w:bottom w:val="single" w:sz="4" w:space="0" w:color="auto"/>
              <w:right w:val="single" w:sz="4" w:space="0" w:color="auto"/>
            </w:tcBorders>
            <w:shd w:val="clear" w:color="auto" w:fill="C6EFCE"/>
            <w:noWrap/>
            <w:vAlign w:val="bottom"/>
          </w:tcPr>
          <w:p w14:paraId="2C9D6831" w14:textId="42852C2D" w:rsidR="00515398" w:rsidRDefault="006711E6">
            <w:pPr>
              <w:pStyle w:val="P68B1DB1-Normal8"/>
              <w:keepNext/>
              <w:spacing w:before="40" w:after="0" w:line="259" w:lineRule="auto"/>
              <w:jc w:val="both"/>
              <w:rPr>
                <w:rFonts w:eastAsia="Times New Roman" w:cs="Times New Roman"/>
                <w:noProof/>
                <w:szCs w:val="18"/>
              </w:rPr>
            </w:pPr>
            <w:r>
              <w:rPr>
                <w:noProof/>
              </w:rPr>
              <w:t>2 439 692 495 EUR</w:t>
            </w:r>
          </w:p>
        </w:tc>
      </w:tr>
    </w:tbl>
    <w:p w14:paraId="41C48C6E" w14:textId="77777777" w:rsidR="00515398" w:rsidRDefault="00515398">
      <w:pPr>
        <w:keepNext/>
        <w:spacing w:before="40" w:line="259" w:lineRule="auto"/>
        <w:jc w:val="both"/>
        <w:rPr>
          <w:rFonts w:eastAsia="Times New Roman"/>
          <w:i/>
          <w:noProof/>
          <w:color w:val="4F81BD"/>
        </w:rPr>
      </w:pPr>
    </w:p>
    <w:p w14:paraId="2C4C2510"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Sedmá žádost o platbu (nevratná podpora): </w:t>
      </w:r>
    </w:p>
    <w:p w14:paraId="6259FE40" w14:textId="77777777" w:rsidR="00515398" w:rsidRDefault="00515398">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52" w:tblpY="1"/>
        <w:tblOverlap w:val="never"/>
        <w:tblW w:w="9595" w:type="dxa"/>
        <w:tblLayout w:type="fixed"/>
        <w:tblLook w:val="04A0" w:firstRow="1" w:lastRow="0" w:firstColumn="1" w:lastColumn="0" w:noHBand="0" w:noVBand="1"/>
      </w:tblPr>
      <w:tblGrid>
        <w:gridCol w:w="1795"/>
        <w:gridCol w:w="4320"/>
        <w:gridCol w:w="1560"/>
        <w:gridCol w:w="1920"/>
      </w:tblGrid>
      <w:tr w:rsidR="00515398" w14:paraId="290E14DE"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36AD22"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9CAE6B"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DC1A23"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E37BB7"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3F585188"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1C434604"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BE1D839"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30FB92"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2C2FC2FE"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71FBDE2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6265750C" w14:textId="77777777" w:rsidR="00515398" w:rsidRDefault="006711E6">
            <w:pPr>
              <w:pStyle w:val="P68B1DB1-Normal8"/>
              <w:keepNext/>
              <w:spacing w:before="40" w:after="0" w:line="240" w:lineRule="auto"/>
              <w:jc w:val="both"/>
              <w:rPr>
                <w:rFonts w:cs="Times New Roman"/>
                <w:noProof/>
                <w:szCs w:val="18"/>
              </w:rPr>
            </w:pPr>
            <w:r>
              <w:rPr>
                <w:noProof/>
              </w:rPr>
              <w:t>45a</w:t>
            </w:r>
          </w:p>
        </w:tc>
        <w:tc>
          <w:tcPr>
            <w:tcW w:w="4320" w:type="dxa"/>
            <w:tcBorders>
              <w:top w:val="nil"/>
              <w:left w:val="nil"/>
              <w:bottom w:val="single" w:sz="4" w:space="0" w:color="auto"/>
              <w:right w:val="single" w:sz="4" w:space="0" w:color="auto"/>
            </w:tcBorders>
            <w:shd w:val="clear" w:color="auto" w:fill="C6EFCE"/>
            <w:noWrap/>
          </w:tcPr>
          <w:p w14:paraId="69484145" w14:textId="77777777" w:rsidR="00515398" w:rsidRDefault="006711E6">
            <w:pPr>
              <w:pStyle w:val="P68B1DB1-Normal8"/>
              <w:spacing w:after="0" w:line="240" w:lineRule="auto"/>
              <w:rPr>
                <w:rFonts w:cs="Times New Roman"/>
                <w:noProof/>
                <w:szCs w:val="18"/>
              </w:rPr>
            </w:pPr>
            <w:r>
              <w:rPr>
                <w:noProof/>
              </w:rPr>
              <w:t>3–1.3. Dobíjení a doplňování paliva –16924_Elektromobilita</w:t>
            </w:r>
          </w:p>
        </w:tc>
        <w:tc>
          <w:tcPr>
            <w:tcW w:w="1560" w:type="dxa"/>
            <w:tcBorders>
              <w:top w:val="nil"/>
              <w:left w:val="nil"/>
              <w:bottom w:val="single" w:sz="4" w:space="0" w:color="auto"/>
              <w:right w:val="single" w:sz="4" w:space="0" w:color="auto"/>
            </w:tcBorders>
            <w:shd w:val="clear" w:color="auto" w:fill="C6EFCE"/>
            <w:noWrap/>
          </w:tcPr>
          <w:p w14:paraId="13FCF432"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tcPr>
          <w:p w14:paraId="6A30ECDE" w14:textId="48E4B5E8" w:rsidR="00515398" w:rsidRDefault="006711E6">
            <w:pPr>
              <w:pStyle w:val="P68B1DB1-Normal8"/>
              <w:keepNext/>
              <w:spacing w:before="40" w:after="0" w:line="240" w:lineRule="auto"/>
              <w:jc w:val="both"/>
              <w:rPr>
                <w:rFonts w:cs="Times New Roman"/>
                <w:noProof/>
                <w:szCs w:val="18"/>
              </w:rPr>
            </w:pPr>
            <w:r>
              <w:rPr>
                <w:noProof/>
              </w:rPr>
              <w:t xml:space="preserve">Veřejná doprava – zahájení zadávacích řízení pro </w:t>
            </w:r>
            <w:r>
              <w:rPr>
                <w:noProof/>
              </w:rPr>
              <w:t>provozovatele autobusové dopravy zveřejněním příslušných výzev pro 12 regionů</w:t>
            </w:r>
          </w:p>
        </w:tc>
      </w:tr>
      <w:tr w:rsidR="00515398" w14:paraId="5F1E256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1EACAAE" w14:textId="130321D4" w:rsidR="00515398" w:rsidRDefault="006711E6">
            <w:pPr>
              <w:pStyle w:val="P68B1DB1-Normal8"/>
              <w:keepNext/>
              <w:spacing w:before="40" w:after="0" w:line="240" w:lineRule="auto"/>
              <w:jc w:val="both"/>
              <w:rPr>
                <w:noProof/>
              </w:rPr>
            </w:pPr>
            <w:r>
              <w:rPr>
                <w:noProof/>
              </w:rPr>
              <w:t>51</w:t>
            </w:r>
          </w:p>
        </w:tc>
        <w:tc>
          <w:tcPr>
            <w:tcW w:w="4320" w:type="dxa"/>
            <w:tcBorders>
              <w:top w:val="nil"/>
              <w:left w:val="nil"/>
              <w:bottom w:val="single" w:sz="4" w:space="0" w:color="auto"/>
              <w:right w:val="single" w:sz="4" w:space="0" w:color="auto"/>
            </w:tcBorders>
            <w:shd w:val="clear" w:color="auto" w:fill="C6EFCE"/>
            <w:noWrap/>
            <w:vAlign w:val="center"/>
          </w:tcPr>
          <w:p w14:paraId="276E30DB" w14:textId="7A3584A0" w:rsidR="00515398" w:rsidRDefault="006711E6">
            <w:pPr>
              <w:pStyle w:val="P68B1DB1-Normal8"/>
              <w:spacing w:after="0" w:line="240" w:lineRule="auto"/>
              <w:rPr>
                <w:noProof/>
              </w:rPr>
            </w:pPr>
            <w:r>
              <w:rPr>
                <w:noProof/>
              </w:rPr>
              <w:t>3–1.3. Dobíjení a doplňování paliva – 16831_Produc- E Green</w:t>
            </w:r>
          </w:p>
        </w:tc>
        <w:tc>
          <w:tcPr>
            <w:tcW w:w="1560" w:type="dxa"/>
            <w:tcBorders>
              <w:top w:val="nil"/>
              <w:left w:val="nil"/>
              <w:bottom w:val="single" w:sz="4" w:space="0" w:color="auto"/>
              <w:right w:val="single" w:sz="4" w:space="0" w:color="auto"/>
            </w:tcBorders>
            <w:shd w:val="clear" w:color="auto" w:fill="C6EFCE"/>
            <w:noWrap/>
            <w:vAlign w:val="center"/>
          </w:tcPr>
          <w:p w14:paraId="49550B84" w14:textId="722DDA52" w:rsidR="00515398" w:rsidRDefault="006711E6">
            <w:pPr>
              <w:pStyle w:val="P68B1DB1-Normal8"/>
              <w:keepNext/>
              <w:spacing w:before="40" w:after="0" w:line="240" w:lineRule="auto"/>
              <w:jc w:val="both"/>
              <w:rPr>
                <w:noProof/>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5EA79C25" w14:textId="641D60B7" w:rsidR="00515398" w:rsidRDefault="006711E6">
            <w:pPr>
              <w:pStyle w:val="P68B1DB1-Normal8"/>
              <w:keepNext/>
              <w:spacing w:before="40" w:after="0" w:line="240" w:lineRule="auto"/>
              <w:jc w:val="both"/>
              <w:rPr>
                <w:noProof/>
              </w:rPr>
            </w:pPr>
            <w:r>
              <w:rPr>
                <w:noProof/>
              </w:rPr>
              <w:t>Zachycování a ukládání uhlíku (CCS) – povolení k ukládání</w:t>
            </w:r>
          </w:p>
        </w:tc>
      </w:tr>
      <w:tr w:rsidR="00515398" w14:paraId="74CE255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668698BE" w14:textId="77777777" w:rsidR="00515398" w:rsidRDefault="006711E6">
            <w:pPr>
              <w:pStyle w:val="P68B1DB1-Normal8"/>
              <w:keepNext/>
              <w:spacing w:before="40" w:after="0" w:line="240" w:lineRule="auto"/>
              <w:jc w:val="both"/>
              <w:rPr>
                <w:rFonts w:cs="Times New Roman"/>
                <w:noProof/>
                <w:szCs w:val="18"/>
              </w:rPr>
            </w:pPr>
            <w:r>
              <w:rPr>
                <w:noProof/>
              </w:rPr>
              <w:t>62a</w:t>
            </w:r>
          </w:p>
        </w:tc>
        <w:tc>
          <w:tcPr>
            <w:tcW w:w="4320" w:type="dxa"/>
            <w:tcBorders>
              <w:top w:val="nil"/>
              <w:left w:val="nil"/>
              <w:bottom w:val="single" w:sz="4" w:space="0" w:color="auto"/>
              <w:right w:val="single" w:sz="4" w:space="0" w:color="auto"/>
            </w:tcBorders>
            <w:shd w:val="clear" w:color="auto" w:fill="C6EFCE"/>
            <w:noWrap/>
          </w:tcPr>
          <w:p w14:paraId="549EA6BC" w14:textId="77777777" w:rsidR="00515398" w:rsidRDefault="006711E6">
            <w:pPr>
              <w:pStyle w:val="P68B1DB1-Normal8"/>
              <w:keepNext/>
              <w:spacing w:before="40" w:after="0" w:line="240" w:lineRule="auto"/>
              <w:jc w:val="both"/>
              <w:rPr>
                <w:rFonts w:cs="Times New Roman"/>
                <w:noProof/>
                <w:szCs w:val="18"/>
              </w:rPr>
            </w:pPr>
            <w:r>
              <w:rPr>
                <w:noProof/>
              </w:rPr>
              <w:t>4–1.4. Udržitelné využívání zdrojů, odolnost</w:t>
            </w:r>
            <w:r>
              <w:rPr>
                <w:noProof/>
              </w:rPr>
              <w:t xml:space="preserve"> vůči změně klimatu a ochrana životního prostředí – 16849_ Národní plán obnovy, obnovy a prevence („antiNERO“), opatření proti erozi a protipovodňová opatření</w:t>
            </w:r>
          </w:p>
        </w:tc>
        <w:tc>
          <w:tcPr>
            <w:tcW w:w="1560" w:type="dxa"/>
            <w:tcBorders>
              <w:top w:val="nil"/>
              <w:left w:val="nil"/>
              <w:bottom w:val="single" w:sz="4" w:space="0" w:color="auto"/>
              <w:right w:val="single" w:sz="4" w:space="0" w:color="auto"/>
            </w:tcBorders>
            <w:shd w:val="clear" w:color="auto" w:fill="C6EFCE"/>
            <w:noWrap/>
          </w:tcPr>
          <w:p w14:paraId="656F61D9"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tcPr>
          <w:p w14:paraId="7D099CB7" w14:textId="77777777" w:rsidR="00515398" w:rsidRDefault="006711E6">
            <w:pPr>
              <w:pStyle w:val="P68B1DB1-Normal8"/>
              <w:keepNext/>
              <w:spacing w:before="40" w:after="0" w:line="240" w:lineRule="auto"/>
              <w:jc w:val="both"/>
              <w:rPr>
                <w:rFonts w:cs="Times New Roman"/>
                <w:noProof/>
                <w:szCs w:val="18"/>
              </w:rPr>
            </w:pPr>
            <w:r>
              <w:rPr>
                <w:noProof/>
              </w:rPr>
              <w:t>Obnova a prevence opětovného zalesňování – zakázky 3</w:t>
            </w:r>
          </w:p>
        </w:tc>
      </w:tr>
      <w:tr w:rsidR="00515398" w14:paraId="78084EF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15D2CB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98</w:t>
            </w:r>
          </w:p>
        </w:tc>
        <w:tc>
          <w:tcPr>
            <w:tcW w:w="4320" w:type="dxa"/>
            <w:tcBorders>
              <w:top w:val="nil"/>
              <w:left w:val="nil"/>
              <w:bottom w:val="single" w:sz="4" w:space="0" w:color="auto"/>
              <w:right w:val="single" w:sz="4" w:space="0" w:color="auto"/>
            </w:tcBorders>
            <w:shd w:val="clear" w:color="auto" w:fill="C6EFCE"/>
            <w:noWrap/>
            <w:vAlign w:val="center"/>
          </w:tcPr>
          <w:p w14:paraId="0E8A1FF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6–2.2. Modernizace – </w:t>
            </w:r>
            <w:r>
              <w:rPr>
                <w:noProof/>
              </w:rPr>
              <w:t>16782_Propojení a interoperabilita registrů, systémů a služeb pro výměnu údajů mezi vnitrostátními veřejnými organizacemi</w:t>
            </w:r>
          </w:p>
        </w:tc>
        <w:tc>
          <w:tcPr>
            <w:tcW w:w="1560" w:type="dxa"/>
            <w:tcBorders>
              <w:top w:val="nil"/>
              <w:left w:val="nil"/>
              <w:bottom w:val="single" w:sz="4" w:space="0" w:color="auto"/>
              <w:right w:val="single" w:sz="4" w:space="0" w:color="auto"/>
            </w:tcBorders>
            <w:shd w:val="clear" w:color="auto" w:fill="C6EFCE"/>
            <w:noWrap/>
            <w:vAlign w:val="center"/>
          </w:tcPr>
          <w:p w14:paraId="63F8D6E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5C59B1D6" w14:textId="77777777" w:rsidR="00515398" w:rsidRDefault="006711E6">
            <w:pPr>
              <w:pStyle w:val="P68B1DB1-Normal8"/>
              <w:keepNext/>
              <w:spacing w:before="40" w:after="0" w:line="240" w:lineRule="auto"/>
              <w:jc w:val="both"/>
              <w:rPr>
                <w:rFonts w:eastAsia="Times New Roman" w:cs="Times New Roman"/>
                <w:noProof/>
                <w:szCs w:val="18"/>
              </w:rPr>
            </w:pPr>
            <w:r>
              <w:rPr>
                <w:noProof/>
              </w:rPr>
              <w:t>Regulační základ pro propojení a interoperabilitu registrů</w:t>
            </w:r>
          </w:p>
        </w:tc>
      </w:tr>
      <w:tr w:rsidR="00515398" w14:paraId="7F8BA7F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8EF0F5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110</w:t>
            </w:r>
          </w:p>
        </w:tc>
        <w:tc>
          <w:tcPr>
            <w:tcW w:w="4320" w:type="dxa"/>
            <w:tcBorders>
              <w:top w:val="nil"/>
              <w:left w:val="nil"/>
              <w:bottom w:val="single" w:sz="4" w:space="0" w:color="auto"/>
              <w:right w:val="single" w:sz="4" w:space="0" w:color="auto"/>
            </w:tcBorders>
            <w:shd w:val="clear" w:color="auto" w:fill="C6EFCE"/>
            <w:noWrap/>
            <w:vAlign w:val="center"/>
          </w:tcPr>
          <w:p w14:paraId="762C1FE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6–2.2. Modernizace – 16780_Další modernizace jednotných </w:t>
            </w:r>
            <w:r>
              <w:rPr>
                <w:noProof/>
              </w:rPr>
              <w:t>kontaktních míst veřejné správy</w:t>
            </w:r>
          </w:p>
        </w:tc>
        <w:tc>
          <w:tcPr>
            <w:tcW w:w="1560" w:type="dxa"/>
            <w:tcBorders>
              <w:top w:val="nil"/>
              <w:left w:val="nil"/>
              <w:bottom w:val="single" w:sz="4" w:space="0" w:color="auto"/>
              <w:right w:val="single" w:sz="4" w:space="0" w:color="auto"/>
            </w:tcBorders>
            <w:shd w:val="clear" w:color="auto" w:fill="C6EFCE"/>
            <w:noWrap/>
            <w:vAlign w:val="center"/>
          </w:tcPr>
          <w:p w14:paraId="15D0833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7B477620"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One-Stop Shops</w:t>
            </w:r>
          </w:p>
        </w:tc>
      </w:tr>
      <w:tr w:rsidR="00515398" w14:paraId="2D10FC6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7FD774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112</w:t>
            </w:r>
          </w:p>
        </w:tc>
        <w:tc>
          <w:tcPr>
            <w:tcW w:w="4320" w:type="dxa"/>
            <w:tcBorders>
              <w:top w:val="nil"/>
              <w:left w:val="nil"/>
              <w:bottom w:val="single" w:sz="4" w:space="0" w:color="auto"/>
              <w:right w:val="single" w:sz="4" w:space="0" w:color="auto"/>
            </w:tcBorders>
            <w:shd w:val="clear" w:color="auto" w:fill="C6EFCE"/>
            <w:noWrap/>
            <w:vAlign w:val="center"/>
          </w:tcPr>
          <w:p w14:paraId="31D567E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16823_Strategie a politiky v oblasti kybernetické bezpečnosti pro veřejný sektor a pokročilé bezpečnostní služby pro vnitrostátní kritické infrastruktury</w:t>
            </w:r>
          </w:p>
        </w:tc>
        <w:tc>
          <w:tcPr>
            <w:tcW w:w="1560" w:type="dxa"/>
            <w:tcBorders>
              <w:top w:val="nil"/>
              <w:left w:val="nil"/>
              <w:bottom w:val="single" w:sz="4" w:space="0" w:color="auto"/>
              <w:right w:val="single" w:sz="4" w:space="0" w:color="auto"/>
            </w:tcBorders>
            <w:shd w:val="clear" w:color="auto" w:fill="C6EFCE"/>
            <w:noWrap/>
            <w:vAlign w:val="center"/>
          </w:tcPr>
          <w:p w14:paraId="63011BCE" w14:textId="77777777" w:rsidR="00515398" w:rsidRDefault="006711E6">
            <w:pPr>
              <w:pStyle w:val="P68B1DB1-Normal8"/>
              <w:keepNext/>
              <w:spacing w:before="40" w:after="0" w:line="240" w:lineRule="auto"/>
              <w:jc w:val="both"/>
              <w:rPr>
                <w:rFonts w:eastAsia="Times New Roman" w:cs="Times New Roman"/>
                <w:noProof/>
                <w:szCs w:val="18"/>
              </w:rPr>
            </w:pPr>
            <w:r>
              <w:rPr>
                <w:noProof/>
              </w:rPr>
              <w:t>Mil</w:t>
            </w:r>
            <w:r>
              <w:rPr>
                <w:noProof/>
              </w:rPr>
              <w:t>ník</w:t>
            </w:r>
          </w:p>
        </w:tc>
        <w:tc>
          <w:tcPr>
            <w:tcW w:w="1920" w:type="dxa"/>
            <w:tcBorders>
              <w:top w:val="nil"/>
              <w:left w:val="nil"/>
              <w:bottom w:val="single" w:sz="4" w:space="0" w:color="auto"/>
              <w:right w:val="single" w:sz="4" w:space="0" w:color="auto"/>
            </w:tcBorders>
            <w:shd w:val="clear" w:color="auto" w:fill="C6EFCE"/>
            <w:noWrap/>
            <w:vAlign w:val="center"/>
          </w:tcPr>
          <w:p w14:paraId="3C94A1D3"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Strategie kybernetické bezpečnosti</w:t>
            </w:r>
          </w:p>
        </w:tc>
      </w:tr>
      <w:tr w:rsidR="00515398" w14:paraId="7F93D2F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796F29DA" w14:textId="77777777" w:rsidR="00515398" w:rsidRDefault="006711E6">
            <w:pPr>
              <w:pStyle w:val="P68B1DB1-Normal8"/>
              <w:keepNext/>
              <w:spacing w:before="40" w:after="0" w:line="240" w:lineRule="auto"/>
              <w:jc w:val="both"/>
              <w:rPr>
                <w:rFonts w:cs="Times New Roman"/>
                <w:noProof/>
                <w:szCs w:val="18"/>
              </w:rPr>
            </w:pPr>
            <w:r>
              <w:rPr>
                <w:noProof/>
              </w:rPr>
              <w:t>142a</w:t>
            </w:r>
          </w:p>
        </w:tc>
        <w:tc>
          <w:tcPr>
            <w:tcW w:w="4320" w:type="dxa"/>
            <w:tcBorders>
              <w:top w:val="nil"/>
              <w:left w:val="nil"/>
              <w:bottom w:val="single" w:sz="4" w:space="0" w:color="auto"/>
              <w:right w:val="single" w:sz="4" w:space="0" w:color="auto"/>
            </w:tcBorders>
            <w:shd w:val="clear" w:color="auto" w:fill="C6EFCE"/>
            <w:noWrap/>
          </w:tcPr>
          <w:p w14:paraId="38A57F3D" w14:textId="77777777" w:rsidR="00515398" w:rsidRDefault="006711E6">
            <w:pPr>
              <w:pStyle w:val="P68B1DB1-Normal8"/>
              <w:keepNext/>
              <w:spacing w:before="40" w:after="0" w:line="240" w:lineRule="auto"/>
              <w:jc w:val="both"/>
              <w:rPr>
                <w:rFonts w:cs="Times New Roman"/>
                <w:noProof/>
                <w:szCs w:val="18"/>
              </w:rPr>
            </w:pPr>
            <w:r>
              <w:rPr>
                <w:noProof/>
              </w:rPr>
              <w:t>8–3.1. Podpora tvorby pracovních míst a účasti na trhu práce – 16746_Reforma pasivních politik na trhu práce na podporu přechodu k zaměstnání</w:t>
            </w:r>
          </w:p>
        </w:tc>
        <w:tc>
          <w:tcPr>
            <w:tcW w:w="1560" w:type="dxa"/>
            <w:tcBorders>
              <w:top w:val="nil"/>
              <w:left w:val="nil"/>
              <w:bottom w:val="single" w:sz="4" w:space="0" w:color="auto"/>
              <w:right w:val="single" w:sz="4" w:space="0" w:color="auto"/>
            </w:tcBorders>
            <w:shd w:val="clear" w:color="auto" w:fill="C6EFCE"/>
            <w:noWrap/>
          </w:tcPr>
          <w:p w14:paraId="400F287E"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tcPr>
          <w:p w14:paraId="209141BE" w14:textId="77777777" w:rsidR="00515398" w:rsidRDefault="006711E6">
            <w:pPr>
              <w:pStyle w:val="P68B1DB1-Normal8"/>
              <w:keepNext/>
              <w:spacing w:before="40" w:after="0" w:line="240" w:lineRule="auto"/>
              <w:jc w:val="both"/>
              <w:rPr>
                <w:rFonts w:cs="Times New Roman"/>
                <w:noProof/>
                <w:szCs w:val="18"/>
              </w:rPr>
            </w:pPr>
            <w:r>
              <w:rPr>
                <w:noProof/>
              </w:rPr>
              <w:t xml:space="preserve">Právní předpisy o dávkách a příspěvcích v </w:t>
            </w:r>
            <w:r>
              <w:rPr>
                <w:noProof/>
              </w:rPr>
              <w:t>nezaměstnanosti, pilotní projekty týkající se dávek v dlouhodobé nezaměstnanosti</w:t>
            </w:r>
          </w:p>
        </w:tc>
      </w:tr>
      <w:tr w:rsidR="00515398" w14:paraId="187C6EC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51034E0" w14:textId="77777777" w:rsidR="00515398" w:rsidRDefault="006711E6">
            <w:pPr>
              <w:pStyle w:val="P68B1DB1-Normal8"/>
              <w:keepNext/>
              <w:spacing w:before="40" w:after="0" w:line="240" w:lineRule="auto"/>
              <w:jc w:val="both"/>
              <w:rPr>
                <w:rFonts w:cs="Times New Roman"/>
                <w:noProof/>
                <w:szCs w:val="18"/>
              </w:rPr>
            </w:pPr>
            <w:r>
              <w:rPr>
                <w:noProof/>
              </w:rPr>
              <w:t>144</w:t>
            </w:r>
          </w:p>
        </w:tc>
        <w:tc>
          <w:tcPr>
            <w:tcW w:w="4320" w:type="dxa"/>
            <w:tcBorders>
              <w:top w:val="nil"/>
              <w:left w:val="nil"/>
              <w:bottom w:val="single" w:sz="4" w:space="0" w:color="auto"/>
              <w:right w:val="single" w:sz="4" w:space="0" w:color="auto"/>
            </w:tcBorders>
            <w:shd w:val="clear" w:color="auto" w:fill="C6EFCE"/>
            <w:noWrap/>
            <w:vAlign w:val="center"/>
          </w:tcPr>
          <w:p w14:paraId="39C96099" w14:textId="77777777" w:rsidR="00515398" w:rsidRDefault="006711E6">
            <w:pPr>
              <w:pStyle w:val="P68B1DB1-Normal8"/>
              <w:keepNext/>
              <w:spacing w:before="40" w:after="0" w:line="240" w:lineRule="auto"/>
              <w:jc w:val="both"/>
              <w:rPr>
                <w:rFonts w:cs="Times New Roman"/>
                <w:noProof/>
                <w:szCs w:val="18"/>
              </w:rPr>
            </w:pPr>
            <w:r>
              <w:rPr>
                <w:noProof/>
              </w:rPr>
              <w:t>8–3.1. Podpora tvorby pracovních míst a účasti na trhu práce – 16747_Aktivní reforma politik na trhu práce</w:t>
            </w:r>
          </w:p>
        </w:tc>
        <w:tc>
          <w:tcPr>
            <w:tcW w:w="1560" w:type="dxa"/>
            <w:tcBorders>
              <w:top w:val="nil"/>
              <w:left w:val="nil"/>
              <w:bottom w:val="single" w:sz="4" w:space="0" w:color="auto"/>
              <w:right w:val="single" w:sz="4" w:space="0" w:color="auto"/>
            </w:tcBorders>
            <w:shd w:val="clear" w:color="auto" w:fill="C6EFCE"/>
            <w:noWrap/>
            <w:vAlign w:val="center"/>
          </w:tcPr>
          <w:p w14:paraId="7D8BA4A5"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1920" w:type="dxa"/>
            <w:tcBorders>
              <w:top w:val="nil"/>
              <w:left w:val="nil"/>
              <w:bottom w:val="single" w:sz="4" w:space="0" w:color="auto"/>
              <w:right w:val="single" w:sz="4" w:space="0" w:color="auto"/>
            </w:tcBorders>
            <w:shd w:val="clear" w:color="auto" w:fill="C6EFCE"/>
            <w:noWrap/>
            <w:vAlign w:val="center"/>
          </w:tcPr>
          <w:p w14:paraId="713850B0" w14:textId="77777777" w:rsidR="00515398" w:rsidRDefault="006711E6">
            <w:pPr>
              <w:pStyle w:val="P68B1DB1-Normal8"/>
              <w:keepNext/>
              <w:spacing w:before="40" w:after="0" w:line="240" w:lineRule="auto"/>
              <w:jc w:val="both"/>
              <w:rPr>
                <w:rFonts w:cs="Times New Roman"/>
                <w:noProof/>
                <w:szCs w:val="18"/>
              </w:rPr>
            </w:pPr>
            <w:r>
              <w:rPr>
                <w:noProof/>
              </w:rPr>
              <w:t>Dokončení programu zvyšování kvalifikace v oblasti zaměs</w:t>
            </w:r>
            <w:r>
              <w:rPr>
                <w:noProof/>
              </w:rPr>
              <w:t xml:space="preserve">tnanosti v rámci aktivních politik na trhu práce </w:t>
            </w:r>
          </w:p>
        </w:tc>
      </w:tr>
      <w:tr w:rsidR="00515398" w14:paraId="36D2596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78B32926" w14:textId="77777777" w:rsidR="00515398" w:rsidRDefault="006711E6">
            <w:pPr>
              <w:pStyle w:val="P68B1DB1-Normal8"/>
              <w:keepNext/>
              <w:spacing w:before="40" w:after="0" w:line="240" w:lineRule="auto"/>
              <w:jc w:val="both"/>
              <w:rPr>
                <w:rFonts w:cs="Times New Roman"/>
                <w:noProof/>
                <w:szCs w:val="18"/>
              </w:rPr>
            </w:pPr>
            <w:r>
              <w:rPr>
                <w:noProof/>
              </w:rPr>
              <w:t>145a</w:t>
            </w:r>
          </w:p>
        </w:tc>
        <w:tc>
          <w:tcPr>
            <w:tcW w:w="4320" w:type="dxa"/>
            <w:tcBorders>
              <w:top w:val="nil"/>
              <w:left w:val="nil"/>
              <w:bottom w:val="single" w:sz="4" w:space="0" w:color="auto"/>
              <w:right w:val="single" w:sz="4" w:space="0" w:color="auto"/>
            </w:tcBorders>
            <w:shd w:val="clear" w:color="auto" w:fill="C6EFCE"/>
            <w:noWrap/>
          </w:tcPr>
          <w:p w14:paraId="0C3E9AFB" w14:textId="77777777" w:rsidR="00515398" w:rsidRDefault="006711E6">
            <w:pPr>
              <w:pStyle w:val="P68B1DB1-Normal8"/>
              <w:keepNext/>
              <w:spacing w:before="40" w:after="0" w:line="240" w:lineRule="auto"/>
              <w:jc w:val="both"/>
              <w:rPr>
                <w:rFonts w:cs="Times New Roman"/>
                <w:noProof/>
                <w:szCs w:val="18"/>
              </w:rPr>
            </w:pPr>
            <w:r>
              <w:rPr>
                <w:noProof/>
              </w:rPr>
              <w:t xml:space="preserve">9–3.2. Vzdělávání, odborné vzdělávání a příprava a dovednosti – 16794_Posílení systému učňovské přípravy </w:t>
            </w:r>
          </w:p>
        </w:tc>
        <w:tc>
          <w:tcPr>
            <w:tcW w:w="1560" w:type="dxa"/>
            <w:tcBorders>
              <w:top w:val="nil"/>
              <w:left w:val="nil"/>
              <w:bottom w:val="single" w:sz="4" w:space="0" w:color="auto"/>
              <w:right w:val="single" w:sz="4" w:space="0" w:color="auto"/>
            </w:tcBorders>
            <w:shd w:val="clear" w:color="auto" w:fill="C6EFCE"/>
            <w:noWrap/>
          </w:tcPr>
          <w:p w14:paraId="58CC528B"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tcPr>
          <w:p w14:paraId="318783A7" w14:textId="77777777" w:rsidR="00515398" w:rsidRDefault="006711E6">
            <w:pPr>
              <w:pStyle w:val="P68B1DB1-Normal8"/>
              <w:keepNext/>
              <w:spacing w:before="40" w:after="0" w:line="240" w:lineRule="auto"/>
              <w:jc w:val="both"/>
              <w:rPr>
                <w:rFonts w:cs="Times New Roman"/>
                <w:noProof/>
                <w:szCs w:val="18"/>
              </w:rPr>
            </w:pPr>
            <w:r>
              <w:rPr>
                <w:noProof/>
              </w:rPr>
              <w:t>Právní rámec vnitrostátního systému odborného vzdělávání a přípravy</w:t>
            </w:r>
          </w:p>
        </w:tc>
      </w:tr>
      <w:tr w:rsidR="00515398" w14:paraId="2FA4FE8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3B21868" w14:textId="4E6A76E7" w:rsidR="00515398" w:rsidRDefault="006711E6">
            <w:pPr>
              <w:pStyle w:val="P68B1DB1-Normal8"/>
              <w:keepNext/>
              <w:spacing w:before="40" w:after="0" w:line="240" w:lineRule="auto"/>
              <w:jc w:val="both"/>
              <w:rPr>
                <w:noProof/>
              </w:rPr>
            </w:pPr>
            <w:r>
              <w:rPr>
                <w:noProof/>
              </w:rPr>
              <w:t>175</w:t>
            </w:r>
          </w:p>
        </w:tc>
        <w:tc>
          <w:tcPr>
            <w:tcW w:w="4320" w:type="dxa"/>
            <w:tcBorders>
              <w:top w:val="nil"/>
              <w:left w:val="nil"/>
              <w:bottom w:val="single" w:sz="4" w:space="0" w:color="auto"/>
              <w:right w:val="single" w:sz="4" w:space="0" w:color="auto"/>
            </w:tcBorders>
            <w:shd w:val="clear" w:color="auto" w:fill="C6EFCE"/>
            <w:noWrap/>
            <w:vAlign w:val="center"/>
          </w:tcPr>
          <w:p w14:paraId="525F2380" w14:textId="6560681D" w:rsidR="00515398" w:rsidRDefault="006711E6">
            <w:pPr>
              <w:pStyle w:val="P68B1DB1-Normal8"/>
              <w:keepNext/>
              <w:spacing w:before="40" w:after="0" w:line="240" w:lineRule="auto"/>
              <w:jc w:val="both"/>
              <w:rPr>
                <w:noProof/>
              </w:rPr>
            </w:pPr>
            <w:r>
              <w:rPr>
                <w:noProof/>
              </w:rPr>
              <w:t xml:space="preserve">11–3.4. </w:t>
            </w:r>
            <w:r>
              <w:rPr>
                <w:noProof/>
              </w:rPr>
              <w:t>Zlepšení přístupu k účinným a inkluzivním sociálním politikám – 16726 optimalizace sociálních dávek</w:t>
            </w:r>
          </w:p>
        </w:tc>
        <w:tc>
          <w:tcPr>
            <w:tcW w:w="1560" w:type="dxa"/>
            <w:tcBorders>
              <w:top w:val="nil"/>
              <w:left w:val="nil"/>
              <w:bottom w:val="single" w:sz="4" w:space="0" w:color="auto"/>
              <w:right w:val="single" w:sz="4" w:space="0" w:color="auto"/>
            </w:tcBorders>
            <w:shd w:val="clear" w:color="auto" w:fill="C6EFCE"/>
            <w:noWrap/>
            <w:vAlign w:val="center"/>
          </w:tcPr>
          <w:p w14:paraId="26E1B78C" w14:textId="3E870577" w:rsidR="00515398" w:rsidRDefault="006711E6">
            <w:pPr>
              <w:pStyle w:val="P68B1DB1-Normal8"/>
              <w:keepNext/>
              <w:spacing w:before="40" w:after="0" w:line="240" w:lineRule="auto"/>
              <w:jc w:val="both"/>
              <w:rPr>
                <w:noProof/>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3C4B4BBA" w14:textId="5CE97368" w:rsidR="00515398" w:rsidRDefault="006711E6">
            <w:pPr>
              <w:pStyle w:val="P68B1DB1-Normal8"/>
              <w:keepNext/>
              <w:spacing w:before="40" w:after="0" w:line="240" w:lineRule="auto"/>
              <w:jc w:val="both"/>
              <w:rPr>
                <w:noProof/>
              </w:rPr>
            </w:pPr>
            <w:r>
              <w:rPr>
                <w:noProof/>
              </w:rPr>
              <w:t>Optimalizace sociálních dávek předplacených karet</w:t>
            </w:r>
          </w:p>
        </w:tc>
      </w:tr>
      <w:tr w:rsidR="00515398" w14:paraId="7C4963F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C141C2E" w14:textId="77777777" w:rsidR="00515398" w:rsidRDefault="006711E6">
            <w:pPr>
              <w:pStyle w:val="P68B1DB1-Normal8"/>
              <w:keepNext/>
              <w:spacing w:before="40" w:after="0" w:line="240" w:lineRule="auto"/>
              <w:jc w:val="both"/>
              <w:rPr>
                <w:rFonts w:cs="Times New Roman"/>
                <w:noProof/>
                <w:szCs w:val="18"/>
              </w:rPr>
            </w:pPr>
            <w:r>
              <w:rPr>
                <w:noProof/>
              </w:rPr>
              <w:t>176</w:t>
            </w:r>
          </w:p>
        </w:tc>
        <w:tc>
          <w:tcPr>
            <w:tcW w:w="4320" w:type="dxa"/>
            <w:tcBorders>
              <w:top w:val="nil"/>
              <w:left w:val="nil"/>
              <w:bottom w:val="single" w:sz="4" w:space="0" w:color="auto"/>
              <w:right w:val="single" w:sz="4" w:space="0" w:color="auto"/>
            </w:tcBorders>
            <w:shd w:val="clear" w:color="auto" w:fill="C6EFCE"/>
            <w:noWrap/>
            <w:vAlign w:val="center"/>
          </w:tcPr>
          <w:p w14:paraId="2A8A0EAB" w14:textId="77777777" w:rsidR="00515398" w:rsidRDefault="006711E6">
            <w:pPr>
              <w:pStyle w:val="P68B1DB1-Normal8"/>
              <w:keepNext/>
              <w:spacing w:before="40" w:after="0" w:line="240" w:lineRule="auto"/>
              <w:jc w:val="both"/>
              <w:rPr>
                <w:rFonts w:cs="Times New Roman"/>
                <w:noProof/>
                <w:szCs w:val="18"/>
              </w:rPr>
            </w:pPr>
            <w:r>
              <w:rPr>
                <w:noProof/>
              </w:rPr>
              <w:t xml:space="preserve">11–3.4. Zlepšení přístupu k účinným a inkluzivním sociálním politikám – 16904_Zdravotní </w:t>
            </w:r>
            <w:r>
              <w:rPr>
                <w:noProof/>
              </w:rPr>
              <w:t>postižení</w:t>
            </w:r>
          </w:p>
        </w:tc>
        <w:tc>
          <w:tcPr>
            <w:tcW w:w="1560" w:type="dxa"/>
            <w:tcBorders>
              <w:top w:val="nil"/>
              <w:left w:val="nil"/>
              <w:bottom w:val="single" w:sz="4" w:space="0" w:color="auto"/>
              <w:right w:val="single" w:sz="4" w:space="0" w:color="auto"/>
            </w:tcBorders>
            <w:shd w:val="clear" w:color="auto" w:fill="C6EFCE"/>
            <w:noWrap/>
            <w:vAlign w:val="center"/>
          </w:tcPr>
          <w:p w14:paraId="0D6176A3"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6F110DC0" w14:textId="77777777" w:rsidR="00515398" w:rsidRDefault="006711E6">
            <w:pPr>
              <w:pStyle w:val="P68B1DB1-Normal8"/>
              <w:keepNext/>
              <w:spacing w:before="40" w:after="0" w:line="240" w:lineRule="auto"/>
              <w:jc w:val="both"/>
              <w:rPr>
                <w:rFonts w:cs="Times New Roman"/>
                <w:noProof/>
                <w:szCs w:val="18"/>
              </w:rPr>
            </w:pPr>
            <w:r>
              <w:rPr>
                <w:noProof/>
              </w:rPr>
              <w:t>Dokončení druhé fáze posouzení zdravotního postižení osobní asistence</w:t>
            </w:r>
          </w:p>
        </w:tc>
      </w:tr>
      <w:tr w:rsidR="00515398" w14:paraId="4F4A11F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352CD80A" w14:textId="77777777" w:rsidR="00515398" w:rsidRDefault="006711E6">
            <w:pPr>
              <w:pStyle w:val="P68B1DB1-Normal8"/>
              <w:keepNext/>
              <w:spacing w:before="40" w:after="0" w:line="240" w:lineRule="auto"/>
              <w:jc w:val="both"/>
              <w:rPr>
                <w:rFonts w:cs="Times New Roman"/>
                <w:noProof/>
                <w:szCs w:val="18"/>
              </w:rPr>
            </w:pPr>
            <w:r>
              <w:rPr>
                <w:noProof/>
              </w:rPr>
              <w:t>184</w:t>
            </w:r>
          </w:p>
        </w:tc>
        <w:tc>
          <w:tcPr>
            <w:tcW w:w="4320" w:type="dxa"/>
            <w:tcBorders>
              <w:top w:val="nil"/>
              <w:left w:val="nil"/>
              <w:bottom w:val="single" w:sz="4" w:space="0" w:color="auto"/>
              <w:right w:val="single" w:sz="4" w:space="0" w:color="auto"/>
            </w:tcBorders>
            <w:shd w:val="clear" w:color="auto" w:fill="C6EFCE"/>
            <w:noWrap/>
            <w:vAlign w:val="center"/>
          </w:tcPr>
          <w:p w14:paraId="1468B680"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16685_Osvěta o rozmanitosti</w:t>
            </w:r>
          </w:p>
        </w:tc>
        <w:tc>
          <w:tcPr>
            <w:tcW w:w="1560" w:type="dxa"/>
            <w:tcBorders>
              <w:top w:val="nil"/>
              <w:left w:val="nil"/>
              <w:bottom w:val="single" w:sz="4" w:space="0" w:color="auto"/>
              <w:right w:val="single" w:sz="4" w:space="0" w:color="auto"/>
            </w:tcBorders>
            <w:shd w:val="clear" w:color="auto" w:fill="C6EFCE"/>
            <w:noWrap/>
            <w:vAlign w:val="center"/>
          </w:tcPr>
          <w:p w14:paraId="102E0F30"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1920" w:type="dxa"/>
            <w:tcBorders>
              <w:top w:val="nil"/>
              <w:left w:val="nil"/>
              <w:bottom w:val="single" w:sz="4" w:space="0" w:color="auto"/>
              <w:right w:val="single" w:sz="4" w:space="0" w:color="auto"/>
            </w:tcBorders>
            <w:shd w:val="clear" w:color="auto" w:fill="C6EFCE"/>
            <w:noWrap/>
            <w:vAlign w:val="center"/>
          </w:tcPr>
          <w:p w14:paraId="5209713D" w14:textId="2E2FEC7C" w:rsidR="00515398" w:rsidRDefault="006711E6">
            <w:pPr>
              <w:pStyle w:val="P68B1DB1-Normal8"/>
              <w:keepNext/>
              <w:spacing w:before="40" w:after="0" w:line="240" w:lineRule="auto"/>
              <w:jc w:val="both"/>
              <w:rPr>
                <w:rFonts w:cs="Times New Roman"/>
                <w:noProof/>
                <w:szCs w:val="18"/>
              </w:rPr>
            </w:pPr>
            <w:r>
              <w:rPr>
                <w:noProof/>
              </w:rPr>
              <w:t>Dokončení odborné přípravy zaměřené na zvyšování povědomí</w:t>
            </w:r>
            <w:r>
              <w:rPr>
                <w:noProof/>
              </w:rPr>
              <w:t xml:space="preserve"> o rozmanitosti pro zaměstnance podniků soukromého sektoru</w:t>
            </w:r>
          </w:p>
        </w:tc>
      </w:tr>
      <w:tr w:rsidR="00515398" w14:paraId="6C22724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67A024A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185</w:t>
            </w:r>
          </w:p>
        </w:tc>
        <w:tc>
          <w:tcPr>
            <w:tcW w:w="4320" w:type="dxa"/>
            <w:tcBorders>
              <w:top w:val="nil"/>
              <w:left w:val="nil"/>
              <w:bottom w:val="single" w:sz="4" w:space="0" w:color="auto"/>
              <w:right w:val="single" w:sz="4" w:space="0" w:color="auto"/>
            </w:tcBorders>
            <w:shd w:val="clear" w:color="auto" w:fill="C6EFCE"/>
            <w:noWrap/>
            <w:vAlign w:val="center"/>
          </w:tcPr>
          <w:p w14:paraId="05AAA7B6" w14:textId="7F9023D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11–3.4. Zlepšení přístupu k účinným a inkluzivním sociálním politikám – 16763_Digitální transformace imigračního a azylového systému </w:t>
            </w:r>
          </w:p>
        </w:tc>
        <w:tc>
          <w:tcPr>
            <w:tcW w:w="1560" w:type="dxa"/>
            <w:tcBorders>
              <w:top w:val="nil"/>
              <w:left w:val="nil"/>
              <w:bottom w:val="single" w:sz="4" w:space="0" w:color="auto"/>
              <w:right w:val="single" w:sz="4" w:space="0" w:color="auto"/>
            </w:tcBorders>
            <w:shd w:val="clear" w:color="auto" w:fill="C6EFCE"/>
            <w:noWrap/>
            <w:vAlign w:val="center"/>
          </w:tcPr>
          <w:p w14:paraId="7EF0957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6EA28703"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Digitalizace – dokončení migračního azylového </w:t>
            </w:r>
            <w:r>
              <w:rPr>
                <w:noProof/>
              </w:rPr>
              <w:t>systému</w:t>
            </w:r>
          </w:p>
        </w:tc>
      </w:tr>
      <w:tr w:rsidR="00515398" w14:paraId="7BC1F70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0087E9B0" w14:textId="77777777" w:rsidR="00515398" w:rsidRDefault="006711E6">
            <w:pPr>
              <w:pStyle w:val="P68B1DB1-Normal8"/>
              <w:keepNext/>
              <w:spacing w:before="40" w:after="0" w:line="240" w:lineRule="auto"/>
              <w:jc w:val="both"/>
              <w:rPr>
                <w:rFonts w:cs="Times New Roman"/>
                <w:noProof/>
                <w:szCs w:val="18"/>
              </w:rPr>
            </w:pPr>
            <w:r>
              <w:rPr>
                <w:noProof/>
              </w:rPr>
              <w:t>195a</w:t>
            </w:r>
          </w:p>
        </w:tc>
        <w:tc>
          <w:tcPr>
            <w:tcW w:w="4320" w:type="dxa"/>
            <w:tcBorders>
              <w:top w:val="nil"/>
              <w:left w:val="nil"/>
              <w:bottom w:val="single" w:sz="4" w:space="0" w:color="auto"/>
              <w:right w:val="single" w:sz="4" w:space="0" w:color="auto"/>
            </w:tcBorders>
            <w:shd w:val="clear" w:color="auto" w:fill="C6EFCE"/>
            <w:noWrap/>
          </w:tcPr>
          <w:p w14:paraId="791CC632" w14:textId="77777777" w:rsidR="00515398" w:rsidRDefault="006711E6">
            <w:pPr>
              <w:pStyle w:val="P68B1DB1-Normal8"/>
              <w:keepNext/>
              <w:spacing w:before="40" w:after="0" w:line="240" w:lineRule="auto"/>
              <w:jc w:val="both"/>
              <w:rPr>
                <w:rFonts w:cs="Times New Roman"/>
                <w:noProof/>
                <w:szCs w:val="18"/>
              </w:rPr>
            </w:pPr>
            <w:r>
              <w:rPr>
                <w:noProof/>
              </w:rPr>
              <w:t>12–4.1. Učinit daně příznivější pro růst a zlepšit daňovou správu a výběr daní – 16291_Digitální transformace daňové a celní správy</w:t>
            </w:r>
          </w:p>
        </w:tc>
        <w:tc>
          <w:tcPr>
            <w:tcW w:w="1560" w:type="dxa"/>
            <w:tcBorders>
              <w:top w:val="nil"/>
              <w:left w:val="nil"/>
              <w:bottom w:val="single" w:sz="4" w:space="0" w:color="auto"/>
              <w:right w:val="single" w:sz="4" w:space="0" w:color="auto"/>
            </w:tcBorders>
            <w:shd w:val="clear" w:color="auto" w:fill="C6EFCE"/>
            <w:noWrap/>
          </w:tcPr>
          <w:p w14:paraId="5FEC7462"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tcPr>
          <w:p w14:paraId="0D39C186" w14:textId="77777777" w:rsidR="00515398" w:rsidRDefault="006711E6">
            <w:pPr>
              <w:pStyle w:val="P68B1DB1-Normal8"/>
              <w:keepNext/>
              <w:spacing w:before="40" w:after="0" w:line="240" w:lineRule="auto"/>
              <w:jc w:val="both"/>
              <w:rPr>
                <w:rFonts w:cs="Times New Roman"/>
                <w:noProof/>
                <w:szCs w:val="18"/>
              </w:rPr>
            </w:pPr>
            <w:r>
              <w:rPr>
                <w:noProof/>
              </w:rPr>
              <w:t>Provádění dílčích projektů</w:t>
            </w:r>
          </w:p>
        </w:tc>
      </w:tr>
      <w:tr w:rsidR="00515398" w14:paraId="04BC3E8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28BB257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236</w:t>
            </w:r>
          </w:p>
        </w:tc>
        <w:tc>
          <w:tcPr>
            <w:tcW w:w="4320" w:type="dxa"/>
            <w:tcBorders>
              <w:top w:val="nil"/>
              <w:left w:val="nil"/>
              <w:bottom w:val="single" w:sz="4" w:space="0" w:color="auto"/>
              <w:right w:val="single" w:sz="4" w:space="0" w:color="auto"/>
            </w:tcBorders>
            <w:shd w:val="clear" w:color="auto" w:fill="C6EFCE"/>
            <w:noWrap/>
            <w:vAlign w:val="center"/>
          </w:tcPr>
          <w:p w14:paraId="2E98053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14–4.3. Zlepšit účinnosti systému spravedlnosti – 16575 Zrychlení </w:t>
            </w:r>
            <w:r>
              <w:rPr>
                <w:noProof/>
              </w:rPr>
              <w:t>soudní správy</w:t>
            </w:r>
          </w:p>
        </w:tc>
        <w:tc>
          <w:tcPr>
            <w:tcW w:w="1560" w:type="dxa"/>
            <w:tcBorders>
              <w:top w:val="nil"/>
              <w:left w:val="nil"/>
              <w:bottom w:val="single" w:sz="4" w:space="0" w:color="auto"/>
              <w:right w:val="single" w:sz="4" w:space="0" w:color="auto"/>
            </w:tcBorders>
            <w:shd w:val="clear" w:color="auto" w:fill="C6EFCE"/>
            <w:noWrap/>
            <w:vAlign w:val="center"/>
          </w:tcPr>
          <w:p w14:paraId="190CEC6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1FD68BC1" w14:textId="57BBE44B" w:rsidR="00515398" w:rsidRDefault="006711E6">
            <w:pPr>
              <w:pStyle w:val="P68B1DB1-Normal8"/>
              <w:keepNext/>
              <w:spacing w:before="40" w:after="0" w:line="240" w:lineRule="auto"/>
              <w:jc w:val="both"/>
              <w:rPr>
                <w:rFonts w:eastAsia="Times New Roman" w:cs="Times New Roman"/>
                <w:noProof/>
                <w:szCs w:val="18"/>
              </w:rPr>
            </w:pPr>
            <w:r>
              <w:rPr>
                <w:noProof/>
              </w:rPr>
              <w:t>Revize soudní mapy – plné provedení</w:t>
            </w:r>
          </w:p>
        </w:tc>
      </w:tr>
      <w:tr w:rsidR="00515398" w14:paraId="01C880F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4B6E16F" w14:textId="77777777" w:rsidR="00515398" w:rsidRDefault="006711E6">
            <w:pPr>
              <w:pStyle w:val="P68B1DB1-Normal8"/>
              <w:keepNext/>
              <w:spacing w:before="40" w:after="0" w:line="240" w:lineRule="auto"/>
              <w:jc w:val="both"/>
              <w:rPr>
                <w:rFonts w:cs="Times New Roman"/>
                <w:noProof/>
                <w:szCs w:val="18"/>
              </w:rPr>
            </w:pPr>
            <w:r>
              <w:rPr>
                <w:noProof/>
              </w:rPr>
              <w:t>247a</w:t>
            </w:r>
          </w:p>
        </w:tc>
        <w:tc>
          <w:tcPr>
            <w:tcW w:w="4320" w:type="dxa"/>
            <w:tcBorders>
              <w:top w:val="nil"/>
              <w:left w:val="nil"/>
              <w:bottom w:val="single" w:sz="4" w:space="0" w:color="auto"/>
              <w:right w:val="single" w:sz="4" w:space="0" w:color="auto"/>
            </w:tcBorders>
            <w:shd w:val="clear" w:color="auto" w:fill="C6EFCE"/>
            <w:noWrap/>
            <w:vAlign w:val="center"/>
          </w:tcPr>
          <w:p w14:paraId="36F341DB" w14:textId="77777777" w:rsidR="00515398" w:rsidRDefault="006711E6">
            <w:pPr>
              <w:pStyle w:val="P68B1DB1-Normal8"/>
              <w:keepNext/>
              <w:spacing w:before="40" w:after="0" w:line="240" w:lineRule="auto"/>
              <w:jc w:val="both"/>
              <w:rPr>
                <w:rFonts w:cs="Times New Roman"/>
                <w:noProof/>
                <w:szCs w:val="18"/>
              </w:rPr>
            </w:pPr>
            <w:r>
              <w:rPr>
                <w:noProof/>
              </w:rPr>
              <w:t>16–4.5. Podpora výzkumu a inovací – 16624_Creation – Rozšíření – modernizace infrastruktur výzkumných středisek pod dohledem Generálního sekretariátu pro výzkum a inovace (GSRI)</w:t>
            </w:r>
          </w:p>
        </w:tc>
        <w:tc>
          <w:tcPr>
            <w:tcW w:w="1560" w:type="dxa"/>
            <w:tcBorders>
              <w:top w:val="nil"/>
              <w:left w:val="nil"/>
              <w:bottom w:val="single" w:sz="4" w:space="0" w:color="auto"/>
              <w:right w:val="single" w:sz="4" w:space="0" w:color="auto"/>
            </w:tcBorders>
            <w:shd w:val="clear" w:color="auto" w:fill="C6EFCE"/>
            <w:noWrap/>
            <w:vAlign w:val="center"/>
          </w:tcPr>
          <w:p w14:paraId="2D3242EE"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7C3E6C2A" w14:textId="5E31EE61" w:rsidR="00515398" w:rsidRDefault="006711E6">
            <w:pPr>
              <w:pStyle w:val="P68B1DB1-Normal8"/>
              <w:keepNext/>
              <w:spacing w:before="40" w:after="0" w:line="240" w:lineRule="auto"/>
              <w:jc w:val="both"/>
              <w:rPr>
                <w:rFonts w:cs="Times New Roman"/>
                <w:noProof/>
                <w:szCs w:val="18"/>
              </w:rPr>
            </w:pPr>
            <w:r>
              <w:rPr>
                <w:noProof/>
              </w:rPr>
              <w:t>Zadávání</w:t>
            </w:r>
            <w:r>
              <w:rPr>
                <w:noProof/>
              </w:rPr>
              <w:t xml:space="preserve"> zakázek výzkumným střediskům – nákup vybavení a budov</w:t>
            </w:r>
          </w:p>
        </w:tc>
      </w:tr>
      <w:tr w:rsidR="00515398" w14:paraId="733CA3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A617199" w14:textId="2277F623" w:rsidR="00515398" w:rsidRDefault="006711E6">
            <w:pPr>
              <w:pStyle w:val="P68B1DB1-Normal8"/>
              <w:keepNext/>
              <w:spacing w:before="40" w:after="0" w:line="240" w:lineRule="auto"/>
              <w:jc w:val="both"/>
              <w:rPr>
                <w:noProof/>
              </w:rPr>
            </w:pPr>
            <w:r>
              <w:rPr>
                <w:noProof/>
              </w:rPr>
              <w:t>277</w:t>
            </w:r>
          </w:p>
        </w:tc>
        <w:tc>
          <w:tcPr>
            <w:tcW w:w="4320" w:type="dxa"/>
            <w:tcBorders>
              <w:top w:val="nil"/>
              <w:left w:val="nil"/>
              <w:bottom w:val="single" w:sz="4" w:space="0" w:color="auto"/>
              <w:right w:val="single" w:sz="4" w:space="0" w:color="auto"/>
            </w:tcBorders>
            <w:shd w:val="clear" w:color="auto" w:fill="C6EFCE"/>
            <w:noWrap/>
            <w:vAlign w:val="center"/>
          </w:tcPr>
          <w:p w14:paraId="174FDB18" w14:textId="3DD2F01C" w:rsidR="00515398" w:rsidRDefault="006711E6">
            <w:pPr>
              <w:pStyle w:val="P68B1DB1-Normal8"/>
              <w:keepNext/>
              <w:spacing w:before="40" w:after="0" w:line="240" w:lineRule="auto"/>
              <w:jc w:val="both"/>
              <w:rPr>
                <w:noProof/>
              </w:rPr>
            </w:pPr>
            <w:r>
              <w:rPr>
                <w:noProof/>
              </w:rPr>
              <w:t>17–4.6. Modernizace a zlepšení odolnosti klíčových hospodářských odvětví – 16786_Zjednodušení postupů Ministerstva infrastruktury a dopravy</w:t>
            </w:r>
          </w:p>
        </w:tc>
        <w:tc>
          <w:tcPr>
            <w:tcW w:w="1560" w:type="dxa"/>
            <w:tcBorders>
              <w:top w:val="nil"/>
              <w:left w:val="nil"/>
              <w:bottom w:val="single" w:sz="4" w:space="0" w:color="auto"/>
              <w:right w:val="single" w:sz="4" w:space="0" w:color="auto"/>
            </w:tcBorders>
            <w:shd w:val="clear" w:color="auto" w:fill="C6EFCE"/>
            <w:noWrap/>
            <w:vAlign w:val="center"/>
          </w:tcPr>
          <w:p w14:paraId="6D94D965" w14:textId="605235CA" w:rsidR="00515398" w:rsidRDefault="006711E6">
            <w:pPr>
              <w:pStyle w:val="P68B1DB1-Normal8"/>
              <w:keepNext/>
              <w:spacing w:before="40" w:after="0" w:line="240" w:lineRule="auto"/>
              <w:jc w:val="both"/>
              <w:rPr>
                <w:noProof/>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0264E1F2" w14:textId="6F10F4D5" w:rsidR="00515398" w:rsidRDefault="006711E6">
            <w:pPr>
              <w:pStyle w:val="P68B1DB1-Normal8"/>
              <w:keepNext/>
              <w:spacing w:before="40" w:after="0" w:line="240" w:lineRule="auto"/>
              <w:jc w:val="both"/>
              <w:rPr>
                <w:noProof/>
              </w:rPr>
            </w:pPr>
            <w:r>
              <w:rPr>
                <w:noProof/>
              </w:rPr>
              <w:t xml:space="preserve">Zjednodušení postupů ministerstva infrastruktury </w:t>
            </w:r>
            <w:r>
              <w:rPr>
                <w:noProof/>
              </w:rPr>
              <w:t>a dopravy</w:t>
            </w:r>
          </w:p>
        </w:tc>
      </w:tr>
      <w:tr w:rsidR="00515398" w14:paraId="6597D39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40776CB" w14:textId="77777777" w:rsidR="00515398" w:rsidRDefault="006711E6">
            <w:pPr>
              <w:pStyle w:val="P68B1DB1-Normal8"/>
              <w:keepNext/>
              <w:spacing w:before="40" w:after="0" w:line="240" w:lineRule="auto"/>
              <w:jc w:val="both"/>
              <w:rPr>
                <w:rFonts w:cs="Times New Roman"/>
                <w:noProof/>
                <w:szCs w:val="18"/>
              </w:rPr>
            </w:pPr>
            <w:r>
              <w:rPr>
                <w:noProof/>
              </w:rPr>
              <w:t>280</w:t>
            </w:r>
          </w:p>
        </w:tc>
        <w:tc>
          <w:tcPr>
            <w:tcW w:w="4320" w:type="dxa"/>
            <w:tcBorders>
              <w:top w:val="nil"/>
              <w:left w:val="nil"/>
              <w:bottom w:val="single" w:sz="4" w:space="0" w:color="auto"/>
              <w:right w:val="single" w:sz="4" w:space="0" w:color="auto"/>
            </w:tcBorders>
            <w:shd w:val="clear" w:color="auto" w:fill="C6EFCE"/>
            <w:noWrap/>
            <w:vAlign w:val="center"/>
          </w:tcPr>
          <w:p w14:paraId="2D650A0A" w14:textId="77777777" w:rsidR="00515398" w:rsidRDefault="006711E6">
            <w:pPr>
              <w:pStyle w:val="P68B1DB1-Normal8"/>
              <w:keepNext/>
              <w:spacing w:before="40" w:after="0" w:line="240" w:lineRule="auto"/>
              <w:jc w:val="both"/>
              <w:rPr>
                <w:rFonts w:cs="Times New Roman"/>
                <w:noProof/>
                <w:szCs w:val="18"/>
              </w:rPr>
            </w:pPr>
            <w:r>
              <w:rPr>
                <w:noProof/>
              </w:rPr>
              <w:t>17–4.6. Modernizace a zlepšení odolnosti klíčových hospodářských odvětví – 16293_Kultura jako hnací síla růstu</w:t>
            </w:r>
          </w:p>
        </w:tc>
        <w:tc>
          <w:tcPr>
            <w:tcW w:w="1560" w:type="dxa"/>
            <w:tcBorders>
              <w:top w:val="nil"/>
              <w:left w:val="nil"/>
              <w:bottom w:val="single" w:sz="4" w:space="0" w:color="auto"/>
              <w:right w:val="single" w:sz="4" w:space="0" w:color="auto"/>
            </w:tcBorders>
            <w:shd w:val="clear" w:color="auto" w:fill="C6EFCE"/>
            <w:noWrap/>
            <w:vAlign w:val="center"/>
          </w:tcPr>
          <w:p w14:paraId="183EE643"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vAlign w:val="center"/>
          </w:tcPr>
          <w:p w14:paraId="40144B41" w14:textId="77777777" w:rsidR="00515398" w:rsidRDefault="006711E6">
            <w:pPr>
              <w:pStyle w:val="P68B1DB1-Normal8"/>
              <w:keepNext/>
              <w:spacing w:before="40" w:after="0" w:line="240" w:lineRule="auto"/>
              <w:jc w:val="both"/>
              <w:rPr>
                <w:rFonts w:cs="Times New Roman"/>
                <w:noProof/>
                <w:szCs w:val="18"/>
              </w:rPr>
            </w:pPr>
            <w:r>
              <w:rPr>
                <w:noProof/>
              </w:rPr>
              <w:t>Značka a platforma pro současnou řeckou kulturu</w:t>
            </w:r>
          </w:p>
        </w:tc>
      </w:tr>
      <w:tr w:rsidR="00515398" w14:paraId="43320A2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0C9C46D5" w14:textId="77777777" w:rsidR="00515398" w:rsidRDefault="006711E6">
            <w:pPr>
              <w:pStyle w:val="P68B1DB1-Normal8"/>
              <w:keepNext/>
              <w:spacing w:before="40" w:after="0" w:line="240" w:lineRule="auto"/>
              <w:jc w:val="both"/>
              <w:rPr>
                <w:rFonts w:cs="Times New Roman"/>
                <w:noProof/>
                <w:szCs w:val="18"/>
              </w:rPr>
            </w:pPr>
            <w:r>
              <w:rPr>
                <w:noProof/>
              </w:rPr>
              <w:t>333</w:t>
            </w:r>
          </w:p>
        </w:tc>
        <w:tc>
          <w:tcPr>
            <w:tcW w:w="4320" w:type="dxa"/>
            <w:tcBorders>
              <w:top w:val="nil"/>
              <w:left w:val="nil"/>
              <w:bottom w:val="single" w:sz="4" w:space="0" w:color="auto"/>
              <w:right w:val="single" w:sz="4" w:space="0" w:color="auto"/>
            </w:tcBorders>
            <w:shd w:val="clear" w:color="auto" w:fill="C6EFCE"/>
            <w:noWrap/>
          </w:tcPr>
          <w:p w14:paraId="62561518" w14:textId="77777777" w:rsidR="00515398" w:rsidRDefault="006711E6">
            <w:pPr>
              <w:pStyle w:val="P68B1DB1-Normal8"/>
              <w:keepNext/>
              <w:spacing w:before="40" w:after="0" w:line="240" w:lineRule="auto"/>
              <w:jc w:val="both"/>
              <w:rPr>
                <w:rFonts w:cs="Times New Roman"/>
                <w:noProof/>
                <w:szCs w:val="18"/>
              </w:rPr>
            </w:pPr>
            <w:r>
              <w:rPr>
                <w:noProof/>
              </w:rPr>
              <w:t xml:space="preserve">5–2.1. Connect – 16844_ Přechod na technologii 5G, usnadnění rozvoje </w:t>
            </w:r>
            <w:r>
              <w:rPr>
                <w:noProof/>
              </w:rPr>
              <w:t>inovativních služeb na dálku</w:t>
            </w:r>
          </w:p>
        </w:tc>
        <w:tc>
          <w:tcPr>
            <w:tcW w:w="1560" w:type="dxa"/>
            <w:tcBorders>
              <w:top w:val="nil"/>
              <w:left w:val="nil"/>
              <w:bottom w:val="single" w:sz="4" w:space="0" w:color="auto"/>
              <w:right w:val="single" w:sz="4" w:space="0" w:color="auto"/>
            </w:tcBorders>
            <w:shd w:val="clear" w:color="auto" w:fill="C6EFCE"/>
            <w:noWrap/>
          </w:tcPr>
          <w:p w14:paraId="1B743102"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920" w:type="dxa"/>
            <w:tcBorders>
              <w:top w:val="nil"/>
              <w:left w:val="nil"/>
              <w:bottom w:val="single" w:sz="4" w:space="0" w:color="auto"/>
              <w:right w:val="single" w:sz="4" w:space="0" w:color="auto"/>
            </w:tcBorders>
            <w:shd w:val="clear" w:color="auto" w:fill="C6EFCE"/>
            <w:noWrap/>
          </w:tcPr>
          <w:p w14:paraId="5388D3CC" w14:textId="77777777" w:rsidR="00515398" w:rsidRDefault="006711E6">
            <w:pPr>
              <w:pStyle w:val="P68B1DB1-Normal8"/>
              <w:keepNext/>
              <w:spacing w:before="40" w:after="0" w:line="240" w:lineRule="auto"/>
              <w:jc w:val="both"/>
              <w:rPr>
                <w:rFonts w:cs="Times New Roman"/>
                <w:noProof/>
                <w:szCs w:val="18"/>
              </w:rPr>
            </w:pPr>
            <w:r>
              <w:rPr>
                <w:noProof/>
              </w:rPr>
              <w:t>Vstup v platnost transformace na technologickou reformu 5G</w:t>
            </w:r>
          </w:p>
        </w:tc>
      </w:tr>
      <w:tr w:rsidR="00515398" w14:paraId="7EFA0BC8"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6DF7FE8"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268a</w:t>
            </w: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673AB056"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17–4.6. Modernizace a zlepšení odolnosti klíčových hospodářských odvětví – 16982_Organizační reforma v odvětví železniční dopravy</w:t>
            </w:r>
          </w:p>
        </w:tc>
        <w:tc>
          <w:tcPr>
            <w:tcW w:w="1560" w:type="dxa"/>
            <w:tcBorders>
              <w:top w:val="single" w:sz="4" w:space="0" w:color="auto"/>
              <w:left w:val="nil"/>
              <w:bottom w:val="single" w:sz="4" w:space="0" w:color="auto"/>
              <w:right w:val="single" w:sz="4" w:space="0" w:color="auto"/>
            </w:tcBorders>
            <w:shd w:val="clear" w:color="auto" w:fill="C6EFCE"/>
            <w:noWrap/>
            <w:vAlign w:val="bottom"/>
          </w:tcPr>
          <w:p w14:paraId="518BB0E7"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920" w:type="dxa"/>
            <w:tcBorders>
              <w:top w:val="single" w:sz="4" w:space="0" w:color="auto"/>
              <w:left w:val="nil"/>
              <w:bottom w:val="single" w:sz="4" w:space="0" w:color="auto"/>
              <w:right w:val="single" w:sz="4" w:space="0" w:color="auto"/>
            </w:tcBorders>
            <w:shd w:val="clear" w:color="auto" w:fill="C6EFCE"/>
            <w:noWrap/>
            <w:vAlign w:val="bottom"/>
          </w:tcPr>
          <w:p w14:paraId="770E69B4" w14:textId="090FCBF5" w:rsidR="00515398" w:rsidRDefault="006711E6">
            <w:pPr>
              <w:pStyle w:val="P68B1DB1-Normal24"/>
              <w:keepNext/>
              <w:spacing w:before="40" w:after="0" w:line="259" w:lineRule="auto"/>
              <w:jc w:val="both"/>
              <w:rPr>
                <w:rFonts w:eastAsia="Times New Roman" w:cs="Calibri"/>
                <w:noProof/>
                <w:color w:val="006100"/>
              </w:rPr>
            </w:pPr>
            <w:r>
              <w:rPr>
                <w:rFonts w:ascii="Times New Roman" w:hAnsi="Times New Roman"/>
                <w:noProof/>
              </w:rPr>
              <w:t xml:space="preserve">Právní předpisy pro řecké železnice a </w:t>
            </w:r>
            <w:r>
              <w:rPr>
                <w:noProof/>
                <w:color w:val="006100"/>
              </w:rPr>
              <w:t xml:space="preserve"> </w:t>
            </w:r>
            <w:r>
              <w:rPr>
                <w:rFonts w:ascii="Times New Roman" w:hAnsi="Times New Roman"/>
                <w:noProof/>
              </w:rPr>
              <w:t>uzavření dohody pro technického správce</w:t>
            </w:r>
          </w:p>
        </w:tc>
      </w:tr>
      <w:tr w:rsidR="00515398" w14:paraId="03BA9E6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59A2FF5A"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353</w:t>
            </w:r>
          </w:p>
        </w:tc>
        <w:tc>
          <w:tcPr>
            <w:tcW w:w="4320" w:type="dxa"/>
            <w:tcBorders>
              <w:top w:val="single" w:sz="4" w:space="0" w:color="auto"/>
              <w:left w:val="nil"/>
              <w:bottom w:val="single" w:sz="4" w:space="0" w:color="auto"/>
              <w:right w:val="single" w:sz="4" w:space="0" w:color="auto"/>
            </w:tcBorders>
            <w:shd w:val="clear" w:color="auto" w:fill="C6EFCE"/>
            <w:noWrap/>
          </w:tcPr>
          <w:p w14:paraId="5D2AF7BC"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20–5.1. Reformy REPowerEU – 16989_Optimalizace využívání půdy a mořského prostoru pro rozvoj obnovitelných zdrojů energie a rozvoje větrné energie na moři</w:t>
            </w:r>
          </w:p>
        </w:tc>
        <w:tc>
          <w:tcPr>
            <w:tcW w:w="1560" w:type="dxa"/>
            <w:tcBorders>
              <w:top w:val="single" w:sz="4" w:space="0" w:color="auto"/>
              <w:left w:val="nil"/>
              <w:bottom w:val="single" w:sz="4" w:space="0" w:color="auto"/>
              <w:right w:val="single" w:sz="4" w:space="0" w:color="auto"/>
            </w:tcBorders>
            <w:shd w:val="clear" w:color="auto" w:fill="C6EFCE"/>
            <w:noWrap/>
          </w:tcPr>
          <w:p w14:paraId="546ED18B"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920" w:type="dxa"/>
            <w:tcBorders>
              <w:top w:val="single" w:sz="4" w:space="0" w:color="auto"/>
              <w:left w:val="nil"/>
              <w:bottom w:val="single" w:sz="4" w:space="0" w:color="auto"/>
              <w:right w:val="single" w:sz="4" w:space="0" w:color="auto"/>
            </w:tcBorders>
            <w:shd w:val="clear" w:color="auto" w:fill="C6EFCE"/>
            <w:noWrap/>
          </w:tcPr>
          <w:p w14:paraId="3A69B111" w14:textId="77777777" w:rsidR="00515398" w:rsidRDefault="006711E6">
            <w:pPr>
              <w:pStyle w:val="P68B1DB1-Normal8"/>
              <w:keepNext/>
              <w:spacing w:before="40" w:after="0" w:line="259" w:lineRule="auto"/>
              <w:jc w:val="both"/>
              <w:rPr>
                <w:rFonts w:eastAsia="Times New Roman" w:cs="Times New Roman"/>
                <w:noProof/>
                <w:szCs w:val="18"/>
              </w:rPr>
            </w:pPr>
            <w:r>
              <w:rPr>
                <w:noProof/>
              </w:rPr>
              <w:t xml:space="preserve">Studie s </w:t>
            </w:r>
            <w:r>
              <w:rPr>
                <w:noProof/>
              </w:rPr>
              <w:t>cílem určit optimální oblasti pro rozvoj obnovitelných zdrojů energie a vstup v platnost politického rámce pro dvojí využití půdy pro zemědělství a výrobu solární fotovoltaiky</w:t>
            </w:r>
          </w:p>
        </w:tc>
      </w:tr>
      <w:tr w:rsidR="00515398" w14:paraId="31F29204"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17A4D9C0" w14:textId="65A444E1" w:rsidR="00515398" w:rsidRDefault="006711E6">
            <w:pPr>
              <w:pStyle w:val="P68B1DB1-Normal8"/>
              <w:keepNext/>
              <w:spacing w:before="40" w:after="0" w:line="259" w:lineRule="auto"/>
              <w:jc w:val="both"/>
              <w:rPr>
                <w:noProof/>
              </w:rPr>
            </w:pPr>
            <w:r>
              <w:rPr>
                <w:noProof/>
              </w:rPr>
              <w:t>355</w:t>
            </w:r>
          </w:p>
        </w:tc>
        <w:tc>
          <w:tcPr>
            <w:tcW w:w="4320" w:type="dxa"/>
            <w:tcBorders>
              <w:top w:val="single" w:sz="4" w:space="0" w:color="auto"/>
              <w:left w:val="nil"/>
              <w:bottom w:val="single" w:sz="4" w:space="0" w:color="auto"/>
              <w:right w:val="single" w:sz="4" w:space="0" w:color="auto"/>
            </w:tcBorders>
            <w:shd w:val="clear" w:color="auto" w:fill="C6EFCE"/>
            <w:noWrap/>
          </w:tcPr>
          <w:p w14:paraId="2A426B86" w14:textId="69F36006" w:rsidR="00515398" w:rsidRDefault="006711E6">
            <w:pPr>
              <w:pStyle w:val="P68B1DB1-Normal8"/>
              <w:keepNext/>
              <w:spacing w:before="40" w:after="0" w:line="259" w:lineRule="auto"/>
              <w:jc w:val="both"/>
              <w:rPr>
                <w:noProof/>
              </w:rPr>
            </w:pPr>
            <w:r>
              <w:rPr>
                <w:noProof/>
              </w:rPr>
              <w:t xml:space="preserve">20–5.1. Reformy REPowerEU – 16988_Rámec regulace a fungování trhu pro technologie zachycování, využívání a ukládání uhlíku na podporu dekarbonizace průmyslu </w:t>
            </w:r>
          </w:p>
        </w:tc>
        <w:tc>
          <w:tcPr>
            <w:tcW w:w="1560" w:type="dxa"/>
            <w:tcBorders>
              <w:top w:val="single" w:sz="4" w:space="0" w:color="auto"/>
              <w:left w:val="nil"/>
              <w:bottom w:val="single" w:sz="4" w:space="0" w:color="auto"/>
              <w:right w:val="single" w:sz="4" w:space="0" w:color="auto"/>
            </w:tcBorders>
            <w:shd w:val="clear" w:color="auto" w:fill="C6EFCE"/>
            <w:noWrap/>
          </w:tcPr>
          <w:p w14:paraId="5123C62D" w14:textId="38B7C2C9" w:rsidR="00515398" w:rsidRDefault="006711E6">
            <w:pPr>
              <w:pStyle w:val="P68B1DB1-Normal8"/>
              <w:keepNext/>
              <w:spacing w:before="40" w:after="0" w:line="259" w:lineRule="auto"/>
              <w:jc w:val="both"/>
              <w:rPr>
                <w:noProof/>
              </w:rPr>
            </w:pPr>
            <w:r>
              <w:rPr>
                <w:noProof/>
              </w:rPr>
              <w:t>Milník</w:t>
            </w:r>
          </w:p>
        </w:tc>
        <w:tc>
          <w:tcPr>
            <w:tcW w:w="1920" w:type="dxa"/>
            <w:tcBorders>
              <w:top w:val="single" w:sz="4" w:space="0" w:color="auto"/>
              <w:left w:val="nil"/>
              <w:bottom w:val="single" w:sz="4" w:space="0" w:color="auto"/>
              <w:right w:val="single" w:sz="4" w:space="0" w:color="auto"/>
            </w:tcBorders>
            <w:shd w:val="clear" w:color="auto" w:fill="C6EFCE"/>
            <w:noWrap/>
          </w:tcPr>
          <w:p w14:paraId="647685A9" w14:textId="7CB8757A" w:rsidR="00515398" w:rsidRDefault="006711E6">
            <w:pPr>
              <w:pStyle w:val="P68B1DB1-Normal8"/>
              <w:keepNext/>
              <w:spacing w:before="40" w:after="0" w:line="259" w:lineRule="auto"/>
              <w:jc w:val="both"/>
              <w:rPr>
                <w:noProof/>
              </w:rPr>
            </w:pPr>
            <w:r>
              <w:rPr>
                <w:noProof/>
              </w:rPr>
              <w:t>Vytvoření právního rámce pro zachycování, využívání a ukládání uhlíku.</w:t>
            </w:r>
          </w:p>
        </w:tc>
      </w:tr>
      <w:tr w:rsidR="00515398" w14:paraId="5788C06F"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tcPr>
          <w:p w14:paraId="295BF5B1" w14:textId="77777777" w:rsidR="00515398" w:rsidRDefault="006711E6">
            <w:pPr>
              <w:pStyle w:val="P68B1DB1-Normal8"/>
              <w:keepNext/>
              <w:spacing w:before="40" w:after="0" w:line="259" w:lineRule="auto"/>
              <w:jc w:val="both"/>
              <w:rPr>
                <w:rFonts w:cs="Times New Roman"/>
                <w:noProof/>
              </w:rPr>
            </w:pPr>
            <w:r>
              <w:rPr>
                <w:noProof/>
              </w:rPr>
              <w:t>359</w:t>
            </w:r>
          </w:p>
        </w:tc>
        <w:tc>
          <w:tcPr>
            <w:tcW w:w="4320" w:type="dxa"/>
            <w:tcBorders>
              <w:top w:val="single" w:sz="4" w:space="0" w:color="auto"/>
              <w:left w:val="nil"/>
              <w:bottom w:val="single" w:sz="4" w:space="0" w:color="auto"/>
              <w:right w:val="single" w:sz="4" w:space="0" w:color="auto"/>
            </w:tcBorders>
            <w:shd w:val="clear" w:color="auto" w:fill="C6EFCE"/>
            <w:noWrap/>
          </w:tcPr>
          <w:p w14:paraId="47ED4F15" w14:textId="77777777" w:rsidR="00515398" w:rsidRDefault="006711E6">
            <w:pPr>
              <w:pStyle w:val="P68B1DB1-Normal8"/>
              <w:keepNext/>
              <w:spacing w:before="40" w:after="0" w:line="259" w:lineRule="auto"/>
              <w:jc w:val="both"/>
              <w:rPr>
                <w:rFonts w:cs="Times New Roman"/>
                <w:noProof/>
              </w:rPr>
            </w:pPr>
            <w:r>
              <w:rPr>
                <w:noProof/>
              </w:rPr>
              <w:t>20–5.1. Reformy</w:t>
            </w:r>
            <w:r>
              <w:rPr>
                <w:noProof/>
              </w:rPr>
              <w:t xml:space="preserve"> REPowerEU – 16991_Regulační rámec pro vytvoření inteligentní sítě</w:t>
            </w:r>
          </w:p>
        </w:tc>
        <w:tc>
          <w:tcPr>
            <w:tcW w:w="1560" w:type="dxa"/>
            <w:tcBorders>
              <w:top w:val="single" w:sz="4" w:space="0" w:color="auto"/>
              <w:left w:val="nil"/>
              <w:bottom w:val="single" w:sz="4" w:space="0" w:color="auto"/>
              <w:right w:val="single" w:sz="4" w:space="0" w:color="auto"/>
            </w:tcBorders>
            <w:shd w:val="clear" w:color="auto" w:fill="C6EFCE"/>
            <w:noWrap/>
          </w:tcPr>
          <w:p w14:paraId="75FFB2EA" w14:textId="77777777" w:rsidR="00515398" w:rsidRDefault="006711E6">
            <w:pPr>
              <w:pStyle w:val="P68B1DB1-Normal8"/>
              <w:keepNext/>
              <w:spacing w:before="40" w:after="0" w:line="259" w:lineRule="auto"/>
              <w:jc w:val="both"/>
              <w:rPr>
                <w:rFonts w:cs="Times New Roman"/>
                <w:noProof/>
              </w:rPr>
            </w:pPr>
            <w:r>
              <w:rPr>
                <w:noProof/>
              </w:rPr>
              <w:t xml:space="preserve">Milník </w:t>
            </w:r>
          </w:p>
        </w:tc>
        <w:tc>
          <w:tcPr>
            <w:tcW w:w="1920" w:type="dxa"/>
            <w:tcBorders>
              <w:top w:val="single" w:sz="4" w:space="0" w:color="auto"/>
              <w:left w:val="nil"/>
              <w:bottom w:val="single" w:sz="4" w:space="0" w:color="auto"/>
              <w:right w:val="single" w:sz="4" w:space="0" w:color="auto"/>
            </w:tcBorders>
            <w:shd w:val="clear" w:color="auto" w:fill="C6EFCE"/>
            <w:noWrap/>
          </w:tcPr>
          <w:p w14:paraId="6D7FB67D" w14:textId="77777777" w:rsidR="00515398" w:rsidRDefault="006711E6">
            <w:pPr>
              <w:pStyle w:val="P68B1DB1-Normal8"/>
              <w:keepNext/>
              <w:spacing w:before="40" w:after="0" w:line="259" w:lineRule="auto"/>
              <w:jc w:val="both"/>
              <w:rPr>
                <w:rFonts w:cs="Times New Roman"/>
                <w:noProof/>
              </w:rPr>
            </w:pPr>
            <w:r>
              <w:rPr>
                <w:noProof/>
              </w:rPr>
              <w:t xml:space="preserve">Rámec pro smlouvy s dynamickým určováním cen </w:t>
            </w:r>
          </w:p>
        </w:tc>
      </w:tr>
      <w:tr w:rsidR="00515398" w14:paraId="0CBBD273"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2609C5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2F59AC6A"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560" w:type="dxa"/>
            <w:tcBorders>
              <w:top w:val="single" w:sz="4" w:space="0" w:color="auto"/>
              <w:left w:val="nil"/>
              <w:bottom w:val="single" w:sz="4" w:space="0" w:color="auto"/>
              <w:right w:val="single" w:sz="4" w:space="0" w:color="auto"/>
            </w:tcBorders>
            <w:shd w:val="clear" w:color="auto" w:fill="C6EFCE"/>
            <w:noWrap/>
            <w:vAlign w:val="bottom"/>
          </w:tcPr>
          <w:p w14:paraId="1E3821F2" w14:textId="77777777" w:rsidR="00515398" w:rsidRDefault="006711E6">
            <w:pPr>
              <w:pStyle w:val="P68B1DB1-Normal8"/>
              <w:keepNext/>
              <w:spacing w:before="40" w:after="0" w:line="259" w:lineRule="auto"/>
              <w:jc w:val="both"/>
              <w:rPr>
                <w:rFonts w:eastAsia="Times New Roman" w:cs="Times New Roman"/>
                <w:noProof/>
                <w:szCs w:val="18"/>
              </w:rPr>
            </w:pPr>
            <w:r>
              <w:rPr>
                <w:noProof/>
              </w:rPr>
              <w:t>Splátková částka</w:t>
            </w:r>
          </w:p>
        </w:tc>
        <w:tc>
          <w:tcPr>
            <w:tcW w:w="1920" w:type="dxa"/>
            <w:tcBorders>
              <w:top w:val="single" w:sz="4" w:space="0" w:color="auto"/>
              <w:left w:val="nil"/>
              <w:bottom w:val="single" w:sz="4" w:space="0" w:color="auto"/>
              <w:right w:val="single" w:sz="4" w:space="0" w:color="auto"/>
            </w:tcBorders>
            <w:shd w:val="clear" w:color="auto" w:fill="C6EFCE"/>
            <w:noWrap/>
            <w:vAlign w:val="bottom"/>
          </w:tcPr>
          <w:p w14:paraId="6A7B06AC" w14:textId="3FB3E431" w:rsidR="00515398" w:rsidRDefault="006711E6">
            <w:pPr>
              <w:pStyle w:val="P68B1DB1-Normal8"/>
              <w:keepNext/>
              <w:spacing w:before="40" w:after="0" w:line="259" w:lineRule="auto"/>
              <w:jc w:val="both"/>
              <w:rPr>
                <w:rFonts w:eastAsia="Times New Roman" w:cs="Times New Roman"/>
                <w:noProof/>
                <w:szCs w:val="18"/>
              </w:rPr>
            </w:pPr>
            <w:r>
              <w:rPr>
                <w:noProof/>
              </w:rPr>
              <w:t>1 522 674 930 EUR</w:t>
            </w:r>
          </w:p>
        </w:tc>
      </w:tr>
    </w:tbl>
    <w:p w14:paraId="3CAA9307" w14:textId="4F36F6C1"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Osmá žádost o platbu (nevratná podpora): </w:t>
      </w:r>
    </w:p>
    <w:p w14:paraId="6EB2767A" w14:textId="77777777" w:rsidR="00515398" w:rsidRDefault="00515398">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Spec="center" w:tblpY="1"/>
        <w:tblOverlap w:val="never"/>
        <w:tblW w:w="9536" w:type="dxa"/>
        <w:tblLayout w:type="fixed"/>
        <w:tblLook w:val="04A0" w:firstRow="1" w:lastRow="0" w:firstColumn="1" w:lastColumn="0" w:noHBand="0" w:noVBand="1"/>
      </w:tblPr>
      <w:tblGrid>
        <w:gridCol w:w="1804"/>
        <w:gridCol w:w="4283"/>
        <w:gridCol w:w="1692"/>
        <w:gridCol w:w="1757"/>
      </w:tblGrid>
      <w:tr w:rsidR="00515398" w14:paraId="4B6EB1EA" w14:textId="77777777">
        <w:trPr>
          <w:trHeight w:val="906"/>
          <w:tblHeader/>
        </w:trPr>
        <w:tc>
          <w:tcPr>
            <w:tcW w:w="18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D7565F"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196AC1"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 xml:space="preserve">Související opatření (reforma nebo </w:t>
            </w:r>
            <w:r>
              <w:rPr>
                <w:noProof/>
              </w:rPr>
              <w:t>investice)</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214BD9"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867A696"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1E217021" w14:textId="77777777">
        <w:trPr>
          <w:trHeight w:val="990"/>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70AC4DA6"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14:paraId="1D2BCBDF"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14:paraId="3438F983"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8C8E5B8"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413CBFB1"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1EABAF" w14:textId="75432DFF" w:rsidR="00515398" w:rsidRDefault="006711E6">
            <w:pPr>
              <w:pStyle w:val="P68B1DB1-Normal8"/>
              <w:keepNext/>
              <w:spacing w:before="40" w:after="0" w:line="240" w:lineRule="auto"/>
              <w:jc w:val="both"/>
              <w:rPr>
                <w:noProof/>
              </w:rPr>
            </w:pPr>
            <w:r>
              <w:rPr>
                <w:noProof/>
              </w:rPr>
              <w:t>109</w:t>
            </w:r>
          </w:p>
        </w:tc>
        <w:tc>
          <w:tcPr>
            <w:tcW w:w="4283" w:type="dxa"/>
            <w:tcBorders>
              <w:top w:val="single" w:sz="4" w:space="0" w:color="auto"/>
              <w:left w:val="nil"/>
              <w:bottom w:val="single" w:sz="4" w:space="0" w:color="auto"/>
              <w:right w:val="single" w:sz="4" w:space="0" w:color="auto"/>
            </w:tcBorders>
            <w:shd w:val="clear" w:color="auto" w:fill="C6EFCE"/>
            <w:noWrap/>
            <w:vAlign w:val="center"/>
          </w:tcPr>
          <w:p w14:paraId="4BAD58DA" w14:textId="2D488DBE" w:rsidR="00515398" w:rsidRDefault="006711E6">
            <w:pPr>
              <w:pStyle w:val="P68B1DB1-Normal8"/>
              <w:keepNext/>
              <w:spacing w:before="40" w:after="0" w:line="240" w:lineRule="auto"/>
              <w:jc w:val="both"/>
              <w:rPr>
                <w:noProof/>
              </w:rPr>
            </w:pPr>
            <w:r>
              <w:rPr>
                <w:noProof/>
              </w:rPr>
              <w:t>6–2.2. Modernizace – 16810_CRM pro vládní instituce</w:t>
            </w:r>
          </w:p>
        </w:tc>
        <w:tc>
          <w:tcPr>
            <w:tcW w:w="1692" w:type="dxa"/>
            <w:tcBorders>
              <w:top w:val="single" w:sz="4" w:space="0" w:color="auto"/>
              <w:left w:val="nil"/>
              <w:bottom w:val="single" w:sz="4" w:space="0" w:color="auto"/>
              <w:right w:val="single" w:sz="4" w:space="0" w:color="auto"/>
            </w:tcBorders>
            <w:shd w:val="clear" w:color="auto" w:fill="C6EFCE"/>
            <w:noWrap/>
            <w:vAlign w:val="center"/>
          </w:tcPr>
          <w:p w14:paraId="54367BD6" w14:textId="53728079" w:rsidR="00515398" w:rsidRDefault="006711E6">
            <w:pPr>
              <w:pStyle w:val="P68B1DB1-Normal8"/>
              <w:keepNext/>
              <w:spacing w:before="40" w:after="0" w:line="240" w:lineRule="auto"/>
              <w:jc w:val="both"/>
              <w:rPr>
                <w:noProof/>
              </w:rPr>
            </w:pPr>
            <w:r>
              <w:rPr>
                <w:noProof/>
              </w:rPr>
              <w:t>Milník</w:t>
            </w:r>
          </w:p>
        </w:tc>
        <w:tc>
          <w:tcPr>
            <w:tcW w:w="1757" w:type="dxa"/>
            <w:tcBorders>
              <w:top w:val="single" w:sz="4" w:space="0" w:color="auto"/>
              <w:left w:val="nil"/>
              <w:bottom w:val="single" w:sz="4" w:space="0" w:color="auto"/>
              <w:right w:val="single" w:sz="4" w:space="0" w:color="auto"/>
            </w:tcBorders>
            <w:shd w:val="clear" w:color="auto" w:fill="C6EFCE"/>
            <w:noWrap/>
            <w:vAlign w:val="center"/>
          </w:tcPr>
          <w:p w14:paraId="49399603" w14:textId="4D639D83" w:rsidR="00515398" w:rsidRDefault="006711E6">
            <w:pPr>
              <w:pStyle w:val="P68B1DB1-Normal8"/>
              <w:keepNext/>
              <w:spacing w:before="40" w:after="0" w:line="240" w:lineRule="auto"/>
              <w:jc w:val="both"/>
              <w:rPr>
                <w:noProof/>
              </w:rPr>
            </w:pPr>
            <w:r>
              <w:rPr>
                <w:noProof/>
              </w:rPr>
              <w:t>Dokončení projektů CRM pro vládu a Gov.gr.</w:t>
            </w:r>
          </w:p>
        </w:tc>
      </w:tr>
      <w:tr w:rsidR="00515398" w14:paraId="5AE00E4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416756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114</w:t>
            </w:r>
          </w:p>
        </w:tc>
        <w:tc>
          <w:tcPr>
            <w:tcW w:w="4283" w:type="dxa"/>
            <w:tcBorders>
              <w:top w:val="nil"/>
              <w:left w:val="nil"/>
              <w:bottom w:val="single" w:sz="4" w:space="0" w:color="auto"/>
              <w:right w:val="single" w:sz="4" w:space="0" w:color="auto"/>
            </w:tcBorders>
            <w:shd w:val="clear" w:color="auto" w:fill="C6EFCE"/>
            <w:noWrap/>
            <w:vAlign w:val="center"/>
          </w:tcPr>
          <w:p w14:paraId="5CA1C5E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16742_Digitální transformace ministerstva zahraničních věcí</w:t>
            </w:r>
          </w:p>
        </w:tc>
        <w:tc>
          <w:tcPr>
            <w:tcW w:w="1692" w:type="dxa"/>
            <w:tcBorders>
              <w:top w:val="nil"/>
              <w:left w:val="nil"/>
              <w:bottom w:val="single" w:sz="4" w:space="0" w:color="auto"/>
              <w:right w:val="single" w:sz="4" w:space="0" w:color="auto"/>
            </w:tcBorders>
            <w:shd w:val="clear" w:color="auto" w:fill="C6EFCE"/>
            <w:noWrap/>
            <w:vAlign w:val="center"/>
          </w:tcPr>
          <w:p w14:paraId="4531390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0C66B2A5"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digitální </w:t>
            </w:r>
            <w:r>
              <w:rPr>
                <w:noProof/>
              </w:rPr>
              <w:t>transformace ministerstva zahraničních věcí</w:t>
            </w:r>
          </w:p>
        </w:tc>
      </w:tr>
      <w:tr w:rsidR="00515398" w14:paraId="2502548E"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090855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115</w:t>
            </w:r>
          </w:p>
        </w:tc>
        <w:tc>
          <w:tcPr>
            <w:tcW w:w="4283" w:type="dxa"/>
            <w:tcBorders>
              <w:top w:val="nil"/>
              <w:left w:val="nil"/>
              <w:bottom w:val="single" w:sz="4" w:space="0" w:color="auto"/>
              <w:right w:val="single" w:sz="4" w:space="0" w:color="auto"/>
            </w:tcBorders>
            <w:shd w:val="clear" w:color="auto" w:fill="C6EFCE"/>
            <w:noWrap/>
            <w:vAlign w:val="center"/>
          </w:tcPr>
          <w:p w14:paraId="2357783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16791_Digitální transformace řecké národní organizace cestovního ruchu</w:t>
            </w:r>
          </w:p>
        </w:tc>
        <w:tc>
          <w:tcPr>
            <w:tcW w:w="1692" w:type="dxa"/>
            <w:tcBorders>
              <w:top w:val="nil"/>
              <w:left w:val="nil"/>
              <w:bottom w:val="single" w:sz="4" w:space="0" w:color="auto"/>
              <w:right w:val="single" w:sz="4" w:space="0" w:color="auto"/>
            </w:tcBorders>
            <w:shd w:val="clear" w:color="auto" w:fill="C6EFCE"/>
            <w:noWrap/>
            <w:vAlign w:val="center"/>
          </w:tcPr>
          <w:p w14:paraId="6DAC0FF3"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7CECD708"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digitalizace řecké národní organizace cestovního ruchu </w:t>
            </w:r>
          </w:p>
        </w:tc>
      </w:tr>
      <w:tr w:rsidR="00515398" w14:paraId="5DE1061E"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5728EC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116</w:t>
            </w:r>
          </w:p>
        </w:tc>
        <w:tc>
          <w:tcPr>
            <w:tcW w:w="4283" w:type="dxa"/>
            <w:tcBorders>
              <w:top w:val="nil"/>
              <w:left w:val="nil"/>
              <w:bottom w:val="single" w:sz="4" w:space="0" w:color="auto"/>
              <w:right w:val="single" w:sz="4" w:space="0" w:color="auto"/>
            </w:tcBorders>
            <w:shd w:val="clear" w:color="auto" w:fill="C6EFCE"/>
            <w:noWrap/>
            <w:vAlign w:val="center"/>
          </w:tcPr>
          <w:p w14:paraId="76DCFF5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6–2.2. Modernizace – </w:t>
            </w:r>
            <w:r>
              <w:rPr>
                <w:noProof/>
              </w:rPr>
              <w:t>16964_Next-generační centrum interoperability (KED)</w:t>
            </w:r>
          </w:p>
        </w:tc>
        <w:tc>
          <w:tcPr>
            <w:tcW w:w="1692" w:type="dxa"/>
            <w:tcBorders>
              <w:top w:val="nil"/>
              <w:left w:val="nil"/>
              <w:bottom w:val="single" w:sz="4" w:space="0" w:color="auto"/>
              <w:right w:val="single" w:sz="4" w:space="0" w:color="auto"/>
            </w:tcBorders>
            <w:shd w:val="clear" w:color="auto" w:fill="C6EFCE"/>
            <w:noWrap/>
            <w:vAlign w:val="center"/>
          </w:tcPr>
          <w:p w14:paraId="173BFD7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73780191"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centra interoperability příští generace</w:t>
            </w:r>
          </w:p>
        </w:tc>
      </w:tr>
      <w:tr w:rsidR="00515398" w14:paraId="76CC0A37"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1CB4A33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117</w:t>
            </w:r>
          </w:p>
        </w:tc>
        <w:tc>
          <w:tcPr>
            <w:tcW w:w="4283" w:type="dxa"/>
            <w:tcBorders>
              <w:top w:val="nil"/>
              <w:left w:val="nil"/>
              <w:bottom w:val="single" w:sz="4" w:space="0" w:color="auto"/>
              <w:right w:val="single" w:sz="4" w:space="0" w:color="auto"/>
            </w:tcBorders>
            <w:shd w:val="clear" w:color="auto" w:fill="C6EFCE"/>
            <w:noWrap/>
            <w:vAlign w:val="center"/>
          </w:tcPr>
          <w:p w14:paraId="58E6213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16785_Registr cestovního ruchu e-MHTE</w:t>
            </w:r>
          </w:p>
        </w:tc>
        <w:tc>
          <w:tcPr>
            <w:tcW w:w="1692" w:type="dxa"/>
            <w:tcBorders>
              <w:top w:val="nil"/>
              <w:left w:val="nil"/>
              <w:bottom w:val="single" w:sz="4" w:space="0" w:color="auto"/>
              <w:right w:val="single" w:sz="4" w:space="0" w:color="auto"/>
            </w:tcBorders>
            <w:shd w:val="clear" w:color="auto" w:fill="C6EFCE"/>
            <w:noWrap/>
            <w:vAlign w:val="center"/>
          </w:tcPr>
          <w:p w14:paraId="0F940EB9"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3E059258"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digitálního registru cestovního ruchu </w:t>
            </w:r>
          </w:p>
        </w:tc>
      </w:tr>
      <w:tr w:rsidR="00515398" w14:paraId="5EA9F5C3"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3D5761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131</w:t>
            </w:r>
          </w:p>
        </w:tc>
        <w:tc>
          <w:tcPr>
            <w:tcW w:w="4283" w:type="dxa"/>
            <w:tcBorders>
              <w:top w:val="nil"/>
              <w:left w:val="nil"/>
              <w:bottom w:val="single" w:sz="4" w:space="0" w:color="auto"/>
              <w:right w:val="single" w:sz="4" w:space="0" w:color="auto"/>
            </w:tcBorders>
            <w:shd w:val="clear" w:color="auto" w:fill="C6EFCE"/>
            <w:noWrap/>
            <w:vAlign w:val="center"/>
          </w:tcPr>
          <w:p w14:paraId="1F1FC85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7–2.3. Digitalizace </w:t>
            </w:r>
            <w:r>
              <w:rPr>
                <w:noProof/>
              </w:rPr>
              <w:t>podniků – 16706_Digitální transformace malých a středních podniků</w:t>
            </w:r>
          </w:p>
        </w:tc>
        <w:tc>
          <w:tcPr>
            <w:tcW w:w="1692" w:type="dxa"/>
            <w:tcBorders>
              <w:top w:val="nil"/>
              <w:left w:val="nil"/>
              <w:bottom w:val="single" w:sz="4" w:space="0" w:color="auto"/>
              <w:right w:val="single" w:sz="4" w:space="0" w:color="auto"/>
            </w:tcBorders>
            <w:shd w:val="clear" w:color="auto" w:fill="C6EFCE"/>
            <w:noWrap/>
            <w:vAlign w:val="center"/>
          </w:tcPr>
          <w:p w14:paraId="21557AB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675262EC" w14:textId="77777777" w:rsidR="00515398" w:rsidRDefault="006711E6">
            <w:pPr>
              <w:pStyle w:val="P68B1DB1-Normal8"/>
              <w:keepNext/>
              <w:spacing w:before="40" w:after="0" w:line="240" w:lineRule="auto"/>
              <w:jc w:val="both"/>
              <w:rPr>
                <w:rFonts w:eastAsia="Times New Roman" w:cs="Times New Roman"/>
                <w:noProof/>
                <w:szCs w:val="18"/>
              </w:rPr>
            </w:pPr>
            <w:r>
              <w:rPr>
                <w:noProof/>
              </w:rPr>
              <w:t>Digitální transformace malých a středních podniků – dodávání produktů a služeb</w:t>
            </w:r>
          </w:p>
        </w:tc>
      </w:tr>
      <w:tr w:rsidR="00515398" w14:paraId="2C383DE7"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626D9BA" w14:textId="1711549D" w:rsidR="00515398" w:rsidRDefault="006711E6">
            <w:pPr>
              <w:pStyle w:val="P68B1DB1-Normal8"/>
              <w:keepNext/>
              <w:spacing w:before="40" w:after="0" w:line="240" w:lineRule="auto"/>
              <w:jc w:val="both"/>
              <w:rPr>
                <w:noProof/>
              </w:rPr>
            </w:pPr>
            <w:r>
              <w:rPr>
                <w:noProof/>
              </w:rPr>
              <w:t>181a</w:t>
            </w:r>
          </w:p>
        </w:tc>
        <w:tc>
          <w:tcPr>
            <w:tcW w:w="4283" w:type="dxa"/>
            <w:tcBorders>
              <w:top w:val="nil"/>
              <w:left w:val="nil"/>
              <w:bottom w:val="single" w:sz="4" w:space="0" w:color="auto"/>
              <w:right w:val="single" w:sz="4" w:space="0" w:color="auto"/>
            </w:tcBorders>
            <w:shd w:val="clear" w:color="auto" w:fill="C6EFCE"/>
            <w:noWrap/>
            <w:vAlign w:val="center"/>
          </w:tcPr>
          <w:p w14:paraId="2B7B9528" w14:textId="0EE7D451" w:rsidR="00515398" w:rsidRDefault="006711E6">
            <w:pPr>
              <w:pStyle w:val="P68B1DB1-Normal8"/>
              <w:keepNext/>
              <w:spacing w:before="40" w:after="0" w:line="240" w:lineRule="auto"/>
              <w:jc w:val="both"/>
              <w:rPr>
                <w:noProof/>
              </w:rPr>
            </w:pPr>
            <w:r>
              <w:rPr>
                <w:noProof/>
              </w:rPr>
              <w:t>11–3.4 Zlepšení přístupu k účinným a inkluzivním sociálním politikám – 16402_Sociální a cenově dos</w:t>
            </w:r>
            <w:r>
              <w:rPr>
                <w:noProof/>
              </w:rPr>
              <w:t>tupné bydlení</w:t>
            </w:r>
          </w:p>
        </w:tc>
        <w:tc>
          <w:tcPr>
            <w:tcW w:w="1692" w:type="dxa"/>
            <w:tcBorders>
              <w:top w:val="nil"/>
              <w:left w:val="nil"/>
              <w:bottom w:val="single" w:sz="4" w:space="0" w:color="auto"/>
              <w:right w:val="single" w:sz="4" w:space="0" w:color="auto"/>
            </w:tcBorders>
            <w:shd w:val="clear" w:color="auto" w:fill="C6EFCE"/>
            <w:noWrap/>
            <w:vAlign w:val="center"/>
          </w:tcPr>
          <w:p w14:paraId="3F15D82D" w14:textId="6EC8F3A0" w:rsidR="00515398" w:rsidRDefault="006711E6">
            <w:pPr>
              <w:pStyle w:val="P68B1DB1-Normal8"/>
              <w:keepNext/>
              <w:spacing w:before="40" w:after="0" w:line="240" w:lineRule="auto"/>
              <w:jc w:val="both"/>
              <w:rPr>
                <w:noProof/>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44131C7A" w14:textId="36AB45E6" w:rsidR="00515398" w:rsidRDefault="006711E6">
            <w:pPr>
              <w:pStyle w:val="P68B1DB1-Normal8"/>
              <w:keepNext/>
              <w:spacing w:before="40" w:after="0" w:line="240" w:lineRule="auto"/>
              <w:jc w:val="both"/>
              <w:rPr>
                <w:noProof/>
              </w:rPr>
            </w:pPr>
            <w:r>
              <w:rPr>
                <w:noProof/>
              </w:rPr>
              <w:t xml:space="preserve">Vstup v platnost právních předpisů, kterými </w:t>
            </w:r>
            <w:r>
              <w:rPr>
                <w:noProof/>
                <w:szCs w:val="18"/>
              </w:rPr>
              <w:t xml:space="preserve">se mění zákon o bydlení </w:t>
            </w:r>
            <w:r>
              <w:rPr>
                <w:noProof/>
              </w:rPr>
              <w:t xml:space="preserve">5006/2022.  </w:t>
            </w:r>
          </w:p>
        </w:tc>
      </w:tr>
      <w:tr w:rsidR="00515398" w14:paraId="145529E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946279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132</w:t>
            </w:r>
          </w:p>
        </w:tc>
        <w:tc>
          <w:tcPr>
            <w:tcW w:w="4283" w:type="dxa"/>
            <w:tcBorders>
              <w:top w:val="nil"/>
              <w:left w:val="nil"/>
              <w:bottom w:val="single" w:sz="4" w:space="0" w:color="auto"/>
              <w:right w:val="single" w:sz="4" w:space="0" w:color="auto"/>
            </w:tcBorders>
            <w:shd w:val="clear" w:color="auto" w:fill="C6EFCE"/>
            <w:noWrap/>
            <w:vAlign w:val="center"/>
          </w:tcPr>
          <w:p w14:paraId="536A697B" w14:textId="7345F8D3" w:rsidR="00515398" w:rsidRDefault="006711E6">
            <w:pPr>
              <w:pStyle w:val="P68B1DB1-Normal8"/>
              <w:keepNext/>
              <w:spacing w:before="40" w:after="0" w:line="240" w:lineRule="auto"/>
              <w:jc w:val="both"/>
              <w:rPr>
                <w:rFonts w:eastAsia="Times New Roman" w:cs="Times New Roman"/>
                <w:bCs/>
                <w:noProof/>
                <w:szCs w:val="18"/>
              </w:rPr>
            </w:pPr>
            <w:r>
              <w:rPr>
                <w:noProof/>
              </w:rPr>
              <w:t> 7–2.3. Digitalizace podniků – 16973_Vytvoření digitálního podnikatelského ekosystému pro usnadnění digitální transformace malých a středních podniků</w:t>
            </w:r>
          </w:p>
        </w:tc>
        <w:tc>
          <w:tcPr>
            <w:tcW w:w="1692" w:type="dxa"/>
            <w:tcBorders>
              <w:top w:val="nil"/>
              <w:left w:val="nil"/>
              <w:bottom w:val="single" w:sz="4" w:space="0" w:color="auto"/>
              <w:right w:val="single" w:sz="4" w:space="0" w:color="auto"/>
            </w:tcBorders>
            <w:shd w:val="clear" w:color="auto" w:fill="C6EFCE"/>
            <w:noWrap/>
            <w:vAlign w:val="center"/>
          </w:tcPr>
          <w:p w14:paraId="345D7D69"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01A0E3F0" w14:textId="5E67AC5D" w:rsidR="00515398" w:rsidRDefault="006711E6">
            <w:pPr>
              <w:pStyle w:val="P68B1DB1-Normal8"/>
              <w:keepNext/>
              <w:spacing w:before="40" w:after="0" w:line="240" w:lineRule="auto"/>
              <w:jc w:val="both"/>
              <w:rPr>
                <w:rFonts w:eastAsia="Times New Roman" w:cs="Times New Roman"/>
                <w:noProof/>
                <w:szCs w:val="18"/>
              </w:rPr>
            </w:pPr>
            <w:r>
              <w:rPr>
                <w:noProof/>
              </w:rPr>
              <w:t>Digitální transformace malých a středních podniků – legislativní reforma na podporu zavádění technologií</w:t>
            </w:r>
          </w:p>
        </w:tc>
      </w:tr>
      <w:tr w:rsidR="00515398" w14:paraId="44028F05"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5C4E5B12" w14:textId="77777777" w:rsidR="00515398" w:rsidRDefault="006711E6">
            <w:pPr>
              <w:pStyle w:val="P68B1DB1-Normal8"/>
              <w:keepNext/>
              <w:spacing w:before="40" w:after="0" w:line="240" w:lineRule="auto"/>
              <w:jc w:val="both"/>
              <w:rPr>
                <w:rFonts w:cs="Times New Roman"/>
                <w:noProof/>
                <w:szCs w:val="18"/>
              </w:rPr>
            </w:pPr>
            <w:r>
              <w:rPr>
                <w:noProof/>
              </w:rPr>
              <w:t>148a</w:t>
            </w:r>
          </w:p>
        </w:tc>
        <w:tc>
          <w:tcPr>
            <w:tcW w:w="4283" w:type="dxa"/>
            <w:tcBorders>
              <w:top w:val="nil"/>
              <w:left w:val="nil"/>
              <w:bottom w:val="single" w:sz="4" w:space="0" w:color="auto"/>
              <w:right w:val="single" w:sz="4" w:space="0" w:color="auto"/>
            </w:tcBorders>
            <w:shd w:val="clear" w:color="auto" w:fill="C6EFCE"/>
            <w:noWrap/>
          </w:tcPr>
          <w:p w14:paraId="4508B9E0" w14:textId="77777777" w:rsidR="00515398" w:rsidRDefault="006711E6">
            <w:pPr>
              <w:pStyle w:val="P68B1DB1-Normal8"/>
              <w:keepNext/>
              <w:spacing w:before="40" w:after="0" w:line="240" w:lineRule="auto"/>
              <w:jc w:val="both"/>
              <w:rPr>
                <w:rFonts w:cs="Times New Roman"/>
                <w:noProof/>
                <w:szCs w:val="18"/>
              </w:rPr>
            </w:pPr>
            <w:r>
              <w:rPr>
                <w:noProof/>
              </w:rPr>
              <w:t>9–3.2. Vzdělávání, odborné vzdělávání a příprava a dovednosti – 16676_Digitální transformace vzdělávání</w:t>
            </w:r>
          </w:p>
        </w:tc>
        <w:tc>
          <w:tcPr>
            <w:tcW w:w="1692" w:type="dxa"/>
            <w:tcBorders>
              <w:top w:val="nil"/>
              <w:left w:val="nil"/>
              <w:bottom w:val="single" w:sz="4" w:space="0" w:color="auto"/>
              <w:right w:val="single" w:sz="4" w:space="0" w:color="auto"/>
            </w:tcBorders>
            <w:shd w:val="clear" w:color="auto" w:fill="C6EFCE"/>
            <w:noWrap/>
          </w:tcPr>
          <w:p w14:paraId="7ACF9545"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tcPr>
          <w:p w14:paraId="089E828A" w14:textId="77777777" w:rsidR="00515398" w:rsidRDefault="006711E6">
            <w:pPr>
              <w:pStyle w:val="P68B1DB1-Normal8"/>
              <w:keepNext/>
              <w:spacing w:before="40" w:after="0" w:line="240" w:lineRule="auto"/>
              <w:jc w:val="both"/>
              <w:rPr>
                <w:rFonts w:cs="Times New Roman"/>
                <w:noProof/>
                <w:szCs w:val="18"/>
              </w:rPr>
            </w:pPr>
            <w:r>
              <w:rPr>
                <w:noProof/>
              </w:rPr>
              <w:t>Strategie aktualizace učeb</w:t>
            </w:r>
            <w:r>
              <w:rPr>
                <w:noProof/>
              </w:rPr>
              <w:t>ních osnov, racionalizace služeb a monitorování výsledků vzdělávání</w:t>
            </w:r>
          </w:p>
        </w:tc>
      </w:tr>
      <w:tr w:rsidR="00515398" w14:paraId="1AF8AC2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135971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157</w:t>
            </w:r>
          </w:p>
        </w:tc>
        <w:tc>
          <w:tcPr>
            <w:tcW w:w="4283" w:type="dxa"/>
            <w:tcBorders>
              <w:top w:val="nil"/>
              <w:left w:val="nil"/>
              <w:bottom w:val="single" w:sz="4" w:space="0" w:color="auto"/>
              <w:right w:val="single" w:sz="4" w:space="0" w:color="auto"/>
            </w:tcBorders>
            <w:shd w:val="clear" w:color="auto" w:fill="C6EFCE"/>
            <w:noWrap/>
            <w:vAlign w:val="center"/>
          </w:tcPr>
          <w:p w14:paraId="6FF168B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zdravotní péče – 16816_Reformy a urychlení investic v odvětví zdravotní péče – snížení zpětného vymáhání a racionalizace výdajů</w:t>
            </w:r>
            <w:r>
              <w:rPr>
                <w:noProof/>
              </w:rPr>
              <w:t xml:space="preserve"> na zdravotní péči</w:t>
            </w:r>
          </w:p>
        </w:tc>
        <w:tc>
          <w:tcPr>
            <w:tcW w:w="1692" w:type="dxa"/>
            <w:tcBorders>
              <w:top w:val="nil"/>
              <w:left w:val="nil"/>
              <w:bottom w:val="single" w:sz="4" w:space="0" w:color="auto"/>
              <w:right w:val="single" w:sz="4" w:space="0" w:color="auto"/>
            </w:tcBorders>
            <w:shd w:val="clear" w:color="auto" w:fill="C6EFCE"/>
            <w:noWrap/>
            <w:vAlign w:val="center"/>
          </w:tcPr>
          <w:p w14:paraId="1B4B8396"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757" w:type="dxa"/>
            <w:tcBorders>
              <w:top w:val="nil"/>
              <w:left w:val="nil"/>
              <w:bottom w:val="single" w:sz="4" w:space="0" w:color="auto"/>
              <w:right w:val="single" w:sz="4" w:space="0" w:color="auto"/>
            </w:tcBorders>
            <w:shd w:val="clear" w:color="auto" w:fill="C6EFCE"/>
            <w:noWrap/>
            <w:vAlign w:val="center"/>
          </w:tcPr>
          <w:p w14:paraId="3B03C711" w14:textId="2B460575" w:rsidR="00515398" w:rsidRDefault="006711E6">
            <w:pPr>
              <w:pStyle w:val="P68B1DB1-Normal8"/>
              <w:keepNext/>
              <w:spacing w:before="40" w:after="0" w:line="240" w:lineRule="auto"/>
              <w:jc w:val="both"/>
              <w:rPr>
                <w:rFonts w:eastAsia="Times New Roman" w:cs="Times New Roman"/>
                <w:noProof/>
                <w:szCs w:val="18"/>
              </w:rPr>
            </w:pPr>
            <w:r>
              <w:rPr>
                <w:noProof/>
              </w:rPr>
              <w:t>Snížení zpětného vymáhání 300000000 – krok 3</w:t>
            </w:r>
          </w:p>
        </w:tc>
      </w:tr>
      <w:tr w:rsidR="00515398" w14:paraId="6A57C8C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50F0E088" w14:textId="77777777" w:rsidR="00515398" w:rsidRDefault="006711E6">
            <w:pPr>
              <w:pStyle w:val="P68B1DB1-Normal49"/>
              <w:keepNext/>
              <w:spacing w:before="40" w:after="0" w:line="240" w:lineRule="auto"/>
              <w:jc w:val="both"/>
              <w:rPr>
                <w:rFonts w:eastAsia="Times New Roman" w:cs="Times New Roman"/>
                <w:bCs/>
                <w:noProof/>
              </w:rPr>
            </w:pPr>
            <w:r>
              <w:rPr>
                <w:noProof/>
              </w:rPr>
              <w:t>163</w:t>
            </w:r>
          </w:p>
        </w:tc>
        <w:tc>
          <w:tcPr>
            <w:tcW w:w="4283" w:type="dxa"/>
            <w:tcBorders>
              <w:top w:val="nil"/>
              <w:left w:val="nil"/>
              <w:bottom w:val="single" w:sz="4" w:space="0" w:color="auto"/>
              <w:right w:val="single" w:sz="4" w:space="0" w:color="auto"/>
            </w:tcBorders>
            <w:shd w:val="clear" w:color="auto" w:fill="C6EFCE"/>
            <w:noWrap/>
            <w:vAlign w:val="center"/>
          </w:tcPr>
          <w:p w14:paraId="43E29A1F" w14:textId="65AEF4E4"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10–3.3. Zlepšení odolnosti, dostupnosti a udržitelnosti zdravotní péče – 16756_Organizační reformy systému zdravotní péče </w:t>
            </w:r>
          </w:p>
        </w:tc>
        <w:tc>
          <w:tcPr>
            <w:tcW w:w="1692" w:type="dxa"/>
            <w:tcBorders>
              <w:top w:val="nil"/>
              <w:left w:val="nil"/>
              <w:bottom w:val="single" w:sz="4" w:space="0" w:color="auto"/>
              <w:right w:val="single" w:sz="4" w:space="0" w:color="auto"/>
            </w:tcBorders>
            <w:shd w:val="clear" w:color="auto" w:fill="C6EFCE"/>
            <w:noWrap/>
            <w:vAlign w:val="center"/>
          </w:tcPr>
          <w:p w14:paraId="673F737F"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083EBFFC" w14:textId="77777777" w:rsidR="00515398" w:rsidRDefault="006711E6">
            <w:pPr>
              <w:pStyle w:val="P68B1DB1-Normal8"/>
              <w:keepNext/>
              <w:spacing w:before="40" w:after="0" w:line="240" w:lineRule="auto"/>
              <w:jc w:val="both"/>
              <w:rPr>
                <w:rFonts w:eastAsia="Times New Roman" w:cs="Times New Roman"/>
                <w:noProof/>
                <w:szCs w:val="18"/>
              </w:rPr>
            </w:pPr>
            <w:r>
              <w:rPr>
                <w:noProof/>
              </w:rPr>
              <w:t>Systém zdravotní péče – finalizovat řecký institut</w:t>
            </w:r>
            <w:r>
              <w:rPr>
                <w:noProof/>
              </w:rPr>
              <w:t xml:space="preserve"> DRG KETEKNY a novou Agenturu pro zajišťování kvality ve zdravotnictví ODIPY (kromě odborné přípravy)</w:t>
            </w:r>
          </w:p>
        </w:tc>
      </w:tr>
      <w:tr w:rsidR="00515398" w14:paraId="7F011813"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4BEC799" w14:textId="77777777" w:rsidR="00515398" w:rsidRDefault="006711E6">
            <w:pPr>
              <w:pStyle w:val="P68B1DB1-Normal49"/>
              <w:keepNext/>
              <w:spacing w:before="40" w:after="0" w:line="240" w:lineRule="auto"/>
              <w:jc w:val="both"/>
              <w:rPr>
                <w:rFonts w:eastAsia="Times New Roman" w:cs="Times New Roman"/>
                <w:bCs/>
                <w:noProof/>
              </w:rPr>
            </w:pPr>
            <w:r>
              <w:rPr>
                <w:noProof/>
              </w:rPr>
              <w:t>164</w:t>
            </w:r>
          </w:p>
        </w:tc>
        <w:tc>
          <w:tcPr>
            <w:tcW w:w="4283" w:type="dxa"/>
            <w:tcBorders>
              <w:top w:val="nil"/>
              <w:left w:val="nil"/>
              <w:bottom w:val="single" w:sz="4" w:space="0" w:color="auto"/>
              <w:right w:val="single" w:sz="4" w:space="0" w:color="auto"/>
            </w:tcBorders>
            <w:shd w:val="clear" w:color="auto" w:fill="C6EFCE"/>
            <w:noWrap/>
            <w:vAlign w:val="center"/>
          </w:tcPr>
          <w:p w14:paraId="65FC06BB" w14:textId="03F5AF7D"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10–3.3. Zlepšení odolnosti, dostupnosti a udržitelnosti zdravotní péče – 16756_Organizační reformy systému zdravotní péče </w:t>
            </w:r>
          </w:p>
        </w:tc>
        <w:tc>
          <w:tcPr>
            <w:tcW w:w="1692" w:type="dxa"/>
            <w:tcBorders>
              <w:top w:val="nil"/>
              <w:left w:val="nil"/>
              <w:bottom w:val="single" w:sz="4" w:space="0" w:color="auto"/>
              <w:right w:val="single" w:sz="4" w:space="0" w:color="auto"/>
            </w:tcBorders>
            <w:shd w:val="clear" w:color="auto" w:fill="C6EFCE"/>
            <w:noWrap/>
            <w:vAlign w:val="center"/>
          </w:tcPr>
          <w:p w14:paraId="109B1F16"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1757" w:type="dxa"/>
            <w:tcBorders>
              <w:top w:val="nil"/>
              <w:left w:val="nil"/>
              <w:bottom w:val="single" w:sz="4" w:space="0" w:color="auto"/>
              <w:right w:val="single" w:sz="4" w:space="0" w:color="auto"/>
            </w:tcBorders>
            <w:shd w:val="clear" w:color="auto" w:fill="C6EFCE"/>
            <w:noWrap/>
            <w:vAlign w:val="center"/>
          </w:tcPr>
          <w:p w14:paraId="2A0438BB" w14:textId="77777777" w:rsidR="00515398" w:rsidRDefault="006711E6">
            <w:pPr>
              <w:pStyle w:val="P68B1DB1-Normal8"/>
              <w:keepNext/>
              <w:spacing w:before="40" w:after="0" w:line="240" w:lineRule="auto"/>
              <w:jc w:val="both"/>
              <w:rPr>
                <w:rFonts w:eastAsia="Times New Roman" w:cs="Times New Roman"/>
                <w:noProof/>
                <w:szCs w:val="18"/>
              </w:rPr>
            </w:pPr>
            <w:r>
              <w:rPr>
                <w:noProof/>
              </w:rPr>
              <w:t>Systém zdravotní pé</w:t>
            </w:r>
            <w:r>
              <w:rPr>
                <w:noProof/>
              </w:rPr>
              <w:t>če – Úplná odborná příprava KETEKNY</w:t>
            </w:r>
          </w:p>
        </w:tc>
      </w:tr>
      <w:tr w:rsidR="00515398" w14:paraId="6759C21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68058F4E" w14:textId="77777777" w:rsidR="00515398" w:rsidRDefault="006711E6">
            <w:pPr>
              <w:pStyle w:val="P68B1DB1-Normal8"/>
              <w:keepNext/>
              <w:spacing w:before="40" w:after="0" w:line="240" w:lineRule="auto"/>
              <w:jc w:val="both"/>
              <w:rPr>
                <w:rFonts w:cs="Times New Roman"/>
                <w:noProof/>
                <w:szCs w:val="18"/>
              </w:rPr>
            </w:pPr>
            <w:r>
              <w:rPr>
                <w:noProof/>
              </w:rPr>
              <w:t>168</w:t>
            </w:r>
          </w:p>
        </w:tc>
        <w:tc>
          <w:tcPr>
            <w:tcW w:w="4283" w:type="dxa"/>
            <w:tcBorders>
              <w:top w:val="nil"/>
              <w:left w:val="nil"/>
              <w:bottom w:val="single" w:sz="4" w:space="0" w:color="auto"/>
              <w:right w:val="single" w:sz="4" w:space="0" w:color="auto"/>
            </w:tcBorders>
            <w:shd w:val="clear" w:color="auto" w:fill="C6EFCE"/>
            <w:noWrap/>
            <w:vAlign w:val="center"/>
          </w:tcPr>
          <w:p w14:paraId="38578DA9" w14:textId="77777777" w:rsidR="00515398" w:rsidRDefault="006711E6">
            <w:pPr>
              <w:pStyle w:val="P68B1DB1-Normal8"/>
              <w:keepNext/>
              <w:spacing w:before="40" w:after="0" w:line="240" w:lineRule="auto"/>
              <w:jc w:val="both"/>
              <w:rPr>
                <w:rFonts w:cs="Times New Roman"/>
                <w:noProof/>
                <w:szCs w:val="18"/>
              </w:rPr>
            </w:pPr>
            <w:r>
              <w:rPr>
                <w:noProof/>
              </w:rPr>
              <w:t>10–3.3. Zlepšení odolnosti, dostupnosti a udržitelnosti zdravotní péče – 16752_Digitální transformace zdraví (DigHealth)</w:t>
            </w:r>
          </w:p>
        </w:tc>
        <w:tc>
          <w:tcPr>
            <w:tcW w:w="1692" w:type="dxa"/>
            <w:tcBorders>
              <w:top w:val="nil"/>
              <w:left w:val="nil"/>
              <w:bottom w:val="single" w:sz="4" w:space="0" w:color="auto"/>
              <w:right w:val="single" w:sz="4" w:space="0" w:color="auto"/>
            </w:tcBorders>
            <w:shd w:val="clear" w:color="auto" w:fill="C6EFCE"/>
            <w:noWrap/>
            <w:vAlign w:val="center"/>
          </w:tcPr>
          <w:p w14:paraId="11E25C92"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34060E27" w14:textId="4A4C5369" w:rsidR="00515398" w:rsidRDefault="006711E6">
            <w:pPr>
              <w:pStyle w:val="P68B1DB1-Normal49"/>
              <w:keepNext/>
              <w:spacing w:before="40" w:after="0" w:line="240" w:lineRule="auto"/>
              <w:jc w:val="both"/>
              <w:rPr>
                <w:rFonts w:cs="Times New Roman"/>
                <w:noProof/>
              </w:rPr>
            </w:pPr>
            <w:r>
              <w:rPr>
                <w:noProof/>
              </w:rPr>
              <w:t xml:space="preserve">Digitální transformace – služby pro rozšíření vytváření jmen, modernizace infrastruktury systému elektronického předepisování a provozní služby pro informační systémy společnosti IDIKA SA  </w:t>
            </w:r>
          </w:p>
        </w:tc>
      </w:tr>
      <w:tr w:rsidR="00515398" w14:paraId="72B8A4F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977B09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169</w:t>
            </w:r>
          </w:p>
        </w:tc>
        <w:tc>
          <w:tcPr>
            <w:tcW w:w="4283" w:type="dxa"/>
            <w:tcBorders>
              <w:top w:val="nil"/>
              <w:left w:val="nil"/>
              <w:bottom w:val="single" w:sz="4" w:space="0" w:color="auto"/>
              <w:right w:val="single" w:sz="4" w:space="0" w:color="auto"/>
            </w:tcBorders>
            <w:shd w:val="clear" w:color="auto" w:fill="C6EFCE"/>
            <w:noWrap/>
            <w:vAlign w:val="center"/>
          </w:tcPr>
          <w:p w14:paraId="7FBF631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w:t>
            </w:r>
            <w:r>
              <w:rPr>
                <w:noProof/>
              </w:rPr>
              <w:t>otní péče – 16753_Zřízení systémů domácí zdravotní péče a nemocnic</w:t>
            </w:r>
          </w:p>
        </w:tc>
        <w:tc>
          <w:tcPr>
            <w:tcW w:w="1692" w:type="dxa"/>
            <w:tcBorders>
              <w:top w:val="nil"/>
              <w:left w:val="nil"/>
              <w:bottom w:val="single" w:sz="4" w:space="0" w:color="auto"/>
              <w:right w:val="single" w:sz="4" w:space="0" w:color="auto"/>
            </w:tcBorders>
            <w:shd w:val="clear" w:color="auto" w:fill="C6EFCE"/>
            <w:noWrap/>
            <w:vAlign w:val="center"/>
          </w:tcPr>
          <w:p w14:paraId="6C48F3C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45BCAFFF" w14:textId="77777777" w:rsidR="00515398" w:rsidRDefault="006711E6">
            <w:pPr>
              <w:pStyle w:val="P68B1DB1-Normal8"/>
              <w:keepNext/>
              <w:spacing w:before="40" w:after="0" w:line="240" w:lineRule="auto"/>
              <w:jc w:val="both"/>
              <w:rPr>
                <w:rFonts w:eastAsia="Times New Roman" w:cs="Times New Roman"/>
                <w:noProof/>
                <w:szCs w:val="18"/>
              </w:rPr>
            </w:pPr>
            <w:r>
              <w:rPr>
                <w:noProof/>
              </w:rPr>
              <w:t>Domácí péče – otevření jednotek</w:t>
            </w:r>
          </w:p>
        </w:tc>
      </w:tr>
      <w:tr w:rsidR="00515398" w14:paraId="455BEB70"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711D8094" w14:textId="77777777" w:rsidR="00515398" w:rsidRDefault="006711E6">
            <w:pPr>
              <w:pStyle w:val="P68B1DB1-Normal8"/>
              <w:keepNext/>
              <w:spacing w:before="40" w:after="0" w:line="240" w:lineRule="auto"/>
              <w:jc w:val="both"/>
              <w:rPr>
                <w:rFonts w:cs="Times New Roman"/>
                <w:noProof/>
                <w:szCs w:val="18"/>
              </w:rPr>
            </w:pPr>
            <w:r>
              <w:rPr>
                <w:noProof/>
              </w:rPr>
              <w:t>184a</w:t>
            </w:r>
          </w:p>
        </w:tc>
        <w:tc>
          <w:tcPr>
            <w:tcW w:w="4283" w:type="dxa"/>
            <w:tcBorders>
              <w:top w:val="nil"/>
              <w:left w:val="nil"/>
              <w:bottom w:val="single" w:sz="4" w:space="0" w:color="auto"/>
              <w:right w:val="single" w:sz="4" w:space="0" w:color="auto"/>
            </w:tcBorders>
            <w:shd w:val="clear" w:color="auto" w:fill="C6EFCE"/>
            <w:noWrap/>
          </w:tcPr>
          <w:p w14:paraId="13DA989E"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16685_Osvěta o rozmanitosti</w:t>
            </w:r>
          </w:p>
        </w:tc>
        <w:tc>
          <w:tcPr>
            <w:tcW w:w="1692" w:type="dxa"/>
            <w:tcBorders>
              <w:top w:val="nil"/>
              <w:left w:val="nil"/>
              <w:bottom w:val="single" w:sz="4" w:space="0" w:color="auto"/>
              <w:right w:val="single" w:sz="4" w:space="0" w:color="auto"/>
            </w:tcBorders>
            <w:shd w:val="clear" w:color="auto" w:fill="C6EFCE"/>
            <w:noWrap/>
          </w:tcPr>
          <w:p w14:paraId="441D99C6"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tcPr>
          <w:p w14:paraId="3EA1197F" w14:textId="77777777" w:rsidR="00515398" w:rsidRDefault="006711E6">
            <w:pPr>
              <w:pStyle w:val="P68B1DB1-Normal8"/>
              <w:keepNext/>
              <w:spacing w:before="40" w:after="0" w:line="240" w:lineRule="auto"/>
              <w:jc w:val="both"/>
              <w:rPr>
                <w:rFonts w:cs="Times New Roman"/>
                <w:noProof/>
                <w:szCs w:val="18"/>
              </w:rPr>
            </w:pPr>
            <w:r>
              <w:rPr>
                <w:noProof/>
              </w:rPr>
              <w:t xml:space="preserve">Mechanismus rovnosti a diskriminace, </w:t>
            </w:r>
            <w:r>
              <w:rPr>
                <w:noProof/>
              </w:rPr>
              <w:t>Středisko pro sledování rovnosti, systém udělování</w:t>
            </w:r>
          </w:p>
        </w:tc>
      </w:tr>
      <w:tr w:rsidR="00515398" w14:paraId="558D683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7263FA68" w14:textId="77777777" w:rsidR="00515398" w:rsidRDefault="006711E6">
            <w:pPr>
              <w:pStyle w:val="P68B1DB1-Normal8"/>
              <w:keepNext/>
              <w:spacing w:before="40" w:after="0" w:line="240" w:lineRule="auto"/>
              <w:jc w:val="both"/>
              <w:rPr>
                <w:rFonts w:cs="Times New Roman"/>
                <w:noProof/>
                <w:szCs w:val="18"/>
              </w:rPr>
            </w:pPr>
            <w:r>
              <w:rPr>
                <w:noProof/>
              </w:rPr>
              <w:t>186</w:t>
            </w:r>
          </w:p>
        </w:tc>
        <w:tc>
          <w:tcPr>
            <w:tcW w:w="4283" w:type="dxa"/>
            <w:tcBorders>
              <w:top w:val="nil"/>
              <w:left w:val="nil"/>
              <w:bottom w:val="single" w:sz="4" w:space="0" w:color="auto"/>
              <w:right w:val="single" w:sz="4" w:space="0" w:color="auto"/>
            </w:tcBorders>
            <w:shd w:val="clear" w:color="auto" w:fill="C6EFCE"/>
            <w:noWrap/>
            <w:vAlign w:val="center"/>
          </w:tcPr>
          <w:p w14:paraId="008A5601"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16922_Sociální integrace</w:t>
            </w:r>
          </w:p>
        </w:tc>
        <w:tc>
          <w:tcPr>
            <w:tcW w:w="1692" w:type="dxa"/>
            <w:tcBorders>
              <w:top w:val="nil"/>
              <w:left w:val="nil"/>
              <w:bottom w:val="single" w:sz="4" w:space="0" w:color="auto"/>
              <w:right w:val="single" w:sz="4" w:space="0" w:color="auto"/>
            </w:tcBorders>
            <w:shd w:val="clear" w:color="auto" w:fill="C6EFCE"/>
            <w:noWrap/>
            <w:vAlign w:val="center"/>
          </w:tcPr>
          <w:p w14:paraId="56121F55"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1757" w:type="dxa"/>
            <w:tcBorders>
              <w:top w:val="nil"/>
              <w:left w:val="nil"/>
              <w:bottom w:val="single" w:sz="4" w:space="0" w:color="auto"/>
              <w:right w:val="single" w:sz="4" w:space="0" w:color="auto"/>
            </w:tcBorders>
            <w:shd w:val="clear" w:color="auto" w:fill="C6EFCE"/>
            <w:noWrap/>
            <w:vAlign w:val="center"/>
          </w:tcPr>
          <w:p w14:paraId="1048D7D9" w14:textId="77777777" w:rsidR="00515398" w:rsidRDefault="006711E6">
            <w:pPr>
              <w:pStyle w:val="P68B1DB1-Normal8"/>
              <w:keepNext/>
              <w:spacing w:before="40" w:after="0" w:line="240" w:lineRule="auto"/>
              <w:jc w:val="both"/>
              <w:rPr>
                <w:rFonts w:cs="Times New Roman"/>
                <w:noProof/>
                <w:szCs w:val="18"/>
              </w:rPr>
            </w:pPr>
            <w:r>
              <w:rPr>
                <w:noProof/>
              </w:rPr>
              <w:t xml:space="preserve">Dokončení renovace sociálního bydlení </w:t>
            </w:r>
          </w:p>
        </w:tc>
      </w:tr>
      <w:tr w:rsidR="00515398" w14:paraId="70850409"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CE3CB4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213</w:t>
            </w:r>
          </w:p>
        </w:tc>
        <w:tc>
          <w:tcPr>
            <w:tcW w:w="4283" w:type="dxa"/>
            <w:tcBorders>
              <w:top w:val="nil"/>
              <w:left w:val="nil"/>
              <w:bottom w:val="single" w:sz="4" w:space="0" w:color="auto"/>
              <w:right w:val="single" w:sz="4" w:space="0" w:color="auto"/>
            </w:tcBorders>
            <w:shd w:val="clear" w:color="auto" w:fill="C6EFCE"/>
            <w:noWrap/>
            <w:vAlign w:val="center"/>
          </w:tcPr>
          <w:p w14:paraId="39FAB06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Modernizovat veřejnou správu, mimo jiné </w:t>
            </w:r>
            <w:r>
              <w:rPr>
                <w:noProof/>
              </w:rPr>
              <w:t>urychlením provádění veřejných investic, zlepšením rámce pro zadávání veřejných zakázek, opatřeními na budování kapacit a bojem proti korupci – 16703_Boj proti nezákonnému obchodu a ochrana duševního vlastnictví</w:t>
            </w:r>
          </w:p>
        </w:tc>
        <w:tc>
          <w:tcPr>
            <w:tcW w:w="1692" w:type="dxa"/>
            <w:tcBorders>
              <w:top w:val="nil"/>
              <w:left w:val="nil"/>
              <w:bottom w:val="single" w:sz="4" w:space="0" w:color="auto"/>
              <w:right w:val="single" w:sz="4" w:space="0" w:color="auto"/>
            </w:tcBorders>
            <w:shd w:val="clear" w:color="auto" w:fill="C6EFCE"/>
            <w:noWrap/>
            <w:vAlign w:val="center"/>
          </w:tcPr>
          <w:p w14:paraId="614DFCB7"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07E4D326" w14:textId="77777777" w:rsidR="00515398" w:rsidRDefault="006711E6">
            <w:pPr>
              <w:pStyle w:val="P68B1DB1-Normal8"/>
              <w:keepNext/>
              <w:spacing w:before="40" w:after="0" w:line="240" w:lineRule="auto"/>
              <w:jc w:val="both"/>
              <w:rPr>
                <w:rFonts w:eastAsia="Times New Roman" w:cs="Times New Roman"/>
                <w:noProof/>
                <w:szCs w:val="18"/>
              </w:rPr>
            </w:pPr>
            <w:r>
              <w:rPr>
                <w:noProof/>
              </w:rPr>
              <w:t>Boj proti nezákonnému obchodu – infor</w:t>
            </w:r>
            <w:r>
              <w:rPr>
                <w:noProof/>
              </w:rPr>
              <w:t>mační systém a kontrolní stanice</w:t>
            </w:r>
          </w:p>
        </w:tc>
      </w:tr>
      <w:tr w:rsidR="00515398" w14:paraId="428C73F4"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39F8C60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217</w:t>
            </w:r>
          </w:p>
        </w:tc>
        <w:tc>
          <w:tcPr>
            <w:tcW w:w="4283" w:type="dxa"/>
            <w:tcBorders>
              <w:top w:val="nil"/>
              <w:left w:val="nil"/>
              <w:bottom w:val="single" w:sz="4" w:space="0" w:color="auto"/>
              <w:right w:val="single" w:sz="4" w:space="0" w:color="auto"/>
            </w:tcBorders>
            <w:shd w:val="clear" w:color="auto" w:fill="C6EFCE"/>
            <w:noWrap/>
            <w:vAlign w:val="center"/>
          </w:tcPr>
          <w:p w14:paraId="17D2D96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Modernizace veřejné správy, mimo jiné urychlením provádění veřejných investic, zlepšením rámce pro zadávání veřejných zakázek, opatřeními na budování kapacit a bojem proti korupci – 16940_Modernizace Řeckého fond</w:t>
            </w:r>
            <w:r>
              <w:rPr>
                <w:noProof/>
              </w:rPr>
              <w:t>u pro vklady a půjčky zásilek </w:t>
            </w:r>
          </w:p>
        </w:tc>
        <w:tc>
          <w:tcPr>
            <w:tcW w:w="1692" w:type="dxa"/>
            <w:tcBorders>
              <w:top w:val="nil"/>
              <w:left w:val="nil"/>
              <w:bottom w:val="single" w:sz="4" w:space="0" w:color="auto"/>
              <w:right w:val="single" w:sz="4" w:space="0" w:color="auto"/>
            </w:tcBorders>
            <w:shd w:val="clear" w:color="auto" w:fill="C6EFCE"/>
            <w:noWrap/>
            <w:vAlign w:val="center"/>
          </w:tcPr>
          <w:p w14:paraId="0EEC42B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18C7C2E4"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všech dílčích projektů řeckého depozitního a úvěrového fondu</w:t>
            </w:r>
          </w:p>
        </w:tc>
      </w:tr>
      <w:tr w:rsidR="00515398" w14:paraId="17FC8F56"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24B600EF" w14:textId="77777777" w:rsidR="00515398" w:rsidRDefault="006711E6">
            <w:pPr>
              <w:pStyle w:val="P68B1DB1-Normal8"/>
              <w:keepNext/>
              <w:spacing w:before="40" w:after="0" w:line="240" w:lineRule="auto"/>
              <w:jc w:val="both"/>
              <w:rPr>
                <w:rFonts w:cs="Times New Roman"/>
                <w:noProof/>
                <w:szCs w:val="18"/>
              </w:rPr>
            </w:pPr>
            <w:r>
              <w:rPr>
                <w:noProof/>
              </w:rPr>
              <w:t>268b</w:t>
            </w:r>
          </w:p>
        </w:tc>
        <w:tc>
          <w:tcPr>
            <w:tcW w:w="4283" w:type="dxa"/>
            <w:tcBorders>
              <w:top w:val="nil"/>
              <w:left w:val="nil"/>
              <w:bottom w:val="single" w:sz="4" w:space="0" w:color="auto"/>
              <w:right w:val="single" w:sz="4" w:space="0" w:color="auto"/>
            </w:tcBorders>
            <w:shd w:val="clear" w:color="auto" w:fill="C6EFCE"/>
            <w:noWrap/>
            <w:vAlign w:val="center"/>
          </w:tcPr>
          <w:p w14:paraId="754E9E4C" w14:textId="77777777" w:rsidR="00515398" w:rsidRDefault="006711E6">
            <w:pPr>
              <w:pStyle w:val="P68B1DB1-Normal8"/>
              <w:keepNext/>
              <w:spacing w:before="40" w:after="0" w:line="240" w:lineRule="auto"/>
              <w:jc w:val="both"/>
              <w:rPr>
                <w:rFonts w:cs="Times New Roman"/>
                <w:noProof/>
                <w:szCs w:val="18"/>
              </w:rPr>
            </w:pPr>
            <w:r>
              <w:rPr>
                <w:noProof/>
              </w:rPr>
              <w:t>17–4.6. Modernizace a zlepšení odolnosti klíčových hospodářských odvětví – 16982_Organizační reforma v odvětví železniční dopravy</w:t>
            </w:r>
          </w:p>
        </w:tc>
        <w:tc>
          <w:tcPr>
            <w:tcW w:w="1692" w:type="dxa"/>
            <w:tcBorders>
              <w:top w:val="nil"/>
              <w:left w:val="nil"/>
              <w:bottom w:val="single" w:sz="4" w:space="0" w:color="auto"/>
              <w:right w:val="single" w:sz="4" w:space="0" w:color="auto"/>
            </w:tcBorders>
            <w:shd w:val="clear" w:color="auto" w:fill="C6EFCE"/>
            <w:noWrap/>
            <w:vAlign w:val="center"/>
          </w:tcPr>
          <w:p w14:paraId="641BC2C4"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180BCE78" w14:textId="6D28C500" w:rsidR="00515398" w:rsidRDefault="006711E6">
            <w:pPr>
              <w:pStyle w:val="P68B1DB1-Normal49"/>
              <w:keepNext/>
              <w:spacing w:before="40" w:after="0" w:line="240" w:lineRule="auto"/>
              <w:jc w:val="both"/>
              <w:rPr>
                <w:rFonts w:cs="Times New Roman"/>
                <w:noProof/>
              </w:rPr>
            </w:pPr>
            <w:r>
              <w:rPr>
                <w:noProof/>
              </w:rPr>
              <w:t>Přijetí víceletého investičního programu, podpis nového smluvního ujednání</w:t>
            </w:r>
          </w:p>
        </w:tc>
      </w:tr>
      <w:tr w:rsidR="00515398" w14:paraId="46D22CDA"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4F13A37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294</w:t>
            </w:r>
          </w:p>
        </w:tc>
        <w:tc>
          <w:tcPr>
            <w:tcW w:w="4283" w:type="dxa"/>
            <w:tcBorders>
              <w:top w:val="nil"/>
              <w:left w:val="nil"/>
              <w:bottom w:val="single" w:sz="4" w:space="0" w:color="auto"/>
              <w:right w:val="single" w:sz="4" w:space="0" w:color="auto"/>
            </w:tcBorders>
            <w:shd w:val="clear" w:color="auto" w:fill="C6EFCE"/>
            <w:noWrap/>
            <w:vAlign w:val="center"/>
          </w:tcPr>
          <w:p w14:paraId="3F73FD0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16944_Hlavní plán obnovy řeckého vozového parku osobní dopravy</w:t>
            </w:r>
          </w:p>
        </w:tc>
        <w:tc>
          <w:tcPr>
            <w:tcW w:w="1692" w:type="dxa"/>
            <w:tcBorders>
              <w:top w:val="nil"/>
              <w:left w:val="nil"/>
              <w:bottom w:val="single" w:sz="4" w:space="0" w:color="auto"/>
              <w:right w:val="single" w:sz="4" w:space="0" w:color="auto"/>
            </w:tcBorders>
            <w:shd w:val="clear" w:color="auto" w:fill="C6EFCE"/>
            <w:noWrap/>
            <w:vAlign w:val="center"/>
          </w:tcPr>
          <w:p w14:paraId="5FBED0B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365A71F2" w14:textId="77777777" w:rsidR="00515398" w:rsidRDefault="006711E6">
            <w:pPr>
              <w:pStyle w:val="P68B1DB1-Normal8"/>
              <w:keepNext/>
              <w:spacing w:before="40" w:after="0" w:line="240" w:lineRule="auto"/>
              <w:jc w:val="both"/>
              <w:rPr>
                <w:rFonts w:eastAsia="Times New Roman" w:cs="Times New Roman"/>
                <w:noProof/>
                <w:szCs w:val="18"/>
              </w:rPr>
            </w:pPr>
            <w:r>
              <w:rPr>
                <w:noProof/>
              </w:rPr>
              <w:t>Hlavní plán pro řeckou osobní l</w:t>
            </w:r>
            <w:r>
              <w:rPr>
                <w:noProof/>
              </w:rPr>
              <w:t>odní dopravu</w:t>
            </w:r>
          </w:p>
        </w:tc>
      </w:tr>
      <w:tr w:rsidR="00515398" w14:paraId="40B09710"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vAlign w:val="center"/>
          </w:tcPr>
          <w:p w14:paraId="080F7C2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w:t>
            </w:r>
          </w:p>
        </w:tc>
        <w:tc>
          <w:tcPr>
            <w:tcW w:w="4283" w:type="dxa"/>
            <w:tcBorders>
              <w:top w:val="nil"/>
              <w:left w:val="nil"/>
              <w:bottom w:val="single" w:sz="4" w:space="0" w:color="auto"/>
              <w:right w:val="single" w:sz="4" w:space="0" w:color="auto"/>
            </w:tcBorders>
            <w:shd w:val="clear" w:color="auto" w:fill="C6EFCE"/>
            <w:noWrap/>
            <w:vAlign w:val="center"/>
          </w:tcPr>
          <w:p w14:paraId="551B305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17–4.6. Modernizace a zlepšení odolnosti klíčových hospodářských odvětví – 16653_Digitální transformace zemědělsko-potravinářského odvětví</w:t>
            </w:r>
          </w:p>
        </w:tc>
        <w:tc>
          <w:tcPr>
            <w:tcW w:w="1692" w:type="dxa"/>
            <w:tcBorders>
              <w:top w:val="nil"/>
              <w:left w:val="nil"/>
              <w:bottom w:val="single" w:sz="4" w:space="0" w:color="auto"/>
              <w:right w:val="single" w:sz="4" w:space="0" w:color="auto"/>
            </w:tcBorders>
            <w:shd w:val="clear" w:color="auto" w:fill="C6EFCE"/>
            <w:noWrap/>
            <w:vAlign w:val="center"/>
          </w:tcPr>
          <w:p w14:paraId="0F1A9F0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vAlign w:val="center"/>
          </w:tcPr>
          <w:p w14:paraId="0B546B9A"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digitální transformace zemědělství</w:t>
            </w:r>
          </w:p>
        </w:tc>
      </w:tr>
      <w:tr w:rsidR="00515398" w14:paraId="0AA1C32C"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51A0096B" w14:textId="77777777" w:rsidR="00515398" w:rsidRDefault="006711E6">
            <w:pPr>
              <w:pStyle w:val="P68B1DB1-Normal8"/>
              <w:keepNext/>
              <w:spacing w:before="40" w:after="0" w:line="240" w:lineRule="auto"/>
              <w:jc w:val="both"/>
              <w:rPr>
                <w:rFonts w:cs="Times New Roman"/>
                <w:noProof/>
                <w:szCs w:val="18"/>
              </w:rPr>
            </w:pPr>
            <w:r>
              <w:rPr>
                <w:noProof/>
              </w:rPr>
              <w:t>332</w:t>
            </w:r>
          </w:p>
        </w:tc>
        <w:tc>
          <w:tcPr>
            <w:tcW w:w="4283" w:type="dxa"/>
            <w:tcBorders>
              <w:top w:val="nil"/>
              <w:left w:val="nil"/>
              <w:bottom w:val="single" w:sz="4" w:space="0" w:color="auto"/>
              <w:right w:val="single" w:sz="4" w:space="0" w:color="auto"/>
            </w:tcBorders>
            <w:shd w:val="clear" w:color="auto" w:fill="C6EFCE"/>
            <w:noWrap/>
          </w:tcPr>
          <w:p w14:paraId="03962817" w14:textId="28EA1C70" w:rsidR="00515398" w:rsidRDefault="006711E6">
            <w:pPr>
              <w:pStyle w:val="P68B1DB1-Normal8"/>
              <w:keepNext/>
              <w:spacing w:before="40" w:after="0" w:line="240" w:lineRule="auto"/>
              <w:jc w:val="both"/>
              <w:rPr>
                <w:rFonts w:cs="Times New Roman"/>
                <w:noProof/>
                <w:szCs w:val="18"/>
              </w:rPr>
            </w:pPr>
            <w:r>
              <w:rPr>
                <w:noProof/>
              </w:rPr>
              <w:t xml:space="preserve">4–1.4. Udržitelné využívání </w:t>
            </w:r>
            <w:r>
              <w:rPr>
                <w:noProof/>
              </w:rPr>
              <w:t>zdrojů, odolnost vůči změně klimatu a ochrana životního prostředí – 16983_Předběžná inspekce seismické odolnosti veřejných budov</w:t>
            </w:r>
          </w:p>
        </w:tc>
        <w:tc>
          <w:tcPr>
            <w:tcW w:w="1692" w:type="dxa"/>
            <w:tcBorders>
              <w:top w:val="nil"/>
              <w:left w:val="nil"/>
              <w:bottom w:val="single" w:sz="4" w:space="0" w:color="auto"/>
              <w:right w:val="single" w:sz="4" w:space="0" w:color="auto"/>
            </w:tcBorders>
            <w:shd w:val="clear" w:color="auto" w:fill="C6EFCE"/>
            <w:noWrap/>
          </w:tcPr>
          <w:p w14:paraId="328CA225"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757" w:type="dxa"/>
            <w:tcBorders>
              <w:top w:val="nil"/>
              <w:left w:val="nil"/>
              <w:bottom w:val="single" w:sz="4" w:space="0" w:color="auto"/>
              <w:right w:val="single" w:sz="4" w:space="0" w:color="auto"/>
            </w:tcBorders>
            <w:shd w:val="clear" w:color="auto" w:fill="C6EFCE"/>
            <w:noWrap/>
          </w:tcPr>
          <w:p w14:paraId="58352A39" w14:textId="77777777" w:rsidR="00515398" w:rsidRDefault="006711E6">
            <w:pPr>
              <w:pStyle w:val="P68B1DB1-Normal8"/>
              <w:keepNext/>
              <w:spacing w:before="40" w:after="0" w:line="240" w:lineRule="auto"/>
              <w:jc w:val="both"/>
              <w:rPr>
                <w:rFonts w:cs="Times New Roman"/>
                <w:noProof/>
                <w:szCs w:val="18"/>
              </w:rPr>
            </w:pPr>
            <w:r>
              <w:rPr>
                <w:noProof/>
              </w:rPr>
              <w:t>Dokončení předběžných seizmických inspekcí</w:t>
            </w:r>
          </w:p>
        </w:tc>
      </w:tr>
      <w:tr w:rsidR="00515398" w14:paraId="215834C4"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7AC92920" w14:textId="77777777" w:rsidR="00515398" w:rsidRDefault="006711E6">
            <w:pPr>
              <w:pStyle w:val="P68B1DB1-Normal8"/>
              <w:keepNext/>
              <w:spacing w:before="40" w:after="0" w:line="259" w:lineRule="auto"/>
              <w:jc w:val="both"/>
              <w:rPr>
                <w:rFonts w:cs="Times New Roman"/>
                <w:noProof/>
              </w:rPr>
            </w:pPr>
            <w:r>
              <w:rPr>
                <w:noProof/>
              </w:rPr>
              <w:t>336</w:t>
            </w:r>
          </w:p>
        </w:tc>
        <w:tc>
          <w:tcPr>
            <w:tcW w:w="4283" w:type="dxa"/>
            <w:tcBorders>
              <w:top w:val="nil"/>
              <w:left w:val="nil"/>
              <w:bottom w:val="single" w:sz="4" w:space="0" w:color="auto"/>
              <w:right w:val="single" w:sz="4" w:space="0" w:color="auto"/>
            </w:tcBorders>
            <w:shd w:val="clear" w:color="auto" w:fill="C6EFCE"/>
            <w:noWrap/>
          </w:tcPr>
          <w:p w14:paraId="123BAF08" w14:textId="77777777" w:rsidR="00515398" w:rsidRDefault="006711E6">
            <w:pPr>
              <w:pStyle w:val="P68B1DB1-Normal8"/>
              <w:keepNext/>
              <w:spacing w:before="40" w:after="0" w:line="259" w:lineRule="auto"/>
              <w:jc w:val="both"/>
              <w:rPr>
                <w:rFonts w:cs="Times New Roman"/>
                <w:noProof/>
              </w:rPr>
            </w:pPr>
            <w:r>
              <w:rPr>
                <w:noProof/>
              </w:rPr>
              <w:t>10–3.3. Zlepšení odolnosti, dostupnosti a udržitelnosti zdravotní péče –</w:t>
            </w:r>
            <w:r>
              <w:rPr>
                <w:noProof/>
              </w:rPr>
              <w:t xml:space="preserve"> 16984_Reforma osobních lékařů</w:t>
            </w:r>
          </w:p>
        </w:tc>
        <w:tc>
          <w:tcPr>
            <w:tcW w:w="1692" w:type="dxa"/>
            <w:tcBorders>
              <w:top w:val="nil"/>
              <w:left w:val="nil"/>
              <w:bottom w:val="single" w:sz="4" w:space="0" w:color="auto"/>
              <w:right w:val="single" w:sz="4" w:space="0" w:color="auto"/>
            </w:tcBorders>
            <w:shd w:val="clear" w:color="auto" w:fill="C6EFCE"/>
            <w:noWrap/>
          </w:tcPr>
          <w:p w14:paraId="16B689DE" w14:textId="77777777" w:rsidR="00515398" w:rsidRDefault="006711E6">
            <w:pPr>
              <w:pStyle w:val="P68B1DB1-Normal8"/>
              <w:keepNext/>
              <w:spacing w:before="40" w:after="0" w:line="259" w:lineRule="auto"/>
              <w:jc w:val="both"/>
              <w:rPr>
                <w:rFonts w:cs="Times New Roman"/>
                <w:noProof/>
              </w:rPr>
            </w:pPr>
            <w:r>
              <w:rPr>
                <w:noProof/>
              </w:rPr>
              <w:t>Milník</w:t>
            </w:r>
          </w:p>
        </w:tc>
        <w:tc>
          <w:tcPr>
            <w:tcW w:w="1757" w:type="dxa"/>
            <w:tcBorders>
              <w:top w:val="nil"/>
              <w:left w:val="nil"/>
              <w:bottom w:val="single" w:sz="4" w:space="0" w:color="auto"/>
              <w:right w:val="single" w:sz="4" w:space="0" w:color="auto"/>
            </w:tcBorders>
            <w:shd w:val="clear" w:color="auto" w:fill="C6EFCE"/>
            <w:noWrap/>
          </w:tcPr>
          <w:p w14:paraId="73D3D9D2" w14:textId="77777777" w:rsidR="00515398" w:rsidRDefault="006711E6">
            <w:pPr>
              <w:pStyle w:val="P68B1DB1-Normal8"/>
              <w:keepNext/>
              <w:spacing w:before="40" w:after="0" w:line="259" w:lineRule="auto"/>
              <w:jc w:val="both"/>
              <w:rPr>
                <w:rFonts w:cs="Times New Roman"/>
                <w:noProof/>
              </w:rPr>
            </w:pPr>
            <w:r>
              <w:rPr>
                <w:noProof/>
              </w:rPr>
              <w:t xml:space="preserve">Reforma osobního lékaře – registrace obyvatelstva </w:t>
            </w:r>
          </w:p>
        </w:tc>
      </w:tr>
      <w:tr w:rsidR="00515398" w14:paraId="7176D30B" w14:textId="77777777">
        <w:trPr>
          <w:trHeight w:val="302"/>
        </w:trPr>
        <w:tc>
          <w:tcPr>
            <w:tcW w:w="1804" w:type="dxa"/>
            <w:tcBorders>
              <w:top w:val="nil"/>
              <w:left w:val="single" w:sz="4" w:space="0" w:color="auto"/>
              <w:bottom w:val="single" w:sz="4" w:space="0" w:color="auto"/>
              <w:right w:val="single" w:sz="4" w:space="0" w:color="auto"/>
            </w:tcBorders>
            <w:shd w:val="clear" w:color="auto" w:fill="C6EFCE"/>
            <w:noWrap/>
          </w:tcPr>
          <w:p w14:paraId="4FED1732" w14:textId="77777777" w:rsidR="00515398" w:rsidRDefault="006711E6">
            <w:pPr>
              <w:pStyle w:val="P68B1DB1-Normal8"/>
              <w:keepNext/>
              <w:spacing w:before="40" w:after="0" w:line="259" w:lineRule="auto"/>
              <w:jc w:val="both"/>
              <w:rPr>
                <w:rFonts w:cs="Times New Roman"/>
                <w:noProof/>
              </w:rPr>
            </w:pPr>
            <w:r>
              <w:rPr>
                <w:noProof/>
              </w:rPr>
              <w:t>344</w:t>
            </w:r>
          </w:p>
        </w:tc>
        <w:tc>
          <w:tcPr>
            <w:tcW w:w="4283" w:type="dxa"/>
            <w:tcBorders>
              <w:top w:val="nil"/>
              <w:left w:val="nil"/>
              <w:bottom w:val="single" w:sz="4" w:space="0" w:color="auto"/>
              <w:right w:val="single" w:sz="4" w:space="0" w:color="auto"/>
            </w:tcBorders>
            <w:shd w:val="clear" w:color="auto" w:fill="C6EFCE"/>
            <w:noWrap/>
          </w:tcPr>
          <w:p w14:paraId="559FCAC1" w14:textId="77777777" w:rsidR="00515398" w:rsidRDefault="006711E6">
            <w:pPr>
              <w:pStyle w:val="P68B1DB1-Normal8"/>
              <w:keepNext/>
              <w:spacing w:before="40" w:after="0" w:line="259" w:lineRule="auto"/>
              <w:jc w:val="both"/>
              <w:rPr>
                <w:rFonts w:cs="Times New Roman"/>
                <w:noProof/>
              </w:rPr>
            </w:pPr>
            <w:r>
              <w:rPr>
                <w:noProof/>
              </w:rPr>
              <w:t>13–4. Modernizovat veřejnou správu, mimo jiné urychlením provádění veřejných investic, zlepšením rámce pro zadávání veřejných zakázek, opatřeními na budování kapa</w:t>
            </w:r>
            <w:r>
              <w:rPr>
                <w:noProof/>
              </w:rPr>
              <w:t>cit a bojem proti korupci – 16986_Dokončení národního katastru</w:t>
            </w:r>
          </w:p>
        </w:tc>
        <w:tc>
          <w:tcPr>
            <w:tcW w:w="1692" w:type="dxa"/>
            <w:tcBorders>
              <w:top w:val="nil"/>
              <w:left w:val="nil"/>
              <w:bottom w:val="single" w:sz="4" w:space="0" w:color="auto"/>
              <w:right w:val="single" w:sz="4" w:space="0" w:color="auto"/>
            </w:tcBorders>
            <w:shd w:val="clear" w:color="auto" w:fill="C6EFCE"/>
            <w:noWrap/>
          </w:tcPr>
          <w:p w14:paraId="6E323609" w14:textId="77777777" w:rsidR="00515398" w:rsidRDefault="006711E6">
            <w:pPr>
              <w:pStyle w:val="P68B1DB1-Normal8"/>
              <w:keepNext/>
              <w:spacing w:before="40" w:after="0" w:line="259" w:lineRule="auto"/>
              <w:jc w:val="both"/>
              <w:rPr>
                <w:rFonts w:cs="Times New Roman"/>
                <w:noProof/>
              </w:rPr>
            </w:pPr>
            <w:r>
              <w:rPr>
                <w:noProof/>
              </w:rPr>
              <w:t>Cílová</w:t>
            </w:r>
          </w:p>
        </w:tc>
        <w:tc>
          <w:tcPr>
            <w:tcW w:w="1757" w:type="dxa"/>
            <w:tcBorders>
              <w:top w:val="nil"/>
              <w:left w:val="nil"/>
              <w:bottom w:val="single" w:sz="4" w:space="0" w:color="auto"/>
              <w:right w:val="single" w:sz="4" w:space="0" w:color="auto"/>
            </w:tcBorders>
            <w:shd w:val="clear" w:color="auto" w:fill="C6EFCE"/>
            <w:noWrap/>
          </w:tcPr>
          <w:p w14:paraId="174FF501" w14:textId="77777777" w:rsidR="00515398" w:rsidRDefault="006711E6">
            <w:pPr>
              <w:pStyle w:val="P68B1DB1-Normal8"/>
              <w:keepNext/>
              <w:spacing w:before="40" w:after="0" w:line="259" w:lineRule="auto"/>
              <w:jc w:val="both"/>
              <w:rPr>
                <w:rFonts w:cs="Times New Roman"/>
                <w:noProof/>
              </w:rPr>
            </w:pPr>
            <w:r>
              <w:rPr>
                <w:noProof/>
              </w:rPr>
              <w:t>Katastrální mapování – úplné dokončení</w:t>
            </w:r>
          </w:p>
        </w:tc>
      </w:tr>
      <w:tr w:rsidR="00515398" w14:paraId="58F14487" w14:textId="77777777">
        <w:trPr>
          <w:trHeight w:val="300"/>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2284D8B9" w14:textId="5A27404B" w:rsidR="00515398" w:rsidRDefault="006711E6">
            <w:pPr>
              <w:pStyle w:val="P68B1DB1-Normal49"/>
              <w:keepNext/>
              <w:spacing w:before="40" w:after="0" w:line="259" w:lineRule="auto"/>
              <w:jc w:val="both"/>
              <w:rPr>
                <w:rFonts w:cs="Times New Roman"/>
                <w:noProof/>
              </w:rPr>
            </w:pPr>
            <w:r>
              <w:rPr>
                <w:noProof/>
              </w:rPr>
              <w:t>352</w:t>
            </w:r>
          </w:p>
        </w:tc>
        <w:tc>
          <w:tcPr>
            <w:tcW w:w="4283" w:type="dxa"/>
            <w:tcBorders>
              <w:top w:val="single" w:sz="4" w:space="0" w:color="auto"/>
              <w:left w:val="nil"/>
              <w:bottom w:val="single" w:sz="4" w:space="0" w:color="auto"/>
              <w:right w:val="single" w:sz="4" w:space="0" w:color="auto"/>
            </w:tcBorders>
            <w:shd w:val="clear" w:color="auto" w:fill="C6EFCE"/>
            <w:noWrap/>
          </w:tcPr>
          <w:p w14:paraId="5517FE9E" w14:textId="2EDA560A" w:rsidR="00515398" w:rsidRDefault="006711E6">
            <w:pPr>
              <w:pStyle w:val="P68B1DB1-Normal49"/>
              <w:keepNext/>
              <w:spacing w:before="40" w:after="0" w:line="259" w:lineRule="auto"/>
              <w:jc w:val="both"/>
              <w:rPr>
                <w:rFonts w:cs="Times New Roman"/>
                <w:noProof/>
              </w:rPr>
            </w:pPr>
            <w:r>
              <w:rPr>
                <w:noProof/>
              </w:rPr>
              <w:t xml:space="preserve">20–5.1. Reformy REPowerEU – 16989_Optimalizace využívání půdy a mořského prostoru pro rozvoj obnovitelných zdrojů energie a rozvoje větrné </w:t>
            </w:r>
            <w:r>
              <w:rPr>
                <w:noProof/>
              </w:rPr>
              <w:t>energie na moři</w:t>
            </w:r>
          </w:p>
        </w:tc>
        <w:tc>
          <w:tcPr>
            <w:tcW w:w="1692" w:type="dxa"/>
            <w:tcBorders>
              <w:top w:val="single" w:sz="4" w:space="0" w:color="auto"/>
              <w:left w:val="nil"/>
              <w:bottom w:val="single" w:sz="4" w:space="0" w:color="auto"/>
              <w:right w:val="single" w:sz="4" w:space="0" w:color="auto"/>
            </w:tcBorders>
            <w:shd w:val="clear" w:color="auto" w:fill="C6EFCE"/>
            <w:noWrap/>
          </w:tcPr>
          <w:p w14:paraId="71846A91" w14:textId="09237A7A" w:rsidR="00515398" w:rsidRDefault="006711E6">
            <w:pPr>
              <w:pStyle w:val="P68B1DB1-Normal49"/>
              <w:keepNext/>
              <w:spacing w:before="40" w:after="0" w:line="259" w:lineRule="auto"/>
              <w:jc w:val="both"/>
              <w:rPr>
                <w:rFonts w:cs="Times New Roman"/>
                <w:noProof/>
              </w:rPr>
            </w:pPr>
            <w:r>
              <w:rPr>
                <w:noProof/>
              </w:rPr>
              <w:t>Milník</w:t>
            </w:r>
          </w:p>
        </w:tc>
        <w:tc>
          <w:tcPr>
            <w:tcW w:w="1757" w:type="dxa"/>
            <w:tcBorders>
              <w:top w:val="single" w:sz="4" w:space="0" w:color="auto"/>
              <w:left w:val="nil"/>
              <w:bottom w:val="single" w:sz="4" w:space="0" w:color="auto"/>
              <w:right w:val="single" w:sz="4" w:space="0" w:color="auto"/>
            </w:tcBorders>
            <w:shd w:val="clear" w:color="auto" w:fill="C6EFCE"/>
            <w:noWrap/>
          </w:tcPr>
          <w:p w14:paraId="72EE4900" w14:textId="311E60AE" w:rsidR="00515398" w:rsidRDefault="006711E6">
            <w:pPr>
              <w:pStyle w:val="P68B1DB1-Normal49"/>
              <w:keepNext/>
              <w:spacing w:before="40" w:after="0" w:line="259" w:lineRule="auto"/>
              <w:jc w:val="both"/>
              <w:rPr>
                <w:rFonts w:cs="Times New Roman"/>
                <w:noProof/>
              </w:rPr>
            </w:pPr>
            <w:r>
              <w:rPr>
                <w:noProof/>
              </w:rPr>
              <w:t>Přijetí strategie rozvoje větrných elektráren na moři</w:t>
            </w:r>
          </w:p>
        </w:tc>
      </w:tr>
      <w:tr w:rsidR="00515398" w14:paraId="67B271E6"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6810061E"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354</w:t>
            </w:r>
          </w:p>
        </w:tc>
        <w:tc>
          <w:tcPr>
            <w:tcW w:w="4283" w:type="dxa"/>
            <w:tcBorders>
              <w:top w:val="single" w:sz="4" w:space="0" w:color="auto"/>
              <w:left w:val="nil"/>
              <w:bottom w:val="single" w:sz="4" w:space="0" w:color="auto"/>
              <w:right w:val="single" w:sz="4" w:space="0" w:color="auto"/>
            </w:tcBorders>
            <w:shd w:val="clear" w:color="auto" w:fill="C6EFCE"/>
            <w:noWrap/>
          </w:tcPr>
          <w:p w14:paraId="49C79739" w14:textId="77777777" w:rsidR="00515398" w:rsidRDefault="006711E6">
            <w:pPr>
              <w:pStyle w:val="P68B1DB1-Normal8"/>
              <w:keepNext/>
              <w:spacing w:before="40" w:after="0" w:line="259" w:lineRule="auto"/>
              <w:jc w:val="both"/>
              <w:rPr>
                <w:rFonts w:eastAsia="Times New Roman" w:cs="Times New Roman"/>
                <w:noProof/>
                <w:color w:val="006100"/>
                <w:szCs w:val="18"/>
              </w:rPr>
            </w:pPr>
            <w:r>
              <w:rPr>
                <w:noProof/>
              </w:rPr>
              <w:t>20–5.1. Reformy REPowerEU – 16989_Optimalizace využívání půdy a mořského prostoru pro rozvoj obnovitelných zdrojů energie a rozvoje větrné energie na moři</w:t>
            </w:r>
          </w:p>
        </w:tc>
        <w:tc>
          <w:tcPr>
            <w:tcW w:w="1692" w:type="dxa"/>
            <w:tcBorders>
              <w:top w:val="single" w:sz="4" w:space="0" w:color="auto"/>
              <w:left w:val="nil"/>
              <w:bottom w:val="single" w:sz="4" w:space="0" w:color="auto"/>
              <w:right w:val="single" w:sz="4" w:space="0" w:color="auto"/>
            </w:tcBorders>
            <w:shd w:val="clear" w:color="auto" w:fill="C6EFCE"/>
            <w:noWrap/>
          </w:tcPr>
          <w:p w14:paraId="090135E2"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757" w:type="dxa"/>
            <w:tcBorders>
              <w:top w:val="single" w:sz="4" w:space="0" w:color="auto"/>
              <w:left w:val="nil"/>
              <w:bottom w:val="single" w:sz="4" w:space="0" w:color="auto"/>
              <w:right w:val="single" w:sz="4" w:space="0" w:color="auto"/>
            </w:tcBorders>
            <w:shd w:val="clear" w:color="auto" w:fill="C6EFCE"/>
            <w:noWrap/>
          </w:tcPr>
          <w:p w14:paraId="0E7CE038" w14:textId="77777777" w:rsidR="00515398" w:rsidRDefault="006711E6">
            <w:pPr>
              <w:pStyle w:val="P68B1DB1-Normal8"/>
              <w:keepNext/>
              <w:spacing w:before="40" w:after="0" w:line="259" w:lineRule="auto"/>
              <w:jc w:val="both"/>
              <w:rPr>
                <w:rFonts w:eastAsia="Times New Roman" w:cs="Times New Roman"/>
                <w:noProof/>
                <w:color w:val="006100"/>
                <w:szCs w:val="18"/>
              </w:rPr>
            </w:pPr>
            <w:r>
              <w:rPr>
                <w:noProof/>
              </w:rPr>
              <w:t>Vstup v plat</w:t>
            </w:r>
            <w:r>
              <w:rPr>
                <w:noProof/>
              </w:rPr>
              <w:t>nost prezidentského dekretu o určení první skupiny oblastí pro projekty v oblasti větrné energie na moři</w:t>
            </w:r>
          </w:p>
        </w:tc>
      </w:tr>
      <w:tr w:rsidR="00515398" w14:paraId="58C354A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43C86F2E" w14:textId="77777777" w:rsidR="00515398" w:rsidRDefault="006711E6">
            <w:pPr>
              <w:pStyle w:val="P68B1DB1-Normal8"/>
              <w:keepNext/>
              <w:spacing w:before="40" w:after="0" w:line="259" w:lineRule="auto"/>
              <w:jc w:val="both"/>
              <w:rPr>
                <w:rFonts w:cs="Times New Roman"/>
                <w:noProof/>
              </w:rPr>
            </w:pPr>
            <w:r>
              <w:rPr>
                <w:noProof/>
              </w:rPr>
              <w:t>357</w:t>
            </w:r>
          </w:p>
        </w:tc>
        <w:tc>
          <w:tcPr>
            <w:tcW w:w="4283" w:type="dxa"/>
            <w:tcBorders>
              <w:top w:val="single" w:sz="4" w:space="0" w:color="auto"/>
              <w:left w:val="nil"/>
              <w:bottom w:val="single" w:sz="4" w:space="0" w:color="auto"/>
              <w:right w:val="single" w:sz="4" w:space="0" w:color="auto"/>
            </w:tcBorders>
            <w:shd w:val="clear" w:color="auto" w:fill="C6EFCE"/>
            <w:noWrap/>
          </w:tcPr>
          <w:p w14:paraId="7B5DFD64" w14:textId="77777777" w:rsidR="00515398" w:rsidRDefault="006711E6">
            <w:pPr>
              <w:pStyle w:val="P68B1DB1-Normal8"/>
              <w:keepNext/>
              <w:spacing w:before="40" w:after="0" w:line="259" w:lineRule="auto"/>
              <w:jc w:val="both"/>
              <w:rPr>
                <w:rFonts w:cs="Times New Roman"/>
                <w:noProof/>
              </w:rPr>
            </w:pPr>
            <w:r>
              <w:rPr>
                <w:noProof/>
              </w:rPr>
              <w:t>20–5.1. Reformy REPowerEU – 16990_Síťová a skladovací kapacita – podpora investic do skladování</w:t>
            </w:r>
          </w:p>
        </w:tc>
        <w:tc>
          <w:tcPr>
            <w:tcW w:w="1692" w:type="dxa"/>
            <w:tcBorders>
              <w:top w:val="single" w:sz="4" w:space="0" w:color="auto"/>
              <w:left w:val="nil"/>
              <w:bottom w:val="single" w:sz="4" w:space="0" w:color="auto"/>
              <w:right w:val="single" w:sz="4" w:space="0" w:color="auto"/>
            </w:tcBorders>
            <w:shd w:val="clear" w:color="auto" w:fill="C6EFCE"/>
            <w:noWrap/>
          </w:tcPr>
          <w:p w14:paraId="5FCEE2AE" w14:textId="77777777" w:rsidR="00515398" w:rsidRDefault="006711E6">
            <w:pPr>
              <w:pStyle w:val="P68B1DB1-Normal8"/>
              <w:keepNext/>
              <w:spacing w:before="40" w:after="0" w:line="259" w:lineRule="auto"/>
              <w:jc w:val="both"/>
              <w:rPr>
                <w:rFonts w:cs="Times New Roman"/>
                <w:noProof/>
              </w:rPr>
            </w:pPr>
            <w:r>
              <w:rPr>
                <w:noProof/>
              </w:rPr>
              <w:t xml:space="preserve">Milník </w:t>
            </w:r>
          </w:p>
        </w:tc>
        <w:tc>
          <w:tcPr>
            <w:tcW w:w="1757" w:type="dxa"/>
            <w:tcBorders>
              <w:top w:val="single" w:sz="4" w:space="0" w:color="auto"/>
              <w:left w:val="nil"/>
              <w:bottom w:val="single" w:sz="4" w:space="0" w:color="auto"/>
              <w:right w:val="single" w:sz="4" w:space="0" w:color="auto"/>
            </w:tcBorders>
            <w:shd w:val="clear" w:color="auto" w:fill="C6EFCE"/>
            <w:noWrap/>
          </w:tcPr>
          <w:p w14:paraId="1EDB2912" w14:textId="77777777" w:rsidR="00515398" w:rsidRDefault="006711E6">
            <w:pPr>
              <w:pStyle w:val="P68B1DB1-Normal8"/>
              <w:keepNext/>
              <w:spacing w:before="40" w:after="0" w:line="259" w:lineRule="auto"/>
              <w:jc w:val="both"/>
              <w:rPr>
                <w:rFonts w:cs="Times New Roman"/>
                <w:noProof/>
              </w:rPr>
            </w:pPr>
            <w:r>
              <w:rPr>
                <w:noProof/>
              </w:rPr>
              <w:t>Vstup režimu podpory v platnost</w:t>
            </w:r>
          </w:p>
        </w:tc>
      </w:tr>
      <w:tr w:rsidR="00515398" w14:paraId="717F0EA3"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58947971" w14:textId="77777777" w:rsidR="00515398" w:rsidRDefault="006711E6">
            <w:pPr>
              <w:pStyle w:val="P68B1DB1-Normal8"/>
              <w:keepNext/>
              <w:spacing w:before="40" w:after="0" w:line="259" w:lineRule="auto"/>
              <w:jc w:val="both"/>
              <w:rPr>
                <w:rFonts w:eastAsia="Times New Roman" w:cs="Times New Roman"/>
                <w:noProof/>
                <w:szCs w:val="18"/>
              </w:rPr>
            </w:pPr>
            <w:r>
              <w:rPr>
                <w:noProof/>
              </w:rPr>
              <w:t>362</w:t>
            </w:r>
          </w:p>
        </w:tc>
        <w:tc>
          <w:tcPr>
            <w:tcW w:w="4283" w:type="dxa"/>
            <w:tcBorders>
              <w:top w:val="single" w:sz="4" w:space="0" w:color="auto"/>
              <w:left w:val="nil"/>
              <w:bottom w:val="single" w:sz="4" w:space="0" w:color="auto"/>
              <w:right w:val="single" w:sz="4" w:space="0" w:color="auto"/>
            </w:tcBorders>
            <w:shd w:val="clear" w:color="auto" w:fill="C6EFCE"/>
            <w:noWrap/>
          </w:tcPr>
          <w:p w14:paraId="5303C2E9" w14:textId="77777777" w:rsidR="00515398" w:rsidRDefault="006711E6">
            <w:pPr>
              <w:pStyle w:val="P68B1DB1-Normal8"/>
              <w:keepNext/>
              <w:spacing w:before="40" w:after="0" w:line="259" w:lineRule="auto"/>
              <w:jc w:val="both"/>
              <w:rPr>
                <w:rFonts w:eastAsia="Times New Roman" w:cs="Times New Roman"/>
                <w:noProof/>
                <w:szCs w:val="18"/>
              </w:rPr>
            </w:pPr>
            <w:r>
              <w:rPr>
                <w:noProof/>
              </w:rPr>
              <w:t>20–5.</w:t>
            </w:r>
            <w:r>
              <w:rPr>
                <w:noProof/>
              </w:rPr>
              <w:t xml:space="preserve"> Reformy REPowerEU – 16992_Soubor nástrojů na podporu sdílení energie, vlastní spotřeby a společenství pro obnovitelné zdroje energie</w:t>
            </w:r>
          </w:p>
        </w:tc>
        <w:tc>
          <w:tcPr>
            <w:tcW w:w="1692" w:type="dxa"/>
            <w:tcBorders>
              <w:top w:val="single" w:sz="4" w:space="0" w:color="auto"/>
              <w:left w:val="nil"/>
              <w:bottom w:val="single" w:sz="4" w:space="0" w:color="auto"/>
              <w:right w:val="single" w:sz="4" w:space="0" w:color="auto"/>
            </w:tcBorders>
            <w:shd w:val="clear" w:color="auto" w:fill="C6EFCE"/>
            <w:noWrap/>
          </w:tcPr>
          <w:p w14:paraId="52593CD6"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447FAF90" w14:textId="77777777" w:rsidR="00515398" w:rsidRDefault="006711E6">
            <w:pPr>
              <w:pStyle w:val="P68B1DB1-Normal8"/>
              <w:keepNext/>
              <w:spacing w:before="40" w:after="0" w:line="259" w:lineRule="auto"/>
              <w:jc w:val="both"/>
              <w:rPr>
                <w:rFonts w:eastAsia="Times New Roman" w:cs="Times New Roman"/>
                <w:noProof/>
                <w:szCs w:val="18"/>
              </w:rPr>
            </w:pPr>
            <w:r>
              <w:rPr>
                <w:noProof/>
              </w:rPr>
              <w:t>Zřízení registru samospotřebitelů a technická pomoc pro energetická společenství</w:t>
            </w:r>
          </w:p>
        </w:tc>
      </w:tr>
      <w:tr w:rsidR="00515398" w14:paraId="52CA55AD"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tcPr>
          <w:p w14:paraId="32616F90"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364</w:t>
            </w:r>
          </w:p>
        </w:tc>
        <w:tc>
          <w:tcPr>
            <w:tcW w:w="4283" w:type="dxa"/>
            <w:tcBorders>
              <w:top w:val="single" w:sz="4" w:space="0" w:color="auto"/>
              <w:left w:val="nil"/>
              <w:bottom w:val="single" w:sz="4" w:space="0" w:color="auto"/>
              <w:right w:val="single" w:sz="4" w:space="0" w:color="auto"/>
            </w:tcBorders>
            <w:shd w:val="clear" w:color="auto" w:fill="C6EFCE"/>
            <w:noWrap/>
          </w:tcPr>
          <w:p w14:paraId="5F01B3F6" w14:textId="77777777" w:rsidR="00515398" w:rsidRDefault="006711E6">
            <w:pPr>
              <w:pStyle w:val="P68B1DB1-Normal8"/>
              <w:keepNext/>
              <w:spacing w:before="40" w:after="0" w:line="259" w:lineRule="auto"/>
              <w:jc w:val="both"/>
              <w:rPr>
                <w:rFonts w:eastAsia="Times New Roman" w:cs="Times New Roman"/>
                <w:bCs/>
                <w:noProof/>
                <w:szCs w:val="18"/>
              </w:rPr>
            </w:pPr>
            <w:r>
              <w:rPr>
                <w:noProof/>
              </w:rPr>
              <w:t xml:space="preserve">20–5. Reformy REPowerEU – </w:t>
            </w:r>
            <w:r>
              <w:rPr>
                <w:noProof/>
              </w:rPr>
              <w:t>16993_Plán inovativních intervencí v oblasti energetické účinnosti a určení nových finančních nástrojů</w:t>
            </w:r>
          </w:p>
        </w:tc>
        <w:tc>
          <w:tcPr>
            <w:tcW w:w="1692" w:type="dxa"/>
            <w:tcBorders>
              <w:top w:val="single" w:sz="4" w:space="0" w:color="auto"/>
              <w:left w:val="nil"/>
              <w:bottom w:val="single" w:sz="4" w:space="0" w:color="auto"/>
              <w:right w:val="single" w:sz="4" w:space="0" w:color="auto"/>
            </w:tcBorders>
            <w:shd w:val="clear" w:color="auto" w:fill="C6EFCE"/>
            <w:noWrap/>
          </w:tcPr>
          <w:p w14:paraId="5F61DD99" w14:textId="77777777" w:rsidR="00515398" w:rsidRDefault="006711E6">
            <w:pPr>
              <w:pStyle w:val="P68B1DB1-Normal8"/>
              <w:keepNext/>
              <w:spacing w:before="40" w:after="0" w:line="259" w:lineRule="auto"/>
              <w:jc w:val="both"/>
              <w:rPr>
                <w:rFonts w:eastAsia="Times New Roman" w:cs="Times New Roman"/>
                <w:noProof/>
                <w:szCs w:val="18"/>
              </w:rPr>
            </w:pPr>
            <w:r>
              <w:rPr>
                <w:noProof/>
              </w:rPr>
              <w:t>Milník</w:t>
            </w:r>
          </w:p>
        </w:tc>
        <w:tc>
          <w:tcPr>
            <w:tcW w:w="1757" w:type="dxa"/>
            <w:tcBorders>
              <w:top w:val="single" w:sz="4" w:space="0" w:color="auto"/>
              <w:left w:val="nil"/>
              <w:bottom w:val="single" w:sz="4" w:space="0" w:color="auto"/>
              <w:right w:val="single" w:sz="4" w:space="0" w:color="auto"/>
            </w:tcBorders>
            <w:shd w:val="clear" w:color="auto" w:fill="C6EFCE"/>
            <w:noWrap/>
          </w:tcPr>
          <w:p w14:paraId="487F32BD" w14:textId="77777777" w:rsidR="00515398" w:rsidRDefault="006711E6">
            <w:pPr>
              <w:pStyle w:val="P68B1DB1-Normal8"/>
              <w:keepNext/>
              <w:spacing w:before="40" w:after="0" w:line="259" w:lineRule="auto"/>
              <w:jc w:val="both"/>
              <w:rPr>
                <w:rFonts w:eastAsia="Times New Roman" w:cs="Times New Roman"/>
                <w:noProof/>
                <w:szCs w:val="18"/>
              </w:rPr>
            </w:pPr>
            <w:r>
              <w:rPr>
                <w:noProof/>
              </w:rPr>
              <w:t>Spuštění negrantového finančního nástroje</w:t>
            </w:r>
          </w:p>
        </w:tc>
      </w:tr>
      <w:tr w:rsidR="00515398" w14:paraId="48CF2989"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7459F98"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5086A95"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2EED79DF" w14:textId="77777777" w:rsidR="00515398" w:rsidRDefault="006711E6">
            <w:pPr>
              <w:pStyle w:val="P68B1DB1-Normal8"/>
              <w:keepNext/>
              <w:spacing w:before="40" w:after="0" w:line="259" w:lineRule="auto"/>
              <w:jc w:val="both"/>
              <w:rPr>
                <w:rFonts w:eastAsia="Times New Roman" w:cs="Times New Roman"/>
                <w:noProof/>
                <w:szCs w:val="18"/>
              </w:rPr>
            </w:pPr>
            <w:r>
              <w:rPr>
                <w:noProof/>
              </w:rPr>
              <w:t>Splátková částka</w:t>
            </w:r>
          </w:p>
        </w:tc>
        <w:tc>
          <w:tcPr>
            <w:tcW w:w="1757" w:type="dxa"/>
            <w:tcBorders>
              <w:top w:val="single" w:sz="4" w:space="0" w:color="auto"/>
              <w:left w:val="nil"/>
              <w:bottom w:val="single" w:sz="4" w:space="0" w:color="auto"/>
              <w:right w:val="single" w:sz="4" w:space="0" w:color="auto"/>
            </w:tcBorders>
            <w:shd w:val="clear" w:color="auto" w:fill="C6EFCE"/>
            <w:noWrap/>
            <w:vAlign w:val="bottom"/>
          </w:tcPr>
          <w:p w14:paraId="67692C23" w14:textId="320BF82E" w:rsidR="00515398" w:rsidRDefault="006711E6">
            <w:pPr>
              <w:pStyle w:val="P68B1DB1-Normal8"/>
              <w:keepNext/>
              <w:spacing w:before="40" w:after="0" w:line="259" w:lineRule="auto"/>
              <w:jc w:val="both"/>
              <w:rPr>
                <w:rFonts w:eastAsia="Times New Roman" w:cs="Times New Roman"/>
                <w:noProof/>
                <w:szCs w:val="18"/>
              </w:rPr>
            </w:pPr>
            <w:r>
              <w:rPr>
                <w:noProof/>
              </w:rPr>
              <w:t>1 696 474 735 EUR</w:t>
            </w:r>
          </w:p>
        </w:tc>
      </w:tr>
    </w:tbl>
    <w:p w14:paraId="4E79390C"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1B8E57C1"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Devátá žádost o platbu (nevratná podpora): </w:t>
      </w:r>
    </w:p>
    <w:p w14:paraId="3EC94B26" w14:textId="77777777" w:rsidR="00515398" w:rsidRDefault="00515398">
      <w:pPr>
        <w:keepNext/>
        <w:spacing w:before="40" w:after="160" w:line="259" w:lineRule="auto"/>
        <w:contextualSpacing/>
        <w:jc w:val="both"/>
        <w:rPr>
          <w:rFonts w:ascii="Times New Roman" w:eastAsia="Times New Roman" w:hAnsi="Times New Roman" w:cs="Times New Roman"/>
          <w:noProof/>
          <w:sz w:val="24"/>
        </w:rPr>
      </w:pPr>
    </w:p>
    <w:tbl>
      <w:tblPr>
        <w:tblpPr w:leftFromText="180" w:rightFromText="180" w:vertAnchor="text" w:tblpX="-245" w:tblpY="1"/>
        <w:tblOverlap w:val="never"/>
        <w:tblW w:w="10075" w:type="dxa"/>
        <w:tblLook w:val="04A0" w:firstRow="1" w:lastRow="0" w:firstColumn="1" w:lastColumn="0" w:noHBand="0" w:noVBand="1"/>
      </w:tblPr>
      <w:tblGrid>
        <w:gridCol w:w="1795"/>
        <w:gridCol w:w="4320"/>
        <w:gridCol w:w="1680"/>
        <w:gridCol w:w="2280"/>
      </w:tblGrid>
      <w:tr w:rsidR="00515398" w14:paraId="6E97D91E" w14:textId="77777777">
        <w:trPr>
          <w:trHeight w:val="906"/>
          <w:tblHeader/>
        </w:trPr>
        <w:tc>
          <w:tcPr>
            <w:tcW w:w="1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54C7F2" w14:textId="77777777" w:rsidR="00515398" w:rsidRDefault="006711E6">
            <w:pPr>
              <w:pStyle w:val="P68B1DB1-Normal7"/>
              <w:keepNext/>
              <w:spacing w:before="40" w:after="0" w:line="256" w:lineRule="auto"/>
              <w:jc w:val="center"/>
              <w:rPr>
                <w:rFonts w:eastAsia="Times New Roman" w:cs="Times New Roman"/>
                <w:bCs/>
                <w:noProof/>
                <w:szCs w:val="18"/>
              </w:rPr>
            </w:pPr>
            <w:r>
              <w:rPr>
                <w:noProof/>
              </w:rPr>
              <w:t>Pořadové číslo</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877246" w14:textId="77777777" w:rsidR="00515398" w:rsidRDefault="006711E6">
            <w:pPr>
              <w:pStyle w:val="P68B1DB1-Normal7"/>
              <w:keepNext/>
              <w:spacing w:before="40" w:after="0" w:line="256" w:lineRule="auto"/>
              <w:jc w:val="center"/>
              <w:rPr>
                <w:rFonts w:eastAsia="Times New Roman" w:cs="Times New Roman"/>
                <w:bCs/>
                <w:noProof/>
                <w:szCs w:val="18"/>
              </w:rPr>
            </w:pPr>
            <w:r>
              <w:rPr>
                <w:noProof/>
              </w:rPr>
              <w:t>Související opatření (reforma nebo investice)</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37955B" w14:textId="77777777" w:rsidR="00515398" w:rsidRDefault="006711E6">
            <w:pPr>
              <w:pStyle w:val="P68B1DB1-Normal7"/>
              <w:keepNext/>
              <w:spacing w:before="40" w:after="0" w:line="256" w:lineRule="auto"/>
              <w:jc w:val="center"/>
              <w:rPr>
                <w:rFonts w:eastAsia="Times New Roman" w:cs="Times New Roman"/>
                <w:bCs/>
                <w:noProof/>
                <w:szCs w:val="18"/>
              </w:rPr>
            </w:pPr>
            <w:r>
              <w:rPr>
                <w:noProof/>
              </w:rPr>
              <w:t>Milník/cíl</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69D186" w14:textId="77777777" w:rsidR="00515398" w:rsidRDefault="006711E6">
            <w:pPr>
              <w:pStyle w:val="P68B1DB1-Normal7"/>
              <w:keepNext/>
              <w:spacing w:before="40" w:after="0" w:line="256" w:lineRule="auto"/>
              <w:jc w:val="center"/>
              <w:rPr>
                <w:rFonts w:eastAsia="Times New Roman" w:cs="Times New Roman"/>
                <w:bCs/>
                <w:noProof/>
                <w:szCs w:val="18"/>
              </w:rPr>
            </w:pPr>
            <w:r>
              <w:rPr>
                <w:noProof/>
              </w:rPr>
              <w:t>Jméno</w:t>
            </w:r>
          </w:p>
        </w:tc>
      </w:tr>
      <w:tr w:rsidR="00515398" w14:paraId="385E1E89" w14:textId="77777777">
        <w:trPr>
          <w:trHeight w:val="990"/>
        </w:trPr>
        <w:tc>
          <w:tcPr>
            <w:tcW w:w="1795" w:type="dxa"/>
            <w:vMerge/>
            <w:tcBorders>
              <w:top w:val="single" w:sz="4" w:space="0" w:color="auto"/>
              <w:left w:val="single" w:sz="4" w:space="0" w:color="auto"/>
              <w:bottom w:val="single" w:sz="4" w:space="0" w:color="auto"/>
              <w:right w:val="single" w:sz="4" w:space="0" w:color="auto"/>
            </w:tcBorders>
            <w:vAlign w:val="center"/>
            <w:hideMark/>
          </w:tcPr>
          <w:p w14:paraId="52715320" w14:textId="77777777" w:rsidR="00515398" w:rsidRDefault="00515398">
            <w:pPr>
              <w:spacing w:after="0"/>
              <w:rPr>
                <w:rFonts w:ascii="Times New Roman" w:eastAsia="Times New Roman" w:hAnsi="Times New Roman" w:cs="Times New Roman"/>
                <w:noProof/>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08EDCF2" w14:textId="77777777" w:rsidR="00515398" w:rsidRDefault="00515398">
            <w:pPr>
              <w:spacing w:after="0"/>
              <w:rPr>
                <w:rFonts w:ascii="Times New Roman" w:eastAsia="Times New Roman" w:hAnsi="Times New Roman" w:cs="Times New Roman"/>
                <w:noProof/>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3BF2673" w14:textId="77777777" w:rsidR="00515398" w:rsidRDefault="00515398">
            <w:pPr>
              <w:spacing w:after="0"/>
              <w:rPr>
                <w:rFonts w:ascii="Times New Roman" w:eastAsia="Times New Roman" w:hAnsi="Times New Roman" w:cs="Times New Roman"/>
                <w:noProof/>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3732F141" w14:textId="77777777" w:rsidR="00515398" w:rsidRDefault="00515398">
            <w:pPr>
              <w:spacing w:after="0"/>
              <w:rPr>
                <w:rFonts w:ascii="Times New Roman" w:eastAsia="Times New Roman" w:hAnsi="Times New Roman" w:cs="Times New Roman"/>
                <w:noProof/>
                <w:sz w:val="18"/>
                <w:szCs w:val="18"/>
              </w:rPr>
            </w:pPr>
          </w:p>
        </w:tc>
      </w:tr>
      <w:tr w:rsidR="00515398" w14:paraId="12923EC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DC63208" w14:textId="77777777" w:rsidR="00515398" w:rsidRDefault="006711E6">
            <w:pPr>
              <w:pStyle w:val="P68B1DB1-Normal8"/>
              <w:keepNext/>
              <w:spacing w:before="40" w:after="0" w:line="240" w:lineRule="auto"/>
              <w:jc w:val="both"/>
              <w:rPr>
                <w:rFonts w:eastAsia="Times New Roman" w:cs="Times New Roman"/>
                <w:noProof/>
                <w:szCs w:val="18"/>
              </w:rPr>
            </w:pPr>
            <w:r>
              <w:rPr>
                <w:noProof/>
              </w:rPr>
              <w:t>3</w:t>
            </w:r>
          </w:p>
        </w:tc>
        <w:tc>
          <w:tcPr>
            <w:tcW w:w="4320" w:type="dxa"/>
            <w:tcBorders>
              <w:top w:val="single" w:sz="4" w:space="0" w:color="auto"/>
              <w:left w:val="nil"/>
              <w:bottom w:val="single" w:sz="4" w:space="0" w:color="auto"/>
              <w:right w:val="single" w:sz="4" w:space="0" w:color="auto"/>
            </w:tcBorders>
            <w:shd w:val="clear" w:color="auto" w:fill="C6EFCE"/>
            <w:noWrap/>
            <w:vAlign w:val="center"/>
            <w:hideMark/>
          </w:tcPr>
          <w:p w14:paraId="077A229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1–1.1 Zvýšení výkonu – 16870_Intervence pro propojení elektrických sítí ostrovů a modernizaci elektrické sítě</w:t>
            </w:r>
          </w:p>
        </w:tc>
        <w:tc>
          <w:tcPr>
            <w:tcW w:w="1680" w:type="dxa"/>
            <w:tcBorders>
              <w:top w:val="single" w:sz="4" w:space="0" w:color="auto"/>
              <w:left w:val="nil"/>
              <w:bottom w:val="single" w:sz="4" w:space="0" w:color="auto"/>
              <w:right w:val="single" w:sz="4" w:space="0" w:color="auto"/>
            </w:tcBorders>
            <w:shd w:val="clear" w:color="auto" w:fill="C6EFCE"/>
            <w:noWrap/>
            <w:vAlign w:val="center"/>
            <w:hideMark/>
          </w:tcPr>
          <w:p w14:paraId="738DD1D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2280" w:type="dxa"/>
            <w:tcBorders>
              <w:top w:val="single" w:sz="4" w:space="0" w:color="auto"/>
              <w:left w:val="nil"/>
              <w:bottom w:val="single" w:sz="4" w:space="0" w:color="auto"/>
              <w:right w:val="single" w:sz="4" w:space="0" w:color="auto"/>
            </w:tcBorders>
            <w:shd w:val="clear" w:color="auto" w:fill="C6EFCE"/>
            <w:noWrap/>
            <w:vAlign w:val="center"/>
            <w:hideMark/>
          </w:tcPr>
          <w:p w14:paraId="22B8474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Propojení ostrovů – dokončení</w:t>
            </w:r>
          </w:p>
        </w:tc>
      </w:tr>
      <w:tr w:rsidR="00515398" w14:paraId="4FE1E2E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F7F8B60" w14:textId="77777777" w:rsidR="00515398" w:rsidRDefault="006711E6">
            <w:pPr>
              <w:pStyle w:val="P68B1DB1-Normal8"/>
              <w:keepNext/>
              <w:spacing w:before="40" w:after="0" w:line="240" w:lineRule="auto"/>
              <w:jc w:val="both"/>
              <w:rPr>
                <w:rFonts w:eastAsia="Times New Roman" w:cs="Times New Roman"/>
                <w:noProof/>
                <w:szCs w:val="18"/>
              </w:rPr>
            </w:pPr>
            <w:r>
              <w:rPr>
                <w:noProof/>
              </w:rPr>
              <w:t>15</w:t>
            </w:r>
          </w:p>
        </w:tc>
        <w:tc>
          <w:tcPr>
            <w:tcW w:w="4320" w:type="dxa"/>
            <w:tcBorders>
              <w:top w:val="nil"/>
              <w:left w:val="nil"/>
              <w:bottom w:val="single" w:sz="4" w:space="0" w:color="auto"/>
              <w:right w:val="single" w:sz="4" w:space="0" w:color="auto"/>
            </w:tcBorders>
            <w:shd w:val="clear" w:color="auto" w:fill="C6EFCE"/>
            <w:noWrap/>
            <w:vAlign w:val="center"/>
            <w:hideMark/>
          </w:tcPr>
          <w:p w14:paraId="2B1299F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1–1.1 Posílení moci – </w:t>
            </w:r>
            <w:r>
              <w:rPr>
                <w:noProof/>
              </w:rPr>
              <w:t>16871_Opatření v oblasti revitalizace nejvíce postižených území (území pro spravedlivou transformaci)</w:t>
            </w:r>
          </w:p>
        </w:tc>
        <w:tc>
          <w:tcPr>
            <w:tcW w:w="1680" w:type="dxa"/>
            <w:tcBorders>
              <w:top w:val="nil"/>
              <w:left w:val="nil"/>
              <w:bottom w:val="single" w:sz="4" w:space="0" w:color="auto"/>
              <w:right w:val="single" w:sz="4" w:space="0" w:color="auto"/>
            </w:tcBorders>
            <w:shd w:val="clear" w:color="auto" w:fill="C6EFCE"/>
            <w:noWrap/>
            <w:vAlign w:val="center"/>
            <w:hideMark/>
          </w:tcPr>
          <w:p w14:paraId="03AAA75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44E2E7C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Sanace půdy – dokončení</w:t>
            </w:r>
          </w:p>
        </w:tc>
      </w:tr>
      <w:tr w:rsidR="00515398" w14:paraId="6B88497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7CB9C0E" w14:textId="77777777" w:rsidR="00515398" w:rsidRDefault="006711E6">
            <w:pPr>
              <w:pStyle w:val="P68B1DB1-Normal8"/>
              <w:keepNext/>
              <w:spacing w:before="40" w:after="0" w:line="240" w:lineRule="auto"/>
              <w:jc w:val="both"/>
              <w:rPr>
                <w:rFonts w:eastAsia="Times New Roman" w:cs="Times New Roman"/>
                <w:noProof/>
                <w:szCs w:val="18"/>
              </w:rPr>
            </w:pPr>
            <w:r>
              <w:rPr>
                <w:noProof/>
              </w:rPr>
              <w:t>16</w:t>
            </w:r>
          </w:p>
        </w:tc>
        <w:tc>
          <w:tcPr>
            <w:tcW w:w="4320" w:type="dxa"/>
            <w:tcBorders>
              <w:top w:val="nil"/>
              <w:left w:val="nil"/>
              <w:bottom w:val="single" w:sz="4" w:space="0" w:color="auto"/>
              <w:right w:val="single" w:sz="4" w:space="0" w:color="auto"/>
            </w:tcBorders>
            <w:shd w:val="clear" w:color="auto" w:fill="C6EFCE"/>
            <w:noWrap/>
            <w:vAlign w:val="center"/>
            <w:hideMark/>
          </w:tcPr>
          <w:p w14:paraId="492E858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1–1.1 Zvýšení výkonu – 16926_Podpora instalace akumulačních systémů za účelem zlepšení pronikání energie z </w:t>
            </w:r>
            <w:r>
              <w:rPr>
                <w:noProof/>
              </w:rPr>
              <w:t>obnovitelných zdrojů</w:t>
            </w:r>
          </w:p>
        </w:tc>
        <w:tc>
          <w:tcPr>
            <w:tcW w:w="1680" w:type="dxa"/>
            <w:tcBorders>
              <w:top w:val="nil"/>
              <w:left w:val="nil"/>
              <w:bottom w:val="single" w:sz="4" w:space="0" w:color="auto"/>
              <w:right w:val="single" w:sz="4" w:space="0" w:color="auto"/>
            </w:tcBorders>
            <w:shd w:val="clear" w:color="auto" w:fill="C6EFCE"/>
            <w:noWrap/>
            <w:vAlign w:val="center"/>
            <w:hideMark/>
          </w:tcPr>
          <w:p w14:paraId="18C5479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359150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Skladování energie – dokončení</w:t>
            </w:r>
          </w:p>
        </w:tc>
      </w:tr>
      <w:tr w:rsidR="00515398" w14:paraId="7AD5620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678371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w:t>
            </w:r>
          </w:p>
        </w:tc>
        <w:tc>
          <w:tcPr>
            <w:tcW w:w="4320" w:type="dxa"/>
            <w:tcBorders>
              <w:top w:val="nil"/>
              <w:left w:val="nil"/>
              <w:bottom w:val="single" w:sz="4" w:space="0" w:color="auto"/>
              <w:right w:val="single" w:sz="4" w:space="0" w:color="auto"/>
            </w:tcBorders>
            <w:shd w:val="clear" w:color="auto" w:fill="C6EFCE"/>
            <w:noWrap/>
            <w:vAlign w:val="center"/>
            <w:hideMark/>
          </w:tcPr>
          <w:p w14:paraId="2CE6892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16901_modernizace sítě HEDNO s cílem zvýšit odolnost a chránit životní prostředí</w:t>
            </w:r>
          </w:p>
        </w:tc>
        <w:tc>
          <w:tcPr>
            <w:tcW w:w="1680" w:type="dxa"/>
            <w:tcBorders>
              <w:top w:val="nil"/>
              <w:left w:val="nil"/>
              <w:bottom w:val="single" w:sz="4" w:space="0" w:color="auto"/>
              <w:right w:val="single" w:sz="4" w:space="0" w:color="auto"/>
            </w:tcBorders>
            <w:shd w:val="clear" w:color="auto" w:fill="C6EFCE"/>
            <w:noWrap/>
            <w:vAlign w:val="center"/>
            <w:hideMark/>
          </w:tcPr>
          <w:p w14:paraId="2327A90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38C5CEA" w14:textId="77777777" w:rsidR="00515398" w:rsidRDefault="006711E6">
            <w:pPr>
              <w:pStyle w:val="P68B1DB1-Normal8"/>
              <w:keepNext/>
              <w:spacing w:before="40" w:after="0" w:line="240" w:lineRule="auto"/>
              <w:jc w:val="both"/>
              <w:rPr>
                <w:rFonts w:eastAsia="Times New Roman" w:cs="Times New Roman"/>
                <w:noProof/>
                <w:szCs w:val="18"/>
              </w:rPr>
            </w:pPr>
            <w:r>
              <w:rPr>
                <w:noProof/>
              </w:rPr>
              <w:t>HEDNO – dokončení 1</w:t>
            </w:r>
          </w:p>
        </w:tc>
      </w:tr>
      <w:tr w:rsidR="00515398" w14:paraId="07F4078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71DE13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18</w:t>
            </w:r>
          </w:p>
        </w:tc>
        <w:tc>
          <w:tcPr>
            <w:tcW w:w="4320" w:type="dxa"/>
            <w:tcBorders>
              <w:top w:val="nil"/>
              <w:left w:val="nil"/>
              <w:bottom w:val="single" w:sz="4" w:space="0" w:color="auto"/>
              <w:right w:val="single" w:sz="4" w:space="0" w:color="auto"/>
            </w:tcBorders>
            <w:shd w:val="clear" w:color="auto" w:fill="C6EFCE"/>
            <w:noWrap/>
            <w:vAlign w:val="center"/>
            <w:hideMark/>
          </w:tcPr>
          <w:p w14:paraId="0056940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1–1.1 Navýšení elektrické energie – 16900_HEDNO – </w:t>
            </w:r>
            <w:r>
              <w:rPr>
                <w:noProof/>
              </w:rPr>
              <w:t>modernizace nadzemní sítě v lesních oblastech</w:t>
            </w:r>
          </w:p>
        </w:tc>
        <w:tc>
          <w:tcPr>
            <w:tcW w:w="1680" w:type="dxa"/>
            <w:tcBorders>
              <w:top w:val="nil"/>
              <w:left w:val="nil"/>
              <w:bottom w:val="single" w:sz="4" w:space="0" w:color="auto"/>
              <w:right w:val="single" w:sz="4" w:space="0" w:color="auto"/>
            </w:tcBorders>
            <w:shd w:val="clear" w:color="auto" w:fill="C6EFCE"/>
            <w:noWrap/>
            <w:vAlign w:val="center"/>
            <w:hideMark/>
          </w:tcPr>
          <w:p w14:paraId="147A03E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7F548BB" w14:textId="77777777" w:rsidR="00515398" w:rsidRDefault="006711E6">
            <w:pPr>
              <w:pStyle w:val="P68B1DB1-Normal8"/>
              <w:keepNext/>
              <w:spacing w:before="40" w:after="0" w:line="240" w:lineRule="auto"/>
              <w:jc w:val="both"/>
              <w:rPr>
                <w:rFonts w:eastAsia="Times New Roman" w:cs="Times New Roman"/>
                <w:noProof/>
                <w:szCs w:val="18"/>
              </w:rPr>
            </w:pPr>
            <w:r>
              <w:rPr>
                <w:noProof/>
              </w:rPr>
              <w:t>HEDNO – dokončení 2</w:t>
            </w:r>
          </w:p>
        </w:tc>
      </w:tr>
      <w:tr w:rsidR="00515398" w14:paraId="14EC82B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7D1B10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19</w:t>
            </w:r>
          </w:p>
        </w:tc>
        <w:tc>
          <w:tcPr>
            <w:tcW w:w="4320" w:type="dxa"/>
            <w:tcBorders>
              <w:top w:val="nil"/>
              <w:left w:val="nil"/>
              <w:bottom w:val="single" w:sz="4" w:space="0" w:color="auto"/>
              <w:right w:val="single" w:sz="4" w:space="0" w:color="auto"/>
            </w:tcBorders>
            <w:shd w:val="clear" w:color="auto" w:fill="C6EFCE"/>
            <w:noWrap/>
            <w:vAlign w:val="center"/>
            <w:hideMark/>
          </w:tcPr>
          <w:p w14:paraId="0281B52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1–1.1 Zvýšení výkonu – 16899_Zvýšení kapacity v rozvodnách HV/MV v Řeckém provozovateli elektrické distribuční sítě (HEDNO) pro nové připojení k obnovitelným zdrojům energie</w:t>
            </w:r>
          </w:p>
        </w:tc>
        <w:tc>
          <w:tcPr>
            <w:tcW w:w="1680" w:type="dxa"/>
            <w:tcBorders>
              <w:top w:val="nil"/>
              <w:left w:val="nil"/>
              <w:bottom w:val="single" w:sz="4" w:space="0" w:color="auto"/>
              <w:right w:val="single" w:sz="4" w:space="0" w:color="auto"/>
            </w:tcBorders>
            <w:shd w:val="clear" w:color="auto" w:fill="C6EFCE"/>
            <w:noWrap/>
            <w:vAlign w:val="center"/>
            <w:hideMark/>
          </w:tcPr>
          <w:p w14:paraId="450FA84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w:t>
            </w:r>
            <w:r>
              <w:rPr>
                <w:noProof/>
              </w:rPr>
              <w:t>k</w:t>
            </w:r>
          </w:p>
        </w:tc>
        <w:tc>
          <w:tcPr>
            <w:tcW w:w="2280" w:type="dxa"/>
            <w:tcBorders>
              <w:top w:val="nil"/>
              <w:left w:val="nil"/>
              <w:bottom w:val="single" w:sz="4" w:space="0" w:color="auto"/>
              <w:right w:val="single" w:sz="4" w:space="0" w:color="auto"/>
            </w:tcBorders>
            <w:shd w:val="clear" w:color="auto" w:fill="C6EFCE"/>
            <w:noWrap/>
            <w:vAlign w:val="center"/>
            <w:hideMark/>
          </w:tcPr>
          <w:p w14:paraId="04B7A974" w14:textId="77777777" w:rsidR="00515398" w:rsidRDefault="006711E6">
            <w:pPr>
              <w:pStyle w:val="P68B1DB1-Normal8"/>
              <w:keepNext/>
              <w:spacing w:before="40" w:after="0" w:line="240" w:lineRule="auto"/>
              <w:jc w:val="both"/>
              <w:rPr>
                <w:rFonts w:eastAsia="Times New Roman" w:cs="Times New Roman"/>
                <w:noProof/>
                <w:szCs w:val="18"/>
              </w:rPr>
            </w:pPr>
            <w:r>
              <w:rPr>
                <w:noProof/>
              </w:rPr>
              <w:t>HEDNO – dokončení 3</w:t>
            </w:r>
          </w:p>
        </w:tc>
      </w:tr>
      <w:tr w:rsidR="00515398" w14:paraId="66DDBB2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05F431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w:t>
            </w:r>
          </w:p>
        </w:tc>
        <w:tc>
          <w:tcPr>
            <w:tcW w:w="4320" w:type="dxa"/>
            <w:tcBorders>
              <w:top w:val="nil"/>
              <w:left w:val="nil"/>
              <w:bottom w:val="single" w:sz="4" w:space="0" w:color="auto"/>
              <w:right w:val="single" w:sz="4" w:space="0" w:color="auto"/>
            </w:tcBorders>
            <w:shd w:val="clear" w:color="auto" w:fill="C6EFCE"/>
            <w:noWrap/>
            <w:vAlign w:val="center"/>
            <w:hideMark/>
          </w:tcPr>
          <w:p w14:paraId="719E251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16872_Energetická renovace obytných budov</w:t>
            </w:r>
          </w:p>
        </w:tc>
        <w:tc>
          <w:tcPr>
            <w:tcW w:w="1680" w:type="dxa"/>
            <w:tcBorders>
              <w:top w:val="nil"/>
              <w:left w:val="nil"/>
              <w:bottom w:val="single" w:sz="4" w:space="0" w:color="auto"/>
              <w:right w:val="single" w:sz="4" w:space="0" w:color="auto"/>
            </w:tcBorders>
            <w:shd w:val="clear" w:color="auto" w:fill="C6EFCE"/>
            <w:noWrap/>
            <w:vAlign w:val="center"/>
            <w:hideMark/>
          </w:tcPr>
          <w:p w14:paraId="5B02E695"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1954D78B" w14:textId="77777777" w:rsidR="00515398" w:rsidRDefault="006711E6">
            <w:pPr>
              <w:pStyle w:val="P68B1DB1-Normal8"/>
              <w:keepNext/>
              <w:spacing w:before="40" w:after="0" w:line="240" w:lineRule="auto"/>
              <w:jc w:val="both"/>
              <w:rPr>
                <w:rFonts w:eastAsia="Times New Roman" w:cs="Times New Roman"/>
                <w:noProof/>
                <w:szCs w:val="18"/>
              </w:rPr>
            </w:pPr>
            <w:r>
              <w:rPr>
                <w:noProof/>
              </w:rPr>
              <w:t>Renovace obytných budov – zelená energie vyrobená pro domácnosti trpící energetickou chudobou</w:t>
            </w:r>
          </w:p>
        </w:tc>
      </w:tr>
      <w:tr w:rsidR="00515398" w14:paraId="337F1C4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362725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26</w:t>
            </w:r>
          </w:p>
        </w:tc>
        <w:tc>
          <w:tcPr>
            <w:tcW w:w="4320" w:type="dxa"/>
            <w:tcBorders>
              <w:top w:val="nil"/>
              <w:left w:val="nil"/>
              <w:bottom w:val="single" w:sz="4" w:space="0" w:color="auto"/>
              <w:right w:val="single" w:sz="4" w:space="0" w:color="auto"/>
            </w:tcBorders>
            <w:shd w:val="clear" w:color="auto" w:fill="C6EFCE"/>
            <w:noWrap/>
            <w:vAlign w:val="center"/>
            <w:hideMark/>
          </w:tcPr>
          <w:p w14:paraId="52C9F21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16872_Energetická renovace obytných budov</w:t>
            </w:r>
          </w:p>
        </w:tc>
        <w:tc>
          <w:tcPr>
            <w:tcW w:w="1680" w:type="dxa"/>
            <w:tcBorders>
              <w:top w:val="nil"/>
              <w:left w:val="nil"/>
              <w:bottom w:val="single" w:sz="4" w:space="0" w:color="auto"/>
              <w:right w:val="single" w:sz="4" w:space="0" w:color="auto"/>
            </w:tcBorders>
            <w:shd w:val="clear" w:color="auto" w:fill="C6EFCE"/>
            <w:noWrap/>
            <w:vAlign w:val="center"/>
            <w:hideMark/>
          </w:tcPr>
          <w:p w14:paraId="285823F5"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5868472B" w14:textId="77777777" w:rsidR="00515398" w:rsidRDefault="006711E6">
            <w:pPr>
              <w:pStyle w:val="P68B1DB1-Normal8"/>
              <w:keepNext/>
              <w:spacing w:before="40" w:after="0" w:line="240" w:lineRule="auto"/>
              <w:jc w:val="both"/>
              <w:rPr>
                <w:rFonts w:eastAsia="Times New Roman" w:cs="Times New Roman"/>
                <w:noProof/>
                <w:szCs w:val="18"/>
              </w:rPr>
            </w:pPr>
            <w:r>
              <w:rPr>
                <w:noProof/>
              </w:rPr>
              <w:t>Renovace obytných budov – renovace obytných domů #3</w:t>
            </w:r>
          </w:p>
        </w:tc>
      </w:tr>
      <w:tr w:rsidR="00515398" w14:paraId="27DECAF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E6DB47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29</w:t>
            </w:r>
          </w:p>
        </w:tc>
        <w:tc>
          <w:tcPr>
            <w:tcW w:w="4320" w:type="dxa"/>
            <w:tcBorders>
              <w:top w:val="nil"/>
              <w:left w:val="nil"/>
              <w:bottom w:val="single" w:sz="4" w:space="0" w:color="auto"/>
              <w:right w:val="single" w:sz="4" w:space="0" w:color="auto"/>
            </w:tcBorders>
            <w:shd w:val="clear" w:color="auto" w:fill="C6EFCE"/>
            <w:noWrap/>
            <w:vAlign w:val="center"/>
            <w:hideMark/>
          </w:tcPr>
          <w:p w14:paraId="41B090F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16879_Příprava městských plánů při provádění reformy městské politiky</w:t>
            </w:r>
          </w:p>
        </w:tc>
        <w:tc>
          <w:tcPr>
            <w:tcW w:w="1680" w:type="dxa"/>
            <w:tcBorders>
              <w:top w:val="nil"/>
              <w:left w:val="nil"/>
              <w:bottom w:val="single" w:sz="4" w:space="0" w:color="auto"/>
              <w:right w:val="single" w:sz="4" w:space="0" w:color="auto"/>
            </w:tcBorders>
            <w:shd w:val="clear" w:color="auto" w:fill="C6EFCE"/>
            <w:noWrap/>
            <w:vAlign w:val="center"/>
            <w:hideMark/>
          </w:tcPr>
          <w:p w14:paraId="2DB74BB9" w14:textId="035A0E0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BE0BDD0"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územního plánování</w:t>
            </w:r>
          </w:p>
        </w:tc>
      </w:tr>
      <w:tr w:rsidR="00515398" w14:paraId="3FCAA1B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91CA5D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30</w:t>
            </w:r>
          </w:p>
        </w:tc>
        <w:tc>
          <w:tcPr>
            <w:tcW w:w="4320" w:type="dxa"/>
            <w:tcBorders>
              <w:top w:val="nil"/>
              <w:left w:val="nil"/>
              <w:bottom w:val="single" w:sz="4" w:space="0" w:color="auto"/>
              <w:right w:val="single" w:sz="4" w:space="0" w:color="auto"/>
            </w:tcBorders>
            <w:shd w:val="clear" w:color="auto" w:fill="C6EFCE"/>
            <w:noWrap/>
            <w:vAlign w:val="center"/>
            <w:hideMark/>
          </w:tcPr>
          <w:p w14:paraId="4B121F16" w14:textId="501A7361" w:rsidR="00515398" w:rsidRDefault="006711E6">
            <w:pPr>
              <w:pStyle w:val="P68B1DB1-Normal8"/>
              <w:keepNext/>
              <w:spacing w:before="40" w:after="0" w:line="240" w:lineRule="auto"/>
              <w:jc w:val="both"/>
              <w:rPr>
                <w:rFonts w:eastAsia="Times New Roman" w:cs="Times New Roman"/>
                <w:bCs/>
                <w:noProof/>
                <w:szCs w:val="18"/>
              </w:rPr>
            </w:pPr>
            <w:r>
              <w:rPr>
                <w:noProof/>
              </w:rPr>
              <w:t xml:space="preserve">2–1.2. Renovace – 16894_Zavedení nového zvláštního územního </w:t>
            </w:r>
            <w:r>
              <w:rPr>
                <w:noProof/>
              </w:rPr>
              <w:t>plánování pro obnovitelné zdroje energie, průmysl a cestovní ruch</w:t>
            </w:r>
          </w:p>
        </w:tc>
        <w:tc>
          <w:tcPr>
            <w:tcW w:w="1680" w:type="dxa"/>
            <w:tcBorders>
              <w:top w:val="nil"/>
              <w:left w:val="nil"/>
              <w:bottom w:val="single" w:sz="4" w:space="0" w:color="auto"/>
              <w:right w:val="single" w:sz="4" w:space="0" w:color="auto"/>
            </w:tcBorders>
            <w:shd w:val="clear" w:color="auto" w:fill="C6EFCE"/>
            <w:noWrap/>
            <w:vAlign w:val="center"/>
            <w:hideMark/>
          </w:tcPr>
          <w:p w14:paraId="113F78D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B0CA960" w14:textId="77777777" w:rsidR="00515398" w:rsidRDefault="006711E6">
            <w:pPr>
              <w:pStyle w:val="P68B1DB1-Normal8"/>
              <w:keepNext/>
              <w:spacing w:before="40" w:after="0" w:line="240" w:lineRule="auto"/>
              <w:jc w:val="both"/>
              <w:rPr>
                <w:rFonts w:eastAsia="Times New Roman" w:cs="Times New Roman"/>
                <w:noProof/>
                <w:szCs w:val="18"/>
              </w:rPr>
            </w:pPr>
            <w:r>
              <w:rPr>
                <w:noProof/>
              </w:rPr>
              <w:t>Přijetí zvláštních prostorových rámců</w:t>
            </w:r>
          </w:p>
        </w:tc>
      </w:tr>
      <w:tr w:rsidR="00515398" w14:paraId="4C47DFA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3B3DD9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36</w:t>
            </w:r>
          </w:p>
        </w:tc>
        <w:tc>
          <w:tcPr>
            <w:tcW w:w="4320" w:type="dxa"/>
            <w:tcBorders>
              <w:top w:val="nil"/>
              <w:left w:val="nil"/>
              <w:bottom w:val="single" w:sz="4" w:space="0" w:color="auto"/>
              <w:right w:val="single" w:sz="4" w:space="0" w:color="auto"/>
            </w:tcBorders>
            <w:shd w:val="clear" w:color="auto" w:fill="C6EFCE"/>
            <w:noWrap/>
            <w:vAlign w:val="center"/>
            <w:hideMark/>
          </w:tcPr>
          <w:p w14:paraId="2649A4E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16874_Energetika a podnikání</w:t>
            </w:r>
          </w:p>
        </w:tc>
        <w:tc>
          <w:tcPr>
            <w:tcW w:w="1680" w:type="dxa"/>
            <w:tcBorders>
              <w:top w:val="nil"/>
              <w:left w:val="nil"/>
              <w:bottom w:val="single" w:sz="4" w:space="0" w:color="auto"/>
              <w:right w:val="single" w:sz="4" w:space="0" w:color="auto"/>
            </w:tcBorders>
            <w:shd w:val="clear" w:color="auto" w:fill="C6EFCE"/>
            <w:noWrap/>
            <w:vAlign w:val="center"/>
            <w:hideMark/>
          </w:tcPr>
          <w:p w14:paraId="72491094"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780E00F6" w14:textId="77777777" w:rsidR="00515398" w:rsidRDefault="006711E6">
            <w:pPr>
              <w:pStyle w:val="P68B1DB1-Normal8"/>
              <w:keepNext/>
              <w:spacing w:before="40" w:after="0" w:line="240" w:lineRule="auto"/>
              <w:jc w:val="both"/>
              <w:rPr>
                <w:rFonts w:eastAsia="Times New Roman" w:cs="Times New Roman"/>
                <w:noProof/>
                <w:szCs w:val="18"/>
              </w:rPr>
            </w:pPr>
            <w:r>
              <w:rPr>
                <w:noProof/>
              </w:rPr>
              <w:t>Energetická účinnost soukromého sektoru – dokončeno #2</w:t>
            </w:r>
          </w:p>
        </w:tc>
      </w:tr>
      <w:tr w:rsidR="00515398" w14:paraId="3C3460B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C5C7829" w14:textId="77777777" w:rsidR="00515398" w:rsidRDefault="006711E6">
            <w:pPr>
              <w:pStyle w:val="P68B1DB1-Normal8"/>
              <w:keepNext/>
              <w:spacing w:before="40" w:after="0" w:line="240" w:lineRule="auto"/>
              <w:jc w:val="both"/>
              <w:rPr>
                <w:rFonts w:cs="Times New Roman"/>
                <w:noProof/>
                <w:szCs w:val="18"/>
              </w:rPr>
            </w:pPr>
            <w:r>
              <w:rPr>
                <w:noProof/>
              </w:rPr>
              <w:t>39</w:t>
            </w:r>
          </w:p>
        </w:tc>
        <w:tc>
          <w:tcPr>
            <w:tcW w:w="4320" w:type="dxa"/>
            <w:tcBorders>
              <w:top w:val="nil"/>
              <w:left w:val="nil"/>
              <w:bottom w:val="single" w:sz="4" w:space="0" w:color="auto"/>
              <w:right w:val="single" w:sz="4" w:space="0" w:color="auto"/>
            </w:tcBorders>
            <w:shd w:val="clear" w:color="auto" w:fill="C6EFCE"/>
            <w:noWrap/>
            <w:vAlign w:val="center"/>
            <w:hideMark/>
          </w:tcPr>
          <w:p w14:paraId="027AC352" w14:textId="77777777" w:rsidR="00515398" w:rsidRDefault="006711E6">
            <w:pPr>
              <w:pStyle w:val="P68B1DB1-Normal8"/>
              <w:keepNext/>
              <w:spacing w:before="40" w:after="0" w:line="240" w:lineRule="auto"/>
              <w:jc w:val="both"/>
              <w:rPr>
                <w:rFonts w:cs="Times New Roman"/>
                <w:noProof/>
                <w:szCs w:val="18"/>
              </w:rPr>
            </w:pPr>
            <w:r>
              <w:rPr>
                <w:noProof/>
              </w:rPr>
              <w:t xml:space="preserve">2–1.2. Renovace – </w:t>
            </w:r>
            <w:r>
              <w:rPr>
                <w:noProof/>
              </w:rPr>
              <w:t>16932_Olympijské atletické středisko v Aténách</w:t>
            </w:r>
          </w:p>
        </w:tc>
        <w:tc>
          <w:tcPr>
            <w:tcW w:w="1680" w:type="dxa"/>
            <w:tcBorders>
              <w:top w:val="nil"/>
              <w:left w:val="nil"/>
              <w:bottom w:val="single" w:sz="4" w:space="0" w:color="auto"/>
              <w:right w:val="single" w:sz="4" w:space="0" w:color="auto"/>
            </w:tcBorders>
            <w:shd w:val="clear" w:color="auto" w:fill="C6EFCE"/>
            <w:noWrap/>
            <w:vAlign w:val="center"/>
            <w:hideMark/>
          </w:tcPr>
          <w:p w14:paraId="3AA3CF2C"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94F8F2C" w14:textId="77777777" w:rsidR="00515398" w:rsidRDefault="006711E6">
            <w:pPr>
              <w:pStyle w:val="P68B1DB1-Normal8"/>
              <w:keepNext/>
              <w:spacing w:before="40" w:after="0" w:line="240" w:lineRule="auto"/>
              <w:jc w:val="both"/>
              <w:rPr>
                <w:rFonts w:cs="Times New Roman"/>
                <w:noProof/>
                <w:szCs w:val="18"/>
              </w:rPr>
            </w:pPr>
            <w:r>
              <w:rPr>
                <w:noProof/>
              </w:rPr>
              <w:t xml:space="preserve">OAKA – dokončení prací </w:t>
            </w:r>
          </w:p>
        </w:tc>
      </w:tr>
      <w:tr w:rsidR="00515398" w14:paraId="205CC05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06EAB7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40</w:t>
            </w:r>
          </w:p>
        </w:tc>
        <w:tc>
          <w:tcPr>
            <w:tcW w:w="4320" w:type="dxa"/>
            <w:tcBorders>
              <w:top w:val="nil"/>
              <w:left w:val="nil"/>
              <w:bottom w:val="single" w:sz="4" w:space="0" w:color="auto"/>
              <w:right w:val="single" w:sz="4" w:space="0" w:color="auto"/>
            </w:tcBorders>
            <w:shd w:val="clear" w:color="auto" w:fill="C6EFCE"/>
            <w:noWrap/>
            <w:vAlign w:val="center"/>
            <w:hideMark/>
          </w:tcPr>
          <w:p w14:paraId="70B3BD8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16873_ – Intervence v obytných oblastech a ve fondu budov</w:t>
            </w:r>
          </w:p>
        </w:tc>
        <w:tc>
          <w:tcPr>
            <w:tcW w:w="1680" w:type="dxa"/>
            <w:tcBorders>
              <w:top w:val="nil"/>
              <w:left w:val="nil"/>
              <w:bottom w:val="single" w:sz="4" w:space="0" w:color="auto"/>
              <w:right w:val="single" w:sz="4" w:space="0" w:color="auto"/>
            </w:tcBorders>
            <w:shd w:val="clear" w:color="auto" w:fill="C6EFCE"/>
            <w:noWrap/>
            <w:vAlign w:val="center"/>
            <w:hideMark/>
          </w:tcPr>
          <w:p w14:paraId="3A7BD09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AFD3EBE" w14:textId="77777777" w:rsidR="00515398" w:rsidRDefault="006711E6">
            <w:pPr>
              <w:pStyle w:val="P68B1DB1-Normal8"/>
              <w:keepNext/>
              <w:spacing w:before="40" w:after="0" w:line="240" w:lineRule="auto"/>
              <w:jc w:val="both"/>
              <w:rPr>
                <w:rFonts w:eastAsia="Times New Roman" w:cs="Times New Roman"/>
                <w:noProof/>
                <w:szCs w:val="18"/>
              </w:rPr>
            </w:pPr>
            <w:r>
              <w:rPr>
                <w:noProof/>
              </w:rPr>
              <w:t>Městské intervence – dokončení všech prací</w:t>
            </w:r>
          </w:p>
        </w:tc>
      </w:tr>
      <w:tr w:rsidR="00515398" w14:paraId="0B298F3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14C724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w:t>
            </w:r>
          </w:p>
        </w:tc>
        <w:tc>
          <w:tcPr>
            <w:tcW w:w="4320" w:type="dxa"/>
            <w:tcBorders>
              <w:top w:val="nil"/>
              <w:left w:val="nil"/>
              <w:bottom w:val="single" w:sz="4" w:space="0" w:color="auto"/>
              <w:right w:val="single" w:sz="4" w:space="0" w:color="auto"/>
            </w:tcBorders>
            <w:shd w:val="clear" w:color="auto" w:fill="C6EFCE"/>
            <w:noWrap/>
            <w:vAlign w:val="center"/>
            <w:hideMark/>
          </w:tcPr>
          <w:p w14:paraId="0CC7B92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2–1.2. Renovace – 16875_Rozvoj </w:t>
            </w:r>
            <w:r>
              <w:rPr>
                <w:noProof/>
              </w:rPr>
              <w:t>infrastruktury a rekultivace budov v bývalé královské budově v roce Tatoi</w:t>
            </w:r>
          </w:p>
        </w:tc>
        <w:tc>
          <w:tcPr>
            <w:tcW w:w="1680" w:type="dxa"/>
            <w:tcBorders>
              <w:top w:val="nil"/>
              <w:left w:val="nil"/>
              <w:bottom w:val="single" w:sz="4" w:space="0" w:color="auto"/>
              <w:right w:val="single" w:sz="4" w:space="0" w:color="auto"/>
            </w:tcBorders>
            <w:shd w:val="clear" w:color="auto" w:fill="C6EFCE"/>
            <w:noWrap/>
            <w:vAlign w:val="center"/>
            <w:hideMark/>
          </w:tcPr>
          <w:p w14:paraId="6516AD9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20F2C77" w14:textId="77777777" w:rsidR="00515398" w:rsidRDefault="006711E6">
            <w:pPr>
              <w:pStyle w:val="P68B1DB1-Normal8"/>
              <w:keepNext/>
              <w:spacing w:before="40" w:after="0" w:line="240" w:lineRule="auto"/>
              <w:jc w:val="both"/>
              <w:rPr>
                <w:rFonts w:eastAsia="Times New Roman" w:cs="Times New Roman"/>
                <w:noProof/>
                <w:szCs w:val="18"/>
              </w:rPr>
            </w:pPr>
            <w:r>
              <w:rPr>
                <w:noProof/>
              </w:rPr>
              <w:t>Tatoi – dokončení všech prací</w:t>
            </w:r>
          </w:p>
        </w:tc>
      </w:tr>
      <w:tr w:rsidR="00515398" w14:paraId="7033537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4675352" w14:textId="77777777" w:rsidR="00515398" w:rsidRDefault="006711E6">
            <w:pPr>
              <w:pStyle w:val="P68B1DB1-Normal8"/>
              <w:keepNext/>
              <w:spacing w:before="40" w:after="0" w:line="240" w:lineRule="auto"/>
              <w:jc w:val="both"/>
              <w:rPr>
                <w:noProof/>
              </w:rPr>
            </w:pPr>
            <w:r>
              <w:rPr>
                <w:noProof/>
              </w:rPr>
              <w:t>52</w:t>
            </w:r>
          </w:p>
        </w:tc>
        <w:tc>
          <w:tcPr>
            <w:tcW w:w="4320" w:type="dxa"/>
            <w:tcBorders>
              <w:top w:val="nil"/>
              <w:left w:val="nil"/>
              <w:bottom w:val="single" w:sz="4" w:space="0" w:color="auto"/>
              <w:right w:val="single" w:sz="4" w:space="0" w:color="auto"/>
            </w:tcBorders>
            <w:shd w:val="clear" w:color="auto" w:fill="C6EFCE"/>
            <w:noWrap/>
            <w:vAlign w:val="center"/>
            <w:hideMark/>
          </w:tcPr>
          <w:p w14:paraId="1AF448AF" w14:textId="77777777" w:rsidR="00515398" w:rsidRDefault="006711E6">
            <w:pPr>
              <w:pStyle w:val="P68B1DB1-Normal8"/>
              <w:keepNext/>
              <w:spacing w:before="40" w:after="0" w:line="240" w:lineRule="auto"/>
              <w:jc w:val="both"/>
              <w:rPr>
                <w:noProof/>
              </w:rPr>
            </w:pPr>
            <w:r>
              <w:rPr>
                <w:noProof/>
              </w:rPr>
              <w:t>3–1.3. Dobíjení a doplňování paliva – 16924_Elektromobilita</w:t>
            </w:r>
          </w:p>
        </w:tc>
        <w:tc>
          <w:tcPr>
            <w:tcW w:w="1680" w:type="dxa"/>
            <w:tcBorders>
              <w:top w:val="nil"/>
              <w:left w:val="nil"/>
              <w:bottom w:val="single" w:sz="4" w:space="0" w:color="auto"/>
              <w:right w:val="single" w:sz="4" w:space="0" w:color="auto"/>
            </w:tcBorders>
            <w:shd w:val="clear" w:color="auto" w:fill="C6EFCE"/>
            <w:noWrap/>
            <w:vAlign w:val="center"/>
            <w:hideMark/>
          </w:tcPr>
          <w:p w14:paraId="28951786" w14:textId="77777777" w:rsidR="00515398" w:rsidRDefault="006711E6">
            <w:pPr>
              <w:pStyle w:val="P68B1DB1-Normal8"/>
              <w:keepNext/>
              <w:spacing w:before="40" w:after="0" w:line="240" w:lineRule="auto"/>
              <w:jc w:val="both"/>
              <w:rPr>
                <w:noProof/>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7AB44120" w14:textId="21C93D1C" w:rsidR="00515398" w:rsidRDefault="006711E6">
            <w:pPr>
              <w:pStyle w:val="P68B1DB1-Normal8"/>
              <w:keepNext/>
              <w:spacing w:before="40" w:after="0" w:line="240" w:lineRule="auto"/>
              <w:jc w:val="both"/>
              <w:rPr>
                <w:noProof/>
              </w:rPr>
            </w:pPr>
            <w:r>
              <w:rPr>
                <w:noProof/>
              </w:rPr>
              <w:t xml:space="preserve">Autobusy – nahrazení autobusy elektrickými a uzavření smlouvy o veřejných </w:t>
            </w:r>
            <w:r>
              <w:rPr>
                <w:noProof/>
              </w:rPr>
              <w:t>službách pro linkovou autobusovou dopravu pro městské oblasti regionální jednotky Soluň.</w:t>
            </w:r>
          </w:p>
        </w:tc>
      </w:tr>
      <w:tr w:rsidR="00515398" w14:paraId="77067DA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C1623B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53</w:t>
            </w:r>
          </w:p>
        </w:tc>
        <w:tc>
          <w:tcPr>
            <w:tcW w:w="4320" w:type="dxa"/>
            <w:tcBorders>
              <w:top w:val="nil"/>
              <w:left w:val="nil"/>
              <w:bottom w:val="single" w:sz="4" w:space="0" w:color="auto"/>
              <w:right w:val="single" w:sz="4" w:space="0" w:color="auto"/>
            </w:tcBorders>
            <w:shd w:val="clear" w:color="auto" w:fill="C6EFCE"/>
            <w:noWrap/>
            <w:vAlign w:val="center"/>
            <w:hideMark/>
          </w:tcPr>
          <w:p w14:paraId="78643C4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 Dobíjení a doplňování paliva – 16831_Produc- E Green</w:t>
            </w:r>
          </w:p>
        </w:tc>
        <w:tc>
          <w:tcPr>
            <w:tcW w:w="1680" w:type="dxa"/>
            <w:tcBorders>
              <w:top w:val="nil"/>
              <w:left w:val="nil"/>
              <w:bottom w:val="single" w:sz="4" w:space="0" w:color="auto"/>
              <w:right w:val="single" w:sz="4" w:space="0" w:color="auto"/>
            </w:tcBorders>
            <w:shd w:val="clear" w:color="auto" w:fill="C6EFCE"/>
            <w:noWrap/>
            <w:vAlign w:val="center"/>
            <w:hideMark/>
          </w:tcPr>
          <w:p w14:paraId="386A51A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1CC55DA" w14:textId="13A06ACF" w:rsidR="00515398" w:rsidRDefault="006711E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 xml:space="preserve">CCS – </w:t>
            </w:r>
            <w:r>
              <w:rPr>
                <w:noProof/>
              </w:rPr>
              <w:t xml:space="preserve"> </w:t>
            </w:r>
            <w:r>
              <w:rPr>
                <w:rFonts w:ascii="Times New Roman" w:hAnsi="Times New Roman"/>
                <w:noProof/>
                <w:sz w:val="18"/>
              </w:rPr>
              <w:t>dokončení vrtných prací</w:t>
            </w:r>
          </w:p>
        </w:tc>
      </w:tr>
      <w:tr w:rsidR="00515398" w14:paraId="7D75B68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F0EB03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54</w:t>
            </w:r>
          </w:p>
        </w:tc>
        <w:tc>
          <w:tcPr>
            <w:tcW w:w="4320" w:type="dxa"/>
            <w:tcBorders>
              <w:top w:val="nil"/>
              <w:left w:val="nil"/>
              <w:bottom w:val="single" w:sz="4" w:space="0" w:color="auto"/>
              <w:right w:val="single" w:sz="4" w:space="0" w:color="auto"/>
            </w:tcBorders>
            <w:shd w:val="clear" w:color="auto" w:fill="C6EFCE"/>
            <w:noWrap/>
            <w:vAlign w:val="center"/>
            <w:hideMark/>
          </w:tcPr>
          <w:p w14:paraId="018A9A9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3–1.3. Dobíjení a doplňování paliva – 16831_Produc- E Green</w:t>
            </w:r>
          </w:p>
        </w:tc>
        <w:tc>
          <w:tcPr>
            <w:tcW w:w="1680" w:type="dxa"/>
            <w:tcBorders>
              <w:top w:val="nil"/>
              <w:left w:val="nil"/>
              <w:bottom w:val="single" w:sz="4" w:space="0" w:color="auto"/>
              <w:right w:val="single" w:sz="4" w:space="0" w:color="auto"/>
            </w:tcBorders>
            <w:shd w:val="clear" w:color="auto" w:fill="C6EFCE"/>
            <w:noWrap/>
            <w:vAlign w:val="center"/>
            <w:hideMark/>
          </w:tcPr>
          <w:p w14:paraId="3D58D18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36AA62D" w14:textId="20025F3F" w:rsidR="00515398" w:rsidRDefault="006711E6">
            <w:pPr>
              <w:pStyle w:val="P68B1DB1-Normal8"/>
              <w:keepNext/>
              <w:spacing w:before="40" w:after="0" w:line="240" w:lineRule="auto"/>
              <w:jc w:val="both"/>
              <w:rPr>
                <w:rFonts w:eastAsia="Times New Roman" w:cs="Times New Roman"/>
                <w:noProof/>
                <w:szCs w:val="18"/>
              </w:rPr>
            </w:pPr>
            <w:r>
              <w:rPr>
                <w:noProof/>
              </w:rPr>
              <w:t xml:space="preserve">Průmyslové jednotky – dokončení stavebních prací a instalace zařízení </w:t>
            </w:r>
          </w:p>
        </w:tc>
      </w:tr>
      <w:tr w:rsidR="00515398" w14:paraId="0526F03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401CF6F" w14:textId="77777777" w:rsidR="00515398" w:rsidRDefault="006711E6">
            <w:pPr>
              <w:pStyle w:val="P68B1DB1-Normal8"/>
              <w:keepNext/>
              <w:spacing w:before="40" w:after="0" w:line="240" w:lineRule="auto"/>
              <w:jc w:val="both"/>
              <w:rPr>
                <w:noProof/>
              </w:rPr>
            </w:pPr>
            <w:r>
              <w:rPr>
                <w:noProof/>
              </w:rPr>
              <w:t>59a</w:t>
            </w:r>
          </w:p>
        </w:tc>
        <w:tc>
          <w:tcPr>
            <w:tcW w:w="4320" w:type="dxa"/>
            <w:tcBorders>
              <w:top w:val="nil"/>
              <w:left w:val="nil"/>
              <w:bottom w:val="single" w:sz="4" w:space="0" w:color="auto"/>
              <w:right w:val="single" w:sz="4" w:space="0" w:color="auto"/>
            </w:tcBorders>
            <w:shd w:val="clear" w:color="auto" w:fill="C6EFCE"/>
            <w:noWrap/>
            <w:vAlign w:val="center"/>
            <w:hideMark/>
          </w:tcPr>
          <w:p w14:paraId="647FCA10" w14:textId="77777777" w:rsidR="00515398" w:rsidRDefault="006711E6">
            <w:pPr>
              <w:pStyle w:val="P68B1DB1-Normal8"/>
              <w:keepNext/>
              <w:spacing w:before="40" w:after="0" w:line="240" w:lineRule="auto"/>
              <w:jc w:val="both"/>
              <w:rPr>
                <w:noProof/>
              </w:rPr>
            </w:pPr>
            <w:r>
              <w:rPr>
                <w:noProof/>
              </w:rPr>
              <w:t>4–1.4. Udržitelné využívání zdrojů, odolnost vůči změně klimatu a ochrana životního prostředí – 16772_Právní předpisy o nakládání s odpady pro provádění udržitelného skládko</w:t>
            </w:r>
            <w:r>
              <w:rPr>
                <w:noProof/>
              </w:rPr>
              <w:t>vání a recyklace</w:t>
            </w:r>
          </w:p>
        </w:tc>
        <w:tc>
          <w:tcPr>
            <w:tcW w:w="1680" w:type="dxa"/>
            <w:tcBorders>
              <w:top w:val="nil"/>
              <w:left w:val="nil"/>
              <w:bottom w:val="single" w:sz="4" w:space="0" w:color="auto"/>
              <w:right w:val="single" w:sz="4" w:space="0" w:color="auto"/>
            </w:tcBorders>
            <w:shd w:val="clear" w:color="auto" w:fill="C6EFCE"/>
            <w:noWrap/>
            <w:vAlign w:val="center"/>
            <w:hideMark/>
          </w:tcPr>
          <w:p w14:paraId="1577A181" w14:textId="77777777" w:rsidR="00515398" w:rsidRDefault="006711E6">
            <w:pPr>
              <w:pStyle w:val="P68B1DB1-Normal8"/>
              <w:keepNext/>
              <w:spacing w:before="40" w:after="0" w:line="240" w:lineRule="auto"/>
              <w:jc w:val="both"/>
              <w:rPr>
                <w:noProof/>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97B959A" w14:textId="77777777" w:rsidR="00515398" w:rsidRDefault="006711E6">
            <w:pPr>
              <w:pStyle w:val="P68B1DB1-Normal8"/>
              <w:keepNext/>
              <w:spacing w:before="40" w:after="0" w:line="240" w:lineRule="auto"/>
              <w:jc w:val="both"/>
              <w:rPr>
                <w:noProof/>
              </w:rPr>
            </w:pPr>
            <w:r>
              <w:rPr>
                <w:noProof/>
              </w:rPr>
              <w:t>Certifikace subjektů pro nakládání s pevným odpadem (FODSA) regulačním orgánem</w:t>
            </w:r>
          </w:p>
        </w:tc>
      </w:tr>
      <w:tr w:rsidR="00515398" w14:paraId="04039F4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1DA3B7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63</w:t>
            </w:r>
          </w:p>
        </w:tc>
        <w:tc>
          <w:tcPr>
            <w:tcW w:w="4320" w:type="dxa"/>
            <w:tcBorders>
              <w:top w:val="nil"/>
              <w:left w:val="nil"/>
              <w:bottom w:val="single" w:sz="4" w:space="0" w:color="auto"/>
              <w:right w:val="single" w:sz="4" w:space="0" w:color="auto"/>
            </w:tcBorders>
            <w:shd w:val="clear" w:color="auto" w:fill="C6EFCE"/>
            <w:noWrap/>
            <w:vAlign w:val="center"/>
            <w:hideMark/>
          </w:tcPr>
          <w:p w14:paraId="6C27CA4C" w14:textId="77777777" w:rsidR="00515398" w:rsidRDefault="006711E6">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rPr>
              <w:t xml:space="preserve">4–1.4. Udržitelné využívání zdrojů, odolnost vůči změně klimatu a ochrana životního prostředí – 16849_Národní plán opětovného zalesňování, </w:t>
            </w:r>
            <w:r>
              <w:rPr>
                <w:noProof/>
              </w:rPr>
              <w:t xml:space="preserve"> </w:t>
            </w:r>
            <w:r>
              <w:rPr>
                <w:rFonts w:ascii="Times New Roman" w:hAnsi="Times New Roman"/>
                <w:noProof/>
                <w:sz w:val="18"/>
              </w:rPr>
              <w:t xml:space="preserve">obnova a </w:t>
            </w:r>
            <w:r>
              <w:rPr>
                <w:rFonts w:ascii="Times New Roman" w:hAnsi="Times New Roman"/>
                <w:noProof/>
                <w:sz w:val="18"/>
              </w:rPr>
              <w:t>prevence („antiNERO“), opatření proti erozi a protipovodňová opatření</w:t>
            </w:r>
          </w:p>
        </w:tc>
        <w:tc>
          <w:tcPr>
            <w:tcW w:w="1680" w:type="dxa"/>
            <w:tcBorders>
              <w:top w:val="nil"/>
              <w:left w:val="nil"/>
              <w:bottom w:val="single" w:sz="4" w:space="0" w:color="auto"/>
              <w:right w:val="single" w:sz="4" w:space="0" w:color="auto"/>
            </w:tcBorders>
            <w:shd w:val="clear" w:color="auto" w:fill="C6EFCE"/>
            <w:noWrap/>
            <w:vAlign w:val="center"/>
            <w:hideMark/>
          </w:tcPr>
          <w:p w14:paraId="4D88BAC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1730140" w14:textId="77777777" w:rsidR="00515398" w:rsidRDefault="006711E6">
            <w:pPr>
              <w:pStyle w:val="P68B1DB1-Normal8"/>
              <w:keepNext/>
              <w:spacing w:before="40" w:after="0" w:line="240" w:lineRule="auto"/>
              <w:jc w:val="both"/>
              <w:rPr>
                <w:rFonts w:eastAsia="Times New Roman" w:cs="Times New Roman"/>
                <w:noProof/>
                <w:szCs w:val="18"/>
              </w:rPr>
            </w:pPr>
            <w:r>
              <w:rPr>
                <w:noProof/>
              </w:rPr>
              <w:t>Opětovné zalesňování, obnova a prevence – Dokončení prací</w:t>
            </w:r>
          </w:p>
        </w:tc>
      </w:tr>
      <w:tr w:rsidR="00515398" w14:paraId="09334BC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A018AD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64</w:t>
            </w:r>
          </w:p>
        </w:tc>
        <w:tc>
          <w:tcPr>
            <w:tcW w:w="4320" w:type="dxa"/>
            <w:tcBorders>
              <w:top w:val="nil"/>
              <w:left w:val="nil"/>
              <w:bottom w:val="single" w:sz="4" w:space="0" w:color="auto"/>
              <w:right w:val="single" w:sz="4" w:space="0" w:color="auto"/>
            </w:tcBorders>
            <w:shd w:val="clear" w:color="auto" w:fill="C6EFCE"/>
            <w:noWrap/>
            <w:vAlign w:val="center"/>
            <w:hideMark/>
          </w:tcPr>
          <w:p w14:paraId="4838D24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4–1.4. Udržitelné využívání zdrojů, odolnost vůči změně klimatu a ochrana životního prostředí – 16851_Ochrana </w:t>
            </w:r>
            <w:r>
              <w:rPr>
                <w:noProof/>
              </w:rPr>
              <w:t>biologické rozmanitosti jako hnací síla udržitelného růstu</w:t>
            </w:r>
          </w:p>
        </w:tc>
        <w:tc>
          <w:tcPr>
            <w:tcW w:w="1680" w:type="dxa"/>
            <w:tcBorders>
              <w:top w:val="nil"/>
              <w:left w:val="nil"/>
              <w:bottom w:val="single" w:sz="4" w:space="0" w:color="auto"/>
              <w:right w:val="single" w:sz="4" w:space="0" w:color="auto"/>
            </w:tcBorders>
            <w:shd w:val="clear" w:color="auto" w:fill="C6EFCE"/>
            <w:noWrap/>
            <w:vAlign w:val="center"/>
            <w:hideMark/>
          </w:tcPr>
          <w:p w14:paraId="46E76B5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70D02DB" w14:textId="77777777" w:rsidR="00515398" w:rsidRDefault="006711E6">
            <w:pPr>
              <w:pStyle w:val="P68B1DB1-Normal8"/>
              <w:keepNext/>
              <w:spacing w:before="40" w:after="0" w:line="240" w:lineRule="auto"/>
              <w:jc w:val="both"/>
              <w:rPr>
                <w:rFonts w:eastAsia="Times New Roman" w:cs="Times New Roman"/>
                <w:noProof/>
                <w:szCs w:val="18"/>
              </w:rPr>
            </w:pPr>
            <w:r>
              <w:rPr>
                <w:noProof/>
              </w:rPr>
              <w:t>Biologická rozmanitost – dokončení</w:t>
            </w:r>
          </w:p>
        </w:tc>
      </w:tr>
      <w:tr w:rsidR="00515398" w14:paraId="391E5A6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FEEB7F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73</w:t>
            </w:r>
          </w:p>
        </w:tc>
        <w:tc>
          <w:tcPr>
            <w:tcW w:w="4320" w:type="dxa"/>
            <w:tcBorders>
              <w:top w:val="nil"/>
              <w:left w:val="nil"/>
              <w:bottom w:val="single" w:sz="4" w:space="0" w:color="auto"/>
              <w:right w:val="single" w:sz="4" w:space="0" w:color="auto"/>
            </w:tcBorders>
            <w:shd w:val="clear" w:color="auto" w:fill="C6EFCE"/>
            <w:noWrap/>
            <w:vAlign w:val="center"/>
            <w:hideMark/>
          </w:tcPr>
          <w:p w14:paraId="5414015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16846_ Infrastruktury pro nakládání s městskými odpadní</w:t>
            </w:r>
            <w:r>
              <w:rPr>
                <w:noProof/>
              </w:rPr>
              <w:t>mi vodami a kaly z čištění odpadních vod</w:t>
            </w:r>
          </w:p>
        </w:tc>
        <w:tc>
          <w:tcPr>
            <w:tcW w:w="1680" w:type="dxa"/>
            <w:tcBorders>
              <w:top w:val="nil"/>
              <w:left w:val="nil"/>
              <w:bottom w:val="single" w:sz="4" w:space="0" w:color="auto"/>
              <w:right w:val="single" w:sz="4" w:space="0" w:color="auto"/>
            </w:tcBorders>
            <w:shd w:val="clear" w:color="auto" w:fill="C6EFCE"/>
            <w:noWrap/>
            <w:vAlign w:val="center"/>
            <w:hideMark/>
          </w:tcPr>
          <w:p w14:paraId="1E84C14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5F668C6"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infrastruktury pro nakládání s městskými odpadními vodami a kalem</w:t>
            </w:r>
          </w:p>
        </w:tc>
      </w:tr>
      <w:tr w:rsidR="00515398" w14:paraId="2BEECB9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C801A6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74</w:t>
            </w:r>
          </w:p>
        </w:tc>
        <w:tc>
          <w:tcPr>
            <w:tcW w:w="4320" w:type="dxa"/>
            <w:tcBorders>
              <w:top w:val="nil"/>
              <w:left w:val="nil"/>
              <w:bottom w:val="single" w:sz="4" w:space="0" w:color="auto"/>
              <w:right w:val="single" w:sz="4" w:space="0" w:color="auto"/>
            </w:tcBorders>
            <w:shd w:val="clear" w:color="auto" w:fill="C6EFCE"/>
            <w:noWrap/>
            <w:vAlign w:val="center"/>
            <w:hideMark/>
          </w:tcPr>
          <w:p w14:paraId="3980F51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16850_Infrastruktury pro dodávky</w:t>
            </w:r>
            <w:r>
              <w:rPr>
                <w:noProof/>
              </w:rPr>
              <w:t xml:space="preserve"> a úspory pitné vody</w:t>
            </w:r>
          </w:p>
        </w:tc>
        <w:tc>
          <w:tcPr>
            <w:tcW w:w="1680" w:type="dxa"/>
            <w:tcBorders>
              <w:top w:val="nil"/>
              <w:left w:val="nil"/>
              <w:bottom w:val="single" w:sz="4" w:space="0" w:color="auto"/>
              <w:right w:val="single" w:sz="4" w:space="0" w:color="auto"/>
            </w:tcBorders>
            <w:shd w:val="clear" w:color="auto" w:fill="C6EFCE"/>
            <w:noWrap/>
            <w:vAlign w:val="center"/>
            <w:hideMark/>
          </w:tcPr>
          <w:p w14:paraId="23469AB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6AA3CE3"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vodohospodářské infrastruktury</w:t>
            </w:r>
          </w:p>
        </w:tc>
      </w:tr>
      <w:tr w:rsidR="00515398" w14:paraId="646FFCF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9754AE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81</w:t>
            </w:r>
          </w:p>
        </w:tc>
        <w:tc>
          <w:tcPr>
            <w:tcW w:w="4320" w:type="dxa"/>
            <w:tcBorders>
              <w:top w:val="nil"/>
              <w:left w:val="nil"/>
              <w:bottom w:val="single" w:sz="4" w:space="0" w:color="auto"/>
              <w:right w:val="single" w:sz="4" w:space="0" w:color="auto"/>
            </w:tcBorders>
            <w:shd w:val="clear" w:color="auto" w:fill="C6EFCE"/>
            <w:noWrap/>
            <w:vAlign w:val="center"/>
            <w:hideMark/>
          </w:tcPr>
          <w:p w14:paraId="63C64FE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16910_Systém monitorování a řízení</w:t>
            </w:r>
          </w:p>
        </w:tc>
        <w:tc>
          <w:tcPr>
            <w:tcW w:w="1680" w:type="dxa"/>
            <w:tcBorders>
              <w:top w:val="nil"/>
              <w:left w:val="nil"/>
              <w:bottom w:val="single" w:sz="4" w:space="0" w:color="auto"/>
              <w:right w:val="single" w:sz="4" w:space="0" w:color="auto"/>
            </w:tcBorders>
            <w:shd w:val="clear" w:color="auto" w:fill="C6EFCE"/>
            <w:noWrap/>
            <w:vAlign w:val="center"/>
            <w:hideMark/>
          </w:tcPr>
          <w:p w14:paraId="49F483FF"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478AC1F"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systému monitorování a řízení </w:t>
            </w:r>
            <w:r>
              <w:rPr>
                <w:noProof/>
              </w:rPr>
              <w:t>civilní ochrany</w:t>
            </w:r>
          </w:p>
        </w:tc>
      </w:tr>
      <w:tr w:rsidR="00515398" w14:paraId="6D19EC9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748C2E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82</w:t>
            </w:r>
          </w:p>
        </w:tc>
        <w:tc>
          <w:tcPr>
            <w:tcW w:w="4320" w:type="dxa"/>
            <w:tcBorders>
              <w:top w:val="nil"/>
              <w:left w:val="nil"/>
              <w:bottom w:val="single" w:sz="4" w:space="0" w:color="auto"/>
              <w:right w:val="single" w:sz="4" w:space="0" w:color="auto"/>
            </w:tcBorders>
            <w:shd w:val="clear" w:color="auto" w:fill="C6EFCE"/>
            <w:noWrap/>
            <w:vAlign w:val="center"/>
            <w:hideMark/>
          </w:tcPr>
          <w:p w14:paraId="7D693D8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prostředí – 16911_Aerialní prostředky pro řešení krizí</w:t>
            </w:r>
          </w:p>
        </w:tc>
        <w:tc>
          <w:tcPr>
            <w:tcW w:w="1680" w:type="dxa"/>
            <w:tcBorders>
              <w:top w:val="nil"/>
              <w:left w:val="nil"/>
              <w:bottom w:val="single" w:sz="4" w:space="0" w:color="auto"/>
              <w:right w:val="single" w:sz="4" w:space="0" w:color="auto"/>
            </w:tcBorders>
            <w:shd w:val="clear" w:color="auto" w:fill="C6EFCE"/>
            <w:noWrap/>
            <w:vAlign w:val="center"/>
            <w:hideMark/>
          </w:tcPr>
          <w:p w14:paraId="496B482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3BCCD3A"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leteckých prostředků pro řešení krizí</w:t>
            </w:r>
          </w:p>
        </w:tc>
      </w:tr>
      <w:tr w:rsidR="00515398" w14:paraId="59BFB81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696DB8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83</w:t>
            </w:r>
          </w:p>
        </w:tc>
        <w:tc>
          <w:tcPr>
            <w:tcW w:w="4320" w:type="dxa"/>
            <w:tcBorders>
              <w:top w:val="nil"/>
              <w:left w:val="nil"/>
              <w:bottom w:val="single" w:sz="4" w:space="0" w:color="auto"/>
              <w:right w:val="single" w:sz="4" w:space="0" w:color="auto"/>
            </w:tcBorders>
            <w:shd w:val="clear" w:color="auto" w:fill="C6EFCE"/>
            <w:noWrap/>
            <w:vAlign w:val="center"/>
            <w:hideMark/>
          </w:tcPr>
          <w:p w14:paraId="3470FFE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4–1.4. Udržitelné využívání </w:t>
            </w:r>
            <w:r>
              <w:rPr>
                <w:noProof/>
              </w:rPr>
              <w:t>zdrojů, odolnost vůči změně klimatu a ochrana životního prostředí – 16912_Zařízení pro hašení požárů, prevenci a reakci v lesích</w:t>
            </w:r>
          </w:p>
        </w:tc>
        <w:tc>
          <w:tcPr>
            <w:tcW w:w="1680" w:type="dxa"/>
            <w:tcBorders>
              <w:top w:val="nil"/>
              <w:left w:val="nil"/>
              <w:bottom w:val="single" w:sz="4" w:space="0" w:color="auto"/>
              <w:right w:val="single" w:sz="4" w:space="0" w:color="auto"/>
            </w:tcBorders>
            <w:shd w:val="clear" w:color="auto" w:fill="C6EFCE"/>
            <w:noWrap/>
            <w:vAlign w:val="center"/>
            <w:hideMark/>
          </w:tcPr>
          <w:p w14:paraId="6E15C7F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4A5050D"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lesnického vybavení</w:t>
            </w:r>
          </w:p>
        </w:tc>
      </w:tr>
      <w:tr w:rsidR="00515398" w14:paraId="70BF184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B06013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84</w:t>
            </w:r>
          </w:p>
        </w:tc>
        <w:tc>
          <w:tcPr>
            <w:tcW w:w="4320" w:type="dxa"/>
            <w:tcBorders>
              <w:top w:val="nil"/>
              <w:left w:val="nil"/>
              <w:bottom w:val="single" w:sz="4" w:space="0" w:color="auto"/>
              <w:right w:val="single" w:sz="4" w:space="0" w:color="auto"/>
            </w:tcBorders>
            <w:shd w:val="clear" w:color="auto" w:fill="C6EFCE"/>
            <w:noWrap/>
            <w:vAlign w:val="center"/>
            <w:hideMark/>
          </w:tcPr>
          <w:p w14:paraId="2069003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Udržitelné využívání zdrojů, odolnost vůči změně klimatu a ochrana životního pr</w:t>
            </w:r>
            <w:r>
              <w:rPr>
                <w:noProof/>
              </w:rPr>
              <w:t>ostředí – 16909_Infrastruktura – Vytvoření strategického vnitrostátního řízení rizik katastrof</w:t>
            </w:r>
          </w:p>
        </w:tc>
        <w:tc>
          <w:tcPr>
            <w:tcW w:w="1680" w:type="dxa"/>
            <w:tcBorders>
              <w:top w:val="nil"/>
              <w:left w:val="nil"/>
              <w:bottom w:val="single" w:sz="4" w:space="0" w:color="auto"/>
              <w:right w:val="single" w:sz="4" w:space="0" w:color="auto"/>
            </w:tcBorders>
            <w:shd w:val="clear" w:color="auto" w:fill="C6EFCE"/>
            <w:noWrap/>
            <w:vAlign w:val="center"/>
            <w:hideMark/>
          </w:tcPr>
          <w:p w14:paraId="773AB73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292B1E3"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vnitrostátního řízení rizik katastrof</w:t>
            </w:r>
          </w:p>
        </w:tc>
      </w:tr>
      <w:tr w:rsidR="00515398" w14:paraId="77F85C0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E1301D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90</w:t>
            </w:r>
          </w:p>
        </w:tc>
        <w:tc>
          <w:tcPr>
            <w:tcW w:w="4320" w:type="dxa"/>
            <w:tcBorders>
              <w:top w:val="nil"/>
              <w:left w:val="nil"/>
              <w:bottom w:val="single" w:sz="4" w:space="0" w:color="auto"/>
              <w:right w:val="single" w:sz="4" w:space="0" w:color="auto"/>
            </w:tcBorders>
            <w:shd w:val="clear" w:color="auto" w:fill="C6EFCE"/>
            <w:noWrap/>
            <w:vAlign w:val="center"/>
            <w:hideMark/>
          </w:tcPr>
          <w:p w14:paraId="6A3B12E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5–2.1. Connect – 16818_Infrastruktura optických vláken v budovách</w:t>
            </w:r>
          </w:p>
        </w:tc>
        <w:tc>
          <w:tcPr>
            <w:tcW w:w="1680" w:type="dxa"/>
            <w:tcBorders>
              <w:top w:val="nil"/>
              <w:left w:val="nil"/>
              <w:bottom w:val="single" w:sz="4" w:space="0" w:color="auto"/>
              <w:right w:val="single" w:sz="4" w:space="0" w:color="auto"/>
            </w:tcBorders>
            <w:shd w:val="clear" w:color="auto" w:fill="C6EFCE"/>
            <w:noWrap/>
            <w:vAlign w:val="center"/>
            <w:hideMark/>
          </w:tcPr>
          <w:p w14:paraId="775070B1"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64003B85"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projektu </w:t>
            </w:r>
            <w:r>
              <w:rPr>
                <w:noProof/>
              </w:rPr>
              <w:t>„Infrastruktura optických vláken v budovách“</w:t>
            </w:r>
          </w:p>
        </w:tc>
      </w:tr>
      <w:tr w:rsidR="00515398" w14:paraId="06F99B6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DEF0B9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92</w:t>
            </w:r>
          </w:p>
        </w:tc>
        <w:tc>
          <w:tcPr>
            <w:tcW w:w="4320" w:type="dxa"/>
            <w:tcBorders>
              <w:top w:val="nil"/>
              <w:left w:val="nil"/>
              <w:bottom w:val="single" w:sz="4" w:space="0" w:color="auto"/>
              <w:right w:val="single" w:sz="4" w:space="0" w:color="auto"/>
            </w:tcBorders>
            <w:shd w:val="clear" w:color="auto" w:fill="C6EFCE"/>
            <w:noWrap/>
            <w:vAlign w:val="center"/>
            <w:hideMark/>
          </w:tcPr>
          <w:p w14:paraId="269BE5A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5–2.1. Connect – 16855_Malé družice</w:t>
            </w:r>
          </w:p>
        </w:tc>
        <w:tc>
          <w:tcPr>
            <w:tcW w:w="1680" w:type="dxa"/>
            <w:tcBorders>
              <w:top w:val="nil"/>
              <w:left w:val="nil"/>
              <w:bottom w:val="single" w:sz="4" w:space="0" w:color="auto"/>
              <w:right w:val="single" w:sz="4" w:space="0" w:color="auto"/>
            </w:tcBorders>
            <w:shd w:val="clear" w:color="auto" w:fill="C6EFCE"/>
            <w:noWrap/>
            <w:vAlign w:val="center"/>
            <w:hideMark/>
          </w:tcPr>
          <w:p w14:paraId="45C572E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2D52BAE"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projektu „malé družice“ </w:t>
            </w:r>
          </w:p>
        </w:tc>
      </w:tr>
      <w:tr w:rsidR="00515398" w14:paraId="0CF5BC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0CBE5E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95</w:t>
            </w:r>
          </w:p>
        </w:tc>
        <w:tc>
          <w:tcPr>
            <w:tcW w:w="4320" w:type="dxa"/>
            <w:tcBorders>
              <w:top w:val="nil"/>
              <w:left w:val="nil"/>
              <w:bottom w:val="single" w:sz="4" w:space="0" w:color="auto"/>
              <w:right w:val="single" w:sz="4" w:space="0" w:color="auto"/>
            </w:tcBorders>
            <w:shd w:val="clear" w:color="auto" w:fill="C6EFCE"/>
            <w:noWrap/>
            <w:vAlign w:val="center"/>
            <w:hideMark/>
          </w:tcPr>
          <w:p w14:paraId="193EE7A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6–2.2. Modernizace – 16778_Digitalizace archivů a souvisejících služeb</w:t>
            </w:r>
          </w:p>
        </w:tc>
        <w:tc>
          <w:tcPr>
            <w:tcW w:w="1680" w:type="dxa"/>
            <w:tcBorders>
              <w:top w:val="nil"/>
              <w:left w:val="nil"/>
              <w:bottom w:val="single" w:sz="4" w:space="0" w:color="auto"/>
              <w:right w:val="single" w:sz="4" w:space="0" w:color="auto"/>
            </w:tcBorders>
            <w:shd w:val="clear" w:color="auto" w:fill="C6EFCE"/>
            <w:noWrap/>
            <w:vAlign w:val="center"/>
            <w:hideMark/>
          </w:tcPr>
          <w:p w14:paraId="1D4A596C"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485556F4" w14:textId="77777777" w:rsidR="00515398" w:rsidRDefault="006711E6">
            <w:pPr>
              <w:pStyle w:val="P68B1DB1-Normal8"/>
              <w:keepNext/>
              <w:spacing w:before="40" w:after="0" w:line="240" w:lineRule="auto"/>
              <w:jc w:val="both"/>
              <w:rPr>
                <w:rFonts w:eastAsia="Times New Roman" w:cs="Times New Roman"/>
                <w:noProof/>
                <w:szCs w:val="18"/>
              </w:rPr>
            </w:pPr>
            <w:r>
              <w:rPr>
                <w:noProof/>
              </w:rPr>
              <w:t>Digitalizace archivů – plné provedení</w:t>
            </w:r>
          </w:p>
        </w:tc>
      </w:tr>
      <w:tr w:rsidR="00515398" w14:paraId="6FC459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4A5B252E" w14:textId="77777777" w:rsidR="00515398" w:rsidRDefault="006711E6">
            <w:pPr>
              <w:pStyle w:val="P68B1DB1-Normal8"/>
              <w:keepNext/>
              <w:spacing w:before="40" w:after="0" w:line="240" w:lineRule="auto"/>
              <w:jc w:val="both"/>
              <w:rPr>
                <w:rFonts w:cs="Times New Roman"/>
                <w:noProof/>
                <w:szCs w:val="18"/>
              </w:rPr>
            </w:pPr>
            <w:r>
              <w:rPr>
                <w:noProof/>
              </w:rPr>
              <w:t>95a</w:t>
            </w:r>
          </w:p>
        </w:tc>
        <w:tc>
          <w:tcPr>
            <w:tcW w:w="4320" w:type="dxa"/>
            <w:tcBorders>
              <w:top w:val="nil"/>
              <w:left w:val="nil"/>
              <w:bottom w:val="single" w:sz="4" w:space="0" w:color="auto"/>
              <w:right w:val="single" w:sz="4" w:space="0" w:color="auto"/>
            </w:tcBorders>
            <w:shd w:val="clear" w:color="auto" w:fill="C6EFCE"/>
            <w:noWrap/>
            <w:hideMark/>
          </w:tcPr>
          <w:p w14:paraId="25AE26B6" w14:textId="77777777" w:rsidR="00515398" w:rsidRDefault="006711E6">
            <w:pPr>
              <w:pStyle w:val="P68B1DB1-Normal8"/>
              <w:keepNext/>
              <w:spacing w:before="40" w:after="0" w:line="240" w:lineRule="auto"/>
              <w:jc w:val="both"/>
              <w:rPr>
                <w:rFonts w:cs="Times New Roman"/>
                <w:noProof/>
                <w:szCs w:val="18"/>
              </w:rPr>
            </w:pPr>
            <w:r>
              <w:rPr>
                <w:noProof/>
              </w:rPr>
              <w:t>6–2.2. Modernizace – 16778_Digitalizace archivů a souvisejících služeb</w:t>
            </w:r>
          </w:p>
        </w:tc>
        <w:tc>
          <w:tcPr>
            <w:tcW w:w="1680" w:type="dxa"/>
            <w:tcBorders>
              <w:top w:val="nil"/>
              <w:left w:val="nil"/>
              <w:bottom w:val="single" w:sz="4" w:space="0" w:color="auto"/>
              <w:right w:val="single" w:sz="4" w:space="0" w:color="auto"/>
            </w:tcBorders>
            <w:shd w:val="clear" w:color="auto" w:fill="C6EFCE"/>
            <w:noWrap/>
            <w:hideMark/>
          </w:tcPr>
          <w:p w14:paraId="250FD528"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6B712C7B" w14:textId="77777777" w:rsidR="00515398" w:rsidRDefault="006711E6">
            <w:pPr>
              <w:pStyle w:val="P68B1DB1-Normal8"/>
              <w:keepNext/>
              <w:spacing w:before="40" w:after="0" w:line="240" w:lineRule="auto"/>
              <w:jc w:val="both"/>
              <w:rPr>
                <w:rFonts w:cs="Times New Roman"/>
                <w:noProof/>
                <w:szCs w:val="18"/>
              </w:rPr>
            </w:pPr>
            <w:r>
              <w:rPr>
                <w:noProof/>
              </w:rPr>
              <w:t>Provádění dílčích projektů 7B a 9</w:t>
            </w:r>
          </w:p>
        </w:tc>
      </w:tr>
      <w:tr w:rsidR="00515398" w14:paraId="0976B6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AA7966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99</w:t>
            </w:r>
          </w:p>
        </w:tc>
        <w:tc>
          <w:tcPr>
            <w:tcW w:w="4320" w:type="dxa"/>
            <w:tcBorders>
              <w:top w:val="nil"/>
              <w:left w:val="nil"/>
              <w:bottom w:val="single" w:sz="4" w:space="0" w:color="auto"/>
              <w:right w:val="single" w:sz="4" w:space="0" w:color="auto"/>
            </w:tcBorders>
            <w:shd w:val="clear" w:color="auto" w:fill="C6EFCE"/>
            <w:noWrap/>
            <w:vAlign w:val="center"/>
            <w:hideMark/>
          </w:tcPr>
          <w:p w14:paraId="6A426F6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 6–2.2. Modernizace – 16929_Směrem ke službám veřejné správy zaměřeným na zákazníky prostřednictvím zjednodušení a zlepšení procesů, </w:t>
            </w:r>
            <w:r>
              <w:rPr>
                <w:noProof/>
              </w:rPr>
              <w:t>zlepšení systémů a souladu s evropskými strategiemi a politikami</w:t>
            </w:r>
          </w:p>
        </w:tc>
        <w:tc>
          <w:tcPr>
            <w:tcW w:w="1680" w:type="dxa"/>
            <w:tcBorders>
              <w:top w:val="nil"/>
              <w:left w:val="nil"/>
              <w:bottom w:val="single" w:sz="4" w:space="0" w:color="auto"/>
              <w:right w:val="single" w:sz="4" w:space="0" w:color="auto"/>
            </w:tcBorders>
            <w:shd w:val="clear" w:color="auto" w:fill="C6EFCE"/>
            <w:noWrap/>
            <w:vAlign w:val="center"/>
            <w:hideMark/>
          </w:tcPr>
          <w:p w14:paraId="11B85E7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90BEC57"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strategie snižování administrativní zátěže a vnitrostátního plánu na zjednodušení postupů (konečná fáze)</w:t>
            </w:r>
          </w:p>
        </w:tc>
      </w:tr>
      <w:tr w:rsidR="00515398" w14:paraId="14B9F40F" w14:textId="77777777">
        <w:trPr>
          <w:trHeight w:val="300"/>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51DCDC19" w14:textId="027E072F" w:rsidR="00515398" w:rsidRDefault="006711E6">
            <w:pPr>
              <w:pStyle w:val="P68B1DB1-Normal49"/>
              <w:keepNext/>
              <w:spacing w:before="40" w:after="0" w:line="240" w:lineRule="auto"/>
              <w:jc w:val="both"/>
              <w:rPr>
                <w:rFonts w:eastAsia="Times New Roman" w:cs="Times New Roman"/>
                <w:noProof/>
              </w:rPr>
            </w:pPr>
            <w:r>
              <w:rPr>
                <w:noProof/>
              </w:rPr>
              <w:t>108</w:t>
            </w:r>
          </w:p>
        </w:tc>
        <w:tc>
          <w:tcPr>
            <w:tcW w:w="4320" w:type="dxa"/>
            <w:tcBorders>
              <w:top w:val="nil"/>
              <w:left w:val="nil"/>
              <w:bottom w:val="single" w:sz="4" w:space="0" w:color="auto"/>
              <w:right w:val="single" w:sz="4" w:space="0" w:color="auto"/>
            </w:tcBorders>
            <w:shd w:val="clear" w:color="auto" w:fill="C6EFCE"/>
            <w:noWrap/>
            <w:vAlign w:val="center"/>
          </w:tcPr>
          <w:p w14:paraId="15360C51" w14:textId="0B9BF31C" w:rsidR="00515398" w:rsidRDefault="006711E6">
            <w:pPr>
              <w:pStyle w:val="P68B1DB1-Normal49"/>
              <w:keepNext/>
              <w:spacing w:before="40" w:after="0" w:line="240" w:lineRule="auto"/>
              <w:jc w:val="both"/>
              <w:rPr>
                <w:rFonts w:eastAsia="Times New Roman" w:cs="Times New Roman"/>
                <w:noProof/>
              </w:rPr>
            </w:pPr>
            <w:r>
              <w:rPr>
                <w:noProof/>
              </w:rPr>
              <w:t xml:space="preserve">6–2.2. Modernizace – 16779_Interoperabilita a rozvoj </w:t>
            </w:r>
            <w:r>
              <w:rPr>
                <w:noProof/>
              </w:rPr>
              <w:t>internetových služeb</w:t>
            </w:r>
          </w:p>
        </w:tc>
        <w:tc>
          <w:tcPr>
            <w:tcW w:w="1680" w:type="dxa"/>
            <w:tcBorders>
              <w:top w:val="nil"/>
              <w:left w:val="nil"/>
              <w:bottom w:val="single" w:sz="4" w:space="0" w:color="auto"/>
              <w:right w:val="single" w:sz="4" w:space="0" w:color="auto"/>
            </w:tcBorders>
            <w:shd w:val="clear" w:color="auto" w:fill="C6EFCE"/>
            <w:noWrap/>
            <w:vAlign w:val="center"/>
          </w:tcPr>
          <w:p w14:paraId="7C58ED3B" w14:textId="556C2308" w:rsidR="00515398" w:rsidRDefault="006711E6">
            <w:pPr>
              <w:pStyle w:val="P68B1DB1-Normal49"/>
              <w:keepNext/>
              <w:spacing w:before="40" w:after="0" w:line="240" w:lineRule="auto"/>
              <w:jc w:val="both"/>
              <w:rPr>
                <w:rFonts w:eastAsia="Times New Roman" w:cs="Times New Roman"/>
                <w:noProof/>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4894CCF" w14:textId="5EA09273" w:rsidR="00515398" w:rsidRDefault="006711E6">
            <w:pPr>
              <w:pStyle w:val="P68B1DB1-Normal49"/>
              <w:keepNext/>
              <w:spacing w:before="40" w:after="0" w:line="240" w:lineRule="auto"/>
              <w:jc w:val="both"/>
              <w:rPr>
                <w:rFonts w:eastAsia="Times New Roman" w:cs="Times New Roman"/>
                <w:noProof/>
              </w:rPr>
            </w:pPr>
            <w:r>
              <w:rPr>
                <w:noProof/>
              </w:rPr>
              <w:t>Dokončení projektu Interoperabilita a vývoj internetových služeb</w:t>
            </w:r>
          </w:p>
        </w:tc>
      </w:tr>
      <w:tr w:rsidR="00515398" w14:paraId="13C9174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A53619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119</w:t>
            </w:r>
          </w:p>
        </w:tc>
        <w:tc>
          <w:tcPr>
            <w:tcW w:w="4320" w:type="dxa"/>
            <w:tcBorders>
              <w:top w:val="nil"/>
              <w:left w:val="nil"/>
              <w:bottom w:val="single" w:sz="4" w:space="0" w:color="auto"/>
              <w:right w:val="single" w:sz="4" w:space="0" w:color="auto"/>
            </w:tcBorders>
            <w:shd w:val="clear" w:color="auto" w:fill="C6EFCE"/>
            <w:noWrap/>
            <w:vAlign w:val="center"/>
            <w:hideMark/>
          </w:tcPr>
          <w:p w14:paraId="5BD45F2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16736_Nový systém pro zadávání veřejných zakázek</w:t>
            </w:r>
          </w:p>
        </w:tc>
        <w:tc>
          <w:tcPr>
            <w:tcW w:w="1680" w:type="dxa"/>
            <w:tcBorders>
              <w:top w:val="nil"/>
              <w:left w:val="nil"/>
              <w:bottom w:val="single" w:sz="4" w:space="0" w:color="auto"/>
              <w:right w:val="single" w:sz="4" w:space="0" w:color="auto"/>
            </w:tcBorders>
            <w:shd w:val="clear" w:color="auto" w:fill="C6EFCE"/>
            <w:noWrap/>
            <w:vAlign w:val="center"/>
            <w:hideMark/>
          </w:tcPr>
          <w:p w14:paraId="7D53784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063AAB45"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nového systému zadávání veřejných zakázek </w:t>
            </w:r>
          </w:p>
        </w:tc>
      </w:tr>
      <w:tr w:rsidR="00515398" w14:paraId="6F1BB99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48E2AB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120</w:t>
            </w:r>
          </w:p>
        </w:tc>
        <w:tc>
          <w:tcPr>
            <w:tcW w:w="4320" w:type="dxa"/>
            <w:tcBorders>
              <w:top w:val="nil"/>
              <w:left w:val="nil"/>
              <w:bottom w:val="single" w:sz="4" w:space="0" w:color="auto"/>
              <w:right w:val="single" w:sz="4" w:space="0" w:color="auto"/>
            </w:tcBorders>
            <w:shd w:val="clear" w:color="auto" w:fill="C6EFCE"/>
            <w:noWrap/>
            <w:vAlign w:val="center"/>
            <w:hideMark/>
          </w:tcPr>
          <w:p w14:paraId="7D09DCA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6–2.2. Modernizace – </w:t>
            </w:r>
            <w:r>
              <w:rPr>
                <w:noProof/>
              </w:rPr>
              <w:t>16824_ERegistry</w:t>
            </w:r>
          </w:p>
        </w:tc>
        <w:tc>
          <w:tcPr>
            <w:tcW w:w="1680" w:type="dxa"/>
            <w:tcBorders>
              <w:top w:val="nil"/>
              <w:left w:val="nil"/>
              <w:bottom w:val="single" w:sz="4" w:space="0" w:color="auto"/>
              <w:right w:val="single" w:sz="4" w:space="0" w:color="auto"/>
            </w:tcBorders>
            <w:shd w:val="clear" w:color="auto" w:fill="C6EFCE"/>
            <w:noWrap/>
            <w:vAlign w:val="center"/>
            <w:hideMark/>
          </w:tcPr>
          <w:p w14:paraId="7E6431D6"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4D8E024"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projektu ERegistries </w:t>
            </w:r>
          </w:p>
        </w:tc>
      </w:tr>
      <w:tr w:rsidR="00515398" w14:paraId="6630136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5ABC10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123</w:t>
            </w:r>
          </w:p>
        </w:tc>
        <w:tc>
          <w:tcPr>
            <w:tcW w:w="4320" w:type="dxa"/>
            <w:tcBorders>
              <w:top w:val="nil"/>
              <w:left w:val="nil"/>
              <w:bottom w:val="single" w:sz="4" w:space="0" w:color="auto"/>
              <w:right w:val="single" w:sz="4" w:space="0" w:color="auto"/>
            </w:tcBorders>
            <w:shd w:val="clear" w:color="auto" w:fill="C6EFCE"/>
            <w:noWrap/>
            <w:vAlign w:val="center"/>
            <w:hideMark/>
          </w:tcPr>
          <w:p w14:paraId="7918139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16854_Inteligentní města</w:t>
            </w:r>
          </w:p>
        </w:tc>
        <w:tc>
          <w:tcPr>
            <w:tcW w:w="1680" w:type="dxa"/>
            <w:tcBorders>
              <w:top w:val="nil"/>
              <w:left w:val="nil"/>
              <w:bottom w:val="single" w:sz="4" w:space="0" w:color="auto"/>
              <w:right w:val="single" w:sz="4" w:space="0" w:color="auto"/>
            </w:tcBorders>
            <w:shd w:val="clear" w:color="auto" w:fill="C6EFCE"/>
            <w:noWrap/>
            <w:vAlign w:val="center"/>
            <w:hideMark/>
          </w:tcPr>
          <w:p w14:paraId="2BB5361E"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61E9ECD8" w14:textId="77777777" w:rsidR="00515398" w:rsidRDefault="006711E6">
            <w:pPr>
              <w:pStyle w:val="P68B1DB1-Normal8"/>
              <w:keepNext/>
              <w:spacing w:before="40" w:after="0" w:line="240" w:lineRule="auto"/>
              <w:jc w:val="both"/>
              <w:rPr>
                <w:rFonts w:eastAsia="Times New Roman" w:cs="Times New Roman"/>
                <w:noProof/>
                <w:szCs w:val="18"/>
              </w:rPr>
            </w:pPr>
            <w:r>
              <w:rPr>
                <w:noProof/>
              </w:rPr>
              <w:t>Úplné provedení projektů inteligentních měst</w:t>
            </w:r>
          </w:p>
        </w:tc>
      </w:tr>
      <w:tr w:rsidR="00515398" w14:paraId="29A39C5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D6536B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w:t>
            </w:r>
          </w:p>
        </w:tc>
        <w:tc>
          <w:tcPr>
            <w:tcW w:w="4320" w:type="dxa"/>
            <w:tcBorders>
              <w:top w:val="nil"/>
              <w:left w:val="nil"/>
              <w:bottom w:val="single" w:sz="4" w:space="0" w:color="auto"/>
              <w:right w:val="single" w:sz="4" w:space="0" w:color="auto"/>
            </w:tcBorders>
            <w:shd w:val="clear" w:color="auto" w:fill="C6EFCE"/>
            <w:noWrap/>
            <w:vAlign w:val="center"/>
            <w:hideMark/>
          </w:tcPr>
          <w:p w14:paraId="0EF05A8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6–2.2. Modernizace – 16928_Začlenění nových technologií a trendů směrem k vyspělým službám </w:t>
            </w:r>
            <w:r>
              <w:rPr>
                <w:noProof/>
              </w:rPr>
              <w:t>veřejné správy, zvýšení účinnosti a účelnosti a snížení nákladů na provoz, modernizaci a údržbu systémů</w:t>
            </w:r>
          </w:p>
        </w:tc>
        <w:tc>
          <w:tcPr>
            <w:tcW w:w="1680" w:type="dxa"/>
            <w:tcBorders>
              <w:top w:val="nil"/>
              <w:left w:val="nil"/>
              <w:bottom w:val="single" w:sz="4" w:space="0" w:color="auto"/>
              <w:right w:val="single" w:sz="4" w:space="0" w:color="auto"/>
            </w:tcBorders>
            <w:shd w:val="clear" w:color="auto" w:fill="C6EFCE"/>
            <w:noWrap/>
            <w:vAlign w:val="center"/>
            <w:hideMark/>
          </w:tcPr>
          <w:p w14:paraId="35CDBD4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0E3AE54" w14:textId="0C2E417F" w:rsidR="00515398" w:rsidRDefault="006711E6">
            <w:pPr>
              <w:pStyle w:val="P68B1DB1-Normal8"/>
              <w:keepNext/>
              <w:spacing w:before="40" w:after="0" w:line="240" w:lineRule="auto"/>
              <w:jc w:val="both"/>
              <w:rPr>
                <w:rFonts w:eastAsia="Times New Roman" w:cs="Times New Roman"/>
                <w:noProof/>
                <w:szCs w:val="18"/>
              </w:rPr>
            </w:pPr>
            <w:r>
              <w:rPr>
                <w:noProof/>
              </w:rPr>
              <w:t>Rámec pro začlenění nových technologií do veřejné správy</w:t>
            </w:r>
          </w:p>
        </w:tc>
      </w:tr>
      <w:tr w:rsidR="00515398" w14:paraId="5F5AC5C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4B0941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125</w:t>
            </w:r>
          </w:p>
        </w:tc>
        <w:tc>
          <w:tcPr>
            <w:tcW w:w="4320" w:type="dxa"/>
            <w:tcBorders>
              <w:top w:val="nil"/>
              <w:left w:val="nil"/>
              <w:bottom w:val="single" w:sz="4" w:space="0" w:color="auto"/>
              <w:right w:val="single" w:sz="4" w:space="0" w:color="auto"/>
            </w:tcBorders>
            <w:shd w:val="clear" w:color="auto" w:fill="C6EFCE"/>
            <w:noWrap/>
            <w:vAlign w:val="center"/>
            <w:hideMark/>
          </w:tcPr>
          <w:p w14:paraId="052CEBF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16955_Modernizace cloudové infrastruktury a služeb vnitrostátn</w:t>
            </w:r>
            <w:r>
              <w:rPr>
                <w:noProof/>
              </w:rPr>
              <w:t>ích infrastruktur pro výzkum a technologie (GRNET)</w:t>
            </w:r>
          </w:p>
        </w:tc>
        <w:tc>
          <w:tcPr>
            <w:tcW w:w="1680" w:type="dxa"/>
            <w:tcBorders>
              <w:top w:val="nil"/>
              <w:left w:val="nil"/>
              <w:bottom w:val="single" w:sz="4" w:space="0" w:color="auto"/>
              <w:right w:val="single" w:sz="4" w:space="0" w:color="auto"/>
            </w:tcBorders>
            <w:shd w:val="clear" w:color="auto" w:fill="C6EFCE"/>
            <w:noWrap/>
            <w:vAlign w:val="center"/>
            <w:hideMark/>
          </w:tcPr>
          <w:p w14:paraId="2765983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F8D008B"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sítě GRNET </w:t>
            </w:r>
          </w:p>
        </w:tc>
      </w:tr>
      <w:tr w:rsidR="00515398" w14:paraId="15D2505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862A27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127</w:t>
            </w:r>
          </w:p>
        </w:tc>
        <w:tc>
          <w:tcPr>
            <w:tcW w:w="4320" w:type="dxa"/>
            <w:tcBorders>
              <w:top w:val="nil"/>
              <w:left w:val="nil"/>
              <w:bottom w:val="single" w:sz="4" w:space="0" w:color="auto"/>
              <w:right w:val="single" w:sz="4" w:space="0" w:color="auto"/>
            </w:tcBorders>
            <w:shd w:val="clear" w:color="auto" w:fill="C6EFCE"/>
            <w:noWrap/>
            <w:vAlign w:val="center"/>
            <w:hideMark/>
          </w:tcPr>
          <w:p w14:paraId="3AFE642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16956_rozšíření Syzefksis II</w:t>
            </w:r>
          </w:p>
        </w:tc>
        <w:tc>
          <w:tcPr>
            <w:tcW w:w="1680" w:type="dxa"/>
            <w:tcBorders>
              <w:top w:val="nil"/>
              <w:left w:val="nil"/>
              <w:bottom w:val="single" w:sz="4" w:space="0" w:color="auto"/>
              <w:right w:val="single" w:sz="4" w:space="0" w:color="auto"/>
            </w:tcBorders>
            <w:shd w:val="clear" w:color="auto" w:fill="C6EFCE"/>
            <w:noWrap/>
            <w:vAlign w:val="center"/>
            <w:hideMark/>
          </w:tcPr>
          <w:p w14:paraId="4C55E2BF"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5E88F68"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Syzefksis II</w:t>
            </w:r>
          </w:p>
        </w:tc>
      </w:tr>
      <w:tr w:rsidR="00515398" w14:paraId="7728410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060DEF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128</w:t>
            </w:r>
          </w:p>
        </w:tc>
        <w:tc>
          <w:tcPr>
            <w:tcW w:w="4320" w:type="dxa"/>
            <w:tcBorders>
              <w:top w:val="nil"/>
              <w:left w:val="nil"/>
              <w:bottom w:val="single" w:sz="4" w:space="0" w:color="auto"/>
              <w:right w:val="single" w:sz="4" w:space="0" w:color="auto"/>
            </w:tcBorders>
            <w:shd w:val="clear" w:color="auto" w:fill="C6EFCE"/>
            <w:noWrap/>
            <w:vAlign w:val="center"/>
            <w:hideMark/>
          </w:tcPr>
          <w:p w14:paraId="5F57716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16827_Strategie a politiky správy dat pro veřejný sektor</w:t>
            </w:r>
          </w:p>
        </w:tc>
        <w:tc>
          <w:tcPr>
            <w:tcW w:w="1680" w:type="dxa"/>
            <w:tcBorders>
              <w:top w:val="nil"/>
              <w:left w:val="nil"/>
              <w:bottom w:val="single" w:sz="4" w:space="0" w:color="auto"/>
              <w:right w:val="single" w:sz="4" w:space="0" w:color="auto"/>
            </w:tcBorders>
            <w:shd w:val="clear" w:color="auto" w:fill="C6EFCE"/>
            <w:noWrap/>
            <w:vAlign w:val="center"/>
            <w:hideMark/>
          </w:tcPr>
          <w:p w14:paraId="38A5EF3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0D78579"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strategie správy dat</w:t>
            </w:r>
          </w:p>
        </w:tc>
      </w:tr>
      <w:tr w:rsidR="00515398" w14:paraId="614E25D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E53B41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129</w:t>
            </w:r>
          </w:p>
        </w:tc>
        <w:tc>
          <w:tcPr>
            <w:tcW w:w="4320" w:type="dxa"/>
            <w:tcBorders>
              <w:top w:val="nil"/>
              <w:left w:val="nil"/>
              <w:bottom w:val="single" w:sz="4" w:space="0" w:color="auto"/>
              <w:right w:val="single" w:sz="4" w:space="0" w:color="auto"/>
            </w:tcBorders>
            <w:shd w:val="clear" w:color="auto" w:fill="C6EFCE"/>
            <w:noWrap/>
            <w:vAlign w:val="center"/>
            <w:hideMark/>
          </w:tcPr>
          <w:p w14:paraId="4C30844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6–2.2. Modernizace – 16842_Central BI – Analytika dat</w:t>
            </w:r>
          </w:p>
        </w:tc>
        <w:tc>
          <w:tcPr>
            <w:tcW w:w="1680" w:type="dxa"/>
            <w:tcBorders>
              <w:top w:val="nil"/>
              <w:left w:val="nil"/>
              <w:bottom w:val="single" w:sz="4" w:space="0" w:color="auto"/>
              <w:right w:val="single" w:sz="4" w:space="0" w:color="auto"/>
            </w:tcBorders>
            <w:shd w:val="clear" w:color="auto" w:fill="C6EFCE"/>
            <w:noWrap/>
            <w:vAlign w:val="center"/>
            <w:hideMark/>
          </w:tcPr>
          <w:p w14:paraId="7C4FCB9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C436A35"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centrálního BI</w:t>
            </w:r>
          </w:p>
        </w:tc>
      </w:tr>
      <w:tr w:rsidR="00515398" w14:paraId="2404970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45AECC8" w14:textId="57C25D41" w:rsidR="00515398" w:rsidRDefault="006711E6">
            <w:pPr>
              <w:pStyle w:val="P68B1DB1-Normal49"/>
              <w:spacing w:line="240" w:lineRule="auto"/>
              <w:jc w:val="both"/>
              <w:rPr>
                <w:noProof/>
              </w:rPr>
            </w:pPr>
            <w:r>
              <w:rPr>
                <w:noProof/>
              </w:rPr>
              <w:t>131a</w:t>
            </w:r>
          </w:p>
        </w:tc>
        <w:tc>
          <w:tcPr>
            <w:tcW w:w="4320" w:type="dxa"/>
            <w:tcBorders>
              <w:top w:val="nil"/>
              <w:left w:val="nil"/>
              <w:bottom w:val="single" w:sz="4" w:space="0" w:color="auto"/>
              <w:right w:val="single" w:sz="4" w:space="0" w:color="auto"/>
            </w:tcBorders>
            <w:shd w:val="clear" w:color="auto" w:fill="C6EFCE"/>
            <w:noWrap/>
            <w:vAlign w:val="center"/>
          </w:tcPr>
          <w:p w14:paraId="386650D7" w14:textId="77777777" w:rsidR="00515398" w:rsidRDefault="006711E6">
            <w:pPr>
              <w:pStyle w:val="P68B1DB1-Normal49"/>
              <w:keepNext/>
              <w:spacing w:before="40" w:after="0" w:line="240" w:lineRule="auto"/>
              <w:jc w:val="both"/>
              <w:rPr>
                <w:rFonts w:eastAsia="Times New Roman" w:cs="Times New Roman"/>
                <w:noProof/>
              </w:rPr>
            </w:pPr>
            <w:r>
              <w:rPr>
                <w:noProof/>
              </w:rPr>
              <w:t>7–2.3. Digitalizace podniků – 16706_Digitální transformace malých a středních podniků</w:t>
            </w:r>
          </w:p>
        </w:tc>
        <w:tc>
          <w:tcPr>
            <w:tcW w:w="1680" w:type="dxa"/>
            <w:tcBorders>
              <w:top w:val="nil"/>
              <w:left w:val="nil"/>
              <w:bottom w:val="single" w:sz="4" w:space="0" w:color="auto"/>
              <w:right w:val="single" w:sz="4" w:space="0" w:color="auto"/>
            </w:tcBorders>
            <w:shd w:val="clear" w:color="auto" w:fill="C6EFCE"/>
            <w:noWrap/>
            <w:vAlign w:val="center"/>
          </w:tcPr>
          <w:p w14:paraId="1F02B869" w14:textId="77777777" w:rsidR="00515398" w:rsidRDefault="006711E6">
            <w:pPr>
              <w:pStyle w:val="P68B1DB1-Normal49"/>
              <w:keepNext/>
              <w:spacing w:before="40" w:after="0" w:line="240" w:lineRule="auto"/>
              <w:jc w:val="both"/>
              <w:rPr>
                <w:rFonts w:eastAsia="Times New Roman" w:cs="Times New Roman"/>
                <w:noProof/>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F84E192" w14:textId="1FC34967" w:rsidR="00515398" w:rsidRDefault="006711E6">
            <w:pPr>
              <w:pStyle w:val="P68B1DB1-Normal8"/>
              <w:keepNext/>
              <w:spacing w:before="40" w:after="0" w:line="240" w:lineRule="auto"/>
              <w:jc w:val="both"/>
              <w:rPr>
                <w:rFonts w:cs="Calibri"/>
                <w:noProof/>
                <w:szCs w:val="18"/>
              </w:rPr>
            </w:pPr>
            <w:r>
              <w:rPr>
                <w:noProof/>
                <w:szCs w:val="18"/>
              </w:rPr>
              <w:t xml:space="preserve">Digitální transformace malých a středních podniků </w:t>
            </w:r>
            <w:r>
              <w:rPr>
                <w:noProof/>
              </w:rPr>
              <w:t xml:space="preserve">– zavádění digitálních produktů a zřízení centra pro malé a střední podniky </w:t>
            </w:r>
            <w:r>
              <w:rPr>
                <w:noProof/>
                <w:szCs w:val="18"/>
              </w:rPr>
              <w:t>Gaia-X</w:t>
            </w:r>
          </w:p>
        </w:tc>
      </w:tr>
      <w:tr w:rsidR="00515398" w14:paraId="407601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0E0E2729" w14:textId="77777777" w:rsidR="00515398" w:rsidRDefault="006711E6">
            <w:pPr>
              <w:pStyle w:val="P68B1DB1-Normal8"/>
              <w:keepNext/>
              <w:spacing w:before="40" w:after="0" w:line="240" w:lineRule="auto"/>
              <w:jc w:val="both"/>
              <w:rPr>
                <w:rFonts w:cs="Times New Roman"/>
                <w:noProof/>
                <w:szCs w:val="18"/>
              </w:rPr>
            </w:pPr>
            <w:r>
              <w:rPr>
                <w:noProof/>
              </w:rPr>
              <w:t>135a</w:t>
            </w:r>
          </w:p>
        </w:tc>
        <w:tc>
          <w:tcPr>
            <w:tcW w:w="4320" w:type="dxa"/>
            <w:tcBorders>
              <w:top w:val="nil"/>
              <w:left w:val="nil"/>
              <w:bottom w:val="single" w:sz="4" w:space="0" w:color="auto"/>
              <w:right w:val="single" w:sz="4" w:space="0" w:color="auto"/>
            </w:tcBorders>
            <w:shd w:val="clear" w:color="auto" w:fill="C6EFCE"/>
            <w:noWrap/>
            <w:hideMark/>
          </w:tcPr>
          <w:p w14:paraId="50010E02" w14:textId="77777777" w:rsidR="00515398" w:rsidRDefault="006711E6">
            <w:pPr>
              <w:pStyle w:val="P68B1DB1-Normal8"/>
              <w:keepNext/>
              <w:spacing w:before="40" w:after="0" w:line="240" w:lineRule="auto"/>
              <w:jc w:val="both"/>
              <w:rPr>
                <w:rFonts w:cs="Times New Roman"/>
                <w:noProof/>
                <w:szCs w:val="18"/>
              </w:rPr>
            </w:pPr>
            <w:r>
              <w:rPr>
                <w:noProof/>
              </w:rPr>
              <w:t>8–3.1. Podpora tvorby pracovních míst a účasti na trhu práce – 16942_Digitální transformace veřejné služby zaměstnano</w:t>
            </w:r>
            <w:r>
              <w:rPr>
                <w:noProof/>
              </w:rPr>
              <w:t>sti</w:t>
            </w:r>
          </w:p>
        </w:tc>
        <w:tc>
          <w:tcPr>
            <w:tcW w:w="1680" w:type="dxa"/>
            <w:tcBorders>
              <w:top w:val="nil"/>
              <w:left w:val="nil"/>
              <w:bottom w:val="single" w:sz="4" w:space="0" w:color="auto"/>
              <w:right w:val="single" w:sz="4" w:space="0" w:color="auto"/>
            </w:tcBorders>
            <w:shd w:val="clear" w:color="auto" w:fill="C6EFCE"/>
            <w:noWrap/>
            <w:hideMark/>
          </w:tcPr>
          <w:p w14:paraId="538352D2"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hideMark/>
          </w:tcPr>
          <w:p w14:paraId="700D11EF" w14:textId="77777777" w:rsidR="00515398" w:rsidRDefault="006711E6">
            <w:pPr>
              <w:pStyle w:val="P68B1DB1-Normal8"/>
              <w:keepNext/>
              <w:spacing w:before="40" w:after="0" w:line="240" w:lineRule="auto"/>
              <w:jc w:val="both"/>
              <w:rPr>
                <w:rFonts w:cs="Times New Roman"/>
                <w:noProof/>
                <w:szCs w:val="18"/>
              </w:rPr>
            </w:pPr>
            <w:r>
              <w:rPr>
                <w:noProof/>
              </w:rPr>
              <w:t>Digitální transformace DYPA</w:t>
            </w:r>
          </w:p>
        </w:tc>
      </w:tr>
      <w:tr w:rsidR="00515398" w14:paraId="5756313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A1ABEC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140</w:t>
            </w:r>
          </w:p>
        </w:tc>
        <w:tc>
          <w:tcPr>
            <w:tcW w:w="4320" w:type="dxa"/>
            <w:tcBorders>
              <w:top w:val="nil"/>
              <w:left w:val="nil"/>
              <w:bottom w:val="single" w:sz="4" w:space="0" w:color="auto"/>
              <w:right w:val="single" w:sz="4" w:space="0" w:color="auto"/>
            </w:tcBorders>
            <w:shd w:val="clear" w:color="auto" w:fill="C6EFCE"/>
            <w:noWrap/>
            <w:vAlign w:val="center"/>
            <w:hideMark/>
          </w:tcPr>
          <w:p w14:paraId="3F16B46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9–3.2. Vzdělávání, odborné vzdělávání a příprava a dovednosti – 16913_Nová strategie pro celoživotní dovednosti: Modernizace a vylepšení řeckého systému prohlubování dovedností a rekvalifikace</w:t>
            </w:r>
          </w:p>
        </w:tc>
        <w:tc>
          <w:tcPr>
            <w:tcW w:w="1680" w:type="dxa"/>
            <w:tcBorders>
              <w:top w:val="nil"/>
              <w:left w:val="nil"/>
              <w:bottom w:val="single" w:sz="4" w:space="0" w:color="auto"/>
              <w:right w:val="single" w:sz="4" w:space="0" w:color="auto"/>
            </w:tcBorders>
            <w:shd w:val="clear" w:color="auto" w:fill="C6EFCE"/>
            <w:noWrap/>
            <w:vAlign w:val="center"/>
            <w:hideMark/>
          </w:tcPr>
          <w:p w14:paraId="6513F63C"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49DA50AF"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 Programy </w:t>
            </w:r>
            <w:r>
              <w:rPr>
                <w:noProof/>
              </w:rPr>
              <w:t>odborné přípravy – validace ukončení fáze celoživotního učení</w:t>
            </w:r>
          </w:p>
        </w:tc>
      </w:tr>
      <w:tr w:rsidR="00515398" w14:paraId="7FA8ACE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0AA5363" w14:textId="77777777" w:rsidR="00515398" w:rsidRDefault="006711E6">
            <w:pPr>
              <w:pStyle w:val="P68B1DB1-Normal8"/>
              <w:keepNext/>
              <w:spacing w:before="40" w:after="0" w:line="240" w:lineRule="auto"/>
              <w:jc w:val="both"/>
              <w:rPr>
                <w:rFonts w:cs="Times New Roman"/>
                <w:noProof/>
                <w:szCs w:val="18"/>
              </w:rPr>
            </w:pPr>
            <w:r>
              <w:rPr>
                <w:noProof/>
              </w:rPr>
              <w:t>141a</w:t>
            </w:r>
          </w:p>
        </w:tc>
        <w:tc>
          <w:tcPr>
            <w:tcW w:w="4320" w:type="dxa"/>
            <w:tcBorders>
              <w:top w:val="nil"/>
              <w:left w:val="nil"/>
              <w:bottom w:val="single" w:sz="4" w:space="0" w:color="auto"/>
              <w:right w:val="single" w:sz="4" w:space="0" w:color="auto"/>
            </w:tcBorders>
            <w:shd w:val="clear" w:color="auto" w:fill="C6EFCE"/>
            <w:noWrap/>
            <w:vAlign w:val="center"/>
            <w:hideMark/>
          </w:tcPr>
          <w:p w14:paraId="414DB8FC" w14:textId="659364C0" w:rsidR="00515398" w:rsidRDefault="006711E6">
            <w:pPr>
              <w:pStyle w:val="P68B1DB1-Normal8"/>
              <w:keepNext/>
              <w:spacing w:before="40" w:after="0" w:line="240" w:lineRule="auto"/>
              <w:jc w:val="both"/>
              <w:rPr>
                <w:rFonts w:cs="Times New Roman"/>
                <w:noProof/>
                <w:szCs w:val="18"/>
              </w:rPr>
            </w:pPr>
            <w:r>
              <w:rPr>
                <w:noProof/>
              </w:rPr>
              <w:t>8–3.1. Podpora tvorby pracovních míst a účasti na trhu práce – 16941_Restrukturalizace a změna značky místních poboček DYPA za účelem podpory zaměstnanosti (KPA2)</w:t>
            </w:r>
          </w:p>
        </w:tc>
        <w:tc>
          <w:tcPr>
            <w:tcW w:w="1680" w:type="dxa"/>
            <w:tcBorders>
              <w:top w:val="nil"/>
              <w:left w:val="nil"/>
              <w:bottom w:val="single" w:sz="4" w:space="0" w:color="auto"/>
              <w:right w:val="single" w:sz="4" w:space="0" w:color="auto"/>
            </w:tcBorders>
            <w:shd w:val="clear" w:color="auto" w:fill="C6EFCE"/>
            <w:noWrap/>
            <w:vAlign w:val="center"/>
            <w:hideMark/>
          </w:tcPr>
          <w:p w14:paraId="5DBE61FA"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BC1AA21" w14:textId="628CFBC1" w:rsidR="00515398" w:rsidRDefault="006711E6">
            <w:pPr>
              <w:pStyle w:val="P68B1DB1-Normal8"/>
              <w:keepNext/>
              <w:spacing w:before="40" w:after="0" w:line="240" w:lineRule="auto"/>
              <w:jc w:val="both"/>
              <w:rPr>
                <w:rFonts w:cs="Times New Roman"/>
                <w:noProof/>
                <w:szCs w:val="18"/>
              </w:rPr>
            </w:pPr>
            <w:r>
              <w:rPr>
                <w:noProof/>
              </w:rPr>
              <w:t xml:space="preserve">Renovace KPA2, </w:t>
            </w:r>
            <w:r>
              <w:rPr>
                <w:noProof/>
              </w:rPr>
              <w:t>komunikační strategie, kontrola kvality zákaznických služeb, nové formy profilování a poradenské služby.</w:t>
            </w:r>
          </w:p>
        </w:tc>
      </w:tr>
      <w:tr w:rsidR="00515398" w14:paraId="7CFB676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4FEBA2C" w14:textId="77777777" w:rsidR="00515398" w:rsidRDefault="006711E6">
            <w:pPr>
              <w:pStyle w:val="P68B1DB1-Normal8"/>
              <w:keepNext/>
              <w:spacing w:before="40" w:after="0" w:line="240" w:lineRule="auto"/>
              <w:jc w:val="both"/>
              <w:rPr>
                <w:noProof/>
              </w:rPr>
            </w:pPr>
            <w:r>
              <w:rPr>
                <w:noProof/>
              </w:rPr>
              <w:t>142b</w:t>
            </w:r>
          </w:p>
        </w:tc>
        <w:tc>
          <w:tcPr>
            <w:tcW w:w="4320" w:type="dxa"/>
            <w:tcBorders>
              <w:top w:val="nil"/>
              <w:left w:val="nil"/>
              <w:bottom w:val="single" w:sz="4" w:space="0" w:color="auto"/>
              <w:right w:val="single" w:sz="4" w:space="0" w:color="auto"/>
            </w:tcBorders>
            <w:shd w:val="clear" w:color="auto" w:fill="C6EFCE"/>
            <w:noWrap/>
            <w:vAlign w:val="center"/>
          </w:tcPr>
          <w:p w14:paraId="3B38D4C5" w14:textId="77777777" w:rsidR="00515398" w:rsidRDefault="006711E6">
            <w:pPr>
              <w:pStyle w:val="P68B1DB1-Normal8"/>
              <w:keepNext/>
              <w:spacing w:before="40" w:after="0" w:line="240" w:lineRule="auto"/>
              <w:jc w:val="both"/>
              <w:rPr>
                <w:noProof/>
              </w:rPr>
            </w:pPr>
            <w:r>
              <w:rPr>
                <w:noProof/>
              </w:rPr>
              <w:t>8–3.1. Podpora tvorby pracovních míst a účasti na trhu práce – 16746_Reforma pasivních politik na trhu práce na podporu přechodu k zaměstnání</w:t>
            </w:r>
          </w:p>
        </w:tc>
        <w:tc>
          <w:tcPr>
            <w:tcW w:w="1680" w:type="dxa"/>
            <w:tcBorders>
              <w:top w:val="nil"/>
              <w:left w:val="nil"/>
              <w:bottom w:val="single" w:sz="4" w:space="0" w:color="auto"/>
              <w:right w:val="single" w:sz="4" w:space="0" w:color="auto"/>
            </w:tcBorders>
            <w:shd w:val="clear" w:color="auto" w:fill="C6EFCE"/>
            <w:noWrap/>
            <w:vAlign w:val="center"/>
          </w:tcPr>
          <w:p w14:paraId="0E47588B" w14:textId="77777777" w:rsidR="00515398" w:rsidRDefault="006711E6">
            <w:pPr>
              <w:pStyle w:val="P68B1DB1-Normal8"/>
              <w:keepNext/>
              <w:spacing w:before="40" w:after="0" w:line="240" w:lineRule="auto"/>
              <w:jc w:val="both"/>
              <w:rPr>
                <w:noProof/>
              </w:rPr>
            </w:pPr>
            <w:r>
              <w:rPr>
                <w:noProof/>
              </w:rPr>
              <w:t>Mil</w:t>
            </w:r>
            <w:r>
              <w:rPr>
                <w:noProof/>
              </w:rPr>
              <w:t>ník</w:t>
            </w:r>
          </w:p>
        </w:tc>
        <w:tc>
          <w:tcPr>
            <w:tcW w:w="2280" w:type="dxa"/>
            <w:tcBorders>
              <w:top w:val="nil"/>
              <w:left w:val="nil"/>
              <w:bottom w:val="single" w:sz="4" w:space="0" w:color="auto"/>
              <w:right w:val="single" w:sz="4" w:space="0" w:color="auto"/>
            </w:tcBorders>
            <w:shd w:val="clear" w:color="auto" w:fill="C6EFCE"/>
            <w:noWrap/>
            <w:vAlign w:val="center"/>
          </w:tcPr>
          <w:p w14:paraId="621C9134" w14:textId="77777777" w:rsidR="00515398" w:rsidRDefault="006711E6">
            <w:pPr>
              <w:pStyle w:val="P68B1DB1-Normal8"/>
              <w:keepNext/>
              <w:spacing w:before="40" w:after="0" w:line="240" w:lineRule="auto"/>
              <w:jc w:val="both"/>
              <w:rPr>
                <w:noProof/>
              </w:rPr>
            </w:pPr>
            <w:r>
              <w:rPr>
                <w:noProof/>
              </w:rPr>
              <w:t xml:space="preserve">Pilotní projekt konsolidace a zefektivnění dávek v nezaměstnanosti  </w:t>
            </w:r>
          </w:p>
        </w:tc>
      </w:tr>
      <w:tr w:rsidR="00515398" w14:paraId="68E3CB5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53B9FF3B" w14:textId="77777777" w:rsidR="00515398" w:rsidRDefault="006711E6">
            <w:pPr>
              <w:pStyle w:val="P68B1DB1-Normal8"/>
              <w:keepNext/>
              <w:spacing w:before="40" w:after="0" w:line="240" w:lineRule="auto"/>
              <w:jc w:val="both"/>
              <w:rPr>
                <w:rFonts w:cs="Times New Roman"/>
                <w:noProof/>
                <w:szCs w:val="18"/>
              </w:rPr>
            </w:pPr>
            <w:r>
              <w:rPr>
                <w:noProof/>
              </w:rPr>
              <w:t>144a</w:t>
            </w:r>
          </w:p>
        </w:tc>
        <w:tc>
          <w:tcPr>
            <w:tcW w:w="4320" w:type="dxa"/>
            <w:tcBorders>
              <w:top w:val="nil"/>
              <w:left w:val="nil"/>
              <w:bottom w:val="single" w:sz="4" w:space="0" w:color="auto"/>
              <w:right w:val="single" w:sz="4" w:space="0" w:color="auto"/>
            </w:tcBorders>
            <w:shd w:val="clear" w:color="auto" w:fill="C6EFCE"/>
            <w:noWrap/>
            <w:hideMark/>
          </w:tcPr>
          <w:p w14:paraId="2181522D" w14:textId="77777777" w:rsidR="00515398" w:rsidRDefault="006711E6">
            <w:pPr>
              <w:pStyle w:val="P68B1DB1-Normal8"/>
              <w:keepNext/>
              <w:spacing w:before="40" w:after="0" w:line="240" w:lineRule="auto"/>
              <w:jc w:val="both"/>
              <w:rPr>
                <w:rFonts w:cs="Times New Roman"/>
                <w:noProof/>
                <w:szCs w:val="18"/>
              </w:rPr>
            </w:pPr>
            <w:r>
              <w:rPr>
                <w:noProof/>
              </w:rPr>
              <w:t>8–3.1. Podpora tvorby pracovních míst a účasti na trhu práce – 16747_Aktivní reforma politik na trhu práce</w:t>
            </w:r>
          </w:p>
        </w:tc>
        <w:tc>
          <w:tcPr>
            <w:tcW w:w="1680" w:type="dxa"/>
            <w:tcBorders>
              <w:top w:val="nil"/>
              <w:left w:val="nil"/>
              <w:bottom w:val="single" w:sz="4" w:space="0" w:color="auto"/>
              <w:right w:val="single" w:sz="4" w:space="0" w:color="auto"/>
            </w:tcBorders>
            <w:shd w:val="clear" w:color="auto" w:fill="C6EFCE"/>
            <w:noWrap/>
            <w:hideMark/>
          </w:tcPr>
          <w:p w14:paraId="793A56B8"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4E1DD0E5" w14:textId="77777777" w:rsidR="00515398" w:rsidRDefault="006711E6">
            <w:pPr>
              <w:pStyle w:val="P68B1DB1-Normal8"/>
              <w:keepNext/>
              <w:spacing w:before="40" w:after="0" w:line="240" w:lineRule="auto"/>
              <w:jc w:val="both"/>
              <w:rPr>
                <w:rFonts w:cs="Times New Roman"/>
                <w:noProof/>
                <w:szCs w:val="18"/>
              </w:rPr>
            </w:pPr>
            <w:r>
              <w:rPr>
                <w:noProof/>
              </w:rPr>
              <w:t xml:space="preserve">Dokončení programu zaměstnanosti aktivních politik na trhu práce </w:t>
            </w:r>
          </w:p>
        </w:tc>
      </w:tr>
      <w:tr w:rsidR="00515398" w14:paraId="03B67464" w14:textId="77777777">
        <w:trPr>
          <w:trHeight w:val="300"/>
        </w:trPr>
        <w:tc>
          <w:tcPr>
            <w:tcW w:w="1795" w:type="dxa"/>
            <w:tcBorders>
              <w:top w:val="nil"/>
              <w:left w:val="single" w:sz="4" w:space="0" w:color="auto"/>
              <w:bottom w:val="single" w:sz="4" w:space="0" w:color="auto"/>
              <w:right w:val="single" w:sz="4" w:space="0" w:color="auto"/>
            </w:tcBorders>
            <w:shd w:val="clear" w:color="auto" w:fill="C6EFCE"/>
            <w:noWrap/>
            <w:hideMark/>
          </w:tcPr>
          <w:p w14:paraId="4C7C3368" w14:textId="05D5773C" w:rsidR="00515398" w:rsidRDefault="006711E6">
            <w:pPr>
              <w:pStyle w:val="P68B1DB1-Normal49"/>
              <w:keepNext/>
              <w:spacing w:before="40" w:after="0" w:line="240" w:lineRule="auto"/>
              <w:jc w:val="both"/>
              <w:rPr>
                <w:rFonts w:eastAsia="Times New Roman" w:cs="Times New Roman"/>
                <w:noProof/>
              </w:rPr>
            </w:pPr>
            <w:r>
              <w:rPr>
                <w:noProof/>
              </w:rPr>
              <w:t>134a</w:t>
            </w:r>
          </w:p>
          <w:p w14:paraId="37474F8A" w14:textId="5B7B4D10" w:rsidR="00515398" w:rsidRDefault="00515398">
            <w:pPr>
              <w:keepNext/>
              <w:spacing w:before="40" w:after="0" w:line="240" w:lineRule="auto"/>
              <w:jc w:val="both"/>
              <w:rPr>
                <w:rFonts w:ascii="Times New Roman" w:eastAsia="Times New Roman" w:hAnsi="Times New Roman" w:cs="Times New Roman"/>
                <w:noProof/>
                <w:sz w:val="18"/>
                <w:szCs w:val="18"/>
              </w:rPr>
            </w:pPr>
          </w:p>
        </w:tc>
        <w:tc>
          <w:tcPr>
            <w:tcW w:w="4320" w:type="dxa"/>
            <w:tcBorders>
              <w:top w:val="nil"/>
              <w:left w:val="nil"/>
              <w:bottom w:val="single" w:sz="4" w:space="0" w:color="auto"/>
              <w:right w:val="single" w:sz="4" w:space="0" w:color="auto"/>
            </w:tcBorders>
            <w:shd w:val="clear" w:color="auto" w:fill="C6EFCE"/>
            <w:noWrap/>
            <w:hideMark/>
          </w:tcPr>
          <w:p w14:paraId="697EA0F4" w14:textId="249E22D4" w:rsidR="00515398" w:rsidRDefault="006711E6">
            <w:pPr>
              <w:pStyle w:val="P68B1DB1-Normal49"/>
              <w:keepNext/>
              <w:spacing w:before="40" w:after="0" w:line="240" w:lineRule="auto"/>
              <w:jc w:val="both"/>
              <w:rPr>
                <w:rFonts w:eastAsia="Times New Roman" w:cs="Times New Roman"/>
                <w:noProof/>
              </w:rPr>
            </w:pPr>
            <w:r>
              <w:rPr>
                <w:noProof/>
              </w:rPr>
              <w:t>8–3.1. Podpora tvorby pracovních míst a účasti na trhu práce – 16750_Digitální transformace systémů práce</w:t>
            </w:r>
          </w:p>
        </w:tc>
        <w:tc>
          <w:tcPr>
            <w:tcW w:w="1680" w:type="dxa"/>
            <w:tcBorders>
              <w:top w:val="nil"/>
              <w:left w:val="nil"/>
              <w:bottom w:val="single" w:sz="4" w:space="0" w:color="auto"/>
              <w:right w:val="single" w:sz="4" w:space="0" w:color="auto"/>
            </w:tcBorders>
            <w:shd w:val="clear" w:color="auto" w:fill="C6EFCE"/>
            <w:noWrap/>
            <w:hideMark/>
          </w:tcPr>
          <w:p w14:paraId="62FDB1AB" w14:textId="7D0E0224" w:rsidR="00515398" w:rsidRDefault="006711E6">
            <w:pPr>
              <w:pStyle w:val="P68B1DB1-Normal49"/>
              <w:keepNext/>
              <w:spacing w:before="40" w:after="0" w:line="240" w:lineRule="auto"/>
              <w:jc w:val="both"/>
              <w:rPr>
                <w:rFonts w:eastAsia="Times New Roman" w:cs="Times New Roman"/>
                <w:noProof/>
              </w:rPr>
            </w:pPr>
            <w:r>
              <w:rPr>
                <w:noProof/>
              </w:rPr>
              <w:t xml:space="preserve"> Milník</w:t>
            </w:r>
          </w:p>
        </w:tc>
        <w:tc>
          <w:tcPr>
            <w:tcW w:w="2280" w:type="dxa"/>
            <w:tcBorders>
              <w:top w:val="nil"/>
              <w:left w:val="nil"/>
              <w:bottom w:val="single" w:sz="4" w:space="0" w:color="auto"/>
              <w:right w:val="single" w:sz="4" w:space="0" w:color="auto"/>
            </w:tcBorders>
            <w:shd w:val="clear" w:color="auto" w:fill="C6EFCE"/>
            <w:noWrap/>
            <w:hideMark/>
          </w:tcPr>
          <w:p w14:paraId="6C5C2B5F" w14:textId="0106ED40" w:rsidR="00515398" w:rsidRDefault="006711E6">
            <w:pPr>
              <w:pStyle w:val="P68B1DB1-Normal49"/>
              <w:keepNext/>
              <w:spacing w:before="40" w:after="0" w:line="240" w:lineRule="auto"/>
              <w:jc w:val="both"/>
              <w:rPr>
                <w:rFonts w:eastAsia="Times New Roman" w:cs="Times New Roman"/>
                <w:noProof/>
              </w:rPr>
            </w:pPr>
            <w:r>
              <w:rPr>
                <w:noProof/>
              </w:rPr>
              <w:t xml:space="preserve"> Dokončení informačních systémů práce</w:t>
            </w:r>
          </w:p>
        </w:tc>
      </w:tr>
      <w:tr w:rsidR="00515398" w14:paraId="0414B4C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5FD976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145</w:t>
            </w:r>
          </w:p>
        </w:tc>
        <w:tc>
          <w:tcPr>
            <w:tcW w:w="4320" w:type="dxa"/>
            <w:tcBorders>
              <w:top w:val="nil"/>
              <w:left w:val="nil"/>
              <w:bottom w:val="single" w:sz="4" w:space="0" w:color="auto"/>
              <w:right w:val="single" w:sz="4" w:space="0" w:color="auto"/>
            </w:tcBorders>
            <w:shd w:val="clear" w:color="auto" w:fill="C6EFCE"/>
            <w:noWrap/>
            <w:vAlign w:val="center"/>
            <w:hideMark/>
          </w:tcPr>
          <w:p w14:paraId="6CA57A5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9–3.2. Vzdělávání, odborné vzdělávání a příprava a dovednosti – 16794_Posílení systému učňovské přípravy </w:t>
            </w:r>
          </w:p>
        </w:tc>
        <w:tc>
          <w:tcPr>
            <w:tcW w:w="1680" w:type="dxa"/>
            <w:tcBorders>
              <w:top w:val="nil"/>
              <w:left w:val="nil"/>
              <w:bottom w:val="single" w:sz="4" w:space="0" w:color="auto"/>
              <w:right w:val="single" w:sz="4" w:space="0" w:color="auto"/>
            </w:tcBorders>
            <w:shd w:val="clear" w:color="auto" w:fill="C6EFCE"/>
            <w:noWrap/>
            <w:vAlign w:val="center"/>
            <w:hideMark/>
          </w:tcPr>
          <w:p w14:paraId="23526EF6"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2C779ED2"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kurzů odborné přípravy v oblasti elektronického učení v oblasti digitalizace</w:t>
            </w:r>
          </w:p>
        </w:tc>
      </w:tr>
      <w:tr w:rsidR="00515398" w14:paraId="2939C4A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2967417B" w14:textId="77777777" w:rsidR="00515398" w:rsidRDefault="006711E6">
            <w:pPr>
              <w:pStyle w:val="P68B1DB1-Normal8"/>
              <w:keepNext/>
              <w:spacing w:before="40" w:after="0" w:line="240" w:lineRule="auto"/>
              <w:jc w:val="both"/>
              <w:rPr>
                <w:rFonts w:cs="Times New Roman"/>
                <w:noProof/>
                <w:szCs w:val="18"/>
              </w:rPr>
            </w:pPr>
            <w:r>
              <w:rPr>
                <w:noProof/>
              </w:rPr>
              <w:t>145b</w:t>
            </w:r>
          </w:p>
        </w:tc>
        <w:tc>
          <w:tcPr>
            <w:tcW w:w="4320" w:type="dxa"/>
            <w:tcBorders>
              <w:top w:val="nil"/>
              <w:left w:val="nil"/>
              <w:bottom w:val="single" w:sz="4" w:space="0" w:color="auto"/>
              <w:right w:val="single" w:sz="4" w:space="0" w:color="auto"/>
            </w:tcBorders>
            <w:shd w:val="clear" w:color="auto" w:fill="C6EFCE"/>
            <w:noWrap/>
            <w:hideMark/>
          </w:tcPr>
          <w:p w14:paraId="7947DEB3" w14:textId="77777777" w:rsidR="00515398" w:rsidRDefault="006711E6">
            <w:pPr>
              <w:pStyle w:val="P68B1DB1-Normal8"/>
              <w:keepNext/>
              <w:spacing w:before="40" w:after="0" w:line="240" w:lineRule="auto"/>
              <w:jc w:val="both"/>
              <w:rPr>
                <w:rFonts w:cs="Times New Roman"/>
                <w:noProof/>
                <w:szCs w:val="18"/>
              </w:rPr>
            </w:pPr>
            <w:r>
              <w:rPr>
                <w:noProof/>
              </w:rPr>
              <w:t xml:space="preserve">9–3.2. Vzdělávání, odborné vzdělávání a příprava a dovednosti – 16794_Posílení systému učňovské přípravy </w:t>
            </w:r>
          </w:p>
        </w:tc>
        <w:tc>
          <w:tcPr>
            <w:tcW w:w="1680" w:type="dxa"/>
            <w:tcBorders>
              <w:top w:val="nil"/>
              <w:left w:val="nil"/>
              <w:bottom w:val="single" w:sz="4" w:space="0" w:color="auto"/>
              <w:right w:val="single" w:sz="4" w:space="0" w:color="auto"/>
            </w:tcBorders>
            <w:shd w:val="clear" w:color="auto" w:fill="C6EFCE"/>
            <w:noWrap/>
            <w:hideMark/>
          </w:tcPr>
          <w:p w14:paraId="5537831F"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4DAE0D1C" w14:textId="77777777" w:rsidR="00515398" w:rsidRDefault="006711E6">
            <w:pPr>
              <w:pStyle w:val="P68B1DB1-Normal8"/>
              <w:keepNext/>
              <w:spacing w:before="40" w:after="0" w:line="240" w:lineRule="auto"/>
              <w:jc w:val="both"/>
              <w:rPr>
                <w:rFonts w:cs="Times New Roman"/>
                <w:noProof/>
                <w:szCs w:val="18"/>
              </w:rPr>
            </w:pPr>
            <w:r>
              <w:rPr>
                <w:noProof/>
              </w:rPr>
              <w:t xml:space="preserve">Kontrola kvality škol odborného vzdělávání a přípravy, reforma učebních osnov, infrastruktura odborného vzdělávání a přípravy a další projekty </w:t>
            </w:r>
            <w:r>
              <w:rPr>
                <w:noProof/>
              </w:rPr>
              <w:t>ze strany DYPA</w:t>
            </w:r>
          </w:p>
        </w:tc>
      </w:tr>
      <w:tr w:rsidR="00515398" w14:paraId="35903E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839766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146</w:t>
            </w:r>
          </w:p>
        </w:tc>
        <w:tc>
          <w:tcPr>
            <w:tcW w:w="4320" w:type="dxa"/>
            <w:tcBorders>
              <w:top w:val="nil"/>
              <w:left w:val="nil"/>
              <w:bottom w:val="single" w:sz="4" w:space="0" w:color="auto"/>
              <w:right w:val="single" w:sz="4" w:space="0" w:color="auto"/>
            </w:tcBorders>
            <w:shd w:val="clear" w:color="auto" w:fill="C6EFCE"/>
            <w:noWrap/>
            <w:vAlign w:val="center"/>
            <w:hideMark/>
          </w:tcPr>
          <w:p w14:paraId="3F8061C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9–3.2. Vzdělávání, odborné vzdělávání a příprava a dovednosti – 16792_Pracovní dovednosti, rekvalifikace a prohlubování dovedností prostřednictvím reformovaného modelu odborné přípravy (reforma odborného vzdělávání a odborné přípravy)</w:t>
            </w:r>
          </w:p>
        </w:tc>
        <w:tc>
          <w:tcPr>
            <w:tcW w:w="1680" w:type="dxa"/>
            <w:tcBorders>
              <w:top w:val="nil"/>
              <w:left w:val="nil"/>
              <w:bottom w:val="single" w:sz="4" w:space="0" w:color="auto"/>
              <w:right w:val="single" w:sz="4" w:space="0" w:color="auto"/>
            </w:tcBorders>
            <w:shd w:val="clear" w:color="auto" w:fill="C6EFCE"/>
            <w:noWrap/>
            <w:vAlign w:val="center"/>
            <w:hideMark/>
          </w:tcPr>
          <w:p w14:paraId="3B33DBA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F7E264D" w14:textId="6AFA5F83" w:rsidR="00515398" w:rsidRDefault="006711E6">
            <w:pPr>
              <w:pStyle w:val="P68B1DB1-Normal24"/>
              <w:spacing w:after="0" w:line="240" w:lineRule="auto"/>
              <w:rPr>
                <w:rFonts w:ascii="Times New Roman" w:eastAsia="Times New Roman" w:hAnsi="Times New Roman" w:cs="Times New Roman"/>
                <w:noProof/>
              </w:rPr>
            </w:pPr>
            <w:r>
              <w:rPr>
                <w:rFonts w:ascii="Times New Roman" w:hAnsi="Times New Roman"/>
                <w:noProof/>
              </w:rPr>
              <w:t xml:space="preserve">Aktualizace systému kontroly kvality odborného vzdělávání a přípravy, pokud jde o moduly útvarů odborné přípravy veřejných služeb zaměstnanosti (DYPA), digitální kurzy, dodávky </w:t>
            </w:r>
            <w:r>
              <w:rPr>
                <w:rFonts w:ascii="Times New Roman" w:hAnsi="Times New Roman" w:cs="Times New Roman"/>
                <w:noProof/>
                <w:color w:val="006100"/>
              </w:rPr>
              <w:t xml:space="preserve"> </w:t>
            </w:r>
            <w:r>
              <w:rPr>
                <w:rFonts w:ascii="Times New Roman" w:hAnsi="Times New Roman"/>
                <w:noProof/>
              </w:rPr>
              <w:t>vybavení 49 laboratoří, programy odvětvové odborné přípravy</w:t>
            </w:r>
          </w:p>
        </w:tc>
      </w:tr>
      <w:tr w:rsidR="00515398" w14:paraId="64649F1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79B0F4C3" w14:textId="77777777" w:rsidR="00515398" w:rsidRDefault="006711E6">
            <w:pPr>
              <w:pStyle w:val="P68B1DB1-Normal8"/>
              <w:keepNext/>
              <w:spacing w:before="40" w:after="0" w:line="240" w:lineRule="auto"/>
              <w:jc w:val="both"/>
              <w:rPr>
                <w:rFonts w:cs="Times New Roman"/>
                <w:noProof/>
                <w:szCs w:val="18"/>
              </w:rPr>
            </w:pPr>
            <w:r>
              <w:rPr>
                <w:noProof/>
              </w:rPr>
              <w:t>148b</w:t>
            </w:r>
          </w:p>
        </w:tc>
        <w:tc>
          <w:tcPr>
            <w:tcW w:w="4320" w:type="dxa"/>
            <w:tcBorders>
              <w:top w:val="nil"/>
              <w:left w:val="nil"/>
              <w:bottom w:val="single" w:sz="4" w:space="0" w:color="auto"/>
              <w:right w:val="single" w:sz="4" w:space="0" w:color="auto"/>
            </w:tcBorders>
            <w:shd w:val="clear" w:color="auto" w:fill="C6EFCE"/>
            <w:noWrap/>
            <w:hideMark/>
          </w:tcPr>
          <w:p w14:paraId="14AAE30A" w14:textId="77777777" w:rsidR="00515398" w:rsidRDefault="006711E6">
            <w:pPr>
              <w:pStyle w:val="P68B1DB1-Normal8"/>
              <w:keepNext/>
              <w:spacing w:before="40" w:after="0" w:line="240" w:lineRule="auto"/>
              <w:jc w:val="both"/>
              <w:rPr>
                <w:rFonts w:cs="Times New Roman"/>
                <w:noProof/>
                <w:szCs w:val="18"/>
              </w:rPr>
            </w:pPr>
            <w:r>
              <w:rPr>
                <w:noProof/>
              </w:rPr>
              <w:t>9–3.2. Vzdělávání, odborné vzdělávání a příprava a dovednosti – 16676_Digitální transformace vzdělávání</w:t>
            </w:r>
          </w:p>
        </w:tc>
        <w:tc>
          <w:tcPr>
            <w:tcW w:w="1680" w:type="dxa"/>
            <w:tcBorders>
              <w:top w:val="nil"/>
              <w:left w:val="nil"/>
              <w:bottom w:val="single" w:sz="4" w:space="0" w:color="auto"/>
              <w:right w:val="single" w:sz="4" w:space="0" w:color="auto"/>
            </w:tcBorders>
            <w:shd w:val="clear" w:color="auto" w:fill="C6EFCE"/>
            <w:noWrap/>
            <w:hideMark/>
          </w:tcPr>
          <w:p w14:paraId="7AD4B665"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4D6630A2" w14:textId="77777777" w:rsidR="00515398" w:rsidRDefault="006711E6">
            <w:pPr>
              <w:pStyle w:val="P68B1DB1-Normal8"/>
              <w:keepNext/>
              <w:spacing w:before="40" w:after="0" w:line="240" w:lineRule="auto"/>
              <w:jc w:val="both"/>
              <w:rPr>
                <w:rFonts w:cs="Times New Roman"/>
                <w:noProof/>
                <w:szCs w:val="18"/>
              </w:rPr>
            </w:pPr>
            <w:r>
              <w:rPr>
                <w:noProof/>
              </w:rPr>
              <w:t>Digitální transformace ve vzdělávání</w:t>
            </w:r>
          </w:p>
        </w:tc>
      </w:tr>
      <w:tr w:rsidR="00515398" w14:paraId="422A2F3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3378F2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149</w:t>
            </w:r>
          </w:p>
        </w:tc>
        <w:tc>
          <w:tcPr>
            <w:tcW w:w="4320" w:type="dxa"/>
            <w:tcBorders>
              <w:top w:val="nil"/>
              <w:left w:val="nil"/>
              <w:bottom w:val="single" w:sz="4" w:space="0" w:color="auto"/>
              <w:right w:val="single" w:sz="4" w:space="0" w:color="auto"/>
            </w:tcBorders>
            <w:shd w:val="clear" w:color="auto" w:fill="C6EFCE"/>
            <w:noWrap/>
            <w:vAlign w:val="center"/>
            <w:hideMark/>
          </w:tcPr>
          <w:p w14:paraId="057B3FDC" w14:textId="222F1BA7" w:rsidR="00515398" w:rsidRDefault="006711E6">
            <w:pPr>
              <w:pStyle w:val="P68B1DB1-Normal8"/>
              <w:keepNext/>
              <w:spacing w:before="40" w:after="0" w:line="240" w:lineRule="auto"/>
              <w:jc w:val="both"/>
              <w:rPr>
                <w:rFonts w:eastAsia="Times New Roman" w:cs="Times New Roman"/>
                <w:bCs/>
                <w:noProof/>
                <w:szCs w:val="18"/>
              </w:rPr>
            </w:pPr>
            <w:r>
              <w:rPr>
                <w:noProof/>
              </w:rPr>
              <w:t>9–3.2. Vzdělávání, odborné vzdělávání a příprava a dovednosti – 16933_Zlepšování odborného vzdělávání a</w:t>
            </w:r>
            <w:r>
              <w:rPr>
                <w:noProof/>
              </w:rPr>
              <w:t xml:space="preserve"> přípravy: Dodávky laboratorního vybavení pro laboratorní střediska pro SAEK, EPAL, školu pro učňovskou přípravu po ukončení středoškolského studia a odborné vzdělávání</w:t>
            </w:r>
          </w:p>
        </w:tc>
        <w:tc>
          <w:tcPr>
            <w:tcW w:w="1680" w:type="dxa"/>
            <w:tcBorders>
              <w:top w:val="nil"/>
              <w:left w:val="nil"/>
              <w:bottom w:val="single" w:sz="4" w:space="0" w:color="auto"/>
              <w:right w:val="single" w:sz="4" w:space="0" w:color="auto"/>
            </w:tcBorders>
            <w:shd w:val="clear" w:color="auto" w:fill="C6EFCE"/>
            <w:noWrap/>
            <w:vAlign w:val="center"/>
            <w:hideMark/>
          </w:tcPr>
          <w:p w14:paraId="644D7DFD"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0BE7440C" w14:textId="77777777" w:rsidR="00515398" w:rsidRDefault="006711E6">
            <w:pPr>
              <w:pStyle w:val="P68B1DB1-Normal8"/>
              <w:keepNext/>
              <w:spacing w:before="40" w:after="0" w:line="240" w:lineRule="auto"/>
              <w:jc w:val="both"/>
              <w:rPr>
                <w:rFonts w:eastAsia="Times New Roman" w:cs="Times New Roman"/>
                <w:noProof/>
                <w:szCs w:val="18"/>
              </w:rPr>
            </w:pPr>
            <w:r>
              <w:rPr>
                <w:noProof/>
              </w:rPr>
              <w:t>Obnova modernizace dokončení laboratorních středisek odborného vzdělávání a příp</w:t>
            </w:r>
            <w:r>
              <w:rPr>
                <w:noProof/>
              </w:rPr>
              <w:t>ravy</w:t>
            </w:r>
          </w:p>
        </w:tc>
      </w:tr>
      <w:tr w:rsidR="00515398" w14:paraId="252EE5E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761326E" w14:textId="77777777" w:rsidR="00515398" w:rsidRDefault="006711E6">
            <w:pPr>
              <w:pStyle w:val="P68B1DB1-Normal49"/>
              <w:keepNext/>
              <w:spacing w:before="40" w:after="0" w:line="240" w:lineRule="auto"/>
              <w:jc w:val="both"/>
              <w:rPr>
                <w:rFonts w:eastAsia="Times New Roman" w:cs="Times New Roman"/>
                <w:bCs/>
                <w:noProof/>
              </w:rPr>
            </w:pPr>
            <w:r>
              <w:rPr>
                <w:noProof/>
              </w:rPr>
              <w:t>150</w:t>
            </w:r>
          </w:p>
        </w:tc>
        <w:tc>
          <w:tcPr>
            <w:tcW w:w="4320" w:type="dxa"/>
            <w:tcBorders>
              <w:top w:val="nil"/>
              <w:left w:val="nil"/>
              <w:bottom w:val="single" w:sz="4" w:space="0" w:color="auto"/>
              <w:right w:val="single" w:sz="4" w:space="0" w:color="auto"/>
            </w:tcBorders>
            <w:shd w:val="clear" w:color="auto" w:fill="C6EFCE"/>
            <w:noWrap/>
            <w:vAlign w:val="center"/>
            <w:hideMark/>
          </w:tcPr>
          <w:p w14:paraId="16D898A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9–3.2. Vzdělávání, odborné vzdělávání a příprava a dovednosti – 16289_Strategie excelence na univerzitách a inovacích</w:t>
            </w:r>
          </w:p>
        </w:tc>
        <w:tc>
          <w:tcPr>
            <w:tcW w:w="1680" w:type="dxa"/>
            <w:tcBorders>
              <w:top w:val="nil"/>
              <w:left w:val="nil"/>
              <w:bottom w:val="single" w:sz="4" w:space="0" w:color="auto"/>
              <w:right w:val="single" w:sz="4" w:space="0" w:color="auto"/>
            </w:tcBorders>
            <w:shd w:val="clear" w:color="auto" w:fill="C6EFCE"/>
            <w:noWrap/>
            <w:vAlign w:val="center"/>
            <w:hideMark/>
          </w:tcPr>
          <w:p w14:paraId="0E660236"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A6F9187" w14:textId="30D8DE30" w:rsidR="00515398" w:rsidRDefault="006711E6">
            <w:pPr>
              <w:pStyle w:val="P68B1DB1-Normal8"/>
              <w:keepNext/>
              <w:spacing w:before="40" w:after="0" w:line="240" w:lineRule="auto"/>
              <w:jc w:val="both"/>
              <w:rPr>
                <w:rFonts w:eastAsia="Times New Roman" w:cs="Times New Roman"/>
                <w:noProof/>
                <w:szCs w:val="18"/>
              </w:rPr>
            </w:pPr>
            <w:r>
              <w:rPr>
                <w:noProof/>
              </w:rPr>
              <w:t>Dokončení všech projektů v rámci opatření Strategie pro excelenci na univerzitách a v oblasti inovací</w:t>
            </w:r>
          </w:p>
        </w:tc>
      </w:tr>
      <w:tr w:rsidR="00515398" w14:paraId="5284A01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F52A19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152</w:t>
            </w:r>
          </w:p>
        </w:tc>
        <w:tc>
          <w:tcPr>
            <w:tcW w:w="4320" w:type="dxa"/>
            <w:tcBorders>
              <w:top w:val="nil"/>
              <w:left w:val="nil"/>
              <w:bottom w:val="single" w:sz="4" w:space="0" w:color="auto"/>
              <w:right w:val="single" w:sz="4" w:space="0" w:color="auto"/>
            </w:tcBorders>
            <w:shd w:val="clear" w:color="auto" w:fill="C6EFCE"/>
            <w:noWrap/>
            <w:vAlign w:val="center"/>
            <w:hideMark/>
          </w:tcPr>
          <w:p w14:paraId="000EBAF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9–3.2. </w:t>
            </w:r>
            <w:r>
              <w:rPr>
                <w:noProof/>
              </w:rPr>
              <w:t>Vzdělávání, odborné vzdělávání a příprava a dovednosti – 16934_Zlepšování odborného vzdělávání a přípravy</w:t>
            </w:r>
          </w:p>
        </w:tc>
        <w:tc>
          <w:tcPr>
            <w:tcW w:w="1680" w:type="dxa"/>
            <w:tcBorders>
              <w:top w:val="nil"/>
              <w:left w:val="nil"/>
              <w:bottom w:val="single" w:sz="4" w:space="0" w:color="auto"/>
              <w:right w:val="single" w:sz="4" w:space="0" w:color="auto"/>
            </w:tcBorders>
            <w:shd w:val="clear" w:color="auto" w:fill="C6EFCE"/>
            <w:noWrap/>
            <w:vAlign w:val="center"/>
            <w:hideMark/>
          </w:tcPr>
          <w:p w14:paraId="5027285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094260B4" w14:textId="0444A146" w:rsidR="00515398" w:rsidRDefault="006711E6">
            <w:pPr>
              <w:pStyle w:val="P68B1DB1-Normal8"/>
              <w:keepNext/>
              <w:spacing w:before="40" w:after="0" w:line="240" w:lineRule="auto"/>
              <w:jc w:val="both"/>
              <w:rPr>
                <w:rFonts w:eastAsia="Times New Roman" w:cs="Times New Roman"/>
                <w:noProof/>
                <w:szCs w:val="18"/>
              </w:rPr>
            </w:pPr>
            <w:r>
              <w:rPr>
                <w:noProof/>
              </w:rPr>
              <w:t>Modernizace systému odborného vzdělávání a přípravy SAEK, návrh a vývoj modelu EPAL digitalizace EOPPEP</w:t>
            </w:r>
          </w:p>
        </w:tc>
      </w:tr>
      <w:tr w:rsidR="00515398" w14:paraId="3337703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9C87BF9" w14:textId="3EDF23B4" w:rsidR="00515398" w:rsidRDefault="006711E6">
            <w:pPr>
              <w:pStyle w:val="P68B1DB1-Normal49"/>
              <w:spacing w:line="240" w:lineRule="auto"/>
              <w:jc w:val="both"/>
              <w:rPr>
                <w:noProof/>
              </w:rPr>
            </w:pPr>
            <w:r>
              <w:rPr>
                <w:noProof/>
              </w:rPr>
              <w:t>156a</w:t>
            </w:r>
          </w:p>
        </w:tc>
        <w:tc>
          <w:tcPr>
            <w:tcW w:w="4320" w:type="dxa"/>
            <w:tcBorders>
              <w:top w:val="nil"/>
              <w:left w:val="nil"/>
              <w:bottom w:val="single" w:sz="4" w:space="0" w:color="auto"/>
              <w:right w:val="single" w:sz="4" w:space="0" w:color="auto"/>
            </w:tcBorders>
            <w:shd w:val="clear" w:color="auto" w:fill="C6EFCE"/>
            <w:noWrap/>
            <w:vAlign w:val="center"/>
            <w:hideMark/>
          </w:tcPr>
          <w:p w14:paraId="32D0AC12" w14:textId="77777777" w:rsidR="00515398" w:rsidRDefault="006711E6">
            <w:pPr>
              <w:pStyle w:val="P68B1DB1-Normal49"/>
              <w:keepNext/>
              <w:spacing w:before="40" w:after="0" w:line="240" w:lineRule="auto"/>
              <w:jc w:val="both"/>
              <w:rPr>
                <w:rFonts w:eastAsia="Times New Roman" w:cs="Times New Roman"/>
                <w:noProof/>
              </w:rPr>
            </w:pPr>
            <w:r>
              <w:rPr>
                <w:noProof/>
              </w:rPr>
              <w:t xml:space="preserve">10–3.3. Zlepšení odolnosti, </w:t>
            </w:r>
            <w:r>
              <w:rPr>
                <w:noProof/>
              </w:rPr>
              <w:t>dostupnosti a udržitelnosti zdravotní péče – 16816_Reformy a urychlení investic v odvětví zdravotní péče – snížení zpětného vymáhání a racionalizace výdajů na zdravotní péči</w:t>
            </w:r>
          </w:p>
        </w:tc>
        <w:tc>
          <w:tcPr>
            <w:tcW w:w="1680" w:type="dxa"/>
            <w:tcBorders>
              <w:top w:val="nil"/>
              <w:left w:val="nil"/>
              <w:bottom w:val="single" w:sz="4" w:space="0" w:color="auto"/>
              <w:right w:val="single" w:sz="4" w:space="0" w:color="auto"/>
            </w:tcBorders>
            <w:shd w:val="clear" w:color="auto" w:fill="C6EFCE"/>
            <w:noWrap/>
            <w:vAlign w:val="center"/>
            <w:hideMark/>
          </w:tcPr>
          <w:p w14:paraId="6CC4E55C" w14:textId="77777777" w:rsidR="00515398" w:rsidRDefault="006711E6">
            <w:pPr>
              <w:pStyle w:val="P68B1DB1-Normal49"/>
              <w:keepNext/>
              <w:spacing w:before="40" w:after="0" w:line="240" w:lineRule="auto"/>
              <w:jc w:val="both"/>
              <w:rPr>
                <w:rFonts w:eastAsia="Times New Roman" w:cs="Times New Roman"/>
                <w:noProof/>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7AC00303" w14:textId="77777777" w:rsidR="00515398" w:rsidRDefault="006711E6">
            <w:pPr>
              <w:pStyle w:val="P68B1DB1-Normal49"/>
              <w:keepNext/>
              <w:spacing w:before="40" w:after="0" w:line="240" w:lineRule="auto"/>
              <w:jc w:val="both"/>
              <w:rPr>
                <w:rFonts w:cs="Times New Roman"/>
                <w:noProof/>
              </w:rPr>
            </w:pPr>
            <w:r>
              <w:rPr>
                <w:noProof/>
              </w:rPr>
              <w:t>Výzkum a vývoj farmaceutických výrobků</w:t>
            </w:r>
          </w:p>
          <w:p w14:paraId="6C5D6EB8" w14:textId="45B7B6FE" w:rsidR="00515398" w:rsidRDefault="006711E6">
            <w:pPr>
              <w:pStyle w:val="P68B1DB1-Normal49"/>
              <w:keepNext/>
              <w:spacing w:before="40" w:after="0" w:line="240" w:lineRule="auto"/>
              <w:jc w:val="both"/>
              <w:rPr>
                <w:noProof/>
              </w:rPr>
            </w:pPr>
            <w:r>
              <w:rPr>
                <w:noProof/>
              </w:rPr>
              <w:t>důkaz o investici – krok 2</w:t>
            </w:r>
          </w:p>
        </w:tc>
      </w:tr>
      <w:tr w:rsidR="00515398" w14:paraId="146411A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4FFB115" w14:textId="77777777" w:rsidR="00515398" w:rsidRDefault="006711E6">
            <w:pPr>
              <w:pStyle w:val="P68B1DB1-Normal8"/>
              <w:keepNext/>
              <w:spacing w:before="40" w:after="0" w:line="240" w:lineRule="auto"/>
              <w:jc w:val="both"/>
              <w:rPr>
                <w:rFonts w:cs="Times New Roman"/>
                <w:noProof/>
                <w:szCs w:val="18"/>
              </w:rPr>
            </w:pPr>
            <w:r>
              <w:rPr>
                <w:noProof/>
              </w:rPr>
              <w:t>158</w:t>
            </w:r>
          </w:p>
        </w:tc>
        <w:tc>
          <w:tcPr>
            <w:tcW w:w="4320" w:type="dxa"/>
            <w:tcBorders>
              <w:top w:val="nil"/>
              <w:left w:val="nil"/>
              <w:bottom w:val="single" w:sz="4" w:space="0" w:color="auto"/>
              <w:right w:val="single" w:sz="4" w:space="0" w:color="auto"/>
            </w:tcBorders>
            <w:shd w:val="clear" w:color="auto" w:fill="C6EFCE"/>
            <w:noWrap/>
            <w:vAlign w:val="center"/>
            <w:hideMark/>
          </w:tcPr>
          <w:p w14:paraId="20395B15" w14:textId="77777777" w:rsidR="00515398" w:rsidRDefault="006711E6">
            <w:pPr>
              <w:pStyle w:val="P68B1DB1-Normal8"/>
              <w:keepNext/>
              <w:spacing w:before="40" w:after="0" w:line="240" w:lineRule="auto"/>
              <w:jc w:val="both"/>
              <w:rPr>
                <w:rFonts w:cs="Times New Roman"/>
                <w:noProof/>
                <w:szCs w:val="18"/>
              </w:rPr>
            </w:pPr>
            <w:r>
              <w:rPr>
                <w:noProof/>
              </w:rPr>
              <w:t>10–3.3. Zlepšení odolnosti, dostupnosti a udržitelnosti zdravotní péče – 16816_Reformy a urychlení investic do odvětví zdravotní péče – snížení zpětného vymáhání a racionalizace výdajů na zdravotní péči</w:t>
            </w:r>
          </w:p>
        </w:tc>
        <w:tc>
          <w:tcPr>
            <w:tcW w:w="1680" w:type="dxa"/>
            <w:tcBorders>
              <w:top w:val="nil"/>
              <w:left w:val="nil"/>
              <w:bottom w:val="single" w:sz="4" w:space="0" w:color="auto"/>
              <w:right w:val="single" w:sz="4" w:space="0" w:color="auto"/>
            </w:tcBorders>
            <w:shd w:val="clear" w:color="auto" w:fill="C6EFCE"/>
            <w:noWrap/>
            <w:vAlign w:val="center"/>
            <w:hideMark/>
          </w:tcPr>
          <w:p w14:paraId="5367F00C"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5570D7C5" w14:textId="77777777" w:rsidR="00515398" w:rsidRDefault="006711E6">
            <w:pPr>
              <w:pStyle w:val="P68B1DB1-Normal8"/>
              <w:keepNext/>
              <w:spacing w:before="40" w:after="0" w:line="240" w:lineRule="auto"/>
              <w:jc w:val="both"/>
              <w:rPr>
                <w:rFonts w:cs="Times New Roman"/>
                <w:noProof/>
                <w:szCs w:val="18"/>
              </w:rPr>
            </w:pPr>
            <w:r>
              <w:rPr>
                <w:noProof/>
              </w:rPr>
              <w:t xml:space="preserve">Snížení zpětného vymáhání </w:t>
            </w:r>
          </w:p>
          <w:p w14:paraId="6512917B" w14:textId="5C604BB9" w:rsidR="00515398" w:rsidRDefault="006711E6">
            <w:pPr>
              <w:pStyle w:val="P68B1DB1-Normal8"/>
              <w:keepNext/>
              <w:spacing w:before="40" w:after="0" w:line="240" w:lineRule="auto"/>
              <w:jc w:val="both"/>
              <w:rPr>
                <w:rFonts w:cs="Times New Roman"/>
                <w:noProof/>
                <w:szCs w:val="18"/>
              </w:rPr>
            </w:pPr>
            <w:r>
              <w:rPr>
                <w:noProof/>
              </w:rPr>
              <w:t>400000000 – krok 4</w:t>
            </w:r>
          </w:p>
        </w:tc>
      </w:tr>
      <w:tr w:rsidR="00515398" w14:paraId="1B178BD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E04D6DA" w14:textId="77777777" w:rsidR="00515398" w:rsidRDefault="006711E6">
            <w:pPr>
              <w:pStyle w:val="P68B1DB1-Normal49"/>
              <w:keepNext/>
              <w:spacing w:before="40" w:after="0" w:line="240" w:lineRule="auto"/>
              <w:jc w:val="both"/>
              <w:rPr>
                <w:noProof/>
              </w:rPr>
            </w:pPr>
            <w:r>
              <w:rPr>
                <w:noProof/>
              </w:rPr>
              <w:t>164a</w:t>
            </w:r>
          </w:p>
        </w:tc>
        <w:tc>
          <w:tcPr>
            <w:tcW w:w="4320" w:type="dxa"/>
            <w:tcBorders>
              <w:top w:val="nil"/>
              <w:left w:val="nil"/>
              <w:bottom w:val="single" w:sz="4" w:space="0" w:color="auto"/>
              <w:right w:val="single" w:sz="4" w:space="0" w:color="auto"/>
            </w:tcBorders>
            <w:shd w:val="clear" w:color="auto" w:fill="C6EFCE"/>
            <w:noWrap/>
            <w:vAlign w:val="center"/>
            <w:hideMark/>
          </w:tcPr>
          <w:p w14:paraId="7AB35E15" w14:textId="77777777" w:rsidR="00515398" w:rsidRDefault="006711E6">
            <w:pPr>
              <w:pStyle w:val="P68B1DB1-Normal8"/>
              <w:keepNext/>
              <w:spacing w:before="40" w:after="0" w:line="240" w:lineRule="auto"/>
              <w:jc w:val="both"/>
              <w:rPr>
                <w:noProof/>
              </w:rPr>
            </w:pPr>
            <w:r>
              <w:rPr>
                <w:noProof/>
              </w:rPr>
              <w:t xml:space="preserve">10–3.3. Zlepšení odolnosti, dostupnosti a udržitelnosti zdravotní péče – 16756_Organizační reformy systému zdravotní péče </w:t>
            </w:r>
          </w:p>
        </w:tc>
        <w:tc>
          <w:tcPr>
            <w:tcW w:w="1680" w:type="dxa"/>
            <w:tcBorders>
              <w:top w:val="nil"/>
              <w:left w:val="nil"/>
              <w:bottom w:val="single" w:sz="4" w:space="0" w:color="auto"/>
              <w:right w:val="single" w:sz="4" w:space="0" w:color="auto"/>
            </w:tcBorders>
            <w:shd w:val="clear" w:color="auto" w:fill="C6EFCE"/>
            <w:noWrap/>
            <w:vAlign w:val="center"/>
            <w:hideMark/>
          </w:tcPr>
          <w:p w14:paraId="4E2D3341" w14:textId="77777777" w:rsidR="00515398" w:rsidRDefault="006711E6">
            <w:pPr>
              <w:pStyle w:val="P68B1DB1-Normal8"/>
              <w:keepNext/>
              <w:spacing w:before="40" w:after="0" w:line="240" w:lineRule="auto"/>
              <w:jc w:val="both"/>
              <w:rPr>
                <w:noProof/>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3714268C" w14:textId="77777777" w:rsidR="00515398" w:rsidRDefault="006711E6">
            <w:pPr>
              <w:pStyle w:val="P68B1DB1-Normal8"/>
              <w:keepNext/>
              <w:spacing w:before="40" w:after="0" w:line="240" w:lineRule="auto"/>
              <w:jc w:val="both"/>
              <w:rPr>
                <w:noProof/>
              </w:rPr>
            </w:pPr>
            <w:r>
              <w:rPr>
                <w:noProof/>
              </w:rPr>
              <w:t>Snížení počtu čekajících na seznamu chirurgických zákroků</w:t>
            </w:r>
          </w:p>
        </w:tc>
      </w:tr>
      <w:tr w:rsidR="00515398" w14:paraId="148D524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15CC62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165</w:t>
            </w:r>
          </w:p>
        </w:tc>
        <w:tc>
          <w:tcPr>
            <w:tcW w:w="4320" w:type="dxa"/>
            <w:tcBorders>
              <w:top w:val="nil"/>
              <w:left w:val="nil"/>
              <w:bottom w:val="single" w:sz="4" w:space="0" w:color="auto"/>
              <w:right w:val="single" w:sz="4" w:space="0" w:color="auto"/>
            </w:tcBorders>
            <w:shd w:val="clear" w:color="auto" w:fill="C6EFCE"/>
            <w:noWrap/>
            <w:vAlign w:val="center"/>
            <w:hideMark/>
          </w:tcPr>
          <w:p w14:paraId="0F2A49C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10–3.3. Zlepšit odolnost, dostupnost a udržitelnost </w:t>
            </w:r>
            <w:r>
              <w:rPr>
                <w:noProof/>
              </w:rPr>
              <w:t>zdravotní péče – 16783_Provádění národního programu prevence veřejného zdraví „Spiros Doxiadis“ (NPP „SD“)</w:t>
            </w:r>
          </w:p>
        </w:tc>
        <w:tc>
          <w:tcPr>
            <w:tcW w:w="1680" w:type="dxa"/>
            <w:tcBorders>
              <w:top w:val="nil"/>
              <w:left w:val="nil"/>
              <w:bottom w:val="single" w:sz="4" w:space="0" w:color="auto"/>
              <w:right w:val="single" w:sz="4" w:space="0" w:color="auto"/>
            </w:tcBorders>
            <w:shd w:val="clear" w:color="auto" w:fill="C6EFCE"/>
            <w:noWrap/>
            <w:vAlign w:val="center"/>
            <w:hideMark/>
          </w:tcPr>
          <w:p w14:paraId="645CB34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355904A" w14:textId="57EBB878" w:rsidR="00515398" w:rsidRDefault="006711E6">
            <w:pPr>
              <w:pStyle w:val="P68B1DB1-Normal8"/>
              <w:keepNext/>
              <w:spacing w:before="40" w:after="0" w:line="240" w:lineRule="auto"/>
              <w:jc w:val="both"/>
              <w:rPr>
                <w:rFonts w:eastAsia="Times New Roman" w:cs="Times New Roman"/>
                <w:noProof/>
                <w:szCs w:val="18"/>
              </w:rPr>
            </w:pPr>
            <w:r>
              <w:rPr>
                <w:noProof/>
              </w:rPr>
              <w:t>Národní program prevence v oblasti veřejného zdraví „</w:t>
            </w:r>
            <w:r>
              <w:rPr>
                <w:noProof/>
                <w:szCs w:val="18"/>
              </w:rPr>
              <w:t xml:space="preserve">Spiros </w:t>
            </w:r>
            <w:r>
              <w:rPr>
                <w:noProof/>
              </w:rPr>
              <w:t>Doxiadis“ – všechny projekty dokončeny</w:t>
            </w:r>
          </w:p>
        </w:tc>
      </w:tr>
      <w:tr w:rsidR="00515398" w14:paraId="43E5A41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C996C9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166</w:t>
            </w:r>
          </w:p>
        </w:tc>
        <w:tc>
          <w:tcPr>
            <w:tcW w:w="4320" w:type="dxa"/>
            <w:tcBorders>
              <w:top w:val="nil"/>
              <w:left w:val="nil"/>
              <w:bottom w:val="single" w:sz="4" w:space="0" w:color="auto"/>
              <w:right w:val="single" w:sz="4" w:space="0" w:color="auto"/>
            </w:tcBorders>
            <w:shd w:val="clear" w:color="auto" w:fill="C6EFCE"/>
            <w:noWrap/>
            <w:vAlign w:val="center"/>
            <w:hideMark/>
          </w:tcPr>
          <w:p w14:paraId="74E8BD8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w:t>
            </w:r>
            <w:r>
              <w:rPr>
                <w:noProof/>
              </w:rPr>
              <w:t>i a udržitelnosti zdravotní péče – 16755_Zelené investice – Reforma systému primární zdravotní péče</w:t>
            </w:r>
          </w:p>
        </w:tc>
        <w:tc>
          <w:tcPr>
            <w:tcW w:w="1680" w:type="dxa"/>
            <w:tcBorders>
              <w:top w:val="nil"/>
              <w:left w:val="nil"/>
              <w:bottom w:val="single" w:sz="4" w:space="0" w:color="auto"/>
              <w:right w:val="single" w:sz="4" w:space="0" w:color="auto"/>
            </w:tcBorders>
            <w:shd w:val="clear" w:color="auto" w:fill="C6EFCE"/>
            <w:noWrap/>
            <w:vAlign w:val="center"/>
            <w:hideMark/>
          </w:tcPr>
          <w:p w14:paraId="1FBC56AA"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1755713B" w14:textId="77777777" w:rsidR="00515398" w:rsidRDefault="006711E6">
            <w:pPr>
              <w:pStyle w:val="P68B1DB1-Normal8"/>
              <w:keepNext/>
              <w:spacing w:before="40" w:after="0" w:line="240" w:lineRule="auto"/>
              <w:jc w:val="both"/>
              <w:rPr>
                <w:rFonts w:eastAsia="Times New Roman" w:cs="Times New Roman"/>
                <w:noProof/>
                <w:szCs w:val="18"/>
              </w:rPr>
            </w:pPr>
            <w:r>
              <w:rPr>
                <w:noProof/>
              </w:rPr>
              <w:t>PHC – plně renovovaná zdravotnická střediska</w:t>
            </w:r>
          </w:p>
        </w:tc>
      </w:tr>
      <w:tr w:rsidR="00515398" w14:paraId="56F34D7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BD6223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170</w:t>
            </w:r>
          </w:p>
        </w:tc>
        <w:tc>
          <w:tcPr>
            <w:tcW w:w="4320" w:type="dxa"/>
            <w:tcBorders>
              <w:top w:val="nil"/>
              <w:left w:val="nil"/>
              <w:bottom w:val="single" w:sz="4" w:space="0" w:color="auto"/>
              <w:right w:val="single" w:sz="4" w:space="0" w:color="auto"/>
            </w:tcBorders>
            <w:shd w:val="clear" w:color="auto" w:fill="C6EFCE"/>
            <w:noWrap/>
            <w:vAlign w:val="center"/>
            <w:hideMark/>
          </w:tcPr>
          <w:p w14:paraId="40EC43FE" w14:textId="0910BCB9" w:rsidR="00515398" w:rsidRDefault="006711E6">
            <w:pPr>
              <w:pStyle w:val="P68B1DB1-Normal49"/>
              <w:keepNext/>
              <w:spacing w:before="40" w:after="0" w:line="240" w:lineRule="auto"/>
              <w:jc w:val="both"/>
              <w:rPr>
                <w:rFonts w:eastAsia="Times New Roman" w:cs="Times New Roman"/>
                <w:bCs/>
                <w:noProof/>
              </w:rPr>
            </w:pPr>
            <w:r>
              <w:rPr>
                <w:noProof/>
              </w:rPr>
              <w:t xml:space="preserve">10–3.3. Zlepšení odolnosti, dostupnosti a udržitelnosti zdravotní péče – 16795_ Zdravotní </w:t>
            </w:r>
            <w:r>
              <w:rPr>
                <w:noProof/>
              </w:rPr>
              <w:t>infrastruktura</w:t>
            </w:r>
          </w:p>
        </w:tc>
        <w:tc>
          <w:tcPr>
            <w:tcW w:w="1680" w:type="dxa"/>
            <w:tcBorders>
              <w:top w:val="nil"/>
              <w:left w:val="nil"/>
              <w:bottom w:val="single" w:sz="4" w:space="0" w:color="auto"/>
              <w:right w:val="single" w:sz="4" w:space="0" w:color="auto"/>
            </w:tcBorders>
            <w:shd w:val="clear" w:color="auto" w:fill="C6EFCE"/>
            <w:noWrap/>
            <w:vAlign w:val="center"/>
            <w:hideMark/>
          </w:tcPr>
          <w:p w14:paraId="42F94C3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0ED3410"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modernizace infrastruktury NHS</w:t>
            </w:r>
          </w:p>
        </w:tc>
      </w:tr>
      <w:tr w:rsidR="00515398" w14:paraId="62AB47C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EEF874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171</w:t>
            </w:r>
          </w:p>
        </w:tc>
        <w:tc>
          <w:tcPr>
            <w:tcW w:w="4320" w:type="dxa"/>
            <w:tcBorders>
              <w:top w:val="nil"/>
              <w:left w:val="nil"/>
              <w:bottom w:val="single" w:sz="4" w:space="0" w:color="auto"/>
              <w:right w:val="single" w:sz="4" w:space="0" w:color="auto"/>
            </w:tcBorders>
            <w:shd w:val="clear" w:color="auto" w:fill="C6EFCE"/>
            <w:noWrap/>
            <w:vAlign w:val="center"/>
            <w:hideMark/>
          </w:tcPr>
          <w:p w14:paraId="562484D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zdravotní péče – 16757_Zřízení radioterapeutického střediska v „Sotiria“ Thoracic</w:t>
            </w:r>
          </w:p>
        </w:tc>
        <w:tc>
          <w:tcPr>
            <w:tcW w:w="1680" w:type="dxa"/>
            <w:tcBorders>
              <w:top w:val="nil"/>
              <w:left w:val="nil"/>
              <w:bottom w:val="single" w:sz="4" w:space="0" w:color="auto"/>
              <w:right w:val="single" w:sz="4" w:space="0" w:color="auto"/>
            </w:tcBorders>
            <w:shd w:val="clear" w:color="auto" w:fill="C6EFCE"/>
            <w:noWrap/>
            <w:vAlign w:val="center"/>
            <w:hideMark/>
          </w:tcPr>
          <w:p w14:paraId="5209A0E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66E5B24" w14:textId="77777777" w:rsidR="00515398" w:rsidRDefault="006711E6">
            <w:pPr>
              <w:pStyle w:val="P68B1DB1-Normal8"/>
              <w:keepNext/>
              <w:spacing w:before="40" w:after="0" w:line="240" w:lineRule="auto"/>
              <w:jc w:val="both"/>
              <w:rPr>
                <w:rFonts w:eastAsia="Times New Roman" w:cs="Times New Roman"/>
                <w:noProof/>
                <w:szCs w:val="18"/>
              </w:rPr>
            </w:pPr>
            <w:r>
              <w:rPr>
                <w:noProof/>
              </w:rPr>
              <w:t>Radioterapeutické středisko Sotiria</w:t>
            </w:r>
          </w:p>
        </w:tc>
      </w:tr>
      <w:tr w:rsidR="00515398" w14:paraId="73243D3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FED4CA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172</w:t>
            </w:r>
          </w:p>
        </w:tc>
        <w:tc>
          <w:tcPr>
            <w:tcW w:w="4320" w:type="dxa"/>
            <w:tcBorders>
              <w:top w:val="nil"/>
              <w:left w:val="nil"/>
              <w:bottom w:val="single" w:sz="4" w:space="0" w:color="auto"/>
              <w:right w:val="single" w:sz="4" w:space="0" w:color="auto"/>
            </w:tcBorders>
            <w:shd w:val="clear" w:color="auto" w:fill="C6EFCE"/>
            <w:noWrap/>
            <w:vAlign w:val="center"/>
            <w:hideMark/>
          </w:tcPr>
          <w:p w14:paraId="2DA24E5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zdravotní péče – 16793_Projekt výstavby budovy určené pro buněčné a genetické terapie a hematologické klinické laboratoře v rámci všeobecné nemocnice Soluň „Papanikolaou“</w:t>
            </w:r>
          </w:p>
        </w:tc>
        <w:tc>
          <w:tcPr>
            <w:tcW w:w="1680" w:type="dxa"/>
            <w:tcBorders>
              <w:top w:val="nil"/>
              <w:left w:val="nil"/>
              <w:bottom w:val="single" w:sz="4" w:space="0" w:color="auto"/>
              <w:right w:val="single" w:sz="4" w:space="0" w:color="auto"/>
            </w:tcBorders>
            <w:shd w:val="clear" w:color="auto" w:fill="C6EFCE"/>
            <w:noWrap/>
            <w:vAlign w:val="center"/>
            <w:hideMark/>
          </w:tcPr>
          <w:p w14:paraId="46A4A89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5E37C4C"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nemocnice Pa</w:t>
            </w:r>
            <w:r>
              <w:rPr>
                <w:noProof/>
              </w:rPr>
              <w:t>panikolau</w:t>
            </w:r>
          </w:p>
        </w:tc>
      </w:tr>
      <w:tr w:rsidR="00515398" w14:paraId="253E1EE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04E078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173</w:t>
            </w:r>
          </w:p>
        </w:tc>
        <w:tc>
          <w:tcPr>
            <w:tcW w:w="4320" w:type="dxa"/>
            <w:tcBorders>
              <w:top w:val="nil"/>
              <w:left w:val="nil"/>
              <w:bottom w:val="single" w:sz="4" w:space="0" w:color="auto"/>
              <w:right w:val="single" w:sz="4" w:space="0" w:color="auto"/>
            </w:tcBorders>
            <w:shd w:val="clear" w:color="auto" w:fill="C6EFCE"/>
            <w:noWrap/>
            <w:vAlign w:val="center"/>
            <w:hideMark/>
          </w:tcPr>
          <w:p w14:paraId="5C83B31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10–3.3. Zlepšení odolnosti, dostupnosti a udržitelnosti zdravotní péče – 16752_Digitální transformace zdraví (DigHealth)</w:t>
            </w:r>
          </w:p>
        </w:tc>
        <w:tc>
          <w:tcPr>
            <w:tcW w:w="1680" w:type="dxa"/>
            <w:tcBorders>
              <w:top w:val="nil"/>
              <w:left w:val="nil"/>
              <w:bottom w:val="single" w:sz="4" w:space="0" w:color="auto"/>
              <w:right w:val="single" w:sz="4" w:space="0" w:color="auto"/>
            </w:tcBorders>
            <w:shd w:val="clear" w:color="auto" w:fill="C6EFCE"/>
            <w:noWrap/>
            <w:vAlign w:val="center"/>
            <w:hideMark/>
          </w:tcPr>
          <w:p w14:paraId="437951A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03ED355" w14:textId="77777777" w:rsidR="00515398" w:rsidRDefault="006711E6">
            <w:pPr>
              <w:pStyle w:val="P68B1DB1-Normal8"/>
              <w:keepNext/>
              <w:spacing w:before="40" w:after="0" w:line="240" w:lineRule="auto"/>
              <w:jc w:val="both"/>
              <w:rPr>
                <w:rFonts w:eastAsia="Times New Roman" w:cs="Times New Roman"/>
                <w:noProof/>
                <w:szCs w:val="18"/>
              </w:rPr>
            </w:pPr>
            <w:r>
              <w:rPr>
                <w:noProof/>
              </w:rPr>
              <w:t>Digitální transformace – všechny dílčí projekty dokončeny</w:t>
            </w:r>
          </w:p>
        </w:tc>
      </w:tr>
      <w:tr w:rsidR="00515398" w14:paraId="7C30CDC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5B3522AB" w14:textId="77777777" w:rsidR="00515398" w:rsidRDefault="006711E6">
            <w:pPr>
              <w:pStyle w:val="P68B1DB1-Normal8"/>
              <w:keepNext/>
              <w:spacing w:before="40" w:after="0" w:line="240" w:lineRule="auto"/>
              <w:jc w:val="both"/>
              <w:rPr>
                <w:rFonts w:cs="Times New Roman"/>
                <w:noProof/>
                <w:szCs w:val="18"/>
              </w:rPr>
            </w:pPr>
            <w:r>
              <w:rPr>
                <w:noProof/>
              </w:rPr>
              <w:t>174a</w:t>
            </w:r>
          </w:p>
        </w:tc>
        <w:tc>
          <w:tcPr>
            <w:tcW w:w="4320" w:type="dxa"/>
            <w:tcBorders>
              <w:top w:val="nil"/>
              <w:left w:val="nil"/>
              <w:bottom w:val="single" w:sz="4" w:space="0" w:color="auto"/>
              <w:right w:val="single" w:sz="4" w:space="0" w:color="auto"/>
            </w:tcBorders>
            <w:shd w:val="clear" w:color="auto" w:fill="C6EFCE"/>
            <w:noWrap/>
            <w:hideMark/>
          </w:tcPr>
          <w:p w14:paraId="207FD948" w14:textId="6224B29D" w:rsidR="00515398" w:rsidRDefault="006711E6">
            <w:pPr>
              <w:pStyle w:val="P68B1DB1-Normal24"/>
              <w:keepNext/>
              <w:spacing w:before="40" w:after="0" w:line="240" w:lineRule="auto"/>
              <w:jc w:val="both"/>
              <w:rPr>
                <w:noProof/>
                <w:color w:val="006100"/>
              </w:rPr>
            </w:pPr>
            <w:r>
              <w:rPr>
                <w:rFonts w:ascii="Times New Roman" w:hAnsi="Times New Roman"/>
                <w:noProof/>
              </w:rPr>
              <w:t xml:space="preserve">11–3.4. Zlepšit přístup k účinným a inkluzivním </w:t>
            </w:r>
            <w:r>
              <w:rPr>
                <w:rFonts w:ascii="Times New Roman" w:hAnsi="Times New Roman"/>
                <w:noProof/>
              </w:rPr>
              <w:t>sociálním politikám – 16904_</w:t>
            </w:r>
            <w:r>
              <w:rPr>
                <w:noProof/>
                <w:color w:val="006100"/>
              </w:rPr>
              <w:t xml:space="preserve"> Přístupnost a podpora infrastrukturních intervencí v raném dětství, zavedení vnitrostátního systému pro osoby se zdravotním postižením</w:t>
            </w:r>
          </w:p>
        </w:tc>
        <w:tc>
          <w:tcPr>
            <w:tcW w:w="1680" w:type="dxa"/>
            <w:tcBorders>
              <w:top w:val="nil"/>
              <w:left w:val="nil"/>
              <w:bottom w:val="single" w:sz="4" w:space="0" w:color="auto"/>
              <w:right w:val="single" w:sz="4" w:space="0" w:color="auto"/>
            </w:tcBorders>
            <w:shd w:val="clear" w:color="auto" w:fill="C6EFCE"/>
            <w:noWrap/>
            <w:hideMark/>
          </w:tcPr>
          <w:p w14:paraId="63BF6CDB"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41BFF542" w14:textId="524C4022" w:rsidR="00515398" w:rsidRDefault="006711E6">
            <w:pPr>
              <w:pStyle w:val="P68B1DB1-Normal8"/>
              <w:keepNext/>
              <w:spacing w:before="40" w:after="0" w:line="240" w:lineRule="auto"/>
              <w:jc w:val="both"/>
              <w:rPr>
                <w:rFonts w:cs="Times New Roman"/>
                <w:noProof/>
                <w:szCs w:val="18"/>
              </w:rPr>
            </w:pPr>
            <w:r>
              <w:rPr>
                <w:noProof/>
              </w:rPr>
              <w:t xml:space="preserve">Přístupnost a podpůrná infrastruktura, sociální začleňování osob s ASD, intervence v </w:t>
            </w:r>
            <w:r>
              <w:rPr>
                <w:noProof/>
              </w:rPr>
              <w:t>raném dětství, vnitrostátní zavedení systému osob se zdravotním postižením asistence osobám se zdravotním postižením</w:t>
            </w:r>
          </w:p>
        </w:tc>
      </w:tr>
      <w:tr w:rsidR="00515398" w14:paraId="040FC55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18798B5C" w14:textId="6FB425B0" w:rsidR="00515398" w:rsidRDefault="006711E6">
            <w:pPr>
              <w:pStyle w:val="P68B1DB1-Normal8"/>
              <w:keepNext/>
              <w:spacing w:before="40" w:after="0" w:line="240" w:lineRule="auto"/>
              <w:jc w:val="both"/>
              <w:rPr>
                <w:noProof/>
              </w:rPr>
            </w:pPr>
            <w:r>
              <w:rPr>
                <w:noProof/>
              </w:rPr>
              <w:t>178</w:t>
            </w:r>
          </w:p>
        </w:tc>
        <w:tc>
          <w:tcPr>
            <w:tcW w:w="4320" w:type="dxa"/>
            <w:tcBorders>
              <w:top w:val="nil"/>
              <w:left w:val="nil"/>
              <w:bottom w:val="single" w:sz="4" w:space="0" w:color="auto"/>
              <w:right w:val="single" w:sz="4" w:space="0" w:color="auto"/>
            </w:tcBorders>
            <w:shd w:val="clear" w:color="auto" w:fill="C6EFCE"/>
            <w:noWrap/>
            <w:vAlign w:val="center"/>
          </w:tcPr>
          <w:p w14:paraId="09E418D3" w14:textId="6D16BB30" w:rsidR="00515398" w:rsidRDefault="006711E6">
            <w:pPr>
              <w:pStyle w:val="P68B1DB1-Normal8"/>
              <w:keepNext/>
              <w:spacing w:before="40" w:after="0" w:line="240" w:lineRule="auto"/>
              <w:jc w:val="both"/>
              <w:rPr>
                <w:noProof/>
              </w:rPr>
            </w:pPr>
            <w:r>
              <w:rPr>
                <w:noProof/>
              </w:rPr>
              <w:t>11–3.4. Zlepšení přístupu k účinným a inkluzivním sociálním politikám – 16919_Ochrana dětí</w:t>
            </w:r>
          </w:p>
        </w:tc>
        <w:tc>
          <w:tcPr>
            <w:tcW w:w="1680" w:type="dxa"/>
            <w:tcBorders>
              <w:top w:val="nil"/>
              <w:left w:val="nil"/>
              <w:bottom w:val="single" w:sz="4" w:space="0" w:color="auto"/>
              <w:right w:val="single" w:sz="4" w:space="0" w:color="auto"/>
            </w:tcBorders>
            <w:shd w:val="clear" w:color="auto" w:fill="C6EFCE"/>
            <w:noWrap/>
            <w:vAlign w:val="center"/>
          </w:tcPr>
          <w:p w14:paraId="0E99064F" w14:textId="1C1800B9" w:rsidR="00515398" w:rsidRDefault="006711E6">
            <w:pPr>
              <w:pStyle w:val="P68B1DB1-Normal8"/>
              <w:keepNext/>
              <w:spacing w:before="40" w:after="0" w:line="240" w:lineRule="auto"/>
              <w:jc w:val="both"/>
              <w:rPr>
                <w:noProof/>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tcPr>
          <w:p w14:paraId="1F93CC42" w14:textId="5FE07C6B" w:rsidR="00515398" w:rsidRDefault="006711E6">
            <w:pPr>
              <w:pStyle w:val="P68B1DB1-Normal8"/>
              <w:keepNext/>
              <w:spacing w:before="40" w:after="0" w:line="240" w:lineRule="auto"/>
              <w:jc w:val="both"/>
              <w:rPr>
                <w:noProof/>
              </w:rPr>
            </w:pPr>
            <w:r>
              <w:rPr>
                <w:noProof/>
              </w:rPr>
              <w:t>Samostatné byty pro deinstitucionali</w:t>
            </w:r>
            <w:r>
              <w:rPr>
                <w:noProof/>
              </w:rPr>
              <w:t xml:space="preserve">zaci osob do 26 let věku </w:t>
            </w:r>
          </w:p>
        </w:tc>
      </w:tr>
      <w:tr w:rsidR="00515398" w14:paraId="2548114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48925BBA" w14:textId="603D622C" w:rsidR="00515398" w:rsidRDefault="006711E6">
            <w:pPr>
              <w:pStyle w:val="P68B1DB1-Normal8"/>
              <w:keepNext/>
              <w:spacing w:before="40" w:after="0" w:line="240" w:lineRule="auto"/>
              <w:jc w:val="both"/>
              <w:rPr>
                <w:noProof/>
              </w:rPr>
            </w:pPr>
            <w:r>
              <w:rPr>
                <w:noProof/>
              </w:rPr>
              <w:t>179</w:t>
            </w:r>
          </w:p>
        </w:tc>
        <w:tc>
          <w:tcPr>
            <w:tcW w:w="4320" w:type="dxa"/>
            <w:tcBorders>
              <w:top w:val="nil"/>
              <w:left w:val="nil"/>
              <w:bottom w:val="single" w:sz="4" w:space="0" w:color="auto"/>
              <w:right w:val="single" w:sz="4" w:space="0" w:color="auto"/>
            </w:tcBorders>
            <w:shd w:val="clear" w:color="auto" w:fill="C6EFCE"/>
            <w:noWrap/>
            <w:vAlign w:val="center"/>
          </w:tcPr>
          <w:p w14:paraId="31D5C3D7" w14:textId="2DEC199D" w:rsidR="00515398" w:rsidRDefault="006711E6">
            <w:pPr>
              <w:pStyle w:val="P68B1DB1-Normal8"/>
              <w:keepNext/>
              <w:spacing w:before="40" w:after="0" w:line="240" w:lineRule="auto"/>
              <w:jc w:val="both"/>
              <w:rPr>
                <w:noProof/>
              </w:rPr>
            </w:pPr>
            <w:r>
              <w:rPr>
                <w:noProof/>
              </w:rPr>
              <w:t>11–3.4. Zlepšení přístupu k účinným a inkluzivním sociálním politikám – 16904_Zdravotní postižení</w:t>
            </w:r>
          </w:p>
        </w:tc>
        <w:tc>
          <w:tcPr>
            <w:tcW w:w="1680" w:type="dxa"/>
            <w:tcBorders>
              <w:top w:val="nil"/>
              <w:left w:val="nil"/>
              <w:bottom w:val="single" w:sz="4" w:space="0" w:color="auto"/>
              <w:right w:val="single" w:sz="4" w:space="0" w:color="auto"/>
            </w:tcBorders>
            <w:shd w:val="clear" w:color="auto" w:fill="C6EFCE"/>
            <w:noWrap/>
            <w:vAlign w:val="center"/>
          </w:tcPr>
          <w:p w14:paraId="70C6DDB4" w14:textId="559F5787" w:rsidR="00515398" w:rsidRDefault="006711E6">
            <w:pPr>
              <w:pStyle w:val="P68B1DB1-Normal8"/>
              <w:keepNext/>
              <w:spacing w:before="40" w:after="0" w:line="240" w:lineRule="auto"/>
              <w:jc w:val="both"/>
              <w:rPr>
                <w:noProof/>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tcPr>
          <w:p w14:paraId="183430FD" w14:textId="5CEDB86C" w:rsidR="00515398" w:rsidRDefault="006711E6">
            <w:pPr>
              <w:pStyle w:val="P68B1DB1-Normal8"/>
              <w:keepNext/>
              <w:spacing w:before="40" w:after="0" w:line="240" w:lineRule="auto"/>
              <w:jc w:val="both"/>
              <w:rPr>
                <w:noProof/>
              </w:rPr>
            </w:pPr>
            <w:r>
              <w:rPr>
                <w:noProof/>
              </w:rPr>
              <w:t xml:space="preserve">Vnitrostátní zavedení systému osobní asistence pro osoby se zdravotním postižením a dokončení druhé fáze posouzení </w:t>
            </w:r>
            <w:r>
              <w:rPr>
                <w:noProof/>
              </w:rPr>
              <w:t>zdravotního postižení osobní asistence – hodnocení.</w:t>
            </w:r>
          </w:p>
        </w:tc>
      </w:tr>
      <w:tr w:rsidR="00515398" w14:paraId="6A72480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77540FBB" w14:textId="77777777" w:rsidR="00515398" w:rsidRDefault="006711E6">
            <w:pPr>
              <w:pStyle w:val="P68B1DB1-Normal8"/>
              <w:keepNext/>
              <w:spacing w:before="40" w:after="0" w:line="240" w:lineRule="auto"/>
              <w:jc w:val="both"/>
              <w:rPr>
                <w:rFonts w:cs="Times New Roman"/>
                <w:noProof/>
                <w:szCs w:val="18"/>
              </w:rPr>
            </w:pPr>
            <w:r>
              <w:rPr>
                <w:noProof/>
              </w:rPr>
              <w:t>180a</w:t>
            </w:r>
          </w:p>
        </w:tc>
        <w:tc>
          <w:tcPr>
            <w:tcW w:w="4320" w:type="dxa"/>
            <w:tcBorders>
              <w:top w:val="nil"/>
              <w:left w:val="nil"/>
              <w:bottom w:val="single" w:sz="4" w:space="0" w:color="auto"/>
              <w:right w:val="single" w:sz="4" w:space="0" w:color="auto"/>
            </w:tcBorders>
            <w:shd w:val="clear" w:color="auto" w:fill="C6EFCE"/>
            <w:noWrap/>
            <w:hideMark/>
          </w:tcPr>
          <w:p w14:paraId="6EEC6640"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16919_Ochrana dětí</w:t>
            </w:r>
          </w:p>
        </w:tc>
        <w:tc>
          <w:tcPr>
            <w:tcW w:w="1680" w:type="dxa"/>
            <w:tcBorders>
              <w:top w:val="nil"/>
              <w:left w:val="nil"/>
              <w:bottom w:val="single" w:sz="4" w:space="0" w:color="auto"/>
              <w:right w:val="single" w:sz="4" w:space="0" w:color="auto"/>
            </w:tcBorders>
            <w:shd w:val="clear" w:color="auto" w:fill="C6EFCE"/>
            <w:noWrap/>
            <w:hideMark/>
          </w:tcPr>
          <w:p w14:paraId="7E1BA60C"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05BE23DB" w14:textId="77777777" w:rsidR="00515398" w:rsidRDefault="006711E6">
            <w:pPr>
              <w:pStyle w:val="P68B1DB1-Normal8"/>
              <w:keepNext/>
              <w:spacing w:before="40" w:after="0" w:line="240" w:lineRule="auto"/>
              <w:jc w:val="both"/>
              <w:rPr>
                <w:rFonts w:cs="Times New Roman"/>
                <w:noProof/>
                <w:szCs w:val="18"/>
              </w:rPr>
            </w:pPr>
            <w:r>
              <w:rPr>
                <w:noProof/>
              </w:rPr>
              <w:t>Reforma učebních osnov</w:t>
            </w:r>
          </w:p>
        </w:tc>
      </w:tr>
      <w:tr w:rsidR="00515398" w14:paraId="243BF65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tcPr>
          <w:p w14:paraId="3D41E240" w14:textId="77777777" w:rsidR="00515398" w:rsidRDefault="006711E6">
            <w:pPr>
              <w:pStyle w:val="P68B1DB1-Normal8"/>
              <w:keepNext/>
              <w:spacing w:before="40" w:after="0" w:line="240" w:lineRule="auto"/>
              <w:jc w:val="both"/>
              <w:rPr>
                <w:noProof/>
              </w:rPr>
            </w:pPr>
            <w:r>
              <w:rPr>
                <w:noProof/>
              </w:rPr>
              <w:t>181</w:t>
            </w:r>
          </w:p>
        </w:tc>
        <w:tc>
          <w:tcPr>
            <w:tcW w:w="4320" w:type="dxa"/>
            <w:tcBorders>
              <w:top w:val="nil"/>
              <w:left w:val="nil"/>
              <w:bottom w:val="single" w:sz="4" w:space="0" w:color="auto"/>
              <w:right w:val="single" w:sz="4" w:space="0" w:color="auto"/>
            </w:tcBorders>
            <w:shd w:val="clear" w:color="auto" w:fill="C6EFCE"/>
            <w:noWrap/>
          </w:tcPr>
          <w:p w14:paraId="23918373" w14:textId="77777777" w:rsidR="00515398" w:rsidRDefault="006711E6">
            <w:pPr>
              <w:pStyle w:val="P68B1DB1-Normal8"/>
              <w:keepNext/>
              <w:spacing w:before="40" w:after="0" w:line="240" w:lineRule="auto"/>
              <w:jc w:val="both"/>
              <w:rPr>
                <w:noProof/>
              </w:rPr>
            </w:pPr>
            <w:r>
              <w:rPr>
                <w:noProof/>
              </w:rPr>
              <w:t xml:space="preserve">11–3.4 Zlepšení přístupu k účinným a inkluzivním sociálním politikám – </w:t>
            </w:r>
            <w:r>
              <w:rPr>
                <w:noProof/>
              </w:rPr>
              <w:t>16402_Sociální a cenově dostupné bydlení</w:t>
            </w:r>
          </w:p>
        </w:tc>
        <w:tc>
          <w:tcPr>
            <w:tcW w:w="1680" w:type="dxa"/>
            <w:tcBorders>
              <w:top w:val="nil"/>
              <w:left w:val="nil"/>
              <w:bottom w:val="single" w:sz="4" w:space="0" w:color="auto"/>
              <w:right w:val="single" w:sz="4" w:space="0" w:color="auto"/>
            </w:tcBorders>
            <w:shd w:val="clear" w:color="auto" w:fill="C6EFCE"/>
            <w:noWrap/>
          </w:tcPr>
          <w:p w14:paraId="206C9039" w14:textId="77777777" w:rsidR="00515398" w:rsidRDefault="006711E6">
            <w:pPr>
              <w:pStyle w:val="P68B1DB1-Normal8"/>
              <w:keepNext/>
              <w:spacing w:before="40" w:after="0" w:line="240" w:lineRule="auto"/>
              <w:jc w:val="both"/>
              <w:rPr>
                <w:noProof/>
              </w:rPr>
            </w:pPr>
            <w:r>
              <w:rPr>
                <w:noProof/>
              </w:rPr>
              <w:t>Milník</w:t>
            </w:r>
          </w:p>
        </w:tc>
        <w:tc>
          <w:tcPr>
            <w:tcW w:w="2280" w:type="dxa"/>
            <w:tcBorders>
              <w:top w:val="nil"/>
              <w:left w:val="nil"/>
              <w:bottom w:val="single" w:sz="4" w:space="0" w:color="auto"/>
              <w:right w:val="single" w:sz="4" w:space="0" w:color="auto"/>
            </w:tcBorders>
            <w:shd w:val="clear" w:color="auto" w:fill="C6EFCE"/>
            <w:noWrap/>
          </w:tcPr>
          <w:p w14:paraId="7FE58C15" w14:textId="52452E98" w:rsidR="00515398" w:rsidRDefault="006711E6">
            <w:pPr>
              <w:pStyle w:val="P68B1DB1-Normal8"/>
              <w:keepNext/>
              <w:spacing w:before="40" w:after="0" w:line="240" w:lineRule="auto"/>
              <w:jc w:val="both"/>
              <w:rPr>
                <w:noProof/>
              </w:rPr>
            </w:pPr>
            <w:r>
              <w:rPr>
                <w:noProof/>
              </w:rPr>
              <w:t>Národní bydlení STRARTEGIE</w:t>
            </w:r>
          </w:p>
        </w:tc>
      </w:tr>
      <w:tr w:rsidR="00515398" w14:paraId="162BC54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2B674DFD" w14:textId="77777777" w:rsidR="00515398" w:rsidRDefault="006711E6">
            <w:pPr>
              <w:pStyle w:val="P68B1DB1-Normal8"/>
              <w:keepNext/>
              <w:spacing w:before="40" w:after="0" w:line="240" w:lineRule="auto"/>
              <w:jc w:val="both"/>
              <w:rPr>
                <w:rFonts w:cs="Times New Roman"/>
                <w:noProof/>
                <w:szCs w:val="18"/>
              </w:rPr>
            </w:pPr>
            <w:r>
              <w:rPr>
                <w:noProof/>
              </w:rPr>
              <w:t>182a</w:t>
            </w:r>
          </w:p>
        </w:tc>
        <w:tc>
          <w:tcPr>
            <w:tcW w:w="4320" w:type="dxa"/>
            <w:tcBorders>
              <w:top w:val="nil"/>
              <w:left w:val="nil"/>
              <w:bottom w:val="single" w:sz="4" w:space="0" w:color="auto"/>
              <w:right w:val="single" w:sz="4" w:space="0" w:color="auto"/>
            </w:tcBorders>
            <w:shd w:val="clear" w:color="auto" w:fill="C6EFCE"/>
            <w:noWrap/>
            <w:hideMark/>
          </w:tcPr>
          <w:p w14:paraId="3527B495"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16925_Digitální transformace systému sociální podpory</w:t>
            </w:r>
          </w:p>
        </w:tc>
        <w:tc>
          <w:tcPr>
            <w:tcW w:w="1680" w:type="dxa"/>
            <w:tcBorders>
              <w:top w:val="nil"/>
              <w:left w:val="nil"/>
              <w:bottom w:val="single" w:sz="4" w:space="0" w:color="auto"/>
              <w:right w:val="single" w:sz="4" w:space="0" w:color="auto"/>
            </w:tcBorders>
            <w:shd w:val="clear" w:color="auto" w:fill="C6EFCE"/>
            <w:noWrap/>
            <w:hideMark/>
          </w:tcPr>
          <w:p w14:paraId="4F479185"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07A6698C" w14:textId="77777777" w:rsidR="00515398" w:rsidRDefault="006711E6">
            <w:pPr>
              <w:pStyle w:val="P68B1DB1-Normal8"/>
              <w:keepNext/>
              <w:spacing w:before="40" w:after="0" w:line="240" w:lineRule="auto"/>
              <w:jc w:val="both"/>
              <w:rPr>
                <w:rFonts w:cs="Times New Roman"/>
                <w:noProof/>
                <w:szCs w:val="18"/>
              </w:rPr>
            </w:pPr>
            <w:r>
              <w:rPr>
                <w:noProof/>
              </w:rPr>
              <w:t xml:space="preserve">Jednotný portál pro digitální přístup, </w:t>
            </w:r>
            <w:r>
              <w:rPr>
                <w:noProof/>
              </w:rPr>
              <w:t>digitální odborná příprava, úplný soupis veřejných nemovitostí</w:t>
            </w:r>
          </w:p>
        </w:tc>
      </w:tr>
      <w:tr w:rsidR="00515398" w14:paraId="627CA13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83AF43B" w14:textId="77777777" w:rsidR="00515398" w:rsidRDefault="006711E6">
            <w:pPr>
              <w:pStyle w:val="P68B1DB1-Normal8"/>
              <w:keepNext/>
              <w:spacing w:before="40" w:after="0" w:line="240" w:lineRule="auto"/>
              <w:jc w:val="both"/>
              <w:rPr>
                <w:rFonts w:cs="Times New Roman"/>
                <w:noProof/>
                <w:szCs w:val="18"/>
              </w:rPr>
            </w:pPr>
            <w:r>
              <w:rPr>
                <w:noProof/>
              </w:rPr>
              <w:t>182</w:t>
            </w:r>
          </w:p>
        </w:tc>
        <w:tc>
          <w:tcPr>
            <w:tcW w:w="4320" w:type="dxa"/>
            <w:tcBorders>
              <w:top w:val="nil"/>
              <w:left w:val="nil"/>
              <w:bottom w:val="single" w:sz="4" w:space="0" w:color="auto"/>
              <w:right w:val="single" w:sz="4" w:space="0" w:color="auto"/>
            </w:tcBorders>
            <w:shd w:val="clear" w:color="auto" w:fill="C6EFCE"/>
            <w:noWrap/>
            <w:vAlign w:val="center"/>
            <w:hideMark/>
          </w:tcPr>
          <w:p w14:paraId="78B835F3"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16925_Digitální transformace systému sociální podpory</w:t>
            </w:r>
          </w:p>
        </w:tc>
        <w:tc>
          <w:tcPr>
            <w:tcW w:w="1680" w:type="dxa"/>
            <w:tcBorders>
              <w:top w:val="nil"/>
              <w:left w:val="nil"/>
              <w:bottom w:val="single" w:sz="4" w:space="0" w:color="auto"/>
              <w:right w:val="single" w:sz="4" w:space="0" w:color="auto"/>
            </w:tcBorders>
            <w:shd w:val="clear" w:color="auto" w:fill="C6EFCE"/>
            <w:noWrap/>
            <w:vAlign w:val="center"/>
            <w:hideMark/>
          </w:tcPr>
          <w:p w14:paraId="4DFAA629"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23C5488A" w14:textId="77777777" w:rsidR="00515398" w:rsidRDefault="006711E6">
            <w:pPr>
              <w:pStyle w:val="P68B1DB1-Normal8"/>
              <w:keepNext/>
              <w:spacing w:before="40" w:after="0" w:line="240" w:lineRule="auto"/>
              <w:jc w:val="both"/>
              <w:rPr>
                <w:rFonts w:cs="Times New Roman"/>
                <w:noProof/>
                <w:szCs w:val="18"/>
              </w:rPr>
            </w:pPr>
            <w:r>
              <w:rPr>
                <w:noProof/>
              </w:rPr>
              <w:t xml:space="preserve">Dokončení dodání průkazů osob se zdravotním postižením </w:t>
            </w:r>
            <w:r>
              <w:rPr>
                <w:noProof/>
              </w:rPr>
              <w:t>ze strany řídícího orgánu</w:t>
            </w:r>
          </w:p>
        </w:tc>
      </w:tr>
      <w:tr w:rsidR="00515398" w14:paraId="399254F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2416E9B" w14:textId="77777777" w:rsidR="00515398" w:rsidRDefault="006711E6">
            <w:pPr>
              <w:pStyle w:val="P68B1DB1-Normal8"/>
              <w:keepNext/>
              <w:spacing w:before="40" w:after="0" w:line="240" w:lineRule="auto"/>
              <w:jc w:val="both"/>
              <w:rPr>
                <w:rFonts w:cs="Times New Roman"/>
                <w:noProof/>
                <w:szCs w:val="18"/>
              </w:rPr>
            </w:pPr>
            <w:r>
              <w:rPr>
                <w:noProof/>
              </w:rPr>
              <w:t>183</w:t>
            </w:r>
          </w:p>
        </w:tc>
        <w:tc>
          <w:tcPr>
            <w:tcW w:w="4320" w:type="dxa"/>
            <w:tcBorders>
              <w:top w:val="nil"/>
              <w:left w:val="nil"/>
              <w:bottom w:val="single" w:sz="4" w:space="0" w:color="auto"/>
              <w:right w:val="single" w:sz="4" w:space="0" w:color="auto"/>
            </w:tcBorders>
            <w:shd w:val="clear" w:color="auto" w:fill="C6EFCE"/>
            <w:noWrap/>
            <w:vAlign w:val="center"/>
            <w:hideMark/>
          </w:tcPr>
          <w:p w14:paraId="033D0FEC"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16922_Sociální integrace</w:t>
            </w:r>
          </w:p>
        </w:tc>
        <w:tc>
          <w:tcPr>
            <w:tcW w:w="1680" w:type="dxa"/>
            <w:tcBorders>
              <w:top w:val="nil"/>
              <w:left w:val="nil"/>
              <w:bottom w:val="single" w:sz="4" w:space="0" w:color="auto"/>
              <w:right w:val="single" w:sz="4" w:space="0" w:color="auto"/>
            </w:tcBorders>
            <w:shd w:val="clear" w:color="auto" w:fill="C6EFCE"/>
            <w:noWrap/>
            <w:vAlign w:val="center"/>
            <w:hideMark/>
          </w:tcPr>
          <w:p w14:paraId="58987B84"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6CC76C4A" w14:textId="77777777" w:rsidR="00515398" w:rsidRDefault="006711E6">
            <w:pPr>
              <w:pStyle w:val="P68B1DB1-Normal8"/>
              <w:keepNext/>
              <w:spacing w:before="40" w:after="0" w:line="240" w:lineRule="auto"/>
              <w:jc w:val="both"/>
              <w:rPr>
                <w:rFonts w:cs="Times New Roman"/>
                <w:noProof/>
                <w:szCs w:val="18"/>
              </w:rPr>
            </w:pPr>
            <w:r>
              <w:rPr>
                <w:noProof/>
              </w:rPr>
              <w:t xml:space="preserve">Sociální integrace – příjemci GMI bez domova </w:t>
            </w:r>
          </w:p>
        </w:tc>
      </w:tr>
      <w:tr w:rsidR="00515398" w14:paraId="3FC7910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hideMark/>
          </w:tcPr>
          <w:p w14:paraId="3DD2216E" w14:textId="77777777" w:rsidR="00515398" w:rsidRDefault="006711E6">
            <w:pPr>
              <w:pStyle w:val="P68B1DB1-Normal8"/>
              <w:keepNext/>
              <w:spacing w:before="40" w:after="0" w:line="240" w:lineRule="auto"/>
              <w:jc w:val="both"/>
              <w:rPr>
                <w:rFonts w:cs="Times New Roman"/>
                <w:noProof/>
                <w:szCs w:val="18"/>
              </w:rPr>
            </w:pPr>
            <w:r>
              <w:rPr>
                <w:noProof/>
              </w:rPr>
              <w:t>186a</w:t>
            </w:r>
          </w:p>
        </w:tc>
        <w:tc>
          <w:tcPr>
            <w:tcW w:w="4320" w:type="dxa"/>
            <w:tcBorders>
              <w:top w:val="nil"/>
              <w:left w:val="nil"/>
              <w:bottom w:val="single" w:sz="4" w:space="0" w:color="auto"/>
              <w:right w:val="single" w:sz="4" w:space="0" w:color="auto"/>
            </w:tcBorders>
            <w:shd w:val="clear" w:color="auto" w:fill="C6EFCE"/>
            <w:noWrap/>
            <w:hideMark/>
          </w:tcPr>
          <w:p w14:paraId="41595E6A"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w:t>
            </w:r>
            <w:r>
              <w:rPr>
                <w:noProof/>
              </w:rPr>
              <w:t xml:space="preserve"> – 16922_Sociální integrace</w:t>
            </w:r>
          </w:p>
        </w:tc>
        <w:tc>
          <w:tcPr>
            <w:tcW w:w="1680" w:type="dxa"/>
            <w:tcBorders>
              <w:top w:val="nil"/>
              <w:left w:val="nil"/>
              <w:bottom w:val="single" w:sz="4" w:space="0" w:color="auto"/>
              <w:right w:val="single" w:sz="4" w:space="0" w:color="auto"/>
            </w:tcBorders>
            <w:shd w:val="clear" w:color="auto" w:fill="C6EFCE"/>
            <w:noWrap/>
            <w:hideMark/>
          </w:tcPr>
          <w:p w14:paraId="1C87E01A"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23AD05E3" w14:textId="77777777" w:rsidR="00515398" w:rsidRDefault="006711E6">
            <w:pPr>
              <w:pStyle w:val="P68B1DB1-Normal8"/>
              <w:keepNext/>
              <w:spacing w:before="40" w:after="0" w:line="240" w:lineRule="auto"/>
              <w:jc w:val="both"/>
              <w:rPr>
                <w:rFonts w:cs="Times New Roman"/>
                <w:noProof/>
                <w:szCs w:val="18"/>
              </w:rPr>
            </w:pPr>
            <w:r>
              <w:rPr>
                <w:noProof/>
              </w:rPr>
              <w:t>Sociální integrace zranitelných skupin, digitální odborná příprava</w:t>
            </w:r>
          </w:p>
        </w:tc>
      </w:tr>
      <w:tr w:rsidR="00515398" w14:paraId="4198F20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613C941" w14:textId="77777777" w:rsidR="00515398" w:rsidRDefault="006711E6">
            <w:pPr>
              <w:pStyle w:val="P68B1DB1-Normal8"/>
              <w:keepNext/>
              <w:spacing w:before="40" w:after="0" w:line="240" w:lineRule="auto"/>
              <w:jc w:val="both"/>
              <w:rPr>
                <w:rFonts w:cs="Times New Roman"/>
                <w:noProof/>
                <w:szCs w:val="18"/>
              </w:rPr>
            </w:pPr>
            <w:r>
              <w:rPr>
                <w:noProof/>
              </w:rPr>
              <w:t>187</w:t>
            </w:r>
          </w:p>
        </w:tc>
        <w:tc>
          <w:tcPr>
            <w:tcW w:w="4320" w:type="dxa"/>
            <w:tcBorders>
              <w:top w:val="nil"/>
              <w:left w:val="nil"/>
              <w:bottom w:val="single" w:sz="4" w:space="0" w:color="auto"/>
              <w:right w:val="single" w:sz="4" w:space="0" w:color="auto"/>
            </w:tcBorders>
            <w:shd w:val="clear" w:color="auto" w:fill="C6EFCE"/>
            <w:noWrap/>
            <w:vAlign w:val="center"/>
            <w:hideMark/>
          </w:tcPr>
          <w:p w14:paraId="201CAB4A" w14:textId="77777777" w:rsidR="00515398" w:rsidRDefault="006711E6">
            <w:pPr>
              <w:pStyle w:val="P68B1DB1-Normal8"/>
              <w:keepNext/>
              <w:spacing w:before="40" w:after="0" w:line="240" w:lineRule="auto"/>
              <w:jc w:val="both"/>
              <w:rPr>
                <w:rFonts w:cs="Times New Roman"/>
                <w:noProof/>
                <w:szCs w:val="18"/>
              </w:rPr>
            </w:pPr>
            <w:r>
              <w:rPr>
                <w:noProof/>
              </w:rPr>
              <w:t>11–3.4. Zlepšení přístupu k účinným a inkluzivním sociálním politikám – 16688: Podpora integrace uprchlíků na trhu práce </w:t>
            </w:r>
          </w:p>
        </w:tc>
        <w:tc>
          <w:tcPr>
            <w:tcW w:w="1680" w:type="dxa"/>
            <w:tcBorders>
              <w:top w:val="nil"/>
              <w:left w:val="nil"/>
              <w:bottom w:val="single" w:sz="4" w:space="0" w:color="auto"/>
              <w:right w:val="single" w:sz="4" w:space="0" w:color="auto"/>
            </w:tcBorders>
            <w:shd w:val="clear" w:color="auto" w:fill="C6EFCE"/>
            <w:noWrap/>
            <w:vAlign w:val="center"/>
            <w:hideMark/>
          </w:tcPr>
          <w:p w14:paraId="06E40636"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74CEEE4D" w14:textId="77777777" w:rsidR="00515398" w:rsidRDefault="006711E6">
            <w:pPr>
              <w:pStyle w:val="P68B1DB1-Normal8"/>
              <w:keepNext/>
              <w:spacing w:before="40" w:after="0" w:line="240" w:lineRule="auto"/>
              <w:jc w:val="both"/>
              <w:rPr>
                <w:rFonts w:cs="Times New Roman"/>
                <w:noProof/>
                <w:szCs w:val="18"/>
              </w:rPr>
            </w:pPr>
            <w:r>
              <w:rPr>
                <w:noProof/>
              </w:rPr>
              <w:t xml:space="preserve">Integrace uprchlíků </w:t>
            </w:r>
            <w:r>
              <w:rPr>
                <w:noProof/>
              </w:rPr>
              <w:t>na trhu práce</w:t>
            </w:r>
          </w:p>
        </w:tc>
      </w:tr>
      <w:tr w:rsidR="00515398" w14:paraId="197A741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389489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194</w:t>
            </w:r>
          </w:p>
        </w:tc>
        <w:tc>
          <w:tcPr>
            <w:tcW w:w="4320" w:type="dxa"/>
            <w:tcBorders>
              <w:top w:val="nil"/>
              <w:left w:val="nil"/>
              <w:bottom w:val="single" w:sz="4" w:space="0" w:color="auto"/>
              <w:right w:val="single" w:sz="4" w:space="0" w:color="auto"/>
            </w:tcBorders>
            <w:shd w:val="clear" w:color="auto" w:fill="C6EFCE"/>
            <w:noWrap/>
            <w:vAlign w:val="center"/>
            <w:hideMark/>
          </w:tcPr>
          <w:p w14:paraId="64B37B9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 daňovou správu a výběr daní – 16611_Digitální transformace daňových auditů</w:t>
            </w:r>
          </w:p>
        </w:tc>
        <w:tc>
          <w:tcPr>
            <w:tcW w:w="1680" w:type="dxa"/>
            <w:tcBorders>
              <w:top w:val="nil"/>
              <w:left w:val="nil"/>
              <w:bottom w:val="single" w:sz="4" w:space="0" w:color="auto"/>
              <w:right w:val="single" w:sz="4" w:space="0" w:color="auto"/>
            </w:tcBorders>
            <w:shd w:val="clear" w:color="auto" w:fill="C6EFCE"/>
            <w:noWrap/>
            <w:vAlign w:val="center"/>
            <w:hideMark/>
          </w:tcPr>
          <w:p w14:paraId="549A01F0"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3492E1A"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digitální transformace daňových auditů</w:t>
            </w:r>
          </w:p>
        </w:tc>
      </w:tr>
      <w:tr w:rsidR="00515398" w14:paraId="1C15F71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9C4454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195</w:t>
            </w:r>
          </w:p>
        </w:tc>
        <w:tc>
          <w:tcPr>
            <w:tcW w:w="4320" w:type="dxa"/>
            <w:tcBorders>
              <w:top w:val="nil"/>
              <w:left w:val="nil"/>
              <w:bottom w:val="single" w:sz="4" w:space="0" w:color="auto"/>
              <w:right w:val="single" w:sz="4" w:space="0" w:color="auto"/>
            </w:tcBorders>
            <w:shd w:val="clear" w:color="auto" w:fill="C6EFCE"/>
            <w:noWrap/>
            <w:vAlign w:val="center"/>
            <w:hideMark/>
          </w:tcPr>
          <w:p w14:paraId="49A1E9F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w:t>
            </w:r>
            <w:r>
              <w:rPr>
                <w:noProof/>
              </w:rPr>
              <w:t xml:space="preserve"> daňovou správu a výběr daní – 16291_Digitální transformace daňové a celní správy</w:t>
            </w:r>
          </w:p>
        </w:tc>
        <w:tc>
          <w:tcPr>
            <w:tcW w:w="1680" w:type="dxa"/>
            <w:tcBorders>
              <w:top w:val="nil"/>
              <w:left w:val="nil"/>
              <w:bottom w:val="single" w:sz="4" w:space="0" w:color="auto"/>
              <w:right w:val="single" w:sz="4" w:space="0" w:color="auto"/>
            </w:tcBorders>
            <w:shd w:val="clear" w:color="auto" w:fill="C6EFCE"/>
            <w:noWrap/>
            <w:vAlign w:val="center"/>
            <w:hideMark/>
          </w:tcPr>
          <w:p w14:paraId="63988AC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E10F864" w14:textId="77777777" w:rsidR="00515398" w:rsidRDefault="006711E6">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rPr>
              <w:t>Dokončení první fáze výstupů integrovaného</w:t>
            </w:r>
            <w:r>
              <w:rPr>
                <w:noProof/>
              </w:rPr>
              <w:t xml:space="preserve"> </w:t>
            </w:r>
            <w:r>
              <w:rPr>
                <w:rFonts w:ascii="Times New Roman" w:hAnsi="Times New Roman"/>
                <w:noProof/>
                <w:sz w:val="18"/>
              </w:rPr>
              <w:t xml:space="preserve">daňového a auditního IT prostředí Nezávislého úřadu pro veřejné příjmy v rámci jeho digitální transformace. Provádění dílčích projektů </w:t>
            </w:r>
          </w:p>
        </w:tc>
      </w:tr>
      <w:tr w:rsidR="00515398" w14:paraId="7995CF6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1B4CA0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196</w:t>
            </w:r>
          </w:p>
        </w:tc>
        <w:tc>
          <w:tcPr>
            <w:tcW w:w="4320" w:type="dxa"/>
            <w:tcBorders>
              <w:top w:val="nil"/>
              <w:left w:val="nil"/>
              <w:bottom w:val="single" w:sz="4" w:space="0" w:color="auto"/>
              <w:right w:val="single" w:sz="4" w:space="0" w:color="auto"/>
            </w:tcBorders>
            <w:shd w:val="clear" w:color="auto" w:fill="C6EFCE"/>
            <w:noWrap/>
            <w:vAlign w:val="center"/>
            <w:hideMark/>
          </w:tcPr>
          <w:p w14:paraId="5FB8445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12–4.1. Učinit daně příznivější pro růst a zlepšit daňovou správu a výběr daní – 16291_Digitální transformace daňov</w:t>
            </w:r>
            <w:r>
              <w:rPr>
                <w:noProof/>
              </w:rPr>
              <w:t>é a celní správy</w:t>
            </w:r>
          </w:p>
        </w:tc>
        <w:tc>
          <w:tcPr>
            <w:tcW w:w="1680" w:type="dxa"/>
            <w:tcBorders>
              <w:top w:val="nil"/>
              <w:left w:val="nil"/>
              <w:bottom w:val="single" w:sz="4" w:space="0" w:color="auto"/>
              <w:right w:val="single" w:sz="4" w:space="0" w:color="auto"/>
            </w:tcBorders>
            <w:shd w:val="clear" w:color="auto" w:fill="C6EFCE"/>
            <w:noWrap/>
            <w:vAlign w:val="center"/>
            <w:hideMark/>
          </w:tcPr>
          <w:p w14:paraId="3B23965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F4BCA1E" w14:textId="77777777" w:rsidR="00515398" w:rsidRDefault="006711E6">
            <w:pPr>
              <w:pStyle w:val="P68B1DB1-Normal8"/>
              <w:keepNext/>
              <w:spacing w:before="40" w:after="0" w:line="240" w:lineRule="auto"/>
              <w:jc w:val="both"/>
              <w:rPr>
                <w:rFonts w:eastAsia="Times New Roman" w:cs="Times New Roman"/>
                <w:noProof/>
                <w:szCs w:val="18"/>
              </w:rPr>
            </w:pPr>
            <w:r>
              <w:rPr>
                <w:noProof/>
              </w:rPr>
              <w:t>Spuštění systému sledování užitkových vozidel a kontejnerů. Provádění dílčích projektů.</w:t>
            </w:r>
          </w:p>
        </w:tc>
      </w:tr>
      <w:tr w:rsidR="00515398" w14:paraId="7184F57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07BDC322" w14:textId="161FC85E" w:rsidR="00515398" w:rsidRDefault="006711E6">
            <w:pPr>
              <w:pStyle w:val="P68B1DB1-Normal8"/>
              <w:keepNext/>
              <w:spacing w:before="40" w:after="0" w:line="240" w:lineRule="auto"/>
              <w:jc w:val="both"/>
              <w:rPr>
                <w:noProof/>
              </w:rPr>
            </w:pPr>
            <w:r>
              <w:rPr>
                <w:noProof/>
              </w:rPr>
              <w:t>204a</w:t>
            </w:r>
          </w:p>
        </w:tc>
        <w:tc>
          <w:tcPr>
            <w:tcW w:w="4320" w:type="dxa"/>
            <w:tcBorders>
              <w:top w:val="nil"/>
              <w:left w:val="nil"/>
              <w:bottom w:val="single" w:sz="4" w:space="0" w:color="auto"/>
              <w:right w:val="single" w:sz="4" w:space="0" w:color="auto"/>
            </w:tcBorders>
            <w:shd w:val="clear" w:color="auto" w:fill="C6EFCE"/>
            <w:noWrap/>
            <w:vAlign w:val="center"/>
          </w:tcPr>
          <w:p w14:paraId="15F3956B" w14:textId="47FA931F" w:rsidR="00515398" w:rsidRDefault="006711E6">
            <w:pPr>
              <w:pStyle w:val="P68B1DB1-Normal8"/>
              <w:keepNext/>
              <w:spacing w:before="40" w:after="0" w:line="240" w:lineRule="auto"/>
              <w:jc w:val="both"/>
              <w:rPr>
                <w:noProof/>
              </w:rPr>
            </w:pPr>
            <w:r>
              <w:rPr>
                <w:noProof/>
              </w:rPr>
              <w:t>12–4.1. Učinit daně příznivější pro růst a zlepšit daňovou správu a výběr daní – 16643_Kodifikace a zjednodušení daňových právních předpis</w:t>
            </w:r>
            <w:r>
              <w:rPr>
                <w:noProof/>
              </w:rPr>
              <w:t>ů</w:t>
            </w:r>
          </w:p>
        </w:tc>
        <w:tc>
          <w:tcPr>
            <w:tcW w:w="1680" w:type="dxa"/>
            <w:tcBorders>
              <w:top w:val="nil"/>
              <w:left w:val="nil"/>
              <w:bottom w:val="single" w:sz="4" w:space="0" w:color="auto"/>
              <w:right w:val="single" w:sz="4" w:space="0" w:color="auto"/>
            </w:tcBorders>
            <w:shd w:val="clear" w:color="auto" w:fill="C6EFCE"/>
            <w:noWrap/>
            <w:vAlign w:val="center"/>
          </w:tcPr>
          <w:p w14:paraId="3CB7E7D6" w14:textId="00876833" w:rsidR="00515398" w:rsidRDefault="006711E6">
            <w:pPr>
              <w:pStyle w:val="P68B1DB1-Normal8"/>
              <w:keepNext/>
              <w:spacing w:before="40" w:after="0" w:line="240" w:lineRule="auto"/>
              <w:jc w:val="both"/>
              <w:rPr>
                <w:noProof/>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tcPr>
          <w:p w14:paraId="7645DEE5" w14:textId="2E11B28E" w:rsidR="00515398" w:rsidRDefault="006711E6">
            <w:pPr>
              <w:pStyle w:val="P68B1DB1-Normal8"/>
              <w:keepNext/>
              <w:spacing w:before="40" w:after="0" w:line="240" w:lineRule="auto"/>
              <w:jc w:val="both"/>
              <w:rPr>
                <w:noProof/>
              </w:rPr>
            </w:pPr>
            <w:r>
              <w:rPr>
                <w:noProof/>
              </w:rPr>
              <w:t>Dokončení informačního systému daňových poplatníků</w:t>
            </w:r>
          </w:p>
        </w:tc>
      </w:tr>
      <w:tr w:rsidR="00515398" w14:paraId="63DDDCD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34312A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208</w:t>
            </w:r>
          </w:p>
        </w:tc>
        <w:tc>
          <w:tcPr>
            <w:tcW w:w="4320" w:type="dxa"/>
            <w:tcBorders>
              <w:top w:val="nil"/>
              <w:left w:val="nil"/>
              <w:bottom w:val="single" w:sz="4" w:space="0" w:color="auto"/>
              <w:right w:val="single" w:sz="4" w:space="0" w:color="auto"/>
            </w:tcBorders>
            <w:shd w:val="clear" w:color="auto" w:fill="C6EFCE"/>
            <w:noWrap/>
            <w:vAlign w:val="center"/>
            <w:hideMark/>
          </w:tcPr>
          <w:p w14:paraId="3F2EDE3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Modernizace veřejné správy, mimo jiné urychlením provádění veřejných investic, zlepšením rámce pro zadávání veřejných zakázek, opatřeními na budování kapacit a bojem proti korupci – </w:t>
            </w:r>
            <w:r>
              <w:rPr>
                <w:noProof/>
              </w:rPr>
              <w:t>16972_Reforma veřejné správy</w:t>
            </w:r>
          </w:p>
        </w:tc>
        <w:tc>
          <w:tcPr>
            <w:tcW w:w="1680" w:type="dxa"/>
            <w:tcBorders>
              <w:top w:val="nil"/>
              <w:left w:val="nil"/>
              <w:bottom w:val="single" w:sz="4" w:space="0" w:color="auto"/>
              <w:right w:val="single" w:sz="4" w:space="0" w:color="auto"/>
            </w:tcBorders>
            <w:shd w:val="clear" w:color="auto" w:fill="C6EFCE"/>
            <w:noWrap/>
            <w:vAlign w:val="center"/>
            <w:hideMark/>
          </w:tcPr>
          <w:p w14:paraId="0410C101"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11C8EAA1" w14:textId="77777777" w:rsidR="00515398" w:rsidRDefault="006711E6">
            <w:pPr>
              <w:pStyle w:val="P68B1DB1-Normal8"/>
              <w:keepNext/>
              <w:spacing w:before="40" w:after="0" w:line="240" w:lineRule="auto"/>
              <w:jc w:val="both"/>
              <w:rPr>
                <w:rFonts w:eastAsia="Times New Roman" w:cs="Times New Roman"/>
                <w:noProof/>
                <w:szCs w:val="18"/>
              </w:rPr>
            </w:pPr>
            <w:r>
              <w:rPr>
                <w:noProof/>
              </w:rPr>
              <w:t>Veřejná správa – dokončení odborné přípravy státních zaměstnanců. Dokončení akcí souvisejících s náborovými postupy a strategickým plánováním pracovních sil</w:t>
            </w:r>
          </w:p>
        </w:tc>
      </w:tr>
      <w:tr w:rsidR="00515398" w14:paraId="5525E1E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tcPr>
          <w:p w14:paraId="702FB661" w14:textId="357ABA45" w:rsidR="00515398" w:rsidRDefault="006711E6">
            <w:pPr>
              <w:pStyle w:val="P68B1DB1-Normal8"/>
              <w:keepNext/>
              <w:spacing w:before="40" w:after="0" w:line="240" w:lineRule="auto"/>
              <w:jc w:val="both"/>
              <w:rPr>
                <w:noProof/>
              </w:rPr>
            </w:pPr>
            <w:r>
              <w:rPr>
                <w:noProof/>
              </w:rPr>
              <w:t>211a</w:t>
            </w:r>
          </w:p>
        </w:tc>
        <w:tc>
          <w:tcPr>
            <w:tcW w:w="4320" w:type="dxa"/>
            <w:tcBorders>
              <w:top w:val="nil"/>
              <w:left w:val="nil"/>
              <w:bottom w:val="single" w:sz="4" w:space="0" w:color="auto"/>
              <w:right w:val="single" w:sz="4" w:space="0" w:color="auto"/>
            </w:tcBorders>
            <w:shd w:val="clear" w:color="auto" w:fill="C6EFCE"/>
            <w:noWrap/>
            <w:vAlign w:val="center"/>
          </w:tcPr>
          <w:p w14:paraId="71749575" w14:textId="1EC80BF3" w:rsidR="00515398" w:rsidRDefault="006711E6">
            <w:pPr>
              <w:pStyle w:val="P68B1DB1-Normal8"/>
              <w:keepNext/>
              <w:spacing w:before="40" w:after="0" w:line="240" w:lineRule="auto"/>
              <w:jc w:val="both"/>
              <w:rPr>
                <w:noProof/>
              </w:rPr>
            </w:pPr>
            <w:r>
              <w:rPr>
                <w:noProof/>
              </w:rPr>
              <w:t xml:space="preserve">13–4. Modernizace veřejné správy, mimo jiné urychlením </w:t>
            </w:r>
            <w:r>
              <w:rPr>
                <w:noProof/>
              </w:rPr>
              <w:t xml:space="preserve">provádění veřejných investic, zlepšením rámce pro zadávání veřejných zakázek, opatřeními na budování kapacit a bojem proti korupci – 16952_ Posílení národního protikorupčního rámce prostřednictvím cílených zásahů v oblasti odhalování, prevence a zvyšování </w:t>
            </w:r>
            <w:r>
              <w:rPr>
                <w:noProof/>
              </w:rPr>
              <w:t>povědomí</w:t>
            </w:r>
          </w:p>
        </w:tc>
        <w:tc>
          <w:tcPr>
            <w:tcW w:w="1680" w:type="dxa"/>
            <w:tcBorders>
              <w:top w:val="nil"/>
              <w:left w:val="nil"/>
              <w:bottom w:val="single" w:sz="4" w:space="0" w:color="auto"/>
              <w:right w:val="single" w:sz="4" w:space="0" w:color="auto"/>
            </w:tcBorders>
            <w:shd w:val="clear" w:color="auto" w:fill="C6EFCE"/>
            <w:noWrap/>
            <w:vAlign w:val="center"/>
          </w:tcPr>
          <w:p w14:paraId="20968AD7" w14:textId="54BF5256" w:rsidR="00515398" w:rsidRDefault="006711E6">
            <w:pPr>
              <w:pStyle w:val="P68B1DB1-Normal8"/>
              <w:keepNext/>
              <w:spacing w:before="40" w:after="0" w:line="240" w:lineRule="auto"/>
              <w:jc w:val="both"/>
              <w:rPr>
                <w:noProof/>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tcPr>
          <w:p w14:paraId="4A590BC8" w14:textId="2E2FA9F5" w:rsidR="00515398" w:rsidRDefault="006711E6">
            <w:pPr>
              <w:pStyle w:val="P68B1DB1-Normal8"/>
              <w:keepNext/>
              <w:spacing w:before="40" w:after="0" w:line="240" w:lineRule="auto"/>
              <w:jc w:val="both"/>
              <w:rPr>
                <w:noProof/>
              </w:rPr>
            </w:pPr>
            <w:r>
              <w:rPr>
                <w:noProof/>
              </w:rPr>
              <w:t>Dokončení projektů týkajících se digitálních kapacit a infrastrukturních kapacit Národního úřadu pro transparentnost</w:t>
            </w:r>
          </w:p>
        </w:tc>
      </w:tr>
      <w:tr w:rsidR="00515398" w14:paraId="647E7A1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16EAA8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218</w:t>
            </w:r>
          </w:p>
        </w:tc>
        <w:tc>
          <w:tcPr>
            <w:tcW w:w="4320" w:type="dxa"/>
            <w:tcBorders>
              <w:top w:val="nil"/>
              <w:left w:val="nil"/>
              <w:bottom w:val="single" w:sz="4" w:space="0" w:color="auto"/>
              <w:right w:val="single" w:sz="4" w:space="0" w:color="auto"/>
            </w:tcBorders>
            <w:shd w:val="clear" w:color="auto" w:fill="C6EFCE"/>
            <w:noWrap/>
            <w:vAlign w:val="center"/>
            <w:hideMark/>
          </w:tcPr>
          <w:p w14:paraId="1D8FF4C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Modernizace veřejné správy, mimo jiné urychlením provádění veřejných investic, zlepšením rámce pro zadávání </w:t>
            </w:r>
            <w:r>
              <w:rPr>
                <w:noProof/>
              </w:rPr>
              <w:t>veřejných zakázek, opatřeními na budování kapacit a bojem proti korupci – 16711_Profesionalizace oblasti zadávání veřejných zakázek</w:t>
            </w:r>
          </w:p>
        </w:tc>
        <w:tc>
          <w:tcPr>
            <w:tcW w:w="1680" w:type="dxa"/>
            <w:tcBorders>
              <w:top w:val="nil"/>
              <w:left w:val="nil"/>
              <w:bottom w:val="single" w:sz="4" w:space="0" w:color="auto"/>
              <w:right w:val="single" w:sz="4" w:space="0" w:color="auto"/>
            </w:tcBorders>
            <w:shd w:val="clear" w:color="auto" w:fill="C6EFCE"/>
            <w:noWrap/>
            <w:vAlign w:val="center"/>
            <w:hideMark/>
          </w:tcPr>
          <w:p w14:paraId="36AD341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DB3C44D" w14:textId="77777777" w:rsidR="00515398" w:rsidRDefault="006711E6">
            <w:pPr>
              <w:pStyle w:val="P68B1DB1-Normal8"/>
              <w:keepNext/>
              <w:spacing w:before="40" w:after="0" w:line="240" w:lineRule="auto"/>
              <w:jc w:val="both"/>
              <w:rPr>
                <w:rFonts w:eastAsia="Times New Roman" w:cs="Times New Roman"/>
                <w:noProof/>
                <w:szCs w:val="18"/>
              </w:rPr>
            </w:pPr>
            <w:r>
              <w:rPr>
                <w:noProof/>
              </w:rPr>
              <w:t>Provádění národní strategie pro zadávání veřejných zakázek na období 2021–2025</w:t>
            </w:r>
          </w:p>
        </w:tc>
      </w:tr>
      <w:tr w:rsidR="00515398" w14:paraId="16D57ED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31DAB9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219</w:t>
            </w:r>
          </w:p>
        </w:tc>
        <w:tc>
          <w:tcPr>
            <w:tcW w:w="4320" w:type="dxa"/>
            <w:tcBorders>
              <w:top w:val="nil"/>
              <w:left w:val="nil"/>
              <w:bottom w:val="single" w:sz="4" w:space="0" w:color="auto"/>
              <w:right w:val="single" w:sz="4" w:space="0" w:color="auto"/>
            </w:tcBorders>
            <w:shd w:val="clear" w:color="auto" w:fill="C6EFCE"/>
            <w:noWrap/>
            <w:vAlign w:val="center"/>
            <w:hideMark/>
          </w:tcPr>
          <w:p w14:paraId="044C189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Modernizace veřejné správy,</w:t>
            </w:r>
            <w:r>
              <w:rPr>
                <w:noProof/>
              </w:rPr>
              <w:t xml:space="preserve"> mimo jiné urychlením provádění veřejných investic, zlepšením rámce pro zadávání veřejných zakázek, opatřeními na budování kapacit a bojem proti korupci – 16974_Reforma účetnictví</w:t>
            </w:r>
          </w:p>
        </w:tc>
        <w:tc>
          <w:tcPr>
            <w:tcW w:w="1680" w:type="dxa"/>
            <w:tcBorders>
              <w:top w:val="nil"/>
              <w:left w:val="nil"/>
              <w:bottom w:val="single" w:sz="4" w:space="0" w:color="auto"/>
              <w:right w:val="single" w:sz="4" w:space="0" w:color="auto"/>
            </w:tcBorders>
            <w:shd w:val="clear" w:color="auto" w:fill="C6EFCE"/>
            <w:noWrap/>
            <w:vAlign w:val="center"/>
            <w:hideMark/>
          </w:tcPr>
          <w:p w14:paraId="76585229"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554F205" w14:textId="77777777" w:rsidR="00515398" w:rsidRDefault="006711E6">
            <w:pPr>
              <w:pStyle w:val="P68B1DB1-Normal8"/>
              <w:keepNext/>
              <w:spacing w:before="40" w:after="0" w:line="240" w:lineRule="auto"/>
              <w:jc w:val="both"/>
              <w:rPr>
                <w:rFonts w:eastAsia="Times New Roman" w:cs="Times New Roman"/>
                <w:noProof/>
                <w:szCs w:val="18"/>
              </w:rPr>
            </w:pPr>
            <w:r>
              <w:rPr>
                <w:noProof/>
              </w:rPr>
              <w:t>Reforma účetnictví: Konsolidované finanční výkazy</w:t>
            </w:r>
          </w:p>
        </w:tc>
      </w:tr>
      <w:tr w:rsidR="00515398" w14:paraId="58557D8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7709DF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220</w:t>
            </w:r>
          </w:p>
        </w:tc>
        <w:tc>
          <w:tcPr>
            <w:tcW w:w="4320" w:type="dxa"/>
            <w:tcBorders>
              <w:top w:val="nil"/>
              <w:left w:val="nil"/>
              <w:bottom w:val="single" w:sz="4" w:space="0" w:color="auto"/>
              <w:right w:val="single" w:sz="4" w:space="0" w:color="auto"/>
            </w:tcBorders>
            <w:shd w:val="clear" w:color="auto" w:fill="C6EFCE"/>
            <w:noWrap/>
            <w:vAlign w:val="center"/>
            <w:hideMark/>
          </w:tcPr>
          <w:p w14:paraId="56697AC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13–4. Moderniz</w:t>
            </w:r>
            <w:r>
              <w:rPr>
                <w:noProof/>
              </w:rPr>
              <w:t>ace veřejné správy, mimo jiné urychlením provádění veřejných investic, zlepšením rámce pro zadávání veřejných zakázek, opatřeními na budování kapacit a bojem proti korupci – 16705_Digitální transformace fiskálního řízení a dohledu v oblasti správy a elektr</w:t>
            </w:r>
            <w:r>
              <w:rPr>
                <w:noProof/>
              </w:rPr>
              <w:t>onické fakturace</w:t>
            </w:r>
          </w:p>
        </w:tc>
        <w:tc>
          <w:tcPr>
            <w:tcW w:w="1680" w:type="dxa"/>
            <w:tcBorders>
              <w:top w:val="nil"/>
              <w:left w:val="nil"/>
              <w:bottom w:val="single" w:sz="4" w:space="0" w:color="auto"/>
              <w:right w:val="single" w:sz="4" w:space="0" w:color="auto"/>
            </w:tcBorders>
            <w:shd w:val="clear" w:color="auto" w:fill="C6EFCE"/>
            <w:noWrap/>
            <w:vAlign w:val="center"/>
            <w:hideMark/>
          </w:tcPr>
          <w:p w14:paraId="279800E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0D678B3E" w14:textId="77777777" w:rsidR="00515398" w:rsidRDefault="006711E6">
            <w:pPr>
              <w:pStyle w:val="P68B1DB1-Normal8"/>
              <w:keepNext/>
              <w:spacing w:before="40" w:after="0" w:line="240" w:lineRule="auto"/>
              <w:jc w:val="both"/>
              <w:rPr>
                <w:rFonts w:eastAsia="Times New Roman" w:cs="Times New Roman"/>
                <w:noProof/>
                <w:szCs w:val="18"/>
              </w:rPr>
            </w:pPr>
            <w:r>
              <w:rPr>
                <w:noProof/>
              </w:rPr>
              <w:t>Vládní plánování podnikových zdrojů (GOV-ERP)</w:t>
            </w:r>
          </w:p>
        </w:tc>
      </w:tr>
      <w:tr w:rsidR="00515398" w14:paraId="5D18828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2BD59C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221</w:t>
            </w:r>
          </w:p>
        </w:tc>
        <w:tc>
          <w:tcPr>
            <w:tcW w:w="4320" w:type="dxa"/>
            <w:tcBorders>
              <w:top w:val="nil"/>
              <w:left w:val="nil"/>
              <w:bottom w:val="single" w:sz="4" w:space="0" w:color="auto"/>
              <w:right w:val="single" w:sz="4" w:space="0" w:color="auto"/>
            </w:tcBorders>
            <w:shd w:val="clear" w:color="auto" w:fill="C6EFCE"/>
            <w:noWrap/>
            <w:vAlign w:val="center"/>
            <w:hideMark/>
          </w:tcPr>
          <w:p w14:paraId="1529971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13–4. Modernizace veřejné správy, mimo jiné urychlením provádění veřejných investic, zlepšením rámce pro zadávání veřejných zakázek, opatřeními na budování kapacit a bojem proti </w:t>
            </w:r>
            <w:r>
              <w:rPr>
                <w:noProof/>
              </w:rPr>
              <w:t>korupci – 16711_Profesionalizace oblasti zadávání veřejných zakázek</w:t>
            </w:r>
          </w:p>
        </w:tc>
        <w:tc>
          <w:tcPr>
            <w:tcW w:w="1680" w:type="dxa"/>
            <w:tcBorders>
              <w:top w:val="nil"/>
              <w:left w:val="nil"/>
              <w:bottom w:val="single" w:sz="4" w:space="0" w:color="auto"/>
              <w:right w:val="single" w:sz="4" w:space="0" w:color="auto"/>
            </w:tcBorders>
            <w:shd w:val="clear" w:color="auto" w:fill="C6EFCE"/>
            <w:noWrap/>
            <w:vAlign w:val="center"/>
            <w:hideMark/>
          </w:tcPr>
          <w:p w14:paraId="7796DE04" w14:textId="77777777" w:rsidR="00515398" w:rsidRDefault="006711E6">
            <w:pPr>
              <w:pStyle w:val="P68B1DB1-Normal8"/>
              <w:keepNext/>
              <w:spacing w:before="40" w:after="0" w:line="240" w:lineRule="auto"/>
              <w:jc w:val="both"/>
              <w:rPr>
                <w:rFonts w:eastAsia="Times New Roman"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71D03F47"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programů prohlubování dovedností/změna kvalifikace pro zadávání veřejných zakázek</w:t>
            </w:r>
          </w:p>
        </w:tc>
      </w:tr>
      <w:tr w:rsidR="00515398" w14:paraId="1F2F5C1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0533E2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237</w:t>
            </w:r>
          </w:p>
        </w:tc>
        <w:tc>
          <w:tcPr>
            <w:tcW w:w="4320" w:type="dxa"/>
            <w:tcBorders>
              <w:top w:val="nil"/>
              <w:left w:val="nil"/>
              <w:bottom w:val="single" w:sz="4" w:space="0" w:color="auto"/>
              <w:right w:val="single" w:sz="4" w:space="0" w:color="auto"/>
            </w:tcBorders>
            <w:shd w:val="clear" w:color="auto" w:fill="C6EFCE"/>
            <w:noWrap/>
            <w:vAlign w:val="center"/>
            <w:hideMark/>
          </w:tcPr>
          <w:p w14:paraId="6483DC8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Zlepšení účinnosti soudního systému – 16292_Nové soudní budovy</w:t>
            </w:r>
          </w:p>
        </w:tc>
        <w:tc>
          <w:tcPr>
            <w:tcW w:w="1680" w:type="dxa"/>
            <w:tcBorders>
              <w:top w:val="nil"/>
              <w:left w:val="nil"/>
              <w:bottom w:val="single" w:sz="4" w:space="0" w:color="auto"/>
              <w:right w:val="single" w:sz="4" w:space="0" w:color="auto"/>
            </w:tcBorders>
            <w:shd w:val="clear" w:color="auto" w:fill="C6EFCE"/>
            <w:noWrap/>
            <w:vAlign w:val="center"/>
            <w:hideMark/>
          </w:tcPr>
          <w:p w14:paraId="31AFB44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CA4F3F2" w14:textId="77777777" w:rsidR="00515398" w:rsidRDefault="006711E6">
            <w:pPr>
              <w:pStyle w:val="P68B1DB1-Normal8"/>
              <w:keepNext/>
              <w:spacing w:before="40" w:after="0" w:line="240" w:lineRule="auto"/>
              <w:jc w:val="both"/>
              <w:rPr>
                <w:rFonts w:eastAsia="Times New Roman" w:cs="Times New Roman"/>
                <w:noProof/>
                <w:szCs w:val="18"/>
              </w:rPr>
            </w:pPr>
            <w:r>
              <w:rPr>
                <w:noProof/>
              </w:rPr>
              <w:t>Staveb</w:t>
            </w:r>
            <w:r>
              <w:rPr>
                <w:noProof/>
              </w:rPr>
              <w:t xml:space="preserve">ní a renovační práce – elektronická identita – dokončení </w:t>
            </w:r>
          </w:p>
        </w:tc>
      </w:tr>
      <w:tr w:rsidR="00515398" w14:paraId="2658106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6EBA0C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238</w:t>
            </w:r>
          </w:p>
        </w:tc>
        <w:tc>
          <w:tcPr>
            <w:tcW w:w="4320" w:type="dxa"/>
            <w:tcBorders>
              <w:top w:val="nil"/>
              <w:left w:val="nil"/>
              <w:bottom w:val="single" w:sz="4" w:space="0" w:color="auto"/>
              <w:right w:val="single" w:sz="4" w:space="0" w:color="auto"/>
            </w:tcBorders>
            <w:shd w:val="clear" w:color="auto" w:fill="C6EFCE"/>
            <w:noWrap/>
            <w:vAlign w:val="center"/>
            <w:hideMark/>
          </w:tcPr>
          <w:p w14:paraId="48842A1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Zlepšit účinnosti systému spravedlnosti – 16575 Zrychlení soudní správy</w:t>
            </w:r>
          </w:p>
        </w:tc>
        <w:tc>
          <w:tcPr>
            <w:tcW w:w="1680" w:type="dxa"/>
            <w:tcBorders>
              <w:top w:val="nil"/>
              <w:left w:val="nil"/>
              <w:bottom w:val="single" w:sz="4" w:space="0" w:color="auto"/>
              <w:right w:val="single" w:sz="4" w:space="0" w:color="auto"/>
            </w:tcBorders>
            <w:shd w:val="clear" w:color="auto" w:fill="C6EFCE"/>
            <w:noWrap/>
            <w:vAlign w:val="center"/>
            <w:hideMark/>
          </w:tcPr>
          <w:p w14:paraId="114FA3E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tcPr>
          <w:p w14:paraId="37508055" w14:textId="431959AE" w:rsidR="00515398" w:rsidRDefault="006711E6">
            <w:pPr>
              <w:pStyle w:val="P68B1DB1-Normal8"/>
              <w:keepNext/>
              <w:spacing w:before="40" w:after="0" w:line="240" w:lineRule="auto"/>
              <w:jc w:val="both"/>
              <w:rPr>
                <w:rFonts w:eastAsia="Times New Roman" w:cs="Times New Roman"/>
                <w:noProof/>
                <w:szCs w:val="18"/>
              </w:rPr>
            </w:pPr>
            <w:r>
              <w:rPr>
                <w:noProof/>
              </w:rPr>
              <w:t xml:space="preserve"> Školení o mediaci a fungování jednotného digitálního systému pro akreditovaná mediační střediska</w:t>
            </w:r>
          </w:p>
        </w:tc>
      </w:tr>
      <w:tr w:rsidR="00515398" w14:paraId="751A293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B7AED6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239</w:t>
            </w:r>
          </w:p>
        </w:tc>
        <w:tc>
          <w:tcPr>
            <w:tcW w:w="4320" w:type="dxa"/>
            <w:tcBorders>
              <w:top w:val="nil"/>
              <w:left w:val="nil"/>
              <w:bottom w:val="single" w:sz="4" w:space="0" w:color="auto"/>
              <w:right w:val="single" w:sz="4" w:space="0" w:color="auto"/>
            </w:tcBorders>
            <w:shd w:val="clear" w:color="auto" w:fill="C6EFCE"/>
            <w:noWrap/>
            <w:vAlign w:val="center"/>
            <w:hideMark/>
          </w:tcPr>
          <w:p w14:paraId="55F17C8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14–4.3. Zlepšení účinnosti soudního systému – 16727_Digitální transformace soudnictví (e-justice)</w:t>
            </w:r>
          </w:p>
        </w:tc>
        <w:tc>
          <w:tcPr>
            <w:tcW w:w="1680" w:type="dxa"/>
            <w:tcBorders>
              <w:top w:val="nil"/>
              <w:left w:val="nil"/>
              <w:bottom w:val="single" w:sz="4" w:space="0" w:color="auto"/>
              <w:right w:val="single" w:sz="4" w:space="0" w:color="auto"/>
            </w:tcBorders>
            <w:shd w:val="clear" w:color="auto" w:fill="C6EFCE"/>
            <w:noWrap/>
            <w:vAlign w:val="center"/>
            <w:hideMark/>
          </w:tcPr>
          <w:p w14:paraId="2C431C2A"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59C37EC" w14:textId="77777777" w:rsidR="00515398" w:rsidRDefault="006711E6">
            <w:pPr>
              <w:pStyle w:val="P68B1DB1-Normal8"/>
              <w:keepNext/>
              <w:spacing w:before="40" w:after="0" w:line="240" w:lineRule="auto"/>
              <w:jc w:val="both"/>
              <w:rPr>
                <w:rFonts w:eastAsia="Times New Roman" w:cs="Times New Roman"/>
                <w:noProof/>
                <w:szCs w:val="18"/>
              </w:rPr>
            </w:pPr>
            <w:r>
              <w:rPr>
                <w:noProof/>
              </w:rPr>
              <w:t>Vedení záznamů a aktualizace informačních technologií</w:t>
            </w:r>
          </w:p>
        </w:tc>
      </w:tr>
      <w:tr w:rsidR="00515398" w14:paraId="60085FF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7ABB33E" w14:textId="77777777" w:rsidR="00515398" w:rsidRDefault="006711E6">
            <w:pPr>
              <w:pStyle w:val="P68B1DB1-Normal8"/>
              <w:keepNext/>
              <w:spacing w:before="40" w:after="0" w:line="240" w:lineRule="auto"/>
              <w:jc w:val="both"/>
              <w:rPr>
                <w:rFonts w:cs="Times New Roman"/>
                <w:noProof/>
                <w:szCs w:val="18"/>
              </w:rPr>
            </w:pPr>
            <w:r>
              <w:rPr>
                <w:noProof/>
              </w:rPr>
              <w:t>241</w:t>
            </w:r>
          </w:p>
        </w:tc>
        <w:tc>
          <w:tcPr>
            <w:tcW w:w="4320" w:type="dxa"/>
            <w:tcBorders>
              <w:top w:val="nil"/>
              <w:left w:val="nil"/>
              <w:bottom w:val="single" w:sz="4" w:space="0" w:color="auto"/>
              <w:right w:val="single" w:sz="4" w:space="0" w:color="auto"/>
            </w:tcBorders>
            <w:shd w:val="clear" w:color="auto" w:fill="C6EFCE"/>
            <w:noWrap/>
            <w:vAlign w:val="center"/>
            <w:hideMark/>
          </w:tcPr>
          <w:p w14:paraId="61081508" w14:textId="77777777" w:rsidR="00515398" w:rsidRDefault="006711E6">
            <w:pPr>
              <w:pStyle w:val="P68B1DB1-Normal8"/>
              <w:keepNext/>
              <w:spacing w:before="40" w:after="0" w:line="240" w:lineRule="auto"/>
              <w:jc w:val="both"/>
              <w:rPr>
                <w:rFonts w:cs="Times New Roman"/>
                <w:noProof/>
                <w:szCs w:val="18"/>
              </w:rPr>
            </w:pPr>
            <w:r>
              <w:rPr>
                <w:noProof/>
              </w:rPr>
              <w:t xml:space="preserve">15–4.4. Posílení finančního sektoru a kapitálových trhů – 16580_Provádění nového jednotného </w:t>
            </w:r>
            <w:r>
              <w:rPr>
                <w:noProof/>
              </w:rPr>
              <w:t>insolvenčního rámce pro restrukturalizaci dluhu a 2. šanci</w:t>
            </w:r>
          </w:p>
        </w:tc>
        <w:tc>
          <w:tcPr>
            <w:tcW w:w="1680" w:type="dxa"/>
            <w:tcBorders>
              <w:top w:val="nil"/>
              <w:left w:val="nil"/>
              <w:bottom w:val="single" w:sz="4" w:space="0" w:color="auto"/>
              <w:right w:val="single" w:sz="4" w:space="0" w:color="auto"/>
            </w:tcBorders>
            <w:shd w:val="clear" w:color="auto" w:fill="C6EFCE"/>
            <w:noWrap/>
            <w:vAlign w:val="center"/>
            <w:hideMark/>
          </w:tcPr>
          <w:p w14:paraId="0E1BC700"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AADFE79" w14:textId="77777777" w:rsidR="00515398" w:rsidRDefault="006711E6">
            <w:pPr>
              <w:pStyle w:val="P68B1DB1-Normal8"/>
              <w:keepNext/>
              <w:spacing w:before="40" w:after="0" w:line="240" w:lineRule="auto"/>
              <w:jc w:val="both"/>
              <w:rPr>
                <w:rFonts w:cs="Times New Roman"/>
                <w:noProof/>
                <w:szCs w:val="18"/>
              </w:rPr>
            </w:pPr>
            <w:r>
              <w:rPr>
                <w:noProof/>
              </w:rPr>
              <w:t>Dohled, digitalizace procesů dohledu, unie kapitálových trhů, preventivní restrukturalizace dluhu</w:t>
            </w:r>
          </w:p>
        </w:tc>
      </w:tr>
      <w:tr w:rsidR="00515398" w14:paraId="52F60DA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C576CA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243</w:t>
            </w:r>
          </w:p>
        </w:tc>
        <w:tc>
          <w:tcPr>
            <w:tcW w:w="4320" w:type="dxa"/>
            <w:tcBorders>
              <w:top w:val="nil"/>
              <w:left w:val="nil"/>
              <w:bottom w:val="single" w:sz="4" w:space="0" w:color="auto"/>
              <w:right w:val="single" w:sz="4" w:space="0" w:color="auto"/>
            </w:tcBorders>
            <w:shd w:val="clear" w:color="auto" w:fill="C6EFCE"/>
            <w:noWrap/>
            <w:vAlign w:val="center"/>
            <w:hideMark/>
          </w:tcPr>
          <w:p w14:paraId="00F083F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15–4.4. Posílení finančního sektoru a kapitálových trhů – 16581_Posílený dohled nad kap</w:t>
            </w:r>
            <w:r>
              <w:rPr>
                <w:noProof/>
              </w:rPr>
              <w:t>itálovými trhy a jejich důvěryhodnost</w:t>
            </w:r>
          </w:p>
        </w:tc>
        <w:tc>
          <w:tcPr>
            <w:tcW w:w="1680" w:type="dxa"/>
            <w:tcBorders>
              <w:top w:val="nil"/>
              <w:left w:val="nil"/>
              <w:bottom w:val="single" w:sz="4" w:space="0" w:color="auto"/>
              <w:right w:val="single" w:sz="4" w:space="0" w:color="auto"/>
            </w:tcBorders>
            <w:shd w:val="clear" w:color="auto" w:fill="C6EFCE"/>
            <w:noWrap/>
            <w:vAlign w:val="center"/>
            <w:hideMark/>
          </w:tcPr>
          <w:p w14:paraId="2604264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083E23F4" w14:textId="77777777" w:rsidR="00515398" w:rsidRDefault="006711E6">
            <w:pPr>
              <w:pStyle w:val="P68B1DB1-Normal8"/>
              <w:keepNext/>
              <w:spacing w:before="40" w:after="0" w:line="240" w:lineRule="auto"/>
              <w:jc w:val="both"/>
              <w:rPr>
                <w:rFonts w:eastAsia="Times New Roman" w:cs="Times New Roman"/>
                <w:noProof/>
                <w:szCs w:val="18"/>
              </w:rPr>
            </w:pPr>
            <w:r>
              <w:rPr>
                <w:noProof/>
              </w:rPr>
              <w:t>Digitalizace procesu dohledu a organizace řecké komise pro kapitálové trhy</w:t>
            </w:r>
          </w:p>
        </w:tc>
      </w:tr>
      <w:tr w:rsidR="00515398" w14:paraId="591AFF2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476EF90" w14:textId="77777777" w:rsidR="00515398" w:rsidRDefault="006711E6">
            <w:pPr>
              <w:pStyle w:val="P68B1DB1-Normal8"/>
              <w:keepNext/>
              <w:spacing w:before="40" w:after="0" w:line="240" w:lineRule="auto"/>
              <w:jc w:val="both"/>
              <w:rPr>
                <w:rFonts w:cs="Times New Roman"/>
                <w:noProof/>
                <w:szCs w:val="18"/>
              </w:rPr>
            </w:pPr>
            <w:r>
              <w:rPr>
                <w:noProof/>
              </w:rPr>
              <w:t>244c</w:t>
            </w:r>
          </w:p>
        </w:tc>
        <w:tc>
          <w:tcPr>
            <w:tcW w:w="4320" w:type="dxa"/>
            <w:tcBorders>
              <w:top w:val="nil"/>
              <w:left w:val="nil"/>
              <w:bottom w:val="single" w:sz="4" w:space="0" w:color="auto"/>
              <w:right w:val="single" w:sz="4" w:space="0" w:color="auto"/>
            </w:tcBorders>
            <w:shd w:val="clear" w:color="auto" w:fill="C6EFCE"/>
            <w:noWrap/>
            <w:hideMark/>
          </w:tcPr>
          <w:p w14:paraId="21D13D55" w14:textId="77777777" w:rsidR="00515398" w:rsidRDefault="006711E6">
            <w:pPr>
              <w:pStyle w:val="P68B1DB1-Normal8"/>
              <w:keepNext/>
              <w:spacing w:before="40" w:after="0" w:line="240" w:lineRule="auto"/>
              <w:jc w:val="both"/>
              <w:rPr>
                <w:rFonts w:cs="Times New Roman"/>
                <w:noProof/>
                <w:szCs w:val="18"/>
              </w:rPr>
            </w:pPr>
            <w:r>
              <w:rPr>
                <w:noProof/>
              </w:rPr>
              <w:t>15–4.4. Posílení finančního sektoru a kapitálových trhů – 16957_ Posílení schopnosti finančního systému překonat výzvy z minulosti</w:t>
            </w:r>
            <w:r>
              <w:rPr>
                <w:noProof/>
              </w:rPr>
              <w:t xml:space="preserve"> a financovat reálnou ekonomiku</w:t>
            </w:r>
          </w:p>
        </w:tc>
        <w:tc>
          <w:tcPr>
            <w:tcW w:w="1680" w:type="dxa"/>
            <w:tcBorders>
              <w:top w:val="nil"/>
              <w:left w:val="nil"/>
              <w:bottom w:val="single" w:sz="4" w:space="0" w:color="auto"/>
              <w:right w:val="single" w:sz="4" w:space="0" w:color="auto"/>
            </w:tcBorders>
            <w:shd w:val="clear" w:color="auto" w:fill="C6EFCE"/>
            <w:noWrap/>
            <w:hideMark/>
          </w:tcPr>
          <w:p w14:paraId="732AAD6F"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474C6712" w14:textId="77777777" w:rsidR="00515398" w:rsidRDefault="006711E6">
            <w:pPr>
              <w:pStyle w:val="P68B1DB1-Normal8"/>
              <w:keepNext/>
              <w:spacing w:before="40" w:after="0" w:line="240" w:lineRule="auto"/>
              <w:jc w:val="both"/>
              <w:rPr>
                <w:rFonts w:cs="Times New Roman"/>
                <w:noProof/>
                <w:szCs w:val="18"/>
              </w:rPr>
            </w:pPr>
            <w:r>
              <w:rPr>
                <w:noProof/>
              </w:rPr>
              <w:t>Dokončení politických opatření národní strategie pro řízení soukromého dluhu, zřízení centrálního registru úvěrů</w:t>
            </w:r>
          </w:p>
        </w:tc>
      </w:tr>
      <w:tr w:rsidR="00515398" w14:paraId="45C0ADE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BBC087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249</w:t>
            </w:r>
          </w:p>
        </w:tc>
        <w:tc>
          <w:tcPr>
            <w:tcW w:w="4320" w:type="dxa"/>
            <w:tcBorders>
              <w:top w:val="nil"/>
              <w:left w:val="nil"/>
              <w:bottom w:val="single" w:sz="4" w:space="0" w:color="auto"/>
              <w:right w:val="single" w:sz="4" w:space="0" w:color="auto"/>
            </w:tcBorders>
            <w:shd w:val="clear" w:color="auto" w:fill="C6EFCE"/>
            <w:noWrap/>
            <w:vAlign w:val="center"/>
            <w:hideMark/>
          </w:tcPr>
          <w:p w14:paraId="779D69A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16–4.5. Podpora výzkumu a inovací – 16624_Creation – Rozšíření – modernizace infrastruktur výzkumný</w:t>
            </w:r>
            <w:r>
              <w:rPr>
                <w:noProof/>
              </w:rPr>
              <w:t>ch středisek pod dohledem Generálního sekretariátu pro výzkum a inovace (GSRI)</w:t>
            </w:r>
          </w:p>
        </w:tc>
        <w:tc>
          <w:tcPr>
            <w:tcW w:w="1680" w:type="dxa"/>
            <w:tcBorders>
              <w:top w:val="nil"/>
              <w:left w:val="nil"/>
              <w:bottom w:val="single" w:sz="4" w:space="0" w:color="auto"/>
              <w:right w:val="single" w:sz="4" w:space="0" w:color="auto"/>
            </w:tcBorders>
            <w:shd w:val="clear" w:color="auto" w:fill="C6EFCE"/>
            <w:noWrap/>
            <w:vAlign w:val="center"/>
            <w:hideMark/>
          </w:tcPr>
          <w:p w14:paraId="6CEB6DA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EDAAA36"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projektů výzkumných středisek</w:t>
            </w:r>
          </w:p>
        </w:tc>
      </w:tr>
      <w:tr w:rsidR="00515398" w14:paraId="3582AD3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BDCAAC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250</w:t>
            </w:r>
          </w:p>
        </w:tc>
        <w:tc>
          <w:tcPr>
            <w:tcW w:w="4320" w:type="dxa"/>
            <w:tcBorders>
              <w:top w:val="nil"/>
              <w:left w:val="nil"/>
              <w:bottom w:val="single" w:sz="4" w:space="0" w:color="auto"/>
              <w:right w:val="single" w:sz="4" w:space="0" w:color="auto"/>
            </w:tcBorders>
            <w:shd w:val="clear" w:color="auto" w:fill="C6EFCE"/>
            <w:noWrap/>
            <w:vAlign w:val="center"/>
            <w:hideMark/>
          </w:tcPr>
          <w:p w14:paraId="2B8F38D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16–4.5. Podpora výzkumu a inovací – 16618_Základní a aplikovaný výzkum</w:t>
            </w:r>
          </w:p>
        </w:tc>
        <w:tc>
          <w:tcPr>
            <w:tcW w:w="1680" w:type="dxa"/>
            <w:tcBorders>
              <w:top w:val="nil"/>
              <w:left w:val="nil"/>
              <w:bottom w:val="single" w:sz="4" w:space="0" w:color="auto"/>
              <w:right w:val="single" w:sz="4" w:space="0" w:color="auto"/>
            </w:tcBorders>
            <w:shd w:val="clear" w:color="auto" w:fill="C6EFCE"/>
            <w:noWrap/>
            <w:vAlign w:val="center"/>
            <w:hideMark/>
          </w:tcPr>
          <w:p w14:paraId="3083F5E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17CA2E9"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základních a aplikovaných výzkumných </w:t>
            </w:r>
            <w:r>
              <w:rPr>
                <w:noProof/>
              </w:rPr>
              <w:t>projektů</w:t>
            </w:r>
          </w:p>
        </w:tc>
      </w:tr>
      <w:tr w:rsidR="00515398" w14:paraId="1B320E27"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13D133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251</w:t>
            </w:r>
          </w:p>
        </w:tc>
        <w:tc>
          <w:tcPr>
            <w:tcW w:w="4320" w:type="dxa"/>
            <w:tcBorders>
              <w:top w:val="nil"/>
              <w:left w:val="nil"/>
              <w:bottom w:val="single" w:sz="4" w:space="0" w:color="auto"/>
              <w:right w:val="single" w:sz="4" w:space="0" w:color="auto"/>
            </w:tcBorders>
            <w:shd w:val="clear" w:color="auto" w:fill="C6EFCE"/>
            <w:noWrap/>
            <w:vAlign w:val="center"/>
            <w:hideMark/>
          </w:tcPr>
          <w:p w14:paraId="4F1804B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16–4.5. Podpora výzkumu a inovací – 16654_TH 2 ORAX: Trellis Holistic &amp; Hybrid Operational Ruggedised Autonomous eXemplary system (Trellis Holistic &amp; Hybrid Operational Ruggedised Autonomous eXemplary system)</w:t>
            </w:r>
          </w:p>
        </w:tc>
        <w:tc>
          <w:tcPr>
            <w:tcW w:w="1680" w:type="dxa"/>
            <w:tcBorders>
              <w:top w:val="nil"/>
              <w:left w:val="nil"/>
              <w:bottom w:val="single" w:sz="4" w:space="0" w:color="auto"/>
              <w:right w:val="single" w:sz="4" w:space="0" w:color="auto"/>
            </w:tcBorders>
            <w:shd w:val="clear" w:color="auto" w:fill="C6EFCE"/>
            <w:noWrap/>
            <w:vAlign w:val="center"/>
            <w:hideMark/>
          </w:tcPr>
          <w:p w14:paraId="6778EC1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507115E"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TH2ORAX</w:t>
            </w:r>
          </w:p>
        </w:tc>
      </w:tr>
      <w:tr w:rsidR="00515398" w14:paraId="49EE977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A55C13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252</w:t>
            </w:r>
          </w:p>
        </w:tc>
        <w:tc>
          <w:tcPr>
            <w:tcW w:w="4320" w:type="dxa"/>
            <w:tcBorders>
              <w:top w:val="nil"/>
              <w:left w:val="nil"/>
              <w:bottom w:val="single" w:sz="4" w:space="0" w:color="auto"/>
              <w:right w:val="single" w:sz="4" w:space="0" w:color="auto"/>
            </w:tcBorders>
            <w:shd w:val="clear" w:color="auto" w:fill="C6EFCE"/>
            <w:noWrap/>
            <w:vAlign w:val="center"/>
            <w:hideMark/>
          </w:tcPr>
          <w:p w14:paraId="76E1322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16–4.5. Podpora výzkumu a inovací – 16971_Výzkum – Vytvořit – Inovace</w:t>
            </w:r>
          </w:p>
        </w:tc>
        <w:tc>
          <w:tcPr>
            <w:tcW w:w="1680" w:type="dxa"/>
            <w:tcBorders>
              <w:top w:val="nil"/>
              <w:left w:val="nil"/>
              <w:bottom w:val="single" w:sz="4" w:space="0" w:color="auto"/>
              <w:right w:val="single" w:sz="4" w:space="0" w:color="auto"/>
            </w:tcBorders>
            <w:shd w:val="clear" w:color="auto" w:fill="C6EFCE"/>
            <w:noWrap/>
            <w:vAlign w:val="center"/>
            <w:hideMark/>
          </w:tcPr>
          <w:p w14:paraId="384E6C6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3A13157"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výzkumu – Vytvořit – Innovační projekty</w:t>
            </w:r>
          </w:p>
        </w:tc>
      </w:tr>
      <w:tr w:rsidR="00515398" w14:paraId="4B5FFEB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136A22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253</w:t>
            </w:r>
          </w:p>
        </w:tc>
        <w:tc>
          <w:tcPr>
            <w:tcW w:w="4320" w:type="dxa"/>
            <w:tcBorders>
              <w:top w:val="nil"/>
              <w:left w:val="nil"/>
              <w:bottom w:val="single" w:sz="4" w:space="0" w:color="auto"/>
              <w:right w:val="single" w:sz="4" w:space="0" w:color="auto"/>
            </w:tcBorders>
            <w:shd w:val="clear" w:color="auto" w:fill="C6EFCE"/>
            <w:noWrap/>
            <w:vAlign w:val="center"/>
            <w:hideMark/>
          </w:tcPr>
          <w:p w14:paraId="07F782C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16–4.5. Podpora výzkumu a inovací – 16621_Extroverze výzkumného a inovačního ekosystému Řecka</w:t>
            </w:r>
          </w:p>
        </w:tc>
        <w:tc>
          <w:tcPr>
            <w:tcW w:w="1680" w:type="dxa"/>
            <w:tcBorders>
              <w:top w:val="nil"/>
              <w:left w:val="nil"/>
              <w:bottom w:val="single" w:sz="4" w:space="0" w:color="auto"/>
              <w:right w:val="single" w:sz="4" w:space="0" w:color="auto"/>
            </w:tcBorders>
            <w:shd w:val="clear" w:color="auto" w:fill="C6EFCE"/>
            <w:noWrap/>
            <w:vAlign w:val="center"/>
            <w:hideMark/>
          </w:tcPr>
          <w:p w14:paraId="3D616A4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D3813E4"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Dokončení </w:t>
            </w:r>
            <w:r>
              <w:rPr>
                <w:noProof/>
              </w:rPr>
              <w:t>extroverze projektů v oblasti ekosystémů v oblasti výzkumu a inovací</w:t>
            </w:r>
          </w:p>
        </w:tc>
      </w:tr>
      <w:tr w:rsidR="00515398" w14:paraId="04EB188E"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CBAEFF2" w14:textId="77777777" w:rsidR="00515398" w:rsidRDefault="006711E6">
            <w:pPr>
              <w:pStyle w:val="P68B1DB1-Normal8"/>
              <w:keepNext/>
              <w:spacing w:before="40" w:after="0" w:line="240" w:lineRule="auto"/>
              <w:jc w:val="both"/>
              <w:rPr>
                <w:rFonts w:cs="Times New Roman"/>
                <w:noProof/>
                <w:szCs w:val="18"/>
              </w:rPr>
            </w:pPr>
            <w:r>
              <w:rPr>
                <w:noProof/>
              </w:rPr>
              <w:t>256</w:t>
            </w:r>
          </w:p>
        </w:tc>
        <w:tc>
          <w:tcPr>
            <w:tcW w:w="4320" w:type="dxa"/>
            <w:tcBorders>
              <w:top w:val="nil"/>
              <w:left w:val="nil"/>
              <w:bottom w:val="single" w:sz="4" w:space="0" w:color="auto"/>
              <w:right w:val="single" w:sz="4" w:space="0" w:color="auto"/>
            </w:tcBorders>
            <w:shd w:val="clear" w:color="auto" w:fill="C6EFCE"/>
            <w:noWrap/>
            <w:vAlign w:val="center"/>
            <w:hideMark/>
          </w:tcPr>
          <w:p w14:paraId="1CE1BA5A" w14:textId="3E924798" w:rsidR="00515398" w:rsidRDefault="006711E6">
            <w:pPr>
              <w:pStyle w:val="P68B1DB1-Normal8"/>
              <w:keepNext/>
              <w:spacing w:before="40" w:after="0" w:line="240" w:lineRule="auto"/>
              <w:jc w:val="both"/>
              <w:rPr>
                <w:noProof/>
              </w:rPr>
            </w:pPr>
            <w:r>
              <w:rPr>
                <w:noProof/>
              </w:rPr>
              <w:t> 17–4.6. Modernizace a zlepšení odolnosti klíčových hospodářských odvětví – 16628</w:t>
            </w:r>
          </w:p>
          <w:p w14:paraId="6A93E55D" w14:textId="12247D25" w:rsidR="00515398" w:rsidRDefault="006711E6">
            <w:pPr>
              <w:pStyle w:val="P68B1DB1-Normal8"/>
              <w:keepNext/>
              <w:spacing w:before="40" w:after="0" w:line="240" w:lineRule="auto"/>
              <w:jc w:val="both"/>
              <w:rPr>
                <w:rFonts w:cs="Times New Roman"/>
                <w:noProof/>
                <w:szCs w:val="18"/>
              </w:rPr>
            </w:pPr>
            <w:r>
              <w:rPr>
                <w:noProof/>
              </w:rPr>
              <w:t>Střední Řecko dálnice E-65: Úsek Trikala-Egnatia</w:t>
            </w:r>
          </w:p>
        </w:tc>
        <w:tc>
          <w:tcPr>
            <w:tcW w:w="1680" w:type="dxa"/>
            <w:tcBorders>
              <w:top w:val="nil"/>
              <w:left w:val="nil"/>
              <w:bottom w:val="single" w:sz="4" w:space="0" w:color="auto"/>
              <w:right w:val="single" w:sz="4" w:space="0" w:color="auto"/>
            </w:tcBorders>
            <w:shd w:val="clear" w:color="auto" w:fill="C6EFCE"/>
            <w:noWrap/>
            <w:vAlign w:val="center"/>
            <w:hideMark/>
          </w:tcPr>
          <w:p w14:paraId="46D30171"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7EB3208" w14:textId="77777777" w:rsidR="00515398" w:rsidRDefault="006711E6">
            <w:pPr>
              <w:pStyle w:val="P68B1DB1-Normal8"/>
              <w:keepNext/>
              <w:spacing w:before="40" w:after="0" w:line="240" w:lineRule="auto"/>
              <w:jc w:val="both"/>
              <w:rPr>
                <w:rFonts w:cs="Times New Roman"/>
                <w:noProof/>
                <w:szCs w:val="18"/>
              </w:rPr>
            </w:pPr>
            <w:r>
              <w:rPr>
                <w:noProof/>
              </w:rPr>
              <w:t>E-65 prací – dokončení</w:t>
            </w:r>
          </w:p>
        </w:tc>
      </w:tr>
      <w:tr w:rsidR="00515398" w14:paraId="6328948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A19A32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262</w:t>
            </w:r>
          </w:p>
        </w:tc>
        <w:tc>
          <w:tcPr>
            <w:tcW w:w="4320" w:type="dxa"/>
            <w:tcBorders>
              <w:top w:val="nil"/>
              <w:left w:val="nil"/>
              <w:bottom w:val="single" w:sz="4" w:space="0" w:color="auto"/>
              <w:right w:val="single" w:sz="4" w:space="0" w:color="auto"/>
            </w:tcBorders>
            <w:shd w:val="clear" w:color="auto" w:fill="C6EFCE"/>
            <w:noWrap/>
            <w:vAlign w:val="center"/>
            <w:hideMark/>
          </w:tcPr>
          <w:p w14:paraId="5495D9E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 17–4.6. </w:t>
            </w:r>
            <w:r>
              <w:rPr>
                <w:noProof/>
              </w:rPr>
              <w:t>Modernizace a zlepšení odolnosti klíčových hospodářských odvětví – 16630_Severní dálnice Krétánu</w:t>
            </w:r>
          </w:p>
        </w:tc>
        <w:tc>
          <w:tcPr>
            <w:tcW w:w="1680" w:type="dxa"/>
            <w:tcBorders>
              <w:top w:val="nil"/>
              <w:left w:val="nil"/>
              <w:bottom w:val="single" w:sz="4" w:space="0" w:color="auto"/>
              <w:right w:val="single" w:sz="4" w:space="0" w:color="auto"/>
            </w:tcBorders>
            <w:shd w:val="clear" w:color="auto" w:fill="C6EFCE"/>
            <w:noWrap/>
            <w:vAlign w:val="center"/>
            <w:hideMark/>
          </w:tcPr>
          <w:p w14:paraId="13D5439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78FCFEC"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BOAK</w:t>
            </w:r>
          </w:p>
        </w:tc>
      </w:tr>
      <w:tr w:rsidR="00515398" w14:paraId="0147C61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6D712BA" w14:textId="77777777" w:rsidR="00515398" w:rsidRDefault="006711E6">
            <w:pPr>
              <w:pStyle w:val="P68B1DB1-Normal8"/>
              <w:keepNext/>
              <w:spacing w:before="40" w:after="0" w:line="240" w:lineRule="auto"/>
              <w:jc w:val="both"/>
              <w:rPr>
                <w:rFonts w:cs="Times New Roman"/>
                <w:noProof/>
                <w:szCs w:val="18"/>
              </w:rPr>
            </w:pPr>
            <w:r>
              <w:rPr>
                <w:noProof/>
              </w:rPr>
              <w:t>268c</w:t>
            </w:r>
          </w:p>
        </w:tc>
        <w:tc>
          <w:tcPr>
            <w:tcW w:w="4320" w:type="dxa"/>
            <w:tcBorders>
              <w:top w:val="nil"/>
              <w:left w:val="nil"/>
              <w:bottom w:val="single" w:sz="4" w:space="0" w:color="auto"/>
              <w:right w:val="single" w:sz="4" w:space="0" w:color="auto"/>
            </w:tcBorders>
            <w:shd w:val="clear" w:color="auto" w:fill="C6EFCE"/>
            <w:noWrap/>
            <w:hideMark/>
          </w:tcPr>
          <w:p w14:paraId="23F643F0" w14:textId="77777777" w:rsidR="00515398" w:rsidRDefault="006711E6">
            <w:pPr>
              <w:pStyle w:val="P68B1DB1-Normal8"/>
              <w:keepNext/>
              <w:spacing w:before="40" w:after="0" w:line="240" w:lineRule="auto"/>
              <w:jc w:val="both"/>
              <w:rPr>
                <w:rFonts w:cs="Times New Roman"/>
                <w:noProof/>
                <w:szCs w:val="18"/>
              </w:rPr>
            </w:pPr>
            <w:r>
              <w:rPr>
                <w:noProof/>
              </w:rPr>
              <w:t xml:space="preserve">17–4.6. Modernizace a zlepšení odolnosti klíčových hospodářských odvětví – 16982_Organizační reforma v odvětví železniční </w:t>
            </w:r>
            <w:r>
              <w:rPr>
                <w:noProof/>
              </w:rPr>
              <w:t>dopravy</w:t>
            </w:r>
          </w:p>
        </w:tc>
        <w:tc>
          <w:tcPr>
            <w:tcW w:w="1680" w:type="dxa"/>
            <w:tcBorders>
              <w:top w:val="nil"/>
              <w:left w:val="nil"/>
              <w:bottom w:val="single" w:sz="4" w:space="0" w:color="auto"/>
              <w:right w:val="single" w:sz="4" w:space="0" w:color="auto"/>
            </w:tcBorders>
            <w:shd w:val="clear" w:color="auto" w:fill="C6EFCE"/>
            <w:noWrap/>
            <w:hideMark/>
          </w:tcPr>
          <w:p w14:paraId="399903E9"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hideMark/>
          </w:tcPr>
          <w:p w14:paraId="3E37E48D" w14:textId="77777777" w:rsidR="00515398" w:rsidRDefault="006711E6">
            <w:pPr>
              <w:pStyle w:val="P68B1DB1-Normal8"/>
              <w:keepNext/>
              <w:spacing w:before="40" w:after="0" w:line="240" w:lineRule="auto"/>
              <w:jc w:val="both"/>
              <w:rPr>
                <w:rFonts w:cs="Times New Roman"/>
                <w:noProof/>
                <w:szCs w:val="18"/>
              </w:rPr>
            </w:pPr>
            <w:r>
              <w:rPr>
                <w:noProof/>
              </w:rPr>
              <w:t>Dokončení organizační reformy železnic</w:t>
            </w:r>
          </w:p>
        </w:tc>
      </w:tr>
      <w:tr w:rsidR="00515398" w14:paraId="0DEF333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9867A01" w14:textId="77777777" w:rsidR="00515398" w:rsidRDefault="006711E6">
            <w:pPr>
              <w:pStyle w:val="P68B1DB1-Normal8"/>
              <w:keepNext/>
              <w:spacing w:before="40" w:after="0" w:line="240" w:lineRule="auto"/>
              <w:jc w:val="both"/>
              <w:rPr>
                <w:rFonts w:cs="Times New Roman"/>
                <w:noProof/>
                <w:szCs w:val="18"/>
              </w:rPr>
            </w:pPr>
            <w:r>
              <w:rPr>
                <w:noProof/>
              </w:rPr>
              <w:t>269</w:t>
            </w:r>
          </w:p>
        </w:tc>
        <w:tc>
          <w:tcPr>
            <w:tcW w:w="4320" w:type="dxa"/>
            <w:tcBorders>
              <w:top w:val="nil"/>
              <w:left w:val="nil"/>
              <w:bottom w:val="single" w:sz="4" w:space="0" w:color="auto"/>
              <w:right w:val="single" w:sz="4" w:space="0" w:color="auto"/>
            </w:tcBorders>
            <w:shd w:val="clear" w:color="auto" w:fill="C6EFCE"/>
            <w:noWrap/>
            <w:vAlign w:val="center"/>
            <w:hideMark/>
          </w:tcPr>
          <w:p w14:paraId="77034D8E" w14:textId="77777777" w:rsidR="00515398" w:rsidRDefault="006711E6">
            <w:pPr>
              <w:pStyle w:val="P68B1DB1-Normal8"/>
              <w:keepNext/>
              <w:spacing w:before="40" w:after="0" w:line="240" w:lineRule="auto"/>
              <w:jc w:val="both"/>
              <w:rPr>
                <w:rFonts w:cs="Times New Roman"/>
                <w:noProof/>
                <w:szCs w:val="18"/>
              </w:rPr>
            </w:pPr>
            <w:r>
              <w:rPr>
                <w:noProof/>
              </w:rPr>
              <w:t>17–4.6. Modernizace a zlepšení odolnosti klíčových hospodářských odvětví – 16833_Provádění oprav v oblasti dodržování předpisů agenturou EASA</w:t>
            </w:r>
          </w:p>
        </w:tc>
        <w:tc>
          <w:tcPr>
            <w:tcW w:w="1680" w:type="dxa"/>
            <w:tcBorders>
              <w:top w:val="nil"/>
              <w:left w:val="nil"/>
              <w:bottom w:val="single" w:sz="4" w:space="0" w:color="auto"/>
              <w:right w:val="single" w:sz="4" w:space="0" w:color="auto"/>
            </w:tcBorders>
            <w:shd w:val="clear" w:color="auto" w:fill="C6EFCE"/>
            <w:noWrap/>
            <w:vAlign w:val="center"/>
            <w:hideMark/>
          </w:tcPr>
          <w:p w14:paraId="54C33A0B"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096A2C4" w14:textId="5ECD31EB" w:rsidR="00515398" w:rsidRDefault="006711E6">
            <w:pPr>
              <w:pStyle w:val="P68B1DB1-Normal49"/>
              <w:keepNext/>
              <w:spacing w:before="40" w:after="0" w:line="240" w:lineRule="auto"/>
              <w:jc w:val="both"/>
              <w:rPr>
                <w:rFonts w:cs="Times New Roman"/>
                <w:noProof/>
              </w:rPr>
            </w:pPr>
            <w:r>
              <w:rPr>
                <w:noProof/>
              </w:rPr>
              <w:t xml:space="preserve">Dokončení oprav v oblasti dodržování předpisů EASA </w:t>
            </w:r>
          </w:p>
        </w:tc>
      </w:tr>
      <w:tr w:rsidR="00515398" w14:paraId="6587A8E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C8B873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271</w:t>
            </w:r>
          </w:p>
        </w:tc>
        <w:tc>
          <w:tcPr>
            <w:tcW w:w="4320" w:type="dxa"/>
            <w:tcBorders>
              <w:top w:val="nil"/>
              <w:left w:val="nil"/>
              <w:bottom w:val="single" w:sz="4" w:space="0" w:color="auto"/>
              <w:right w:val="single" w:sz="4" w:space="0" w:color="auto"/>
            </w:tcBorders>
            <w:shd w:val="clear" w:color="auto" w:fill="C6EFCE"/>
            <w:noWrap/>
            <w:vAlign w:val="center"/>
            <w:hideMark/>
          </w:tcPr>
          <w:p w14:paraId="7FCE129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16892_Modernizace příměstské železniční dopravy Západní Attiky</w:t>
            </w:r>
          </w:p>
        </w:tc>
        <w:tc>
          <w:tcPr>
            <w:tcW w:w="1680" w:type="dxa"/>
            <w:tcBorders>
              <w:top w:val="nil"/>
              <w:left w:val="nil"/>
              <w:bottom w:val="single" w:sz="4" w:space="0" w:color="auto"/>
              <w:right w:val="single" w:sz="4" w:space="0" w:color="auto"/>
            </w:tcBorders>
            <w:shd w:val="clear" w:color="auto" w:fill="C6EFCE"/>
            <w:noWrap/>
            <w:vAlign w:val="center"/>
            <w:hideMark/>
          </w:tcPr>
          <w:p w14:paraId="1FAC99CE"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B95310E" w14:textId="14581627" w:rsidR="00515398" w:rsidRDefault="006711E6">
            <w:pPr>
              <w:pStyle w:val="P68B1DB1-Normal49"/>
              <w:keepNext/>
              <w:spacing w:before="40" w:after="0" w:line="240" w:lineRule="auto"/>
              <w:jc w:val="both"/>
              <w:rPr>
                <w:noProof/>
                <w:sz w:val="24"/>
                <w:szCs w:val="24"/>
              </w:rPr>
            </w:pPr>
            <w:r>
              <w:rPr>
                <w:noProof/>
              </w:rPr>
              <w:t xml:space="preserve">Dokončení části železniční trati West Attica z Ano </w:t>
            </w:r>
            <w:r>
              <w:rPr>
                <w:noProof/>
              </w:rPr>
              <w:t>Liossia po začátek úseku ELPE Elefsina a od konce úseku ELPE Elefsina k novému nádraží Megara</w:t>
            </w:r>
          </w:p>
        </w:tc>
      </w:tr>
      <w:tr w:rsidR="00515398" w14:paraId="5A6E732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068407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272</w:t>
            </w:r>
          </w:p>
        </w:tc>
        <w:tc>
          <w:tcPr>
            <w:tcW w:w="4320" w:type="dxa"/>
            <w:tcBorders>
              <w:top w:val="nil"/>
              <w:left w:val="nil"/>
              <w:bottom w:val="single" w:sz="4" w:space="0" w:color="auto"/>
              <w:right w:val="single" w:sz="4" w:space="0" w:color="auto"/>
            </w:tcBorders>
            <w:shd w:val="clear" w:color="auto" w:fill="C6EFCE"/>
            <w:noWrap/>
            <w:vAlign w:val="center"/>
            <w:hideMark/>
          </w:tcPr>
          <w:p w14:paraId="5A7E3A8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16949_Inteligentní mosty</w:t>
            </w:r>
          </w:p>
        </w:tc>
        <w:tc>
          <w:tcPr>
            <w:tcW w:w="1680" w:type="dxa"/>
            <w:tcBorders>
              <w:top w:val="nil"/>
              <w:left w:val="nil"/>
              <w:bottom w:val="single" w:sz="4" w:space="0" w:color="auto"/>
              <w:right w:val="single" w:sz="4" w:space="0" w:color="auto"/>
            </w:tcBorders>
            <w:shd w:val="clear" w:color="auto" w:fill="C6EFCE"/>
            <w:noWrap/>
            <w:vAlign w:val="center"/>
            <w:hideMark/>
          </w:tcPr>
          <w:p w14:paraId="3797F4F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B9E13E7"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fáze I projektu inteligentních mostů</w:t>
            </w:r>
          </w:p>
        </w:tc>
      </w:tr>
      <w:tr w:rsidR="00515398" w14:paraId="39A33D2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A43E6F8" w14:textId="77777777" w:rsidR="00515398" w:rsidRDefault="006711E6">
            <w:pPr>
              <w:pStyle w:val="P68B1DB1-Normal8"/>
              <w:keepNext/>
              <w:spacing w:before="40" w:after="0" w:line="240" w:lineRule="auto"/>
              <w:jc w:val="both"/>
              <w:rPr>
                <w:rFonts w:cs="Times New Roman"/>
                <w:noProof/>
                <w:szCs w:val="18"/>
              </w:rPr>
            </w:pPr>
            <w:r>
              <w:rPr>
                <w:noProof/>
              </w:rPr>
              <w:t>272a</w:t>
            </w:r>
          </w:p>
        </w:tc>
        <w:tc>
          <w:tcPr>
            <w:tcW w:w="4320" w:type="dxa"/>
            <w:tcBorders>
              <w:top w:val="nil"/>
              <w:left w:val="nil"/>
              <w:bottom w:val="single" w:sz="4" w:space="0" w:color="auto"/>
              <w:right w:val="single" w:sz="4" w:space="0" w:color="auto"/>
            </w:tcBorders>
            <w:shd w:val="clear" w:color="auto" w:fill="C6EFCE"/>
            <w:noWrap/>
            <w:vAlign w:val="center"/>
            <w:hideMark/>
          </w:tcPr>
          <w:p w14:paraId="7A00AF74" w14:textId="77777777" w:rsidR="00515398" w:rsidRDefault="006711E6">
            <w:pPr>
              <w:pStyle w:val="P68B1DB1-Normal8"/>
              <w:keepNext/>
              <w:spacing w:before="40" w:after="0" w:line="240" w:lineRule="auto"/>
              <w:jc w:val="both"/>
              <w:rPr>
                <w:rFonts w:cs="Times New Roman"/>
                <w:noProof/>
                <w:szCs w:val="18"/>
              </w:rPr>
            </w:pPr>
            <w:r>
              <w:rPr>
                <w:noProof/>
              </w:rPr>
              <w:t>17–4.6. Modernizace a zlepšení odolnosti klíčových hospodářských odvětví – 16949_Inteligentní mosty</w:t>
            </w:r>
          </w:p>
        </w:tc>
        <w:tc>
          <w:tcPr>
            <w:tcW w:w="1680" w:type="dxa"/>
            <w:tcBorders>
              <w:top w:val="nil"/>
              <w:left w:val="nil"/>
              <w:bottom w:val="single" w:sz="4" w:space="0" w:color="auto"/>
              <w:right w:val="single" w:sz="4" w:space="0" w:color="auto"/>
            </w:tcBorders>
            <w:shd w:val="clear" w:color="auto" w:fill="C6EFCE"/>
            <w:noWrap/>
            <w:vAlign w:val="center"/>
            <w:hideMark/>
          </w:tcPr>
          <w:p w14:paraId="0757DC8C"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0B48D72" w14:textId="77777777" w:rsidR="00515398" w:rsidRDefault="006711E6">
            <w:pPr>
              <w:pStyle w:val="P68B1DB1-Normal8"/>
              <w:keepNext/>
              <w:spacing w:before="40" w:after="0" w:line="240" w:lineRule="auto"/>
              <w:jc w:val="both"/>
              <w:rPr>
                <w:rFonts w:cs="Times New Roman"/>
                <w:noProof/>
                <w:szCs w:val="18"/>
              </w:rPr>
            </w:pPr>
            <w:r>
              <w:rPr>
                <w:noProof/>
              </w:rPr>
              <w:t>Dokončení projektu inteligentních mostů – fáze II</w:t>
            </w:r>
          </w:p>
        </w:tc>
      </w:tr>
      <w:tr w:rsidR="00515398" w14:paraId="4F98E01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66E133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274</w:t>
            </w:r>
          </w:p>
        </w:tc>
        <w:tc>
          <w:tcPr>
            <w:tcW w:w="4320" w:type="dxa"/>
            <w:tcBorders>
              <w:top w:val="nil"/>
              <w:left w:val="nil"/>
              <w:bottom w:val="single" w:sz="4" w:space="0" w:color="auto"/>
              <w:right w:val="single" w:sz="4" w:space="0" w:color="auto"/>
            </w:tcBorders>
            <w:shd w:val="clear" w:color="auto" w:fill="C6EFCE"/>
            <w:noWrap/>
            <w:vAlign w:val="center"/>
            <w:hideMark/>
          </w:tcPr>
          <w:p w14:paraId="07E38C6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16959_Digitáln</w:t>
            </w:r>
            <w:r>
              <w:rPr>
                <w:noProof/>
              </w:rPr>
              <w:t>í transformace řecké organizace železnic</w:t>
            </w:r>
          </w:p>
        </w:tc>
        <w:tc>
          <w:tcPr>
            <w:tcW w:w="1680" w:type="dxa"/>
            <w:tcBorders>
              <w:top w:val="nil"/>
              <w:left w:val="nil"/>
              <w:bottom w:val="single" w:sz="4" w:space="0" w:color="auto"/>
              <w:right w:val="single" w:sz="4" w:space="0" w:color="auto"/>
            </w:tcBorders>
            <w:shd w:val="clear" w:color="auto" w:fill="C6EFCE"/>
            <w:noWrap/>
            <w:vAlign w:val="center"/>
            <w:hideMark/>
          </w:tcPr>
          <w:p w14:paraId="3F8E3571"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DA50AB7"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digitální transformace projektu OSE</w:t>
            </w:r>
          </w:p>
        </w:tc>
      </w:tr>
      <w:tr w:rsidR="00515398" w14:paraId="7652813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6D931B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275</w:t>
            </w:r>
          </w:p>
        </w:tc>
        <w:tc>
          <w:tcPr>
            <w:tcW w:w="4320" w:type="dxa"/>
            <w:tcBorders>
              <w:top w:val="nil"/>
              <w:left w:val="nil"/>
              <w:bottom w:val="single" w:sz="4" w:space="0" w:color="auto"/>
              <w:right w:val="single" w:sz="4" w:space="0" w:color="auto"/>
            </w:tcBorders>
            <w:shd w:val="clear" w:color="auto" w:fill="C6EFCE"/>
            <w:noWrap/>
            <w:vAlign w:val="center"/>
            <w:hideMark/>
          </w:tcPr>
          <w:p w14:paraId="4553FF4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16960_Inteligentní infrastruktura se zaměřením na životní prostředí a kulturu</w:t>
            </w:r>
          </w:p>
        </w:tc>
        <w:tc>
          <w:tcPr>
            <w:tcW w:w="1680" w:type="dxa"/>
            <w:tcBorders>
              <w:top w:val="nil"/>
              <w:left w:val="nil"/>
              <w:bottom w:val="single" w:sz="4" w:space="0" w:color="auto"/>
              <w:right w:val="single" w:sz="4" w:space="0" w:color="auto"/>
            </w:tcBorders>
            <w:shd w:val="clear" w:color="auto" w:fill="C6EFCE"/>
            <w:noWrap/>
            <w:vAlign w:val="center"/>
            <w:hideMark/>
          </w:tcPr>
          <w:p w14:paraId="42755EE6"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BC66D0E"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inteligentní infrastruktury</w:t>
            </w:r>
          </w:p>
        </w:tc>
      </w:tr>
      <w:tr w:rsidR="00515398" w14:paraId="60CC7BF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633C74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276</w:t>
            </w:r>
          </w:p>
        </w:tc>
        <w:tc>
          <w:tcPr>
            <w:tcW w:w="4320" w:type="dxa"/>
            <w:tcBorders>
              <w:top w:val="nil"/>
              <w:left w:val="nil"/>
              <w:bottom w:val="single" w:sz="4" w:space="0" w:color="auto"/>
              <w:right w:val="single" w:sz="4" w:space="0" w:color="auto"/>
            </w:tcBorders>
            <w:shd w:val="clear" w:color="auto" w:fill="C6EFCE"/>
            <w:noWrap/>
            <w:vAlign w:val="center"/>
            <w:hideMark/>
          </w:tcPr>
          <w:p w14:paraId="1B703CA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Modernizace a zlepšení odolnosti klíčových hospodářských odvětví – 16937_Digital Integrated Program Management System for the Administration of the Technical Works and Structural Assets of </w:t>
            </w:r>
            <w:r>
              <w:rPr>
                <w:noProof/>
              </w:rPr>
              <w:t>the Ministry of Infrastructure and Transport (Integrovaný digitální systém řízení programů pro správu technických prací a strukturálních aktiv Ministerstva infrastruktury a dopravy)</w:t>
            </w:r>
          </w:p>
        </w:tc>
        <w:tc>
          <w:tcPr>
            <w:tcW w:w="1680" w:type="dxa"/>
            <w:tcBorders>
              <w:top w:val="nil"/>
              <w:left w:val="nil"/>
              <w:bottom w:val="single" w:sz="4" w:space="0" w:color="auto"/>
              <w:right w:val="single" w:sz="4" w:space="0" w:color="auto"/>
            </w:tcBorders>
            <w:shd w:val="clear" w:color="auto" w:fill="C6EFCE"/>
            <w:noWrap/>
            <w:vAlign w:val="center"/>
            <w:hideMark/>
          </w:tcPr>
          <w:p w14:paraId="3BD4321B"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693024F"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systému PMIS pro ministerstvo infrastruktury</w:t>
            </w:r>
          </w:p>
        </w:tc>
      </w:tr>
      <w:tr w:rsidR="00515398" w14:paraId="3935257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DEE73C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283</w:t>
            </w:r>
          </w:p>
        </w:tc>
        <w:tc>
          <w:tcPr>
            <w:tcW w:w="4320" w:type="dxa"/>
            <w:tcBorders>
              <w:top w:val="nil"/>
              <w:left w:val="nil"/>
              <w:bottom w:val="single" w:sz="4" w:space="0" w:color="auto"/>
              <w:right w:val="single" w:sz="4" w:space="0" w:color="auto"/>
            </w:tcBorders>
            <w:shd w:val="clear" w:color="auto" w:fill="C6EFCE"/>
            <w:noWrap/>
            <w:vAlign w:val="center"/>
            <w:hideMark/>
          </w:tcPr>
          <w:p w14:paraId="0FDCC3C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w:t>
            </w:r>
            <w:r>
              <w:rPr>
                <w:noProof/>
              </w:rPr>
              <w:t xml:space="preserve"> Modernizace a zlepšení odolnosti klíčových hospodářských odvětví – 16293_Kultura jako hnací síla růstu</w:t>
            </w:r>
          </w:p>
        </w:tc>
        <w:tc>
          <w:tcPr>
            <w:tcW w:w="1680" w:type="dxa"/>
            <w:tcBorders>
              <w:top w:val="nil"/>
              <w:left w:val="nil"/>
              <w:bottom w:val="single" w:sz="4" w:space="0" w:color="auto"/>
              <w:right w:val="single" w:sz="4" w:space="0" w:color="auto"/>
            </w:tcBorders>
            <w:shd w:val="clear" w:color="auto" w:fill="C6EFCE"/>
            <w:noWrap/>
            <w:vAlign w:val="center"/>
            <w:hideMark/>
          </w:tcPr>
          <w:p w14:paraId="234EA5DF"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B3E1EED" w14:textId="77777777" w:rsidR="00515398" w:rsidRDefault="006711E6">
            <w:pPr>
              <w:pStyle w:val="P68B1DB1-Normal8"/>
              <w:keepNext/>
              <w:spacing w:before="40" w:after="0" w:line="240" w:lineRule="auto"/>
              <w:jc w:val="both"/>
              <w:rPr>
                <w:rFonts w:eastAsia="Times New Roman" w:cs="Times New Roman"/>
                <w:noProof/>
                <w:szCs w:val="18"/>
              </w:rPr>
            </w:pPr>
            <w:r>
              <w:rPr>
                <w:noProof/>
              </w:rPr>
              <w:t>Kultura jako hnací síla růstu</w:t>
            </w:r>
          </w:p>
        </w:tc>
      </w:tr>
      <w:tr w:rsidR="00515398" w14:paraId="741BBB4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6EA347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284</w:t>
            </w:r>
          </w:p>
        </w:tc>
        <w:tc>
          <w:tcPr>
            <w:tcW w:w="4320" w:type="dxa"/>
            <w:tcBorders>
              <w:top w:val="nil"/>
              <w:left w:val="nil"/>
              <w:bottom w:val="single" w:sz="4" w:space="0" w:color="auto"/>
              <w:right w:val="single" w:sz="4" w:space="0" w:color="auto"/>
            </w:tcBorders>
            <w:shd w:val="clear" w:color="auto" w:fill="C6EFCE"/>
            <w:noWrap/>
            <w:vAlign w:val="center"/>
            <w:hideMark/>
          </w:tcPr>
          <w:p w14:paraId="21ECBAD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Modernizace a zlepšení odolnosti klíčových hospodářských odvětví – 16536_Modernizace infrastruktury, </w:t>
            </w:r>
            <w:r>
              <w:rPr>
                <w:noProof/>
              </w:rPr>
              <w:t>obnova vybavení a modernizace kvality služeb poskytovaných HOCRED Stores – bývalé ARF Stores (On-spot and electronic)</w:t>
            </w:r>
          </w:p>
        </w:tc>
        <w:tc>
          <w:tcPr>
            <w:tcW w:w="1680" w:type="dxa"/>
            <w:tcBorders>
              <w:top w:val="nil"/>
              <w:left w:val="nil"/>
              <w:bottom w:val="single" w:sz="4" w:space="0" w:color="auto"/>
              <w:right w:val="single" w:sz="4" w:space="0" w:color="auto"/>
            </w:tcBorders>
            <w:shd w:val="clear" w:color="auto" w:fill="C6EFCE"/>
            <w:noWrap/>
            <w:vAlign w:val="center"/>
            <w:hideMark/>
          </w:tcPr>
          <w:p w14:paraId="11C78CC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F6FEE75"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Modernizace Řecké organizace pro rozvoj kulturních zdrojů (HOCRED) </w:t>
            </w:r>
          </w:p>
        </w:tc>
      </w:tr>
      <w:tr w:rsidR="00515398" w14:paraId="7D6F172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6EC2BD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285</w:t>
            </w:r>
          </w:p>
        </w:tc>
        <w:tc>
          <w:tcPr>
            <w:tcW w:w="4320" w:type="dxa"/>
            <w:tcBorders>
              <w:top w:val="nil"/>
              <w:left w:val="nil"/>
              <w:bottom w:val="single" w:sz="4" w:space="0" w:color="auto"/>
              <w:right w:val="single" w:sz="4" w:space="0" w:color="auto"/>
            </w:tcBorders>
            <w:shd w:val="clear" w:color="auto" w:fill="C6EFCE"/>
            <w:noWrap/>
            <w:vAlign w:val="center"/>
            <w:hideMark/>
          </w:tcPr>
          <w:p w14:paraId="0D59E48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w:t>
            </w:r>
            <w:r>
              <w:rPr>
                <w:noProof/>
              </w:rPr>
              <w:t>řských odvětví – 16725_Zlepšování vysokoškolského vzdělávání v oblasti umění</w:t>
            </w:r>
          </w:p>
        </w:tc>
        <w:tc>
          <w:tcPr>
            <w:tcW w:w="1680" w:type="dxa"/>
            <w:tcBorders>
              <w:top w:val="nil"/>
              <w:left w:val="nil"/>
              <w:bottom w:val="single" w:sz="4" w:space="0" w:color="auto"/>
              <w:right w:val="single" w:sz="4" w:space="0" w:color="auto"/>
            </w:tcBorders>
            <w:shd w:val="clear" w:color="auto" w:fill="C6EFCE"/>
            <w:noWrap/>
            <w:vAlign w:val="center"/>
            <w:hideMark/>
          </w:tcPr>
          <w:p w14:paraId="4CA16663"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6E1BF27" w14:textId="77777777" w:rsidR="00515398" w:rsidRDefault="006711E6">
            <w:pPr>
              <w:pStyle w:val="P68B1DB1-Normal8"/>
              <w:keepNext/>
              <w:spacing w:before="40" w:after="0" w:line="240" w:lineRule="auto"/>
              <w:jc w:val="both"/>
              <w:rPr>
                <w:rFonts w:eastAsia="Times New Roman" w:cs="Times New Roman"/>
                <w:noProof/>
                <w:szCs w:val="18"/>
              </w:rPr>
            </w:pPr>
            <w:r>
              <w:rPr>
                <w:noProof/>
              </w:rPr>
              <w:t>Zvýšení vyššího uměleckého vzdělávání</w:t>
            </w:r>
          </w:p>
        </w:tc>
      </w:tr>
      <w:tr w:rsidR="00515398" w14:paraId="10DDC45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9D91BA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287</w:t>
            </w:r>
          </w:p>
        </w:tc>
        <w:tc>
          <w:tcPr>
            <w:tcW w:w="4320" w:type="dxa"/>
            <w:tcBorders>
              <w:top w:val="nil"/>
              <w:left w:val="nil"/>
              <w:bottom w:val="single" w:sz="4" w:space="0" w:color="auto"/>
              <w:right w:val="single" w:sz="4" w:space="0" w:color="auto"/>
            </w:tcBorders>
            <w:shd w:val="clear" w:color="auto" w:fill="C6EFCE"/>
            <w:noWrap/>
            <w:vAlign w:val="center"/>
            <w:hideMark/>
          </w:tcPr>
          <w:p w14:paraId="0906845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16486_Muzeum podvodních starožitností</w:t>
            </w:r>
          </w:p>
        </w:tc>
        <w:tc>
          <w:tcPr>
            <w:tcW w:w="1680" w:type="dxa"/>
            <w:tcBorders>
              <w:top w:val="nil"/>
              <w:left w:val="nil"/>
              <w:bottom w:val="single" w:sz="4" w:space="0" w:color="auto"/>
              <w:right w:val="single" w:sz="4" w:space="0" w:color="auto"/>
            </w:tcBorders>
            <w:shd w:val="clear" w:color="auto" w:fill="C6EFCE"/>
            <w:noWrap/>
            <w:vAlign w:val="center"/>
            <w:hideMark/>
          </w:tcPr>
          <w:p w14:paraId="5A102A64"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393712EC"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Muzeum </w:t>
            </w:r>
            <w:r>
              <w:rPr>
                <w:noProof/>
              </w:rPr>
              <w:t>podvodních starožitností</w:t>
            </w:r>
          </w:p>
        </w:tc>
      </w:tr>
      <w:tr w:rsidR="00515398" w14:paraId="3081C9A2"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6C2514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288</w:t>
            </w:r>
          </w:p>
        </w:tc>
        <w:tc>
          <w:tcPr>
            <w:tcW w:w="4320" w:type="dxa"/>
            <w:tcBorders>
              <w:top w:val="nil"/>
              <w:left w:val="nil"/>
              <w:bottom w:val="single" w:sz="4" w:space="0" w:color="auto"/>
              <w:right w:val="single" w:sz="4" w:space="0" w:color="auto"/>
            </w:tcBorders>
            <w:shd w:val="clear" w:color="auto" w:fill="C6EFCE"/>
            <w:noWrap/>
            <w:vAlign w:val="center"/>
            <w:hideMark/>
          </w:tcPr>
          <w:p w14:paraId="07B55E4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16485_Kulturní trasy v Emblematických archeologických lokalitách a památkách</w:t>
            </w:r>
          </w:p>
        </w:tc>
        <w:tc>
          <w:tcPr>
            <w:tcW w:w="1680" w:type="dxa"/>
            <w:tcBorders>
              <w:top w:val="nil"/>
              <w:left w:val="nil"/>
              <w:bottom w:val="single" w:sz="4" w:space="0" w:color="auto"/>
              <w:right w:val="single" w:sz="4" w:space="0" w:color="auto"/>
            </w:tcBorders>
            <w:shd w:val="clear" w:color="auto" w:fill="C6EFCE"/>
            <w:noWrap/>
            <w:vAlign w:val="center"/>
            <w:hideMark/>
          </w:tcPr>
          <w:p w14:paraId="53ED72F9"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57609D5C" w14:textId="77777777" w:rsidR="00515398" w:rsidRDefault="006711E6">
            <w:pPr>
              <w:pStyle w:val="P68B1DB1-Normal8"/>
              <w:keepNext/>
              <w:spacing w:before="40" w:after="0" w:line="240" w:lineRule="auto"/>
              <w:jc w:val="both"/>
              <w:rPr>
                <w:rFonts w:eastAsia="Times New Roman" w:cs="Times New Roman"/>
                <w:noProof/>
                <w:szCs w:val="18"/>
              </w:rPr>
            </w:pPr>
            <w:r>
              <w:rPr>
                <w:noProof/>
              </w:rPr>
              <w:t>Kulturní trasy v Emblematických archeologických lokalitách</w:t>
            </w:r>
          </w:p>
        </w:tc>
      </w:tr>
      <w:tr w:rsidR="00515398" w14:paraId="6350803F"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E21255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289</w:t>
            </w:r>
          </w:p>
        </w:tc>
        <w:tc>
          <w:tcPr>
            <w:tcW w:w="4320" w:type="dxa"/>
            <w:tcBorders>
              <w:top w:val="nil"/>
              <w:left w:val="nil"/>
              <w:bottom w:val="single" w:sz="4" w:space="0" w:color="auto"/>
              <w:right w:val="single" w:sz="4" w:space="0" w:color="auto"/>
            </w:tcBorders>
            <w:shd w:val="clear" w:color="auto" w:fill="C6EFCE"/>
            <w:noWrap/>
            <w:vAlign w:val="center"/>
            <w:hideMark/>
          </w:tcPr>
          <w:p w14:paraId="58A1699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16735_Využívání „umělců na předpis“, podpora sociální soudržnosti a využívání stříbrné ekonomiky</w:t>
            </w:r>
          </w:p>
        </w:tc>
        <w:tc>
          <w:tcPr>
            <w:tcW w:w="1680" w:type="dxa"/>
            <w:tcBorders>
              <w:top w:val="nil"/>
              <w:left w:val="nil"/>
              <w:bottom w:val="single" w:sz="4" w:space="0" w:color="auto"/>
              <w:right w:val="single" w:sz="4" w:space="0" w:color="auto"/>
            </w:tcBorders>
            <w:shd w:val="clear" w:color="auto" w:fill="C6EFCE"/>
            <w:noWrap/>
            <w:vAlign w:val="center"/>
            <w:hideMark/>
          </w:tcPr>
          <w:p w14:paraId="435DC07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EAD8EE9" w14:textId="77777777" w:rsidR="00515398" w:rsidRDefault="006711E6">
            <w:pPr>
              <w:pStyle w:val="P68B1DB1-Normal8"/>
              <w:keepNext/>
              <w:spacing w:before="40" w:after="0" w:line="240" w:lineRule="auto"/>
              <w:jc w:val="both"/>
              <w:rPr>
                <w:rFonts w:eastAsia="Times New Roman" w:cs="Times New Roman"/>
                <w:noProof/>
                <w:szCs w:val="18"/>
              </w:rPr>
            </w:pPr>
            <w:r>
              <w:rPr>
                <w:noProof/>
              </w:rPr>
              <w:t>S využitím „umělců na předpis“,</w:t>
            </w:r>
          </w:p>
        </w:tc>
      </w:tr>
      <w:tr w:rsidR="00515398" w14:paraId="5D6F5A04"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254D79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290</w:t>
            </w:r>
          </w:p>
        </w:tc>
        <w:tc>
          <w:tcPr>
            <w:tcW w:w="4320" w:type="dxa"/>
            <w:tcBorders>
              <w:top w:val="nil"/>
              <w:left w:val="nil"/>
              <w:bottom w:val="single" w:sz="4" w:space="0" w:color="auto"/>
              <w:right w:val="single" w:sz="4" w:space="0" w:color="auto"/>
            </w:tcBorders>
            <w:shd w:val="clear" w:color="auto" w:fill="C6EFCE"/>
            <w:noWrap/>
            <w:vAlign w:val="center"/>
            <w:hideMark/>
          </w:tcPr>
          <w:p w14:paraId="2BE07D0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w:t>
            </w:r>
            <w:r>
              <w:rPr>
                <w:noProof/>
              </w:rPr>
              <w:t xml:space="preserve"> klíčových hospodářských odvětví – 16433_Ochrana kulturních památek a archeologických nalezišť před změnou klimatu</w:t>
            </w:r>
          </w:p>
        </w:tc>
        <w:tc>
          <w:tcPr>
            <w:tcW w:w="1680" w:type="dxa"/>
            <w:tcBorders>
              <w:top w:val="nil"/>
              <w:left w:val="nil"/>
              <w:bottom w:val="single" w:sz="4" w:space="0" w:color="auto"/>
              <w:right w:val="single" w:sz="4" w:space="0" w:color="auto"/>
            </w:tcBorders>
            <w:shd w:val="clear" w:color="auto" w:fill="C6EFCE"/>
            <w:noWrap/>
            <w:vAlign w:val="center"/>
            <w:hideMark/>
          </w:tcPr>
          <w:p w14:paraId="5E28301B" w14:textId="77777777" w:rsidR="00515398" w:rsidRDefault="006711E6">
            <w:pPr>
              <w:pStyle w:val="P68B1DB1-Normal8"/>
              <w:keepNext/>
              <w:spacing w:before="40" w:after="0" w:line="240" w:lineRule="auto"/>
              <w:jc w:val="both"/>
              <w:rPr>
                <w:rFonts w:eastAsia="Times New Roman" w:cs="Times New Roman"/>
                <w:noProof/>
                <w:szCs w:val="18"/>
              </w:rPr>
            </w:pPr>
            <w:r>
              <w:rPr>
                <w:noProof/>
              </w:rPr>
              <w:t xml:space="preserve">Milník </w:t>
            </w:r>
          </w:p>
        </w:tc>
        <w:tc>
          <w:tcPr>
            <w:tcW w:w="2280" w:type="dxa"/>
            <w:tcBorders>
              <w:top w:val="nil"/>
              <w:left w:val="nil"/>
              <w:bottom w:val="single" w:sz="4" w:space="0" w:color="auto"/>
              <w:right w:val="single" w:sz="4" w:space="0" w:color="auto"/>
            </w:tcBorders>
            <w:shd w:val="clear" w:color="auto" w:fill="C6EFCE"/>
            <w:noWrap/>
            <w:vAlign w:val="center"/>
            <w:hideMark/>
          </w:tcPr>
          <w:p w14:paraId="46CA641C" w14:textId="77777777" w:rsidR="00515398" w:rsidRDefault="006711E6">
            <w:pPr>
              <w:pStyle w:val="P68B1DB1-Normal8"/>
              <w:keepNext/>
              <w:spacing w:before="40" w:after="0" w:line="240" w:lineRule="auto"/>
              <w:jc w:val="both"/>
              <w:rPr>
                <w:rFonts w:eastAsia="Times New Roman" w:cs="Times New Roman"/>
                <w:noProof/>
                <w:szCs w:val="18"/>
              </w:rPr>
            </w:pPr>
            <w:r>
              <w:rPr>
                <w:noProof/>
              </w:rPr>
              <w:t>Ochrana kulturních památek před změnou klimatu</w:t>
            </w:r>
          </w:p>
        </w:tc>
      </w:tr>
      <w:tr w:rsidR="00515398" w14:paraId="0D0F235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3DD2F1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291</w:t>
            </w:r>
          </w:p>
        </w:tc>
        <w:tc>
          <w:tcPr>
            <w:tcW w:w="4320" w:type="dxa"/>
            <w:tcBorders>
              <w:top w:val="nil"/>
              <w:left w:val="nil"/>
              <w:bottom w:val="single" w:sz="4" w:space="0" w:color="auto"/>
              <w:right w:val="single" w:sz="4" w:space="0" w:color="auto"/>
            </w:tcBorders>
            <w:shd w:val="clear" w:color="auto" w:fill="C6EFCE"/>
            <w:noWrap/>
            <w:vAlign w:val="center"/>
            <w:hideMark/>
          </w:tcPr>
          <w:p w14:paraId="27650EF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16435_</w:t>
            </w:r>
            <w:r>
              <w:rPr>
                <w:noProof/>
              </w:rPr>
              <w:t>Obnova – Zachování – Zlepšení památek Akropolis</w:t>
            </w:r>
          </w:p>
        </w:tc>
        <w:tc>
          <w:tcPr>
            <w:tcW w:w="1680" w:type="dxa"/>
            <w:tcBorders>
              <w:top w:val="nil"/>
              <w:left w:val="nil"/>
              <w:bottom w:val="single" w:sz="4" w:space="0" w:color="auto"/>
              <w:right w:val="single" w:sz="4" w:space="0" w:color="auto"/>
            </w:tcBorders>
            <w:shd w:val="clear" w:color="auto" w:fill="C6EFCE"/>
            <w:noWrap/>
            <w:vAlign w:val="center"/>
            <w:hideMark/>
          </w:tcPr>
          <w:p w14:paraId="6AFC636F"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6F7F98A0" w14:textId="77777777" w:rsidR="00515398" w:rsidRDefault="006711E6">
            <w:pPr>
              <w:pStyle w:val="P68B1DB1-Normal8"/>
              <w:keepNext/>
              <w:spacing w:before="40" w:after="0" w:line="240" w:lineRule="auto"/>
              <w:jc w:val="both"/>
              <w:rPr>
                <w:rFonts w:eastAsia="Times New Roman" w:cs="Times New Roman"/>
                <w:noProof/>
                <w:szCs w:val="18"/>
              </w:rPr>
            </w:pPr>
            <w:r>
              <w:rPr>
                <w:noProof/>
              </w:rPr>
              <w:t>Obnova – zachování – Zlepšení akropolis</w:t>
            </w:r>
          </w:p>
        </w:tc>
      </w:tr>
      <w:tr w:rsidR="00515398" w14:paraId="1D37CEDB"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18CBAC21" w14:textId="77777777" w:rsidR="00515398" w:rsidRDefault="006711E6">
            <w:pPr>
              <w:pStyle w:val="P68B1DB1-Normal8"/>
              <w:keepNext/>
              <w:spacing w:before="40" w:after="0" w:line="240" w:lineRule="auto"/>
              <w:jc w:val="both"/>
              <w:rPr>
                <w:rFonts w:cs="Times New Roman"/>
                <w:noProof/>
                <w:szCs w:val="18"/>
              </w:rPr>
            </w:pPr>
            <w:r>
              <w:rPr>
                <w:noProof/>
              </w:rPr>
              <w:t>296</w:t>
            </w:r>
          </w:p>
        </w:tc>
        <w:tc>
          <w:tcPr>
            <w:tcW w:w="4320" w:type="dxa"/>
            <w:tcBorders>
              <w:top w:val="nil"/>
              <w:left w:val="nil"/>
              <w:bottom w:val="single" w:sz="4" w:space="0" w:color="auto"/>
              <w:right w:val="single" w:sz="4" w:space="0" w:color="auto"/>
            </w:tcBorders>
            <w:shd w:val="clear" w:color="auto" w:fill="C6EFCE"/>
            <w:noWrap/>
            <w:vAlign w:val="center"/>
            <w:hideMark/>
          </w:tcPr>
          <w:p w14:paraId="58973A90" w14:textId="77777777" w:rsidR="00515398" w:rsidRDefault="006711E6">
            <w:pPr>
              <w:pStyle w:val="P68B1DB1-Normal8"/>
              <w:keepNext/>
              <w:spacing w:before="40" w:after="0" w:line="240" w:lineRule="auto"/>
              <w:jc w:val="both"/>
              <w:rPr>
                <w:rFonts w:cs="Times New Roman"/>
                <w:noProof/>
                <w:szCs w:val="18"/>
              </w:rPr>
            </w:pPr>
            <w:r>
              <w:rPr>
                <w:noProof/>
              </w:rPr>
              <w:t>17–4.6. Modernizace a zlepšení odolnosti klíčových hospodářských odvětví – 16921_Rekvalifikace a prohlubování dovedností v cestovním ruchu</w:t>
            </w:r>
          </w:p>
        </w:tc>
        <w:tc>
          <w:tcPr>
            <w:tcW w:w="1680" w:type="dxa"/>
            <w:tcBorders>
              <w:top w:val="nil"/>
              <w:left w:val="nil"/>
              <w:bottom w:val="single" w:sz="4" w:space="0" w:color="auto"/>
              <w:right w:val="single" w:sz="4" w:space="0" w:color="auto"/>
            </w:tcBorders>
            <w:shd w:val="clear" w:color="auto" w:fill="C6EFCE"/>
            <w:noWrap/>
            <w:vAlign w:val="center"/>
            <w:hideMark/>
          </w:tcPr>
          <w:p w14:paraId="3CAE9894" w14:textId="77777777" w:rsidR="00515398" w:rsidRDefault="006711E6">
            <w:pPr>
              <w:pStyle w:val="P68B1DB1-Normal8"/>
              <w:keepNext/>
              <w:spacing w:before="40" w:after="0" w:line="240" w:lineRule="auto"/>
              <w:jc w:val="both"/>
              <w:rPr>
                <w:rFonts w:cs="Times New Roman"/>
                <w:noProof/>
                <w:szCs w:val="18"/>
              </w:rPr>
            </w:pPr>
            <w:r>
              <w:rPr>
                <w:noProof/>
              </w:rPr>
              <w:t>Cílová</w:t>
            </w:r>
          </w:p>
        </w:tc>
        <w:tc>
          <w:tcPr>
            <w:tcW w:w="2280" w:type="dxa"/>
            <w:tcBorders>
              <w:top w:val="nil"/>
              <w:left w:val="nil"/>
              <w:bottom w:val="single" w:sz="4" w:space="0" w:color="auto"/>
              <w:right w:val="single" w:sz="4" w:space="0" w:color="auto"/>
            </w:tcBorders>
            <w:shd w:val="clear" w:color="auto" w:fill="C6EFCE"/>
            <w:noWrap/>
            <w:vAlign w:val="center"/>
            <w:hideMark/>
          </w:tcPr>
          <w:p w14:paraId="11203FAF" w14:textId="77777777" w:rsidR="00515398" w:rsidRDefault="006711E6">
            <w:pPr>
              <w:pStyle w:val="P68B1DB1-Normal8"/>
              <w:keepNext/>
              <w:spacing w:before="40" w:after="0" w:line="240" w:lineRule="auto"/>
              <w:jc w:val="both"/>
              <w:rPr>
                <w:rFonts w:cs="Times New Roman"/>
                <w:noProof/>
                <w:szCs w:val="18"/>
              </w:rPr>
            </w:pPr>
            <w:r>
              <w:rPr>
                <w:noProof/>
              </w:rPr>
              <w:t>Rekvalifikace a prohlubování dovedností v cestovním ruchu (dokončení)</w:t>
            </w:r>
          </w:p>
        </w:tc>
      </w:tr>
      <w:tr w:rsidR="00515398" w14:paraId="17FC2AB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0107567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297</w:t>
            </w:r>
          </w:p>
        </w:tc>
        <w:tc>
          <w:tcPr>
            <w:tcW w:w="4320" w:type="dxa"/>
            <w:tcBorders>
              <w:top w:val="nil"/>
              <w:left w:val="nil"/>
              <w:bottom w:val="single" w:sz="4" w:space="0" w:color="auto"/>
              <w:right w:val="single" w:sz="4" w:space="0" w:color="auto"/>
            </w:tcBorders>
            <w:shd w:val="clear" w:color="auto" w:fill="C6EFCE"/>
            <w:noWrap/>
            <w:vAlign w:val="center"/>
            <w:hideMark/>
          </w:tcPr>
          <w:p w14:paraId="118CE1D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16931_Rozvoj cestovního ruchu</w:t>
            </w:r>
          </w:p>
        </w:tc>
        <w:tc>
          <w:tcPr>
            <w:tcW w:w="1680" w:type="dxa"/>
            <w:tcBorders>
              <w:top w:val="nil"/>
              <w:left w:val="nil"/>
              <w:bottom w:val="single" w:sz="4" w:space="0" w:color="auto"/>
              <w:right w:val="single" w:sz="4" w:space="0" w:color="auto"/>
            </w:tcBorders>
            <w:shd w:val="clear" w:color="auto" w:fill="C6EFCE"/>
            <w:noWrap/>
            <w:vAlign w:val="center"/>
            <w:hideMark/>
          </w:tcPr>
          <w:p w14:paraId="64C0709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5ACF9E9"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rozvoje cestovního ruchu</w:t>
            </w:r>
          </w:p>
        </w:tc>
      </w:tr>
      <w:tr w:rsidR="00515398" w14:paraId="23AAC03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FFFD53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298</w:t>
            </w:r>
          </w:p>
        </w:tc>
        <w:tc>
          <w:tcPr>
            <w:tcW w:w="4320" w:type="dxa"/>
            <w:tcBorders>
              <w:top w:val="nil"/>
              <w:left w:val="nil"/>
              <w:bottom w:val="single" w:sz="4" w:space="0" w:color="auto"/>
              <w:right w:val="single" w:sz="4" w:space="0" w:color="auto"/>
            </w:tcBorders>
            <w:shd w:val="clear" w:color="auto" w:fill="C6EFCE"/>
            <w:noWrap/>
            <w:vAlign w:val="center"/>
            <w:hideMark/>
          </w:tcPr>
          <w:p w14:paraId="54A2BEC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Modernizace </w:t>
            </w:r>
            <w:r>
              <w:rPr>
                <w:noProof/>
              </w:rPr>
              <w:t>a zlepšení odolnosti klíčových hospodářských odvětví – 16975_Zlepšovací intervence pro regionální přístavy</w:t>
            </w:r>
          </w:p>
        </w:tc>
        <w:tc>
          <w:tcPr>
            <w:tcW w:w="1680" w:type="dxa"/>
            <w:tcBorders>
              <w:top w:val="nil"/>
              <w:left w:val="nil"/>
              <w:bottom w:val="single" w:sz="4" w:space="0" w:color="auto"/>
              <w:right w:val="single" w:sz="4" w:space="0" w:color="auto"/>
            </w:tcBorders>
            <w:shd w:val="clear" w:color="auto" w:fill="C6EFCE"/>
            <w:noWrap/>
            <w:vAlign w:val="center"/>
            <w:hideMark/>
          </w:tcPr>
          <w:p w14:paraId="027D8315" w14:textId="0CD174D4" w:rsidR="00515398" w:rsidRDefault="006711E6">
            <w:pPr>
              <w:pStyle w:val="P68B1DB1-Normal49"/>
              <w:keepNext/>
              <w:spacing w:before="40" w:after="0" w:line="240" w:lineRule="auto"/>
              <w:jc w:val="both"/>
              <w:rPr>
                <w:rFonts w:eastAsia="Times New Roman" w:cs="Times New Roman"/>
                <w:noProof/>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41A653E" w14:textId="77777777" w:rsidR="00515398" w:rsidRDefault="006711E6">
            <w:pPr>
              <w:pStyle w:val="P68B1DB1-Normal8"/>
              <w:keepNext/>
              <w:spacing w:before="40" w:after="0" w:line="240" w:lineRule="auto"/>
              <w:jc w:val="both"/>
              <w:rPr>
                <w:rFonts w:eastAsia="Times New Roman" w:cs="Times New Roman"/>
                <w:noProof/>
                <w:szCs w:val="18"/>
              </w:rPr>
            </w:pPr>
            <w:r>
              <w:rPr>
                <w:noProof/>
              </w:rPr>
              <w:t>Modernizace regionálních přístavů</w:t>
            </w:r>
          </w:p>
        </w:tc>
      </w:tr>
      <w:tr w:rsidR="00515398" w14:paraId="751C7B79"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2B67775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307</w:t>
            </w:r>
          </w:p>
        </w:tc>
        <w:tc>
          <w:tcPr>
            <w:tcW w:w="4320" w:type="dxa"/>
            <w:tcBorders>
              <w:top w:val="nil"/>
              <w:left w:val="nil"/>
              <w:bottom w:val="single" w:sz="4" w:space="0" w:color="auto"/>
              <w:right w:val="single" w:sz="4" w:space="0" w:color="auto"/>
            </w:tcBorders>
            <w:shd w:val="clear" w:color="auto" w:fill="C6EFCE"/>
            <w:noWrap/>
            <w:vAlign w:val="center"/>
            <w:hideMark/>
          </w:tcPr>
          <w:p w14:paraId="3B5A509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16634_Nové průmyslové parky</w:t>
            </w:r>
          </w:p>
        </w:tc>
        <w:tc>
          <w:tcPr>
            <w:tcW w:w="1680" w:type="dxa"/>
            <w:tcBorders>
              <w:top w:val="nil"/>
              <w:left w:val="nil"/>
              <w:bottom w:val="single" w:sz="4" w:space="0" w:color="auto"/>
              <w:right w:val="single" w:sz="4" w:space="0" w:color="auto"/>
            </w:tcBorders>
            <w:shd w:val="clear" w:color="auto" w:fill="C6EFCE"/>
            <w:noWrap/>
            <w:vAlign w:val="center"/>
            <w:hideMark/>
          </w:tcPr>
          <w:p w14:paraId="12D1D692"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721573D" w14:textId="77777777" w:rsidR="00515398" w:rsidRDefault="006711E6">
            <w:pPr>
              <w:pStyle w:val="P68B1DB1-Normal8"/>
              <w:keepNext/>
              <w:spacing w:before="40" w:after="0" w:line="240" w:lineRule="auto"/>
              <w:jc w:val="both"/>
              <w:rPr>
                <w:rFonts w:eastAsia="Times New Roman" w:cs="Times New Roman"/>
                <w:noProof/>
                <w:szCs w:val="18"/>
              </w:rPr>
            </w:pPr>
            <w:r>
              <w:rPr>
                <w:noProof/>
              </w:rPr>
              <w:t>Průmyslové parky – realizace investic</w:t>
            </w:r>
          </w:p>
        </w:tc>
      </w:tr>
      <w:tr w:rsidR="00515398" w14:paraId="59CEA0F1"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0B9D9A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308</w:t>
            </w:r>
          </w:p>
        </w:tc>
        <w:tc>
          <w:tcPr>
            <w:tcW w:w="4320" w:type="dxa"/>
            <w:tcBorders>
              <w:top w:val="nil"/>
              <w:left w:val="nil"/>
              <w:bottom w:val="single" w:sz="4" w:space="0" w:color="auto"/>
              <w:right w:val="single" w:sz="4" w:space="0" w:color="auto"/>
            </w:tcBorders>
            <w:shd w:val="clear" w:color="auto" w:fill="C6EFCE"/>
            <w:noWrap/>
            <w:vAlign w:val="center"/>
            <w:hideMark/>
          </w:tcPr>
          <w:p w14:paraId="54DEB4F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16593_Změna právního rámce pro přilákání strategických investic</w:t>
            </w:r>
          </w:p>
        </w:tc>
        <w:tc>
          <w:tcPr>
            <w:tcW w:w="1680" w:type="dxa"/>
            <w:tcBorders>
              <w:top w:val="nil"/>
              <w:left w:val="nil"/>
              <w:bottom w:val="single" w:sz="4" w:space="0" w:color="auto"/>
              <w:right w:val="single" w:sz="4" w:space="0" w:color="auto"/>
            </w:tcBorders>
            <w:shd w:val="clear" w:color="auto" w:fill="C6EFCE"/>
            <w:noWrap/>
            <w:vAlign w:val="center"/>
            <w:hideMark/>
          </w:tcPr>
          <w:p w14:paraId="7ED0C8B5"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2AB0C051" w14:textId="77777777" w:rsidR="00515398" w:rsidRDefault="006711E6">
            <w:pPr>
              <w:pStyle w:val="P68B1DB1-Normal8"/>
              <w:keepNext/>
              <w:spacing w:before="40" w:after="0" w:line="240" w:lineRule="auto"/>
              <w:jc w:val="both"/>
              <w:rPr>
                <w:rFonts w:eastAsia="Times New Roman" w:cs="Times New Roman"/>
                <w:noProof/>
                <w:szCs w:val="18"/>
              </w:rPr>
            </w:pPr>
            <w:r>
              <w:rPr>
                <w:noProof/>
              </w:rPr>
              <w:t>Strategické investice – realizace investic</w:t>
            </w:r>
          </w:p>
        </w:tc>
      </w:tr>
      <w:tr w:rsidR="00515398" w14:paraId="55F85266"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7011C4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309</w:t>
            </w:r>
          </w:p>
        </w:tc>
        <w:tc>
          <w:tcPr>
            <w:tcW w:w="4320" w:type="dxa"/>
            <w:tcBorders>
              <w:top w:val="nil"/>
              <w:left w:val="nil"/>
              <w:bottom w:val="single" w:sz="4" w:space="0" w:color="auto"/>
              <w:right w:val="single" w:sz="4" w:space="0" w:color="auto"/>
            </w:tcBorders>
            <w:shd w:val="clear" w:color="auto" w:fill="C6EFCE"/>
            <w:noWrap/>
            <w:vAlign w:val="center"/>
            <w:hideMark/>
          </w:tcPr>
          <w:p w14:paraId="30A6009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w:t>
            </w:r>
            <w:r>
              <w:rPr>
                <w:noProof/>
              </w:rPr>
              <w:t>Modernizace a zlepšení odolnosti klíčových hospodářských odvětví – 16721_Urychlení inteligentní výroby</w:t>
            </w:r>
          </w:p>
        </w:tc>
        <w:tc>
          <w:tcPr>
            <w:tcW w:w="1680" w:type="dxa"/>
            <w:tcBorders>
              <w:top w:val="nil"/>
              <w:left w:val="nil"/>
              <w:bottom w:val="single" w:sz="4" w:space="0" w:color="auto"/>
              <w:right w:val="single" w:sz="4" w:space="0" w:color="auto"/>
            </w:tcBorders>
            <w:shd w:val="clear" w:color="auto" w:fill="C6EFCE"/>
            <w:noWrap/>
            <w:vAlign w:val="center"/>
            <w:hideMark/>
          </w:tcPr>
          <w:p w14:paraId="6B71A148"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01452DBD" w14:textId="77777777" w:rsidR="00515398" w:rsidRDefault="006711E6">
            <w:pPr>
              <w:pStyle w:val="P68B1DB1-Normal8"/>
              <w:keepNext/>
              <w:spacing w:before="40" w:after="0" w:line="240" w:lineRule="auto"/>
              <w:jc w:val="both"/>
              <w:rPr>
                <w:rFonts w:eastAsia="Times New Roman" w:cs="Times New Roman"/>
                <w:noProof/>
                <w:szCs w:val="18"/>
              </w:rPr>
            </w:pPr>
            <w:r>
              <w:rPr>
                <w:noProof/>
              </w:rPr>
              <w:t>Výroba, odvětví – provádění investic</w:t>
            </w:r>
          </w:p>
        </w:tc>
      </w:tr>
      <w:tr w:rsidR="00515398" w14:paraId="4BA73D7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27DE96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314</w:t>
            </w:r>
          </w:p>
        </w:tc>
        <w:tc>
          <w:tcPr>
            <w:tcW w:w="4320" w:type="dxa"/>
            <w:tcBorders>
              <w:top w:val="nil"/>
              <w:left w:val="nil"/>
              <w:bottom w:val="single" w:sz="4" w:space="0" w:color="auto"/>
              <w:right w:val="single" w:sz="4" w:space="0" w:color="auto"/>
            </w:tcBorders>
            <w:shd w:val="clear" w:color="auto" w:fill="C6EFCE"/>
            <w:noWrap/>
            <w:vAlign w:val="center"/>
            <w:hideMark/>
          </w:tcPr>
          <w:p w14:paraId="236ED06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17–4.6. Modernizace a zlepšení odolnosti klíčových hospodářských odvětví – 16626_Hospodářská </w:t>
            </w:r>
            <w:r>
              <w:rPr>
                <w:noProof/>
              </w:rPr>
              <w:t>transformace v odvětví zemědělství</w:t>
            </w:r>
          </w:p>
        </w:tc>
        <w:tc>
          <w:tcPr>
            <w:tcW w:w="1680" w:type="dxa"/>
            <w:tcBorders>
              <w:top w:val="nil"/>
              <w:left w:val="nil"/>
              <w:bottom w:val="single" w:sz="4" w:space="0" w:color="auto"/>
              <w:right w:val="single" w:sz="4" w:space="0" w:color="auto"/>
            </w:tcBorders>
            <w:shd w:val="clear" w:color="auto" w:fill="C6EFCE"/>
            <w:noWrap/>
            <w:vAlign w:val="center"/>
            <w:hideMark/>
          </w:tcPr>
          <w:p w14:paraId="6D3DF906"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D8753D0"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hospodářské transformace zemědělství</w:t>
            </w:r>
          </w:p>
        </w:tc>
      </w:tr>
      <w:tr w:rsidR="00515398" w14:paraId="02723968"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9EE9FAD"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315</w:t>
            </w:r>
          </w:p>
        </w:tc>
        <w:tc>
          <w:tcPr>
            <w:tcW w:w="4320" w:type="dxa"/>
            <w:tcBorders>
              <w:top w:val="nil"/>
              <w:left w:val="nil"/>
              <w:bottom w:val="single" w:sz="4" w:space="0" w:color="auto"/>
              <w:right w:val="single" w:sz="4" w:space="0" w:color="auto"/>
            </w:tcBorders>
            <w:shd w:val="clear" w:color="auto" w:fill="C6EFCE"/>
            <w:noWrap/>
            <w:vAlign w:val="center"/>
            <w:hideMark/>
          </w:tcPr>
          <w:p w14:paraId="0270A3B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17–4.6. Modernizace a zlepšení odolnosti klíčových hospodářských odvětví – 16584_Návrhy opatření v odvětví akvakultury</w:t>
            </w:r>
          </w:p>
        </w:tc>
        <w:tc>
          <w:tcPr>
            <w:tcW w:w="1680" w:type="dxa"/>
            <w:tcBorders>
              <w:top w:val="nil"/>
              <w:left w:val="nil"/>
              <w:bottom w:val="single" w:sz="4" w:space="0" w:color="auto"/>
              <w:right w:val="single" w:sz="4" w:space="0" w:color="auto"/>
            </w:tcBorders>
            <w:shd w:val="clear" w:color="auto" w:fill="C6EFCE"/>
            <w:noWrap/>
            <w:vAlign w:val="center"/>
            <w:hideMark/>
          </w:tcPr>
          <w:p w14:paraId="364469BC"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999201F" w14:textId="77777777" w:rsidR="00515398" w:rsidRDefault="006711E6">
            <w:pPr>
              <w:pStyle w:val="P68B1DB1-Normal8"/>
              <w:keepNext/>
              <w:spacing w:before="40" w:after="0" w:line="240" w:lineRule="auto"/>
              <w:jc w:val="both"/>
              <w:rPr>
                <w:rFonts w:eastAsia="Times New Roman" w:cs="Times New Roman"/>
                <w:noProof/>
                <w:szCs w:val="18"/>
              </w:rPr>
            </w:pPr>
            <w:r>
              <w:rPr>
                <w:noProof/>
              </w:rPr>
              <w:t>Akvakultura dokončena</w:t>
            </w:r>
          </w:p>
        </w:tc>
      </w:tr>
      <w:tr w:rsidR="00515398" w14:paraId="2BB7892C"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7310ECD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316</w:t>
            </w:r>
          </w:p>
        </w:tc>
        <w:tc>
          <w:tcPr>
            <w:tcW w:w="4320" w:type="dxa"/>
            <w:tcBorders>
              <w:top w:val="nil"/>
              <w:left w:val="nil"/>
              <w:bottom w:val="single" w:sz="4" w:space="0" w:color="auto"/>
              <w:right w:val="single" w:sz="4" w:space="0" w:color="auto"/>
            </w:tcBorders>
            <w:shd w:val="clear" w:color="auto" w:fill="C6EFCE"/>
            <w:noWrap/>
            <w:vAlign w:val="center"/>
            <w:hideMark/>
          </w:tcPr>
          <w:p w14:paraId="6B5C19A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4–1.4. Ud</w:t>
            </w:r>
            <w:r>
              <w:rPr>
                <w:noProof/>
              </w:rPr>
              <w:t>ržitelné využívání zdrojů, odolnost vůči změně klimatu a ochrana životního prostředí – 16285_Investice do vnitrostátní zavlažovací sítě prostřednictvím programů PPP</w:t>
            </w:r>
          </w:p>
        </w:tc>
        <w:tc>
          <w:tcPr>
            <w:tcW w:w="1680" w:type="dxa"/>
            <w:tcBorders>
              <w:top w:val="nil"/>
              <w:left w:val="nil"/>
              <w:bottom w:val="single" w:sz="4" w:space="0" w:color="auto"/>
              <w:right w:val="single" w:sz="4" w:space="0" w:color="auto"/>
            </w:tcBorders>
            <w:shd w:val="clear" w:color="auto" w:fill="C6EFCE"/>
            <w:noWrap/>
            <w:vAlign w:val="center"/>
            <w:hideMark/>
          </w:tcPr>
          <w:p w14:paraId="47510923"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0AD86C18"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zavlažování</w:t>
            </w:r>
          </w:p>
        </w:tc>
      </w:tr>
      <w:tr w:rsidR="00515398" w14:paraId="0F772915"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B16162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319</w:t>
            </w:r>
          </w:p>
        </w:tc>
        <w:tc>
          <w:tcPr>
            <w:tcW w:w="4320" w:type="dxa"/>
            <w:tcBorders>
              <w:top w:val="nil"/>
              <w:left w:val="nil"/>
              <w:bottom w:val="single" w:sz="4" w:space="0" w:color="auto"/>
              <w:right w:val="single" w:sz="4" w:space="0" w:color="auto"/>
            </w:tcBorders>
            <w:shd w:val="clear" w:color="auto" w:fill="C6EFCE"/>
            <w:noWrap/>
            <w:vAlign w:val="center"/>
            <w:hideMark/>
          </w:tcPr>
          <w:p w14:paraId="595CC6B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18–4.7. Zlepšit konkurenceschopnost a podpořit soukromé </w:t>
            </w:r>
            <w:r>
              <w:rPr>
                <w:noProof/>
              </w:rPr>
              <w:t>investice a vývoz – 16543_Akce ke zjednodušení podnikatelského prostředí a jeho zvýšení kvality a bezpečnosti</w:t>
            </w:r>
          </w:p>
        </w:tc>
        <w:tc>
          <w:tcPr>
            <w:tcW w:w="1680" w:type="dxa"/>
            <w:tcBorders>
              <w:top w:val="nil"/>
              <w:left w:val="nil"/>
              <w:bottom w:val="single" w:sz="4" w:space="0" w:color="auto"/>
              <w:right w:val="single" w:sz="4" w:space="0" w:color="auto"/>
            </w:tcBorders>
            <w:shd w:val="clear" w:color="auto" w:fill="C6EFCE"/>
            <w:noWrap/>
            <w:vAlign w:val="center"/>
            <w:hideMark/>
          </w:tcPr>
          <w:p w14:paraId="57400736"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E618D51" w14:textId="77777777" w:rsidR="00515398" w:rsidRDefault="006711E6">
            <w:pPr>
              <w:pStyle w:val="P68B1DB1-Normal8"/>
              <w:keepNext/>
              <w:spacing w:before="40" w:after="0" w:line="240" w:lineRule="auto"/>
              <w:jc w:val="both"/>
              <w:rPr>
                <w:rFonts w:eastAsia="Times New Roman" w:cs="Times New Roman"/>
                <w:noProof/>
                <w:szCs w:val="18"/>
              </w:rPr>
            </w:pPr>
            <w:r>
              <w:rPr>
                <w:noProof/>
              </w:rPr>
              <w:t>Zlepšení podnikatelského prostředí – udělování licencí a dozor nad trhem</w:t>
            </w:r>
          </w:p>
        </w:tc>
      </w:tr>
      <w:tr w:rsidR="00515398" w14:paraId="1A7D2280"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696FB72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259</w:t>
            </w:r>
          </w:p>
        </w:tc>
        <w:tc>
          <w:tcPr>
            <w:tcW w:w="4320" w:type="dxa"/>
            <w:tcBorders>
              <w:top w:val="nil"/>
              <w:left w:val="nil"/>
              <w:bottom w:val="single" w:sz="4" w:space="0" w:color="auto"/>
              <w:right w:val="single" w:sz="4" w:space="0" w:color="auto"/>
            </w:tcBorders>
            <w:shd w:val="clear" w:color="auto" w:fill="C6EFCE"/>
            <w:noWrap/>
            <w:vAlign w:val="center"/>
            <w:hideMark/>
          </w:tcPr>
          <w:p w14:paraId="7DD18F8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17–4.6. Modernizace a zlepšení odolnosti klíčových hospodářs</w:t>
            </w:r>
            <w:r>
              <w:rPr>
                <w:noProof/>
              </w:rPr>
              <w:t>kých odvětví – 16631_Zlepšení bezpečnosti silničního provozu</w:t>
            </w:r>
          </w:p>
        </w:tc>
        <w:tc>
          <w:tcPr>
            <w:tcW w:w="1680" w:type="dxa"/>
            <w:tcBorders>
              <w:top w:val="nil"/>
              <w:left w:val="nil"/>
              <w:bottom w:val="single" w:sz="4" w:space="0" w:color="auto"/>
              <w:right w:val="single" w:sz="4" w:space="0" w:color="auto"/>
            </w:tcBorders>
            <w:shd w:val="clear" w:color="auto" w:fill="C6EFCE"/>
            <w:noWrap/>
            <w:vAlign w:val="center"/>
            <w:hideMark/>
          </w:tcPr>
          <w:p w14:paraId="6B7B473D" w14:textId="77777777" w:rsidR="00515398" w:rsidRDefault="006711E6">
            <w:pPr>
              <w:pStyle w:val="P68B1DB1-Normal8"/>
              <w:keepNext/>
              <w:spacing w:before="40" w:after="0" w:line="240" w:lineRule="auto"/>
              <w:jc w:val="both"/>
              <w:rPr>
                <w:rFonts w:eastAsia="Times New Roman"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7368E744" w14:textId="77777777" w:rsidR="00515398" w:rsidRDefault="006711E6">
            <w:pPr>
              <w:pStyle w:val="P68B1DB1-Normal8"/>
              <w:keepNext/>
              <w:spacing w:before="40" w:after="0" w:line="240" w:lineRule="auto"/>
              <w:jc w:val="both"/>
              <w:rPr>
                <w:rFonts w:eastAsia="Times New Roman" w:cs="Times New Roman"/>
                <w:noProof/>
                <w:szCs w:val="18"/>
              </w:rPr>
            </w:pPr>
            <w:r>
              <w:rPr>
                <w:noProof/>
              </w:rPr>
              <w:t>Dokončení projektu bezpečnosti silničního provozu</w:t>
            </w:r>
          </w:p>
        </w:tc>
      </w:tr>
      <w:tr w:rsidR="00515398" w14:paraId="0D2501ED"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4DA159A6" w14:textId="77777777" w:rsidR="00515398" w:rsidRDefault="006711E6">
            <w:pPr>
              <w:pStyle w:val="P68B1DB1-Normal8"/>
              <w:keepNext/>
              <w:spacing w:before="40" w:after="0" w:line="240" w:lineRule="auto"/>
              <w:jc w:val="both"/>
              <w:rPr>
                <w:rFonts w:cs="Times New Roman"/>
                <w:noProof/>
                <w:szCs w:val="18"/>
              </w:rPr>
            </w:pPr>
            <w:r>
              <w:rPr>
                <w:noProof/>
              </w:rPr>
              <w:t>346</w:t>
            </w:r>
          </w:p>
        </w:tc>
        <w:tc>
          <w:tcPr>
            <w:tcW w:w="4320" w:type="dxa"/>
            <w:tcBorders>
              <w:top w:val="nil"/>
              <w:left w:val="nil"/>
              <w:bottom w:val="single" w:sz="4" w:space="0" w:color="auto"/>
              <w:right w:val="single" w:sz="4" w:space="0" w:color="auto"/>
            </w:tcBorders>
            <w:shd w:val="clear" w:color="auto" w:fill="C6EFCE"/>
            <w:noWrap/>
            <w:vAlign w:val="center"/>
            <w:hideMark/>
          </w:tcPr>
          <w:p w14:paraId="41F90448" w14:textId="77777777" w:rsidR="00515398" w:rsidRDefault="006711E6">
            <w:pPr>
              <w:pStyle w:val="P68B1DB1-Normal8"/>
              <w:keepNext/>
              <w:spacing w:before="40" w:after="0" w:line="240" w:lineRule="auto"/>
              <w:jc w:val="both"/>
              <w:rPr>
                <w:rFonts w:cs="Times New Roman"/>
                <w:noProof/>
                <w:szCs w:val="18"/>
              </w:rPr>
            </w:pPr>
            <w:r>
              <w:rPr>
                <w:noProof/>
              </w:rPr>
              <w:t>16–4.5. Podporovat výzkum a inovace – 16622_HORIZON 2020 „pečeť excelence“: financování špičkových inovativních společností</w:t>
            </w:r>
          </w:p>
        </w:tc>
        <w:tc>
          <w:tcPr>
            <w:tcW w:w="1680" w:type="dxa"/>
            <w:tcBorders>
              <w:top w:val="nil"/>
              <w:left w:val="nil"/>
              <w:bottom w:val="single" w:sz="4" w:space="0" w:color="auto"/>
              <w:right w:val="single" w:sz="4" w:space="0" w:color="auto"/>
            </w:tcBorders>
            <w:shd w:val="clear" w:color="auto" w:fill="C6EFCE"/>
            <w:noWrap/>
            <w:vAlign w:val="center"/>
            <w:hideMark/>
          </w:tcPr>
          <w:p w14:paraId="092602DF"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248C7C8" w14:textId="77777777" w:rsidR="00515398" w:rsidRDefault="006711E6">
            <w:pPr>
              <w:pStyle w:val="P68B1DB1-Normal8"/>
              <w:keepNext/>
              <w:spacing w:before="40" w:after="0" w:line="240" w:lineRule="auto"/>
              <w:jc w:val="both"/>
              <w:rPr>
                <w:rFonts w:cs="Times New Roman"/>
                <w:noProof/>
                <w:szCs w:val="18"/>
              </w:rPr>
            </w:pPr>
            <w:r>
              <w:rPr>
                <w:noProof/>
              </w:rPr>
              <w:t>Dokončení projektů prováděných malými a středními podniky</w:t>
            </w:r>
          </w:p>
        </w:tc>
      </w:tr>
      <w:tr w:rsidR="00515398" w14:paraId="02B35A03"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5FC79266" w14:textId="77777777" w:rsidR="00515398" w:rsidRDefault="006711E6">
            <w:pPr>
              <w:pStyle w:val="P68B1DB1-Normal8"/>
              <w:keepNext/>
              <w:spacing w:before="40" w:after="0" w:line="240" w:lineRule="auto"/>
              <w:jc w:val="both"/>
              <w:rPr>
                <w:rFonts w:cs="Times New Roman"/>
                <w:noProof/>
                <w:szCs w:val="18"/>
              </w:rPr>
            </w:pPr>
            <w:r>
              <w:rPr>
                <w:noProof/>
              </w:rPr>
              <w:t>349</w:t>
            </w:r>
          </w:p>
        </w:tc>
        <w:tc>
          <w:tcPr>
            <w:tcW w:w="4320" w:type="dxa"/>
            <w:tcBorders>
              <w:top w:val="nil"/>
              <w:left w:val="nil"/>
              <w:bottom w:val="single" w:sz="4" w:space="0" w:color="auto"/>
              <w:right w:val="single" w:sz="4" w:space="0" w:color="auto"/>
            </w:tcBorders>
            <w:shd w:val="clear" w:color="auto" w:fill="C6EFCE"/>
            <w:noWrap/>
            <w:vAlign w:val="center"/>
            <w:hideMark/>
          </w:tcPr>
          <w:p w14:paraId="064840D4" w14:textId="77777777" w:rsidR="00515398" w:rsidRDefault="006711E6">
            <w:pPr>
              <w:pStyle w:val="P68B1DB1-Normal8"/>
              <w:keepNext/>
              <w:spacing w:before="40" w:after="0" w:line="240" w:lineRule="auto"/>
              <w:jc w:val="both"/>
              <w:rPr>
                <w:rFonts w:cs="Times New Roman"/>
                <w:noProof/>
                <w:szCs w:val="18"/>
              </w:rPr>
            </w:pPr>
            <w:r>
              <w:rPr>
                <w:noProof/>
              </w:rPr>
              <w:t>4.6. Modernizace a zlepšení odolnosti klíčových hospodářských odvětví – 16999_Obnova přístupnosti v návaznosti na ničivé dopady bouře „DANIEL“</w:t>
            </w:r>
          </w:p>
        </w:tc>
        <w:tc>
          <w:tcPr>
            <w:tcW w:w="1680" w:type="dxa"/>
            <w:tcBorders>
              <w:top w:val="nil"/>
              <w:left w:val="nil"/>
              <w:bottom w:val="single" w:sz="4" w:space="0" w:color="auto"/>
              <w:right w:val="single" w:sz="4" w:space="0" w:color="auto"/>
            </w:tcBorders>
            <w:shd w:val="clear" w:color="auto" w:fill="C6EFCE"/>
            <w:noWrap/>
            <w:vAlign w:val="center"/>
            <w:hideMark/>
          </w:tcPr>
          <w:p w14:paraId="1CEBBC77"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1AA9E498" w14:textId="77777777" w:rsidR="00515398" w:rsidRDefault="006711E6">
            <w:pPr>
              <w:pStyle w:val="P68B1DB1-Normal8"/>
              <w:keepNext/>
              <w:spacing w:before="40" w:after="0" w:line="240" w:lineRule="auto"/>
              <w:jc w:val="both"/>
              <w:rPr>
                <w:rFonts w:cs="Times New Roman"/>
                <w:noProof/>
                <w:szCs w:val="18"/>
              </w:rPr>
            </w:pPr>
            <w:r>
              <w:rPr>
                <w:noProof/>
              </w:rPr>
              <w:t>Dokončeny projekty obnovy silnic</w:t>
            </w:r>
          </w:p>
        </w:tc>
      </w:tr>
      <w:tr w:rsidR="00515398" w14:paraId="2CE4FB1A" w14:textId="77777777">
        <w:trPr>
          <w:trHeight w:val="302"/>
        </w:trPr>
        <w:tc>
          <w:tcPr>
            <w:tcW w:w="1795" w:type="dxa"/>
            <w:tcBorders>
              <w:top w:val="nil"/>
              <w:left w:val="single" w:sz="4" w:space="0" w:color="auto"/>
              <w:bottom w:val="single" w:sz="4" w:space="0" w:color="auto"/>
              <w:right w:val="single" w:sz="4" w:space="0" w:color="auto"/>
            </w:tcBorders>
            <w:shd w:val="clear" w:color="auto" w:fill="C6EFCE"/>
            <w:noWrap/>
            <w:vAlign w:val="center"/>
            <w:hideMark/>
          </w:tcPr>
          <w:p w14:paraId="3590E0CF" w14:textId="77777777" w:rsidR="00515398" w:rsidRDefault="006711E6">
            <w:pPr>
              <w:pStyle w:val="P68B1DB1-Normal8"/>
              <w:keepNext/>
              <w:spacing w:before="40" w:after="0" w:line="240" w:lineRule="auto"/>
              <w:jc w:val="both"/>
              <w:rPr>
                <w:rFonts w:cs="Times New Roman"/>
                <w:noProof/>
                <w:szCs w:val="18"/>
              </w:rPr>
            </w:pPr>
            <w:r>
              <w:rPr>
                <w:noProof/>
              </w:rPr>
              <w:t>350</w:t>
            </w:r>
          </w:p>
        </w:tc>
        <w:tc>
          <w:tcPr>
            <w:tcW w:w="4320" w:type="dxa"/>
            <w:tcBorders>
              <w:top w:val="nil"/>
              <w:left w:val="nil"/>
              <w:bottom w:val="single" w:sz="4" w:space="0" w:color="auto"/>
              <w:right w:val="single" w:sz="4" w:space="0" w:color="auto"/>
            </w:tcBorders>
            <w:shd w:val="clear" w:color="auto" w:fill="C6EFCE"/>
            <w:noWrap/>
            <w:vAlign w:val="center"/>
            <w:hideMark/>
          </w:tcPr>
          <w:p w14:paraId="120D3621" w14:textId="77777777" w:rsidR="00515398" w:rsidRDefault="006711E6">
            <w:pPr>
              <w:pStyle w:val="P68B1DB1-Normal8"/>
              <w:keepNext/>
              <w:spacing w:before="40" w:after="0" w:line="240" w:lineRule="auto"/>
              <w:jc w:val="both"/>
              <w:rPr>
                <w:rFonts w:cs="Times New Roman"/>
                <w:noProof/>
                <w:szCs w:val="18"/>
              </w:rPr>
            </w:pPr>
            <w:r>
              <w:rPr>
                <w:noProof/>
              </w:rPr>
              <w:t xml:space="preserve">4.6. </w:t>
            </w:r>
            <w:r>
              <w:rPr>
                <w:noProof/>
              </w:rPr>
              <w:t>Modernizace a zlepšení odolnosti klíčových hospodářských odvětví – 16999_Obnova přístupnosti v návaznosti na ničivé dopady bouře „DANIEL“</w:t>
            </w:r>
          </w:p>
        </w:tc>
        <w:tc>
          <w:tcPr>
            <w:tcW w:w="1680" w:type="dxa"/>
            <w:tcBorders>
              <w:top w:val="nil"/>
              <w:left w:val="nil"/>
              <w:bottom w:val="single" w:sz="4" w:space="0" w:color="auto"/>
              <w:right w:val="single" w:sz="4" w:space="0" w:color="auto"/>
            </w:tcBorders>
            <w:shd w:val="clear" w:color="auto" w:fill="C6EFCE"/>
            <w:noWrap/>
            <w:vAlign w:val="center"/>
            <w:hideMark/>
          </w:tcPr>
          <w:p w14:paraId="1FE23AB3"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2280" w:type="dxa"/>
            <w:tcBorders>
              <w:top w:val="nil"/>
              <w:left w:val="nil"/>
              <w:bottom w:val="single" w:sz="4" w:space="0" w:color="auto"/>
              <w:right w:val="single" w:sz="4" w:space="0" w:color="auto"/>
            </w:tcBorders>
            <w:shd w:val="clear" w:color="auto" w:fill="C6EFCE"/>
            <w:noWrap/>
            <w:vAlign w:val="center"/>
            <w:hideMark/>
          </w:tcPr>
          <w:p w14:paraId="44F2AD09" w14:textId="77777777" w:rsidR="00515398" w:rsidRDefault="006711E6">
            <w:pPr>
              <w:pStyle w:val="P68B1DB1-Normal8"/>
              <w:keepNext/>
              <w:spacing w:before="40" w:after="0" w:line="240" w:lineRule="auto"/>
              <w:jc w:val="both"/>
              <w:rPr>
                <w:rFonts w:cs="Times New Roman"/>
                <w:noProof/>
                <w:szCs w:val="18"/>
              </w:rPr>
            </w:pPr>
            <w:r>
              <w:rPr>
                <w:noProof/>
              </w:rPr>
              <w:t>Dokončení projektů obnovy železnic</w:t>
            </w:r>
          </w:p>
        </w:tc>
      </w:tr>
      <w:tr w:rsidR="00515398" w14:paraId="46AA4709"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6781DD33" w14:textId="77777777" w:rsidR="00515398" w:rsidRDefault="006711E6">
            <w:pPr>
              <w:pStyle w:val="P68B1DB1-Normal8"/>
              <w:keepNext/>
              <w:spacing w:before="40" w:after="0" w:line="256" w:lineRule="auto"/>
              <w:jc w:val="both"/>
              <w:rPr>
                <w:rFonts w:eastAsia="Times New Roman" w:cs="Times New Roman"/>
                <w:bCs/>
                <w:noProof/>
                <w:szCs w:val="18"/>
              </w:rPr>
            </w:pPr>
            <w:r>
              <w:rPr>
                <w:noProof/>
              </w:rPr>
              <w:t>360</w:t>
            </w:r>
          </w:p>
        </w:tc>
        <w:tc>
          <w:tcPr>
            <w:tcW w:w="4320" w:type="dxa"/>
            <w:tcBorders>
              <w:top w:val="single" w:sz="4" w:space="0" w:color="auto"/>
              <w:left w:val="nil"/>
              <w:bottom w:val="single" w:sz="4" w:space="0" w:color="auto"/>
              <w:right w:val="single" w:sz="4" w:space="0" w:color="auto"/>
            </w:tcBorders>
            <w:shd w:val="clear" w:color="auto" w:fill="C6EFCE"/>
            <w:noWrap/>
            <w:hideMark/>
          </w:tcPr>
          <w:p w14:paraId="7C0FD5AD" w14:textId="77777777" w:rsidR="00515398" w:rsidRDefault="006711E6">
            <w:pPr>
              <w:pStyle w:val="P68B1DB1-Normal8"/>
              <w:keepNext/>
              <w:spacing w:before="40" w:after="0" w:line="256" w:lineRule="auto"/>
              <w:jc w:val="both"/>
              <w:rPr>
                <w:rFonts w:eastAsia="Times New Roman" w:cs="Times New Roman"/>
                <w:bCs/>
                <w:noProof/>
                <w:szCs w:val="18"/>
              </w:rPr>
            </w:pPr>
            <w:r>
              <w:rPr>
                <w:noProof/>
              </w:rPr>
              <w:t xml:space="preserve">20–5.1. Reformy REPowerEU – 16991_Regulační rámec pro vytvoření </w:t>
            </w:r>
            <w:r>
              <w:rPr>
                <w:noProof/>
              </w:rPr>
              <w:t>inteligentní sítě</w:t>
            </w:r>
          </w:p>
        </w:tc>
        <w:tc>
          <w:tcPr>
            <w:tcW w:w="1680" w:type="dxa"/>
            <w:tcBorders>
              <w:top w:val="single" w:sz="4" w:space="0" w:color="auto"/>
              <w:left w:val="nil"/>
              <w:bottom w:val="single" w:sz="4" w:space="0" w:color="auto"/>
              <w:right w:val="single" w:sz="4" w:space="0" w:color="auto"/>
            </w:tcBorders>
            <w:shd w:val="clear" w:color="auto" w:fill="C6EFCE"/>
            <w:noWrap/>
            <w:hideMark/>
          </w:tcPr>
          <w:p w14:paraId="06853A1F" w14:textId="77777777" w:rsidR="00515398" w:rsidRDefault="006711E6">
            <w:pPr>
              <w:pStyle w:val="P68B1DB1-Normal8"/>
              <w:keepNext/>
              <w:spacing w:before="40" w:after="0" w:line="256" w:lineRule="auto"/>
              <w:jc w:val="both"/>
              <w:rPr>
                <w:rFonts w:eastAsia="Times New Roman" w:cs="Times New Roman"/>
                <w:noProof/>
                <w:szCs w:val="18"/>
              </w:rPr>
            </w:pPr>
            <w:r>
              <w:rPr>
                <w:noProof/>
              </w:rPr>
              <w:t>Milník</w:t>
            </w:r>
          </w:p>
        </w:tc>
        <w:tc>
          <w:tcPr>
            <w:tcW w:w="2280" w:type="dxa"/>
            <w:tcBorders>
              <w:top w:val="single" w:sz="4" w:space="0" w:color="auto"/>
              <w:left w:val="nil"/>
              <w:bottom w:val="single" w:sz="4" w:space="0" w:color="auto"/>
              <w:right w:val="single" w:sz="4" w:space="0" w:color="auto"/>
            </w:tcBorders>
            <w:shd w:val="clear" w:color="auto" w:fill="C6EFCE"/>
            <w:noWrap/>
            <w:hideMark/>
          </w:tcPr>
          <w:p w14:paraId="40137CDF" w14:textId="77777777" w:rsidR="00515398" w:rsidRDefault="006711E6">
            <w:pPr>
              <w:pStyle w:val="P68B1DB1-Normal8"/>
              <w:keepNext/>
              <w:spacing w:before="40" w:after="0" w:line="256" w:lineRule="auto"/>
              <w:jc w:val="both"/>
              <w:rPr>
                <w:rFonts w:eastAsia="Times New Roman" w:cs="Times New Roman"/>
                <w:noProof/>
                <w:szCs w:val="18"/>
              </w:rPr>
            </w:pPr>
            <w:r>
              <w:rPr>
                <w:noProof/>
              </w:rPr>
              <w:t>Vývoj střediska pro kontrolu provozovatele distribuční soustavy</w:t>
            </w:r>
          </w:p>
        </w:tc>
      </w:tr>
      <w:tr w:rsidR="00515398" w14:paraId="1E40AA15"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0D73FDD0" w14:textId="77777777" w:rsidR="00515398" w:rsidRDefault="006711E6">
            <w:pPr>
              <w:pStyle w:val="P68B1DB1-Normal8"/>
              <w:keepNext/>
              <w:spacing w:before="40" w:after="0" w:line="256" w:lineRule="auto"/>
              <w:jc w:val="both"/>
              <w:rPr>
                <w:rFonts w:eastAsia="Times New Roman" w:cs="Times New Roman"/>
                <w:bCs/>
                <w:noProof/>
                <w:szCs w:val="18"/>
              </w:rPr>
            </w:pPr>
            <w:r>
              <w:rPr>
                <w:noProof/>
              </w:rPr>
              <w:t>366</w:t>
            </w:r>
          </w:p>
        </w:tc>
        <w:tc>
          <w:tcPr>
            <w:tcW w:w="4320" w:type="dxa"/>
            <w:tcBorders>
              <w:top w:val="single" w:sz="4" w:space="0" w:color="auto"/>
              <w:left w:val="nil"/>
              <w:bottom w:val="single" w:sz="4" w:space="0" w:color="auto"/>
              <w:right w:val="single" w:sz="4" w:space="0" w:color="auto"/>
            </w:tcBorders>
            <w:shd w:val="clear" w:color="auto" w:fill="C6EFCE"/>
            <w:noWrap/>
            <w:hideMark/>
          </w:tcPr>
          <w:p w14:paraId="35DCCA5D" w14:textId="77777777" w:rsidR="00515398" w:rsidRDefault="006711E6">
            <w:pPr>
              <w:pStyle w:val="P68B1DB1-Normal8"/>
              <w:keepNext/>
              <w:spacing w:before="40" w:after="0" w:line="256" w:lineRule="auto"/>
              <w:jc w:val="both"/>
              <w:rPr>
                <w:rFonts w:eastAsia="Times New Roman" w:cs="Times New Roman"/>
                <w:bCs/>
                <w:noProof/>
                <w:szCs w:val="18"/>
              </w:rPr>
            </w:pPr>
            <w:r>
              <w:rPr>
                <w:noProof/>
              </w:rPr>
              <w:t>21–5.2 Investice REPowerEU – 16996_Instalace skladování energie pro další rozšíření obnovitelných zdrojů energie</w:t>
            </w:r>
          </w:p>
        </w:tc>
        <w:tc>
          <w:tcPr>
            <w:tcW w:w="1680" w:type="dxa"/>
            <w:tcBorders>
              <w:top w:val="single" w:sz="4" w:space="0" w:color="auto"/>
              <w:left w:val="nil"/>
              <w:bottom w:val="single" w:sz="4" w:space="0" w:color="auto"/>
              <w:right w:val="single" w:sz="4" w:space="0" w:color="auto"/>
            </w:tcBorders>
            <w:shd w:val="clear" w:color="auto" w:fill="C6EFCE"/>
            <w:noWrap/>
            <w:hideMark/>
          </w:tcPr>
          <w:p w14:paraId="724C154B" w14:textId="77777777" w:rsidR="00515398" w:rsidRDefault="006711E6">
            <w:pPr>
              <w:pStyle w:val="P68B1DB1-Normal8"/>
              <w:keepNext/>
              <w:spacing w:before="40" w:after="0" w:line="256" w:lineRule="auto"/>
              <w:jc w:val="both"/>
              <w:rPr>
                <w:rFonts w:eastAsia="Times New Roman" w:cs="Times New Roman"/>
                <w:noProof/>
                <w:szCs w:val="18"/>
              </w:rPr>
            </w:pPr>
            <w:r>
              <w:rPr>
                <w:noProof/>
              </w:rPr>
              <w:t>Milník</w:t>
            </w:r>
          </w:p>
        </w:tc>
        <w:tc>
          <w:tcPr>
            <w:tcW w:w="2280" w:type="dxa"/>
            <w:tcBorders>
              <w:top w:val="single" w:sz="4" w:space="0" w:color="auto"/>
              <w:left w:val="nil"/>
              <w:bottom w:val="single" w:sz="4" w:space="0" w:color="auto"/>
              <w:right w:val="single" w:sz="4" w:space="0" w:color="auto"/>
            </w:tcBorders>
            <w:shd w:val="clear" w:color="auto" w:fill="C6EFCE"/>
            <w:noWrap/>
            <w:hideMark/>
          </w:tcPr>
          <w:p w14:paraId="6BD9D155" w14:textId="647E0D5E" w:rsidR="00515398" w:rsidRDefault="006711E6">
            <w:pPr>
              <w:pStyle w:val="P68B1DB1-Normal8"/>
              <w:keepNext/>
              <w:spacing w:before="40" w:after="0" w:line="256" w:lineRule="auto"/>
              <w:jc w:val="both"/>
              <w:rPr>
                <w:rFonts w:eastAsia="Times New Roman" w:cs="Times New Roman"/>
                <w:noProof/>
                <w:szCs w:val="18"/>
              </w:rPr>
            </w:pPr>
            <w:r>
              <w:rPr>
                <w:noProof/>
              </w:rPr>
              <w:t>Dokončení instalace skladovacích zařízení</w:t>
            </w:r>
          </w:p>
        </w:tc>
      </w:tr>
      <w:tr w:rsidR="00515398" w14:paraId="5207ADD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31C9B960" w14:textId="77777777" w:rsidR="00515398" w:rsidRDefault="006711E6">
            <w:pPr>
              <w:pStyle w:val="P68B1DB1-Normal8"/>
              <w:keepNext/>
              <w:spacing w:before="40" w:after="0" w:line="256" w:lineRule="auto"/>
              <w:jc w:val="both"/>
              <w:rPr>
                <w:rFonts w:eastAsia="Times New Roman" w:cs="Times New Roman"/>
                <w:bCs/>
                <w:noProof/>
                <w:szCs w:val="18"/>
              </w:rPr>
            </w:pPr>
            <w:r>
              <w:rPr>
                <w:noProof/>
              </w:rPr>
              <w:t>369</w:t>
            </w:r>
          </w:p>
        </w:tc>
        <w:tc>
          <w:tcPr>
            <w:tcW w:w="4320" w:type="dxa"/>
            <w:tcBorders>
              <w:top w:val="single" w:sz="4" w:space="0" w:color="auto"/>
              <w:left w:val="nil"/>
              <w:bottom w:val="single" w:sz="4" w:space="0" w:color="auto"/>
              <w:right w:val="single" w:sz="4" w:space="0" w:color="auto"/>
            </w:tcBorders>
            <w:shd w:val="clear" w:color="auto" w:fill="C6EFCE"/>
            <w:noWrap/>
            <w:hideMark/>
          </w:tcPr>
          <w:p w14:paraId="22D9783C" w14:textId="77777777" w:rsidR="00515398" w:rsidRDefault="006711E6">
            <w:pPr>
              <w:pStyle w:val="P68B1DB1-Normal8"/>
              <w:keepNext/>
              <w:spacing w:before="40" w:after="0" w:line="256" w:lineRule="auto"/>
              <w:jc w:val="both"/>
              <w:rPr>
                <w:rFonts w:eastAsia="Times New Roman" w:cs="Times New Roman"/>
                <w:bCs/>
                <w:noProof/>
                <w:szCs w:val="18"/>
              </w:rPr>
            </w:pPr>
            <w:r>
              <w:rPr>
                <w:noProof/>
              </w:rPr>
              <w:t>21–5.2 Investice REPowerEU – 16994_Energetická účinnost a podpora obnovitelných zdrojů energie pro vlastní spotřebu</w:t>
            </w:r>
          </w:p>
        </w:tc>
        <w:tc>
          <w:tcPr>
            <w:tcW w:w="1680" w:type="dxa"/>
            <w:tcBorders>
              <w:top w:val="single" w:sz="4" w:space="0" w:color="auto"/>
              <w:left w:val="nil"/>
              <w:bottom w:val="single" w:sz="4" w:space="0" w:color="auto"/>
              <w:right w:val="single" w:sz="4" w:space="0" w:color="auto"/>
            </w:tcBorders>
            <w:shd w:val="clear" w:color="auto" w:fill="C6EFCE"/>
            <w:noWrap/>
            <w:hideMark/>
          </w:tcPr>
          <w:p w14:paraId="0BE65FE8" w14:textId="77777777" w:rsidR="00515398" w:rsidRDefault="006711E6">
            <w:pPr>
              <w:pStyle w:val="P68B1DB1-Normal8"/>
              <w:keepNext/>
              <w:spacing w:before="40" w:after="0" w:line="256" w:lineRule="auto"/>
              <w:jc w:val="both"/>
              <w:rPr>
                <w:rFonts w:eastAsia="Times New Roman" w:cs="Times New Roman"/>
                <w:noProof/>
                <w:szCs w:val="18"/>
              </w:rPr>
            </w:pPr>
            <w:r>
              <w:rPr>
                <w:noProof/>
              </w:rPr>
              <w:t>Cílová</w:t>
            </w:r>
          </w:p>
        </w:tc>
        <w:tc>
          <w:tcPr>
            <w:tcW w:w="2280" w:type="dxa"/>
            <w:tcBorders>
              <w:top w:val="single" w:sz="4" w:space="0" w:color="auto"/>
              <w:left w:val="nil"/>
              <w:bottom w:val="single" w:sz="4" w:space="0" w:color="auto"/>
              <w:right w:val="single" w:sz="4" w:space="0" w:color="auto"/>
            </w:tcBorders>
            <w:shd w:val="clear" w:color="auto" w:fill="C6EFCE"/>
            <w:noWrap/>
            <w:hideMark/>
          </w:tcPr>
          <w:p w14:paraId="1FF9ED0C" w14:textId="77777777" w:rsidR="00515398" w:rsidRDefault="006711E6">
            <w:pPr>
              <w:pStyle w:val="P68B1DB1-Normal8"/>
              <w:keepNext/>
              <w:spacing w:before="40" w:after="0" w:line="256" w:lineRule="auto"/>
              <w:jc w:val="both"/>
              <w:rPr>
                <w:rFonts w:eastAsia="Times New Roman" w:cs="Times New Roman"/>
                <w:noProof/>
                <w:szCs w:val="18"/>
              </w:rPr>
            </w:pPr>
            <w:r>
              <w:rPr>
                <w:noProof/>
              </w:rPr>
              <w:t>Dokončení dílčích investic do renovace energetické účinnosti, solárních ohřívačů vody a komunálních vodohospodářských a kanaliza</w:t>
            </w:r>
            <w:r>
              <w:rPr>
                <w:noProof/>
              </w:rPr>
              <w:t>čních společností</w:t>
            </w:r>
          </w:p>
        </w:tc>
      </w:tr>
      <w:tr w:rsidR="00515398" w14:paraId="49EEC900"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hideMark/>
          </w:tcPr>
          <w:p w14:paraId="0BA3F735" w14:textId="77777777" w:rsidR="00515398" w:rsidRDefault="006711E6">
            <w:pPr>
              <w:pStyle w:val="P68B1DB1-Normal8"/>
              <w:keepNext/>
              <w:spacing w:before="40" w:after="0" w:line="256" w:lineRule="auto"/>
              <w:jc w:val="both"/>
              <w:rPr>
                <w:rFonts w:eastAsia="Times New Roman" w:cs="Times New Roman"/>
                <w:bCs/>
                <w:noProof/>
                <w:szCs w:val="18"/>
              </w:rPr>
            </w:pPr>
            <w:r>
              <w:rPr>
                <w:noProof/>
              </w:rPr>
              <w:t>371</w:t>
            </w:r>
          </w:p>
        </w:tc>
        <w:tc>
          <w:tcPr>
            <w:tcW w:w="4320" w:type="dxa"/>
            <w:tcBorders>
              <w:top w:val="single" w:sz="4" w:space="0" w:color="auto"/>
              <w:left w:val="nil"/>
              <w:bottom w:val="single" w:sz="4" w:space="0" w:color="auto"/>
              <w:right w:val="single" w:sz="4" w:space="0" w:color="auto"/>
            </w:tcBorders>
            <w:shd w:val="clear" w:color="auto" w:fill="C6EFCE"/>
            <w:noWrap/>
            <w:hideMark/>
          </w:tcPr>
          <w:p w14:paraId="2C4F5C49" w14:textId="5A7B9DFD" w:rsidR="00515398" w:rsidRDefault="006711E6">
            <w:pPr>
              <w:keepNext/>
              <w:spacing w:before="40" w:after="0" w:line="256" w:lineRule="auto"/>
              <w:jc w:val="both"/>
              <w:rPr>
                <w:rFonts w:ascii="Times New Roman" w:eastAsia="Times New Roman" w:hAnsi="Times New Roman" w:cs="Times New Roman"/>
                <w:bCs/>
                <w:noProof/>
                <w:sz w:val="18"/>
                <w:szCs w:val="18"/>
              </w:rPr>
            </w:pPr>
            <w:r>
              <w:rPr>
                <w:rFonts w:ascii="Times New Roman" w:hAnsi="Times New Roman"/>
                <w:noProof/>
                <w:sz w:val="18"/>
              </w:rPr>
              <w:t>21–5.2 Investice REPowerEU – 16995_</w:t>
            </w:r>
            <w:r>
              <w:rPr>
                <w:noProof/>
              </w:rPr>
              <w:t xml:space="preserve"> </w:t>
            </w:r>
            <w:r>
              <w:rPr>
                <w:rFonts w:ascii="Times New Roman" w:hAnsi="Times New Roman"/>
                <w:noProof/>
                <w:sz w:val="18"/>
              </w:rPr>
              <w:t>Projekt výroby vodíku z obnovitelných zdrojů</w:t>
            </w:r>
          </w:p>
        </w:tc>
        <w:tc>
          <w:tcPr>
            <w:tcW w:w="1680" w:type="dxa"/>
            <w:tcBorders>
              <w:top w:val="single" w:sz="4" w:space="0" w:color="auto"/>
              <w:left w:val="nil"/>
              <w:bottom w:val="single" w:sz="4" w:space="0" w:color="auto"/>
              <w:right w:val="single" w:sz="4" w:space="0" w:color="auto"/>
            </w:tcBorders>
            <w:shd w:val="clear" w:color="auto" w:fill="C6EFCE"/>
            <w:noWrap/>
            <w:hideMark/>
          </w:tcPr>
          <w:p w14:paraId="7B94208D" w14:textId="77777777" w:rsidR="00515398" w:rsidRDefault="006711E6">
            <w:pPr>
              <w:pStyle w:val="P68B1DB1-Normal8"/>
              <w:keepNext/>
              <w:spacing w:before="40" w:after="0" w:line="256" w:lineRule="auto"/>
              <w:jc w:val="both"/>
              <w:rPr>
                <w:rFonts w:eastAsia="Times New Roman" w:cs="Times New Roman"/>
                <w:noProof/>
                <w:szCs w:val="18"/>
              </w:rPr>
            </w:pPr>
            <w:r>
              <w:rPr>
                <w:noProof/>
              </w:rPr>
              <w:t>Cílová</w:t>
            </w:r>
          </w:p>
        </w:tc>
        <w:tc>
          <w:tcPr>
            <w:tcW w:w="2280" w:type="dxa"/>
            <w:tcBorders>
              <w:top w:val="single" w:sz="4" w:space="0" w:color="auto"/>
              <w:left w:val="nil"/>
              <w:bottom w:val="single" w:sz="4" w:space="0" w:color="auto"/>
              <w:right w:val="single" w:sz="4" w:space="0" w:color="auto"/>
            </w:tcBorders>
            <w:shd w:val="clear" w:color="auto" w:fill="C6EFCE"/>
            <w:noWrap/>
            <w:hideMark/>
          </w:tcPr>
          <w:p w14:paraId="7CB1BEB9" w14:textId="5368DCDC" w:rsidR="00515398" w:rsidRDefault="006711E6">
            <w:pPr>
              <w:pStyle w:val="P68B1DB1-Normal8"/>
              <w:keepNext/>
              <w:spacing w:before="40" w:after="0" w:line="256" w:lineRule="auto"/>
              <w:jc w:val="both"/>
              <w:rPr>
                <w:rFonts w:eastAsia="Times New Roman" w:cs="Times New Roman"/>
                <w:noProof/>
                <w:szCs w:val="18"/>
              </w:rPr>
            </w:pPr>
            <w:r>
              <w:rPr>
                <w:noProof/>
              </w:rPr>
              <w:t>Dodatečná kapacita pro výrobu vodíku z obnovitelných zdrojů</w:t>
            </w:r>
          </w:p>
        </w:tc>
      </w:tr>
      <w:tr w:rsidR="00515398" w14:paraId="4220C52A" w14:textId="77777777">
        <w:trPr>
          <w:trHeight w:val="302"/>
        </w:trPr>
        <w:tc>
          <w:tcPr>
            <w:tcW w:w="1795"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FFC602D" w14:textId="77777777" w:rsidR="00515398" w:rsidRDefault="00515398">
            <w:pPr>
              <w:keepNext/>
              <w:spacing w:before="40" w:after="0" w:line="256" w:lineRule="auto"/>
              <w:jc w:val="both"/>
              <w:rPr>
                <w:rFonts w:ascii="Times New Roman" w:eastAsia="Times New Roman" w:hAnsi="Times New Roman" w:cs="Times New Roman"/>
                <w:bCs/>
                <w:noProof/>
                <w:sz w:val="18"/>
                <w:szCs w:val="18"/>
              </w:rPr>
            </w:pPr>
          </w:p>
        </w:tc>
        <w:tc>
          <w:tcPr>
            <w:tcW w:w="4320" w:type="dxa"/>
            <w:tcBorders>
              <w:top w:val="single" w:sz="4" w:space="0" w:color="auto"/>
              <w:left w:val="nil"/>
              <w:bottom w:val="single" w:sz="4" w:space="0" w:color="auto"/>
              <w:right w:val="single" w:sz="4" w:space="0" w:color="auto"/>
            </w:tcBorders>
            <w:shd w:val="clear" w:color="auto" w:fill="C6EFCE"/>
            <w:noWrap/>
            <w:vAlign w:val="bottom"/>
          </w:tcPr>
          <w:p w14:paraId="20027E55" w14:textId="77777777" w:rsidR="00515398" w:rsidRDefault="00515398">
            <w:pPr>
              <w:keepNext/>
              <w:spacing w:before="40" w:after="0" w:line="256" w:lineRule="auto"/>
              <w:jc w:val="both"/>
              <w:rPr>
                <w:rFonts w:ascii="Times New Roman" w:eastAsia="Times New Roman" w:hAnsi="Times New Roman" w:cs="Times New Roman"/>
                <w:bCs/>
                <w:noProof/>
                <w:sz w:val="18"/>
                <w:szCs w:val="18"/>
              </w:rPr>
            </w:pPr>
          </w:p>
        </w:tc>
        <w:tc>
          <w:tcPr>
            <w:tcW w:w="1680" w:type="dxa"/>
            <w:tcBorders>
              <w:top w:val="single" w:sz="4" w:space="0" w:color="auto"/>
              <w:left w:val="nil"/>
              <w:bottom w:val="single" w:sz="4" w:space="0" w:color="auto"/>
              <w:right w:val="single" w:sz="4" w:space="0" w:color="auto"/>
            </w:tcBorders>
            <w:shd w:val="clear" w:color="auto" w:fill="C6EFCE"/>
            <w:noWrap/>
            <w:vAlign w:val="bottom"/>
            <w:hideMark/>
          </w:tcPr>
          <w:p w14:paraId="1AB55082" w14:textId="77777777" w:rsidR="00515398" w:rsidRDefault="006711E6">
            <w:pPr>
              <w:pStyle w:val="P68B1DB1-Normal8"/>
              <w:keepNext/>
              <w:spacing w:before="40" w:after="0" w:line="256" w:lineRule="auto"/>
              <w:jc w:val="both"/>
              <w:rPr>
                <w:rFonts w:eastAsia="Times New Roman" w:cs="Times New Roman"/>
                <w:noProof/>
                <w:szCs w:val="18"/>
              </w:rPr>
            </w:pPr>
            <w:r>
              <w:rPr>
                <w:noProof/>
              </w:rPr>
              <w:t>Splátková částka</w:t>
            </w:r>
          </w:p>
        </w:tc>
        <w:tc>
          <w:tcPr>
            <w:tcW w:w="2280" w:type="dxa"/>
            <w:tcBorders>
              <w:top w:val="single" w:sz="4" w:space="0" w:color="auto"/>
              <w:left w:val="nil"/>
              <w:bottom w:val="single" w:sz="4" w:space="0" w:color="auto"/>
              <w:right w:val="single" w:sz="4" w:space="0" w:color="auto"/>
            </w:tcBorders>
            <w:shd w:val="clear" w:color="auto" w:fill="C6EFCE"/>
            <w:noWrap/>
            <w:vAlign w:val="bottom"/>
            <w:hideMark/>
          </w:tcPr>
          <w:p w14:paraId="38DE4599" w14:textId="5E8696F2" w:rsidR="00515398" w:rsidRDefault="006711E6">
            <w:pPr>
              <w:pStyle w:val="P68B1DB1-Normal8"/>
              <w:keepNext/>
              <w:spacing w:before="40" w:after="0" w:line="256" w:lineRule="auto"/>
              <w:jc w:val="both"/>
              <w:rPr>
                <w:rFonts w:eastAsia="Times New Roman" w:cs="Times New Roman"/>
                <w:noProof/>
                <w:szCs w:val="18"/>
              </w:rPr>
            </w:pPr>
            <w:r>
              <w:rPr>
                <w:noProof/>
              </w:rPr>
              <w:t>3 925 660 305 EUR</w:t>
            </w:r>
          </w:p>
        </w:tc>
      </w:tr>
    </w:tbl>
    <w:p w14:paraId="7E38BA24" w14:textId="77777777" w:rsidR="00515398" w:rsidRDefault="00515398">
      <w:pPr>
        <w:keepNext/>
        <w:spacing w:before="40" w:after="160" w:line="259" w:lineRule="auto"/>
        <w:contextualSpacing/>
        <w:jc w:val="both"/>
        <w:rPr>
          <w:rFonts w:ascii="Times New Roman" w:hAnsi="Times New Roman"/>
          <w:noProof/>
          <w:sz w:val="24"/>
        </w:rPr>
      </w:pPr>
    </w:p>
    <w:p w14:paraId="6149E7C5" w14:textId="77777777" w:rsidR="00515398" w:rsidRDefault="00515398">
      <w:pPr>
        <w:keepNext/>
        <w:spacing w:before="40" w:after="160" w:line="259" w:lineRule="auto"/>
        <w:contextualSpacing/>
        <w:jc w:val="both"/>
        <w:rPr>
          <w:rFonts w:ascii="Times New Roman" w:hAnsi="Times New Roman"/>
          <w:noProof/>
          <w:sz w:val="24"/>
        </w:rPr>
      </w:pPr>
    </w:p>
    <w:p w14:paraId="6B4D5199"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p w14:paraId="10403D0B" w14:textId="2377B999" w:rsidR="00515398" w:rsidRDefault="006711E6">
      <w:pPr>
        <w:pStyle w:val="P68B1DB1-Normal51"/>
        <w:rPr>
          <w:noProof/>
        </w:rPr>
      </w:pPr>
      <w:r>
        <w:rPr>
          <w:noProof/>
        </w:rPr>
        <w:br w:type="page"/>
      </w:r>
    </w:p>
    <w:p w14:paraId="4317E904" w14:textId="77777777" w:rsidR="00515398" w:rsidRDefault="00515398">
      <w:pPr>
        <w:keepNext/>
        <w:spacing w:before="40" w:after="160" w:line="259" w:lineRule="auto"/>
        <w:contextualSpacing/>
        <w:jc w:val="both"/>
        <w:rPr>
          <w:rFonts w:ascii="Times New Roman" w:eastAsia="Times New Roman" w:hAnsi="Times New Roman" w:cs="Times New Roman"/>
          <w:noProof/>
          <w:sz w:val="18"/>
          <w:szCs w:val="18"/>
        </w:rPr>
      </w:pPr>
    </w:p>
    <w:p w14:paraId="0B727630" w14:textId="77777777" w:rsidR="00515398" w:rsidRDefault="006711E6">
      <w:pPr>
        <w:pStyle w:val="P68B1DB1-Normal25"/>
        <w:keepNext/>
        <w:numPr>
          <w:ilvl w:val="0"/>
          <w:numId w:val="22"/>
        </w:numPr>
        <w:spacing w:before="40" w:after="0" w:line="259" w:lineRule="auto"/>
        <w:ind w:left="0"/>
        <w:jc w:val="both"/>
        <w:outlineLvl w:val="1"/>
        <w:rPr>
          <w:rFonts w:eastAsia="Times New Roman" w:cs="Times New Roman"/>
          <w:noProof/>
        </w:rPr>
      </w:pPr>
      <w:r>
        <w:rPr>
          <w:noProof/>
        </w:rPr>
        <w:t xml:space="preserve">Půjčka </w:t>
      </w:r>
    </w:p>
    <w:p w14:paraId="6D3B7CCE" w14:textId="77777777" w:rsidR="00515398" w:rsidRDefault="006711E6">
      <w:pPr>
        <w:pStyle w:val="P68B1DB1-Normal4"/>
        <w:keepNext/>
        <w:spacing w:before="40" w:after="0" w:line="259" w:lineRule="auto"/>
        <w:jc w:val="both"/>
        <w:outlineLvl w:val="1"/>
        <w:rPr>
          <w:b/>
          <w:noProof/>
          <w:u w:val="single"/>
        </w:rPr>
      </w:pPr>
      <w:r>
        <w:rPr>
          <w:noProof/>
        </w:rPr>
        <w:t xml:space="preserve">Splátky uvedené v čl. 3 odst. 2 </w:t>
      </w:r>
      <w:r>
        <w:rPr>
          <w:noProof/>
        </w:rPr>
        <w:t>jsou rozděleny takto:</w:t>
      </w:r>
    </w:p>
    <w:p w14:paraId="1E2FEEB6" w14:textId="77777777" w:rsidR="00515398" w:rsidRDefault="00515398">
      <w:pPr>
        <w:keepNext/>
        <w:spacing w:before="120" w:after="160" w:line="259" w:lineRule="auto"/>
        <w:contextualSpacing/>
        <w:jc w:val="both"/>
        <w:rPr>
          <w:rFonts w:ascii="Times New Roman" w:eastAsia="Times New Roman" w:hAnsi="Times New Roman" w:cs="Times New Roman"/>
          <w:bCs/>
          <w:noProof/>
          <w:sz w:val="24"/>
          <w:szCs w:val="24"/>
        </w:rPr>
      </w:pPr>
    </w:p>
    <w:p w14:paraId="2FE589F8"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První žádost o platbu (podpora úvěru): </w:t>
      </w:r>
    </w:p>
    <w:tbl>
      <w:tblPr>
        <w:tblW w:w="9535" w:type="dxa"/>
        <w:tblInd w:w="113" w:type="dxa"/>
        <w:tblLook w:val="04A0" w:firstRow="1" w:lastRow="0" w:firstColumn="1" w:lastColumn="0" w:noHBand="0" w:noVBand="1"/>
      </w:tblPr>
      <w:tblGrid>
        <w:gridCol w:w="1804"/>
        <w:gridCol w:w="4283"/>
        <w:gridCol w:w="1692"/>
        <w:gridCol w:w="1756"/>
      </w:tblGrid>
      <w:tr w:rsidR="00515398" w14:paraId="30A3E3CB"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3EABE5F"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F95FCBB"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80D70F2"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26B2B3AE"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1B889A37"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1A66A476"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6EC001CE"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57122BDA"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tc>
        <w:tc>
          <w:tcPr>
            <w:tcW w:w="1756" w:type="dxa"/>
            <w:vMerge/>
            <w:tcBorders>
              <w:top w:val="single" w:sz="4" w:space="0" w:color="auto"/>
              <w:left w:val="nil"/>
              <w:bottom w:val="single" w:sz="4" w:space="0" w:color="000000"/>
              <w:right w:val="single" w:sz="4" w:space="0" w:color="auto"/>
            </w:tcBorders>
            <w:vAlign w:val="center"/>
            <w:hideMark/>
          </w:tcPr>
          <w:p w14:paraId="6F293950"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tc>
      </w:tr>
      <w:tr w:rsidR="00515398" w14:paraId="71159799"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290F609" w14:textId="77777777" w:rsidR="00515398" w:rsidRDefault="006711E6">
            <w:pPr>
              <w:pStyle w:val="P68B1DB1-Normal8"/>
              <w:keepNext/>
              <w:spacing w:before="40" w:after="0" w:line="240" w:lineRule="auto"/>
              <w:jc w:val="both"/>
              <w:rPr>
                <w:rFonts w:eastAsia="Times New Roman" w:cs="Times New Roman"/>
                <w:noProof/>
                <w:szCs w:val="18"/>
              </w:rPr>
            </w:pPr>
            <w:r>
              <w:rPr>
                <w:noProof/>
              </w:rPr>
              <w:t>320</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6E3BB11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4.7. Zlepšit konkurenceschopnost a podpořit soukromé investice a vývoz – 16980_úvěrový nástroj pro </w:t>
            </w:r>
            <w:r>
              <w:rPr>
                <w:noProof/>
              </w:rPr>
              <w:t>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030619A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1C11C74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Provozní dohody s mezinárodními finančními institucemi</w:t>
            </w:r>
          </w:p>
        </w:tc>
      </w:tr>
      <w:tr w:rsidR="00515398" w14:paraId="722F998C"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14:paraId="6465C603" w14:textId="77777777" w:rsidR="00515398" w:rsidRDefault="006711E6">
            <w:pPr>
              <w:pStyle w:val="P68B1DB1-Normal8"/>
              <w:keepNext/>
              <w:spacing w:before="40" w:after="0" w:line="240" w:lineRule="auto"/>
              <w:jc w:val="both"/>
              <w:rPr>
                <w:rFonts w:eastAsia="Times New Roman" w:cs="Times New Roman"/>
                <w:noProof/>
                <w:szCs w:val="18"/>
              </w:rPr>
            </w:pPr>
            <w:r>
              <w:rPr>
                <w:noProof/>
              </w:rPr>
              <w:t>321</w:t>
            </w:r>
          </w:p>
        </w:tc>
        <w:tc>
          <w:tcPr>
            <w:tcW w:w="4283" w:type="dxa"/>
            <w:tcBorders>
              <w:top w:val="nil"/>
              <w:left w:val="nil"/>
              <w:bottom w:val="single" w:sz="4" w:space="0" w:color="auto"/>
              <w:right w:val="single" w:sz="4" w:space="0" w:color="auto"/>
            </w:tcBorders>
            <w:shd w:val="clear" w:color="000000" w:fill="C6EFCE"/>
            <w:noWrap/>
            <w:vAlign w:val="center"/>
            <w:hideMark/>
          </w:tcPr>
          <w:p w14:paraId="2F6A3DA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4.7. Zlepšit konkurenceschopnost a podpořit soukromé investice a vývoz – 16980_úvěrový nástroj pro oživení a odolnost</w:t>
            </w:r>
          </w:p>
        </w:tc>
        <w:tc>
          <w:tcPr>
            <w:tcW w:w="1692" w:type="dxa"/>
            <w:tcBorders>
              <w:top w:val="nil"/>
              <w:left w:val="nil"/>
              <w:bottom w:val="single" w:sz="4" w:space="0" w:color="auto"/>
              <w:right w:val="single" w:sz="4" w:space="0" w:color="auto"/>
            </w:tcBorders>
            <w:shd w:val="clear" w:color="000000" w:fill="C6EFCE"/>
            <w:noWrap/>
            <w:vAlign w:val="center"/>
            <w:hideMark/>
          </w:tcPr>
          <w:p w14:paraId="19CB097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56" w:type="dxa"/>
            <w:tcBorders>
              <w:top w:val="nil"/>
              <w:left w:val="nil"/>
              <w:bottom w:val="single" w:sz="4" w:space="0" w:color="auto"/>
              <w:right w:val="single" w:sz="4" w:space="0" w:color="auto"/>
            </w:tcBorders>
            <w:shd w:val="clear" w:color="000000" w:fill="C6EFCE"/>
            <w:noWrap/>
            <w:vAlign w:val="center"/>
            <w:hideMark/>
          </w:tcPr>
          <w:p w14:paraId="1D376BC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Zahájení výzvy komerčních bank</w:t>
            </w:r>
          </w:p>
        </w:tc>
      </w:tr>
      <w:tr w:rsidR="00515398" w14:paraId="20B304C6"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22764A"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7020B40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31A80EEC" w14:textId="77777777" w:rsidR="00515398" w:rsidRDefault="006711E6">
            <w:pPr>
              <w:pStyle w:val="P68B1DB1-Normal8"/>
              <w:keepNext/>
              <w:spacing w:before="40" w:after="0" w:line="259" w:lineRule="auto"/>
              <w:jc w:val="both"/>
              <w:rPr>
                <w:rFonts w:eastAsia="Times New Roman" w:cs="Times New Roman"/>
                <w:noProof/>
                <w:szCs w:val="18"/>
              </w:rPr>
            </w:pPr>
            <w:r>
              <w:rPr>
                <w:noProof/>
              </w:rPr>
              <w:t xml:space="preserve">Splátková </w:t>
            </w:r>
            <w:r>
              <w:rPr>
                <w:noProof/>
              </w:rPr>
              <w:t>částka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17513034" w14:textId="77777777" w:rsidR="00515398" w:rsidRDefault="006711E6">
            <w:pPr>
              <w:pStyle w:val="P68B1DB1-Normal8"/>
              <w:keepNext/>
              <w:spacing w:before="40" w:after="0" w:line="259" w:lineRule="auto"/>
              <w:jc w:val="both"/>
              <w:rPr>
                <w:rFonts w:eastAsia="Times New Roman" w:cs="Times New Roman"/>
                <w:noProof/>
                <w:szCs w:val="18"/>
              </w:rPr>
            </w:pPr>
            <w:r>
              <w:rPr>
                <w:noProof/>
              </w:rPr>
              <w:t>2 121 256 487 EUR</w:t>
            </w:r>
          </w:p>
        </w:tc>
      </w:tr>
    </w:tbl>
    <w:p w14:paraId="0ECAD728" w14:textId="77777777" w:rsidR="00515398" w:rsidRDefault="00515398">
      <w:pPr>
        <w:keepNext/>
        <w:spacing w:before="120" w:after="160" w:line="259" w:lineRule="auto"/>
        <w:ind w:hanging="360"/>
        <w:contextualSpacing/>
        <w:jc w:val="both"/>
        <w:rPr>
          <w:rFonts w:ascii="Times New Roman" w:eastAsia="Times New Roman" w:hAnsi="Times New Roman" w:cs="Times New Roman"/>
          <w:bCs/>
          <w:noProof/>
          <w:sz w:val="24"/>
          <w:szCs w:val="24"/>
        </w:rPr>
      </w:pPr>
    </w:p>
    <w:p w14:paraId="16ACC7FD"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Druhá žádost o platbu (podpora úvěru): </w:t>
      </w:r>
    </w:p>
    <w:tbl>
      <w:tblPr>
        <w:tblW w:w="9535" w:type="dxa"/>
        <w:tblInd w:w="113" w:type="dxa"/>
        <w:tblLook w:val="04A0" w:firstRow="1" w:lastRow="0" w:firstColumn="1" w:lastColumn="0" w:noHBand="0" w:noVBand="1"/>
      </w:tblPr>
      <w:tblGrid>
        <w:gridCol w:w="1804"/>
        <w:gridCol w:w="4283"/>
        <w:gridCol w:w="1692"/>
        <w:gridCol w:w="1756"/>
      </w:tblGrid>
      <w:tr w:rsidR="00515398" w14:paraId="0508890F"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D81000F"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8EC46C5"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B63CF33"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3F10DD5A"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3BC7DAE8"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337EC33D"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2114DD3E"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38786472"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56" w:type="dxa"/>
            <w:vMerge/>
            <w:tcBorders>
              <w:top w:val="single" w:sz="4" w:space="0" w:color="auto"/>
              <w:left w:val="nil"/>
              <w:bottom w:val="single" w:sz="4" w:space="0" w:color="000000"/>
              <w:right w:val="single" w:sz="4" w:space="0" w:color="auto"/>
            </w:tcBorders>
            <w:vAlign w:val="center"/>
            <w:hideMark/>
          </w:tcPr>
          <w:p w14:paraId="7DB249D8"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3E95F9B5"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D25BE6F" w14:textId="77777777" w:rsidR="00515398" w:rsidRDefault="006711E6">
            <w:pPr>
              <w:pStyle w:val="P68B1DB1-Normal8"/>
              <w:keepNext/>
              <w:spacing w:before="40" w:after="0" w:line="240" w:lineRule="auto"/>
              <w:jc w:val="both"/>
              <w:rPr>
                <w:rFonts w:eastAsia="Times New Roman" w:cs="Times New Roman"/>
                <w:noProof/>
                <w:szCs w:val="18"/>
              </w:rPr>
            </w:pPr>
            <w:r>
              <w:rPr>
                <w:noProof/>
              </w:rPr>
              <w:t>322</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2C07A57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4.7. Zlepšit konkurenceschopnost a podpořit soukromé investice a vývoz – 16980_úvěrový nástroj pro </w:t>
            </w:r>
            <w:r>
              <w:rPr>
                <w:noProof/>
              </w:rPr>
              <w:t>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3C633A2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45BB541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Dohoda o kapitálové platformě</w:t>
            </w:r>
          </w:p>
        </w:tc>
      </w:tr>
      <w:tr w:rsidR="00515398" w14:paraId="343B3577"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1A995831" w14:textId="77777777" w:rsidR="00515398" w:rsidRDefault="006711E6">
            <w:pPr>
              <w:pStyle w:val="P68B1DB1-Normal8"/>
              <w:keepNext/>
              <w:spacing w:before="40" w:after="0" w:line="240" w:lineRule="auto"/>
              <w:jc w:val="both"/>
              <w:rPr>
                <w:rFonts w:eastAsia="Times New Roman" w:cs="Times New Roman"/>
                <w:noProof/>
                <w:szCs w:val="18"/>
              </w:rPr>
            </w:pPr>
            <w:r>
              <w:rPr>
                <w:noProof/>
              </w:rPr>
              <w:t>323</w:t>
            </w:r>
          </w:p>
        </w:tc>
        <w:tc>
          <w:tcPr>
            <w:tcW w:w="4283" w:type="dxa"/>
            <w:tcBorders>
              <w:top w:val="nil"/>
              <w:left w:val="nil"/>
              <w:bottom w:val="single" w:sz="4" w:space="0" w:color="auto"/>
              <w:right w:val="single" w:sz="4" w:space="0" w:color="auto"/>
            </w:tcBorders>
            <w:shd w:val="clear" w:color="000000" w:fill="C6EFCE"/>
            <w:noWrap/>
            <w:vAlign w:val="center"/>
          </w:tcPr>
          <w:p w14:paraId="07D91590"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4.7. Zlepšit konkurenceschopnost a podpořit soukromé investice a vývoz – 16980_úvěrový nástroj pro oživení a odolnost</w:t>
            </w:r>
          </w:p>
        </w:tc>
        <w:tc>
          <w:tcPr>
            <w:tcW w:w="1692" w:type="dxa"/>
            <w:tcBorders>
              <w:top w:val="nil"/>
              <w:left w:val="nil"/>
              <w:bottom w:val="single" w:sz="4" w:space="0" w:color="auto"/>
              <w:right w:val="single" w:sz="4" w:space="0" w:color="auto"/>
            </w:tcBorders>
            <w:shd w:val="clear" w:color="000000" w:fill="C6EFCE"/>
            <w:noWrap/>
            <w:vAlign w:val="center"/>
          </w:tcPr>
          <w:p w14:paraId="2E1CECE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56" w:type="dxa"/>
            <w:tcBorders>
              <w:top w:val="nil"/>
              <w:left w:val="nil"/>
              <w:bottom w:val="single" w:sz="4" w:space="0" w:color="auto"/>
              <w:right w:val="single" w:sz="4" w:space="0" w:color="auto"/>
            </w:tcBorders>
            <w:shd w:val="clear" w:color="000000" w:fill="C6EFCE"/>
            <w:noWrap/>
            <w:vAlign w:val="center"/>
          </w:tcPr>
          <w:p w14:paraId="26B977F2"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Dohoda o příspěvcích InvestEU</w:t>
            </w:r>
          </w:p>
        </w:tc>
      </w:tr>
      <w:tr w:rsidR="00515398" w14:paraId="6D83C2BF" w14:textId="77777777">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14:paraId="5E7ED2B2" w14:textId="77777777" w:rsidR="00515398" w:rsidRDefault="006711E6">
            <w:pPr>
              <w:pStyle w:val="P68B1DB1-Normal8"/>
              <w:keepNext/>
              <w:spacing w:before="40" w:after="0" w:line="240" w:lineRule="auto"/>
              <w:jc w:val="both"/>
              <w:rPr>
                <w:rFonts w:eastAsia="Times New Roman" w:cs="Times New Roman"/>
                <w:noProof/>
                <w:szCs w:val="18"/>
              </w:rPr>
            </w:pPr>
            <w:r>
              <w:rPr>
                <w:noProof/>
              </w:rPr>
              <w:t>324</w:t>
            </w:r>
          </w:p>
        </w:tc>
        <w:tc>
          <w:tcPr>
            <w:tcW w:w="4283" w:type="dxa"/>
            <w:tcBorders>
              <w:top w:val="nil"/>
              <w:left w:val="nil"/>
              <w:bottom w:val="single" w:sz="4" w:space="0" w:color="auto"/>
              <w:right w:val="single" w:sz="4" w:space="0" w:color="auto"/>
            </w:tcBorders>
            <w:shd w:val="clear" w:color="000000" w:fill="C6EFCE"/>
            <w:noWrap/>
            <w:vAlign w:val="center"/>
          </w:tcPr>
          <w:p w14:paraId="4265E6E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4.7. Zlepšit konkurenceschopnost a </w:t>
            </w:r>
            <w:r>
              <w:rPr>
                <w:noProof/>
              </w:rPr>
              <w:t>podpořit soukromé investice a vývoz – 16980_úvěrový nástroj pro oživení a odolnost</w:t>
            </w:r>
          </w:p>
        </w:tc>
        <w:tc>
          <w:tcPr>
            <w:tcW w:w="1692" w:type="dxa"/>
            <w:tcBorders>
              <w:top w:val="nil"/>
              <w:left w:val="nil"/>
              <w:bottom w:val="single" w:sz="4" w:space="0" w:color="auto"/>
              <w:right w:val="single" w:sz="4" w:space="0" w:color="auto"/>
            </w:tcBorders>
            <w:shd w:val="clear" w:color="000000" w:fill="C6EFCE"/>
            <w:noWrap/>
            <w:vAlign w:val="center"/>
          </w:tcPr>
          <w:p w14:paraId="5A582FD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756" w:type="dxa"/>
            <w:tcBorders>
              <w:top w:val="nil"/>
              <w:left w:val="nil"/>
              <w:bottom w:val="single" w:sz="4" w:space="0" w:color="auto"/>
              <w:right w:val="single" w:sz="4" w:space="0" w:color="auto"/>
            </w:tcBorders>
            <w:shd w:val="clear" w:color="000000" w:fill="C6EFCE"/>
            <w:noWrap/>
            <w:vAlign w:val="center"/>
          </w:tcPr>
          <w:p w14:paraId="04312C79"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Finanční prostředky finančních institucí ve výši 586,4 milionu EUR podepsané s konečnými příjemci</w:t>
            </w:r>
          </w:p>
        </w:tc>
      </w:tr>
      <w:tr w:rsidR="00515398" w14:paraId="1D382D67"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2D2FA57"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2DADD9C"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417462D8" w14:textId="77777777" w:rsidR="00515398" w:rsidRDefault="006711E6">
            <w:pPr>
              <w:pStyle w:val="P68B1DB1-Normal8"/>
              <w:keepNext/>
              <w:spacing w:before="40" w:after="0" w:line="259" w:lineRule="auto"/>
              <w:jc w:val="both"/>
              <w:rPr>
                <w:rFonts w:eastAsia="Times New Roman" w:cs="Times New Roman"/>
                <w:noProof/>
                <w:szCs w:val="18"/>
              </w:rPr>
            </w:pPr>
            <w:r>
              <w:rPr>
                <w:noProof/>
              </w:rPr>
              <w:t>Splátková částka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2900C2A6" w14:textId="77777777" w:rsidR="00515398" w:rsidRDefault="006711E6">
            <w:pPr>
              <w:pStyle w:val="P68B1DB1-Normal8"/>
              <w:keepNext/>
              <w:spacing w:before="40" w:after="0" w:line="259" w:lineRule="auto"/>
              <w:jc w:val="both"/>
              <w:rPr>
                <w:rFonts w:eastAsia="Times New Roman" w:cs="Times New Roman"/>
                <w:noProof/>
                <w:szCs w:val="18"/>
              </w:rPr>
            </w:pPr>
            <w:r>
              <w:rPr>
                <w:noProof/>
              </w:rPr>
              <w:t>2 121 256 487 EUR</w:t>
            </w:r>
          </w:p>
        </w:tc>
      </w:tr>
    </w:tbl>
    <w:p w14:paraId="0F328CC2" w14:textId="77777777" w:rsidR="00515398" w:rsidRDefault="00515398">
      <w:pPr>
        <w:keepNext/>
        <w:spacing w:before="40" w:after="160" w:line="259" w:lineRule="auto"/>
        <w:contextualSpacing/>
        <w:jc w:val="both"/>
        <w:rPr>
          <w:rFonts w:ascii="Times New Roman" w:eastAsia="Times New Roman" w:hAnsi="Times New Roman" w:cs="Times New Roman"/>
          <w:noProof/>
          <w:sz w:val="24"/>
        </w:rPr>
      </w:pPr>
    </w:p>
    <w:p w14:paraId="55343648" w14:textId="77777777" w:rsidR="00515398" w:rsidRDefault="00515398">
      <w:pPr>
        <w:keepNext/>
        <w:numPr>
          <w:ilvl w:val="1"/>
          <w:numId w:val="22"/>
        </w:numPr>
        <w:spacing w:before="40" w:after="160" w:line="259" w:lineRule="auto"/>
        <w:ind w:left="0"/>
        <w:contextualSpacing/>
        <w:jc w:val="both"/>
        <w:rPr>
          <w:rFonts w:ascii="Times New Roman" w:hAnsi="Times New Roman"/>
          <w:noProof/>
          <w:sz w:val="24"/>
        </w:rPr>
        <w:sectPr w:rsidR="00515398" w:rsidSect="00271D33">
          <w:headerReference w:type="even" r:id="rId369"/>
          <w:headerReference w:type="default" r:id="rId370"/>
          <w:footerReference w:type="even" r:id="rId371"/>
          <w:footerReference w:type="default" r:id="rId372"/>
          <w:headerReference w:type="first" r:id="rId373"/>
          <w:footerReference w:type="first" r:id="rId374"/>
          <w:pgSz w:w="11907" w:h="16839"/>
          <w:pgMar w:top="1134" w:right="1418" w:bottom="1134" w:left="1418" w:header="709" w:footer="468" w:gutter="0"/>
          <w:cols w:space="720"/>
          <w:docGrid w:linePitch="360"/>
        </w:sectPr>
      </w:pPr>
    </w:p>
    <w:p w14:paraId="4F1345E4"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Třetí žádost o platbu (podpora úvěru): </w:t>
      </w:r>
    </w:p>
    <w:tbl>
      <w:tblPr>
        <w:tblW w:w="9535" w:type="dxa"/>
        <w:tblInd w:w="113" w:type="dxa"/>
        <w:tblLook w:val="04A0" w:firstRow="1" w:lastRow="0" w:firstColumn="1" w:lastColumn="0" w:noHBand="0" w:noVBand="1"/>
      </w:tblPr>
      <w:tblGrid>
        <w:gridCol w:w="1804"/>
        <w:gridCol w:w="4283"/>
        <w:gridCol w:w="1692"/>
        <w:gridCol w:w="1756"/>
      </w:tblGrid>
      <w:tr w:rsidR="00515398" w14:paraId="05BEE94B"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16D1E96"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23B2367"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1CA081F"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6EA68811"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510B9805"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0808922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4BDAB216"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FEED56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56" w:type="dxa"/>
            <w:vMerge/>
            <w:tcBorders>
              <w:top w:val="single" w:sz="4" w:space="0" w:color="auto"/>
              <w:left w:val="nil"/>
              <w:bottom w:val="single" w:sz="4" w:space="0" w:color="000000"/>
              <w:right w:val="single" w:sz="4" w:space="0" w:color="auto"/>
            </w:tcBorders>
            <w:vAlign w:val="center"/>
            <w:hideMark/>
          </w:tcPr>
          <w:p w14:paraId="287CA67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64B1F130"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4D3E1C4" w14:textId="77777777" w:rsidR="00515398" w:rsidRDefault="006711E6">
            <w:pPr>
              <w:pStyle w:val="P68B1DB1-Normal8"/>
              <w:keepNext/>
              <w:spacing w:before="40" w:after="0" w:line="240" w:lineRule="auto"/>
              <w:jc w:val="both"/>
              <w:rPr>
                <w:rFonts w:eastAsia="Times New Roman" w:cs="Times New Roman"/>
                <w:noProof/>
                <w:szCs w:val="18"/>
              </w:rPr>
            </w:pPr>
            <w:r>
              <w:rPr>
                <w:noProof/>
              </w:rPr>
              <w:t>325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0F88EFE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4.7. Zlepšit konkurenceschopnost a podpořit soukromé investice a vývoz – 16980_úvěrový nástroj </w:t>
            </w:r>
            <w:r>
              <w:rPr>
                <w:noProof/>
              </w:rPr>
              <w:t>pro 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1368204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1CAAEF7B" w14:textId="3D574E88" w:rsidR="00515398" w:rsidRDefault="006711E6">
            <w:pPr>
              <w:pStyle w:val="P68B1DB1-Normal8"/>
              <w:keepNext/>
              <w:spacing w:before="40" w:after="0" w:line="240" w:lineRule="auto"/>
              <w:jc w:val="both"/>
              <w:rPr>
                <w:rFonts w:eastAsia="Times New Roman" w:cs="Times New Roman"/>
                <w:bCs/>
                <w:noProof/>
                <w:szCs w:val="18"/>
              </w:rPr>
            </w:pPr>
            <w:r>
              <w:rPr>
                <w:noProof/>
              </w:rPr>
              <w:t>3518.4 milionu EUR z finančních prostředků finančních institucí podepsaných s konečnými příjemci</w:t>
            </w:r>
          </w:p>
        </w:tc>
      </w:tr>
      <w:tr w:rsidR="00515398" w14:paraId="53D82DEB"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97E9E6C"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99062DD" w14:textId="77777777" w:rsidR="00515398" w:rsidRDefault="00515398">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232D72A8" w14:textId="77777777" w:rsidR="00515398" w:rsidRDefault="006711E6">
            <w:pPr>
              <w:pStyle w:val="P68B1DB1-Normal8"/>
              <w:keepNext/>
              <w:spacing w:before="40" w:after="0" w:line="240" w:lineRule="auto"/>
              <w:jc w:val="both"/>
              <w:rPr>
                <w:rFonts w:eastAsia="Times New Roman" w:cs="Times New Roman"/>
                <w:noProof/>
                <w:szCs w:val="18"/>
              </w:rPr>
            </w:pPr>
            <w:r>
              <w:rPr>
                <w:noProof/>
              </w:rPr>
              <w:t>Splátková částka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21945D9E" w14:textId="77777777" w:rsidR="00515398" w:rsidRDefault="006711E6">
            <w:pPr>
              <w:pStyle w:val="P68B1DB1-Normal8"/>
              <w:keepNext/>
              <w:spacing w:before="40" w:after="0" w:line="240" w:lineRule="auto"/>
              <w:jc w:val="both"/>
              <w:rPr>
                <w:rFonts w:eastAsia="Times New Roman" w:cs="Times New Roman"/>
                <w:noProof/>
                <w:szCs w:val="18"/>
              </w:rPr>
            </w:pPr>
            <w:r>
              <w:rPr>
                <w:noProof/>
              </w:rPr>
              <w:t>2 121 256 487 EUR</w:t>
            </w:r>
          </w:p>
        </w:tc>
      </w:tr>
    </w:tbl>
    <w:p w14:paraId="27668111"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227223D9"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Čtvrtá žádost o platbu (podpora úvěru): </w:t>
      </w:r>
    </w:p>
    <w:tbl>
      <w:tblPr>
        <w:tblW w:w="9535" w:type="dxa"/>
        <w:tblInd w:w="113" w:type="dxa"/>
        <w:tblLayout w:type="fixed"/>
        <w:tblLook w:val="04A0" w:firstRow="1" w:lastRow="0" w:firstColumn="1" w:lastColumn="0" w:noHBand="0" w:noVBand="1"/>
      </w:tblPr>
      <w:tblGrid>
        <w:gridCol w:w="1804"/>
        <w:gridCol w:w="4283"/>
        <w:gridCol w:w="1692"/>
        <w:gridCol w:w="1756"/>
      </w:tblGrid>
      <w:tr w:rsidR="00515398" w14:paraId="14E636A2"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FD5F7EE" w14:textId="77777777" w:rsidR="00515398" w:rsidRDefault="006711E6">
            <w:pPr>
              <w:pStyle w:val="P68B1DB1-Normal8"/>
              <w:keepNext/>
              <w:spacing w:before="40" w:after="0" w:line="259" w:lineRule="auto"/>
              <w:jc w:val="center"/>
              <w:rPr>
                <w:rFonts w:eastAsia="Times New Roman" w:cs="Times New Roman"/>
                <w:noProof/>
                <w:szCs w:val="18"/>
              </w:rPr>
            </w:pPr>
            <w:bookmarkStart w:id="3" w:name="_Hlk150347477"/>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E950C80" w14:textId="77777777" w:rsidR="00515398" w:rsidRDefault="006711E6">
            <w:pPr>
              <w:pStyle w:val="P68B1DB1-Normal8"/>
              <w:keepNext/>
              <w:spacing w:before="40" w:after="0" w:line="259" w:lineRule="auto"/>
              <w:jc w:val="center"/>
              <w:rPr>
                <w:rFonts w:eastAsia="Times New Roman" w:cs="Times New Roman"/>
                <w:noProof/>
                <w:szCs w:val="18"/>
              </w:rPr>
            </w:pPr>
            <w:r>
              <w:rPr>
                <w:noProof/>
              </w:rPr>
              <w:t xml:space="preserve">Související opatření (reforma </w:t>
            </w:r>
            <w:r>
              <w:rPr>
                <w:noProof/>
              </w:rPr>
              <w:t>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70D5654" w14:textId="77777777" w:rsidR="00515398" w:rsidRDefault="006711E6">
            <w:pPr>
              <w:pStyle w:val="P68B1DB1-Normal8"/>
              <w:keepNext/>
              <w:spacing w:before="40" w:after="0" w:line="259" w:lineRule="auto"/>
              <w:jc w:val="center"/>
              <w:rPr>
                <w:rFonts w:eastAsia="Times New Roman" w:cs="Times New Roman"/>
                <w:noProof/>
                <w:szCs w:val="18"/>
              </w:rPr>
            </w:pPr>
            <w:r>
              <w:rPr>
                <w:noProof/>
              </w:rPr>
              <w:t>Milník/cíl</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35B5A776" w14:textId="77777777" w:rsidR="00515398" w:rsidRDefault="006711E6">
            <w:pPr>
              <w:pStyle w:val="P68B1DB1-Normal8"/>
              <w:keepNext/>
              <w:spacing w:before="40" w:after="0" w:line="259" w:lineRule="auto"/>
              <w:jc w:val="center"/>
              <w:rPr>
                <w:rFonts w:eastAsia="Times New Roman" w:cs="Times New Roman"/>
                <w:noProof/>
                <w:szCs w:val="18"/>
              </w:rPr>
            </w:pPr>
            <w:r>
              <w:rPr>
                <w:noProof/>
              </w:rPr>
              <w:t>Jméno</w:t>
            </w:r>
          </w:p>
        </w:tc>
      </w:tr>
      <w:tr w:rsidR="00515398" w14:paraId="660CF0EC"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5ECA936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1C84E8BA"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31E0DE0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56" w:type="dxa"/>
            <w:vMerge/>
            <w:tcBorders>
              <w:top w:val="single" w:sz="4" w:space="0" w:color="auto"/>
              <w:left w:val="nil"/>
              <w:bottom w:val="single" w:sz="4" w:space="0" w:color="000000"/>
              <w:right w:val="single" w:sz="4" w:space="0" w:color="auto"/>
            </w:tcBorders>
            <w:vAlign w:val="center"/>
            <w:hideMark/>
          </w:tcPr>
          <w:p w14:paraId="1AB327DC"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016DDE52"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9836AF3" w14:textId="77777777" w:rsidR="00515398" w:rsidRDefault="006711E6">
            <w:pPr>
              <w:pStyle w:val="P68B1DB1-Normal8"/>
              <w:keepNext/>
              <w:spacing w:before="40" w:after="0" w:line="240" w:lineRule="auto"/>
              <w:jc w:val="both"/>
              <w:rPr>
                <w:rFonts w:eastAsia="Times New Roman" w:cs="Times New Roman"/>
                <w:noProof/>
                <w:szCs w:val="18"/>
              </w:rPr>
            </w:pPr>
            <w:r>
              <w:rPr>
                <w:noProof/>
              </w:rPr>
              <w:t>325a</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61AA9E4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4.7. Zlepšit konkurenceschopnost a podpořit soukromé investice a vývoz – 16980_úvěrový nástroj pro 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6986035F"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14:paraId="553C3298" w14:textId="51F2F05F" w:rsidR="00515398" w:rsidRDefault="006711E6">
            <w:pPr>
              <w:pStyle w:val="P68B1DB1-Normal8"/>
              <w:keepNext/>
              <w:spacing w:before="40" w:after="0" w:line="240" w:lineRule="auto"/>
              <w:jc w:val="both"/>
              <w:rPr>
                <w:rFonts w:eastAsia="Times New Roman" w:cs="Times New Roman"/>
                <w:bCs/>
                <w:noProof/>
                <w:szCs w:val="18"/>
              </w:rPr>
            </w:pPr>
            <w:r>
              <w:rPr>
                <w:noProof/>
              </w:rPr>
              <w:t>4518.4 milionu EUR z finančních prostředků finančních institucí podepsaných s konečnými</w:t>
            </w:r>
            <w:r>
              <w:rPr>
                <w:noProof/>
              </w:rPr>
              <w:t xml:space="preserve"> příjemci</w:t>
            </w:r>
          </w:p>
        </w:tc>
      </w:tr>
      <w:tr w:rsidR="00515398" w14:paraId="2956D403"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EF68EE2"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03D45C8F" w14:textId="77777777" w:rsidR="00515398" w:rsidRDefault="00515398">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04EF7A8C" w14:textId="77777777" w:rsidR="00515398" w:rsidRDefault="006711E6">
            <w:pPr>
              <w:pStyle w:val="P68B1DB1-Normal8"/>
              <w:keepNext/>
              <w:spacing w:before="40" w:after="0" w:line="240" w:lineRule="auto"/>
              <w:jc w:val="both"/>
              <w:rPr>
                <w:rFonts w:eastAsia="Times New Roman" w:cs="Times New Roman"/>
                <w:noProof/>
                <w:szCs w:val="18"/>
              </w:rPr>
            </w:pPr>
            <w:r>
              <w:rPr>
                <w:noProof/>
              </w:rPr>
              <w:t>Splátková částka</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14:paraId="723D00DB" w14:textId="3226433A" w:rsidR="00515398" w:rsidRDefault="006711E6">
            <w:pPr>
              <w:pStyle w:val="P68B1DB1-Normal8"/>
              <w:keepNext/>
              <w:spacing w:before="40" w:after="0" w:line="240" w:lineRule="auto"/>
              <w:jc w:val="both"/>
              <w:rPr>
                <w:rFonts w:eastAsia="Times New Roman" w:cs="Times New Roman"/>
                <w:noProof/>
                <w:szCs w:val="18"/>
              </w:rPr>
            </w:pPr>
            <w:r>
              <w:rPr>
                <w:noProof/>
              </w:rPr>
              <w:t>2 534 514 342 EUR</w:t>
            </w:r>
          </w:p>
        </w:tc>
      </w:tr>
      <w:bookmarkEnd w:id="3"/>
    </w:tbl>
    <w:p w14:paraId="031033B6"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51B07C62"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Pátá žádost o platbu (podpora úvěru): </w:t>
      </w:r>
    </w:p>
    <w:tbl>
      <w:tblPr>
        <w:tblpPr w:leftFromText="180" w:rightFromText="180" w:vertAnchor="text" w:tblpX="113" w:tblpY="1"/>
        <w:tblOverlap w:val="never"/>
        <w:tblW w:w="9519" w:type="dxa"/>
        <w:tblLayout w:type="fixed"/>
        <w:tblLook w:val="04A0" w:firstRow="1" w:lastRow="0" w:firstColumn="1" w:lastColumn="0" w:noHBand="0" w:noVBand="1"/>
      </w:tblPr>
      <w:tblGrid>
        <w:gridCol w:w="1804"/>
        <w:gridCol w:w="4283"/>
        <w:gridCol w:w="1692"/>
        <w:gridCol w:w="1740"/>
      </w:tblGrid>
      <w:tr w:rsidR="00515398" w14:paraId="51412791" w14:textId="77777777">
        <w:trPr>
          <w:trHeight w:val="906"/>
          <w:tblHeader/>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AA0A82B"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0608165"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Související opatření (reforma 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150B844"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Milník/cíl</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14:paraId="60B9C180"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Jméno</w:t>
            </w:r>
          </w:p>
        </w:tc>
      </w:tr>
      <w:tr w:rsidR="00515398" w14:paraId="51C3E6DB" w14:textId="77777777">
        <w:trPr>
          <w:trHeight w:val="990"/>
          <w:tblHeader/>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4B97D073"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1A249F66"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0A03DACF"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40" w:type="dxa"/>
            <w:vMerge/>
            <w:tcBorders>
              <w:top w:val="single" w:sz="4" w:space="0" w:color="auto"/>
              <w:left w:val="nil"/>
              <w:bottom w:val="single" w:sz="4" w:space="0" w:color="000000"/>
              <w:right w:val="single" w:sz="4" w:space="0" w:color="auto"/>
            </w:tcBorders>
            <w:vAlign w:val="center"/>
            <w:hideMark/>
          </w:tcPr>
          <w:p w14:paraId="50EDE70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4F81D4A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65FB75E" w14:textId="1C537199" w:rsidR="00515398" w:rsidRDefault="006711E6">
            <w:pPr>
              <w:pStyle w:val="P68B1DB1-Normal8"/>
              <w:keepNext/>
              <w:spacing w:before="40" w:after="0" w:line="240" w:lineRule="auto"/>
              <w:jc w:val="both"/>
              <w:rPr>
                <w:rFonts w:eastAsia="Times New Roman" w:cs="Times New Roman"/>
                <w:noProof/>
                <w:szCs w:val="18"/>
              </w:rPr>
            </w:pPr>
            <w:r>
              <w:rPr>
                <w:noProof/>
              </w:rPr>
              <w:t>374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10A5721"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2–1.2. Renovace – 16401_Program modernizace energetiky „Zlepšování mého </w:t>
            </w:r>
            <w:r>
              <w:rPr>
                <w:noProof/>
              </w:rPr>
              <w:t>domova“</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34BD7FD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64DEB991" w14:textId="5006CA9E" w:rsidR="00515398" w:rsidRDefault="006711E6">
            <w:pPr>
              <w:pStyle w:val="P68B1DB1-Normal8"/>
              <w:keepNext/>
              <w:spacing w:before="40" w:after="0" w:line="240" w:lineRule="auto"/>
              <w:jc w:val="both"/>
              <w:rPr>
                <w:rFonts w:eastAsia="Times New Roman" w:cs="Times New Roman"/>
                <w:bCs/>
                <w:noProof/>
                <w:szCs w:val="18"/>
              </w:rPr>
            </w:pPr>
            <w:r>
              <w:rPr>
                <w:noProof/>
              </w:rPr>
              <w:t>Modernizace mého domova – prováděcí dohoda mezi řeckou rozvojovou bankou a ministerstvem financí</w:t>
            </w:r>
          </w:p>
        </w:tc>
      </w:tr>
      <w:tr w:rsidR="00515398" w14:paraId="050AFA45"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67E2CD39" w14:textId="12CFE0D5" w:rsidR="00515398" w:rsidRDefault="006711E6">
            <w:pPr>
              <w:pStyle w:val="P68B1DB1-Normal8"/>
              <w:keepNext/>
              <w:spacing w:before="40" w:after="0" w:line="240" w:lineRule="auto"/>
              <w:jc w:val="both"/>
              <w:rPr>
                <w:rFonts w:eastAsia="Times New Roman" w:cs="Times New Roman"/>
                <w:noProof/>
                <w:szCs w:val="18"/>
              </w:rPr>
            </w:pPr>
            <w:r>
              <w:rPr>
                <w:noProof/>
              </w:rPr>
              <w:t>378</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02E7F6A7"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11–3.4. Zlepšení přístupu k účinným a inkluzivním sociálním politikám – 16400_Program pro cenově dostupné bydlení „Můj domov II“</w:t>
            </w:r>
            <w:r>
              <w:rPr>
                <w:noProof/>
              </w:rPr>
              <w:tab/>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17EE0A3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220A6D2C" w14:textId="5A1A0575" w:rsidR="00515398" w:rsidRDefault="006711E6">
            <w:pPr>
              <w:pStyle w:val="P68B1DB1-Normal8"/>
              <w:keepNext/>
              <w:spacing w:before="40" w:after="0" w:line="240" w:lineRule="auto"/>
              <w:jc w:val="both"/>
              <w:rPr>
                <w:rFonts w:eastAsia="Times New Roman" w:cs="Times New Roman"/>
                <w:bCs/>
                <w:noProof/>
                <w:szCs w:val="18"/>
              </w:rPr>
            </w:pPr>
            <w:r>
              <w:rPr>
                <w:noProof/>
              </w:rPr>
              <w:t>Moje domov II – Prováděcí dohoda mezi řeckou rozvojovou bankou a ministerstvem financí</w:t>
            </w:r>
          </w:p>
        </w:tc>
      </w:tr>
      <w:tr w:rsidR="00515398" w14:paraId="12AD0BE5"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12FCEE9" w14:textId="77777777" w:rsidR="00515398" w:rsidRDefault="006711E6">
            <w:pPr>
              <w:pStyle w:val="P68B1DB1-Normal8"/>
              <w:keepNext/>
              <w:spacing w:before="40" w:after="0" w:line="240" w:lineRule="auto"/>
              <w:jc w:val="both"/>
              <w:rPr>
                <w:noProof/>
              </w:rPr>
            </w:pPr>
            <w:r>
              <w:rPr>
                <w:noProof/>
              </w:rPr>
              <w:t>326</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22169B4" w14:textId="77777777" w:rsidR="00515398" w:rsidRDefault="006711E6">
            <w:pPr>
              <w:pStyle w:val="P68B1DB1-Normal8"/>
              <w:keepNext/>
              <w:spacing w:before="40" w:after="0" w:line="240" w:lineRule="auto"/>
              <w:jc w:val="both"/>
              <w:rPr>
                <w:noProof/>
              </w:rPr>
            </w:pPr>
            <w:r>
              <w:rPr>
                <w:noProof/>
              </w:rPr>
              <w:t>4.7. Zlepšit konkurenceschopnost a podpořit soukromé investice a vývoz – 16980_úvěrový nástroj pro 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06E10CEA" w14:textId="77777777" w:rsidR="00515398" w:rsidRDefault="006711E6">
            <w:pPr>
              <w:pStyle w:val="P68B1DB1-Normal8"/>
              <w:keepNext/>
              <w:spacing w:before="40" w:after="0" w:line="240" w:lineRule="auto"/>
              <w:jc w:val="both"/>
              <w:rPr>
                <w:noProof/>
              </w:rPr>
            </w:pPr>
            <w:r>
              <w:rPr>
                <w:noProof/>
              </w:rPr>
              <w:t>Cílová</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14:paraId="02B91D7E" w14:textId="350A9BC9" w:rsidR="00515398" w:rsidRDefault="006711E6">
            <w:pPr>
              <w:pStyle w:val="P68B1DB1-Normal8"/>
              <w:keepNext/>
              <w:spacing w:before="40" w:after="0" w:line="240" w:lineRule="auto"/>
              <w:jc w:val="both"/>
              <w:rPr>
                <w:noProof/>
              </w:rPr>
            </w:pPr>
            <w:r>
              <w:rPr>
                <w:noProof/>
              </w:rPr>
              <w:t>Finanční prostředky finančních instituc</w:t>
            </w:r>
            <w:r>
              <w:rPr>
                <w:noProof/>
              </w:rPr>
              <w:t>í ve výši 7 064 milionů EUR podepsané s konečnými příjemci</w:t>
            </w:r>
          </w:p>
        </w:tc>
      </w:tr>
      <w:tr w:rsidR="00515398" w14:paraId="43FE1C6D"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3AE0E9D"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17734CEB" w14:textId="77777777" w:rsidR="00515398" w:rsidRDefault="00515398">
            <w:pPr>
              <w:keepNext/>
              <w:spacing w:before="40" w:after="0" w:line="240"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3D5A8978" w14:textId="77777777" w:rsidR="00515398" w:rsidRDefault="006711E6">
            <w:pPr>
              <w:pStyle w:val="P68B1DB1-Normal8"/>
              <w:keepNext/>
              <w:spacing w:before="40" w:after="0" w:line="240" w:lineRule="auto"/>
              <w:jc w:val="both"/>
              <w:rPr>
                <w:rFonts w:eastAsia="Times New Roman" w:cs="Times New Roman"/>
                <w:noProof/>
                <w:szCs w:val="18"/>
              </w:rPr>
            </w:pPr>
            <w:r>
              <w:rPr>
                <w:noProof/>
              </w:rPr>
              <w:t>Splátková částka</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14:paraId="55589FFA" w14:textId="157119AB" w:rsidR="00515398" w:rsidRDefault="006711E6">
            <w:pPr>
              <w:pStyle w:val="P68B1DB1-Normal8"/>
              <w:keepNext/>
              <w:spacing w:before="40" w:after="0" w:line="240" w:lineRule="auto"/>
              <w:jc w:val="both"/>
              <w:rPr>
                <w:rFonts w:eastAsia="Times New Roman" w:cs="Times New Roman"/>
                <w:noProof/>
                <w:szCs w:val="18"/>
              </w:rPr>
            </w:pPr>
            <w:r>
              <w:rPr>
                <w:noProof/>
              </w:rPr>
              <w:t>1 940 000 000 EUR</w:t>
            </w:r>
          </w:p>
        </w:tc>
      </w:tr>
    </w:tbl>
    <w:p w14:paraId="3B391E80" w14:textId="77777777" w:rsidR="00515398" w:rsidRDefault="00515398">
      <w:pPr>
        <w:keepNext/>
        <w:spacing w:before="40" w:after="160" w:line="259" w:lineRule="auto"/>
        <w:contextualSpacing/>
        <w:jc w:val="both"/>
        <w:rPr>
          <w:rFonts w:ascii="Times New Roman" w:hAnsi="Times New Roman"/>
          <w:noProof/>
          <w:sz w:val="24"/>
        </w:rPr>
      </w:pPr>
    </w:p>
    <w:p w14:paraId="4BAB4DA0"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Šestá žádost o platbu (podpora úvěru): </w:t>
      </w:r>
    </w:p>
    <w:tbl>
      <w:tblPr>
        <w:tblW w:w="95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283"/>
        <w:gridCol w:w="1692"/>
        <w:gridCol w:w="1740"/>
      </w:tblGrid>
      <w:tr w:rsidR="00515398" w14:paraId="00A1C00F" w14:textId="77777777">
        <w:trPr>
          <w:trHeight w:val="906"/>
        </w:trPr>
        <w:tc>
          <w:tcPr>
            <w:tcW w:w="1804" w:type="dxa"/>
            <w:vMerge w:val="restart"/>
            <w:shd w:val="clear" w:color="auto" w:fill="BDD7EE"/>
            <w:vAlign w:val="center"/>
            <w:hideMark/>
          </w:tcPr>
          <w:p w14:paraId="05CDC8D9"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Pořadové číslo</w:t>
            </w:r>
          </w:p>
        </w:tc>
        <w:tc>
          <w:tcPr>
            <w:tcW w:w="4283" w:type="dxa"/>
            <w:vMerge w:val="restart"/>
            <w:shd w:val="clear" w:color="auto" w:fill="BDD7EE"/>
            <w:vAlign w:val="center"/>
            <w:hideMark/>
          </w:tcPr>
          <w:p w14:paraId="429ED884"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Související opatření (reforma nebo investice)</w:t>
            </w:r>
          </w:p>
        </w:tc>
        <w:tc>
          <w:tcPr>
            <w:tcW w:w="1692" w:type="dxa"/>
            <w:vMerge w:val="restart"/>
            <w:shd w:val="clear" w:color="auto" w:fill="BDD7EE"/>
            <w:vAlign w:val="center"/>
            <w:hideMark/>
          </w:tcPr>
          <w:p w14:paraId="62E515D2"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Milník/cíl</w:t>
            </w:r>
          </w:p>
        </w:tc>
        <w:tc>
          <w:tcPr>
            <w:tcW w:w="1740" w:type="dxa"/>
            <w:vMerge w:val="restart"/>
            <w:shd w:val="clear" w:color="auto" w:fill="BDD7EE"/>
            <w:vAlign w:val="center"/>
            <w:hideMark/>
          </w:tcPr>
          <w:p w14:paraId="0982F947" w14:textId="77777777" w:rsidR="00515398" w:rsidRDefault="006711E6">
            <w:pPr>
              <w:pStyle w:val="P68B1DB1-Normal7"/>
              <w:keepNext/>
              <w:spacing w:before="40" w:after="0" w:line="240" w:lineRule="auto"/>
              <w:jc w:val="center"/>
              <w:rPr>
                <w:rFonts w:eastAsia="Times New Roman" w:cs="Times New Roman"/>
                <w:bCs/>
                <w:noProof/>
                <w:szCs w:val="18"/>
              </w:rPr>
            </w:pPr>
            <w:r>
              <w:rPr>
                <w:noProof/>
              </w:rPr>
              <w:t>Jméno</w:t>
            </w:r>
          </w:p>
        </w:tc>
      </w:tr>
      <w:tr w:rsidR="00515398" w14:paraId="70076C67" w14:textId="77777777">
        <w:trPr>
          <w:trHeight w:val="990"/>
        </w:trPr>
        <w:tc>
          <w:tcPr>
            <w:tcW w:w="1804" w:type="dxa"/>
            <w:vMerge/>
            <w:vAlign w:val="center"/>
            <w:hideMark/>
          </w:tcPr>
          <w:p w14:paraId="5851B9D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vAlign w:val="center"/>
            <w:hideMark/>
          </w:tcPr>
          <w:p w14:paraId="525273DF"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vAlign w:val="center"/>
            <w:hideMark/>
          </w:tcPr>
          <w:p w14:paraId="40341B5C"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40" w:type="dxa"/>
            <w:vMerge/>
            <w:vAlign w:val="center"/>
            <w:hideMark/>
          </w:tcPr>
          <w:p w14:paraId="2A0A8119"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72FED212" w14:textId="77777777">
        <w:trPr>
          <w:trHeight w:val="302"/>
        </w:trPr>
        <w:tc>
          <w:tcPr>
            <w:tcW w:w="1804" w:type="dxa"/>
            <w:shd w:val="clear" w:color="auto" w:fill="C6EFCE"/>
            <w:noWrap/>
            <w:vAlign w:val="center"/>
          </w:tcPr>
          <w:p w14:paraId="5D5A6800" w14:textId="77777777" w:rsidR="00515398" w:rsidRDefault="006711E6">
            <w:pPr>
              <w:pStyle w:val="P68B1DB1-Normal8"/>
              <w:keepNext/>
              <w:spacing w:before="40" w:after="0" w:line="240" w:lineRule="auto"/>
              <w:jc w:val="both"/>
              <w:rPr>
                <w:noProof/>
              </w:rPr>
            </w:pPr>
            <w:r>
              <w:rPr>
                <w:noProof/>
              </w:rPr>
              <w:t>326a</w:t>
            </w:r>
          </w:p>
        </w:tc>
        <w:tc>
          <w:tcPr>
            <w:tcW w:w="4283" w:type="dxa"/>
            <w:shd w:val="clear" w:color="auto" w:fill="C6EFCE"/>
            <w:noWrap/>
            <w:vAlign w:val="center"/>
          </w:tcPr>
          <w:p w14:paraId="70549DF1" w14:textId="77777777" w:rsidR="00515398" w:rsidRDefault="006711E6">
            <w:pPr>
              <w:pStyle w:val="P68B1DB1-Normal8"/>
              <w:keepNext/>
              <w:spacing w:before="40" w:after="0" w:line="240" w:lineRule="auto"/>
              <w:jc w:val="both"/>
              <w:rPr>
                <w:noProof/>
              </w:rPr>
            </w:pPr>
            <w:r>
              <w:rPr>
                <w:noProof/>
              </w:rPr>
              <w:t xml:space="preserve">4.7. Zlepšit </w:t>
            </w:r>
            <w:r>
              <w:rPr>
                <w:noProof/>
              </w:rPr>
              <w:t>konkurenceschopnost a podpořit soukromé investice a vývoz – 16980_úvěrový nástroj pro oživení a odolnost</w:t>
            </w:r>
          </w:p>
        </w:tc>
        <w:tc>
          <w:tcPr>
            <w:tcW w:w="1692" w:type="dxa"/>
            <w:shd w:val="clear" w:color="auto" w:fill="C6EFCE"/>
            <w:noWrap/>
            <w:vAlign w:val="center"/>
          </w:tcPr>
          <w:p w14:paraId="793C0D80" w14:textId="77777777" w:rsidR="00515398" w:rsidRDefault="006711E6">
            <w:pPr>
              <w:pStyle w:val="P68B1DB1-Normal8"/>
              <w:keepNext/>
              <w:spacing w:before="40" w:after="0" w:line="240" w:lineRule="auto"/>
              <w:jc w:val="both"/>
              <w:rPr>
                <w:noProof/>
              </w:rPr>
            </w:pPr>
            <w:r>
              <w:rPr>
                <w:noProof/>
              </w:rPr>
              <w:t>Cílová</w:t>
            </w:r>
          </w:p>
        </w:tc>
        <w:tc>
          <w:tcPr>
            <w:tcW w:w="1740" w:type="dxa"/>
            <w:shd w:val="clear" w:color="auto" w:fill="C6EFCE"/>
            <w:noWrap/>
            <w:vAlign w:val="center"/>
          </w:tcPr>
          <w:p w14:paraId="0FDED785" w14:textId="2738A983" w:rsidR="00515398" w:rsidRDefault="006711E6">
            <w:pPr>
              <w:pStyle w:val="P68B1DB1-Normal8"/>
              <w:keepNext/>
              <w:spacing w:before="40" w:after="0" w:line="240" w:lineRule="auto"/>
              <w:jc w:val="both"/>
              <w:rPr>
                <w:noProof/>
              </w:rPr>
            </w:pPr>
            <w:r>
              <w:rPr>
                <w:noProof/>
              </w:rPr>
              <w:t>9 000 milionů EUR z finančních prostředků finančních institucí podepsaných s konečnými příjemci</w:t>
            </w:r>
          </w:p>
        </w:tc>
      </w:tr>
      <w:tr w:rsidR="00515398" w14:paraId="1ADAAAC7" w14:textId="77777777">
        <w:trPr>
          <w:trHeight w:val="302"/>
        </w:trPr>
        <w:tc>
          <w:tcPr>
            <w:tcW w:w="1804" w:type="dxa"/>
            <w:shd w:val="clear" w:color="auto" w:fill="C6EFCE"/>
            <w:noWrap/>
            <w:vAlign w:val="bottom"/>
          </w:tcPr>
          <w:p w14:paraId="34CDE4B1"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shd w:val="clear" w:color="auto" w:fill="C6EFCE"/>
            <w:noWrap/>
            <w:vAlign w:val="bottom"/>
          </w:tcPr>
          <w:p w14:paraId="59CB205C" w14:textId="77777777" w:rsidR="00515398" w:rsidRDefault="00515398">
            <w:pPr>
              <w:keepNext/>
              <w:spacing w:before="40" w:after="0" w:line="240" w:lineRule="auto"/>
              <w:jc w:val="both"/>
              <w:rPr>
                <w:rFonts w:ascii="Times New Roman" w:eastAsia="Times New Roman" w:hAnsi="Times New Roman" w:cs="Times New Roman"/>
                <w:bCs/>
                <w:noProof/>
                <w:sz w:val="18"/>
                <w:szCs w:val="18"/>
              </w:rPr>
            </w:pPr>
          </w:p>
        </w:tc>
        <w:tc>
          <w:tcPr>
            <w:tcW w:w="1692" w:type="dxa"/>
            <w:shd w:val="clear" w:color="auto" w:fill="C6EFCE"/>
            <w:noWrap/>
            <w:vAlign w:val="bottom"/>
          </w:tcPr>
          <w:p w14:paraId="60A53CE4" w14:textId="77777777" w:rsidR="00515398" w:rsidRDefault="006711E6">
            <w:pPr>
              <w:pStyle w:val="P68B1DB1-Normal8"/>
              <w:keepNext/>
              <w:spacing w:before="40" w:after="0" w:line="240" w:lineRule="auto"/>
              <w:jc w:val="both"/>
              <w:rPr>
                <w:rFonts w:eastAsia="Times New Roman" w:cs="Times New Roman"/>
                <w:noProof/>
                <w:szCs w:val="18"/>
              </w:rPr>
            </w:pPr>
            <w:r>
              <w:rPr>
                <w:noProof/>
              </w:rPr>
              <w:t>Splátková částka</w:t>
            </w:r>
          </w:p>
        </w:tc>
        <w:tc>
          <w:tcPr>
            <w:tcW w:w="1740" w:type="dxa"/>
            <w:shd w:val="clear" w:color="auto" w:fill="C6EFCE"/>
            <w:noWrap/>
            <w:vAlign w:val="bottom"/>
          </w:tcPr>
          <w:p w14:paraId="3E1DDE01" w14:textId="2DF5BF2A" w:rsidR="00515398" w:rsidRDefault="006711E6">
            <w:pPr>
              <w:pStyle w:val="P68B1DB1-Normal8"/>
              <w:keepNext/>
              <w:spacing w:before="40" w:after="0" w:line="240" w:lineRule="auto"/>
              <w:jc w:val="both"/>
              <w:rPr>
                <w:rFonts w:eastAsia="Times New Roman" w:cs="Times New Roman"/>
                <w:noProof/>
                <w:szCs w:val="18"/>
              </w:rPr>
            </w:pPr>
            <w:r>
              <w:rPr>
                <w:noProof/>
              </w:rPr>
              <w:t>1 940 000 000 EUR</w:t>
            </w:r>
          </w:p>
        </w:tc>
      </w:tr>
    </w:tbl>
    <w:p w14:paraId="51D642AC"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7DEF7F63"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23C8AB09"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Sedmá žádost o platbu (podpora úvěru): </w:t>
      </w:r>
    </w:p>
    <w:tbl>
      <w:tblPr>
        <w:tblW w:w="9634" w:type="dxa"/>
        <w:tblInd w:w="113" w:type="dxa"/>
        <w:tblLook w:val="04A0" w:firstRow="1" w:lastRow="0" w:firstColumn="1" w:lastColumn="0" w:noHBand="0" w:noVBand="1"/>
      </w:tblPr>
      <w:tblGrid>
        <w:gridCol w:w="1804"/>
        <w:gridCol w:w="4283"/>
        <w:gridCol w:w="1692"/>
        <w:gridCol w:w="1855"/>
      </w:tblGrid>
      <w:tr w:rsidR="00515398" w14:paraId="57E60FFB"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45636FC"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A883CA9"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78BF47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855" w:type="dxa"/>
            <w:vMerge w:val="restart"/>
            <w:tcBorders>
              <w:top w:val="single" w:sz="4" w:space="0" w:color="auto"/>
              <w:left w:val="nil"/>
              <w:bottom w:val="single" w:sz="4" w:space="0" w:color="000000"/>
              <w:right w:val="single" w:sz="4" w:space="0" w:color="auto"/>
            </w:tcBorders>
            <w:shd w:val="clear" w:color="auto" w:fill="BDD7EE"/>
            <w:vAlign w:val="center"/>
            <w:hideMark/>
          </w:tcPr>
          <w:p w14:paraId="0F2D4CC0"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1069E841"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2FFFECCC"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082C1512"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E31078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855" w:type="dxa"/>
            <w:vMerge/>
            <w:tcBorders>
              <w:top w:val="single" w:sz="4" w:space="0" w:color="auto"/>
              <w:left w:val="nil"/>
              <w:bottom w:val="single" w:sz="4" w:space="0" w:color="000000"/>
              <w:right w:val="single" w:sz="4" w:space="0" w:color="auto"/>
            </w:tcBorders>
            <w:vAlign w:val="center"/>
            <w:hideMark/>
          </w:tcPr>
          <w:p w14:paraId="59FB1538"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28909711"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9FFB019" w14:textId="0C8D64A8" w:rsidR="00515398" w:rsidRDefault="006711E6">
            <w:pPr>
              <w:pStyle w:val="P68B1DB1-Normal8"/>
              <w:keepNext/>
              <w:spacing w:before="40" w:after="0" w:line="240" w:lineRule="auto"/>
              <w:jc w:val="both"/>
              <w:rPr>
                <w:noProof/>
              </w:rPr>
            </w:pPr>
            <w:r>
              <w:rPr>
                <w:noProof/>
              </w:rPr>
              <w:t>375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7113888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16401_Program modernizace energetiky „Zlepšování mého domova“</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156A380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855" w:type="dxa"/>
            <w:tcBorders>
              <w:top w:val="single" w:sz="4" w:space="0" w:color="auto"/>
              <w:left w:val="nil"/>
              <w:bottom w:val="single" w:sz="4" w:space="0" w:color="auto"/>
              <w:right w:val="single" w:sz="4" w:space="0" w:color="auto"/>
            </w:tcBorders>
            <w:shd w:val="clear" w:color="000000" w:fill="C6EFCE"/>
            <w:noWrap/>
            <w:vAlign w:val="center"/>
            <w:hideMark/>
          </w:tcPr>
          <w:p w14:paraId="26F538CB" w14:textId="77777777" w:rsidR="00515398" w:rsidRDefault="006711E6">
            <w:pPr>
              <w:pStyle w:val="P68B1DB1-Normal51"/>
              <w:keepNext/>
              <w:spacing w:before="40" w:after="0" w:line="240" w:lineRule="auto"/>
              <w:jc w:val="both"/>
              <w:rPr>
                <w:bCs/>
                <w:noProof/>
              </w:rPr>
            </w:pPr>
            <w:r>
              <w:rPr>
                <w:noProof/>
              </w:rPr>
              <w:t xml:space="preserve">Modernizace Můj domov – právní dohody </w:t>
            </w:r>
            <w:r>
              <w:rPr>
                <w:noProof/>
              </w:rPr>
              <w:t>podepsané s konečnými příjemci – 50 %</w:t>
            </w:r>
          </w:p>
        </w:tc>
      </w:tr>
      <w:tr w:rsidR="00515398" w14:paraId="362E23E2"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E00406A" w14:textId="66A0F65A" w:rsidR="00515398" w:rsidRDefault="006711E6">
            <w:pPr>
              <w:pStyle w:val="P68B1DB1-Normal8"/>
              <w:keepNext/>
              <w:spacing w:before="40" w:after="0" w:line="240" w:lineRule="auto"/>
              <w:jc w:val="both"/>
              <w:rPr>
                <w:rFonts w:eastAsia="Times New Roman" w:cs="Times New Roman"/>
                <w:noProof/>
                <w:szCs w:val="18"/>
              </w:rPr>
            </w:pPr>
            <w:r>
              <w:rPr>
                <w:noProof/>
              </w:rPr>
              <w:t>379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7AB4092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11–3.4. Zlepšení přístupu k účinným a inkluzivním sociálním politikám – 16400_Program pro cenově dostupné bydlení „Můj domov II“</w:t>
            </w:r>
            <w:r>
              <w:rPr>
                <w:noProof/>
              </w:rPr>
              <w:tab/>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7D03DE3"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3AE31F22" w14:textId="77777777" w:rsidR="00515398" w:rsidRDefault="006711E6">
            <w:pPr>
              <w:pStyle w:val="P68B1DB1-Normal51"/>
              <w:keepNext/>
              <w:spacing w:before="40" w:after="0" w:line="240" w:lineRule="auto"/>
              <w:jc w:val="both"/>
              <w:rPr>
                <w:bCs/>
                <w:noProof/>
              </w:rPr>
            </w:pPr>
            <w:r>
              <w:rPr>
                <w:noProof/>
              </w:rPr>
              <w:t>Můj domov II – právní dohody podepsané s konečnými příjemci – 50 %</w:t>
            </w:r>
          </w:p>
        </w:tc>
      </w:tr>
      <w:tr w:rsidR="00515398" w14:paraId="393ACFFB"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23236859" w14:textId="77777777" w:rsidR="00515398" w:rsidRDefault="006711E6">
            <w:pPr>
              <w:pStyle w:val="P68B1DB1-Normal8"/>
              <w:keepNext/>
              <w:spacing w:before="40" w:after="0" w:line="240" w:lineRule="auto"/>
              <w:jc w:val="both"/>
              <w:rPr>
                <w:noProof/>
              </w:rPr>
            </w:pPr>
            <w:r>
              <w:rPr>
                <w:noProof/>
              </w:rPr>
              <w:t>327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2066F09B" w14:textId="77777777" w:rsidR="00515398" w:rsidRDefault="006711E6">
            <w:pPr>
              <w:pStyle w:val="P68B1DB1-Normal8"/>
              <w:keepNext/>
              <w:spacing w:before="40" w:after="0" w:line="240" w:lineRule="auto"/>
              <w:jc w:val="both"/>
              <w:rPr>
                <w:noProof/>
              </w:rPr>
            </w:pPr>
            <w:r>
              <w:rPr>
                <w:noProof/>
              </w:rPr>
              <w:t>4.7.</w:t>
            </w:r>
            <w:r>
              <w:rPr>
                <w:noProof/>
              </w:rPr>
              <w:t xml:space="preserve"> Zlepšit konkurenceschopnost a podpořit soukromé investice a vývoz – 16980_úvěrový nástroj pro 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28292EB8" w14:textId="77777777" w:rsidR="00515398" w:rsidRDefault="006711E6">
            <w:pPr>
              <w:pStyle w:val="P68B1DB1-Normal8"/>
              <w:keepNext/>
              <w:spacing w:before="40" w:after="0" w:line="240" w:lineRule="auto"/>
              <w:jc w:val="both"/>
              <w:rPr>
                <w:noProof/>
              </w:rPr>
            </w:pPr>
            <w:r>
              <w:rPr>
                <w:noProof/>
              </w:rPr>
              <w:t>Cílová</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4EF21C77" w14:textId="35C1FA63" w:rsidR="00515398" w:rsidRDefault="006711E6">
            <w:pPr>
              <w:pStyle w:val="P68B1DB1-Normal8"/>
              <w:keepNext/>
              <w:spacing w:before="40" w:after="0" w:line="240" w:lineRule="auto"/>
              <w:jc w:val="both"/>
              <w:rPr>
                <w:noProof/>
              </w:rPr>
            </w:pPr>
            <w:r>
              <w:rPr>
                <w:noProof/>
              </w:rPr>
              <w:t>11182 milionu EUR z finančních prostředků finančních institucí podepsaných s konečnými příjemci</w:t>
            </w:r>
          </w:p>
        </w:tc>
      </w:tr>
      <w:tr w:rsidR="00515398" w14:paraId="2ED74E97"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2049A65A" w14:textId="77777777" w:rsidR="00515398" w:rsidRDefault="006711E6">
            <w:pPr>
              <w:pStyle w:val="P68B1DB1-Normal8"/>
              <w:keepNext/>
              <w:spacing w:before="40" w:after="0" w:line="240" w:lineRule="auto"/>
              <w:jc w:val="both"/>
              <w:rPr>
                <w:noProof/>
              </w:rPr>
            </w:pPr>
            <w:r>
              <w:rPr>
                <w:noProof/>
              </w:rPr>
              <w:t>329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447FA030" w14:textId="77777777" w:rsidR="00515398" w:rsidRDefault="006711E6">
            <w:pPr>
              <w:pStyle w:val="P68B1DB1-Normal8"/>
              <w:keepNext/>
              <w:spacing w:before="40" w:after="0" w:line="240" w:lineRule="auto"/>
              <w:jc w:val="both"/>
              <w:rPr>
                <w:noProof/>
              </w:rPr>
            </w:pPr>
            <w:r>
              <w:rPr>
                <w:noProof/>
              </w:rPr>
              <w:t>4.7. Zlepšit konkurenceschopnost a</w:t>
            </w:r>
            <w:r>
              <w:rPr>
                <w:noProof/>
              </w:rPr>
              <w:t xml:space="preserve"> podpořit soukromé investice a vývoz – 16980_úvěrový nástroj pro 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6F3134F1" w14:textId="77777777" w:rsidR="00515398" w:rsidRDefault="006711E6">
            <w:pPr>
              <w:pStyle w:val="P68B1DB1-Normal8"/>
              <w:keepNext/>
              <w:spacing w:before="40" w:after="0" w:line="240" w:lineRule="auto"/>
              <w:jc w:val="both"/>
              <w:rPr>
                <w:noProof/>
              </w:rPr>
            </w:pPr>
            <w:r>
              <w:rPr>
                <w:noProof/>
              </w:rPr>
              <w:t>Cílová</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4DC8E3C8" w14:textId="77777777" w:rsidR="00515398" w:rsidRDefault="006711E6">
            <w:pPr>
              <w:pStyle w:val="P68B1DB1-Normal8"/>
              <w:keepNext/>
              <w:spacing w:before="40" w:after="0" w:line="240" w:lineRule="auto"/>
              <w:jc w:val="both"/>
              <w:rPr>
                <w:noProof/>
              </w:rPr>
            </w:pPr>
            <w:r>
              <w:rPr>
                <w:noProof/>
              </w:rPr>
              <w:t xml:space="preserve">Investice ve výši 100 % kapitálové podpory </w:t>
            </w:r>
          </w:p>
        </w:tc>
      </w:tr>
      <w:tr w:rsidR="00515398" w14:paraId="43200938"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4EED604" w14:textId="77777777" w:rsidR="00515398" w:rsidRDefault="006711E6">
            <w:pPr>
              <w:pStyle w:val="P68B1DB1-Normal8"/>
              <w:keepNext/>
              <w:spacing w:before="40" w:after="0" w:line="240" w:lineRule="auto"/>
              <w:jc w:val="both"/>
              <w:rPr>
                <w:noProof/>
              </w:rPr>
            </w:pPr>
            <w:r>
              <w:rPr>
                <w:noProof/>
              </w:rPr>
              <w:t>330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29952528" w14:textId="77777777" w:rsidR="00515398" w:rsidRDefault="006711E6">
            <w:pPr>
              <w:pStyle w:val="P68B1DB1-Normal8"/>
              <w:keepNext/>
              <w:spacing w:before="40" w:after="0" w:line="240" w:lineRule="auto"/>
              <w:jc w:val="both"/>
              <w:rPr>
                <w:noProof/>
              </w:rPr>
            </w:pPr>
            <w:r>
              <w:rPr>
                <w:noProof/>
              </w:rPr>
              <w:t>4.7. Zlepšit konkurenceschopnost a podpořit soukromé investice a vývoz – 16980_úvěrový nástroj pro oživení a odolnos</w:t>
            </w:r>
            <w:r>
              <w:rPr>
                <w:noProof/>
              </w:rPr>
              <w:t>t</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14:paraId="59BF30DE" w14:textId="77777777" w:rsidR="00515398" w:rsidRDefault="006711E6">
            <w:pPr>
              <w:pStyle w:val="P68B1DB1-Normal8"/>
              <w:keepNext/>
              <w:spacing w:before="40" w:after="0" w:line="240" w:lineRule="auto"/>
              <w:jc w:val="both"/>
              <w:rPr>
                <w:noProof/>
              </w:rPr>
            </w:pPr>
            <w:r>
              <w:rPr>
                <w:noProof/>
              </w:rPr>
              <w:t>Cílová</w:t>
            </w:r>
          </w:p>
        </w:tc>
        <w:tc>
          <w:tcPr>
            <w:tcW w:w="1855" w:type="dxa"/>
            <w:tcBorders>
              <w:top w:val="single" w:sz="4" w:space="0" w:color="auto"/>
              <w:left w:val="nil"/>
              <w:bottom w:val="single" w:sz="4" w:space="0" w:color="auto"/>
              <w:right w:val="single" w:sz="4" w:space="0" w:color="auto"/>
            </w:tcBorders>
            <w:shd w:val="clear" w:color="000000" w:fill="C6EFCE"/>
            <w:noWrap/>
            <w:vAlign w:val="center"/>
          </w:tcPr>
          <w:p w14:paraId="16C29D7A" w14:textId="77777777" w:rsidR="00515398" w:rsidRDefault="006711E6">
            <w:pPr>
              <w:pStyle w:val="P68B1DB1-Normal8"/>
              <w:keepNext/>
              <w:spacing w:before="40" w:after="0" w:line="240" w:lineRule="auto"/>
              <w:jc w:val="both"/>
              <w:rPr>
                <w:noProof/>
              </w:rPr>
            </w:pPr>
            <w:r>
              <w:rPr>
                <w:noProof/>
              </w:rPr>
              <w:t>Schvalování operací v rámci Programu InvestEU</w:t>
            </w:r>
          </w:p>
        </w:tc>
      </w:tr>
      <w:tr w:rsidR="00515398" w14:paraId="43BFA17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F0E7027"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14:paraId="27F15499"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14:paraId="70472F8C" w14:textId="77777777" w:rsidR="00515398" w:rsidRDefault="006711E6">
            <w:pPr>
              <w:pStyle w:val="P68B1DB1-Normal8"/>
              <w:keepNext/>
              <w:spacing w:before="40" w:after="0" w:line="259" w:lineRule="auto"/>
              <w:jc w:val="both"/>
              <w:rPr>
                <w:rFonts w:eastAsia="Times New Roman" w:cs="Times New Roman"/>
                <w:noProof/>
                <w:szCs w:val="18"/>
              </w:rPr>
            </w:pPr>
            <w:r>
              <w:rPr>
                <w:noProof/>
              </w:rPr>
              <w:t>Splátková částka</w:t>
            </w:r>
          </w:p>
        </w:tc>
        <w:tc>
          <w:tcPr>
            <w:tcW w:w="1855" w:type="dxa"/>
            <w:tcBorders>
              <w:top w:val="single" w:sz="4" w:space="0" w:color="auto"/>
              <w:left w:val="nil"/>
              <w:bottom w:val="single" w:sz="4" w:space="0" w:color="auto"/>
              <w:right w:val="single" w:sz="4" w:space="0" w:color="auto"/>
            </w:tcBorders>
            <w:shd w:val="clear" w:color="auto" w:fill="C6EFCE"/>
            <w:noWrap/>
            <w:vAlign w:val="bottom"/>
          </w:tcPr>
          <w:p w14:paraId="75F7F003" w14:textId="29EB8E4B" w:rsidR="00515398" w:rsidRDefault="006711E6">
            <w:pPr>
              <w:pStyle w:val="P68B1DB1-Normal8"/>
              <w:keepNext/>
              <w:spacing w:before="40" w:after="0" w:line="259" w:lineRule="auto"/>
              <w:jc w:val="both"/>
              <w:rPr>
                <w:rFonts w:eastAsia="Times New Roman" w:cs="Times New Roman"/>
                <w:noProof/>
                <w:szCs w:val="18"/>
              </w:rPr>
            </w:pPr>
            <w:r>
              <w:rPr>
                <w:noProof/>
              </w:rPr>
              <w:t>1 940 000 000 EUR</w:t>
            </w:r>
          </w:p>
        </w:tc>
      </w:tr>
    </w:tbl>
    <w:p w14:paraId="29A34919"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0540E0B9" w14:textId="24F9C09F" w:rsidR="00515398" w:rsidRDefault="006711E6">
      <w:pPr>
        <w:pStyle w:val="P68B1DB1-Normal52"/>
        <w:rPr>
          <w:bCs/>
          <w:noProof/>
        </w:rPr>
      </w:pPr>
      <w:r>
        <w:rPr>
          <w:noProof/>
        </w:rPr>
        <w:br w:type="page"/>
      </w:r>
    </w:p>
    <w:p w14:paraId="1C5F5C12"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78381441" w14:textId="77777777" w:rsidR="00515398" w:rsidRDefault="006711E6">
      <w:pPr>
        <w:pStyle w:val="P68B1DB1-Normal4"/>
        <w:keepNext/>
        <w:numPr>
          <w:ilvl w:val="1"/>
          <w:numId w:val="22"/>
        </w:numPr>
        <w:spacing w:before="40" w:after="160" w:line="259" w:lineRule="auto"/>
        <w:ind w:left="0"/>
        <w:contextualSpacing/>
        <w:jc w:val="both"/>
        <w:rPr>
          <w:rFonts w:eastAsia="Times New Roman" w:cs="Times New Roman"/>
          <w:noProof/>
        </w:rPr>
      </w:pPr>
      <w:r>
        <w:rPr>
          <w:noProof/>
        </w:rPr>
        <w:t xml:space="preserve"> Osmá žádost o platbu (podpora úvěru): </w:t>
      </w:r>
    </w:p>
    <w:tbl>
      <w:tblPr>
        <w:tblpPr w:leftFromText="180" w:rightFromText="180" w:vertAnchor="text" w:tblpX="113" w:tblpY="1"/>
        <w:tblOverlap w:val="never"/>
        <w:tblW w:w="9634" w:type="dxa"/>
        <w:tblLook w:val="04A0" w:firstRow="1" w:lastRow="0" w:firstColumn="1" w:lastColumn="0" w:noHBand="0" w:noVBand="1"/>
      </w:tblPr>
      <w:tblGrid>
        <w:gridCol w:w="1804"/>
        <w:gridCol w:w="4283"/>
        <w:gridCol w:w="1692"/>
        <w:gridCol w:w="1855"/>
      </w:tblGrid>
      <w:tr w:rsidR="00515398" w14:paraId="297591C3" w14:textId="77777777">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A6DE918"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593EB5B"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16B8A6ED"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855" w:type="dxa"/>
            <w:vMerge w:val="restart"/>
            <w:tcBorders>
              <w:top w:val="single" w:sz="4" w:space="0" w:color="auto"/>
              <w:left w:val="nil"/>
              <w:bottom w:val="single" w:sz="4" w:space="0" w:color="000000"/>
              <w:right w:val="single" w:sz="4" w:space="0" w:color="auto"/>
            </w:tcBorders>
            <w:shd w:val="clear" w:color="auto" w:fill="BDD7EE"/>
            <w:vAlign w:val="center"/>
            <w:hideMark/>
          </w:tcPr>
          <w:p w14:paraId="44E893A9"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3FABA0A4" w14:textId="77777777">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14:paraId="1E65B7BD"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14:paraId="3F469597"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14:paraId="11E5AA15"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855" w:type="dxa"/>
            <w:vMerge/>
            <w:tcBorders>
              <w:top w:val="single" w:sz="4" w:space="0" w:color="auto"/>
              <w:left w:val="nil"/>
              <w:bottom w:val="single" w:sz="4" w:space="0" w:color="000000"/>
              <w:right w:val="single" w:sz="4" w:space="0" w:color="auto"/>
            </w:tcBorders>
            <w:vAlign w:val="center"/>
            <w:hideMark/>
          </w:tcPr>
          <w:p w14:paraId="32BAB482"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5393923E"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63E7D02" w14:textId="758B03AD" w:rsidR="00515398" w:rsidRDefault="006711E6">
            <w:pPr>
              <w:pStyle w:val="P68B1DB1-Normal8"/>
              <w:keepNext/>
              <w:spacing w:before="40" w:after="0" w:line="240" w:lineRule="auto"/>
              <w:jc w:val="both"/>
              <w:rPr>
                <w:rFonts w:eastAsia="Times New Roman" w:cs="Times New Roman"/>
                <w:noProof/>
                <w:szCs w:val="18"/>
              </w:rPr>
            </w:pPr>
            <w:r>
              <w:rPr>
                <w:noProof/>
              </w:rPr>
              <w:t>327a</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14:paraId="164E8FDE"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4.7. Zlepšit </w:t>
            </w:r>
            <w:r>
              <w:rPr>
                <w:noProof/>
              </w:rPr>
              <w:t>konkurenceschopnost a podpořit soukromé investice a vývoz – 16980_úvěrový nástroj pro oživení a odolnost</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14:paraId="5EF1FED4"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855" w:type="dxa"/>
            <w:tcBorders>
              <w:top w:val="single" w:sz="4" w:space="0" w:color="auto"/>
              <w:left w:val="nil"/>
              <w:bottom w:val="single" w:sz="4" w:space="0" w:color="auto"/>
              <w:right w:val="single" w:sz="4" w:space="0" w:color="auto"/>
            </w:tcBorders>
            <w:shd w:val="clear" w:color="000000" w:fill="C6EFCE"/>
            <w:noWrap/>
            <w:vAlign w:val="center"/>
            <w:hideMark/>
          </w:tcPr>
          <w:p w14:paraId="04C9FA4A" w14:textId="48DAE3FC" w:rsidR="00515398" w:rsidRDefault="006711E6">
            <w:pPr>
              <w:pStyle w:val="P68B1DB1-Normal8"/>
              <w:keepNext/>
              <w:spacing w:before="40" w:after="0" w:line="240" w:lineRule="auto"/>
              <w:jc w:val="both"/>
              <w:rPr>
                <w:rFonts w:eastAsia="Times New Roman" w:cs="Times New Roman"/>
                <w:bCs/>
                <w:noProof/>
                <w:szCs w:val="18"/>
              </w:rPr>
            </w:pPr>
            <w:r>
              <w:rPr>
                <w:noProof/>
              </w:rPr>
              <w:t>13364 milionu EUR z finančních prostředků finančních institucí podepsaných s konečnými příjemci</w:t>
            </w:r>
          </w:p>
        </w:tc>
      </w:tr>
      <w:tr w:rsidR="00515398" w14:paraId="1871FDCF" w14:textId="77777777">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5F5E388D" w14:textId="77777777" w:rsidR="00515398" w:rsidRDefault="00515398">
            <w:pPr>
              <w:keepNext/>
              <w:spacing w:before="40" w:after="0" w:line="240" w:lineRule="auto"/>
              <w:jc w:val="both"/>
              <w:rPr>
                <w:rFonts w:ascii="Times New Roman" w:hAnsi="Times New Roman"/>
                <w:noProof/>
                <w:sz w:val="18"/>
              </w:rPr>
            </w:pPr>
          </w:p>
        </w:tc>
        <w:tc>
          <w:tcPr>
            <w:tcW w:w="4283" w:type="dxa"/>
            <w:tcBorders>
              <w:top w:val="single" w:sz="4" w:space="0" w:color="auto"/>
              <w:left w:val="nil"/>
              <w:bottom w:val="single" w:sz="4" w:space="0" w:color="auto"/>
              <w:right w:val="single" w:sz="4" w:space="0" w:color="auto"/>
            </w:tcBorders>
            <w:shd w:val="clear" w:color="000000" w:fill="C6EFCE"/>
            <w:noWrap/>
            <w:vAlign w:val="center"/>
          </w:tcPr>
          <w:p w14:paraId="3CAC65DF" w14:textId="77777777" w:rsidR="00515398" w:rsidRDefault="00515398">
            <w:pPr>
              <w:keepNext/>
              <w:spacing w:before="40" w:after="0" w:line="240" w:lineRule="auto"/>
              <w:jc w:val="both"/>
              <w:rPr>
                <w:rFonts w:ascii="Times New Roman" w:hAnsi="Times New Roman"/>
                <w:noProof/>
                <w:sz w:val="18"/>
              </w:rPr>
            </w:pPr>
          </w:p>
        </w:tc>
        <w:tc>
          <w:tcPr>
            <w:tcW w:w="1692" w:type="dxa"/>
            <w:tcBorders>
              <w:top w:val="single" w:sz="4" w:space="0" w:color="auto"/>
              <w:left w:val="nil"/>
              <w:bottom w:val="single" w:sz="4" w:space="0" w:color="auto"/>
              <w:right w:val="single" w:sz="4" w:space="0" w:color="auto"/>
            </w:tcBorders>
            <w:shd w:val="clear" w:color="000000" w:fill="C6EFCE"/>
            <w:noWrap/>
            <w:vAlign w:val="bottom"/>
          </w:tcPr>
          <w:p w14:paraId="3CCCDE06" w14:textId="77777777" w:rsidR="00515398" w:rsidRDefault="006711E6">
            <w:pPr>
              <w:pStyle w:val="P68B1DB1-Normal8"/>
              <w:keepNext/>
              <w:spacing w:before="40" w:after="0" w:line="240" w:lineRule="auto"/>
              <w:jc w:val="both"/>
              <w:rPr>
                <w:noProof/>
              </w:rPr>
            </w:pPr>
            <w:r>
              <w:rPr>
                <w:noProof/>
              </w:rPr>
              <w:t>Splátková částka</w:t>
            </w:r>
          </w:p>
        </w:tc>
        <w:tc>
          <w:tcPr>
            <w:tcW w:w="1855" w:type="dxa"/>
            <w:tcBorders>
              <w:top w:val="single" w:sz="4" w:space="0" w:color="auto"/>
              <w:left w:val="nil"/>
              <w:bottom w:val="single" w:sz="4" w:space="0" w:color="auto"/>
              <w:right w:val="single" w:sz="4" w:space="0" w:color="auto"/>
            </w:tcBorders>
            <w:shd w:val="clear" w:color="000000" w:fill="C6EFCE"/>
            <w:noWrap/>
            <w:vAlign w:val="bottom"/>
          </w:tcPr>
          <w:p w14:paraId="1A6E66FF" w14:textId="159CA711" w:rsidR="00515398" w:rsidRDefault="006711E6">
            <w:pPr>
              <w:pStyle w:val="P68B1DB1-Normal8"/>
              <w:keepNext/>
              <w:spacing w:before="40" w:after="0" w:line="240" w:lineRule="auto"/>
              <w:jc w:val="both"/>
              <w:rPr>
                <w:noProof/>
              </w:rPr>
            </w:pPr>
            <w:r>
              <w:rPr>
                <w:noProof/>
              </w:rPr>
              <w:t>400 000 000 EUR</w:t>
            </w:r>
          </w:p>
        </w:tc>
      </w:tr>
    </w:tbl>
    <w:p w14:paraId="6822B860" w14:textId="77777777" w:rsidR="00515398" w:rsidRDefault="00515398">
      <w:pPr>
        <w:keepNext/>
        <w:spacing w:before="40" w:after="0" w:line="259" w:lineRule="auto"/>
        <w:jc w:val="both"/>
        <w:rPr>
          <w:rFonts w:ascii="Times New Roman" w:eastAsia="Times New Roman" w:hAnsi="Times New Roman" w:cs="Times New Roman"/>
          <w:bCs/>
          <w:noProof/>
          <w:sz w:val="24"/>
          <w:szCs w:val="26"/>
        </w:rPr>
      </w:pPr>
    </w:p>
    <w:p w14:paraId="17083456" w14:textId="77777777" w:rsidR="00515398" w:rsidRDefault="006711E6">
      <w:pPr>
        <w:pStyle w:val="P68B1DB1-Normal4"/>
        <w:keepNext/>
        <w:numPr>
          <w:ilvl w:val="1"/>
          <w:numId w:val="22"/>
        </w:numPr>
        <w:spacing w:before="40" w:after="160" w:line="259" w:lineRule="auto"/>
        <w:ind w:left="0"/>
        <w:contextualSpacing/>
        <w:jc w:val="both"/>
        <w:rPr>
          <w:rFonts w:cs="Times New Roman"/>
          <w:noProof/>
        </w:rPr>
      </w:pPr>
      <w:r>
        <w:rPr>
          <w:noProof/>
        </w:rPr>
        <w:t xml:space="preserve"> Devátá žádost o platbu (podpora úvěru): </w:t>
      </w:r>
    </w:p>
    <w:tbl>
      <w:tblPr>
        <w:tblW w:w="9639" w:type="dxa"/>
        <w:tblInd w:w="137" w:type="dxa"/>
        <w:tblLook w:val="04A0" w:firstRow="1" w:lastRow="0" w:firstColumn="1" w:lastColumn="0" w:noHBand="0" w:noVBand="1"/>
      </w:tblPr>
      <w:tblGrid>
        <w:gridCol w:w="1843"/>
        <w:gridCol w:w="4252"/>
        <w:gridCol w:w="1701"/>
        <w:gridCol w:w="1843"/>
      </w:tblGrid>
      <w:tr w:rsidR="00515398" w14:paraId="0301D0F2" w14:textId="77777777">
        <w:trPr>
          <w:trHeight w:val="964"/>
        </w:trPr>
        <w:tc>
          <w:tcPr>
            <w:tcW w:w="184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0CC8B94"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Pořadové číslo</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213796B"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Související opatření (reforma nebo investice)</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025D0BE"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Milník/cíl</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14:paraId="35C5DED1" w14:textId="77777777" w:rsidR="00515398" w:rsidRDefault="006711E6">
            <w:pPr>
              <w:pStyle w:val="P68B1DB1-Normal7"/>
              <w:keepNext/>
              <w:spacing w:before="40" w:after="0" w:line="259" w:lineRule="auto"/>
              <w:jc w:val="center"/>
              <w:rPr>
                <w:rFonts w:eastAsia="Times New Roman" w:cs="Times New Roman"/>
                <w:bCs/>
                <w:noProof/>
                <w:szCs w:val="18"/>
              </w:rPr>
            </w:pPr>
            <w:r>
              <w:rPr>
                <w:noProof/>
              </w:rPr>
              <w:t>Jméno</w:t>
            </w:r>
          </w:p>
        </w:tc>
      </w:tr>
      <w:tr w:rsidR="00515398" w14:paraId="63A19DCF" w14:textId="77777777">
        <w:trPr>
          <w:trHeight w:val="1053"/>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77B97F4B"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4252" w:type="dxa"/>
            <w:vMerge/>
            <w:tcBorders>
              <w:top w:val="single" w:sz="4" w:space="0" w:color="auto"/>
              <w:left w:val="single" w:sz="4" w:space="0" w:color="auto"/>
              <w:bottom w:val="single" w:sz="4" w:space="0" w:color="000000"/>
              <w:right w:val="single" w:sz="4" w:space="0" w:color="auto"/>
            </w:tcBorders>
            <w:vAlign w:val="center"/>
            <w:hideMark/>
          </w:tcPr>
          <w:p w14:paraId="225566F9"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15C1947"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c>
          <w:tcPr>
            <w:tcW w:w="1843" w:type="dxa"/>
            <w:vMerge/>
            <w:tcBorders>
              <w:top w:val="single" w:sz="4" w:space="0" w:color="auto"/>
              <w:left w:val="nil"/>
              <w:bottom w:val="single" w:sz="4" w:space="0" w:color="000000"/>
              <w:right w:val="single" w:sz="4" w:space="0" w:color="auto"/>
            </w:tcBorders>
            <w:vAlign w:val="center"/>
            <w:hideMark/>
          </w:tcPr>
          <w:p w14:paraId="054282D3" w14:textId="77777777" w:rsidR="00515398" w:rsidRDefault="00515398">
            <w:pPr>
              <w:keepNext/>
              <w:spacing w:before="40" w:after="0" w:line="259" w:lineRule="auto"/>
              <w:jc w:val="both"/>
              <w:rPr>
                <w:rFonts w:ascii="Times New Roman" w:eastAsia="Times New Roman" w:hAnsi="Times New Roman" w:cs="Times New Roman"/>
                <w:bCs/>
                <w:noProof/>
                <w:sz w:val="18"/>
                <w:szCs w:val="18"/>
              </w:rPr>
            </w:pPr>
          </w:p>
        </w:tc>
      </w:tr>
      <w:tr w:rsidR="00515398" w14:paraId="1A86997A"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A300124" w14:textId="4273B55E" w:rsidR="00515398" w:rsidRDefault="006711E6">
            <w:pPr>
              <w:pStyle w:val="P68B1DB1-Normal8"/>
              <w:keepNext/>
              <w:spacing w:before="40" w:after="0" w:line="240" w:lineRule="auto"/>
              <w:jc w:val="both"/>
              <w:rPr>
                <w:rFonts w:eastAsia="Times New Roman" w:cs="Times New Roman"/>
                <w:noProof/>
                <w:szCs w:val="18"/>
              </w:rPr>
            </w:pPr>
            <w:r>
              <w:rPr>
                <w:noProof/>
              </w:rPr>
              <w:t>376</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EA88DF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16401_Program modernizace energetiky „Zlepšování mého domova“</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135BB01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3F7F87B9" w14:textId="77777777" w:rsidR="00515398" w:rsidRDefault="006711E6">
            <w:pPr>
              <w:pStyle w:val="P68B1DB1-Normal51"/>
              <w:keepNext/>
              <w:spacing w:before="40" w:after="0" w:line="240" w:lineRule="auto"/>
              <w:jc w:val="both"/>
              <w:rPr>
                <w:bCs/>
                <w:noProof/>
              </w:rPr>
            </w:pPr>
            <w:r>
              <w:rPr>
                <w:noProof/>
              </w:rPr>
              <w:t xml:space="preserve">Modernizace Můj domov – právní dohody </w:t>
            </w:r>
            <w:r>
              <w:rPr>
                <w:noProof/>
              </w:rPr>
              <w:t>podepsané s konečnými příjemci – 100 %</w:t>
            </w:r>
          </w:p>
        </w:tc>
      </w:tr>
      <w:tr w:rsidR="00515398" w14:paraId="7FDA04B0"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38BAABEC" w14:textId="45721310" w:rsidR="00515398" w:rsidRDefault="006711E6">
            <w:pPr>
              <w:pStyle w:val="P68B1DB1-Normal8"/>
              <w:keepNext/>
              <w:spacing w:before="40" w:after="0" w:line="240" w:lineRule="auto"/>
              <w:jc w:val="both"/>
              <w:rPr>
                <w:rFonts w:eastAsia="Times New Roman" w:cs="Times New Roman"/>
                <w:noProof/>
                <w:szCs w:val="18"/>
              </w:rPr>
            </w:pPr>
            <w:r>
              <w:rPr>
                <w:noProof/>
              </w:rPr>
              <w:t>377</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6C6244F6"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2–1.2. Renovace – 16401_Program modernizace energetiky „Zlepšování mého domova“</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10FC9578"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44FED910" w14:textId="77777777" w:rsidR="00515398" w:rsidRDefault="006711E6">
            <w:pPr>
              <w:pStyle w:val="P68B1DB1-Normal51"/>
              <w:keepNext/>
              <w:spacing w:before="40" w:after="0" w:line="240" w:lineRule="auto"/>
              <w:jc w:val="both"/>
              <w:rPr>
                <w:bCs/>
                <w:noProof/>
              </w:rPr>
            </w:pPr>
            <w:r>
              <w:rPr>
                <w:noProof/>
              </w:rPr>
              <w:t>Modernizace Můj domov – ministerstvo financí dokončilo investici</w:t>
            </w:r>
          </w:p>
        </w:tc>
      </w:tr>
      <w:tr w:rsidR="00515398" w14:paraId="18245CBE"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69F2D7E2" w14:textId="2907F839" w:rsidR="00515398" w:rsidRDefault="006711E6">
            <w:pPr>
              <w:pStyle w:val="P68B1DB1-Normal8"/>
              <w:keepNext/>
              <w:spacing w:before="40" w:after="0" w:line="240" w:lineRule="auto"/>
              <w:jc w:val="both"/>
              <w:rPr>
                <w:rFonts w:eastAsia="Times New Roman" w:cs="Times New Roman"/>
                <w:noProof/>
                <w:szCs w:val="18"/>
              </w:rPr>
            </w:pPr>
            <w:r>
              <w:rPr>
                <w:noProof/>
              </w:rPr>
              <w:t>380</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450F45C"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 xml:space="preserve">11–3.4. Zlepšení přístupu k účinným a inkluzivním </w:t>
            </w:r>
            <w:r>
              <w:rPr>
                <w:noProof/>
              </w:rPr>
              <w:t>sociálním politikám – 16400_Program pro cenově dostupné bydlení „Můj domov II“</w:t>
            </w:r>
            <w:r>
              <w:rPr>
                <w:noProof/>
              </w:rPr>
              <w:tab/>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50BB3F8B"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Cílová</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3A819455" w14:textId="77777777" w:rsidR="00515398" w:rsidRDefault="006711E6">
            <w:pPr>
              <w:pStyle w:val="P68B1DB1-Normal51"/>
              <w:keepNext/>
              <w:spacing w:before="40" w:after="0" w:line="240" w:lineRule="auto"/>
              <w:jc w:val="both"/>
              <w:rPr>
                <w:bCs/>
                <w:noProof/>
              </w:rPr>
            </w:pPr>
            <w:r>
              <w:rPr>
                <w:noProof/>
              </w:rPr>
              <w:t>Můj domov II – právní dohody podepsané s konečnými příjemci – 100 %</w:t>
            </w:r>
          </w:p>
        </w:tc>
      </w:tr>
      <w:tr w:rsidR="00515398" w14:paraId="6D7C1FF8"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606B306" w14:textId="7F023EF7" w:rsidR="00515398" w:rsidRDefault="006711E6">
            <w:pPr>
              <w:pStyle w:val="P68B1DB1-Normal8"/>
              <w:keepNext/>
              <w:spacing w:before="40" w:after="0" w:line="240" w:lineRule="auto"/>
              <w:jc w:val="both"/>
              <w:rPr>
                <w:rFonts w:eastAsia="Times New Roman" w:cs="Times New Roman"/>
                <w:noProof/>
                <w:szCs w:val="18"/>
              </w:rPr>
            </w:pPr>
            <w:r>
              <w:rPr>
                <w:noProof/>
              </w:rPr>
              <w:t>381</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0A0ECA65"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11–3.4. Zlepšení přístupu k účinným a inkluzivním sociálním politikám – 16400_Program pro cenově</w:t>
            </w:r>
            <w:r>
              <w:rPr>
                <w:noProof/>
              </w:rPr>
              <w:t xml:space="preserve"> dostupné bydlení „Můj domov II“</w:t>
            </w:r>
            <w:r>
              <w:rPr>
                <w:noProof/>
              </w:rPr>
              <w:tab/>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747736AA" w14:textId="77777777" w:rsidR="00515398" w:rsidRDefault="006711E6">
            <w:pPr>
              <w:pStyle w:val="P68B1DB1-Normal8"/>
              <w:keepNext/>
              <w:spacing w:before="40" w:after="0" w:line="240" w:lineRule="auto"/>
              <w:jc w:val="both"/>
              <w:rPr>
                <w:rFonts w:eastAsia="Times New Roman" w:cs="Times New Roman"/>
                <w:bCs/>
                <w:noProof/>
                <w:szCs w:val="18"/>
              </w:rPr>
            </w:pPr>
            <w:r>
              <w:rPr>
                <w:noProof/>
              </w:rPr>
              <w:t>Milník</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1C791DE2" w14:textId="77777777" w:rsidR="00515398" w:rsidRDefault="006711E6">
            <w:pPr>
              <w:pStyle w:val="P68B1DB1-Normal51"/>
              <w:keepNext/>
              <w:spacing w:before="40" w:after="0" w:line="240" w:lineRule="auto"/>
              <w:jc w:val="both"/>
              <w:rPr>
                <w:bCs/>
                <w:noProof/>
              </w:rPr>
            </w:pPr>
            <w:r>
              <w:rPr>
                <w:noProof/>
              </w:rPr>
              <w:t>Můj domov II – Ministerstvo financí dokončilo investici</w:t>
            </w:r>
          </w:p>
        </w:tc>
      </w:tr>
      <w:tr w:rsidR="00515398" w14:paraId="64B8B1B0"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4DE36820" w14:textId="77777777" w:rsidR="00515398" w:rsidRDefault="006711E6">
            <w:pPr>
              <w:pStyle w:val="P68B1DB1-Normal8"/>
              <w:keepNext/>
              <w:spacing w:before="40" w:after="0" w:line="240" w:lineRule="auto"/>
              <w:jc w:val="both"/>
              <w:rPr>
                <w:noProof/>
              </w:rPr>
            </w:pPr>
            <w:r>
              <w:rPr>
                <w:noProof/>
              </w:rPr>
              <w:t>328</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281E775B" w14:textId="77777777" w:rsidR="00515398" w:rsidRDefault="006711E6">
            <w:pPr>
              <w:pStyle w:val="P68B1DB1-Normal8"/>
              <w:keepNext/>
              <w:spacing w:before="40" w:after="0" w:line="240" w:lineRule="auto"/>
              <w:jc w:val="both"/>
              <w:rPr>
                <w:noProof/>
              </w:rPr>
            </w:pPr>
            <w:r>
              <w:rPr>
                <w:noProof/>
              </w:rPr>
              <w:t>4.7. Zlepšit konkurenceschopnost a podpořit soukromé investice a vývoz – 16980_úvěrový nástroj pro oživení a odolnost</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33D5AED5" w14:textId="77777777" w:rsidR="00515398" w:rsidRDefault="006711E6">
            <w:pPr>
              <w:pStyle w:val="P68B1DB1-Normal8"/>
              <w:keepNext/>
              <w:spacing w:before="40" w:after="0" w:line="240" w:lineRule="auto"/>
              <w:jc w:val="both"/>
              <w:rPr>
                <w:noProof/>
              </w:rPr>
            </w:pPr>
            <w:r>
              <w:rPr>
                <w:noProof/>
              </w:rPr>
              <w:t>Cílová</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27A0F3E0" w14:textId="609D50B1" w:rsidR="00515398" w:rsidRDefault="006711E6">
            <w:pPr>
              <w:pStyle w:val="P68B1DB1-Normal8"/>
              <w:keepNext/>
              <w:spacing w:before="40" w:after="0" w:line="240" w:lineRule="auto"/>
              <w:jc w:val="both"/>
              <w:rPr>
                <w:noProof/>
              </w:rPr>
            </w:pPr>
            <w:r>
              <w:rPr>
                <w:noProof/>
              </w:rPr>
              <w:t xml:space="preserve">15428 milionu EUR z </w:t>
            </w:r>
            <w:r>
              <w:rPr>
                <w:noProof/>
              </w:rPr>
              <w:t>finančních prostředků finančních institucí podepsaných s konečnými příjemci</w:t>
            </w:r>
          </w:p>
        </w:tc>
      </w:tr>
      <w:tr w:rsidR="00515398" w14:paraId="5CCF8193"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000000" w:fill="C6EFCE"/>
            <w:noWrap/>
            <w:vAlign w:val="center"/>
          </w:tcPr>
          <w:p w14:paraId="1C859A8F" w14:textId="77777777" w:rsidR="00515398" w:rsidRDefault="006711E6">
            <w:pPr>
              <w:pStyle w:val="P68B1DB1-Normal8"/>
              <w:keepNext/>
              <w:spacing w:before="40" w:after="0" w:line="240" w:lineRule="auto"/>
              <w:jc w:val="both"/>
              <w:rPr>
                <w:rFonts w:cs="Times New Roman"/>
                <w:noProof/>
                <w:szCs w:val="18"/>
              </w:rPr>
            </w:pPr>
            <w:r>
              <w:rPr>
                <w:noProof/>
              </w:rPr>
              <w:t>328a</w:t>
            </w:r>
          </w:p>
        </w:tc>
        <w:tc>
          <w:tcPr>
            <w:tcW w:w="4252" w:type="dxa"/>
            <w:tcBorders>
              <w:top w:val="single" w:sz="4" w:space="0" w:color="auto"/>
              <w:left w:val="nil"/>
              <w:bottom w:val="single" w:sz="4" w:space="0" w:color="auto"/>
              <w:right w:val="single" w:sz="4" w:space="0" w:color="auto"/>
            </w:tcBorders>
            <w:shd w:val="clear" w:color="000000" w:fill="C6EFCE"/>
            <w:noWrap/>
            <w:vAlign w:val="center"/>
          </w:tcPr>
          <w:p w14:paraId="4C872FD3" w14:textId="77777777" w:rsidR="00515398" w:rsidRDefault="006711E6">
            <w:pPr>
              <w:pStyle w:val="P68B1DB1-Normal8"/>
              <w:keepNext/>
              <w:spacing w:before="40" w:after="0" w:line="240" w:lineRule="auto"/>
              <w:jc w:val="both"/>
              <w:rPr>
                <w:rFonts w:cs="Times New Roman"/>
                <w:noProof/>
                <w:szCs w:val="18"/>
              </w:rPr>
            </w:pPr>
            <w:r>
              <w:rPr>
                <w:noProof/>
              </w:rPr>
              <w:t>4.7. Zlepšit konkurenceschopnost a podpořit soukromé investice a vývoz – 16980_úvěrový nástroj pro oživení a odolnost</w:t>
            </w:r>
          </w:p>
        </w:tc>
        <w:tc>
          <w:tcPr>
            <w:tcW w:w="1701" w:type="dxa"/>
            <w:tcBorders>
              <w:top w:val="single" w:sz="4" w:space="0" w:color="auto"/>
              <w:left w:val="nil"/>
              <w:bottom w:val="single" w:sz="4" w:space="0" w:color="auto"/>
              <w:right w:val="single" w:sz="4" w:space="0" w:color="auto"/>
            </w:tcBorders>
            <w:shd w:val="clear" w:color="000000" w:fill="C6EFCE"/>
            <w:noWrap/>
            <w:vAlign w:val="center"/>
          </w:tcPr>
          <w:p w14:paraId="79427D40" w14:textId="77777777" w:rsidR="00515398" w:rsidRDefault="006711E6">
            <w:pPr>
              <w:pStyle w:val="P68B1DB1-Normal8"/>
              <w:keepNext/>
              <w:spacing w:before="40" w:after="0" w:line="240" w:lineRule="auto"/>
              <w:jc w:val="both"/>
              <w:rPr>
                <w:rFonts w:cs="Times New Roman"/>
                <w:noProof/>
                <w:szCs w:val="18"/>
              </w:rPr>
            </w:pPr>
            <w:r>
              <w:rPr>
                <w:noProof/>
              </w:rPr>
              <w:t>Milník</w:t>
            </w:r>
          </w:p>
        </w:tc>
        <w:tc>
          <w:tcPr>
            <w:tcW w:w="1843" w:type="dxa"/>
            <w:tcBorders>
              <w:top w:val="single" w:sz="4" w:space="0" w:color="auto"/>
              <w:left w:val="nil"/>
              <w:bottom w:val="single" w:sz="4" w:space="0" w:color="auto"/>
              <w:right w:val="single" w:sz="4" w:space="0" w:color="auto"/>
            </w:tcBorders>
            <w:shd w:val="clear" w:color="000000" w:fill="C6EFCE"/>
            <w:noWrap/>
            <w:vAlign w:val="center"/>
          </w:tcPr>
          <w:p w14:paraId="06CC0B05" w14:textId="2662F99D" w:rsidR="00515398" w:rsidRDefault="006711E6">
            <w:pPr>
              <w:pStyle w:val="P68B1DB1-Normal8"/>
              <w:keepNext/>
              <w:spacing w:before="40" w:after="0" w:line="240" w:lineRule="auto"/>
              <w:jc w:val="both"/>
              <w:rPr>
                <w:rFonts w:cs="Times New Roman"/>
                <w:noProof/>
                <w:szCs w:val="18"/>
              </w:rPr>
            </w:pPr>
            <w:r>
              <w:rPr>
                <w:noProof/>
              </w:rPr>
              <w:t xml:space="preserve">Úvěrový nástroj – Ministerstvo financí dokončilo </w:t>
            </w:r>
            <w:r>
              <w:rPr>
                <w:noProof/>
              </w:rPr>
              <w:t>investici</w:t>
            </w:r>
          </w:p>
        </w:tc>
      </w:tr>
      <w:tr w:rsidR="00515398" w14:paraId="3DDA1CF3" w14:textId="77777777">
        <w:trPr>
          <w:trHeight w:val="320"/>
        </w:trPr>
        <w:tc>
          <w:tcPr>
            <w:tcW w:w="184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70F40258" w14:textId="77777777" w:rsidR="00515398" w:rsidRDefault="00515398">
            <w:pPr>
              <w:keepNext/>
              <w:spacing w:before="40" w:after="0" w:line="240" w:lineRule="auto"/>
              <w:jc w:val="both"/>
              <w:rPr>
                <w:rFonts w:ascii="Times New Roman" w:eastAsia="Times New Roman" w:hAnsi="Times New Roman" w:cs="Times New Roman"/>
                <w:noProof/>
                <w:sz w:val="18"/>
                <w:szCs w:val="18"/>
              </w:rPr>
            </w:pPr>
          </w:p>
        </w:tc>
        <w:tc>
          <w:tcPr>
            <w:tcW w:w="4252" w:type="dxa"/>
            <w:tcBorders>
              <w:top w:val="single" w:sz="4" w:space="0" w:color="auto"/>
              <w:left w:val="nil"/>
              <w:bottom w:val="single" w:sz="4" w:space="0" w:color="auto"/>
              <w:right w:val="single" w:sz="4" w:space="0" w:color="auto"/>
            </w:tcBorders>
            <w:shd w:val="clear" w:color="auto" w:fill="C6EFCE"/>
            <w:noWrap/>
            <w:vAlign w:val="bottom"/>
          </w:tcPr>
          <w:p w14:paraId="5C0AE24D" w14:textId="77777777" w:rsidR="00515398" w:rsidRDefault="00515398">
            <w:pPr>
              <w:keepNext/>
              <w:spacing w:before="40" w:after="0" w:line="240" w:lineRule="auto"/>
              <w:jc w:val="both"/>
              <w:rPr>
                <w:rFonts w:ascii="Times New Roman" w:hAnsi="Times New Roman" w:cs="Times New Roman"/>
                <w:noProof/>
                <w:sz w:val="18"/>
                <w:szCs w:val="18"/>
              </w:rPr>
            </w:pPr>
          </w:p>
        </w:tc>
        <w:tc>
          <w:tcPr>
            <w:tcW w:w="1701" w:type="dxa"/>
            <w:tcBorders>
              <w:top w:val="single" w:sz="4" w:space="0" w:color="auto"/>
              <w:left w:val="nil"/>
              <w:bottom w:val="single" w:sz="4" w:space="0" w:color="auto"/>
              <w:right w:val="single" w:sz="4" w:space="0" w:color="auto"/>
            </w:tcBorders>
            <w:shd w:val="clear" w:color="auto" w:fill="C6EFCE"/>
            <w:noWrap/>
            <w:vAlign w:val="bottom"/>
          </w:tcPr>
          <w:p w14:paraId="28989963" w14:textId="77777777" w:rsidR="00515398" w:rsidRDefault="006711E6">
            <w:pPr>
              <w:pStyle w:val="P68B1DB1-Normal8"/>
              <w:keepNext/>
              <w:spacing w:before="40" w:after="0" w:line="240" w:lineRule="auto"/>
              <w:jc w:val="both"/>
              <w:rPr>
                <w:rFonts w:cs="Times New Roman"/>
                <w:noProof/>
                <w:szCs w:val="18"/>
              </w:rPr>
            </w:pPr>
            <w:r>
              <w:rPr>
                <w:noProof/>
              </w:rPr>
              <w:t>Splátková částka</w:t>
            </w:r>
          </w:p>
        </w:tc>
        <w:tc>
          <w:tcPr>
            <w:tcW w:w="1843" w:type="dxa"/>
            <w:tcBorders>
              <w:top w:val="single" w:sz="4" w:space="0" w:color="auto"/>
              <w:left w:val="nil"/>
              <w:bottom w:val="single" w:sz="4" w:space="0" w:color="auto"/>
              <w:right w:val="single" w:sz="4" w:space="0" w:color="auto"/>
            </w:tcBorders>
            <w:shd w:val="clear" w:color="auto" w:fill="C6EFCE"/>
            <w:noWrap/>
            <w:vAlign w:val="bottom"/>
          </w:tcPr>
          <w:p w14:paraId="014136A6" w14:textId="77DEE208" w:rsidR="00515398" w:rsidRDefault="006711E6">
            <w:pPr>
              <w:pStyle w:val="P68B1DB1-Normal8"/>
              <w:keepNext/>
              <w:spacing w:before="40" w:after="0" w:line="240" w:lineRule="auto"/>
              <w:jc w:val="both"/>
              <w:rPr>
                <w:noProof/>
              </w:rPr>
            </w:pPr>
            <w:r>
              <w:rPr>
                <w:noProof/>
              </w:rPr>
              <w:t>2 609 255 117 EUR</w:t>
            </w:r>
          </w:p>
        </w:tc>
      </w:tr>
    </w:tbl>
    <w:p w14:paraId="73957B47" w14:textId="77777777" w:rsidR="00515398" w:rsidRDefault="006711E6">
      <w:pPr>
        <w:rPr>
          <w:rFonts w:ascii="Times New Roman" w:hAnsi="Times New Roman" w:cs="Times New Roman"/>
          <w:b/>
          <w:bCs/>
          <w:noProof/>
          <w:sz w:val="24"/>
        </w:rPr>
      </w:pPr>
      <w:r>
        <w:rPr>
          <w:noProof/>
        </w:rPr>
        <w:br w:type="page"/>
      </w:r>
    </w:p>
    <w:p w14:paraId="48A758C4" w14:textId="77777777" w:rsidR="00515398" w:rsidRDefault="006711E6">
      <w:pPr>
        <w:pStyle w:val="P68B1DB1-Normal48"/>
        <w:keepNext/>
        <w:tabs>
          <w:tab w:val="num" w:pos="850"/>
        </w:tabs>
        <w:spacing w:before="120" w:after="120" w:line="259" w:lineRule="auto"/>
        <w:ind w:hanging="850"/>
        <w:jc w:val="both"/>
        <w:outlineLvl w:val="0"/>
        <w:rPr>
          <w:rFonts w:eastAsia="Times New Roman" w:cs="Times New Roman"/>
          <w:noProof/>
        </w:rPr>
      </w:pPr>
      <w:r>
        <w:rPr>
          <w:noProof/>
        </w:rPr>
        <w:t xml:space="preserve">ODDÍL 4: DALŠÍ OPATŘENÍ </w:t>
      </w:r>
    </w:p>
    <w:p w14:paraId="57052859" w14:textId="77777777" w:rsidR="00515398" w:rsidRDefault="006711E6">
      <w:pPr>
        <w:pStyle w:val="P68B1DB1-Normal2"/>
        <w:numPr>
          <w:ilvl w:val="6"/>
          <w:numId w:val="17"/>
        </w:numPr>
        <w:spacing w:before="120" w:after="120" w:line="240" w:lineRule="auto"/>
        <w:ind w:left="0" w:hanging="567"/>
        <w:jc w:val="both"/>
        <w:rPr>
          <w:rFonts w:eastAsia="Times New Roman" w:cs="Times New Roman"/>
          <w:noProof/>
        </w:rPr>
      </w:pPr>
      <w:r>
        <w:rPr>
          <w:noProof/>
        </w:rPr>
        <w:t>Opatření pro monitorování a provádění plánu pro oživení a odolnost</w:t>
      </w:r>
    </w:p>
    <w:p w14:paraId="7BE9D3AB" w14:textId="77777777" w:rsidR="00515398" w:rsidRDefault="006711E6">
      <w:pPr>
        <w:pStyle w:val="P68B1DB1-Normal4"/>
        <w:spacing w:before="120" w:after="120" w:line="240" w:lineRule="auto"/>
        <w:jc w:val="both"/>
        <w:rPr>
          <w:rFonts w:cs="Times New Roman"/>
          <w:noProof/>
        </w:rPr>
      </w:pPr>
      <w:r>
        <w:rPr>
          <w:noProof/>
        </w:rPr>
        <w:t xml:space="preserve">Monitorování a provádění plánu pro oživení a odolnost Řecka se provádí v souladu s následujícími ujednáními. </w:t>
      </w:r>
    </w:p>
    <w:p w14:paraId="546A3231" w14:textId="77777777" w:rsidR="00515398" w:rsidRDefault="006711E6">
      <w:pPr>
        <w:pStyle w:val="P68B1DB1-Normal4"/>
        <w:spacing w:before="120" w:after="120" w:line="240" w:lineRule="auto"/>
        <w:jc w:val="both"/>
        <w:rPr>
          <w:rFonts w:cs="Times New Roman"/>
          <w:noProof/>
        </w:rPr>
      </w:pPr>
      <w:r>
        <w:rPr>
          <w:noProof/>
        </w:rPr>
        <w:t xml:space="preserve">Hlavním orgánem odpovědným za koordinaci provádění a monitorování plánu pro oživení a odolnost bude Agentura pro koordinaci Nástroje pro oživení a odolnost, nezávislá zvláštní veřejná služba ministerstva financí, zřízená zákonem č. 4738/2020. Agentura pro </w:t>
      </w:r>
      <w:r>
        <w:rPr>
          <w:noProof/>
        </w:rPr>
        <w:t>koordinaci Nástroje pro oživení a odolnost je rovněž odpovědným orgánem za ověřování, že stanovené milníky a cíle plánu na podporu oživení a odolnosti byly dokončeny, a rovněž působí jako (jednotný) styčný bod mezi Evropskou komisí a řeckými orgány. Jeho ú</w:t>
      </w:r>
      <w:r>
        <w:rPr>
          <w:noProof/>
        </w:rPr>
        <w:t>koly konkrétně zahrnují aktivní sledování pokroku projektů na základě dohodnutých milníků a cílů a předkládání žádostí o platbu Evropské komisi po ověření jejich dokončení. K tomuto prohlášení se přiloží prohlášení řídícího subjektu, že finanční prostředky</w:t>
      </w:r>
      <w:r>
        <w:rPr>
          <w:noProof/>
        </w:rPr>
        <w:t xml:space="preserve"> byly použity k zamýšleným účelům a v souladu se zásadou řádného finančního řízení, jakož i souhrn provedených auditů, včetně zjištěných nedostatků a přijatých nápravných opatření.</w:t>
      </w:r>
    </w:p>
    <w:p w14:paraId="0914715F" w14:textId="77777777" w:rsidR="00515398" w:rsidRDefault="006711E6">
      <w:pPr>
        <w:pStyle w:val="P68B1DB1-Normal4"/>
        <w:spacing w:before="120" w:after="120" w:line="240" w:lineRule="auto"/>
        <w:jc w:val="both"/>
        <w:rPr>
          <w:rFonts w:cs="Times New Roman"/>
          <w:noProof/>
        </w:rPr>
      </w:pPr>
      <w:r>
        <w:rPr>
          <w:noProof/>
        </w:rPr>
        <w:t xml:space="preserve">Celková odpovědnost za provádění každého konkrétního opatření spadá do pravomoci příslušného ministerstva, jehož útvary budou podporovat monitorování pokroku projektů a udržovat úzkou spolupráci s Agenturou pro koordinaci Nástroje pro oživení a odolnost. </w:t>
      </w:r>
    </w:p>
    <w:p w14:paraId="704E0EBE" w14:textId="77777777" w:rsidR="00515398" w:rsidRDefault="006711E6">
      <w:pPr>
        <w:pStyle w:val="P68B1DB1-Normal4"/>
        <w:spacing w:before="120" w:after="120" w:line="240" w:lineRule="auto"/>
        <w:jc w:val="both"/>
        <w:rPr>
          <w:rFonts w:cs="Times New Roman"/>
          <w:noProof/>
        </w:rPr>
      </w:pPr>
      <w:r>
        <w:rPr>
          <w:noProof/>
        </w:rPr>
        <w:t>Veškerá opatření v plánu provádějí vnitrostátní subjekty (dále jen „prováděcí subjekty“) jmenované příslušným ministerstvem a odpovídají za dosažení dohodnutých milníků a cílů, jakož i za podávání zpráv o všech údajích a dokumentaci agentuře pro koordinaci</w:t>
      </w:r>
      <w:r>
        <w:rPr>
          <w:noProof/>
        </w:rPr>
        <w:t xml:space="preserve"> Nástroje pro oživení a odolnost prostřednictvím řídícího informačního systému, který bude zřízen. </w:t>
      </w:r>
    </w:p>
    <w:p w14:paraId="7D9888EE" w14:textId="77777777" w:rsidR="00515398" w:rsidRDefault="006711E6">
      <w:pPr>
        <w:pStyle w:val="P68B1DB1-Normal4"/>
        <w:spacing w:before="120" w:after="120" w:line="240" w:lineRule="auto"/>
        <w:jc w:val="both"/>
        <w:rPr>
          <w:rFonts w:cs="Times New Roman"/>
          <w:noProof/>
        </w:rPr>
      </w:pPr>
      <w:r>
        <w:rPr>
          <w:noProof/>
        </w:rPr>
        <w:t>Konečně, výbor pro finanční audit (EDEL, který je součástí Generálního sekretariátu pro fiskální politiku (Státní generální účetní úřad) ministerstva financ</w:t>
      </w:r>
      <w:r>
        <w:rPr>
          <w:noProof/>
        </w:rPr>
        <w:t>í) zajišťuje dodržování zásad řádného finančního řízení.</w:t>
      </w:r>
    </w:p>
    <w:p w14:paraId="5FCA00AE" w14:textId="77777777" w:rsidR="00515398" w:rsidRDefault="00515398">
      <w:pPr>
        <w:spacing w:before="120" w:after="120" w:line="240" w:lineRule="auto"/>
        <w:jc w:val="both"/>
        <w:rPr>
          <w:rFonts w:ascii="Times New Roman" w:hAnsi="Times New Roman" w:cs="Times New Roman"/>
          <w:noProof/>
          <w:sz w:val="24"/>
        </w:rPr>
      </w:pPr>
    </w:p>
    <w:p w14:paraId="6388F48A" w14:textId="77777777" w:rsidR="00515398" w:rsidRDefault="006711E6">
      <w:pPr>
        <w:pStyle w:val="P68B1DB1-Normal2"/>
        <w:numPr>
          <w:ilvl w:val="6"/>
          <w:numId w:val="17"/>
        </w:numPr>
        <w:spacing w:before="120" w:after="120" w:line="240" w:lineRule="auto"/>
        <w:ind w:left="0" w:hanging="567"/>
        <w:jc w:val="both"/>
        <w:rPr>
          <w:rFonts w:cs="Times New Roman"/>
          <w:noProof/>
        </w:rPr>
      </w:pPr>
      <w:r>
        <w:rPr>
          <w:noProof/>
        </w:rPr>
        <w:t>Opatření pro zajištění plného přístupu Komise k podkladovým údajům</w:t>
      </w:r>
    </w:p>
    <w:p w14:paraId="181A5077" w14:textId="77777777" w:rsidR="00515398" w:rsidRDefault="006711E6">
      <w:pPr>
        <w:pStyle w:val="P68B1DB1-Normal4"/>
        <w:spacing w:before="120" w:after="120" w:line="240" w:lineRule="auto"/>
        <w:jc w:val="both"/>
        <w:rPr>
          <w:rFonts w:cs="Times New Roman"/>
          <w:noProof/>
        </w:rPr>
      </w:pPr>
      <w:r>
        <w:rPr>
          <w:noProof/>
        </w:rPr>
        <w:t>Aby Řecko poskytlo Komisi plný přístup k příslušným podkladovým údajům, zavede tato opatření:</w:t>
      </w:r>
    </w:p>
    <w:p w14:paraId="448DA226" w14:textId="77777777" w:rsidR="00515398" w:rsidRDefault="006711E6">
      <w:pPr>
        <w:pStyle w:val="P68B1DB1-Normal4"/>
        <w:spacing w:before="120" w:after="120" w:line="240" w:lineRule="auto"/>
        <w:jc w:val="both"/>
        <w:rPr>
          <w:rFonts w:cs="Times New Roman"/>
          <w:noProof/>
        </w:rPr>
      </w:pPr>
      <w:r>
        <w:rPr>
          <w:noProof/>
        </w:rPr>
        <w:t xml:space="preserve">Agentura pro koordinaci Nástroje pro </w:t>
      </w:r>
      <w:r>
        <w:rPr>
          <w:noProof/>
        </w:rPr>
        <w:t>oživení a odolnost jako ústřední koordinační orgán pro řecký plán pro oživení a odolnost a jeho provádění odpovídá za celkovou koordinaci a monitorování plánu. Jedná zejména jako koordinační subjekt pro sledování pokroku v plnění milníků a cílů, pro monito</w:t>
      </w:r>
      <w:r>
        <w:rPr>
          <w:noProof/>
        </w:rPr>
        <w:t>rování a případně provádění kontrolních a auditních činností a pro podávání zpráv a žádostí o platby. Koordinuje vykazování milníků a cílů, příslušných ukazatelů, ale také kvalitativních finančních informací a dalších údajů, například o konečných příjemcíc</w:t>
      </w:r>
      <w:r>
        <w:rPr>
          <w:noProof/>
        </w:rPr>
        <w:t>h. Kódování údajů probíhá napříč prováděcími subjekty, které jsou povinny oznamovat požadované údaje agentuře pro koordinaci Nástroje pro oživení a odolnost prostřednictvím řídícího informačního systému.</w:t>
      </w:r>
    </w:p>
    <w:p w14:paraId="08925922" w14:textId="77777777" w:rsidR="00515398" w:rsidRDefault="006711E6">
      <w:pPr>
        <w:pStyle w:val="P68B1DB1-Normal4"/>
        <w:spacing w:before="120" w:after="120" w:line="240" w:lineRule="auto"/>
        <w:jc w:val="both"/>
        <w:rPr>
          <w:rFonts w:cs="Times New Roman"/>
          <w:noProof/>
        </w:rPr>
      </w:pPr>
      <w:r>
        <w:rPr>
          <w:noProof/>
        </w:rPr>
        <w:t>V souladu s čl. 24 odst. 2 nařízení (EU) 2021/241 př</w:t>
      </w:r>
      <w:r>
        <w:rPr>
          <w:noProof/>
        </w:rPr>
        <w:t>edloží Řecko po dokončení příslušných dohodnutých milníků a cílů uvedených v oddíle 2.1 této přílohy Komisi řádně odůvodněnou žádost o vyplacení finančního příspěvku a případně půjčky. Řecko zajistí, aby Komise měla na požádání plný přístup k příslušným po</w:t>
      </w:r>
      <w:r>
        <w:rPr>
          <w:noProof/>
        </w:rPr>
        <w:t xml:space="preserve">dkladovým údajům, které podporují řádné odůvodnění žádosti o platbu, a to jak pro posouzení žádosti o platbu v souladu s čl. 24 odst. 3 nařízení (EU) 2021/241, tak pro účely auditu a kontroly. </w:t>
      </w:r>
    </w:p>
    <w:p w14:paraId="71723235" w14:textId="77777777" w:rsidR="00515398" w:rsidRDefault="00515398">
      <w:pPr>
        <w:keepNext/>
        <w:spacing w:before="120" w:after="160" w:line="259" w:lineRule="auto"/>
        <w:ind w:hanging="360"/>
        <w:contextualSpacing/>
        <w:jc w:val="both"/>
        <w:rPr>
          <w:rFonts w:ascii="Times New Roman" w:hAnsi="Times New Roman" w:cs="Times New Roman"/>
          <w:noProof/>
          <w:sz w:val="24"/>
        </w:rPr>
      </w:pPr>
    </w:p>
    <w:sectPr w:rsidR="00515398">
      <w:headerReference w:type="even" r:id="rId375"/>
      <w:headerReference w:type="default" r:id="rId376"/>
      <w:footerReference w:type="even" r:id="rId377"/>
      <w:footerReference w:type="default" r:id="rId378"/>
      <w:headerReference w:type="first" r:id="rId379"/>
      <w:footerReference w:type="first" r:id="rId380"/>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3F8A" w14:textId="77777777" w:rsidR="00FD70B5" w:rsidRDefault="00FD70B5">
      <w:pPr>
        <w:spacing w:after="0" w:line="240" w:lineRule="auto"/>
      </w:pPr>
      <w:r>
        <w:separator/>
      </w:r>
    </w:p>
  </w:endnote>
  <w:endnote w:type="continuationSeparator" w:id="0">
    <w:p w14:paraId="381F5E87" w14:textId="77777777" w:rsidR="00FD70B5" w:rsidRDefault="00FD70B5">
      <w:pPr>
        <w:spacing w:after="0" w:line="240" w:lineRule="auto"/>
      </w:pPr>
      <w:r>
        <w:continuationSeparator/>
      </w:r>
    </w:p>
  </w:endnote>
  <w:endnote w:type="continuationNotice" w:id="1">
    <w:p w14:paraId="3AA1DCBB" w14:textId="77777777" w:rsidR="00FD70B5" w:rsidRDefault="00FD7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16747">
    <w:altName w:val="Times New Roman"/>
    <w:panose1 w:val="00000000000000000000"/>
    <w:charset w:val="00"/>
    <w:family w:val="roman"/>
    <w:notTrueType/>
    <w:pitch w:val="default"/>
  </w:font>
  <w:font w:name="car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E8E5" w14:textId="53904C15" w:rsidR="006711E6" w:rsidRPr="006711E6" w:rsidRDefault="006711E6" w:rsidP="006711E6">
    <w:pPr>
      <w:pStyle w:val="FooterCoverPage"/>
      <w:rPr>
        <w:rFonts w:ascii="Arial" w:hAnsi="Arial" w:cs="Arial"/>
        <w:b/>
        <w:sz w:val="48"/>
      </w:rPr>
    </w:pPr>
    <w:r w:rsidRPr="006711E6">
      <w:rPr>
        <w:rFonts w:ascii="Arial" w:hAnsi="Arial" w:cs="Arial"/>
        <w:b/>
        <w:sz w:val="48"/>
      </w:rPr>
      <w:t>CS</w:t>
    </w:r>
    <w:r w:rsidRPr="006711E6">
      <w:rPr>
        <w:rFonts w:ascii="Arial" w:hAnsi="Arial" w:cs="Arial"/>
        <w:b/>
        <w:sz w:val="48"/>
      </w:rPr>
      <w:tab/>
    </w:r>
    <w:r w:rsidRPr="006711E6">
      <w:rPr>
        <w:rFonts w:ascii="Arial" w:hAnsi="Arial" w:cs="Arial"/>
        <w:b/>
        <w:sz w:val="48"/>
      </w:rPr>
      <w:tab/>
    </w:r>
    <w:r w:rsidRPr="006711E6">
      <w:tab/>
    </w:r>
    <w:r w:rsidRPr="006711E6">
      <w:rPr>
        <w:rFonts w:ascii="Arial" w:hAnsi="Arial" w:cs="Arial"/>
        <w:b/>
        <w:sz w:val="48"/>
      </w:rPr>
      <w:t>CS</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58BE" w14:textId="77777777" w:rsidR="00515398" w:rsidRDefault="00515398">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DDFF" w14:textId="77777777" w:rsidR="00515398" w:rsidRDefault="00515398">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177095"/>
      <w:docPartObj>
        <w:docPartGallery w:val="Page Numbers (Bottom of Page)"/>
        <w:docPartUnique/>
      </w:docPartObj>
    </w:sdtPr>
    <w:sdtEndPr>
      <w:rPr>
        <w:noProof/>
      </w:rPr>
    </w:sdtEndPr>
    <w:sdtContent>
      <w:p w14:paraId="1FEEE3D5" w14:textId="16D72BE5"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7F1623D7" w14:textId="77777777" w:rsidR="00515398" w:rsidRDefault="00515398">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71AA" w14:textId="77777777" w:rsidR="00515398" w:rsidRDefault="00515398">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48A73" w14:textId="77777777" w:rsidR="00515398" w:rsidRDefault="00515398">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530411"/>
      <w:docPartObj>
        <w:docPartGallery w:val="Page Numbers (Bottom of Page)"/>
        <w:docPartUnique/>
      </w:docPartObj>
    </w:sdtPr>
    <w:sdtEndPr>
      <w:rPr>
        <w:noProof/>
      </w:rPr>
    </w:sdtEndPr>
    <w:sdtContent>
      <w:p w14:paraId="5C721E3E" w14:textId="6D3B14EC"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1114F20" w14:textId="77777777" w:rsidR="00515398" w:rsidRDefault="00515398">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E5DE" w14:textId="77777777" w:rsidR="00515398" w:rsidRDefault="00515398">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A797" w14:textId="77777777" w:rsidR="00515398" w:rsidRDefault="00515398">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49528"/>
      <w:docPartObj>
        <w:docPartGallery w:val="Page Numbers (Bottom of Page)"/>
        <w:docPartUnique/>
      </w:docPartObj>
    </w:sdtPr>
    <w:sdtEndPr>
      <w:rPr>
        <w:noProof/>
      </w:rPr>
    </w:sdtEndPr>
    <w:sdtContent>
      <w:p w14:paraId="0DF7644A" w14:textId="45CE56B9"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7003C998" w14:textId="77777777" w:rsidR="00515398" w:rsidRDefault="00515398">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275C" w14:textId="77777777" w:rsidR="00515398" w:rsidRDefault="00515398">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DA9C" w14:textId="77777777" w:rsidR="00515398" w:rsidRDefault="005153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458966"/>
      <w:docPartObj>
        <w:docPartGallery w:val="Page Numbers (Bottom of Page)"/>
        <w:docPartUnique/>
      </w:docPartObj>
    </w:sdtPr>
    <w:sdtEndPr>
      <w:rPr>
        <w:noProof/>
      </w:rPr>
    </w:sdtEndPr>
    <w:sdtContent>
      <w:p w14:paraId="0CCAFC9F" w14:textId="66F82A29" w:rsidR="00515398" w:rsidRDefault="006711E6">
        <w:pPr>
          <w:pStyle w:val="Footer"/>
          <w:jc w:val="center"/>
        </w:pPr>
        <w:r>
          <w:fldChar w:fldCharType="begin"/>
        </w:r>
        <w:r>
          <w:instrText xml:space="preserve"> PAGE   \* MERGEFORMAT </w:instrText>
        </w:r>
        <w:r>
          <w:fldChar w:fldCharType="separate"/>
        </w:r>
        <w:r w:rsidR="00A139C3">
          <w:rPr>
            <w:noProof/>
          </w:rPr>
          <w:t>14</w:t>
        </w:r>
        <w:r>
          <w:fldChar w:fldCharType="end"/>
        </w:r>
      </w:p>
    </w:sdtContent>
  </w:sdt>
  <w:p w14:paraId="45A15471" w14:textId="77777777" w:rsidR="00515398" w:rsidRDefault="00515398">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870871"/>
      <w:docPartObj>
        <w:docPartGallery w:val="Page Numbers (Bottom of Page)"/>
        <w:docPartUnique/>
      </w:docPartObj>
    </w:sdtPr>
    <w:sdtEndPr>
      <w:rPr>
        <w:noProof/>
      </w:rPr>
    </w:sdtEndPr>
    <w:sdtContent>
      <w:p w14:paraId="6262EC58" w14:textId="541F416C"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4D06854" w14:textId="77777777" w:rsidR="00515398" w:rsidRDefault="00515398">
    <w:pPr>
      <w:pStyle w:val="Footer"/>
      <w:tabs>
        <w:tab w:val="clear" w:pos="4535"/>
        <w:tab w:val="clear" w:pos="9071"/>
        <w:tab w:val="clear" w:pos="9921"/>
        <w:tab w:val="left" w:pos="1675"/>
      </w:tabs>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0021" w14:textId="77777777" w:rsidR="00515398" w:rsidRDefault="00515398">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D284" w14:textId="77777777" w:rsidR="00515398" w:rsidRDefault="00515398">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18742"/>
      <w:docPartObj>
        <w:docPartGallery w:val="Page Numbers (Bottom of Page)"/>
        <w:docPartUnique/>
      </w:docPartObj>
    </w:sdtPr>
    <w:sdtEndPr>
      <w:rPr>
        <w:noProof/>
      </w:rPr>
    </w:sdtEndPr>
    <w:sdtContent>
      <w:p w14:paraId="419C51EA" w14:textId="0B1FBFC9"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16CDB2EB" w14:textId="77777777" w:rsidR="00515398" w:rsidRDefault="00515398">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C6EF" w14:textId="77777777" w:rsidR="00515398" w:rsidRDefault="00515398">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E85D" w14:textId="77777777" w:rsidR="00515398" w:rsidRDefault="00515398">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82215"/>
      <w:docPartObj>
        <w:docPartGallery w:val="Page Numbers (Bottom of Page)"/>
        <w:docPartUnique/>
      </w:docPartObj>
    </w:sdtPr>
    <w:sdtEndPr>
      <w:rPr>
        <w:noProof/>
      </w:rPr>
    </w:sdtEndPr>
    <w:sdtContent>
      <w:p w14:paraId="1B2BC6B9" w14:textId="6A8E2C5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3DF5B47D" w14:textId="77777777" w:rsidR="00515398" w:rsidRDefault="00515398">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51AE" w14:textId="77777777" w:rsidR="00515398" w:rsidRDefault="00515398">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0253" w14:textId="77777777" w:rsidR="00515398" w:rsidRDefault="00515398">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08692"/>
      <w:docPartObj>
        <w:docPartGallery w:val="Page Numbers (Bottom of Page)"/>
        <w:docPartUnique/>
      </w:docPartObj>
    </w:sdtPr>
    <w:sdtEndPr>
      <w:rPr>
        <w:noProof/>
      </w:rPr>
    </w:sdtEndPr>
    <w:sdtContent>
      <w:p w14:paraId="073DA152" w14:textId="1BB95FC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B4C50CA" w14:textId="77777777" w:rsidR="00515398" w:rsidRDefault="0051539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FBAB" w14:textId="77777777" w:rsidR="00515398" w:rsidRDefault="00515398">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37C0" w14:textId="77777777" w:rsidR="00515398" w:rsidRDefault="00515398">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9312" w14:textId="77777777" w:rsidR="00515398" w:rsidRDefault="00515398">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67307"/>
      <w:docPartObj>
        <w:docPartGallery w:val="Page Numbers (Bottom of Page)"/>
        <w:docPartUnique/>
      </w:docPartObj>
    </w:sdtPr>
    <w:sdtEndPr>
      <w:rPr>
        <w:noProof/>
      </w:rPr>
    </w:sdtEndPr>
    <w:sdtContent>
      <w:p w14:paraId="7033C71A" w14:textId="57AFC7EC"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2D8E6199" w14:textId="77777777" w:rsidR="00515398" w:rsidRDefault="00515398">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0792" w14:textId="77777777" w:rsidR="00515398" w:rsidRDefault="00515398">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3E59" w14:textId="77777777" w:rsidR="00515398" w:rsidRDefault="00515398">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625519"/>
      <w:docPartObj>
        <w:docPartGallery w:val="Page Numbers (Bottom of Page)"/>
        <w:docPartUnique/>
      </w:docPartObj>
    </w:sdtPr>
    <w:sdtEndPr>
      <w:rPr>
        <w:noProof/>
      </w:rPr>
    </w:sdtEndPr>
    <w:sdtContent>
      <w:p w14:paraId="08B99CC7" w14:textId="290C6226"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2C6759AF" w14:textId="77777777" w:rsidR="00515398" w:rsidRDefault="00515398">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66A1" w14:textId="77777777" w:rsidR="00515398" w:rsidRDefault="00515398">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0528" w14:textId="77777777" w:rsidR="00515398" w:rsidRDefault="00515398">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01151"/>
      <w:docPartObj>
        <w:docPartGallery w:val="Page Numbers (Bottom of Page)"/>
        <w:docPartUnique/>
      </w:docPartObj>
    </w:sdtPr>
    <w:sdtEndPr>
      <w:rPr>
        <w:noProof/>
      </w:rPr>
    </w:sdtEndPr>
    <w:sdtContent>
      <w:p w14:paraId="7CD2E1DC" w14:textId="0D473F7D"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9A7DEF6" w14:textId="77777777" w:rsidR="00515398" w:rsidRDefault="00515398">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D60F" w14:textId="77777777" w:rsidR="00515398" w:rsidRDefault="0051539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3755" w14:textId="77777777" w:rsidR="00515398" w:rsidRDefault="00515398">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B48B" w14:textId="77777777" w:rsidR="00515398" w:rsidRDefault="00515398">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911246"/>
      <w:docPartObj>
        <w:docPartGallery w:val="Page Numbers (Bottom of Page)"/>
        <w:docPartUnique/>
      </w:docPartObj>
    </w:sdtPr>
    <w:sdtEndPr>
      <w:rPr>
        <w:noProof/>
      </w:rPr>
    </w:sdtEndPr>
    <w:sdtContent>
      <w:p w14:paraId="26950E60" w14:textId="1B4821DA"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2B73936" w14:textId="77777777" w:rsidR="00515398" w:rsidRDefault="00515398">
    <w:pPr>
      <w:pStyle w:val="Footer"/>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9E3E" w14:textId="77777777" w:rsidR="00515398" w:rsidRDefault="00515398">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ABC6" w14:textId="77777777" w:rsidR="00515398" w:rsidRDefault="00515398">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077946"/>
      <w:docPartObj>
        <w:docPartGallery w:val="Page Numbers (Bottom of Page)"/>
        <w:docPartUnique/>
      </w:docPartObj>
    </w:sdtPr>
    <w:sdtEndPr>
      <w:rPr>
        <w:noProof/>
      </w:rPr>
    </w:sdtEndPr>
    <w:sdtContent>
      <w:p w14:paraId="35E31C0C" w14:textId="056D644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2BF94ED8" w14:textId="77777777" w:rsidR="00515398" w:rsidRDefault="00515398">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214E" w14:textId="77777777" w:rsidR="00515398" w:rsidRDefault="00515398">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E635" w14:textId="77777777" w:rsidR="00515398" w:rsidRDefault="00515398">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053473"/>
      <w:docPartObj>
        <w:docPartGallery w:val="Page Numbers (Bottom of Page)"/>
        <w:docPartUnique/>
      </w:docPartObj>
    </w:sdtPr>
    <w:sdtEndPr>
      <w:rPr>
        <w:noProof/>
      </w:rPr>
    </w:sdtEndPr>
    <w:sdtContent>
      <w:p w14:paraId="00DFC4B6" w14:textId="0538125E"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78A5DBF2" w14:textId="77777777" w:rsidR="00515398" w:rsidRDefault="00515398">
    <w:pPr>
      <w:pStyle w:val="Foote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6567" w14:textId="77777777" w:rsidR="00515398" w:rsidRDefault="00515398">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517D" w14:textId="77777777" w:rsidR="00515398" w:rsidRDefault="0051539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10226"/>
      <w:docPartObj>
        <w:docPartGallery w:val="Page Numbers (Bottom of Page)"/>
        <w:docPartUnique/>
      </w:docPartObj>
    </w:sdtPr>
    <w:sdtEndPr>
      <w:rPr>
        <w:noProof/>
      </w:rPr>
    </w:sdtEndPr>
    <w:sdtContent>
      <w:p w14:paraId="49B2D1A1" w14:textId="35F1A262" w:rsidR="00515398" w:rsidRDefault="006711E6">
        <w:pPr>
          <w:pStyle w:val="Footer"/>
          <w:jc w:val="center"/>
        </w:pPr>
        <w:r>
          <w:fldChar w:fldCharType="begin"/>
        </w:r>
        <w:r>
          <w:instrText xml:space="preserve"> PAGE   \* MERGEFORMAT </w:instrText>
        </w:r>
        <w:r>
          <w:fldChar w:fldCharType="separate"/>
        </w:r>
        <w:r w:rsidR="00A139C3">
          <w:rPr>
            <w:noProof/>
          </w:rPr>
          <w:t>18</w:t>
        </w:r>
        <w:r>
          <w:fldChar w:fldCharType="end"/>
        </w:r>
      </w:p>
    </w:sdtContent>
  </w:sdt>
  <w:p w14:paraId="30A1BA14" w14:textId="77777777" w:rsidR="00515398" w:rsidRDefault="00515398">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91891"/>
      <w:docPartObj>
        <w:docPartGallery w:val="Page Numbers (Bottom of Page)"/>
        <w:docPartUnique/>
      </w:docPartObj>
    </w:sdtPr>
    <w:sdtEndPr>
      <w:rPr>
        <w:noProof/>
      </w:rPr>
    </w:sdtEndPr>
    <w:sdtContent>
      <w:p w14:paraId="19EBF0F2" w14:textId="1B2E8DCA"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74EB488D" w14:textId="77777777" w:rsidR="00515398" w:rsidRDefault="00515398">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10EF" w14:textId="77777777" w:rsidR="00515398" w:rsidRDefault="00515398">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615E" w14:textId="77777777" w:rsidR="00515398" w:rsidRDefault="00515398">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54521"/>
      <w:docPartObj>
        <w:docPartGallery w:val="Page Numbers (Bottom of Page)"/>
        <w:docPartUnique/>
      </w:docPartObj>
    </w:sdtPr>
    <w:sdtEndPr>
      <w:rPr>
        <w:noProof/>
      </w:rPr>
    </w:sdtEndPr>
    <w:sdtContent>
      <w:p w14:paraId="3252F59E" w14:textId="2F700601"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56B7B50F" w14:textId="77777777" w:rsidR="00515398" w:rsidRDefault="00515398">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4576" w14:textId="77777777" w:rsidR="00515398" w:rsidRDefault="00515398">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57E2" w14:textId="77777777" w:rsidR="00515398" w:rsidRDefault="00515398">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837362"/>
      <w:docPartObj>
        <w:docPartGallery w:val="Page Numbers (Bottom of Page)"/>
        <w:docPartUnique/>
      </w:docPartObj>
    </w:sdtPr>
    <w:sdtEndPr>
      <w:rPr>
        <w:noProof/>
      </w:rPr>
    </w:sdtEndPr>
    <w:sdtContent>
      <w:p w14:paraId="5C9D5D30" w14:textId="33D624FF"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78ADAE90" w14:textId="77777777" w:rsidR="00515398" w:rsidRDefault="00515398">
    <w:pPr>
      <w:pStyle w:val="Footer"/>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2353" w14:textId="77777777" w:rsidR="00515398" w:rsidRDefault="00515398">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B88F" w14:textId="77777777" w:rsidR="00515398" w:rsidRDefault="00515398">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45361"/>
      <w:docPartObj>
        <w:docPartGallery w:val="Page Numbers (Bottom of Page)"/>
        <w:docPartUnique/>
      </w:docPartObj>
    </w:sdtPr>
    <w:sdtEndPr>
      <w:rPr>
        <w:noProof/>
      </w:rPr>
    </w:sdtEndPr>
    <w:sdtContent>
      <w:p w14:paraId="1FB3F801" w14:textId="511D13BA"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58F37DE" w14:textId="77777777" w:rsidR="00515398" w:rsidRDefault="0051539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5540" w14:textId="77777777" w:rsidR="00515398" w:rsidRDefault="00515398">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D98A" w14:textId="77777777" w:rsidR="00515398" w:rsidRDefault="00515398">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EEB3" w14:textId="77777777" w:rsidR="00515398" w:rsidRDefault="00515398">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964355"/>
      <w:docPartObj>
        <w:docPartGallery w:val="Page Numbers (Bottom of Page)"/>
        <w:docPartUnique/>
      </w:docPartObj>
    </w:sdtPr>
    <w:sdtEndPr>
      <w:rPr>
        <w:noProof/>
      </w:rPr>
    </w:sdtEndPr>
    <w:sdtContent>
      <w:p w14:paraId="024995AA" w14:textId="510C781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29FC809" w14:textId="77777777" w:rsidR="00515398" w:rsidRDefault="00515398">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4BC1" w14:textId="77777777" w:rsidR="00515398" w:rsidRDefault="00515398">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3506" w14:textId="77777777" w:rsidR="00515398" w:rsidRDefault="00515398">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861585"/>
      <w:docPartObj>
        <w:docPartGallery w:val="Page Numbers (Bottom of Page)"/>
        <w:docPartUnique/>
      </w:docPartObj>
    </w:sdtPr>
    <w:sdtEndPr>
      <w:rPr>
        <w:noProof/>
      </w:rPr>
    </w:sdtEndPr>
    <w:sdtContent>
      <w:p w14:paraId="39B47366" w14:textId="2E32817E"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7B134BE4" w14:textId="77777777" w:rsidR="00515398" w:rsidRDefault="00515398">
    <w:pPr>
      <w:pStyle w:val="Footer"/>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8331" w14:textId="77777777" w:rsidR="00515398" w:rsidRDefault="00515398">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9325" w14:textId="77777777" w:rsidR="00515398" w:rsidRDefault="00515398">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49482"/>
      <w:docPartObj>
        <w:docPartGallery w:val="Page Numbers (Bottom of Page)"/>
        <w:docPartUnique/>
      </w:docPartObj>
    </w:sdtPr>
    <w:sdtEndPr>
      <w:rPr>
        <w:noProof/>
      </w:rPr>
    </w:sdtEndPr>
    <w:sdtContent>
      <w:p w14:paraId="5866029F" w14:textId="2C8A98F4"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0949047" w14:textId="77777777" w:rsidR="00515398" w:rsidRDefault="00515398">
    <w:pPr>
      <w:pStyle w:val="Footer"/>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E808" w14:textId="77777777" w:rsidR="00515398" w:rsidRDefault="0051539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EAF5" w14:textId="77777777" w:rsidR="00515398" w:rsidRDefault="00515398">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217A" w14:textId="77777777" w:rsidR="00515398" w:rsidRDefault="00515398">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61904"/>
      <w:docPartObj>
        <w:docPartGallery w:val="Page Numbers (Bottom of Page)"/>
        <w:docPartUnique/>
      </w:docPartObj>
    </w:sdtPr>
    <w:sdtEndPr>
      <w:rPr>
        <w:noProof/>
      </w:rPr>
    </w:sdtEndPr>
    <w:sdtContent>
      <w:p w14:paraId="1057DDB1" w14:textId="0F74F3A7"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4E7860EE" w14:textId="77777777" w:rsidR="00515398" w:rsidRDefault="00515398">
    <w:pPr>
      <w:pStyle w:val="Footer"/>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A18D" w14:textId="77777777" w:rsidR="00515398" w:rsidRDefault="00515398">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18390"/>
      <w:docPartObj>
        <w:docPartGallery w:val="Page Numbers (Bottom of Page)"/>
        <w:docPartUnique/>
      </w:docPartObj>
    </w:sdtPr>
    <w:sdtEndPr>
      <w:rPr>
        <w:noProof/>
      </w:rPr>
    </w:sdtEndPr>
    <w:sdtContent>
      <w:p w14:paraId="06DADBBC" w14:textId="4CB3756D"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5A1E9E32" w14:textId="77777777" w:rsidR="00515398" w:rsidRDefault="00515398">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31AB" w14:textId="77777777" w:rsidR="00515398" w:rsidRDefault="00515398">
    <w:pPr>
      <w:pStyle w:val="Footer"/>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00008"/>
      <w:docPartObj>
        <w:docPartGallery w:val="Page Numbers (Bottom of Page)"/>
        <w:docPartUnique/>
      </w:docPartObj>
    </w:sdtPr>
    <w:sdtEndPr>
      <w:rPr>
        <w:noProof/>
      </w:rPr>
    </w:sdtEndPr>
    <w:sdtContent>
      <w:p w14:paraId="4FFC6C48" w14:textId="7AC1600B"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3B078622" w14:textId="77777777" w:rsidR="00515398" w:rsidRDefault="00515398">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F658" w14:textId="77777777" w:rsidR="00515398" w:rsidRDefault="00515398">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2171" w14:textId="77777777" w:rsidR="00515398" w:rsidRDefault="00515398">
    <w:pPr>
      <w:pStyle w:val="Footer"/>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611318"/>
      <w:docPartObj>
        <w:docPartGallery w:val="Page Numbers (Bottom of Page)"/>
        <w:docPartUnique/>
      </w:docPartObj>
    </w:sdtPr>
    <w:sdtEndPr>
      <w:rPr>
        <w:noProof/>
      </w:rPr>
    </w:sdtEndPr>
    <w:sdtContent>
      <w:p w14:paraId="409B8AC3" w14:textId="5BD6FCCB" w:rsidR="00515398" w:rsidRDefault="006711E6">
        <w:pPr>
          <w:pStyle w:val="Footer"/>
          <w:jc w:val="center"/>
        </w:pPr>
        <w:r>
          <w:fldChar w:fldCharType="begin"/>
        </w:r>
        <w:r>
          <w:instrText xml:space="preserve"> PA</w:instrText>
        </w:r>
        <w:r>
          <w:instrText xml:space="preserve">GE   \* MERGEFORMAT </w:instrText>
        </w:r>
        <w:r>
          <w:fldChar w:fldCharType="separate"/>
        </w:r>
        <w:r>
          <w:t>2</w:t>
        </w:r>
        <w:r>
          <w:fldChar w:fldCharType="end"/>
        </w:r>
      </w:p>
    </w:sdtContent>
  </w:sdt>
  <w:p w14:paraId="335DE0FF" w14:textId="77777777" w:rsidR="00515398" w:rsidRDefault="00515398">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06A0" w14:textId="77777777" w:rsidR="00515398" w:rsidRDefault="0051539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949093"/>
      <w:docPartObj>
        <w:docPartGallery w:val="Page Numbers (Bottom of Page)"/>
        <w:docPartUnique/>
      </w:docPartObj>
    </w:sdtPr>
    <w:sdtEndPr>
      <w:rPr>
        <w:noProof/>
      </w:rPr>
    </w:sdtEndPr>
    <w:sdtContent>
      <w:p w14:paraId="1519446F" w14:textId="065577F9" w:rsidR="00515398" w:rsidRDefault="006711E6">
        <w:pPr>
          <w:pStyle w:val="Footer"/>
          <w:jc w:val="center"/>
        </w:pPr>
        <w:r>
          <w:fldChar w:fldCharType="begin"/>
        </w:r>
        <w:r>
          <w:instrText xml:space="preserve"> PAGE   \* MERGEFORMAT </w:instrText>
        </w:r>
        <w:r>
          <w:fldChar w:fldCharType="separate"/>
        </w:r>
        <w:r w:rsidR="00A139C3">
          <w:rPr>
            <w:noProof/>
          </w:rPr>
          <w:t>19</w:t>
        </w:r>
        <w:r>
          <w:fldChar w:fldCharType="end"/>
        </w:r>
      </w:p>
    </w:sdtContent>
  </w:sdt>
  <w:p w14:paraId="322974C0" w14:textId="77777777" w:rsidR="00515398" w:rsidRDefault="00515398">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A701" w14:textId="77777777" w:rsidR="00515398" w:rsidRDefault="00515398">
    <w:pPr>
      <w:pStyle w:val="Footer"/>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785745"/>
      <w:docPartObj>
        <w:docPartGallery w:val="Page Numbers (Bottom of Page)"/>
        <w:docPartUnique/>
      </w:docPartObj>
    </w:sdtPr>
    <w:sdtEndPr>
      <w:rPr>
        <w:noProof/>
      </w:rPr>
    </w:sdtEndPr>
    <w:sdtContent>
      <w:p w14:paraId="4F5A3916" w14:textId="4DF6A8DC"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29D46347" w14:textId="77777777" w:rsidR="00515398" w:rsidRDefault="00515398">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D545" w14:textId="77777777" w:rsidR="00515398" w:rsidRDefault="00515398">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A656" w14:textId="77777777" w:rsidR="00515398" w:rsidRDefault="00515398">
    <w:pPr>
      <w:pStyle w:val="Footer"/>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65893"/>
      <w:docPartObj>
        <w:docPartGallery w:val="Page Numbers (Bottom of Page)"/>
        <w:docPartUnique/>
      </w:docPartObj>
    </w:sdtPr>
    <w:sdtEndPr>
      <w:rPr>
        <w:noProof/>
      </w:rPr>
    </w:sdtEndPr>
    <w:sdtContent>
      <w:p w14:paraId="7E36C6D5" w14:textId="30F07703"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10D952BE" w14:textId="77777777" w:rsidR="00515398" w:rsidRDefault="00515398">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D031" w14:textId="77777777" w:rsidR="00515398" w:rsidRDefault="00515398">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59D4" w14:textId="77777777" w:rsidR="00515398" w:rsidRDefault="00515398">
    <w:pPr>
      <w:pStyle w:val="Footer"/>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577138"/>
      <w:docPartObj>
        <w:docPartGallery w:val="Page Numbers (Bottom of Page)"/>
        <w:docPartUnique/>
      </w:docPartObj>
    </w:sdtPr>
    <w:sdtEndPr>
      <w:rPr>
        <w:noProof/>
      </w:rPr>
    </w:sdtEndPr>
    <w:sdtContent>
      <w:p w14:paraId="11B2149F" w14:textId="181D9720"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9E3B11B" w14:textId="77777777" w:rsidR="00515398" w:rsidRDefault="00515398">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FC4A" w14:textId="77777777" w:rsidR="00515398" w:rsidRDefault="00515398">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145D" w14:textId="77777777" w:rsidR="00515398" w:rsidRDefault="0051539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8E6B" w14:textId="77777777" w:rsidR="00515398" w:rsidRDefault="00515398">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416010"/>
      <w:docPartObj>
        <w:docPartGallery w:val="Page Numbers (Bottom of Page)"/>
        <w:docPartUnique/>
      </w:docPartObj>
    </w:sdtPr>
    <w:sdtEndPr>
      <w:rPr>
        <w:noProof/>
      </w:rPr>
    </w:sdtEndPr>
    <w:sdtContent>
      <w:p w14:paraId="7D27DFA4" w14:textId="144FB6FB"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14FBF47" w14:textId="77777777" w:rsidR="00515398" w:rsidRDefault="00515398">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9A81" w14:textId="77777777" w:rsidR="00515398" w:rsidRDefault="00515398">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B6AD" w14:textId="77777777" w:rsidR="00515398" w:rsidRDefault="00515398">
    <w:pPr>
      <w:pStyle w:val="Footer"/>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07250"/>
      <w:docPartObj>
        <w:docPartGallery w:val="Page Numbers (Bottom of Page)"/>
        <w:docPartUnique/>
      </w:docPartObj>
    </w:sdtPr>
    <w:sdtEndPr>
      <w:rPr>
        <w:noProof/>
      </w:rPr>
    </w:sdtEndPr>
    <w:sdtContent>
      <w:p w14:paraId="6CCCADAE" w14:textId="532BA64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2332C368" w14:textId="77777777" w:rsidR="00515398" w:rsidRDefault="00515398">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91F8" w14:textId="77777777" w:rsidR="00515398" w:rsidRDefault="0051539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196F" w14:textId="77777777" w:rsidR="00515398" w:rsidRDefault="0051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7AA8" w14:textId="4B5DEB90" w:rsidR="006711E6" w:rsidRPr="006711E6" w:rsidRDefault="006711E6" w:rsidP="006711E6">
    <w:pPr>
      <w:pStyle w:val="FooterCoverPage"/>
      <w:rPr>
        <w:rFonts w:ascii="Arial" w:hAnsi="Arial" w:cs="Arial"/>
        <w:b/>
        <w:sz w:val="48"/>
      </w:rPr>
    </w:pPr>
    <w:r w:rsidRPr="006711E6">
      <w:rPr>
        <w:rFonts w:ascii="Arial" w:hAnsi="Arial" w:cs="Arial"/>
        <w:b/>
        <w:sz w:val="48"/>
      </w:rPr>
      <w:t>CS</w:t>
    </w:r>
    <w:r w:rsidRPr="006711E6">
      <w:rPr>
        <w:rFonts w:ascii="Arial" w:hAnsi="Arial" w:cs="Arial"/>
        <w:b/>
        <w:sz w:val="48"/>
      </w:rPr>
      <w:tab/>
    </w:r>
    <w:r w:rsidRPr="006711E6">
      <w:rPr>
        <w:rFonts w:ascii="Arial" w:hAnsi="Arial" w:cs="Arial"/>
        <w:b/>
        <w:sz w:val="48"/>
      </w:rPr>
      <w:tab/>
    </w:r>
    <w:r w:rsidRPr="006711E6">
      <w:tab/>
    </w:r>
    <w:r w:rsidRPr="006711E6">
      <w:rPr>
        <w:rFonts w:ascii="Arial" w:hAnsi="Arial" w:cs="Arial"/>
        <w:b/>
        <w:sz w:val="48"/>
      </w:rPr>
      <w:t>CS</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1507"/>
      <w:docPartObj>
        <w:docPartGallery w:val="Page Numbers (Bottom of Page)"/>
        <w:docPartUnique/>
      </w:docPartObj>
    </w:sdtPr>
    <w:sdtEndPr>
      <w:rPr>
        <w:noProof/>
      </w:rPr>
    </w:sdtEndPr>
    <w:sdtContent>
      <w:p w14:paraId="313CB759" w14:textId="402FA34B" w:rsidR="00515398" w:rsidRDefault="006711E6">
        <w:pPr>
          <w:pStyle w:val="Footer"/>
          <w:jc w:val="center"/>
        </w:pPr>
        <w:r>
          <w:fldChar w:fldCharType="begin"/>
        </w:r>
        <w:r>
          <w:instrText xml:space="preserve"> PAGE   \* MERGEFORMAT </w:instrText>
        </w:r>
        <w:r>
          <w:fldChar w:fldCharType="separate"/>
        </w:r>
        <w:r w:rsidR="00A139C3">
          <w:rPr>
            <w:noProof/>
          </w:rPr>
          <w:t>25</w:t>
        </w:r>
        <w:r>
          <w:fldChar w:fldCharType="end"/>
        </w:r>
      </w:p>
    </w:sdtContent>
  </w:sdt>
  <w:p w14:paraId="6C59A3D3" w14:textId="77777777" w:rsidR="00515398" w:rsidRDefault="0051539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0B46" w14:textId="77777777" w:rsidR="00515398" w:rsidRDefault="0051539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7B62" w14:textId="77777777" w:rsidR="00515398" w:rsidRDefault="0051539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677880"/>
      <w:docPartObj>
        <w:docPartGallery w:val="Page Numbers (Bottom of Page)"/>
        <w:docPartUnique/>
      </w:docPartObj>
    </w:sdtPr>
    <w:sdtEndPr>
      <w:rPr>
        <w:noProof/>
      </w:rPr>
    </w:sdtEndPr>
    <w:sdtContent>
      <w:p w14:paraId="166B22D4" w14:textId="36605B59" w:rsidR="00515398" w:rsidRDefault="006711E6">
        <w:pPr>
          <w:pStyle w:val="Footer"/>
          <w:jc w:val="center"/>
        </w:pPr>
        <w:r>
          <w:fldChar w:fldCharType="begin"/>
        </w:r>
        <w:r>
          <w:instrText xml:space="preserve"> PAGE   \* MERGEFORMAT </w:instrText>
        </w:r>
        <w:r>
          <w:fldChar w:fldCharType="separate"/>
        </w:r>
        <w:r w:rsidR="00A139C3">
          <w:rPr>
            <w:noProof/>
          </w:rPr>
          <w:t>27</w:t>
        </w:r>
        <w:r>
          <w:fldChar w:fldCharType="end"/>
        </w:r>
      </w:p>
    </w:sdtContent>
  </w:sdt>
  <w:p w14:paraId="410A09BE" w14:textId="77777777" w:rsidR="00515398" w:rsidRDefault="0051539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09ED" w14:textId="77777777" w:rsidR="00515398" w:rsidRDefault="0051539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03F" w14:textId="77777777" w:rsidR="00515398" w:rsidRDefault="0051539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991082"/>
      <w:docPartObj>
        <w:docPartGallery w:val="Page Numbers (Bottom of Page)"/>
        <w:docPartUnique/>
      </w:docPartObj>
    </w:sdtPr>
    <w:sdtEndPr>
      <w:rPr>
        <w:noProof/>
      </w:rPr>
    </w:sdtEndPr>
    <w:sdtContent>
      <w:p w14:paraId="0A3307E9" w14:textId="69429CF0"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34F6D65F" w14:textId="77777777" w:rsidR="00515398" w:rsidRDefault="0051539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92A7" w14:textId="77777777" w:rsidR="00515398" w:rsidRDefault="0051539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4449" w14:textId="77777777" w:rsidR="00515398" w:rsidRDefault="0051539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436849"/>
      <w:docPartObj>
        <w:docPartGallery w:val="Page Numbers (Bottom of Page)"/>
        <w:docPartUnique/>
      </w:docPartObj>
    </w:sdtPr>
    <w:sdtEndPr>
      <w:rPr>
        <w:noProof/>
      </w:rPr>
    </w:sdtEndPr>
    <w:sdtContent>
      <w:p w14:paraId="53250271" w14:textId="3160359B"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50FC98E4" w14:textId="77777777" w:rsidR="00515398" w:rsidRDefault="00515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3177" w14:textId="77777777" w:rsidR="006711E6" w:rsidRPr="006711E6" w:rsidRDefault="006711E6" w:rsidP="006711E6">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284A" w14:textId="77777777" w:rsidR="00515398" w:rsidRDefault="0051539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0B3D" w14:textId="77777777" w:rsidR="00515398" w:rsidRDefault="0051539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61688"/>
      <w:docPartObj>
        <w:docPartGallery w:val="Page Numbers (Bottom of Page)"/>
        <w:docPartUnique/>
      </w:docPartObj>
    </w:sdtPr>
    <w:sdtEndPr>
      <w:rPr>
        <w:noProof/>
      </w:rPr>
    </w:sdtEndPr>
    <w:sdtContent>
      <w:p w14:paraId="6172152B" w14:textId="3F7887FF"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34DF345D" w14:textId="77777777" w:rsidR="00515398" w:rsidRDefault="00515398">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0291" w14:textId="77777777" w:rsidR="00515398" w:rsidRDefault="0051539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D493" w14:textId="77777777" w:rsidR="00515398" w:rsidRDefault="0051539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385061"/>
      <w:docPartObj>
        <w:docPartGallery w:val="Page Numbers (Bottom of Page)"/>
        <w:docPartUnique/>
      </w:docPartObj>
    </w:sdtPr>
    <w:sdtEndPr>
      <w:rPr>
        <w:noProof/>
      </w:rPr>
    </w:sdtEndPr>
    <w:sdtContent>
      <w:p w14:paraId="0D64EA38" w14:textId="74B4FDEA"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5459F4E4" w14:textId="77777777" w:rsidR="00515398" w:rsidRDefault="0051539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8C57" w14:textId="77777777" w:rsidR="00515398" w:rsidRDefault="0051539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0669" w14:textId="77777777" w:rsidR="00515398" w:rsidRDefault="00515398">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91281"/>
      <w:docPartObj>
        <w:docPartGallery w:val="Page Numbers (Bottom of Page)"/>
        <w:docPartUnique/>
      </w:docPartObj>
    </w:sdtPr>
    <w:sdtEndPr>
      <w:rPr>
        <w:noProof/>
      </w:rPr>
    </w:sdtEndPr>
    <w:sdtContent>
      <w:p w14:paraId="38383463" w14:textId="795408F9"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2EB701C2" w14:textId="77777777" w:rsidR="00515398" w:rsidRDefault="00515398">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0E5D" w14:textId="77777777" w:rsidR="00515398" w:rsidRDefault="005153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CB1A" w14:textId="77777777" w:rsidR="00515398" w:rsidRDefault="0051539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32B8" w14:textId="77777777" w:rsidR="00515398" w:rsidRDefault="0051539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736444"/>
      <w:docPartObj>
        <w:docPartGallery w:val="Page Numbers (Bottom of Page)"/>
        <w:docPartUnique/>
      </w:docPartObj>
    </w:sdtPr>
    <w:sdtEndPr>
      <w:rPr>
        <w:noProof/>
      </w:rPr>
    </w:sdtEndPr>
    <w:sdtContent>
      <w:p w14:paraId="1A2CED13" w14:textId="7D8B9D2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234AD52" w14:textId="77777777" w:rsidR="00515398" w:rsidRDefault="00515398">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F1A6" w14:textId="77777777" w:rsidR="00515398" w:rsidRDefault="00515398">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7D70" w14:textId="77777777" w:rsidR="00515398" w:rsidRDefault="00515398">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118577"/>
      <w:docPartObj>
        <w:docPartGallery w:val="Page Numbers (Bottom of Page)"/>
        <w:docPartUnique/>
      </w:docPartObj>
    </w:sdtPr>
    <w:sdtEndPr>
      <w:rPr>
        <w:noProof/>
      </w:rPr>
    </w:sdtEndPr>
    <w:sdtContent>
      <w:p w14:paraId="11063F35" w14:textId="469A013D"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103A86CE" w14:textId="77777777" w:rsidR="00515398" w:rsidRDefault="00515398">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848D" w14:textId="77777777" w:rsidR="00515398" w:rsidRDefault="00515398">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B4D3" w14:textId="77777777" w:rsidR="00515398" w:rsidRDefault="00515398">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33478"/>
      <w:docPartObj>
        <w:docPartGallery w:val="Page Numbers (Bottom of Page)"/>
        <w:docPartUnique/>
      </w:docPartObj>
    </w:sdtPr>
    <w:sdtEndPr>
      <w:rPr>
        <w:noProof/>
      </w:rPr>
    </w:sdtEndPr>
    <w:sdtContent>
      <w:p w14:paraId="5CD7ED12" w14:textId="64B0F20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4B714049" w14:textId="77777777" w:rsidR="00515398" w:rsidRDefault="00515398">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D856" w14:textId="77777777" w:rsidR="00515398" w:rsidRDefault="0051539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6C28" w14:textId="77777777" w:rsidR="00515398" w:rsidRDefault="005153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38444"/>
      <w:docPartObj>
        <w:docPartGallery w:val="Page Numbers (Bottom of Page)"/>
        <w:docPartUnique/>
      </w:docPartObj>
    </w:sdtPr>
    <w:sdtEndPr>
      <w:rPr>
        <w:noProof/>
      </w:rPr>
    </w:sdtEndPr>
    <w:sdtContent>
      <w:p w14:paraId="1F18D3F9" w14:textId="47B60E47" w:rsidR="00515398" w:rsidRDefault="006711E6">
        <w:pPr>
          <w:pStyle w:val="Footer"/>
          <w:jc w:val="center"/>
        </w:pPr>
        <w:r>
          <w:fldChar w:fldCharType="begin"/>
        </w:r>
        <w:r>
          <w:instrText xml:space="preserve"> PAGE   \* MERGEFORMAT </w:instrText>
        </w:r>
        <w:r>
          <w:fldChar w:fldCharType="separate"/>
        </w:r>
        <w:r>
          <w:rPr>
            <w:noProof/>
          </w:rPr>
          <w:t>3</w:t>
        </w:r>
        <w:r>
          <w:fldChar w:fldCharType="end"/>
        </w:r>
      </w:p>
    </w:sdtContent>
  </w:sdt>
  <w:p w14:paraId="3F800480" w14:textId="77777777" w:rsidR="00515398" w:rsidRDefault="0051539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8066"/>
      <w:docPartObj>
        <w:docPartGallery w:val="Page Numbers (Bottom of Page)"/>
        <w:docPartUnique/>
      </w:docPartObj>
    </w:sdtPr>
    <w:sdtEndPr>
      <w:rPr>
        <w:noProof/>
      </w:rPr>
    </w:sdtEndPr>
    <w:sdtContent>
      <w:p w14:paraId="157400F1" w14:textId="476233D9"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5EFB1EE6" w14:textId="77777777" w:rsidR="00515398" w:rsidRDefault="00515398">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1422" w14:textId="77777777" w:rsidR="00515398" w:rsidRDefault="00515398">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75C9" w14:textId="77777777" w:rsidR="00515398" w:rsidRDefault="00515398">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30461"/>
      <w:docPartObj>
        <w:docPartGallery w:val="Page Numbers (Bottom of Page)"/>
        <w:docPartUnique/>
      </w:docPartObj>
    </w:sdtPr>
    <w:sdtEndPr>
      <w:rPr>
        <w:noProof/>
      </w:rPr>
    </w:sdtEndPr>
    <w:sdtContent>
      <w:p w14:paraId="2C2D4531" w14:textId="0DDD209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3C31C0F9" w14:textId="77777777" w:rsidR="00515398" w:rsidRDefault="00515398">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14F7" w14:textId="77777777" w:rsidR="00515398" w:rsidRDefault="00515398">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8DE1" w14:textId="77777777" w:rsidR="00515398" w:rsidRDefault="00515398">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09275"/>
      <w:docPartObj>
        <w:docPartGallery w:val="Page Numbers (Bottom of Page)"/>
        <w:docPartUnique/>
      </w:docPartObj>
    </w:sdtPr>
    <w:sdtEndPr>
      <w:rPr>
        <w:noProof/>
      </w:rPr>
    </w:sdtEndPr>
    <w:sdtContent>
      <w:p w14:paraId="15EE6F25" w14:textId="04E022D5"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361B7D5B" w14:textId="77777777" w:rsidR="00515398" w:rsidRDefault="00515398">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BA33" w14:textId="77777777" w:rsidR="00515398" w:rsidRDefault="00515398">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5F8C" w14:textId="77777777" w:rsidR="00515398" w:rsidRDefault="00515398">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13676"/>
      <w:docPartObj>
        <w:docPartGallery w:val="Page Numbers (Bottom of Page)"/>
        <w:docPartUnique/>
      </w:docPartObj>
    </w:sdtPr>
    <w:sdtEndPr>
      <w:rPr>
        <w:noProof/>
      </w:rPr>
    </w:sdtEndPr>
    <w:sdtContent>
      <w:p w14:paraId="1725C933" w14:textId="3F89424C"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4D317E13" w14:textId="77777777" w:rsidR="00515398" w:rsidRDefault="005153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2DFF" w14:textId="77777777" w:rsidR="00515398" w:rsidRDefault="00515398">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13B3" w14:textId="77777777" w:rsidR="00515398" w:rsidRDefault="00515398">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5FB2" w14:textId="77777777" w:rsidR="00515398" w:rsidRDefault="00515398">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920688"/>
      <w:docPartObj>
        <w:docPartGallery w:val="Page Numbers (Bottom of Page)"/>
        <w:docPartUnique/>
      </w:docPartObj>
    </w:sdtPr>
    <w:sdtEndPr>
      <w:rPr>
        <w:noProof/>
      </w:rPr>
    </w:sdtEndPr>
    <w:sdtContent>
      <w:p w14:paraId="3C98CCB5" w14:textId="4F7B8B0F"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167FBE57" w14:textId="77777777" w:rsidR="00515398" w:rsidRDefault="00515398">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2EF6" w14:textId="77777777" w:rsidR="00515398" w:rsidRDefault="00515398">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963D" w14:textId="77777777" w:rsidR="00515398" w:rsidRDefault="00515398">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06263"/>
      <w:docPartObj>
        <w:docPartGallery w:val="Page Numbers (Bottom of Page)"/>
        <w:docPartUnique/>
      </w:docPartObj>
    </w:sdtPr>
    <w:sdtEndPr>
      <w:rPr>
        <w:noProof/>
      </w:rPr>
    </w:sdtEndPr>
    <w:sdtContent>
      <w:p w14:paraId="5F3F825D" w14:textId="028878B6"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83B6394" w14:textId="77777777" w:rsidR="00515398" w:rsidRDefault="00515398">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269A" w14:textId="77777777" w:rsidR="00515398" w:rsidRDefault="00515398">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BDE5" w14:textId="77777777" w:rsidR="00515398" w:rsidRDefault="00515398">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06954"/>
      <w:docPartObj>
        <w:docPartGallery w:val="Page Numbers (Bottom of Page)"/>
        <w:docPartUnique/>
      </w:docPartObj>
    </w:sdtPr>
    <w:sdtEndPr>
      <w:rPr>
        <w:noProof/>
      </w:rPr>
    </w:sdtEndPr>
    <w:sdtContent>
      <w:p w14:paraId="0615702D" w14:textId="3B650C8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FEFC7F0" w14:textId="77777777" w:rsidR="00515398" w:rsidRDefault="00515398">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CD64" w14:textId="77777777" w:rsidR="00515398" w:rsidRDefault="005153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4656" w14:textId="77777777" w:rsidR="00515398" w:rsidRDefault="00515398">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8537" w14:textId="77777777" w:rsidR="00515398" w:rsidRDefault="00515398">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85347"/>
      <w:docPartObj>
        <w:docPartGallery w:val="Page Numbers (Bottom of Page)"/>
        <w:docPartUnique/>
      </w:docPartObj>
    </w:sdtPr>
    <w:sdtEndPr>
      <w:rPr>
        <w:noProof/>
      </w:rPr>
    </w:sdtEndPr>
    <w:sdtContent>
      <w:p w14:paraId="3C8B01D8" w14:textId="14C546E2"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57DC8782" w14:textId="77777777" w:rsidR="00515398" w:rsidRDefault="00515398">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C387" w14:textId="77777777" w:rsidR="00515398" w:rsidRDefault="00515398">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974" w14:textId="77777777" w:rsidR="00515398" w:rsidRDefault="00515398">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728755"/>
      <w:docPartObj>
        <w:docPartGallery w:val="Page Numbers (Bottom of Page)"/>
        <w:docPartUnique/>
      </w:docPartObj>
    </w:sdtPr>
    <w:sdtEndPr>
      <w:rPr>
        <w:noProof/>
      </w:rPr>
    </w:sdtEndPr>
    <w:sdtContent>
      <w:p w14:paraId="1D1701D7" w14:textId="23A881C6"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6697D7DA" w14:textId="77777777" w:rsidR="00515398" w:rsidRDefault="00515398">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8EAF" w14:textId="77777777" w:rsidR="00515398" w:rsidRDefault="00515398">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0126" w14:textId="77777777" w:rsidR="00515398" w:rsidRDefault="00515398">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15896"/>
      <w:docPartObj>
        <w:docPartGallery w:val="Page Numbers (Bottom of Page)"/>
        <w:docPartUnique/>
      </w:docPartObj>
    </w:sdtPr>
    <w:sdtEndPr>
      <w:rPr>
        <w:noProof/>
      </w:rPr>
    </w:sdtEndPr>
    <w:sdtContent>
      <w:p w14:paraId="2206EFB4" w14:textId="6579D0DF"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A89BE6D" w14:textId="77777777" w:rsidR="00515398" w:rsidRDefault="00515398">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02B2" w14:textId="77777777" w:rsidR="00515398" w:rsidRDefault="00515398">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6A4C" w14:textId="77777777" w:rsidR="00515398" w:rsidRDefault="005153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67612"/>
      <w:docPartObj>
        <w:docPartGallery w:val="Page Numbers (Bottom of Page)"/>
        <w:docPartUnique/>
      </w:docPartObj>
    </w:sdtPr>
    <w:sdtEndPr>
      <w:rPr>
        <w:noProof/>
      </w:rPr>
    </w:sdtEndPr>
    <w:sdtContent>
      <w:p w14:paraId="0A07D898" w14:textId="48204DD5" w:rsidR="00515398" w:rsidRDefault="006711E6">
        <w:pPr>
          <w:pStyle w:val="Footer"/>
          <w:jc w:val="center"/>
        </w:pPr>
        <w:r>
          <w:fldChar w:fldCharType="begin"/>
        </w:r>
        <w:r>
          <w:instrText xml:space="preserve"> PAGE   \* MERGEFORMAT </w:instrText>
        </w:r>
        <w:r>
          <w:fldChar w:fldCharType="separate"/>
        </w:r>
        <w:r>
          <w:rPr>
            <w:noProof/>
          </w:rPr>
          <w:t>4</w:t>
        </w:r>
        <w:r>
          <w:fldChar w:fldCharType="end"/>
        </w:r>
      </w:p>
    </w:sdtContent>
  </w:sdt>
  <w:p w14:paraId="101336F3" w14:textId="77777777" w:rsidR="00515398" w:rsidRDefault="00515398">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390863"/>
      <w:docPartObj>
        <w:docPartGallery w:val="Page Numbers (Bottom of Page)"/>
        <w:docPartUnique/>
      </w:docPartObj>
    </w:sdtPr>
    <w:sdtEndPr>
      <w:rPr>
        <w:noProof/>
      </w:rPr>
    </w:sdtEndPr>
    <w:sdtContent>
      <w:p w14:paraId="52E075B0" w14:textId="7146D09D"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4A50EF83" w14:textId="77777777" w:rsidR="00515398" w:rsidRDefault="00515398">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B3C9D" w14:textId="77777777" w:rsidR="00515398" w:rsidRDefault="00515398">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AF4E" w14:textId="77777777" w:rsidR="00515398" w:rsidRDefault="00515398">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812423"/>
      <w:docPartObj>
        <w:docPartGallery w:val="Page Numbers (Bottom of Page)"/>
        <w:docPartUnique/>
      </w:docPartObj>
    </w:sdtPr>
    <w:sdtEndPr>
      <w:rPr>
        <w:noProof/>
      </w:rPr>
    </w:sdtEndPr>
    <w:sdtContent>
      <w:p w14:paraId="743C7B20" w14:textId="398B7B34"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3DB0DEF" w14:textId="77777777" w:rsidR="00515398" w:rsidRDefault="00515398">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D06C" w14:textId="77777777" w:rsidR="00515398" w:rsidRDefault="00515398">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80D2" w14:textId="77777777" w:rsidR="00515398" w:rsidRDefault="00515398">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88481"/>
      <w:docPartObj>
        <w:docPartGallery w:val="Page Numbers (Bottom of Page)"/>
        <w:docPartUnique/>
      </w:docPartObj>
    </w:sdtPr>
    <w:sdtEndPr>
      <w:rPr>
        <w:noProof/>
      </w:rPr>
    </w:sdtEndPr>
    <w:sdtContent>
      <w:p w14:paraId="531197B9" w14:textId="58CA080F"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1F7C009F" w14:textId="77777777" w:rsidR="00515398" w:rsidRDefault="00515398">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1A44" w14:textId="77777777" w:rsidR="00515398" w:rsidRDefault="00515398">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41E1" w14:textId="77777777" w:rsidR="00515398" w:rsidRDefault="00515398">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64556"/>
      <w:docPartObj>
        <w:docPartGallery w:val="Page Numbers (Bottom of Page)"/>
        <w:docPartUnique/>
      </w:docPartObj>
    </w:sdtPr>
    <w:sdtEndPr>
      <w:rPr>
        <w:noProof/>
      </w:rPr>
    </w:sdtEndPr>
    <w:sdtContent>
      <w:p w14:paraId="1EF70092" w14:textId="3C84D582" w:rsidR="00515398" w:rsidRDefault="006711E6">
        <w:pPr>
          <w:pStyle w:val="Footer"/>
          <w:jc w:val="center"/>
        </w:pPr>
        <w:r>
          <w:fldChar w:fldCharType="begin"/>
        </w:r>
        <w:r>
          <w:instrText xml:space="preserve"> PAGE   \* ME</w:instrText>
        </w:r>
        <w:r>
          <w:instrText xml:space="preserve">RGEFORMAT </w:instrText>
        </w:r>
        <w:r>
          <w:fldChar w:fldCharType="separate"/>
        </w:r>
        <w:r>
          <w:t>2</w:t>
        </w:r>
        <w:r>
          <w:fldChar w:fldCharType="end"/>
        </w:r>
      </w:p>
    </w:sdtContent>
  </w:sdt>
  <w:p w14:paraId="607D3548" w14:textId="77777777" w:rsidR="00515398" w:rsidRDefault="0051539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4D1E" w14:textId="77777777" w:rsidR="00515398" w:rsidRDefault="00515398">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61B6" w14:textId="77777777" w:rsidR="00515398" w:rsidRDefault="00515398">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9728" w14:textId="77777777" w:rsidR="00515398" w:rsidRDefault="00515398">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866608"/>
      <w:docPartObj>
        <w:docPartGallery w:val="Page Numbers (Bottom of Page)"/>
        <w:docPartUnique/>
      </w:docPartObj>
    </w:sdtPr>
    <w:sdtEndPr>
      <w:rPr>
        <w:noProof/>
      </w:rPr>
    </w:sdtEndPr>
    <w:sdtContent>
      <w:p w14:paraId="68E6E629" w14:textId="23268390"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5F88D91" w14:textId="77777777" w:rsidR="00515398" w:rsidRDefault="00515398">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6B54" w14:textId="77777777" w:rsidR="00515398" w:rsidRDefault="00515398">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3E27" w14:textId="77777777" w:rsidR="00515398" w:rsidRDefault="00515398">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9381"/>
      <w:docPartObj>
        <w:docPartGallery w:val="Page Numbers (Bottom of Page)"/>
        <w:docPartUnique/>
      </w:docPartObj>
    </w:sdtPr>
    <w:sdtEndPr>
      <w:rPr>
        <w:noProof/>
      </w:rPr>
    </w:sdtEndPr>
    <w:sdtContent>
      <w:p w14:paraId="08C2B1DA" w14:textId="216C784D"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16304212" w14:textId="77777777" w:rsidR="00515398" w:rsidRDefault="00515398">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D66D" w14:textId="77777777" w:rsidR="00515398" w:rsidRDefault="00515398">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FFE2" w14:textId="77777777" w:rsidR="00515398" w:rsidRDefault="00515398">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730295"/>
      <w:docPartObj>
        <w:docPartGallery w:val="Page Numbers (Bottom of Page)"/>
        <w:docPartUnique/>
      </w:docPartObj>
    </w:sdtPr>
    <w:sdtEndPr>
      <w:rPr>
        <w:noProof/>
      </w:rPr>
    </w:sdtEndPr>
    <w:sdtContent>
      <w:p w14:paraId="7AE2887B" w14:textId="5450FE26" w:rsidR="00515398" w:rsidRDefault="006711E6">
        <w:pPr>
          <w:pStyle w:val="Footer"/>
          <w:jc w:val="center"/>
        </w:pPr>
        <w:r>
          <w:fldChar w:fldCharType="begin"/>
        </w:r>
        <w:r>
          <w:instrText xml:space="preserve"> PAGE   \* MERGEFORMAT </w:instrText>
        </w:r>
        <w:r>
          <w:fldChar w:fldCharType="separate"/>
        </w:r>
        <w:r>
          <w:t>2</w:t>
        </w:r>
        <w:r>
          <w:fldChar w:fldCharType="end"/>
        </w:r>
      </w:p>
    </w:sdtContent>
  </w:sdt>
  <w:p w14:paraId="03976E22" w14:textId="77777777" w:rsidR="00515398" w:rsidRDefault="00515398">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2CDA" w14:textId="77777777" w:rsidR="00515398" w:rsidRDefault="0051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CC10F" w14:textId="77777777" w:rsidR="00FD70B5" w:rsidRDefault="00FD70B5">
      <w:pPr>
        <w:spacing w:after="0" w:line="240" w:lineRule="auto"/>
      </w:pPr>
      <w:r>
        <w:separator/>
      </w:r>
    </w:p>
  </w:footnote>
  <w:footnote w:type="continuationSeparator" w:id="0">
    <w:p w14:paraId="3A6C4E76" w14:textId="77777777" w:rsidR="00FD70B5" w:rsidRDefault="00FD70B5">
      <w:pPr>
        <w:spacing w:after="0" w:line="240" w:lineRule="auto"/>
      </w:pPr>
      <w:r>
        <w:continuationSeparator/>
      </w:r>
    </w:p>
  </w:footnote>
  <w:footnote w:type="continuationNotice" w:id="1">
    <w:p w14:paraId="026AEA50" w14:textId="77777777" w:rsidR="00FD70B5" w:rsidRDefault="00FD70B5">
      <w:pPr>
        <w:spacing w:after="0" w:line="240" w:lineRule="auto"/>
      </w:pPr>
    </w:p>
  </w:footnote>
  <w:footnote w:id="2">
    <w:p w14:paraId="10D84F86"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S výjimkou </w:t>
      </w:r>
      <w:r>
        <w:rPr>
          <w:rStyle w:val="FootnoteReference"/>
          <w:vertAlign w:val="baseline"/>
        </w:rPr>
        <w:t>projektů v rámci tohoto opatření v oblasti výroby elektřiny a/nebo tepla, jakož i související přenosové a distribuční infrastruktury využívající zemní plyn, které splňují podmínky stanovené v příloze III technických pokynů „významně nepoškozovat“ (2021/C58</w:t>
      </w:r>
      <w:r>
        <w:rPr>
          <w:rStyle w:val="FootnoteReference"/>
          <w:vertAlign w:val="baseline"/>
        </w:rPr>
        <w:t>/01).</w:t>
      </w:r>
    </w:p>
  </w:footnote>
  <w:footnote w:id="3">
    <w:p w14:paraId="556F86D8"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Pokud podporované činnosti dosáhnou předpokládaných emisí skleníkových plynů, které nejsou výrazně nižší než příslušné referenční hodnoty, mělo by být poskytnuto vysvětlení důvodů, proč to není možné. Referenční hodnoty stanovené pro přidělování be</w:t>
      </w:r>
      <w:r>
        <w:rPr>
          <w:rStyle w:val="FootnoteReference"/>
          <w:vertAlign w:val="baseline"/>
        </w:rPr>
        <w:t>zplatných povolenek pro činnosti spadající do oblasti působnosti systému obchodování s emisemi, jak je stanoveno v prováděcím nařízení Komise (EU) 2021/447.</w:t>
      </w:r>
    </w:p>
  </w:footnote>
  <w:footnote w:id="4">
    <w:p w14:paraId="3294EB08"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Toto vyloučení se nevztahuje na činnosti v rámci tohoto opatření v zařízeních výlučně určených k </w:t>
      </w:r>
      <w:r>
        <w:rPr>
          <w:rStyle w:val="FootnoteReference"/>
          <w:vertAlign w:val="baseline"/>
        </w:rPr>
        <w:t>nakládání s nerecyklovatelným nebezpečným odpadem a na stávající zařízení, pokud je účelem činností v rámci tohoto opatření zvýšení energetické účinnosti, zachycování výfukových plynů za účelem skladování či používání nebo získávání materiálů z popela ze s</w:t>
      </w:r>
      <w:r>
        <w:rPr>
          <w:rStyle w:val="FootnoteReference"/>
          <w:vertAlign w:val="baseline"/>
        </w:rPr>
        <w:t>palování, za předpokladu, že tyto činnosti v rámci tohoto opatření nevedou ke zvýšení kapacity zpracování odpadu dotčeného zařízení nebo k prodloužení životnosti zařízení; pro které jsou předloženy důkazy na úrovni zařízení.</w:t>
      </w:r>
    </w:p>
  </w:footnote>
  <w:footnote w:id="5">
    <w:p w14:paraId="16094E3A" w14:textId="77777777" w:rsidR="00515398" w:rsidRDefault="006711E6">
      <w:pPr>
        <w:pStyle w:val="FootnoteText"/>
        <w:ind w:left="0" w:firstLine="0"/>
      </w:pPr>
      <w:r>
        <w:rPr>
          <w:rStyle w:val="FootnoteReference"/>
        </w:rPr>
        <w:footnoteRef/>
      </w:r>
      <w:r>
        <w:rPr>
          <w:rStyle w:val="FootnoteReference"/>
        </w:rPr>
        <w:t xml:space="preserve"> </w:t>
      </w:r>
      <w:r>
        <w:rPr>
          <w:rStyle w:val="FootnoteReference"/>
          <w:vertAlign w:val="baseline"/>
        </w:rPr>
        <w:t>Tato výjimka se nevztahuje na</w:t>
      </w:r>
      <w:r>
        <w:rPr>
          <w:rStyle w:val="FootnoteReference"/>
          <w:vertAlign w:val="baseline"/>
        </w:rPr>
        <w:t xml:space="preserve"> akce v rámci tohoto opatření ve stávajících zařízeních na mechanicko-biologické zpracování, pokud jsou akce v rámci tohoto opatření určeny ke zvýšení energetické účinnosti nebo k dodatečnému vybavení pro recyklační operace tříděného odpadu ke kompostování</w:t>
      </w:r>
      <w:r>
        <w:rPr>
          <w:rStyle w:val="FootnoteReference"/>
          <w:vertAlign w:val="baseline"/>
        </w:rPr>
        <w:t xml:space="preserve"> biologického odpadu a anaerobní digesce biologického odpadu, pokud tyto akce v rámci tohoto opatření nevedou ke zvýšení kapacity zařízení na zpracování odpadu nebo k prodloužení životnosti zařízení; pro které jsou předloženy důkazy na úrovni zařízení.</w:t>
      </w:r>
    </w:p>
  </w:footnote>
  <w:footnote w:id="6">
    <w:p w14:paraId="69E6CCB7" w14:textId="77777777" w:rsidR="00515398" w:rsidRDefault="006711E6">
      <w:pPr>
        <w:pStyle w:val="FootnoteText"/>
        <w:ind w:left="0" w:firstLine="0"/>
      </w:pPr>
      <w:r>
        <w:rPr>
          <w:rStyle w:val="FootnoteReference"/>
        </w:rPr>
        <w:footnoteRef/>
      </w:r>
      <w:r>
        <w:t xml:space="preserve"> F</w:t>
      </w:r>
      <w:r>
        <w:t xml:space="preserve">inanční zprostředkovatelé </w:t>
      </w:r>
      <w:r>
        <w:rPr>
          <w:rFonts w:eastAsia="Times New Roman"/>
        </w:rPr>
        <w:t xml:space="preserve">jsou povinni pro účely výpočtu příspěvku v oblasti klimatu poskytnout odůvodnění zvolené oblasti intervence pro každý podporovaný projekt spolu s popisem projektu. </w:t>
      </w:r>
      <w:r>
        <w:rPr>
          <w:rStyle w:val="FootnoteReference"/>
          <w:vertAlign w:val="baseline"/>
        </w:rPr>
        <w:t>Prováděcí</w:t>
      </w:r>
      <w:r>
        <w:rPr>
          <w:rFonts w:eastAsia="Times New Roman"/>
        </w:rPr>
        <w:t xml:space="preserve"> partner je rovněž povinen předkládat členskému státu pol</w:t>
      </w:r>
      <w:r>
        <w:rPr>
          <w:rFonts w:eastAsia="Times New Roman"/>
        </w:rPr>
        <w:t>oletní zprávu o provádění každého projektu/činnosti</w:t>
      </w:r>
      <w:r>
        <w:t>.</w:t>
      </w:r>
    </w:p>
  </w:footnote>
  <w:footnote w:id="7">
    <w:p w14:paraId="7DE82FEA"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S výjimkou projektů v rámci tohoto opatření v oblasti výroby elektřiny a/nebo tepla, jakož i související přenosové a distribuční infrastruktury využívající zemní plyn, které splňují podmínky stanovené </w:t>
      </w:r>
      <w:r>
        <w:rPr>
          <w:rStyle w:val="FootnoteReference"/>
          <w:vertAlign w:val="baseline"/>
        </w:rPr>
        <w:t>v příloze III technických pokynů „významně nepoškozovat“ (2021/C58/01).</w:t>
      </w:r>
    </w:p>
  </w:footnote>
  <w:footnote w:id="8">
    <w:p w14:paraId="4F831E84"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Pokud podporované činnosti dosáhnou předpokládaných emisí skleníkových plynů, které nejsou výrazně nižší než příslušné referenční hodnoty, mělo by být poskytnuto vysvětlení důvodů, p</w:t>
      </w:r>
      <w:r>
        <w:rPr>
          <w:rStyle w:val="FootnoteReference"/>
          <w:vertAlign w:val="baseline"/>
        </w:rPr>
        <w:t>roč to není možné. Referenční hodnoty stanovené pro přidělování bezplatných povolenek pro činnosti spadající do oblasti působnosti systému obchodování s emisemi, jak je stanoveno v prováděcím nařízení Komise (EU) 2021/447.</w:t>
      </w:r>
    </w:p>
  </w:footnote>
  <w:footnote w:id="9">
    <w:p w14:paraId="74368731"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Toto vyloučení se nevztahuje na</w:t>
      </w:r>
      <w:r>
        <w:rPr>
          <w:rStyle w:val="FootnoteReference"/>
          <w:vertAlign w:val="baseline"/>
        </w:rPr>
        <w:t xml:space="preserve"> činnosti v rámci tohoto opatření v zařízeních výlučně určených k nakládání s nerecyklovatelným nebezpečným odpadem a na stávající zařízení, pokud je účelem činností v rámci tohoto opatření zvýšení energetické účinnosti, zachycování výfukových plynů za úče</w:t>
      </w:r>
      <w:r>
        <w:rPr>
          <w:rStyle w:val="FootnoteReference"/>
          <w:vertAlign w:val="baseline"/>
        </w:rPr>
        <w:t>lem skladování či používání nebo získávání materiálů z popela ze spalování, za předpokladu, že tyto činnosti v rámci tohoto opatření nevedou ke zvýšení kapacity zpracování odpadu dotčeného zařízení nebo k prodloužení životnosti zařízení; pro které jsou pře</w:t>
      </w:r>
      <w:r>
        <w:rPr>
          <w:rStyle w:val="FootnoteReference"/>
          <w:vertAlign w:val="baseline"/>
        </w:rPr>
        <w:t>dloženy důkazy na úrovni zařízení.</w:t>
      </w:r>
    </w:p>
  </w:footnote>
  <w:footnote w:id="10">
    <w:p w14:paraId="6AED4973" w14:textId="77777777" w:rsidR="00515398" w:rsidRDefault="006711E6">
      <w:pPr>
        <w:pStyle w:val="FootnoteText"/>
        <w:ind w:left="0" w:firstLine="0"/>
      </w:pPr>
      <w:r>
        <w:rPr>
          <w:rStyle w:val="FootnoteReference"/>
        </w:rPr>
        <w:footnoteRef/>
      </w:r>
      <w:r>
        <w:rPr>
          <w:rStyle w:val="FootnoteReference"/>
        </w:rPr>
        <w:t xml:space="preserve"> </w:t>
      </w:r>
      <w:r>
        <w:rPr>
          <w:rStyle w:val="FootnoteReference"/>
          <w:vertAlign w:val="baseline"/>
        </w:rPr>
        <w:t>Tato výjimka se nevztahuje na akce v rámci tohoto opatření ve stávajících zařízeních na mechanicko-biologické zpracování, pokud jsou akce v rámci tohoto opatření určeny ke zvýšení energetické účinnosti nebo k dodatečném</w:t>
      </w:r>
      <w:r>
        <w:rPr>
          <w:rStyle w:val="FootnoteReference"/>
          <w:vertAlign w:val="baseline"/>
        </w:rPr>
        <w:t xml:space="preserve">u vybavení pro recyklační operace tříděného odpadu ke kompostování biologického odpadu a anaerobní digesce biologického odpadu, pokud tyto akce v rámci tohoto opatření nevedou ke zvýšení kapacity zařízení na zpracování odpadu nebo k prodloužení životnosti </w:t>
      </w:r>
      <w:r>
        <w:rPr>
          <w:rStyle w:val="FootnoteReference"/>
          <w:vertAlign w:val="baseline"/>
        </w:rPr>
        <w:t>zařízení; pro které jsou předloženy důkazy na úrovni zařízení.</w:t>
      </w:r>
    </w:p>
  </w:footnote>
  <w:footnote w:id="11">
    <w:p w14:paraId="5BDA38D9" w14:textId="77777777" w:rsidR="00515398" w:rsidRDefault="006711E6">
      <w:pPr>
        <w:pStyle w:val="FootnoteText"/>
        <w:ind w:left="0" w:firstLine="0"/>
      </w:pPr>
      <w:r>
        <w:rPr>
          <w:rStyle w:val="FootnoteReference"/>
        </w:rPr>
        <w:footnoteRef/>
      </w:r>
      <w:r>
        <w:t xml:space="preserve"> S výjimkou projektů v rámci tohoto opatření v oblasti výroby elektřiny a/nebo tepla, jakož i související přenosové a distribuční infrastruktury využívající zemní plyn, které splňují podmínky </w:t>
      </w:r>
      <w:r>
        <w:t>stanovené v příloze III technických pokynů „významně nepoškozovat“ (2021/C58/01).</w:t>
      </w:r>
    </w:p>
  </w:footnote>
  <w:footnote w:id="12">
    <w:p w14:paraId="5DC3CBB9" w14:textId="77777777" w:rsidR="00515398" w:rsidRDefault="006711E6">
      <w:pPr>
        <w:pStyle w:val="FootnoteText"/>
        <w:ind w:left="0" w:firstLine="0"/>
      </w:pPr>
      <w:r>
        <w:rPr>
          <w:rStyle w:val="FootnoteReference"/>
        </w:rPr>
        <w:footnoteRef/>
      </w:r>
      <w:r>
        <w:t xml:space="preserve"> Pokud podporované činnosti dosáhnou předpokládaných emisí skleníkových plynů, které nejsou výrazně nižší než příslušné referenční hodnoty, mělo by být poskytnuto vysvětlení</w:t>
      </w:r>
      <w:r>
        <w:t xml:space="preserve"> důvodů, proč to není možné. Referenční hodnoty stanovené pro přidělování bezplatných povolenek pro činnosti spadající do oblasti působnosti systému obchodování s emisemi, jak je stanoveno v prováděcím nařízení Komise (EU) 2021/447.</w:t>
      </w:r>
    </w:p>
  </w:footnote>
  <w:footnote w:id="13">
    <w:p w14:paraId="3B6B71D1" w14:textId="77777777" w:rsidR="00515398" w:rsidRDefault="006711E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Toto vyloučení se nev</w:t>
      </w:r>
      <w:r>
        <w:rPr>
          <w:rFonts w:ascii="Times New Roman" w:hAnsi="Times New Roman"/>
          <w:sz w:val="20"/>
        </w:rPr>
        <w:t>ztahuje na činnosti v rámci tohoto opatření v zařízeních výlučně určených k nakládání s nerecyklovatelným nebezpečným odpadem a na stávající zařízení, pokud je účelem činností v rámci tohoto opatření zvýšení energetické účinnosti, zachycování výfukových pl</w:t>
      </w:r>
      <w:r>
        <w:rPr>
          <w:rFonts w:ascii="Times New Roman" w:hAnsi="Times New Roman"/>
          <w:sz w:val="20"/>
        </w:rPr>
        <w:t>ynů za účelem skladování či používání nebo získávání materiálů z popela ze spalování, za předpokladu, že tyto činnosti v rámci tohoto opatření nevedou ke zvýšení kapacity zpracování odpadu dotčeného zařízení nebo k prodloužení životnosti zařízení; pro kter</w:t>
      </w:r>
      <w:r>
        <w:rPr>
          <w:rFonts w:ascii="Times New Roman" w:hAnsi="Times New Roman"/>
          <w:sz w:val="20"/>
        </w:rPr>
        <w:t>é jsou předloženy důkazy na úrovni zařízení.</w:t>
      </w:r>
    </w:p>
  </w:footnote>
  <w:footnote w:id="14">
    <w:p w14:paraId="23FA3133" w14:textId="77777777" w:rsidR="00515398" w:rsidRDefault="006711E6">
      <w:pPr>
        <w:pStyle w:val="FootnoteText"/>
        <w:ind w:left="0" w:firstLine="0"/>
      </w:pPr>
      <w:r>
        <w:rPr>
          <w:rStyle w:val="FootnoteReference"/>
        </w:rPr>
        <w:footnoteRef/>
      </w:r>
      <w:r>
        <w:t xml:space="preserve"> Tato výjimka se nevztahuje na akce v rámci tohoto opatření ve stávajících zařízeních na mechanicko-biologické zpracování, pokud jsou akce v rámci tohoto opatření určeny ke zvýšení energetické účinnosti nebo k </w:t>
      </w:r>
      <w:r>
        <w:t>dodatečnému vybavení pro recyklační operace tříděného odpadu ke kompostování biologického odpadu a anaerobní digesce biologického odpadu, pokud tyto akce v rámci tohoto opatření nevedou ke zvýšení kapacity zařízení na zpracování odpadu nebo k prodloužení ž</w:t>
      </w:r>
      <w:r>
        <w:t>ivotnosti zařízení; pro které jsou předloženy důkazy na úrovni zařízení.</w:t>
      </w:r>
    </w:p>
  </w:footnote>
  <w:footnote w:id="15">
    <w:p w14:paraId="503E35F0" w14:textId="77777777" w:rsidR="00515398" w:rsidRDefault="006711E6">
      <w:pPr>
        <w:pStyle w:val="FootnoteText"/>
        <w:ind w:left="0" w:firstLine="0"/>
      </w:pPr>
      <w:r>
        <w:rPr>
          <w:rStyle w:val="FootnoteReference"/>
        </w:rPr>
        <w:footnoteRef/>
      </w:r>
      <w:r>
        <w:t xml:space="preserve"> S výjimkou projektů v rámci tohoto opatření v oblasti výroby elektřiny a/nebo tepla, jakož i související přenosové a distribuční infrastruktury využívající zemní plyn, které splňují</w:t>
      </w:r>
      <w:r>
        <w:t xml:space="preserve"> podmínky stanovené v příloze III technických pokynů „významně nepoškozovat“ (2021/C58/01).</w:t>
      </w:r>
    </w:p>
  </w:footnote>
  <w:footnote w:id="16">
    <w:p w14:paraId="7DA80BCE" w14:textId="77777777" w:rsidR="00515398" w:rsidRDefault="006711E6">
      <w:pPr>
        <w:pStyle w:val="FootnoteText"/>
        <w:ind w:left="0" w:firstLine="0"/>
      </w:pPr>
      <w:r>
        <w:rPr>
          <w:rStyle w:val="FootnoteReference"/>
        </w:rPr>
        <w:footnoteRef/>
      </w:r>
      <w:r>
        <w:t xml:space="preserve"> Pokud podporované činnosti dosáhnou předpokládaných emisí skleníkových plynů, které nejsou výrazně nižší než příslušné referenční hodnoty, mělo by být poskytnuto </w:t>
      </w:r>
      <w:r>
        <w:t>vysvětlení důvodů, proč to není možné. Referenční hodnoty stanovené pro přidělování bezplatných povolenek pro činnosti spadající do oblasti působnosti systému obchodování s emisemi, jak je stanoveno v prováděcím nařízení Komise (EU) 2021/447.</w:t>
      </w:r>
    </w:p>
  </w:footnote>
  <w:footnote w:id="17">
    <w:p w14:paraId="32D9D2F3" w14:textId="77777777" w:rsidR="00515398" w:rsidRDefault="006711E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Toto </w:t>
      </w:r>
      <w:r>
        <w:rPr>
          <w:rFonts w:ascii="Times New Roman" w:hAnsi="Times New Roman"/>
          <w:sz w:val="20"/>
        </w:rPr>
        <w:t>vyloučení se nevztahuje na činnosti v rámci tohoto opatření v zařízeních výlučně určených k nakládání s nerecyklovatelným nebezpečným odpadem a na stávající zařízení, pokud je účelem činností v rámci tohoto opatření zvýšení energetické účinnosti, zachycová</w:t>
      </w:r>
      <w:r>
        <w:rPr>
          <w:rFonts w:ascii="Times New Roman" w:hAnsi="Times New Roman"/>
          <w:sz w:val="20"/>
        </w:rPr>
        <w:t>ní výfukových plynů za účelem skladování či používání nebo získávání materiálů z popela ze spalování, za předpokladu, že tyto činnosti v rámci tohoto opatření nevedou ke zvýšení kapacity zpracování odpadu dotčeného zařízení nebo k prodloužení životnosti za</w:t>
      </w:r>
      <w:r>
        <w:rPr>
          <w:rFonts w:ascii="Times New Roman" w:hAnsi="Times New Roman"/>
          <w:sz w:val="20"/>
        </w:rPr>
        <w:t>řízení; pro které jsou předloženy důkazy na úrovni zařízení.</w:t>
      </w:r>
    </w:p>
  </w:footnote>
  <w:footnote w:id="18">
    <w:p w14:paraId="697E8A85" w14:textId="77777777" w:rsidR="00515398" w:rsidRDefault="006711E6">
      <w:pPr>
        <w:pStyle w:val="FootnoteText"/>
        <w:ind w:left="0" w:firstLine="0"/>
      </w:pPr>
      <w:r>
        <w:rPr>
          <w:rStyle w:val="FootnoteReference"/>
        </w:rPr>
        <w:footnoteRef/>
      </w:r>
      <w:r>
        <w:t xml:space="preserve"> Tato výjimka se nevztahuje na akce v rámci tohoto opatření ve stávajících zařízeních na mechanicko-biologické zpracování, pokud jsou akce v rámci tohoto opatření určeny ke zvýšení energetické ú</w:t>
      </w:r>
      <w:r>
        <w:t>činnosti nebo k dodatečnému vybavení pro recyklační operace tříděného odpadu ke kompostování biologického odpadu a anaerobní digesce biologického odpadu, pokud tyto akce v rámci tohoto opatření nevedou ke zvýšení kapacity zařízení na zpracování odpadu nebo</w:t>
      </w:r>
      <w:r>
        <w:t xml:space="preserve"> k prodloužení životnosti zařízení; pro které jsou předloženy důkazy na úrovni zařízení.</w:t>
      </w:r>
    </w:p>
  </w:footnote>
  <w:footnote w:id="19">
    <w:p w14:paraId="3694ECC7" w14:textId="77777777" w:rsidR="00515398" w:rsidRDefault="006711E6">
      <w:pPr>
        <w:pStyle w:val="FootnoteText"/>
        <w:ind w:left="57" w:firstLine="0"/>
      </w:pPr>
      <w:r>
        <w:rPr>
          <w:rStyle w:val="FootnoteReference"/>
        </w:rPr>
        <w:footnoteRef/>
      </w:r>
      <w:r>
        <w:t xml:space="preserve"> S výjimkou projektů v rámci tohoto opatření v oblasti výroby elektřiny a/nebo tepla, jakož i související přenosové a distribuční infrastruktury využívající zemní ply</w:t>
      </w:r>
      <w:r>
        <w:t>n, které splňují podmínky stanovené v příloze III technických pokynů „významně nepoškozovat“ (2021/C58/01).</w:t>
      </w:r>
    </w:p>
  </w:footnote>
  <w:footnote w:id="20">
    <w:p w14:paraId="0A4C6DAE" w14:textId="77777777" w:rsidR="00515398" w:rsidRDefault="006711E6">
      <w:pPr>
        <w:pStyle w:val="FootnoteText"/>
        <w:ind w:left="57" w:firstLine="0"/>
      </w:pPr>
      <w:r>
        <w:rPr>
          <w:rStyle w:val="FootnoteReference"/>
        </w:rPr>
        <w:footnoteRef/>
      </w:r>
      <w:r>
        <w:t xml:space="preserve"> Pokud podporované činnosti dosáhnou předpokládaných emisí skleníkových plynů, které nejsou výrazně nižší než příslušné referenční hodnoty, mělo by</w:t>
      </w:r>
      <w:r>
        <w:t xml:space="preserve"> být poskytnuto vysvětlení důvodů, proč to není možné. Referenční hodnoty stanovené pro přidělování bezplatných povolenek pro činnosti spadající do oblasti působnosti systému obchodování s emisemi, jak je stanoveno v prováděcím nařízení Komise (EU) 2021/44</w:t>
      </w:r>
      <w:r>
        <w:t>7.</w:t>
      </w:r>
    </w:p>
  </w:footnote>
  <w:footnote w:id="21">
    <w:p w14:paraId="31186874" w14:textId="77777777" w:rsidR="00515398" w:rsidRDefault="006711E6">
      <w:pPr>
        <w:spacing w:after="0" w:line="240" w:lineRule="auto"/>
        <w:ind w:left="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Toto vyloučení se nevztahuje na činnosti v rámci tohoto opatření v zařízeních výlučně určených k nakládání s nerecyklovatelným nebezpečným odpadem a na stávající zařízení, pokud je účelem činností v rámci tohoto opatření zvýšení energetické účinnosti,</w:t>
      </w:r>
      <w:r>
        <w:rPr>
          <w:rFonts w:ascii="Times New Roman" w:hAnsi="Times New Roman"/>
          <w:sz w:val="20"/>
        </w:rPr>
        <w:t xml:space="preserve"> zachycování výfukových plynů za účelem skladování či používání nebo získávání materiálů z popela ze spalování, za předpokladu, že tyto činnosti v rámci tohoto opatření nevedou ke zvýšení kapacity zpracování odpadu dotčeného zařízení nebo k prodloužení živ</w:t>
      </w:r>
      <w:r>
        <w:rPr>
          <w:rFonts w:ascii="Times New Roman" w:hAnsi="Times New Roman"/>
          <w:sz w:val="20"/>
        </w:rPr>
        <w:t>otnosti zařízení; pro které jsou předloženy důkazy na úrovni zařízení.</w:t>
      </w:r>
    </w:p>
  </w:footnote>
  <w:footnote w:id="22">
    <w:p w14:paraId="106C057B" w14:textId="77777777" w:rsidR="00515398" w:rsidRDefault="006711E6">
      <w:pPr>
        <w:pStyle w:val="FootnoteText"/>
        <w:ind w:left="57" w:firstLine="0"/>
      </w:pPr>
      <w:r>
        <w:rPr>
          <w:rStyle w:val="FootnoteReference"/>
        </w:rPr>
        <w:footnoteRef/>
      </w:r>
      <w:r>
        <w:t xml:space="preserve"> Tato výjimka se nevztahuje na akce v rámci tohoto opatření ve stávajících zařízeních na mechanicko-biologické zpracování, pokud jsou akce v rámci tohoto opatření určeny ke zvýšení ene</w:t>
      </w:r>
      <w:r>
        <w:t>rgetické účinnosti nebo k dodatečnému vybavení pro recyklační operace tříděného odpadu ke kompostování biologického odpadu a anaerobní digesce biologického odpadu, pokud tyto akce v rámci tohoto opatření nevedou ke zvýšení kapacity zařízení na zpracování o</w:t>
      </w:r>
      <w:r>
        <w:t>dpadu nebo k prodloužení životnosti zařízení; pro které jsou předloženy důkazy na úrovni zařízení.</w:t>
      </w:r>
    </w:p>
  </w:footnote>
  <w:footnote w:id="23">
    <w:p w14:paraId="1B1B0346" w14:textId="77777777" w:rsidR="00515398" w:rsidRDefault="006711E6">
      <w:pPr>
        <w:pStyle w:val="FootnoteText"/>
        <w:ind w:left="0" w:firstLine="0"/>
      </w:pPr>
      <w:r>
        <w:rPr>
          <w:rStyle w:val="FootnoteReference"/>
        </w:rPr>
        <w:footnoteRef/>
      </w:r>
      <w:r>
        <w:t xml:space="preserve"> S výjimkou projektů v rámci tohoto opatření v oblasti výroby elektřiny a/nebo tepla, jakož i související přenosové a distribuční infrastruktury využívající</w:t>
      </w:r>
      <w:r>
        <w:t xml:space="preserve"> zemní plyn, které splňují podmínky stanovené v příloze III technických pokynů „významně nepoškozovat“ (2021/C58/01).</w:t>
      </w:r>
    </w:p>
  </w:footnote>
  <w:footnote w:id="24">
    <w:p w14:paraId="765941C2" w14:textId="77777777" w:rsidR="00515398" w:rsidRDefault="006711E6">
      <w:pPr>
        <w:pStyle w:val="FootnoteText"/>
        <w:ind w:left="0" w:firstLine="0"/>
      </w:pPr>
      <w:r>
        <w:rPr>
          <w:rStyle w:val="FootnoteReference"/>
        </w:rPr>
        <w:footnoteRef/>
      </w:r>
      <w:r>
        <w:t xml:space="preserve"> Pokud podporované činnosti dosáhnou předpokládaných emisí skleníkových plynů, které nejsou výrazně nižší než příslušné referenční hodnot</w:t>
      </w:r>
      <w:r>
        <w:t>y, mělo by být poskytnuto vysvětlení důvodů, proč to není možné. Referenční hodnoty stanovené pro přidělování bezplatných povolenek pro činnosti spadající do oblasti působnosti systému obchodování s emisemi, jak je stanoveno v prováděcím nařízení Komise (E</w:t>
      </w:r>
      <w:r>
        <w:t>U) 2021/447.</w:t>
      </w:r>
    </w:p>
  </w:footnote>
  <w:footnote w:id="25">
    <w:p w14:paraId="593CAB8E" w14:textId="77777777" w:rsidR="00515398" w:rsidRDefault="006711E6">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rPr>
        <w:t xml:space="preserve"> Toto vyloučení se nevztahuje na činnosti v rámci tohoto opatření v zařízeních výlučně určených k nakládání s nerecyklovatelným nebezpečným odpadem a na stávající zařízení, pokud je účelem činností v rámci tohoto opatření zvýšení energetické </w:t>
      </w:r>
      <w:r>
        <w:rPr>
          <w:rFonts w:ascii="Times New Roman" w:hAnsi="Times New Roman"/>
          <w:sz w:val="20"/>
        </w:rPr>
        <w:t>účinnosti, zachycování výfukových plynů za účelem skladování či používání nebo získávání materiálů z popela ze spalování, za předpokladu, že tyto činnosti v rámci tohoto opatření nevedou ke zvýšení kapacity zpracování odpadu dotčeného zařízení nebo k prodl</w:t>
      </w:r>
      <w:r>
        <w:rPr>
          <w:rFonts w:ascii="Times New Roman" w:hAnsi="Times New Roman"/>
          <w:sz w:val="20"/>
        </w:rPr>
        <w:t>oužení životnosti zařízení; pro které jsou předloženy důkazy na úrovni zařízení.</w:t>
      </w:r>
    </w:p>
  </w:footnote>
  <w:footnote w:id="26">
    <w:p w14:paraId="078E5F00" w14:textId="77777777" w:rsidR="00515398" w:rsidRDefault="006711E6">
      <w:pPr>
        <w:pStyle w:val="FootnoteText"/>
        <w:ind w:left="0" w:firstLine="0"/>
      </w:pPr>
      <w:r>
        <w:rPr>
          <w:rStyle w:val="FootnoteReference"/>
        </w:rPr>
        <w:footnoteRef/>
      </w:r>
      <w:r>
        <w:t xml:space="preserve"> Tato výjimka se nevztahuje na akce v rámci tohoto opatření ve stávajících zařízeních na mechanicko-biologické zpracování, pokud jsou akce v rámci tohoto opatření určeny ke zvýšení energetické účinnosti nebo k dodatečnému vybavení pro recyklační operace tř</w:t>
      </w:r>
      <w:r>
        <w:t xml:space="preserve">íděného odpadu ke kompostování biologického odpadu a anaerobní digesce biologického odpadu, pokud tyto akce v rámci tohoto opatření nevedou ke zvýšení kapacity zařízení na zpracování odpadu nebo k prodloužení životnosti zařízení; pro které jsou předloženy </w:t>
      </w:r>
      <w:r>
        <w:t>důkazy na úrovni zařízení.</w:t>
      </w:r>
    </w:p>
  </w:footnote>
  <w:footnote w:id="27">
    <w:p w14:paraId="7BDF3280" w14:textId="77777777" w:rsidR="00515398" w:rsidRDefault="006711E6">
      <w:pPr>
        <w:pStyle w:val="FootnoteText"/>
        <w:ind w:left="0" w:firstLine="0"/>
      </w:pPr>
      <w:r>
        <w:rPr>
          <w:rStyle w:val="FootnoteReference"/>
        </w:rPr>
        <w:footnoteRef/>
      </w:r>
      <w:r>
        <w:t xml:space="preserve"> S výjimkou projektů v rámci tohoto opatření v oblasti výroby elektřiny a/nebo tepla, jakož i související přenosové a distribuční infrastruktury využívající zemní plyn, které splňují podmínky stanovené v příloze III technických </w:t>
      </w:r>
      <w:r>
        <w:t>pokynů „významně nepoškozovat“ (2021/C58/01).</w:t>
      </w:r>
    </w:p>
  </w:footnote>
  <w:footnote w:id="28">
    <w:p w14:paraId="3CA15ED9" w14:textId="77777777" w:rsidR="00515398" w:rsidRDefault="006711E6">
      <w:pPr>
        <w:pStyle w:val="FootnoteText"/>
        <w:ind w:left="0" w:firstLine="0"/>
      </w:pPr>
      <w:r>
        <w:rPr>
          <w:rStyle w:val="FootnoteReference"/>
        </w:rPr>
        <w:footnoteRef/>
      </w:r>
      <w:r>
        <w:t xml:space="preserve"> Pokud podporované činnosti dosáhnou předpokládaných emisí skleníkových plynů, které nejsou výrazně nižší než příslušné referenční hodnoty, mělo by být poskytnuto vysvětlení důvodů, proč to není možné. Referen</w:t>
      </w:r>
      <w:r>
        <w:t>ční hodnoty stanovené pro přidělování bezplatných povolenek pro činnosti spadající do oblasti působnosti systému obchodování s emisemi, jak je stanoveno v prováděcím nařízení Komise (EU) 2021/447.</w:t>
      </w:r>
    </w:p>
  </w:footnote>
  <w:footnote w:id="29">
    <w:p w14:paraId="15C07889" w14:textId="77777777" w:rsidR="00515398" w:rsidRDefault="006711E6">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Toto vyloučení se nevztahuje na činnosti v rámci tohoto o</w:t>
      </w:r>
      <w:r>
        <w:rPr>
          <w:rFonts w:ascii="Times New Roman" w:hAnsi="Times New Roman"/>
          <w:sz w:val="20"/>
        </w:rPr>
        <w:t>patření v zařízeních výlučně určených k nakládání s nerecyklovatelným nebezpečným odpadem a na stávající zařízení, pokud je účelem činností v rámci tohoto opatření zvýšení energetické účinnosti, zachycování výfukových plynů za účelem skladování či používán</w:t>
      </w:r>
      <w:r>
        <w:rPr>
          <w:rFonts w:ascii="Times New Roman" w:hAnsi="Times New Roman"/>
          <w:sz w:val="20"/>
        </w:rPr>
        <w:t>í nebo získávání materiálů z popela ze spalování, za předpokladu, že tyto činnosti v rámci tohoto opatření nevedou ke zvýšení kapacity zpracování odpadu dotčeného zařízení nebo k prodloužení životnosti zařízení; pro které jsou předloženy důkazy na úrovni z</w:t>
      </w:r>
      <w:r>
        <w:rPr>
          <w:rFonts w:ascii="Times New Roman" w:hAnsi="Times New Roman"/>
          <w:sz w:val="20"/>
        </w:rPr>
        <w:t>ařízení.</w:t>
      </w:r>
    </w:p>
  </w:footnote>
  <w:footnote w:id="30">
    <w:p w14:paraId="13DCE11C" w14:textId="77777777" w:rsidR="00515398" w:rsidRDefault="006711E6">
      <w:pPr>
        <w:pStyle w:val="FootnoteText"/>
        <w:ind w:left="0" w:firstLine="0"/>
      </w:pPr>
      <w:r>
        <w:rPr>
          <w:rStyle w:val="FootnoteReference"/>
        </w:rPr>
        <w:footnoteRef/>
      </w:r>
      <w:r>
        <w:t xml:space="preserve"> Tato výjimka se nevztahuje na akce v rámci tohoto opatření ve stávajících zařízeních na mechanicko-biologické zpracování, pokud jsou akce v rámci tohoto opatření určeny ke zvýšení energetické účinnosti nebo k dodatečnému vybavení pro recyklační </w:t>
      </w:r>
      <w:r>
        <w:t>operace tříděného odpadu ke kompostování biologického odpadu a anaerobní digesce biologického odpadu, pokud tyto akce v rámci tohoto opatření nevedou ke zvýšení kapacity zařízení na zpracování odpadu nebo k prodloužení životnosti zařízení; pro které jsou p</w:t>
      </w:r>
      <w:r>
        <w:t>ředloženy důkazy na úrovni zařízení.</w:t>
      </w:r>
    </w:p>
  </w:footnote>
  <w:footnote w:id="31">
    <w:p w14:paraId="1BB4B1A3" w14:textId="77777777" w:rsidR="00515398" w:rsidRDefault="006711E6">
      <w:pPr>
        <w:pStyle w:val="FootnoteText"/>
        <w:ind w:left="0" w:firstLine="0"/>
        <w:rPr>
          <w:rStyle w:val="FootnoteReference"/>
          <w:vertAlign w:val="baseline"/>
        </w:rPr>
      </w:pPr>
      <w:r>
        <w:rPr>
          <w:rStyle w:val="FootnoteReference"/>
        </w:rPr>
        <w:footnoteRef/>
      </w:r>
      <w:r>
        <w:rPr>
          <w:rStyle w:val="FootnoteReference"/>
        </w:rPr>
        <w:t xml:space="preserve"> </w:t>
      </w:r>
      <w:r>
        <w:rPr>
          <w:rStyle w:val="FootnoteReference"/>
          <w:vertAlign w:val="baseline"/>
        </w:rPr>
        <w:t>S výjimkou projektů v rámci tohoto opatření v oblasti výroby elektřiny a/nebo tepla, jakož i související přenosové a distribuční infrastruktury využívající zemní plyn, které splňují podmínky stanovené v příloze III te</w:t>
      </w:r>
      <w:r>
        <w:rPr>
          <w:rStyle w:val="FootnoteReference"/>
          <w:vertAlign w:val="baseline"/>
        </w:rPr>
        <w:t>chnických pokynů „významně nepoškozovat“ (2021/C58/01).</w:t>
      </w:r>
    </w:p>
  </w:footnote>
  <w:footnote w:id="32">
    <w:p w14:paraId="7E0F721C"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Pokud podporované činnosti dosáhnou předpokládaných emisí skleníkových plynů, které nejsou výrazně nižší než příslušné referenční hodnoty, mělo by být poskytnuto vysvětlení důvodů, proč to není možn</w:t>
      </w:r>
      <w:r>
        <w:rPr>
          <w:rStyle w:val="FootnoteReference"/>
          <w:vertAlign w:val="baseline"/>
        </w:rPr>
        <w:t>é. Referenční hodnoty stanovené pro přidělování bezplatných povolenek pro činnosti spadající do oblasti působnosti systému obchodování s emisemi, jak je stanoveno v prováděcím nařízení Komise (EU) 2021/447.</w:t>
      </w:r>
    </w:p>
  </w:footnote>
  <w:footnote w:id="33">
    <w:p w14:paraId="31998958" w14:textId="77777777" w:rsidR="00515398" w:rsidRDefault="006711E6">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Toto vyloučení se nevztahuje na činnosti v rámc</w:t>
      </w:r>
      <w:r>
        <w:rPr>
          <w:rStyle w:val="FootnoteReference"/>
          <w:vertAlign w:val="baseline"/>
        </w:rPr>
        <w:t>i tohoto opatření v zařízeních výlučně určených k nakládání s nerecyklovatelným nebezpečným odpadem a na stávající zařízení, pokud je účelem činností v rámci tohoto opatření zvýšení energetické účinnosti, zachycování výfukových plynů za účelem skladování č</w:t>
      </w:r>
      <w:r>
        <w:rPr>
          <w:rStyle w:val="FootnoteReference"/>
          <w:vertAlign w:val="baseline"/>
        </w:rPr>
        <w:t>i používání nebo získávání materiálů z popela ze spalování, za předpokladu, že tyto činnosti v rámci tohoto opatření nevedou ke zvýšení kapacity zpracování odpadu dotčeného zařízení nebo k prodloužení životnosti zařízení; pro které jsou předloženy důkazy n</w:t>
      </w:r>
      <w:r>
        <w:rPr>
          <w:rStyle w:val="FootnoteReference"/>
          <w:vertAlign w:val="baseline"/>
        </w:rPr>
        <w:t>a úrovni zařízení.</w:t>
      </w:r>
    </w:p>
  </w:footnote>
  <w:footnote w:id="34">
    <w:p w14:paraId="6A36C178" w14:textId="77777777" w:rsidR="00515398" w:rsidRDefault="006711E6">
      <w:pPr>
        <w:pStyle w:val="FootnoteText"/>
        <w:ind w:left="0" w:firstLine="0"/>
      </w:pPr>
      <w:r>
        <w:rPr>
          <w:rStyle w:val="FootnoteReference"/>
        </w:rPr>
        <w:footnoteRef/>
      </w:r>
      <w:r>
        <w:rPr>
          <w:rStyle w:val="FootnoteReference"/>
        </w:rPr>
        <w:t xml:space="preserve"> </w:t>
      </w:r>
      <w:r>
        <w:rPr>
          <w:rStyle w:val="FootnoteReference"/>
          <w:vertAlign w:val="baseline"/>
        </w:rPr>
        <w:t>Tato výjimka se nevztahuje na akce v rámci tohoto opatření ve stávajících zařízeních na mechanicko-biologické zpracování, pokud jsou akce v rámci tohoto opatření určeny ke zvýšení energetické účinnosti nebo k dodatečnému vybavení pro r</w:t>
      </w:r>
      <w:r>
        <w:rPr>
          <w:rStyle w:val="FootnoteReference"/>
          <w:vertAlign w:val="baseline"/>
        </w:rPr>
        <w:t>ecyklační operace tříděného odpadu ke kompostování biologického odpadu a anaerobní digesce biologického odpadu, pokud tyto akce v rámci tohoto opatření nevedou ke zvýšení kapacity zařízení na zpracování odpadu nebo k prodloužení životnosti zařízení; pro kt</w:t>
      </w:r>
      <w:r>
        <w:rPr>
          <w:rStyle w:val="FootnoteReference"/>
          <w:vertAlign w:val="baseline"/>
        </w:rPr>
        <w:t>eré jsou předloženy důkazy na úrovni zařízení.</w:t>
      </w:r>
    </w:p>
  </w:footnote>
  <w:footnote w:id="35">
    <w:p w14:paraId="51A903E4" w14:textId="77777777" w:rsidR="00515398" w:rsidRDefault="006711E6">
      <w:pPr>
        <w:pStyle w:val="FootnoteText"/>
        <w:ind w:left="0" w:firstLine="0"/>
      </w:pPr>
      <w:r>
        <w:rPr>
          <w:rStyle w:val="FootnoteReference"/>
        </w:rPr>
        <w:footnoteRef/>
      </w:r>
      <w:r>
        <w:t xml:space="preserve"> S výjimkou projektů v rámci tohoto opatření v oblasti výroby elektřiny a/nebo tepla, jakož i související přenosové a distribuční infrastruktury využívající zemní plyn, které splňují podmínky stanovené v příl</w:t>
      </w:r>
      <w:r>
        <w:t>oze III technických pokynů „významně nepoškozovat“ (2021/C58/01).</w:t>
      </w:r>
    </w:p>
  </w:footnote>
  <w:footnote w:id="36">
    <w:p w14:paraId="5C071FDD" w14:textId="77777777" w:rsidR="00515398" w:rsidRDefault="006711E6">
      <w:pPr>
        <w:pStyle w:val="FootnoteText"/>
        <w:ind w:left="0" w:firstLine="0"/>
      </w:pPr>
      <w:r>
        <w:rPr>
          <w:rStyle w:val="FootnoteReference"/>
        </w:rPr>
        <w:footnoteRef/>
      </w:r>
      <w:r>
        <w:t xml:space="preserve"> Pokud podporované činnosti dosáhnou předpokládaných emisí skleníkových plynů, které nejsou výrazně nižší než příslušné referenční hodnoty, mělo by být poskytnuto vysvětlení důvodů, proč to</w:t>
      </w:r>
      <w:r>
        <w:t xml:space="preserve"> není možné. Referenční hodnoty stanovené pro přidělování bezplatných povolenek pro činnosti spadající do oblasti působnosti systému obchodování s emisemi, jak je stanoveno v prováděcím nařízení Komise (EU) 2021/447.</w:t>
      </w:r>
    </w:p>
  </w:footnote>
  <w:footnote w:id="37">
    <w:p w14:paraId="185E398E" w14:textId="77777777" w:rsidR="00515398" w:rsidRDefault="006711E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Toto vyloučení se nevztahuje na č</w:t>
      </w:r>
      <w:r>
        <w:rPr>
          <w:rFonts w:ascii="Times New Roman" w:hAnsi="Times New Roman"/>
          <w:sz w:val="20"/>
        </w:rPr>
        <w:t>innosti v rámci tohoto opatření v zařízeních výlučně určených k nakládání s nerecyklovatelným nebezpečným odpadem a na stávající zařízení, pokud je účelem činností v rámci tohoto opatření zvýšení energetické účinnosti, zachycování výfukových plynů za účele</w:t>
      </w:r>
      <w:r>
        <w:rPr>
          <w:rFonts w:ascii="Times New Roman" w:hAnsi="Times New Roman"/>
          <w:sz w:val="20"/>
        </w:rPr>
        <w:t>m skladování či používání nebo získávání materiálů z popela ze spalování, za předpokladu, že tyto činnosti v rámci tohoto opatření nevedou ke zvýšení kapacity zpracování odpadu dotčeného zařízení nebo k prodloužení životnosti zařízení; pro které jsou předl</w:t>
      </w:r>
      <w:r>
        <w:rPr>
          <w:rFonts w:ascii="Times New Roman" w:hAnsi="Times New Roman"/>
          <w:sz w:val="20"/>
        </w:rPr>
        <w:t>oženy důkazy na úrovni zařízení.</w:t>
      </w:r>
    </w:p>
  </w:footnote>
  <w:footnote w:id="38">
    <w:p w14:paraId="71D2AF03" w14:textId="77777777" w:rsidR="00515398" w:rsidRDefault="006711E6">
      <w:pPr>
        <w:pStyle w:val="FootnoteText"/>
        <w:ind w:left="0" w:firstLine="0"/>
      </w:pPr>
      <w:r>
        <w:rPr>
          <w:rStyle w:val="FootnoteReference"/>
        </w:rPr>
        <w:footnoteRef/>
      </w:r>
      <w:r>
        <w:t xml:space="preserve"> Tato výjimka se nevztahuje na akce v rámci tohoto opatření ve stávajících zařízeních na mechanicko-biologické zpracování, pokud jsou akce v rámci tohoto opatření určeny ke zvýšení energetické účinnosti nebo k dodatečnému </w:t>
      </w:r>
      <w:r>
        <w:t>vybavení pro recyklační operace tříděného odpadu ke kompostování biologického odpadu a anaerobní digesce biologického odpadu, pokud tyto akce v rámci tohoto opatření nevedou ke zvýšení kapacity zařízení na zpracování odpadu nebo k prodloužení životnosti za</w:t>
      </w:r>
      <w:r>
        <w:t>řízení; pro které jsou předloženy důkazy na úrovni zařízení.</w:t>
      </w:r>
    </w:p>
  </w:footnote>
  <w:footnote w:id="39">
    <w:p w14:paraId="3A90E94C" w14:textId="77777777" w:rsidR="00515398" w:rsidRDefault="006711E6">
      <w:pPr>
        <w:pStyle w:val="FootnoteText"/>
        <w:ind w:left="0" w:firstLine="0"/>
      </w:pPr>
      <w:r>
        <w:rPr>
          <w:rStyle w:val="FootnoteReference"/>
        </w:rPr>
        <w:footnoteRef/>
      </w:r>
      <w:r>
        <w:t xml:space="preserve"> S výjimkou projektů v rámci tohoto opatření v oblasti výroby elektřiny a/nebo tepla, jakož i související přenosové a distribuční infrastruktury využívající zemní plyn, které splňují podmínky st</w:t>
      </w:r>
      <w:r>
        <w:t>anovené v příloze III technických pokynů „významně nepoškozovat“ (2021/C58/01).</w:t>
      </w:r>
    </w:p>
  </w:footnote>
  <w:footnote w:id="40">
    <w:p w14:paraId="6452CEF7" w14:textId="77777777" w:rsidR="00515398" w:rsidRDefault="006711E6">
      <w:pPr>
        <w:pStyle w:val="FootnoteText"/>
        <w:ind w:left="0" w:firstLine="0"/>
      </w:pPr>
      <w:r>
        <w:rPr>
          <w:rStyle w:val="FootnoteReference"/>
        </w:rPr>
        <w:footnoteRef/>
      </w:r>
      <w:r>
        <w:t xml:space="preserve"> Pokud podporované činnosti dosáhnou předpokládaných emisí skleníkových plynů, které nejsou výrazně nižší než příslušné referenční hodnoty, mělo by být poskytnuto vysvětlení d</w:t>
      </w:r>
      <w:r>
        <w:t>ůvodů, proč to není možné. Referenční hodnoty stanovené pro přidělování bezplatných povolenek pro činnosti spadající do oblasti působnosti systému obchodování s emisemi, jak je stanoveno v prováděcím nařízení Komise (EU) 2021/447.</w:t>
      </w:r>
    </w:p>
  </w:footnote>
  <w:footnote w:id="41">
    <w:p w14:paraId="57DAC913" w14:textId="77777777" w:rsidR="00515398" w:rsidRDefault="006711E6">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Toto vyloučení se nevzt</w:t>
      </w:r>
      <w:r>
        <w:rPr>
          <w:rFonts w:ascii="Times New Roman" w:hAnsi="Times New Roman"/>
          <w:sz w:val="20"/>
        </w:rPr>
        <w:t>ahuje na činnosti v rámci tohoto opatření v zařízeních výlučně určených k nakládání s nerecyklovatelným nebezpečným odpadem a na stávající zařízení, pokud je účelem činností v rámci tohoto opatření zvýšení energetické účinnosti, zachycování výfukových plyn</w:t>
      </w:r>
      <w:r>
        <w:rPr>
          <w:rFonts w:ascii="Times New Roman" w:hAnsi="Times New Roman"/>
          <w:sz w:val="20"/>
        </w:rPr>
        <w:t xml:space="preserve">ů za účelem skladování či používání nebo získávání materiálů z popela ze spalování, za předpokladu, že tyto činnosti v rámci tohoto opatření nevedou ke zvýšení kapacity zpracování odpadu dotčeného zařízení nebo k prodloužení životnosti zařízení; pro které </w:t>
      </w:r>
      <w:r>
        <w:rPr>
          <w:rFonts w:ascii="Times New Roman" w:hAnsi="Times New Roman"/>
          <w:sz w:val="20"/>
        </w:rPr>
        <w:t>jsou předloženy důkazy na úrovni zařízení.</w:t>
      </w:r>
    </w:p>
  </w:footnote>
  <w:footnote w:id="42">
    <w:p w14:paraId="7F60B497" w14:textId="77777777" w:rsidR="00515398" w:rsidRDefault="006711E6">
      <w:pPr>
        <w:pStyle w:val="FootnoteText"/>
        <w:ind w:left="0" w:firstLine="0"/>
      </w:pPr>
      <w:r>
        <w:rPr>
          <w:rStyle w:val="FootnoteReference"/>
        </w:rPr>
        <w:footnoteRef/>
      </w:r>
      <w:r>
        <w:t xml:space="preserve"> Tato výjimka se nevztahuje na akce v rámci tohoto opatření ve stávajících zařízeních na mechanicko-biologické zpracování, pokud jsou akce v rámci tohoto opatření určeny ke zvýšení energetické účinnosti nebo k do</w:t>
      </w:r>
      <w:r>
        <w:t>datečnému vybavení pro recyklační operace tříděného odpadu ke kompostování biologického odpadu a anaerobní digesce biologického odpadu, pokud tyto akce v rámci tohoto opatření nevedou ke zvýšení kapacity zařízení na zpracování odpadu nebo k prodloužení živ</w:t>
      </w:r>
      <w:r>
        <w:t>otnosti zařízení; pro které jsou předloženy důkazy na úrovni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1F39" w14:textId="77777777" w:rsidR="006711E6" w:rsidRPr="006711E6" w:rsidRDefault="006711E6" w:rsidP="006711E6">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7C2B" w14:textId="77777777" w:rsidR="00515398" w:rsidRDefault="0051539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F6A8" w14:textId="77777777" w:rsidR="00515398" w:rsidRDefault="00515398">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8B728" w14:textId="77777777" w:rsidR="00515398" w:rsidRDefault="00515398">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12DB" w14:textId="77777777" w:rsidR="00515398" w:rsidRDefault="00515398">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3ADD" w14:textId="77777777" w:rsidR="00515398" w:rsidRDefault="00515398">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E924" w14:textId="77777777" w:rsidR="00515398" w:rsidRDefault="0051539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733A" w14:textId="77777777" w:rsidR="00515398" w:rsidRDefault="00515398">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AEC7" w14:textId="77777777" w:rsidR="00515398" w:rsidRDefault="00515398">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B634" w14:textId="77777777" w:rsidR="00515398" w:rsidRDefault="00515398">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AF15" w14:textId="77777777" w:rsidR="00515398" w:rsidRDefault="00515398">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3403" w14:textId="77777777" w:rsidR="00515398" w:rsidRDefault="005153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DF5C" w14:textId="77777777" w:rsidR="00515398" w:rsidRDefault="0051539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69B52" w14:textId="77777777" w:rsidR="00515398" w:rsidRDefault="00515398">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ADBF" w14:textId="77777777" w:rsidR="00515398" w:rsidRDefault="00515398">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5384" w14:textId="77777777" w:rsidR="00515398" w:rsidRDefault="00515398">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2F0C" w14:textId="77777777" w:rsidR="00515398" w:rsidRDefault="00515398">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8A86" w14:textId="77777777" w:rsidR="00515398" w:rsidRDefault="00515398">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178E" w14:textId="77777777" w:rsidR="00515398" w:rsidRDefault="00515398">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CDA6" w14:textId="77777777" w:rsidR="00515398" w:rsidRDefault="0051539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A1BE" w14:textId="77777777" w:rsidR="00515398" w:rsidRDefault="00515398">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BE6A" w14:textId="77777777" w:rsidR="00515398" w:rsidRDefault="00515398">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7EB7" w14:textId="77777777" w:rsidR="00515398" w:rsidRDefault="005153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EE8A" w14:textId="77777777" w:rsidR="00515398" w:rsidRDefault="0051539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1313" w14:textId="77777777" w:rsidR="00515398" w:rsidRDefault="00515398">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2878A" w14:textId="77777777" w:rsidR="00515398" w:rsidRDefault="00515398">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CBBE" w14:textId="77777777" w:rsidR="00515398" w:rsidRDefault="0051539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BB60" w14:textId="77777777" w:rsidR="00515398" w:rsidRDefault="00515398">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6B8" w14:textId="77777777" w:rsidR="00515398" w:rsidRDefault="00515398">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DB3C" w14:textId="77777777" w:rsidR="00515398" w:rsidRDefault="00515398">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9A2F" w14:textId="77777777" w:rsidR="00515398" w:rsidRDefault="00515398">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5D69" w14:textId="77777777" w:rsidR="00515398" w:rsidRDefault="00515398">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DD79" w14:textId="77777777" w:rsidR="00515398" w:rsidRDefault="0051539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6173" w14:textId="77777777" w:rsidR="00515398" w:rsidRDefault="0051539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FD56" w14:textId="77777777" w:rsidR="00515398" w:rsidRDefault="00515398">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50CA" w14:textId="77777777" w:rsidR="00515398" w:rsidRDefault="00515398">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40B5" w14:textId="77777777" w:rsidR="00515398" w:rsidRDefault="00515398">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575D" w14:textId="77777777" w:rsidR="00515398" w:rsidRDefault="00515398">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3CE7" w14:textId="77777777" w:rsidR="00515398" w:rsidRDefault="00515398">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AC5A" w14:textId="77777777" w:rsidR="00515398" w:rsidRDefault="0051539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7A7D" w14:textId="77777777" w:rsidR="00515398" w:rsidRDefault="00515398">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1102" w14:textId="77777777" w:rsidR="00515398" w:rsidRDefault="00515398">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0743" w14:textId="77777777" w:rsidR="00515398" w:rsidRDefault="00515398">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B23B" w14:textId="77777777" w:rsidR="00515398" w:rsidRDefault="00515398">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879B" w14:textId="77777777" w:rsidR="00515398" w:rsidRDefault="0051539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04FC" w14:textId="77777777" w:rsidR="00515398" w:rsidRDefault="00515398">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CADA" w14:textId="77777777" w:rsidR="00515398" w:rsidRDefault="0051539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D012" w14:textId="77777777" w:rsidR="00515398" w:rsidRDefault="00515398">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BE0B" w14:textId="77777777" w:rsidR="00515398" w:rsidRDefault="0051539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CEDB" w14:textId="77777777" w:rsidR="00515398" w:rsidRDefault="00515398">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77E5" w14:textId="77777777" w:rsidR="00515398" w:rsidRDefault="0051539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6A2F" w14:textId="77777777" w:rsidR="00515398" w:rsidRDefault="00515398">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D4B1" w14:textId="77777777" w:rsidR="00515398" w:rsidRDefault="0051539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DE9E" w14:textId="77777777" w:rsidR="00515398" w:rsidRDefault="00515398">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97C3" w14:textId="77777777" w:rsidR="00515398" w:rsidRDefault="00515398">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5DC6" w14:textId="77777777" w:rsidR="00515398" w:rsidRDefault="005153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603C" w14:textId="77777777" w:rsidR="00515398" w:rsidRDefault="0051539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47EE" w14:textId="77777777" w:rsidR="00515398" w:rsidRDefault="00515398">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1643" w14:textId="77777777" w:rsidR="00515398" w:rsidRDefault="00515398">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2861" w14:textId="77777777" w:rsidR="00515398" w:rsidRDefault="00515398">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BA54" w14:textId="77777777" w:rsidR="00515398" w:rsidRDefault="00515398">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E327" w14:textId="77777777" w:rsidR="00515398" w:rsidRDefault="00515398">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A2F4" w14:textId="77777777" w:rsidR="00515398" w:rsidRDefault="00515398">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F785" w14:textId="77777777" w:rsidR="00515398" w:rsidRDefault="00515398">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F11C" w14:textId="77777777" w:rsidR="00515398" w:rsidRDefault="00515398">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9990" w14:textId="77777777" w:rsidR="00515398" w:rsidRDefault="00515398">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8710" w14:textId="77777777" w:rsidR="00515398" w:rsidRDefault="0051539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6A31" w14:textId="77777777" w:rsidR="00515398" w:rsidRDefault="00515398">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0604" w14:textId="77777777" w:rsidR="00515398" w:rsidRDefault="00515398">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9B6F" w14:textId="77777777" w:rsidR="00515398" w:rsidRDefault="00515398">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AB90" w14:textId="77777777" w:rsidR="00515398" w:rsidRDefault="00515398">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D7D2" w14:textId="77777777" w:rsidR="00515398" w:rsidRDefault="00515398">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0F3F" w14:textId="77777777" w:rsidR="00515398" w:rsidRDefault="00515398">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37FC" w14:textId="77777777" w:rsidR="00515398" w:rsidRDefault="00515398">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FCBD" w14:textId="77777777" w:rsidR="00515398" w:rsidRDefault="00515398">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61EA" w14:textId="77777777" w:rsidR="00515398" w:rsidRDefault="00515398">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85A5" w14:textId="77777777" w:rsidR="00515398" w:rsidRDefault="00515398">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FF26" w14:textId="77777777" w:rsidR="00515398" w:rsidRDefault="0051539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1C0" w14:textId="77777777" w:rsidR="00515398" w:rsidRDefault="00515398">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F7EC" w14:textId="77777777" w:rsidR="00515398" w:rsidRDefault="00515398">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5243" w14:textId="77777777" w:rsidR="00515398" w:rsidRDefault="00515398">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BAF8" w14:textId="77777777" w:rsidR="00515398" w:rsidRDefault="00515398">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E79" w14:textId="77777777" w:rsidR="00515398" w:rsidRDefault="00515398">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F87C" w14:textId="77777777" w:rsidR="00515398" w:rsidRDefault="00515398">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B004" w14:textId="77777777" w:rsidR="00515398" w:rsidRDefault="00515398">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DDD4" w14:textId="77777777" w:rsidR="00515398" w:rsidRDefault="00515398">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7000" w14:textId="77777777" w:rsidR="00515398" w:rsidRDefault="00515398">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F416" w14:textId="77777777" w:rsidR="00515398" w:rsidRDefault="00515398">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F613" w14:textId="77777777" w:rsidR="00515398" w:rsidRDefault="0051539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BAB4" w14:textId="77777777" w:rsidR="00515398" w:rsidRDefault="00515398">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E1AF" w14:textId="77777777" w:rsidR="00515398" w:rsidRDefault="00515398">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1B3D" w14:textId="77777777" w:rsidR="00515398" w:rsidRDefault="00515398">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1B8C" w14:textId="77777777" w:rsidR="00515398" w:rsidRDefault="00515398">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092" w14:textId="77777777" w:rsidR="00515398" w:rsidRDefault="00515398">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5BCB" w14:textId="77777777" w:rsidR="00515398" w:rsidRDefault="0051539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39EA" w14:textId="77777777" w:rsidR="00515398" w:rsidRDefault="0051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9CD6" w14:textId="77777777" w:rsidR="006711E6" w:rsidRPr="006711E6" w:rsidRDefault="006711E6" w:rsidP="006711E6">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D120" w14:textId="77777777" w:rsidR="00515398" w:rsidRDefault="0051539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5B0F" w14:textId="77777777" w:rsidR="00515398" w:rsidRDefault="0051539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2CF9" w14:textId="77777777" w:rsidR="00515398" w:rsidRDefault="0051539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4053" w14:textId="77777777" w:rsidR="00515398" w:rsidRDefault="0051539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8163" w14:textId="77777777" w:rsidR="00515398" w:rsidRDefault="0051539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FFB6" w14:textId="77777777" w:rsidR="00515398" w:rsidRDefault="0051539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C145" w14:textId="77777777" w:rsidR="00515398" w:rsidRDefault="0051539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9197" w14:textId="77777777" w:rsidR="00515398" w:rsidRDefault="0051539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9626" w14:textId="77777777" w:rsidR="00515398" w:rsidRDefault="0051539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C1F5" w14:textId="77777777" w:rsidR="00515398" w:rsidRDefault="00515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B0F4" w14:textId="77777777" w:rsidR="006711E6" w:rsidRPr="006711E6" w:rsidRDefault="006711E6" w:rsidP="006711E6">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FA6E" w14:textId="77777777" w:rsidR="00515398" w:rsidRDefault="0051539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B6C1" w14:textId="77777777" w:rsidR="00515398" w:rsidRDefault="0051539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04C4" w14:textId="77777777" w:rsidR="00515398" w:rsidRDefault="0051539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E2FD" w14:textId="77777777" w:rsidR="00515398" w:rsidRDefault="0051539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D3F6" w14:textId="77777777" w:rsidR="00515398" w:rsidRDefault="0051539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C297" w14:textId="77777777" w:rsidR="00515398" w:rsidRDefault="0051539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470B" w14:textId="77777777" w:rsidR="00515398" w:rsidRDefault="0051539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F87B" w14:textId="77777777" w:rsidR="00515398" w:rsidRDefault="0051539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ED81" w14:textId="77777777" w:rsidR="00515398" w:rsidRDefault="0051539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90C1" w14:textId="77777777" w:rsidR="00515398" w:rsidRDefault="00515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C7B4" w14:textId="77777777" w:rsidR="00515398" w:rsidRDefault="0051539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BEA5" w14:textId="77777777" w:rsidR="00515398" w:rsidRDefault="0051539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2D48" w14:textId="77777777" w:rsidR="00515398" w:rsidRDefault="0051539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4F23" w14:textId="77777777" w:rsidR="00515398" w:rsidRDefault="0051539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FB1C" w14:textId="77777777" w:rsidR="00515398" w:rsidRDefault="0051539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EB7A" w14:textId="77777777" w:rsidR="00515398" w:rsidRDefault="0051539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4AB7" w14:textId="77777777" w:rsidR="00515398" w:rsidRDefault="0051539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1C9E" w14:textId="77777777" w:rsidR="00515398" w:rsidRDefault="0051539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71F8" w14:textId="77777777" w:rsidR="00515398" w:rsidRDefault="0051539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CD31" w14:textId="77777777" w:rsidR="00515398" w:rsidRDefault="0051539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1E8F" w14:textId="77777777" w:rsidR="00515398" w:rsidRDefault="005153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60C3" w14:textId="77777777" w:rsidR="00515398" w:rsidRDefault="006711E6">
    <w:pPr>
      <w:pStyle w:val="HeaderCouncilLarge"/>
    </w:pPr>
    <w:r>
      <w:t>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9B82" w14:textId="77777777" w:rsidR="00515398" w:rsidRDefault="0051539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C7FE" w14:textId="77777777" w:rsidR="00515398" w:rsidRDefault="0051539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359D" w14:textId="77777777" w:rsidR="00515398" w:rsidRDefault="0051539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3942" w14:textId="77777777" w:rsidR="00515398" w:rsidRDefault="0051539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1091" w14:textId="77777777" w:rsidR="00515398" w:rsidRDefault="0051539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9C6E" w14:textId="77777777" w:rsidR="00515398" w:rsidRDefault="0051539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67B7" w14:textId="77777777" w:rsidR="00515398" w:rsidRDefault="0051539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EF5C" w14:textId="77777777" w:rsidR="00515398" w:rsidRDefault="0051539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8BB5" w14:textId="77777777" w:rsidR="00515398" w:rsidRDefault="0051539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EC8C" w14:textId="77777777" w:rsidR="00515398" w:rsidRDefault="005153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A830" w14:textId="77777777" w:rsidR="00515398" w:rsidRDefault="0051539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D953" w14:textId="77777777" w:rsidR="00515398" w:rsidRDefault="0051539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DF38" w14:textId="77777777" w:rsidR="00515398" w:rsidRDefault="0051539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7483" w14:textId="77777777" w:rsidR="00515398" w:rsidRDefault="0051539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50E4" w14:textId="77777777" w:rsidR="00515398" w:rsidRDefault="0051539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40C8" w14:textId="77777777" w:rsidR="00515398" w:rsidRDefault="0051539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F597" w14:textId="509C7276" w:rsidR="00515398" w:rsidRDefault="00515398">
    <w:pPr>
      <w:pStyle w:val="Header"/>
      <w:jc w:val="center"/>
    </w:pPr>
  </w:p>
  <w:p w14:paraId="510D0889" w14:textId="77777777" w:rsidR="00515398" w:rsidRDefault="00515398">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5736" w14:textId="77777777" w:rsidR="00515398" w:rsidRDefault="00515398">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5792" w14:textId="77777777" w:rsidR="00515398" w:rsidRDefault="0051539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0B00" w14:textId="77777777" w:rsidR="00515398" w:rsidRDefault="00515398">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4AAA" w14:textId="77777777" w:rsidR="00515398" w:rsidRDefault="005153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A60" w14:textId="77777777" w:rsidR="00515398" w:rsidRDefault="0051539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706C" w14:textId="77777777" w:rsidR="00515398" w:rsidRDefault="00515398">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2714" w14:textId="77777777" w:rsidR="00515398" w:rsidRDefault="00515398">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7E1B" w14:textId="77777777" w:rsidR="00515398" w:rsidRDefault="0051539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362B" w14:textId="77777777" w:rsidR="00515398" w:rsidRDefault="00515398">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CED" w14:textId="77777777" w:rsidR="00515398" w:rsidRDefault="00515398">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F5BC" w14:textId="77777777" w:rsidR="00515398" w:rsidRDefault="00515398">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7866" w14:textId="77777777" w:rsidR="00515398" w:rsidRDefault="00515398">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3A8D" w14:textId="77777777" w:rsidR="00515398" w:rsidRDefault="00515398">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DB3E" w14:textId="77777777" w:rsidR="00515398" w:rsidRDefault="00515398">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0419" w14:textId="77777777" w:rsidR="00515398" w:rsidRDefault="005153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89E7" w14:textId="77777777" w:rsidR="00515398" w:rsidRDefault="0051539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D823" w14:textId="77777777" w:rsidR="00515398" w:rsidRDefault="0051539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DC98" w14:textId="77777777" w:rsidR="00515398" w:rsidRDefault="00515398">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D238" w14:textId="77777777" w:rsidR="00515398" w:rsidRDefault="0051539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A310" w14:textId="77777777" w:rsidR="00515398" w:rsidRDefault="0051539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0845" w14:textId="77777777" w:rsidR="00515398" w:rsidRDefault="0051539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C670" w14:textId="77777777" w:rsidR="00515398" w:rsidRDefault="00515398">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8A4B" w14:textId="77777777" w:rsidR="00515398" w:rsidRDefault="00515398">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CC12" w14:textId="77777777" w:rsidR="00515398" w:rsidRDefault="00515398">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2B0C" w14:textId="77777777" w:rsidR="00515398" w:rsidRDefault="00515398">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D80F" w14:textId="77777777" w:rsidR="00515398" w:rsidRDefault="005153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41FE" w14:textId="77777777" w:rsidR="00515398" w:rsidRDefault="0051539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FE78" w14:textId="77777777" w:rsidR="00515398" w:rsidRDefault="00515398">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33B8" w14:textId="77777777" w:rsidR="00515398" w:rsidRDefault="0051539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3A56" w14:textId="77777777" w:rsidR="00515398" w:rsidRDefault="0051539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C6D0" w14:textId="77777777" w:rsidR="00515398" w:rsidRDefault="0051539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5982" w14:textId="77777777" w:rsidR="00515398" w:rsidRDefault="0051539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AEDA" w14:textId="77777777" w:rsidR="00515398" w:rsidRDefault="00515398">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A446" w14:textId="77777777" w:rsidR="00515398" w:rsidRDefault="0051539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7A99" w14:textId="77777777" w:rsidR="00515398" w:rsidRDefault="0051539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C759" w14:textId="77777777" w:rsidR="00515398" w:rsidRDefault="0051539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AE84" w14:textId="77777777" w:rsidR="00515398" w:rsidRDefault="00515398">
    <w:pPr>
      <w:pStyle w:val="Header"/>
    </w:pPr>
  </w:p>
</w:hdr>
</file>

<file path=word/intelligence2.xml><?xml version="1.0" encoding="utf-8"?>
<int2:intelligence xmlns:int2="http://schemas.microsoft.com/office/intelligence/2020/intelligence" xmlns:oel="http://schemas.microsoft.com/office/2019/extlst">
  <int2:observations>
    <int2:textHash int2:hashCode="1RcjimNWjCvAqU" int2:id="1byL0n9n">
      <int2:state int2:value="Rejected" int2:type="AugLoop_Text_Critique"/>
    </int2:textHash>
    <int2:textHash int2:hashCode="0SD8ostRAPjjYa" int2:id="3VirOZZk">
      <int2:state int2:value="Rejected" int2:type="AugLoop_Text_Critique"/>
    </int2:textHash>
    <int2:textHash int2:hashCode="YFVnNQBLESNkvH" int2:id="D7mqEvF6">
      <int2:state int2:value="Rejected" int2:type="AugLoop_Text_Critique"/>
    </int2:textHash>
    <int2:textHash int2:hashCode="F8WBIRZ+E/D3/L" int2:id="IgCDTn9P">
      <int2:state int2:value="Rejected" int2:type="AugLoop_Text_Critique"/>
    </int2:textHash>
    <int2:textHash int2:hashCode="+4iRv9ld5PONSt" int2:id="SqgFDCx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21A28"/>
    <w:multiLevelType w:val="multilevel"/>
    <w:tmpl w:val="7174EE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2A22527"/>
    <w:multiLevelType w:val="multilevel"/>
    <w:tmpl w:val="F632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D42E32"/>
    <w:multiLevelType w:val="hybridMultilevel"/>
    <w:tmpl w:val="17A42E36"/>
    <w:lvl w:ilvl="0" w:tplc="58B0CE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64457B"/>
    <w:multiLevelType w:val="multilevel"/>
    <w:tmpl w:val="905ED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F6236F"/>
    <w:multiLevelType w:val="multilevel"/>
    <w:tmpl w:val="1F7410D2"/>
    <w:lvl w:ilvl="0">
      <w:start w:val="1"/>
      <w:numFmt w:val="decimal"/>
      <w:lvlText w:val="%1."/>
      <w:lvlJc w:val="left"/>
      <w:pPr>
        <w:ind w:left="476" w:hanging="476"/>
      </w:pPr>
      <w:rPr>
        <w:rFonts w:hint="default"/>
        <w:b/>
        <w:bCs/>
        <w:lang w:val="de-DE"/>
      </w:rPr>
    </w:lvl>
    <w:lvl w:ilvl="1">
      <w:start w:val="1"/>
      <w:numFmt w:val="bullet"/>
      <w:lvlText w:val=""/>
      <w:lvlJc w:val="left"/>
      <w:pPr>
        <w:ind w:left="644" w:hanging="360"/>
      </w:pPr>
      <w:rPr>
        <w:rFonts w:ascii="Symbol" w:hAnsi="Symbol"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3E395C"/>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09B22FCB"/>
    <w:multiLevelType w:val="multilevel"/>
    <w:tmpl w:val="5A1C7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0DC866E5"/>
    <w:multiLevelType w:val="hybridMultilevel"/>
    <w:tmpl w:val="3EB8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66A71"/>
    <w:multiLevelType w:val="hybridMultilevel"/>
    <w:tmpl w:val="99862E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0175DC"/>
    <w:multiLevelType w:val="multilevel"/>
    <w:tmpl w:val="7FF44A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12EE5687"/>
    <w:multiLevelType w:val="multilevel"/>
    <w:tmpl w:val="A3A21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5D3EF1"/>
    <w:multiLevelType w:val="multilevel"/>
    <w:tmpl w:val="DBAE26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16F01D6B"/>
    <w:multiLevelType w:val="hybridMultilevel"/>
    <w:tmpl w:val="7BDC3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0205AA"/>
    <w:multiLevelType w:val="multilevel"/>
    <w:tmpl w:val="98B8582E"/>
    <w:lvl w:ilvl="0">
      <w:start w:val="1"/>
      <w:numFmt w:val="decimal"/>
      <w:lvlText w:val="%1."/>
      <w:lvlJc w:val="left"/>
      <w:pPr>
        <w:ind w:left="476" w:hanging="476"/>
      </w:pPr>
      <w:rPr>
        <w:rFonts w:hint="default"/>
        <w:b/>
        <w:bCs/>
        <w:lang w:val="de-DE"/>
      </w:rPr>
    </w:lvl>
    <w:lvl w:ilvl="1">
      <w:start w:val="1"/>
      <w:numFmt w:val="bullet"/>
      <w:lvlText w:val=""/>
      <w:lvlJc w:val="left"/>
      <w:pPr>
        <w:ind w:left="836" w:hanging="360"/>
      </w:pPr>
      <w:rPr>
        <w:rFonts w:ascii="Symbol" w:hAnsi="Symbol" w:hint="default"/>
      </w:rPr>
    </w:lvl>
    <w:lvl w:ilvl="2">
      <w:start w:val="1"/>
      <w:numFmt w:val="bullet"/>
      <w:lvlText w:val="o"/>
      <w:lvlJc w:val="left"/>
      <w:pPr>
        <w:ind w:left="1069"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921D6B"/>
    <w:multiLevelType w:val="multilevel"/>
    <w:tmpl w:val="9BAE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E64B66"/>
    <w:multiLevelType w:val="multilevel"/>
    <w:tmpl w:val="A9080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E38874A"/>
    <w:multiLevelType w:val="hybridMultilevel"/>
    <w:tmpl w:val="61EC2FB0"/>
    <w:lvl w:ilvl="0" w:tplc="C6E4CC22">
      <w:start w:val="1"/>
      <w:numFmt w:val="bullet"/>
      <w:lvlText w:val=""/>
      <w:lvlJc w:val="left"/>
      <w:pPr>
        <w:ind w:left="720" w:hanging="360"/>
      </w:pPr>
      <w:rPr>
        <w:rFonts w:ascii="Symbol" w:hAnsi="Symbol" w:hint="default"/>
      </w:rPr>
    </w:lvl>
    <w:lvl w:ilvl="1" w:tplc="D554866C">
      <w:start w:val="1"/>
      <w:numFmt w:val="bullet"/>
      <w:lvlText w:val="o"/>
      <w:lvlJc w:val="left"/>
      <w:pPr>
        <w:ind w:left="1440" w:hanging="360"/>
      </w:pPr>
      <w:rPr>
        <w:rFonts w:ascii="Courier New" w:hAnsi="Courier New" w:hint="default"/>
      </w:rPr>
    </w:lvl>
    <w:lvl w:ilvl="2" w:tplc="7CC06FA0">
      <w:start w:val="1"/>
      <w:numFmt w:val="bullet"/>
      <w:lvlText w:val=""/>
      <w:lvlJc w:val="left"/>
      <w:pPr>
        <w:ind w:left="2160" w:hanging="360"/>
      </w:pPr>
      <w:rPr>
        <w:rFonts w:ascii="Wingdings" w:hAnsi="Wingdings" w:hint="default"/>
      </w:rPr>
    </w:lvl>
    <w:lvl w:ilvl="3" w:tplc="AD4E3414">
      <w:start w:val="1"/>
      <w:numFmt w:val="bullet"/>
      <w:lvlText w:val=""/>
      <w:lvlJc w:val="left"/>
      <w:pPr>
        <w:ind w:left="2880" w:hanging="360"/>
      </w:pPr>
      <w:rPr>
        <w:rFonts w:ascii="Symbol" w:hAnsi="Symbol" w:hint="default"/>
      </w:rPr>
    </w:lvl>
    <w:lvl w:ilvl="4" w:tplc="4B7ADA3A">
      <w:start w:val="1"/>
      <w:numFmt w:val="bullet"/>
      <w:lvlText w:val="o"/>
      <w:lvlJc w:val="left"/>
      <w:pPr>
        <w:ind w:left="3600" w:hanging="360"/>
      </w:pPr>
      <w:rPr>
        <w:rFonts w:ascii="Courier New" w:hAnsi="Courier New" w:hint="default"/>
      </w:rPr>
    </w:lvl>
    <w:lvl w:ilvl="5" w:tplc="6A2C8D24">
      <w:start w:val="1"/>
      <w:numFmt w:val="bullet"/>
      <w:lvlText w:val=""/>
      <w:lvlJc w:val="left"/>
      <w:pPr>
        <w:ind w:left="4320" w:hanging="360"/>
      </w:pPr>
      <w:rPr>
        <w:rFonts w:ascii="Wingdings" w:hAnsi="Wingdings" w:hint="default"/>
      </w:rPr>
    </w:lvl>
    <w:lvl w:ilvl="6" w:tplc="46DCDF80">
      <w:start w:val="1"/>
      <w:numFmt w:val="bullet"/>
      <w:lvlText w:val=""/>
      <w:lvlJc w:val="left"/>
      <w:pPr>
        <w:ind w:left="5040" w:hanging="360"/>
      </w:pPr>
      <w:rPr>
        <w:rFonts w:ascii="Symbol" w:hAnsi="Symbol" w:hint="default"/>
      </w:rPr>
    </w:lvl>
    <w:lvl w:ilvl="7" w:tplc="CDFCC9F4">
      <w:start w:val="1"/>
      <w:numFmt w:val="bullet"/>
      <w:lvlText w:val="o"/>
      <w:lvlJc w:val="left"/>
      <w:pPr>
        <w:ind w:left="5760" w:hanging="360"/>
      </w:pPr>
      <w:rPr>
        <w:rFonts w:ascii="Courier New" w:hAnsi="Courier New" w:hint="default"/>
      </w:rPr>
    </w:lvl>
    <w:lvl w:ilvl="8" w:tplc="33B6186C">
      <w:start w:val="1"/>
      <w:numFmt w:val="bullet"/>
      <w:lvlText w:val=""/>
      <w:lvlJc w:val="left"/>
      <w:pPr>
        <w:ind w:left="6480" w:hanging="360"/>
      </w:pPr>
      <w:rPr>
        <w:rFonts w:ascii="Wingdings" w:hAnsi="Wingdings" w:hint="default"/>
      </w:rPr>
    </w:lvl>
  </w:abstractNum>
  <w:abstractNum w:abstractNumId="22" w15:restartNumberingAfterBreak="0">
    <w:nsid w:val="201921A2"/>
    <w:multiLevelType w:val="hybridMultilevel"/>
    <w:tmpl w:val="FCE8F21E"/>
    <w:lvl w:ilvl="0" w:tplc="143EE164">
      <w:start w:val="1"/>
      <w:numFmt w:val="lowerRoman"/>
      <w:lvlText w:val="(%1)"/>
      <w:lvlJc w:val="left"/>
      <w:pPr>
        <w:ind w:left="772" w:hanging="720"/>
      </w:pPr>
      <w:rPr>
        <w:rFonts w:hint="default"/>
        <w:color w:val="006100"/>
        <w:sz w:val="18"/>
        <w:szCs w:val="18"/>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9404C2"/>
    <w:multiLevelType w:val="hybridMultilevel"/>
    <w:tmpl w:val="4888F43E"/>
    <w:lvl w:ilvl="0" w:tplc="C828330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2862737E"/>
    <w:multiLevelType w:val="hybridMultilevel"/>
    <w:tmpl w:val="09AC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9F20F6"/>
    <w:multiLevelType w:val="hybridMultilevel"/>
    <w:tmpl w:val="6812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0B4A7A"/>
    <w:multiLevelType w:val="hybridMultilevel"/>
    <w:tmpl w:val="D41842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2CD05BB1"/>
    <w:multiLevelType w:val="hybridMultilevel"/>
    <w:tmpl w:val="DF902C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2CD116E7"/>
    <w:multiLevelType w:val="multilevel"/>
    <w:tmpl w:val="C260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2" w15:restartNumberingAfterBreak="0">
    <w:nsid w:val="300D3194"/>
    <w:multiLevelType w:val="multilevel"/>
    <w:tmpl w:val="8368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37A0803"/>
    <w:multiLevelType w:val="hybridMultilevel"/>
    <w:tmpl w:val="7EDE79A4"/>
    <w:lvl w:ilvl="0" w:tplc="98E2A8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82E7287"/>
    <w:multiLevelType w:val="hybridMultilevel"/>
    <w:tmpl w:val="DFC8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203A5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A800118"/>
    <w:multiLevelType w:val="hybridMultilevel"/>
    <w:tmpl w:val="B2C4AB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C066981"/>
    <w:multiLevelType w:val="hybridMultilevel"/>
    <w:tmpl w:val="61265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400A7B18"/>
    <w:multiLevelType w:val="multilevel"/>
    <w:tmpl w:val="2DB03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080531"/>
    <w:multiLevelType w:val="hybridMultilevel"/>
    <w:tmpl w:val="9AE829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2016359"/>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3" w15:restartNumberingAfterBreak="0">
    <w:nsid w:val="444248FB"/>
    <w:multiLevelType w:val="hybridMultilevel"/>
    <w:tmpl w:val="0B04F2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450F048E"/>
    <w:multiLevelType w:val="hybridMultilevel"/>
    <w:tmpl w:val="E91C889C"/>
    <w:lvl w:ilvl="0" w:tplc="6D42D6BE">
      <w:start w:val="1"/>
      <w:numFmt w:val="bullet"/>
      <w:lvlText w:val=""/>
      <w:lvlJc w:val="left"/>
      <w:pPr>
        <w:ind w:left="720" w:hanging="360"/>
      </w:pPr>
      <w:rPr>
        <w:rFonts w:ascii="Symbol" w:hAnsi="Symbol"/>
      </w:rPr>
    </w:lvl>
    <w:lvl w:ilvl="1" w:tplc="CFAEE40A">
      <w:start w:val="1"/>
      <w:numFmt w:val="bullet"/>
      <w:lvlText w:val=""/>
      <w:lvlJc w:val="left"/>
      <w:pPr>
        <w:ind w:left="720" w:hanging="360"/>
      </w:pPr>
      <w:rPr>
        <w:rFonts w:ascii="Symbol" w:hAnsi="Symbol"/>
      </w:rPr>
    </w:lvl>
    <w:lvl w:ilvl="2" w:tplc="DE062FBE">
      <w:start w:val="1"/>
      <w:numFmt w:val="bullet"/>
      <w:lvlText w:val=""/>
      <w:lvlJc w:val="left"/>
      <w:pPr>
        <w:ind w:left="720" w:hanging="360"/>
      </w:pPr>
      <w:rPr>
        <w:rFonts w:ascii="Symbol" w:hAnsi="Symbol"/>
      </w:rPr>
    </w:lvl>
    <w:lvl w:ilvl="3" w:tplc="FC923336">
      <w:start w:val="1"/>
      <w:numFmt w:val="bullet"/>
      <w:lvlText w:val=""/>
      <w:lvlJc w:val="left"/>
      <w:pPr>
        <w:ind w:left="720" w:hanging="360"/>
      </w:pPr>
      <w:rPr>
        <w:rFonts w:ascii="Symbol" w:hAnsi="Symbol"/>
      </w:rPr>
    </w:lvl>
    <w:lvl w:ilvl="4" w:tplc="E42060BE">
      <w:start w:val="1"/>
      <w:numFmt w:val="bullet"/>
      <w:lvlText w:val=""/>
      <w:lvlJc w:val="left"/>
      <w:pPr>
        <w:ind w:left="720" w:hanging="360"/>
      </w:pPr>
      <w:rPr>
        <w:rFonts w:ascii="Symbol" w:hAnsi="Symbol"/>
      </w:rPr>
    </w:lvl>
    <w:lvl w:ilvl="5" w:tplc="F49A420C">
      <w:start w:val="1"/>
      <w:numFmt w:val="bullet"/>
      <w:lvlText w:val=""/>
      <w:lvlJc w:val="left"/>
      <w:pPr>
        <w:ind w:left="720" w:hanging="360"/>
      </w:pPr>
      <w:rPr>
        <w:rFonts w:ascii="Symbol" w:hAnsi="Symbol"/>
      </w:rPr>
    </w:lvl>
    <w:lvl w:ilvl="6" w:tplc="3788DFD4">
      <w:start w:val="1"/>
      <w:numFmt w:val="bullet"/>
      <w:lvlText w:val=""/>
      <w:lvlJc w:val="left"/>
      <w:pPr>
        <w:ind w:left="720" w:hanging="360"/>
      </w:pPr>
      <w:rPr>
        <w:rFonts w:ascii="Symbol" w:hAnsi="Symbol"/>
      </w:rPr>
    </w:lvl>
    <w:lvl w:ilvl="7" w:tplc="5442CDFA">
      <w:start w:val="1"/>
      <w:numFmt w:val="bullet"/>
      <w:lvlText w:val=""/>
      <w:lvlJc w:val="left"/>
      <w:pPr>
        <w:ind w:left="720" w:hanging="360"/>
      </w:pPr>
      <w:rPr>
        <w:rFonts w:ascii="Symbol" w:hAnsi="Symbol"/>
      </w:rPr>
    </w:lvl>
    <w:lvl w:ilvl="8" w:tplc="6FAA32F0">
      <w:start w:val="1"/>
      <w:numFmt w:val="bullet"/>
      <w:lvlText w:val=""/>
      <w:lvlJc w:val="left"/>
      <w:pPr>
        <w:ind w:left="720" w:hanging="360"/>
      </w:pPr>
      <w:rPr>
        <w:rFonts w:ascii="Symbol" w:hAnsi="Symbol"/>
      </w:rPr>
    </w:lvl>
  </w:abstractNum>
  <w:abstractNum w:abstractNumId="4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15:restartNumberingAfterBreak="0">
    <w:nsid w:val="46EE6E57"/>
    <w:multiLevelType w:val="hybridMultilevel"/>
    <w:tmpl w:val="9A38D79A"/>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47CE62D2"/>
    <w:multiLevelType w:val="hybridMultilevel"/>
    <w:tmpl w:val="89DE6B22"/>
    <w:lvl w:ilvl="0" w:tplc="A4B2B7E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4B054A94"/>
    <w:multiLevelType w:val="hybridMultilevel"/>
    <w:tmpl w:val="8F0E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E2717E"/>
    <w:multiLevelType w:val="hybridMultilevel"/>
    <w:tmpl w:val="4FB0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3B34F7"/>
    <w:multiLevelType w:val="multilevel"/>
    <w:tmpl w:val="50DED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 w15:restartNumberingAfterBreak="0">
    <w:nsid w:val="4F4F6024"/>
    <w:multiLevelType w:val="hybridMultilevel"/>
    <w:tmpl w:val="2B281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6B06BC"/>
    <w:multiLevelType w:val="hybridMultilevel"/>
    <w:tmpl w:val="DA9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2B6C49"/>
    <w:multiLevelType w:val="hybridMultilevel"/>
    <w:tmpl w:val="108AE942"/>
    <w:lvl w:ilvl="0" w:tplc="1616BC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7906D9"/>
    <w:multiLevelType w:val="hybridMultilevel"/>
    <w:tmpl w:val="BEAEAED8"/>
    <w:lvl w:ilvl="0" w:tplc="2ABE0FB2">
      <w:start w:val="1"/>
      <w:numFmt w:val="decimal"/>
      <w:lvlText w:val="%1."/>
      <w:lvlJc w:val="left"/>
      <w:pPr>
        <w:ind w:left="360" w:hanging="360"/>
      </w:pPr>
      <w:rPr>
        <w:rFonts w:ascii="Times New Roman" w:hAnsi="Times New Roman" w:cs="Times New Roman" w:hint="default"/>
        <w:i/>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3EE1BB8"/>
    <w:multiLevelType w:val="hybridMultilevel"/>
    <w:tmpl w:val="04604954"/>
    <w:lvl w:ilvl="0" w:tplc="E87431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7" w15:restartNumberingAfterBreak="0">
    <w:nsid w:val="55B679E1"/>
    <w:multiLevelType w:val="hybridMultilevel"/>
    <w:tmpl w:val="1F22A3BC"/>
    <w:lvl w:ilvl="0" w:tplc="78D0560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55C10E65"/>
    <w:multiLevelType w:val="multilevel"/>
    <w:tmpl w:val="466AA280"/>
    <w:lvl w:ilvl="0">
      <w:start w:val="1"/>
      <w:numFmt w:val="decimal"/>
      <w:pStyle w:val="LegalNumPar"/>
      <w:lvlText w:val="%1."/>
      <w:lvlJc w:val="left"/>
      <w:pPr>
        <w:ind w:left="476" w:hanging="476"/>
      </w:pPr>
      <w:rPr>
        <w:rFonts w:hint="default"/>
        <w:b/>
        <w:bCs/>
        <w:lang w:val="de-DE"/>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69A0DCB"/>
    <w:multiLevelType w:val="hybridMultilevel"/>
    <w:tmpl w:val="EB48C94C"/>
    <w:lvl w:ilvl="0" w:tplc="FFFFFFFF">
      <w:start w:val="19"/>
      <w:numFmt w:val="bullet"/>
      <w:lvlText w:val="-"/>
      <w:lvlJc w:val="left"/>
      <w:pPr>
        <w:ind w:left="408" w:hanging="360"/>
      </w:pPr>
      <w:rPr>
        <w:rFonts w:ascii="Times New Roman" w:hAnsi="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0" w15:restartNumberingAfterBreak="0">
    <w:nsid w:val="56B10038"/>
    <w:multiLevelType w:val="hybridMultilevel"/>
    <w:tmpl w:val="94E2346C"/>
    <w:lvl w:ilvl="0" w:tplc="0E1A79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7A47275"/>
    <w:multiLevelType w:val="hybridMultilevel"/>
    <w:tmpl w:val="A8B0F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7E44920"/>
    <w:multiLevelType w:val="hybridMultilevel"/>
    <w:tmpl w:val="C4FEE898"/>
    <w:lvl w:ilvl="0" w:tplc="8F9A74A8">
      <w:start w:val="1"/>
      <w:numFmt w:val="decimal"/>
      <w:lvlText w:val="%1."/>
      <w:lvlJc w:val="left"/>
      <w:pPr>
        <w:ind w:left="720" w:hanging="360"/>
      </w:pPr>
    </w:lvl>
    <w:lvl w:ilvl="1" w:tplc="C83C3CD6">
      <w:start w:val="1"/>
      <w:numFmt w:val="lowerLetter"/>
      <w:lvlText w:val="%2."/>
      <w:lvlJc w:val="left"/>
      <w:pPr>
        <w:ind w:left="1440" w:hanging="360"/>
      </w:pPr>
    </w:lvl>
    <w:lvl w:ilvl="2" w:tplc="67523E22">
      <w:start w:val="1"/>
      <w:numFmt w:val="lowerRoman"/>
      <w:lvlText w:val="%3."/>
      <w:lvlJc w:val="right"/>
      <w:pPr>
        <w:ind w:left="2160" w:hanging="180"/>
      </w:pPr>
    </w:lvl>
    <w:lvl w:ilvl="3" w:tplc="02E434DE">
      <w:start w:val="1"/>
      <w:numFmt w:val="decimal"/>
      <w:lvlText w:val="%4."/>
      <w:lvlJc w:val="left"/>
      <w:pPr>
        <w:ind w:left="2880" w:hanging="360"/>
      </w:pPr>
    </w:lvl>
    <w:lvl w:ilvl="4" w:tplc="8BDE5CFA">
      <w:start w:val="1"/>
      <w:numFmt w:val="lowerLetter"/>
      <w:lvlText w:val="%5."/>
      <w:lvlJc w:val="left"/>
      <w:pPr>
        <w:ind w:left="3600" w:hanging="360"/>
      </w:pPr>
    </w:lvl>
    <w:lvl w:ilvl="5" w:tplc="39BA1CD6">
      <w:start w:val="1"/>
      <w:numFmt w:val="lowerRoman"/>
      <w:lvlText w:val="%6."/>
      <w:lvlJc w:val="right"/>
      <w:pPr>
        <w:ind w:left="4320" w:hanging="180"/>
      </w:pPr>
    </w:lvl>
    <w:lvl w:ilvl="6" w:tplc="820C8938">
      <w:start w:val="1"/>
      <w:numFmt w:val="decimal"/>
      <w:lvlText w:val="%7."/>
      <w:lvlJc w:val="left"/>
      <w:pPr>
        <w:ind w:left="5040" w:hanging="360"/>
      </w:pPr>
    </w:lvl>
    <w:lvl w:ilvl="7" w:tplc="916EC56C">
      <w:start w:val="1"/>
      <w:numFmt w:val="lowerLetter"/>
      <w:lvlText w:val="%8."/>
      <w:lvlJc w:val="left"/>
      <w:pPr>
        <w:ind w:left="5760" w:hanging="360"/>
      </w:pPr>
    </w:lvl>
    <w:lvl w:ilvl="8" w:tplc="7DE668F2">
      <w:start w:val="1"/>
      <w:numFmt w:val="lowerRoman"/>
      <w:lvlText w:val="%9."/>
      <w:lvlJc w:val="right"/>
      <w:pPr>
        <w:ind w:left="6480" w:hanging="180"/>
      </w:pPr>
    </w:lvl>
  </w:abstractNum>
  <w:abstractNum w:abstractNumId="63" w15:restartNumberingAfterBreak="0">
    <w:nsid w:val="59F422D7"/>
    <w:multiLevelType w:val="multilevel"/>
    <w:tmpl w:val="7618F6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6" w15:restartNumberingAfterBreak="0">
    <w:nsid w:val="5C184A6A"/>
    <w:multiLevelType w:val="hybridMultilevel"/>
    <w:tmpl w:val="20F8182E"/>
    <w:lvl w:ilvl="0" w:tplc="782E153C">
      <w:start w:val="1"/>
      <w:numFmt w:val="upperLetter"/>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111E8D"/>
    <w:multiLevelType w:val="hybridMultilevel"/>
    <w:tmpl w:val="6730273A"/>
    <w:lvl w:ilvl="0" w:tplc="AE28AF10">
      <w:start w:val="5"/>
      <w:numFmt w:val="upperLetter"/>
      <w:lvlText w:val="%1."/>
      <w:lvlJc w:val="left"/>
      <w:pPr>
        <w:ind w:left="366" w:hanging="360"/>
      </w:pPr>
      <w:rPr>
        <w:rFonts w:hint="default"/>
      </w:rPr>
    </w:lvl>
    <w:lvl w:ilvl="1" w:tplc="18090019" w:tentative="1">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69" w15:restartNumberingAfterBreak="0">
    <w:nsid w:val="5DCC1A5E"/>
    <w:multiLevelType w:val="multilevel"/>
    <w:tmpl w:val="6404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F1446F8"/>
    <w:multiLevelType w:val="hybridMultilevel"/>
    <w:tmpl w:val="CBC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CB40F2"/>
    <w:multiLevelType w:val="hybridMultilevel"/>
    <w:tmpl w:val="9E5A62F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63C14204"/>
    <w:multiLevelType w:val="hybridMultilevel"/>
    <w:tmpl w:val="FD265596"/>
    <w:lvl w:ilvl="0" w:tplc="8EB40B8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C42873"/>
    <w:multiLevelType w:val="multilevel"/>
    <w:tmpl w:val="1746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4A12FA4"/>
    <w:multiLevelType w:val="multilevel"/>
    <w:tmpl w:val="BC1C158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7121A1F"/>
    <w:multiLevelType w:val="multilevel"/>
    <w:tmpl w:val="5682450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7" w15:restartNumberingAfterBreak="0">
    <w:nsid w:val="6D367641"/>
    <w:multiLevelType w:val="hybridMultilevel"/>
    <w:tmpl w:val="2B744C64"/>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E184B22"/>
    <w:multiLevelType w:val="multilevel"/>
    <w:tmpl w:val="1A3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FD63E69"/>
    <w:multiLevelType w:val="hybridMultilevel"/>
    <w:tmpl w:val="9E722B94"/>
    <w:lvl w:ilvl="0" w:tplc="3014CE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15:restartNumberingAfterBreak="0">
    <w:nsid w:val="70140041"/>
    <w:multiLevelType w:val="multilevel"/>
    <w:tmpl w:val="817E2E62"/>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81" w15:restartNumberingAfterBreak="0">
    <w:nsid w:val="702E54AB"/>
    <w:multiLevelType w:val="hybridMultilevel"/>
    <w:tmpl w:val="99862E8E"/>
    <w:lvl w:ilvl="0" w:tplc="0809001B">
      <w:start w:val="1"/>
      <w:numFmt w:val="lowerRoman"/>
      <w:lvlText w:val="%1."/>
      <w:lvlJc w:val="right"/>
      <w:pPr>
        <w:ind w:left="71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2B7264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7412391E"/>
    <w:multiLevelType w:val="hybridMultilevel"/>
    <w:tmpl w:val="FF46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2436E5"/>
    <w:multiLevelType w:val="hybridMultilevel"/>
    <w:tmpl w:val="650AC2E6"/>
    <w:lvl w:ilvl="0" w:tplc="080C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5" w15:restartNumberingAfterBreak="0">
    <w:nsid w:val="75C14FE6"/>
    <w:multiLevelType w:val="hybridMultilevel"/>
    <w:tmpl w:val="E848B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7" w15:restartNumberingAfterBreak="0">
    <w:nsid w:val="77566D51"/>
    <w:multiLevelType w:val="hybridMultilevel"/>
    <w:tmpl w:val="334A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816483B"/>
    <w:multiLevelType w:val="hybridMultilevel"/>
    <w:tmpl w:val="14569A86"/>
    <w:lvl w:ilvl="0" w:tplc="B22E0E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7BF94956"/>
    <w:multiLevelType w:val="hybridMultilevel"/>
    <w:tmpl w:val="26F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1" w15:restartNumberingAfterBreak="0">
    <w:nsid w:val="7CD26665"/>
    <w:multiLevelType w:val="multilevel"/>
    <w:tmpl w:val="13DA1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F010CB7"/>
    <w:multiLevelType w:val="multilevel"/>
    <w:tmpl w:val="08ECA5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3" w15:restartNumberingAfterBreak="0">
    <w:nsid w:val="7F332538"/>
    <w:multiLevelType w:val="multilevel"/>
    <w:tmpl w:val="20943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4" w15:restartNumberingAfterBreak="0">
    <w:nsid w:val="7F830756"/>
    <w:multiLevelType w:val="hybridMultilevel"/>
    <w:tmpl w:val="8A4CF84E"/>
    <w:lvl w:ilvl="0" w:tplc="F96681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21"/>
  </w:num>
  <w:num w:numId="3">
    <w:abstractNumId w:val="67"/>
  </w:num>
  <w:num w:numId="4">
    <w:abstractNumId w:val="41"/>
  </w:num>
  <w:num w:numId="5">
    <w:abstractNumId w:val="76"/>
  </w:num>
  <w:num w:numId="6">
    <w:abstractNumId w:val="31"/>
  </w:num>
  <w:num w:numId="7">
    <w:abstractNumId w:val="42"/>
  </w:num>
  <w:num w:numId="8">
    <w:abstractNumId w:val="23"/>
  </w:num>
  <w:num w:numId="9">
    <w:abstractNumId w:val="74"/>
  </w:num>
  <w:num w:numId="10">
    <w:abstractNumId w:val="20"/>
  </w:num>
  <w:num w:numId="11">
    <w:abstractNumId w:val="45"/>
  </w:num>
  <w:num w:numId="12">
    <w:abstractNumId w:val="64"/>
  </w:num>
  <w:num w:numId="13">
    <w:abstractNumId w:val="65"/>
  </w:num>
  <w:num w:numId="14">
    <w:abstractNumId w:val="28"/>
  </w:num>
  <w:num w:numId="15">
    <w:abstractNumId w:val="56"/>
  </w:num>
  <w:num w:numId="16">
    <w:abstractNumId w:val="90"/>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
  </w:num>
  <w:num w:numId="21">
    <w:abstractNumId w:val="0"/>
  </w:num>
  <w:num w:numId="22">
    <w:abstractNumId w:val="38"/>
  </w:num>
  <w:num w:numId="23">
    <w:abstractNumId w:val="73"/>
  </w:num>
  <w:num w:numId="24">
    <w:abstractNumId w:val="14"/>
  </w:num>
  <w:num w:numId="25">
    <w:abstractNumId w:val="80"/>
  </w:num>
  <w:num w:numId="26">
    <w:abstractNumId w:val="35"/>
  </w:num>
  <w:num w:numId="27">
    <w:abstractNumId w:val="30"/>
  </w:num>
  <w:num w:numId="28">
    <w:abstractNumId w:val="18"/>
  </w:num>
  <w:num w:numId="29">
    <w:abstractNumId w:val="51"/>
  </w:num>
  <w:num w:numId="30">
    <w:abstractNumId w:val="91"/>
  </w:num>
  <w:num w:numId="31">
    <w:abstractNumId w:val="5"/>
  </w:num>
  <w:num w:numId="32">
    <w:abstractNumId w:val="32"/>
  </w:num>
  <w:num w:numId="33">
    <w:abstractNumId w:val="7"/>
  </w:num>
  <w:num w:numId="34">
    <w:abstractNumId w:val="69"/>
  </w:num>
  <w:num w:numId="35">
    <w:abstractNumId w:val="78"/>
  </w:num>
  <w:num w:numId="36">
    <w:abstractNumId w:val="4"/>
  </w:num>
  <w:num w:numId="37">
    <w:abstractNumId w:val="50"/>
  </w:num>
  <w:num w:numId="38">
    <w:abstractNumId w:val="19"/>
  </w:num>
  <w:num w:numId="39">
    <w:abstractNumId w:val="13"/>
  </w:num>
  <w:num w:numId="40">
    <w:abstractNumId w:val="93"/>
  </w:num>
  <w:num w:numId="41">
    <w:abstractNumId w:val="10"/>
  </w:num>
  <w:num w:numId="42">
    <w:abstractNumId w:val="15"/>
  </w:num>
  <w:num w:numId="43">
    <w:abstractNumId w:val="63"/>
  </w:num>
  <w:num w:numId="44">
    <w:abstractNumId w:val="92"/>
  </w:num>
  <w:num w:numId="45">
    <w:abstractNumId w:val="53"/>
  </w:num>
  <w:num w:numId="46">
    <w:abstractNumId w:val="48"/>
  </w:num>
  <w:num w:numId="47">
    <w:abstractNumId w:val="22"/>
  </w:num>
  <w:num w:numId="48">
    <w:abstractNumId w:val="52"/>
  </w:num>
  <w:num w:numId="49">
    <w:abstractNumId w:val="49"/>
  </w:num>
  <w:num w:numId="50">
    <w:abstractNumId w:val="89"/>
  </w:num>
  <w:num w:numId="51">
    <w:abstractNumId w:val="25"/>
  </w:num>
  <w:num w:numId="52">
    <w:abstractNumId w:val="85"/>
  </w:num>
  <w:num w:numId="53">
    <w:abstractNumId w:val="94"/>
  </w:num>
  <w:num w:numId="54">
    <w:abstractNumId w:val="11"/>
  </w:num>
  <w:num w:numId="55">
    <w:abstractNumId w:val="82"/>
  </w:num>
  <w:num w:numId="56">
    <w:abstractNumId w:val="70"/>
  </w:num>
  <w:num w:numId="57">
    <w:abstractNumId w:val="33"/>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29"/>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47"/>
  </w:num>
  <w:num w:numId="66">
    <w:abstractNumId w:val="9"/>
  </w:num>
  <w:num w:numId="67">
    <w:abstractNumId w:val="40"/>
  </w:num>
  <w:num w:numId="68">
    <w:abstractNumId w:val="84"/>
  </w:num>
  <w:num w:numId="69">
    <w:abstractNumId w:val="12"/>
  </w:num>
  <w:num w:numId="70">
    <w:abstractNumId w:val="81"/>
  </w:num>
  <w:num w:numId="71">
    <w:abstractNumId w:val="54"/>
  </w:num>
  <w:num w:numId="72">
    <w:abstractNumId w:val="37"/>
  </w:num>
  <w:num w:numId="73">
    <w:abstractNumId w:val="26"/>
  </w:num>
  <w:num w:numId="74">
    <w:abstractNumId w:val="59"/>
  </w:num>
  <w:num w:numId="75">
    <w:abstractNumId w:val="34"/>
  </w:num>
  <w:num w:numId="76">
    <w:abstractNumId w:val="61"/>
  </w:num>
  <w:num w:numId="77">
    <w:abstractNumId w:val="60"/>
  </w:num>
  <w:num w:numId="78">
    <w:abstractNumId w:val="6"/>
  </w:num>
  <w:num w:numId="79">
    <w:abstractNumId w:val="83"/>
  </w:num>
  <w:num w:numId="80">
    <w:abstractNumId w:val="87"/>
  </w:num>
  <w:num w:numId="81">
    <w:abstractNumId w:val="16"/>
  </w:num>
  <w:num w:numId="82">
    <w:abstractNumId w:val="88"/>
  </w:num>
  <w:num w:numId="83">
    <w:abstractNumId w:val="75"/>
  </w:num>
  <w:num w:numId="84">
    <w:abstractNumId w:val="27"/>
  </w:num>
  <w:num w:numId="85">
    <w:abstractNumId w:val="57"/>
  </w:num>
  <w:num w:numId="86">
    <w:abstractNumId w:val="24"/>
  </w:num>
  <w:num w:numId="87">
    <w:abstractNumId w:val="39"/>
  </w:num>
  <w:num w:numId="88">
    <w:abstractNumId w:val="71"/>
  </w:num>
  <w:num w:numId="89">
    <w:abstractNumId w:val="55"/>
  </w:num>
  <w:num w:numId="90">
    <w:abstractNumId w:val="66"/>
  </w:num>
  <w:num w:numId="91">
    <w:abstractNumId w:val="68"/>
  </w:num>
  <w:num w:numId="92">
    <w:abstractNumId w:val="72"/>
  </w:num>
  <w:num w:numId="93">
    <w:abstractNumId w:val="58"/>
  </w:num>
  <w:num w:numId="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num>
  <w:num w:numId="96">
    <w:abstractNumId w:val="17"/>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sv-S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pt-P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false"/>
    <w:docVar w:name="DocStatus" w:val="Green"/>
    <w:docVar w:name="DocuWriteMetaData" w:val="&lt;metadataset docuwriteversion=&quot;4.9.1&quot; technicalblockguid=&quot;555604132896311099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7-09&lt;/text&gt;_x000d__x000a_  &lt;/metadata&gt;_x000d__x000a_  &lt;metadata key=&quot;md_Prefix&quot;&gt;_x000d__x000a_    &lt;text&gt;&lt;/text&gt;_x000d__x000a_  &lt;/metadata&gt;_x000d__x000a_  &lt;metadata key=&quot;md_DocumentNumber&quot;&gt;_x000d__x000a_    &lt;text&gt;11858&lt;/text&gt;_x000d__x000a_  &lt;/metadata&gt;_x000d__x000a_  &lt;metadata key=&quot;md_YearDocumentNumber&quot;&gt;_x000d__x000a_    &lt;text&gt;2024&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820&lt;/text&gt;_x000d__x000a_      &lt;text&gt;UEM 229&lt;/text&gt;_x000d__x000a_      &lt;text&gt;FIN 650&lt;/text&gt;_x000d__x000a_      &lt;text&gt;CADREFIN 12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157(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28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amending Implementing Decision of 13 July 2021 on the approval of the assessment of the recovery and resilience plan for Greece&quot;&gt;&amp;lt;FlowDocument FontFamily=&quot;Segoe UI&quot; FontSize=&quot;12&quot; LineHeight=&quot;6&quot; PageWidth=&quot;329&quot; PagePadding=&quot;2,2,2,2&quot; AllowDrop=&quot;False&quot; xmlns=&quot;http://schemas.microsoft.com/winfx/2006/xaml/presentation&quot;&amp;gt;&amp;lt;Paragraph&amp;gt;ANNEX to the COUNCIL IMPLEMENTING DECISION amending Implementing Decision of 13 July 2021 on the approval of the assessment of the recovery and resilience plan for Greece&amp;lt;/Paragraph&amp;gt;&amp;lt;/FlowDocument&amp;gt;&lt;/xaml&gt;_x000d__x000a_  &lt;/metadata&gt;_x000d__x000a_  &lt;metadata key=&quot;md_SubjectFootnote&quot; /&gt;_x000d__x000a_  &lt;metadata key=&quot;md_DG&quot;&gt;_x000d__x000a_    &lt;text&gt;ECOFIN 1A&lt;/text&gt;_x000d__x000a_  &lt;/metadata&gt;_x000d__x000a_  &lt;metadata key=&quot;md_Initials&quot;&gt;_x000d__x000a_    &lt;text&gt;LEB/sr&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DE&lt;/text&gt;_x000d__x000a_  &lt;/metadata&gt;_x000d__x000a_  &lt;metadata key=&quot;md_SourceDocType&quot;&gt;_x000d__x000a_    &lt;text&gt;ANNEX&lt;/text&gt;_x000d__x000a_  &lt;/metadata&gt;_x000d__x000a_  &lt;metadata key=&quot;md_SourceDocTitle&quot;&gt;_x000d__x000a_    &lt;text&gt;to the _x000d__x000a_Proposal for a COUNCIL IMPLEMENTING DECISION _x000d__x000a_amending Implementing Decision (EU) (ST 10152/21; ST 10152/2021 ADD 1) of 13 July 2021 on the approval of the assessment of the recovery and resilience plan for Greece&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DW_KeepCompatibilityMode" w:val="true"/>
    <w:docVar w:name="EPKit_DocumentHasBeenSaved" w:val="true"/>
    <w:docVar w:name="LW_ACCOMPAGNANT.CP" w:val=" "/>
    <w:docVar w:name="LW_ANNEX_NBR_FIRST" w:val="1"/>
    <w:docVar w:name="LW_ANNEX_NBR_LAST" w:val="1"/>
    <w:docVar w:name="LW_ANNEX_UNIQUE" w:val="1"/>
    <w:docVar w:name="LW_CORRIGENDUM" w:val="&lt;UNUSED&gt;"/>
    <w:docVar w:name="LW_COVERPAGE_EXISTS" w:val="True"/>
    <w:docVar w:name="LW_COVERPAGE_GUID" w:val="5F1F8099-CAA4-4363-84FC-E0F5100FCDBE"/>
    <w:docVar w:name="LW_COVERPAGE_TYPE" w:val="1"/>
    <w:docVar w:name="LW_CROSSREFERENCE" w:val="{SWD(2025) 177 final}"/>
    <w:docVar w:name="LW_DocType" w:val="NORMAL"/>
    <w:docVar w:name="LW_EMISSION" w:val="30.6.2025"/>
    <w:docVar w:name="LW_EMISSION_ISODATE" w:val="2025-06-30"/>
    <w:docVar w:name="LW_EMISSION_LOCATION" w:val="BRX"/>
    <w:docVar w:name="LW_EMISSION_PREFIX" w:val="V Bruselu dne "/>
    <w:docVar w:name="LW_EMISSION_SUFFIX" w:val=" "/>
    <w:docVar w:name="LW_ID_DOCTYPE_NONLW" w:val="CP-036"/>
    <w:docVar w:name="LW_LANGUE" w:val="CS"/>
    <w:docVar w:name="LW_LEVEL_OF_SENSITIVITY" w:val="Standard treatment"/>
    <w:docVar w:name="LW_NOM.INST" w:val="EVROPSKÁ KOMISE"/>
    <w:docVar w:name="LW_NOM.INST_JOINTDOC" w:val="&lt;EMPTY&gt;"/>
    <w:docVar w:name="LW_OBJETACTEPRINCIPAL.CP" w:val="kterým se m\u283?ní provád\u283?cí rozhodnutí (EU) (ST 10152/21 INIT; ST 10152/21 ADD 1) ze dne 13. \u269?ervence 2021 o schválení posouzení plánu pro o\u382?ivení a odolnost \u344?ecka"/>
    <w:docVar w:name="LW_PART_NBR" w:val="1"/>
    <w:docVar w:name="LW_PART_NBR_TOTAL" w:val="1"/>
    <w:docVar w:name="LW_REF.INST.NEW" w:val="COM"/>
    <w:docVar w:name="LW_REF.INST.NEW_ADOPTED" w:val="final"/>
    <w:docVar w:name="LW_REF.INST.NEW_TEXT" w:val="(2025)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u344?ÍLOHA_x000b_"/>
    <w:docVar w:name="LW_TYPEACTEPRINCIPAL.CP" w:val="návrhu PROVÁD\u282?CÍHO ROZHODNUTÍ RADY,"/>
    <w:docVar w:name="LwApiVersions" w:val="LW4CoDe 1.24.5.0; LW 9.0, Build 20240221"/>
  </w:docVars>
  <w:rsids>
    <w:rsidRoot w:val="002A7953"/>
    <w:rsid w:val="00000154"/>
    <w:rsid w:val="000001B6"/>
    <w:rsid w:val="00000317"/>
    <w:rsid w:val="000003D0"/>
    <w:rsid w:val="000004D2"/>
    <w:rsid w:val="0000054D"/>
    <w:rsid w:val="0000058D"/>
    <w:rsid w:val="000006A0"/>
    <w:rsid w:val="00000800"/>
    <w:rsid w:val="00000829"/>
    <w:rsid w:val="00000901"/>
    <w:rsid w:val="00000971"/>
    <w:rsid w:val="00000A13"/>
    <w:rsid w:val="00000D94"/>
    <w:rsid w:val="00000E0D"/>
    <w:rsid w:val="0000109B"/>
    <w:rsid w:val="000011A1"/>
    <w:rsid w:val="000011D0"/>
    <w:rsid w:val="00001360"/>
    <w:rsid w:val="00001557"/>
    <w:rsid w:val="000015C8"/>
    <w:rsid w:val="000019C8"/>
    <w:rsid w:val="00001A85"/>
    <w:rsid w:val="00001CFE"/>
    <w:rsid w:val="00001D3C"/>
    <w:rsid w:val="00001DDF"/>
    <w:rsid w:val="000020DE"/>
    <w:rsid w:val="00002155"/>
    <w:rsid w:val="00002177"/>
    <w:rsid w:val="000021BC"/>
    <w:rsid w:val="000021FB"/>
    <w:rsid w:val="000022EA"/>
    <w:rsid w:val="000023A2"/>
    <w:rsid w:val="00002468"/>
    <w:rsid w:val="000025E2"/>
    <w:rsid w:val="000027AC"/>
    <w:rsid w:val="000029CC"/>
    <w:rsid w:val="000029F9"/>
    <w:rsid w:val="00002AF0"/>
    <w:rsid w:val="00002BE4"/>
    <w:rsid w:val="00002F62"/>
    <w:rsid w:val="0000300C"/>
    <w:rsid w:val="000030CB"/>
    <w:rsid w:val="000030FA"/>
    <w:rsid w:val="00003218"/>
    <w:rsid w:val="00003220"/>
    <w:rsid w:val="000034B5"/>
    <w:rsid w:val="00003506"/>
    <w:rsid w:val="00003529"/>
    <w:rsid w:val="00003631"/>
    <w:rsid w:val="0000399B"/>
    <w:rsid w:val="000039B2"/>
    <w:rsid w:val="00003F94"/>
    <w:rsid w:val="000042A7"/>
    <w:rsid w:val="00004385"/>
    <w:rsid w:val="0000442B"/>
    <w:rsid w:val="00004678"/>
    <w:rsid w:val="00004731"/>
    <w:rsid w:val="000047C2"/>
    <w:rsid w:val="00004883"/>
    <w:rsid w:val="000049DB"/>
    <w:rsid w:val="00004A77"/>
    <w:rsid w:val="00004BB0"/>
    <w:rsid w:val="00004BEF"/>
    <w:rsid w:val="00004C37"/>
    <w:rsid w:val="00004CBB"/>
    <w:rsid w:val="00004F1A"/>
    <w:rsid w:val="0000520D"/>
    <w:rsid w:val="000052F2"/>
    <w:rsid w:val="000053BD"/>
    <w:rsid w:val="00005681"/>
    <w:rsid w:val="000059CA"/>
    <w:rsid w:val="00005C10"/>
    <w:rsid w:val="00005D2B"/>
    <w:rsid w:val="000062BE"/>
    <w:rsid w:val="000062E6"/>
    <w:rsid w:val="00006651"/>
    <w:rsid w:val="00006A4E"/>
    <w:rsid w:val="00006C79"/>
    <w:rsid w:val="00006DC7"/>
    <w:rsid w:val="00006EA6"/>
    <w:rsid w:val="00007023"/>
    <w:rsid w:val="00007150"/>
    <w:rsid w:val="00007175"/>
    <w:rsid w:val="000072C8"/>
    <w:rsid w:val="00007355"/>
    <w:rsid w:val="000073F6"/>
    <w:rsid w:val="000073F7"/>
    <w:rsid w:val="00007444"/>
    <w:rsid w:val="00007524"/>
    <w:rsid w:val="000076FD"/>
    <w:rsid w:val="0000777A"/>
    <w:rsid w:val="00007A02"/>
    <w:rsid w:val="00007BD1"/>
    <w:rsid w:val="00007DDF"/>
    <w:rsid w:val="0001003F"/>
    <w:rsid w:val="000101F7"/>
    <w:rsid w:val="0001023C"/>
    <w:rsid w:val="000103D8"/>
    <w:rsid w:val="000104C9"/>
    <w:rsid w:val="0001054C"/>
    <w:rsid w:val="000105B1"/>
    <w:rsid w:val="000105DC"/>
    <w:rsid w:val="0001065D"/>
    <w:rsid w:val="00010875"/>
    <w:rsid w:val="000108A9"/>
    <w:rsid w:val="000109ED"/>
    <w:rsid w:val="00010AC5"/>
    <w:rsid w:val="00010C4C"/>
    <w:rsid w:val="00011287"/>
    <w:rsid w:val="0001152D"/>
    <w:rsid w:val="00011580"/>
    <w:rsid w:val="000115BB"/>
    <w:rsid w:val="000115DE"/>
    <w:rsid w:val="00011692"/>
    <w:rsid w:val="000116C5"/>
    <w:rsid w:val="000117A3"/>
    <w:rsid w:val="000117CE"/>
    <w:rsid w:val="00011821"/>
    <w:rsid w:val="00011951"/>
    <w:rsid w:val="00011BE4"/>
    <w:rsid w:val="00011C70"/>
    <w:rsid w:val="00011D16"/>
    <w:rsid w:val="00011E43"/>
    <w:rsid w:val="00011F0D"/>
    <w:rsid w:val="00011F5E"/>
    <w:rsid w:val="00012118"/>
    <w:rsid w:val="0001231A"/>
    <w:rsid w:val="000124F8"/>
    <w:rsid w:val="000125EF"/>
    <w:rsid w:val="00012631"/>
    <w:rsid w:val="000126BD"/>
    <w:rsid w:val="00012843"/>
    <w:rsid w:val="0001296C"/>
    <w:rsid w:val="00012A1D"/>
    <w:rsid w:val="00012A79"/>
    <w:rsid w:val="00012B3D"/>
    <w:rsid w:val="00012B85"/>
    <w:rsid w:val="00012CDA"/>
    <w:rsid w:val="00012D73"/>
    <w:rsid w:val="00012D74"/>
    <w:rsid w:val="00012F19"/>
    <w:rsid w:val="00012F80"/>
    <w:rsid w:val="00013178"/>
    <w:rsid w:val="000131F1"/>
    <w:rsid w:val="0001328C"/>
    <w:rsid w:val="000132E4"/>
    <w:rsid w:val="00013335"/>
    <w:rsid w:val="000133E8"/>
    <w:rsid w:val="00013414"/>
    <w:rsid w:val="0001364F"/>
    <w:rsid w:val="0001365F"/>
    <w:rsid w:val="00013B24"/>
    <w:rsid w:val="00013B9E"/>
    <w:rsid w:val="00013C00"/>
    <w:rsid w:val="00013C1E"/>
    <w:rsid w:val="00013C6E"/>
    <w:rsid w:val="00013D63"/>
    <w:rsid w:val="00013DA4"/>
    <w:rsid w:val="00013E81"/>
    <w:rsid w:val="00013FEE"/>
    <w:rsid w:val="00014067"/>
    <w:rsid w:val="000142A8"/>
    <w:rsid w:val="0001430B"/>
    <w:rsid w:val="00014337"/>
    <w:rsid w:val="00014534"/>
    <w:rsid w:val="00014543"/>
    <w:rsid w:val="0001462A"/>
    <w:rsid w:val="00014740"/>
    <w:rsid w:val="000147F0"/>
    <w:rsid w:val="000148C4"/>
    <w:rsid w:val="00014986"/>
    <w:rsid w:val="00014B28"/>
    <w:rsid w:val="00014CE0"/>
    <w:rsid w:val="00014D99"/>
    <w:rsid w:val="00014E1D"/>
    <w:rsid w:val="000150C8"/>
    <w:rsid w:val="0001513C"/>
    <w:rsid w:val="0001521A"/>
    <w:rsid w:val="00015527"/>
    <w:rsid w:val="000155E3"/>
    <w:rsid w:val="000158A5"/>
    <w:rsid w:val="000159E4"/>
    <w:rsid w:val="00015A0D"/>
    <w:rsid w:val="00015B94"/>
    <w:rsid w:val="00015BAD"/>
    <w:rsid w:val="00015CD6"/>
    <w:rsid w:val="00015D77"/>
    <w:rsid w:val="00015E16"/>
    <w:rsid w:val="00015F96"/>
    <w:rsid w:val="00016144"/>
    <w:rsid w:val="000161D0"/>
    <w:rsid w:val="000161D8"/>
    <w:rsid w:val="00016222"/>
    <w:rsid w:val="00016258"/>
    <w:rsid w:val="00016438"/>
    <w:rsid w:val="00016680"/>
    <w:rsid w:val="00016698"/>
    <w:rsid w:val="0001673F"/>
    <w:rsid w:val="0001678F"/>
    <w:rsid w:val="000167C4"/>
    <w:rsid w:val="00016976"/>
    <w:rsid w:val="000169AB"/>
    <w:rsid w:val="000169C2"/>
    <w:rsid w:val="00016A15"/>
    <w:rsid w:val="00016AC3"/>
    <w:rsid w:val="00016AD3"/>
    <w:rsid w:val="00016BDF"/>
    <w:rsid w:val="00016CD5"/>
    <w:rsid w:val="00016D95"/>
    <w:rsid w:val="00016F88"/>
    <w:rsid w:val="000170CC"/>
    <w:rsid w:val="000171E3"/>
    <w:rsid w:val="000171FA"/>
    <w:rsid w:val="000174E2"/>
    <w:rsid w:val="00017752"/>
    <w:rsid w:val="000178A5"/>
    <w:rsid w:val="000178B6"/>
    <w:rsid w:val="000179F9"/>
    <w:rsid w:val="00017A60"/>
    <w:rsid w:val="00017C0A"/>
    <w:rsid w:val="00017C9B"/>
    <w:rsid w:val="00017DB8"/>
    <w:rsid w:val="00017F62"/>
    <w:rsid w:val="0002006A"/>
    <w:rsid w:val="00020142"/>
    <w:rsid w:val="000203AE"/>
    <w:rsid w:val="00020519"/>
    <w:rsid w:val="00020767"/>
    <w:rsid w:val="00020783"/>
    <w:rsid w:val="000207EC"/>
    <w:rsid w:val="0002095C"/>
    <w:rsid w:val="00020996"/>
    <w:rsid w:val="00020D50"/>
    <w:rsid w:val="00020D6D"/>
    <w:rsid w:val="00020DD8"/>
    <w:rsid w:val="00020DE7"/>
    <w:rsid w:val="00020DEA"/>
    <w:rsid w:val="00020DFB"/>
    <w:rsid w:val="00020E60"/>
    <w:rsid w:val="0002102E"/>
    <w:rsid w:val="0002118A"/>
    <w:rsid w:val="0002125A"/>
    <w:rsid w:val="00021383"/>
    <w:rsid w:val="00021394"/>
    <w:rsid w:val="000216BD"/>
    <w:rsid w:val="00021896"/>
    <w:rsid w:val="000218C0"/>
    <w:rsid w:val="00021A8A"/>
    <w:rsid w:val="00021E02"/>
    <w:rsid w:val="00021EAF"/>
    <w:rsid w:val="00021F3F"/>
    <w:rsid w:val="00021F9C"/>
    <w:rsid w:val="0002223B"/>
    <w:rsid w:val="000222F0"/>
    <w:rsid w:val="00022321"/>
    <w:rsid w:val="000224F2"/>
    <w:rsid w:val="0002255B"/>
    <w:rsid w:val="0002260F"/>
    <w:rsid w:val="00022712"/>
    <w:rsid w:val="000227A9"/>
    <w:rsid w:val="000227DA"/>
    <w:rsid w:val="00022856"/>
    <w:rsid w:val="0002290A"/>
    <w:rsid w:val="00022931"/>
    <w:rsid w:val="00022A8A"/>
    <w:rsid w:val="00022ADA"/>
    <w:rsid w:val="00022CC4"/>
    <w:rsid w:val="00022CD2"/>
    <w:rsid w:val="00022DEB"/>
    <w:rsid w:val="00022DF9"/>
    <w:rsid w:val="000231B5"/>
    <w:rsid w:val="00023383"/>
    <w:rsid w:val="0002339C"/>
    <w:rsid w:val="0002341E"/>
    <w:rsid w:val="00023676"/>
    <w:rsid w:val="00023719"/>
    <w:rsid w:val="00023A0C"/>
    <w:rsid w:val="00023B97"/>
    <w:rsid w:val="00023C61"/>
    <w:rsid w:val="00023CCF"/>
    <w:rsid w:val="00023CDD"/>
    <w:rsid w:val="00023D3B"/>
    <w:rsid w:val="00023EA5"/>
    <w:rsid w:val="00023FF1"/>
    <w:rsid w:val="000240B8"/>
    <w:rsid w:val="000240F1"/>
    <w:rsid w:val="00024119"/>
    <w:rsid w:val="000244D1"/>
    <w:rsid w:val="00024587"/>
    <w:rsid w:val="000245A9"/>
    <w:rsid w:val="000245BD"/>
    <w:rsid w:val="00024940"/>
    <w:rsid w:val="00024967"/>
    <w:rsid w:val="000249AA"/>
    <w:rsid w:val="000249C6"/>
    <w:rsid w:val="00024C00"/>
    <w:rsid w:val="00024C48"/>
    <w:rsid w:val="00024D46"/>
    <w:rsid w:val="00024F16"/>
    <w:rsid w:val="0002549D"/>
    <w:rsid w:val="000254C8"/>
    <w:rsid w:val="00025504"/>
    <w:rsid w:val="00025766"/>
    <w:rsid w:val="000257D7"/>
    <w:rsid w:val="000257DE"/>
    <w:rsid w:val="000257EB"/>
    <w:rsid w:val="0002581E"/>
    <w:rsid w:val="00025838"/>
    <w:rsid w:val="00025BD4"/>
    <w:rsid w:val="00025C10"/>
    <w:rsid w:val="00025C66"/>
    <w:rsid w:val="0002622A"/>
    <w:rsid w:val="00026264"/>
    <w:rsid w:val="0002646A"/>
    <w:rsid w:val="0002648F"/>
    <w:rsid w:val="00026559"/>
    <w:rsid w:val="00026568"/>
    <w:rsid w:val="000265A8"/>
    <w:rsid w:val="00026733"/>
    <w:rsid w:val="00026885"/>
    <w:rsid w:val="000269B5"/>
    <w:rsid w:val="00026AE6"/>
    <w:rsid w:val="00026B51"/>
    <w:rsid w:val="00026C88"/>
    <w:rsid w:val="00026D5D"/>
    <w:rsid w:val="00026D92"/>
    <w:rsid w:val="00026D97"/>
    <w:rsid w:val="000271D8"/>
    <w:rsid w:val="000272D1"/>
    <w:rsid w:val="0002730C"/>
    <w:rsid w:val="000273B2"/>
    <w:rsid w:val="0002751F"/>
    <w:rsid w:val="0002761A"/>
    <w:rsid w:val="00027635"/>
    <w:rsid w:val="0002784D"/>
    <w:rsid w:val="00027993"/>
    <w:rsid w:val="00027CB7"/>
    <w:rsid w:val="00027DA8"/>
    <w:rsid w:val="00027E9F"/>
    <w:rsid w:val="00027F86"/>
    <w:rsid w:val="00030069"/>
    <w:rsid w:val="0003022C"/>
    <w:rsid w:val="000303C8"/>
    <w:rsid w:val="00030490"/>
    <w:rsid w:val="000304EC"/>
    <w:rsid w:val="00030640"/>
    <w:rsid w:val="00030643"/>
    <w:rsid w:val="00030852"/>
    <w:rsid w:val="00030871"/>
    <w:rsid w:val="00030A03"/>
    <w:rsid w:val="00030D15"/>
    <w:rsid w:val="00030D90"/>
    <w:rsid w:val="00030DEF"/>
    <w:rsid w:val="00030FF5"/>
    <w:rsid w:val="0003118C"/>
    <w:rsid w:val="000311F6"/>
    <w:rsid w:val="00031484"/>
    <w:rsid w:val="000314B0"/>
    <w:rsid w:val="000314CD"/>
    <w:rsid w:val="00031535"/>
    <w:rsid w:val="0003158C"/>
    <w:rsid w:val="00031750"/>
    <w:rsid w:val="00031762"/>
    <w:rsid w:val="00031A33"/>
    <w:rsid w:val="00031C88"/>
    <w:rsid w:val="00031CFC"/>
    <w:rsid w:val="00031D26"/>
    <w:rsid w:val="00031DC1"/>
    <w:rsid w:val="00031F1F"/>
    <w:rsid w:val="00032105"/>
    <w:rsid w:val="00032152"/>
    <w:rsid w:val="00032165"/>
    <w:rsid w:val="0003217A"/>
    <w:rsid w:val="0003227B"/>
    <w:rsid w:val="000326EC"/>
    <w:rsid w:val="0003271D"/>
    <w:rsid w:val="00032849"/>
    <w:rsid w:val="000329A7"/>
    <w:rsid w:val="00032A1F"/>
    <w:rsid w:val="00032A9A"/>
    <w:rsid w:val="00032C4A"/>
    <w:rsid w:val="00032FA6"/>
    <w:rsid w:val="000331DE"/>
    <w:rsid w:val="00033251"/>
    <w:rsid w:val="00033260"/>
    <w:rsid w:val="00033288"/>
    <w:rsid w:val="000333E0"/>
    <w:rsid w:val="00033465"/>
    <w:rsid w:val="00033525"/>
    <w:rsid w:val="00033639"/>
    <w:rsid w:val="0003364A"/>
    <w:rsid w:val="0003371D"/>
    <w:rsid w:val="00033801"/>
    <w:rsid w:val="00033822"/>
    <w:rsid w:val="00033837"/>
    <w:rsid w:val="00033B07"/>
    <w:rsid w:val="00033BF4"/>
    <w:rsid w:val="00033DFD"/>
    <w:rsid w:val="00033F01"/>
    <w:rsid w:val="00033F0A"/>
    <w:rsid w:val="00033F1E"/>
    <w:rsid w:val="0003411C"/>
    <w:rsid w:val="0003415E"/>
    <w:rsid w:val="00034273"/>
    <w:rsid w:val="00034278"/>
    <w:rsid w:val="000342D5"/>
    <w:rsid w:val="0003431F"/>
    <w:rsid w:val="000343D5"/>
    <w:rsid w:val="000345C7"/>
    <w:rsid w:val="00034758"/>
    <w:rsid w:val="00034829"/>
    <w:rsid w:val="00034847"/>
    <w:rsid w:val="00034953"/>
    <w:rsid w:val="00034ACF"/>
    <w:rsid w:val="00034F85"/>
    <w:rsid w:val="0003503F"/>
    <w:rsid w:val="00035151"/>
    <w:rsid w:val="0003518C"/>
    <w:rsid w:val="00035678"/>
    <w:rsid w:val="000359FD"/>
    <w:rsid w:val="00035A8A"/>
    <w:rsid w:val="00035BFB"/>
    <w:rsid w:val="00035CF1"/>
    <w:rsid w:val="00035E18"/>
    <w:rsid w:val="00035EDB"/>
    <w:rsid w:val="00035F16"/>
    <w:rsid w:val="00035F6A"/>
    <w:rsid w:val="00036063"/>
    <w:rsid w:val="00036142"/>
    <w:rsid w:val="00036195"/>
    <w:rsid w:val="000361DA"/>
    <w:rsid w:val="00036534"/>
    <w:rsid w:val="0003670C"/>
    <w:rsid w:val="000367A9"/>
    <w:rsid w:val="00036959"/>
    <w:rsid w:val="0003699E"/>
    <w:rsid w:val="000369B4"/>
    <w:rsid w:val="00036A80"/>
    <w:rsid w:val="00036C62"/>
    <w:rsid w:val="00036D00"/>
    <w:rsid w:val="00036D14"/>
    <w:rsid w:val="00036F39"/>
    <w:rsid w:val="000370B0"/>
    <w:rsid w:val="000370D5"/>
    <w:rsid w:val="00037337"/>
    <w:rsid w:val="00037384"/>
    <w:rsid w:val="000373A8"/>
    <w:rsid w:val="00037494"/>
    <w:rsid w:val="00037637"/>
    <w:rsid w:val="000376A7"/>
    <w:rsid w:val="00037753"/>
    <w:rsid w:val="00037775"/>
    <w:rsid w:val="0003785A"/>
    <w:rsid w:val="00037A74"/>
    <w:rsid w:val="00037AE7"/>
    <w:rsid w:val="00037B93"/>
    <w:rsid w:val="00037C22"/>
    <w:rsid w:val="00037E4E"/>
    <w:rsid w:val="00037E53"/>
    <w:rsid w:val="0004002E"/>
    <w:rsid w:val="000400D4"/>
    <w:rsid w:val="000401A6"/>
    <w:rsid w:val="0004030E"/>
    <w:rsid w:val="0004045C"/>
    <w:rsid w:val="0004045F"/>
    <w:rsid w:val="00040474"/>
    <w:rsid w:val="00040529"/>
    <w:rsid w:val="000406C0"/>
    <w:rsid w:val="000407AD"/>
    <w:rsid w:val="000407B4"/>
    <w:rsid w:val="000407F9"/>
    <w:rsid w:val="000409BE"/>
    <w:rsid w:val="000409DC"/>
    <w:rsid w:val="00040B16"/>
    <w:rsid w:val="00040F3F"/>
    <w:rsid w:val="000413CE"/>
    <w:rsid w:val="0004154E"/>
    <w:rsid w:val="000415CE"/>
    <w:rsid w:val="000415FA"/>
    <w:rsid w:val="00041BDE"/>
    <w:rsid w:val="00041C3B"/>
    <w:rsid w:val="00041D3B"/>
    <w:rsid w:val="00041DD3"/>
    <w:rsid w:val="00041DE6"/>
    <w:rsid w:val="00041FE5"/>
    <w:rsid w:val="0004210B"/>
    <w:rsid w:val="000422A5"/>
    <w:rsid w:val="000422EF"/>
    <w:rsid w:val="000423CA"/>
    <w:rsid w:val="000427C4"/>
    <w:rsid w:val="000427F0"/>
    <w:rsid w:val="00042A3A"/>
    <w:rsid w:val="00042A56"/>
    <w:rsid w:val="00042AB8"/>
    <w:rsid w:val="00042C17"/>
    <w:rsid w:val="00042D40"/>
    <w:rsid w:val="00042D9D"/>
    <w:rsid w:val="000430FE"/>
    <w:rsid w:val="00043276"/>
    <w:rsid w:val="0004329C"/>
    <w:rsid w:val="00043367"/>
    <w:rsid w:val="000433B3"/>
    <w:rsid w:val="000434E1"/>
    <w:rsid w:val="00043606"/>
    <w:rsid w:val="0004369F"/>
    <w:rsid w:val="0004374B"/>
    <w:rsid w:val="0004388E"/>
    <w:rsid w:val="000438D2"/>
    <w:rsid w:val="00043969"/>
    <w:rsid w:val="0004397B"/>
    <w:rsid w:val="00043A74"/>
    <w:rsid w:val="00043BDC"/>
    <w:rsid w:val="00043C04"/>
    <w:rsid w:val="00043FCA"/>
    <w:rsid w:val="000440C4"/>
    <w:rsid w:val="00044118"/>
    <w:rsid w:val="00044161"/>
    <w:rsid w:val="0004422F"/>
    <w:rsid w:val="000442D4"/>
    <w:rsid w:val="000443CD"/>
    <w:rsid w:val="00044413"/>
    <w:rsid w:val="0004445C"/>
    <w:rsid w:val="000444A6"/>
    <w:rsid w:val="00044613"/>
    <w:rsid w:val="0004462E"/>
    <w:rsid w:val="000446F8"/>
    <w:rsid w:val="00044773"/>
    <w:rsid w:val="00044978"/>
    <w:rsid w:val="00044A60"/>
    <w:rsid w:val="00044B4F"/>
    <w:rsid w:val="00044B82"/>
    <w:rsid w:val="00044C64"/>
    <w:rsid w:val="00044D77"/>
    <w:rsid w:val="00044E5A"/>
    <w:rsid w:val="00045066"/>
    <w:rsid w:val="00045313"/>
    <w:rsid w:val="000454B3"/>
    <w:rsid w:val="0004563B"/>
    <w:rsid w:val="00045738"/>
    <w:rsid w:val="000457F9"/>
    <w:rsid w:val="00045AE5"/>
    <w:rsid w:val="00045B77"/>
    <w:rsid w:val="00046023"/>
    <w:rsid w:val="00046428"/>
    <w:rsid w:val="000464E5"/>
    <w:rsid w:val="00046529"/>
    <w:rsid w:val="0004655F"/>
    <w:rsid w:val="000465FC"/>
    <w:rsid w:val="000467A3"/>
    <w:rsid w:val="0004696E"/>
    <w:rsid w:val="00046AF8"/>
    <w:rsid w:val="00046B4D"/>
    <w:rsid w:val="00046B83"/>
    <w:rsid w:val="00046BFA"/>
    <w:rsid w:val="00046CBB"/>
    <w:rsid w:val="00046E65"/>
    <w:rsid w:val="00046F77"/>
    <w:rsid w:val="000470FD"/>
    <w:rsid w:val="000471CE"/>
    <w:rsid w:val="000471E5"/>
    <w:rsid w:val="000472CA"/>
    <w:rsid w:val="000472E1"/>
    <w:rsid w:val="0004732D"/>
    <w:rsid w:val="000473AC"/>
    <w:rsid w:val="000474FA"/>
    <w:rsid w:val="0004768C"/>
    <w:rsid w:val="000477D9"/>
    <w:rsid w:val="0004794D"/>
    <w:rsid w:val="00047A65"/>
    <w:rsid w:val="00047CAC"/>
    <w:rsid w:val="00047CE6"/>
    <w:rsid w:val="00047D5D"/>
    <w:rsid w:val="00047DB6"/>
    <w:rsid w:val="00047E59"/>
    <w:rsid w:val="00047E90"/>
    <w:rsid w:val="00047F94"/>
    <w:rsid w:val="00047FA0"/>
    <w:rsid w:val="00047FBF"/>
    <w:rsid w:val="00047FCF"/>
    <w:rsid w:val="00047FE6"/>
    <w:rsid w:val="00050017"/>
    <w:rsid w:val="00050177"/>
    <w:rsid w:val="000501DB"/>
    <w:rsid w:val="0005020A"/>
    <w:rsid w:val="000502C9"/>
    <w:rsid w:val="00050332"/>
    <w:rsid w:val="00050428"/>
    <w:rsid w:val="00050526"/>
    <w:rsid w:val="00050675"/>
    <w:rsid w:val="000507B0"/>
    <w:rsid w:val="00050ACD"/>
    <w:rsid w:val="00050C06"/>
    <w:rsid w:val="00050C21"/>
    <w:rsid w:val="00050C8C"/>
    <w:rsid w:val="00050DA5"/>
    <w:rsid w:val="00050DDC"/>
    <w:rsid w:val="00050DFE"/>
    <w:rsid w:val="00050F57"/>
    <w:rsid w:val="00051326"/>
    <w:rsid w:val="0005134B"/>
    <w:rsid w:val="000514B0"/>
    <w:rsid w:val="00051522"/>
    <w:rsid w:val="00051580"/>
    <w:rsid w:val="00051666"/>
    <w:rsid w:val="00051851"/>
    <w:rsid w:val="00051855"/>
    <w:rsid w:val="00051B2F"/>
    <w:rsid w:val="00051BB2"/>
    <w:rsid w:val="00051C25"/>
    <w:rsid w:val="00051D2C"/>
    <w:rsid w:val="00051F50"/>
    <w:rsid w:val="0005202D"/>
    <w:rsid w:val="00052072"/>
    <w:rsid w:val="000521EB"/>
    <w:rsid w:val="000522CD"/>
    <w:rsid w:val="00052305"/>
    <w:rsid w:val="0005237D"/>
    <w:rsid w:val="000523CD"/>
    <w:rsid w:val="000523E6"/>
    <w:rsid w:val="00052591"/>
    <w:rsid w:val="0005261C"/>
    <w:rsid w:val="00052852"/>
    <w:rsid w:val="000528DA"/>
    <w:rsid w:val="00052A32"/>
    <w:rsid w:val="00052AF5"/>
    <w:rsid w:val="00052B05"/>
    <w:rsid w:val="00052B12"/>
    <w:rsid w:val="00052F2B"/>
    <w:rsid w:val="00052F43"/>
    <w:rsid w:val="00052FDD"/>
    <w:rsid w:val="0005301B"/>
    <w:rsid w:val="000532D5"/>
    <w:rsid w:val="0005335C"/>
    <w:rsid w:val="0005350A"/>
    <w:rsid w:val="0005355D"/>
    <w:rsid w:val="000535CA"/>
    <w:rsid w:val="00053677"/>
    <w:rsid w:val="0005367E"/>
    <w:rsid w:val="000536AC"/>
    <w:rsid w:val="0005370A"/>
    <w:rsid w:val="00053782"/>
    <w:rsid w:val="00053843"/>
    <w:rsid w:val="00053881"/>
    <w:rsid w:val="00053A68"/>
    <w:rsid w:val="00053B34"/>
    <w:rsid w:val="00053C4C"/>
    <w:rsid w:val="00054095"/>
    <w:rsid w:val="00054096"/>
    <w:rsid w:val="00054282"/>
    <w:rsid w:val="00054328"/>
    <w:rsid w:val="0005435C"/>
    <w:rsid w:val="0005477B"/>
    <w:rsid w:val="0005487D"/>
    <w:rsid w:val="00054906"/>
    <w:rsid w:val="000549C0"/>
    <w:rsid w:val="00054A2E"/>
    <w:rsid w:val="00054B23"/>
    <w:rsid w:val="00054C03"/>
    <w:rsid w:val="00054C40"/>
    <w:rsid w:val="00054EBB"/>
    <w:rsid w:val="00054EE5"/>
    <w:rsid w:val="00054F5B"/>
    <w:rsid w:val="00054FB1"/>
    <w:rsid w:val="00055008"/>
    <w:rsid w:val="00055279"/>
    <w:rsid w:val="000553C2"/>
    <w:rsid w:val="000553F5"/>
    <w:rsid w:val="00055428"/>
    <w:rsid w:val="00055497"/>
    <w:rsid w:val="0005569D"/>
    <w:rsid w:val="000557DF"/>
    <w:rsid w:val="00055881"/>
    <w:rsid w:val="00055979"/>
    <w:rsid w:val="000559F0"/>
    <w:rsid w:val="00055AD1"/>
    <w:rsid w:val="00055C03"/>
    <w:rsid w:val="00055C26"/>
    <w:rsid w:val="00055C51"/>
    <w:rsid w:val="0005609A"/>
    <w:rsid w:val="000562E8"/>
    <w:rsid w:val="0005639E"/>
    <w:rsid w:val="00056576"/>
    <w:rsid w:val="000565A6"/>
    <w:rsid w:val="000565AA"/>
    <w:rsid w:val="000565F4"/>
    <w:rsid w:val="0005672A"/>
    <w:rsid w:val="00056856"/>
    <w:rsid w:val="000568F2"/>
    <w:rsid w:val="000569BD"/>
    <w:rsid w:val="00056CAC"/>
    <w:rsid w:val="00056DDA"/>
    <w:rsid w:val="00056E8D"/>
    <w:rsid w:val="00056F52"/>
    <w:rsid w:val="000570A4"/>
    <w:rsid w:val="0005715B"/>
    <w:rsid w:val="0005716D"/>
    <w:rsid w:val="000571CE"/>
    <w:rsid w:val="000575AD"/>
    <w:rsid w:val="0005769D"/>
    <w:rsid w:val="000577F3"/>
    <w:rsid w:val="000579C3"/>
    <w:rsid w:val="00057A1D"/>
    <w:rsid w:val="00057B8F"/>
    <w:rsid w:val="00057BD5"/>
    <w:rsid w:val="00057C11"/>
    <w:rsid w:val="00057C1B"/>
    <w:rsid w:val="00057CFB"/>
    <w:rsid w:val="00057EC8"/>
    <w:rsid w:val="00057F93"/>
    <w:rsid w:val="0006005F"/>
    <w:rsid w:val="00060093"/>
    <w:rsid w:val="000600A7"/>
    <w:rsid w:val="00060152"/>
    <w:rsid w:val="00060199"/>
    <w:rsid w:val="000601B3"/>
    <w:rsid w:val="00060208"/>
    <w:rsid w:val="00060233"/>
    <w:rsid w:val="00060403"/>
    <w:rsid w:val="00060601"/>
    <w:rsid w:val="0006068F"/>
    <w:rsid w:val="000608CA"/>
    <w:rsid w:val="00060A2E"/>
    <w:rsid w:val="00060C42"/>
    <w:rsid w:val="00060C6D"/>
    <w:rsid w:val="00060E67"/>
    <w:rsid w:val="00060F6E"/>
    <w:rsid w:val="00060F9D"/>
    <w:rsid w:val="000612B5"/>
    <w:rsid w:val="00061431"/>
    <w:rsid w:val="000614DF"/>
    <w:rsid w:val="00061755"/>
    <w:rsid w:val="000617B1"/>
    <w:rsid w:val="0006188D"/>
    <w:rsid w:val="000618B3"/>
    <w:rsid w:val="00061A42"/>
    <w:rsid w:val="00061BCA"/>
    <w:rsid w:val="00061BE7"/>
    <w:rsid w:val="00061D25"/>
    <w:rsid w:val="00062246"/>
    <w:rsid w:val="000622AE"/>
    <w:rsid w:val="00062384"/>
    <w:rsid w:val="00062459"/>
    <w:rsid w:val="000627F6"/>
    <w:rsid w:val="00062844"/>
    <w:rsid w:val="000628C5"/>
    <w:rsid w:val="00062A4A"/>
    <w:rsid w:val="00062B61"/>
    <w:rsid w:val="00062BE4"/>
    <w:rsid w:val="00062C52"/>
    <w:rsid w:val="00062C6D"/>
    <w:rsid w:val="00062D7D"/>
    <w:rsid w:val="00062DDF"/>
    <w:rsid w:val="00062DE3"/>
    <w:rsid w:val="000630E4"/>
    <w:rsid w:val="0006325E"/>
    <w:rsid w:val="000632A3"/>
    <w:rsid w:val="000633FF"/>
    <w:rsid w:val="00063504"/>
    <w:rsid w:val="00063506"/>
    <w:rsid w:val="0006379B"/>
    <w:rsid w:val="000637F9"/>
    <w:rsid w:val="0006386F"/>
    <w:rsid w:val="00063953"/>
    <w:rsid w:val="0006398D"/>
    <w:rsid w:val="00063A95"/>
    <w:rsid w:val="00063BCB"/>
    <w:rsid w:val="00063D2B"/>
    <w:rsid w:val="00063DC2"/>
    <w:rsid w:val="000642BD"/>
    <w:rsid w:val="000644A0"/>
    <w:rsid w:val="00064616"/>
    <w:rsid w:val="00064726"/>
    <w:rsid w:val="00064730"/>
    <w:rsid w:val="00064752"/>
    <w:rsid w:val="00064810"/>
    <w:rsid w:val="00064817"/>
    <w:rsid w:val="000648A1"/>
    <w:rsid w:val="00064AA4"/>
    <w:rsid w:val="00064F9D"/>
    <w:rsid w:val="00064FC3"/>
    <w:rsid w:val="00065001"/>
    <w:rsid w:val="0006515F"/>
    <w:rsid w:val="00065199"/>
    <w:rsid w:val="00065380"/>
    <w:rsid w:val="000659E1"/>
    <w:rsid w:val="000659E8"/>
    <w:rsid w:val="00065AD5"/>
    <w:rsid w:val="00065C19"/>
    <w:rsid w:val="00065CE8"/>
    <w:rsid w:val="00065D44"/>
    <w:rsid w:val="00065E8C"/>
    <w:rsid w:val="00065F18"/>
    <w:rsid w:val="00065FF0"/>
    <w:rsid w:val="000661BC"/>
    <w:rsid w:val="00066352"/>
    <w:rsid w:val="0006646F"/>
    <w:rsid w:val="00066542"/>
    <w:rsid w:val="000666D6"/>
    <w:rsid w:val="000666E5"/>
    <w:rsid w:val="000667B7"/>
    <w:rsid w:val="0006691C"/>
    <w:rsid w:val="00066A82"/>
    <w:rsid w:val="00066B1A"/>
    <w:rsid w:val="00066B20"/>
    <w:rsid w:val="00066CF4"/>
    <w:rsid w:val="00066CFA"/>
    <w:rsid w:val="00066D5F"/>
    <w:rsid w:val="00066D6B"/>
    <w:rsid w:val="00067221"/>
    <w:rsid w:val="000672EB"/>
    <w:rsid w:val="000673DE"/>
    <w:rsid w:val="00067406"/>
    <w:rsid w:val="0006751B"/>
    <w:rsid w:val="00067640"/>
    <w:rsid w:val="00067769"/>
    <w:rsid w:val="000678B1"/>
    <w:rsid w:val="00067980"/>
    <w:rsid w:val="00067F3F"/>
    <w:rsid w:val="00067FCD"/>
    <w:rsid w:val="00070076"/>
    <w:rsid w:val="000700F1"/>
    <w:rsid w:val="00070340"/>
    <w:rsid w:val="000703CD"/>
    <w:rsid w:val="00070535"/>
    <w:rsid w:val="0007059C"/>
    <w:rsid w:val="000705BF"/>
    <w:rsid w:val="00070611"/>
    <w:rsid w:val="000706FD"/>
    <w:rsid w:val="00070934"/>
    <w:rsid w:val="00070BB7"/>
    <w:rsid w:val="00070D33"/>
    <w:rsid w:val="00070E0F"/>
    <w:rsid w:val="00070F3C"/>
    <w:rsid w:val="00071167"/>
    <w:rsid w:val="000711D4"/>
    <w:rsid w:val="000712E3"/>
    <w:rsid w:val="0007130A"/>
    <w:rsid w:val="0007140E"/>
    <w:rsid w:val="00071770"/>
    <w:rsid w:val="0007181E"/>
    <w:rsid w:val="000719B6"/>
    <w:rsid w:val="00071B85"/>
    <w:rsid w:val="00071C16"/>
    <w:rsid w:val="00071E1A"/>
    <w:rsid w:val="00071EDB"/>
    <w:rsid w:val="0007208A"/>
    <w:rsid w:val="00072133"/>
    <w:rsid w:val="0007221C"/>
    <w:rsid w:val="0007231A"/>
    <w:rsid w:val="000723BC"/>
    <w:rsid w:val="00072762"/>
    <w:rsid w:val="0007277E"/>
    <w:rsid w:val="000727C9"/>
    <w:rsid w:val="000728DA"/>
    <w:rsid w:val="000728EB"/>
    <w:rsid w:val="000729AA"/>
    <w:rsid w:val="000729B8"/>
    <w:rsid w:val="00072AAE"/>
    <w:rsid w:val="00072C39"/>
    <w:rsid w:val="00072CA3"/>
    <w:rsid w:val="00072CC0"/>
    <w:rsid w:val="00072D1A"/>
    <w:rsid w:val="00072D25"/>
    <w:rsid w:val="00072D3A"/>
    <w:rsid w:val="00072DEB"/>
    <w:rsid w:val="00072F43"/>
    <w:rsid w:val="00072F66"/>
    <w:rsid w:val="000730FD"/>
    <w:rsid w:val="000732DD"/>
    <w:rsid w:val="00073362"/>
    <w:rsid w:val="0007357E"/>
    <w:rsid w:val="000735E2"/>
    <w:rsid w:val="00073637"/>
    <w:rsid w:val="00073B85"/>
    <w:rsid w:val="00073C28"/>
    <w:rsid w:val="00073C2A"/>
    <w:rsid w:val="00074260"/>
    <w:rsid w:val="000745D0"/>
    <w:rsid w:val="00074660"/>
    <w:rsid w:val="0007469B"/>
    <w:rsid w:val="000749AA"/>
    <w:rsid w:val="00074ABB"/>
    <w:rsid w:val="00074B42"/>
    <w:rsid w:val="00074D00"/>
    <w:rsid w:val="00074D9B"/>
    <w:rsid w:val="00074E8C"/>
    <w:rsid w:val="00075032"/>
    <w:rsid w:val="00075085"/>
    <w:rsid w:val="00075186"/>
    <w:rsid w:val="0007524F"/>
    <w:rsid w:val="000754C0"/>
    <w:rsid w:val="000754F5"/>
    <w:rsid w:val="000755F1"/>
    <w:rsid w:val="00075814"/>
    <w:rsid w:val="00075A0A"/>
    <w:rsid w:val="00075BCA"/>
    <w:rsid w:val="00075E9B"/>
    <w:rsid w:val="00075FB6"/>
    <w:rsid w:val="00076077"/>
    <w:rsid w:val="000760D0"/>
    <w:rsid w:val="0007614A"/>
    <w:rsid w:val="0007620E"/>
    <w:rsid w:val="000763DF"/>
    <w:rsid w:val="000766C5"/>
    <w:rsid w:val="0007676C"/>
    <w:rsid w:val="0007686C"/>
    <w:rsid w:val="000768A4"/>
    <w:rsid w:val="00076A54"/>
    <w:rsid w:val="00076A6F"/>
    <w:rsid w:val="00076D58"/>
    <w:rsid w:val="00076DEB"/>
    <w:rsid w:val="00076DF8"/>
    <w:rsid w:val="00076DFC"/>
    <w:rsid w:val="00077104"/>
    <w:rsid w:val="0007719D"/>
    <w:rsid w:val="000771C9"/>
    <w:rsid w:val="00077234"/>
    <w:rsid w:val="000772C2"/>
    <w:rsid w:val="0007732E"/>
    <w:rsid w:val="00077556"/>
    <w:rsid w:val="0007780C"/>
    <w:rsid w:val="00077921"/>
    <w:rsid w:val="000779A5"/>
    <w:rsid w:val="000779C0"/>
    <w:rsid w:val="00077BB0"/>
    <w:rsid w:val="00077D1C"/>
    <w:rsid w:val="00077DB0"/>
    <w:rsid w:val="00080121"/>
    <w:rsid w:val="0008019F"/>
    <w:rsid w:val="000801F1"/>
    <w:rsid w:val="00080273"/>
    <w:rsid w:val="000802F9"/>
    <w:rsid w:val="000803F6"/>
    <w:rsid w:val="0008045B"/>
    <w:rsid w:val="00080864"/>
    <w:rsid w:val="00080B1E"/>
    <w:rsid w:val="00080B27"/>
    <w:rsid w:val="00080BFE"/>
    <w:rsid w:val="00080C50"/>
    <w:rsid w:val="00080D00"/>
    <w:rsid w:val="00080E29"/>
    <w:rsid w:val="00080ED1"/>
    <w:rsid w:val="00080F1E"/>
    <w:rsid w:val="00080F3A"/>
    <w:rsid w:val="00080F9C"/>
    <w:rsid w:val="0008102A"/>
    <w:rsid w:val="00081060"/>
    <w:rsid w:val="000810AA"/>
    <w:rsid w:val="000810B2"/>
    <w:rsid w:val="000810EF"/>
    <w:rsid w:val="00081165"/>
    <w:rsid w:val="0008125D"/>
    <w:rsid w:val="00081271"/>
    <w:rsid w:val="000813E2"/>
    <w:rsid w:val="0008146A"/>
    <w:rsid w:val="000814CD"/>
    <w:rsid w:val="00081682"/>
    <w:rsid w:val="000816AB"/>
    <w:rsid w:val="000816E4"/>
    <w:rsid w:val="000817B8"/>
    <w:rsid w:val="000818C2"/>
    <w:rsid w:val="000818C7"/>
    <w:rsid w:val="000818DC"/>
    <w:rsid w:val="00081A68"/>
    <w:rsid w:val="00081A8D"/>
    <w:rsid w:val="00081B81"/>
    <w:rsid w:val="00081DBF"/>
    <w:rsid w:val="00081DE5"/>
    <w:rsid w:val="00081DFF"/>
    <w:rsid w:val="00081F46"/>
    <w:rsid w:val="00081F99"/>
    <w:rsid w:val="00081FBA"/>
    <w:rsid w:val="000820A8"/>
    <w:rsid w:val="000820E8"/>
    <w:rsid w:val="000822CD"/>
    <w:rsid w:val="000823E5"/>
    <w:rsid w:val="000825ED"/>
    <w:rsid w:val="000827FF"/>
    <w:rsid w:val="000829AC"/>
    <w:rsid w:val="00082AFE"/>
    <w:rsid w:val="00082BFF"/>
    <w:rsid w:val="00082C2E"/>
    <w:rsid w:val="00082C43"/>
    <w:rsid w:val="00082C58"/>
    <w:rsid w:val="00082CAE"/>
    <w:rsid w:val="00082DE9"/>
    <w:rsid w:val="00082EE7"/>
    <w:rsid w:val="00082FA5"/>
    <w:rsid w:val="0008340C"/>
    <w:rsid w:val="00083477"/>
    <w:rsid w:val="000835F0"/>
    <w:rsid w:val="00083911"/>
    <w:rsid w:val="00083A7E"/>
    <w:rsid w:val="00083C49"/>
    <w:rsid w:val="00083C7D"/>
    <w:rsid w:val="00083D0F"/>
    <w:rsid w:val="00083E62"/>
    <w:rsid w:val="00083FD1"/>
    <w:rsid w:val="00084115"/>
    <w:rsid w:val="000841C6"/>
    <w:rsid w:val="000841D7"/>
    <w:rsid w:val="0008420E"/>
    <w:rsid w:val="000842C5"/>
    <w:rsid w:val="000842DF"/>
    <w:rsid w:val="00084397"/>
    <w:rsid w:val="000843D4"/>
    <w:rsid w:val="0008453B"/>
    <w:rsid w:val="00084668"/>
    <w:rsid w:val="000846AA"/>
    <w:rsid w:val="00084962"/>
    <w:rsid w:val="00084A0D"/>
    <w:rsid w:val="00084C59"/>
    <w:rsid w:val="00084E27"/>
    <w:rsid w:val="00084EFD"/>
    <w:rsid w:val="00084FFE"/>
    <w:rsid w:val="000850BE"/>
    <w:rsid w:val="00085355"/>
    <w:rsid w:val="00085406"/>
    <w:rsid w:val="00085498"/>
    <w:rsid w:val="00085524"/>
    <w:rsid w:val="00085604"/>
    <w:rsid w:val="000856A3"/>
    <w:rsid w:val="0008571C"/>
    <w:rsid w:val="00085737"/>
    <w:rsid w:val="00085785"/>
    <w:rsid w:val="0008580A"/>
    <w:rsid w:val="000858CC"/>
    <w:rsid w:val="00085905"/>
    <w:rsid w:val="0008590E"/>
    <w:rsid w:val="00085941"/>
    <w:rsid w:val="00085A57"/>
    <w:rsid w:val="00085B01"/>
    <w:rsid w:val="00085CA2"/>
    <w:rsid w:val="00085E80"/>
    <w:rsid w:val="00086348"/>
    <w:rsid w:val="00086394"/>
    <w:rsid w:val="0008668D"/>
    <w:rsid w:val="000866C1"/>
    <w:rsid w:val="00086712"/>
    <w:rsid w:val="000867A7"/>
    <w:rsid w:val="000867B8"/>
    <w:rsid w:val="000867DC"/>
    <w:rsid w:val="00086825"/>
    <w:rsid w:val="00086885"/>
    <w:rsid w:val="00086BE3"/>
    <w:rsid w:val="00086CDE"/>
    <w:rsid w:val="00086D00"/>
    <w:rsid w:val="00086FDC"/>
    <w:rsid w:val="0008703F"/>
    <w:rsid w:val="000870AF"/>
    <w:rsid w:val="0008714E"/>
    <w:rsid w:val="00087222"/>
    <w:rsid w:val="0008731F"/>
    <w:rsid w:val="00087474"/>
    <w:rsid w:val="0008748D"/>
    <w:rsid w:val="00087559"/>
    <w:rsid w:val="000876DF"/>
    <w:rsid w:val="00087A46"/>
    <w:rsid w:val="00087A51"/>
    <w:rsid w:val="00087AB8"/>
    <w:rsid w:val="00087ACA"/>
    <w:rsid w:val="00087C76"/>
    <w:rsid w:val="00087CC2"/>
    <w:rsid w:val="00087D43"/>
    <w:rsid w:val="00087D8E"/>
    <w:rsid w:val="00087DA8"/>
    <w:rsid w:val="00087E2E"/>
    <w:rsid w:val="00087E41"/>
    <w:rsid w:val="0009023F"/>
    <w:rsid w:val="0009038D"/>
    <w:rsid w:val="00090481"/>
    <w:rsid w:val="00090725"/>
    <w:rsid w:val="000907E3"/>
    <w:rsid w:val="00090BED"/>
    <w:rsid w:val="00090FC2"/>
    <w:rsid w:val="0009103A"/>
    <w:rsid w:val="0009115A"/>
    <w:rsid w:val="0009133F"/>
    <w:rsid w:val="0009136A"/>
    <w:rsid w:val="00091404"/>
    <w:rsid w:val="0009142F"/>
    <w:rsid w:val="0009146F"/>
    <w:rsid w:val="0009162A"/>
    <w:rsid w:val="000916EF"/>
    <w:rsid w:val="000917AB"/>
    <w:rsid w:val="000917C4"/>
    <w:rsid w:val="000919EB"/>
    <w:rsid w:val="00091CBB"/>
    <w:rsid w:val="00091E25"/>
    <w:rsid w:val="000920A3"/>
    <w:rsid w:val="00092264"/>
    <w:rsid w:val="0009258E"/>
    <w:rsid w:val="00092683"/>
    <w:rsid w:val="000929D7"/>
    <w:rsid w:val="00092A55"/>
    <w:rsid w:val="00092CF1"/>
    <w:rsid w:val="00092D6A"/>
    <w:rsid w:val="00092FD0"/>
    <w:rsid w:val="00093174"/>
    <w:rsid w:val="000931B3"/>
    <w:rsid w:val="000931F1"/>
    <w:rsid w:val="00093214"/>
    <w:rsid w:val="000936E2"/>
    <w:rsid w:val="000938CD"/>
    <w:rsid w:val="0009394D"/>
    <w:rsid w:val="00093C0B"/>
    <w:rsid w:val="00093CB0"/>
    <w:rsid w:val="00093E1C"/>
    <w:rsid w:val="00093F6A"/>
    <w:rsid w:val="00093F98"/>
    <w:rsid w:val="00093FFA"/>
    <w:rsid w:val="00094126"/>
    <w:rsid w:val="00094455"/>
    <w:rsid w:val="000944AE"/>
    <w:rsid w:val="0009489C"/>
    <w:rsid w:val="000948DA"/>
    <w:rsid w:val="00094A8F"/>
    <w:rsid w:val="00094BAD"/>
    <w:rsid w:val="00094EC1"/>
    <w:rsid w:val="00094FF5"/>
    <w:rsid w:val="00095392"/>
    <w:rsid w:val="00095557"/>
    <w:rsid w:val="000955BD"/>
    <w:rsid w:val="000958FD"/>
    <w:rsid w:val="0009592D"/>
    <w:rsid w:val="00095BB9"/>
    <w:rsid w:val="00095BED"/>
    <w:rsid w:val="00095C74"/>
    <w:rsid w:val="00095D1F"/>
    <w:rsid w:val="00095F9C"/>
    <w:rsid w:val="00096043"/>
    <w:rsid w:val="0009648C"/>
    <w:rsid w:val="0009657C"/>
    <w:rsid w:val="000967B3"/>
    <w:rsid w:val="000968FC"/>
    <w:rsid w:val="0009692F"/>
    <w:rsid w:val="00096A7E"/>
    <w:rsid w:val="00096AC8"/>
    <w:rsid w:val="00096C38"/>
    <w:rsid w:val="00096D56"/>
    <w:rsid w:val="00096DC9"/>
    <w:rsid w:val="00096DE9"/>
    <w:rsid w:val="00096E33"/>
    <w:rsid w:val="00096FFD"/>
    <w:rsid w:val="0009718A"/>
    <w:rsid w:val="0009722F"/>
    <w:rsid w:val="0009724D"/>
    <w:rsid w:val="000972C3"/>
    <w:rsid w:val="00097316"/>
    <w:rsid w:val="00097381"/>
    <w:rsid w:val="0009738F"/>
    <w:rsid w:val="00097418"/>
    <w:rsid w:val="00097531"/>
    <w:rsid w:val="0009758D"/>
    <w:rsid w:val="000976C6"/>
    <w:rsid w:val="000977B3"/>
    <w:rsid w:val="00097811"/>
    <w:rsid w:val="00097C90"/>
    <w:rsid w:val="00097F1A"/>
    <w:rsid w:val="00097F1D"/>
    <w:rsid w:val="000A0385"/>
    <w:rsid w:val="000A048B"/>
    <w:rsid w:val="000A0520"/>
    <w:rsid w:val="000A05B1"/>
    <w:rsid w:val="000A05B9"/>
    <w:rsid w:val="000A064D"/>
    <w:rsid w:val="000A06E9"/>
    <w:rsid w:val="000A0721"/>
    <w:rsid w:val="000A08F0"/>
    <w:rsid w:val="000A0925"/>
    <w:rsid w:val="000A0A08"/>
    <w:rsid w:val="000A0A0E"/>
    <w:rsid w:val="000A0A51"/>
    <w:rsid w:val="000A0BFA"/>
    <w:rsid w:val="000A0E8E"/>
    <w:rsid w:val="000A0F50"/>
    <w:rsid w:val="000A0F53"/>
    <w:rsid w:val="000A0F85"/>
    <w:rsid w:val="000A0F92"/>
    <w:rsid w:val="000A0FB7"/>
    <w:rsid w:val="000A1046"/>
    <w:rsid w:val="000A1220"/>
    <w:rsid w:val="000A135A"/>
    <w:rsid w:val="000A13BD"/>
    <w:rsid w:val="000A13D9"/>
    <w:rsid w:val="000A1490"/>
    <w:rsid w:val="000A14F7"/>
    <w:rsid w:val="000A14FE"/>
    <w:rsid w:val="000A18D8"/>
    <w:rsid w:val="000A1ADF"/>
    <w:rsid w:val="000A1B7A"/>
    <w:rsid w:val="000A1C06"/>
    <w:rsid w:val="000A1C5E"/>
    <w:rsid w:val="000A1D42"/>
    <w:rsid w:val="000A1E0A"/>
    <w:rsid w:val="000A2021"/>
    <w:rsid w:val="000A2038"/>
    <w:rsid w:val="000A221C"/>
    <w:rsid w:val="000A22EB"/>
    <w:rsid w:val="000A24B1"/>
    <w:rsid w:val="000A26D6"/>
    <w:rsid w:val="000A280A"/>
    <w:rsid w:val="000A284D"/>
    <w:rsid w:val="000A28F1"/>
    <w:rsid w:val="000A2B53"/>
    <w:rsid w:val="000A2C6B"/>
    <w:rsid w:val="000A2D0E"/>
    <w:rsid w:val="000A3055"/>
    <w:rsid w:val="000A317E"/>
    <w:rsid w:val="000A31B7"/>
    <w:rsid w:val="000A3287"/>
    <w:rsid w:val="000A3429"/>
    <w:rsid w:val="000A34AB"/>
    <w:rsid w:val="000A3576"/>
    <w:rsid w:val="000A3638"/>
    <w:rsid w:val="000A36ED"/>
    <w:rsid w:val="000A3873"/>
    <w:rsid w:val="000A387D"/>
    <w:rsid w:val="000A3A15"/>
    <w:rsid w:val="000A3A84"/>
    <w:rsid w:val="000A3E87"/>
    <w:rsid w:val="000A3F1C"/>
    <w:rsid w:val="000A3FDF"/>
    <w:rsid w:val="000A409C"/>
    <w:rsid w:val="000A4498"/>
    <w:rsid w:val="000A4543"/>
    <w:rsid w:val="000A46DA"/>
    <w:rsid w:val="000A4829"/>
    <w:rsid w:val="000A4B69"/>
    <w:rsid w:val="000A4C05"/>
    <w:rsid w:val="000A4D62"/>
    <w:rsid w:val="000A4D7F"/>
    <w:rsid w:val="000A4E7C"/>
    <w:rsid w:val="000A4EED"/>
    <w:rsid w:val="000A4F0C"/>
    <w:rsid w:val="000A4F30"/>
    <w:rsid w:val="000A5246"/>
    <w:rsid w:val="000A53A4"/>
    <w:rsid w:val="000A5402"/>
    <w:rsid w:val="000A55CC"/>
    <w:rsid w:val="000A562F"/>
    <w:rsid w:val="000A5763"/>
    <w:rsid w:val="000A577E"/>
    <w:rsid w:val="000A590E"/>
    <w:rsid w:val="000A5996"/>
    <w:rsid w:val="000A59EA"/>
    <w:rsid w:val="000A5E91"/>
    <w:rsid w:val="000A6406"/>
    <w:rsid w:val="000A6621"/>
    <w:rsid w:val="000A66D2"/>
    <w:rsid w:val="000A670B"/>
    <w:rsid w:val="000A68FD"/>
    <w:rsid w:val="000A69AB"/>
    <w:rsid w:val="000A6A56"/>
    <w:rsid w:val="000A6B72"/>
    <w:rsid w:val="000A6C32"/>
    <w:rsid w:val="000A6C4A"/>
    <w:rsid w:val="000A6DF9"/>
    <w:rsid w:val="000A6E30"/>
    <w:rsid w:val="000A708B"/>
    <w:rsid w:val="000A7245"/>
    <w:rsid w:val="000A7347"/>
    <w:rsid w:val="000A7396"/>
    <w:rsid w:val="000A73AC"/>
    <w:rsid w:val="000A74A9"/>
    <w:rsid w:val="000A750F"/>
    <w:rsid w:val="000A7550"/>
    <w:rsid w:val="000A7669"/>
    <w:rsid w:val="000A7683"/>
    <w:rsid w:val="000A769C"/>
    <w:rsid w:val="000A773D"/>
    <w:rsid w:val="000A7A61"/>
    <w:rsid w:val="000A7B43"/>
    <w:rsid w:val="000A7CB7"/>
    <w:rsid w:val="000A7CD1"/>
    <w:rsid w:val="000A7D5F"/>
    <w:rsid w:val="000A7FE5"/>
    <w:rsid w:val="000B00D8"/>
    <w:rsid w:val="000B03A7"/>
    <w:rsid w:val="000B03DF"/>
    <w:rsid w:val="000B04F8"/>
    <w:rsid w:val="000B0506"/>
    <w:rsid w:val="000B052A"/>
    <w:rsid w:val="000B059E"/>
    <w:rsid w:val="000B064A"/>
    <w:rsid w:val="000B0754"/>
    <w:rsid w:val="000B0BFF"/>
    <w:rsid w:val="000B0D6F"/>
    <w:rsid w:val="000B0D72"/>
    <w:rsid w:val="000B0EF2"/>
    <w:rsid w:val="000B0F4E"/>
    <w:rsid w:val="000B102C"/>
    <w:rsid w:val="000B1043"/>
    <w:rsid w:val="000B1069"/>
    <w:rsid w:val="000B118A"/>
    <w:rsid w:val="000B11A8"/>
    <w:rsid w:val="000B125F"/>
    <w:rsid w:val="000B138F"/>
    <w:rsid w:val="000B144F"/>
    <w:rsid w:val="000B1465"/>
    <w:rsid w:val="000B14D7"/>
    <w:rsid w:val="000B1551"/>
    <w:rsid w:val="000B15E2"/>
    <w:rsid w:val="000B15E9"/>
    <w:rsid w:val="000B1637"/>
    <w:rsid w:val="000B191D"/>
    <w:rsid w:val="000B198A"/>
    <w:rsid w:val="000B1BA8"/>
    <w:rsid w:val="000B1C9D"/>
    <w:rsid w:val="000B1D06"/>
    <w:rsid w:val="000B1E21"/>
    <w:rsid w:val="000B200D"/>
    <w:rsid w:val="000B2074"/>
    <w:rsid w:val="000B20DC"/>
    <w:rsid w:val="000B220D"/>
    <w:rsid w:val="000B24AE"/>
    <w:rsid w:val="000B2554"/>
    <w:rsid w:val="000B26AD"/>
    <w:rsid w:val="000B2A6C"/>
    <w:rsid w:val="000B2A8B"/>
    <w:rsid w:val="000B2B19"/>
    <w:rsid w:val="000B2CFC"/>
    <w:rsid w:val="000B2EF3"/>
    <w:rsid w:val="000B305C"/>
    <w:rsid w:val="000B3090"/>
    <w:rsid w:val="000B3107"/>
    <w:rsid w:val="000B3183"/>
    <w:rsid w:val="000B3349"/>
    <w:rsid w:val="000B3387"/>
    <w:rsid w:val="000B3457"/>
    <w:rsid w:val="000B345C"/>
    <w:rsid w:val="000B346F"/>
    <w:rsid w:val="000B35A0"/>
    <w:rsid w:val="000B3618"/>
    <w:rsid w:val="000B3733"/>
    <w:rsid w:val="000B3B7C"/>
    <w:rsid w:val="000B3CC7"/>
    <w:rsid w:val="000B3F16"/>
    <w:rsid w:val="000B43B4"/>
    <w:rsid w:val="000B43C2"/>
    <w:rsid w:val="000B4464"/>
    <w:rsid w:val="000B46B8"/>
    <w:rsid w:val="000B471C"/>
    <w:rsid w:val="000B4B16"/>
    <w:rsid w:val="000B4B9A"/>
    <w:rsid w:val="000B4D41"/>
    <w:rsid w:val="000B4DA5"/>
    <w:rsid w:val="000B4F0F"/>
    <w:rsid w:val="000B506A"/>
    <w:rsid w:val="000B509C"/>
    <w:rsid w:val="000B50C2"/>
    <w:rsid w:val="000B5358"/>
    <w:rsid w:val="000B5495"/>
    <w:rsid w:val="000B54AB"/>
    <w:rsid w:val="000B5841"/>
    <w:rsid w:val="000B58C2"/>
    <w:rsid w:val="000B58FA"/>
    <w:rsid w:val="000B5965"/>
    <w:rsid w:val="000B5BFB"/>
    <w:rsid w:val="000B5C1B"/>
    <w:rsid w:val="000B5C8D"/>
    <w:rsid w:val="000B5CAC"/>
    <w:rsid w:val="000B5D3D"/>
    <w:rsid w:val="000B5D58"/>
    <w:rsid w:val="000B603E"/>
    <w:rsid w:val="000B60B8"/>
    <w:rsid w:val="000B6185"/>
    <w:rsid w:val="000B62DE"/>
    <w:rsid w:val="000B6376"/>
    <w:rsid w:val="000B63DF"/>
    <w:rsid w:val="000B642A"/>
    <w:rsid w:val="000B6510"/>
    <w:rsid w:val="000B653F"/>
    <w:rsid w:val="000B6887"/>
    <w:rsid w:val="000B6888"/>
    <w:rsid w:val="000B692F"/>
    <w:rsid w:val="000B6969"/>
    <w:rsid w:val="000B6A29"/>
    <w:rsid w:val="000B6BC0"/>
    <w:rsid w:val="000B6CFD"/>
    <w:rsid w:val="000B6EF9"/>
    <w:rsid w:val="000B6FD8"/>
    <w:rsid w:val="000B71A4"/>
    <w:rsid w:val="000B71CF"/>
    <w:rsid w:val="000B728D"/>
    <w:rsid w:val="000B72B2"/>
    <w:rsid w:val="000B733E"/>
    <w:rsid w:val="000B7430"/>
    <w:rsid w:val="000B74CA"/>
    <w:rsid w:val="000B74D0"/>
    <w:rsid w:val="000B779C"/>
    <w:rsid w:val="000B77D6"/>
    <w:rsid w:val="000B7AD2"/>
    <w:rsid w:val="000B7B71"/>
    <w:rsid w:val="000B7BBB"/>
    <w:rsid w:val="000B7C10"/>
    <w:rsid w:val="000B7C9B"/>
    <w:rsid w:val="000B7D4F"/>
    <w:rsid w:val="000B7D72"/>
    <w:rsid w:val="000B7D92"/>
    <w:rsid w:val="000B7DE6"/>
    <w:rsid w:val="000B7F01"/>
    <w:rsid w:val="000B7F86"/>
    <w:rsid w:val="000C004C"/>
    <w:rsid w:val="000C00AA"/>
    <w:rsid w:val="000C017F"/>
    <w:rsid w:val="000C01A5"/>
    <w:rsid w:val="000C01E7"/>
    <w:rsid w:val="000C01EC"/>
    <w:rsid w:val="000C0266"/>
    <w:rsid w:val="000C029F"/>
    <w:rsid w:val="000C04E1"/>
    <w:rsid w:val="000C05D9"/>
    <w:rsid w:val="000C06D5"/>
    <w:rsid w:val="000C077E"/>
    <w:rsid w:val="000C08B8"/>
    <w:rsid w:val="000C0918"/>
    <w:rsid w:val="000C0B19"/>
    <w:rsid w:val="000C0BED"/>
    <w:rsid w:val="000C0D13"/>
    <w:rsid w:val="000C12F8"/>
    <w:rsid w:val="000C1308"/>
    <w:rsid w:val="000C1317"/>
    <w:rsid w:val="000C1325"/>
    <w:rsid w:val="000C1570"/>
    <w:rsid w:val="000C17D5"/>
    <w:rsid w:val="000C1EA5"/>
    <w:rsid w:val="000C1F05"/>
    <w:rsid w:val="000C1FF4"/>
    <w:rsid w:val="000C202D"/>
    <w:rsid w:val="000C2167"/>
    <w:rsid w:val="000C2309"/>
    <w:rsid w:val="000C230B"/>
    <w:rsid w:val="000C23BF"/>
    <w:rsid w:val="000C2728"/>
    <w:rsid w:val="000C2821"/>
    <w:rsid w:val="000C2A21"/>
    <w:rsid w:val="000C2A69"/>
    <w:rsid w:val="000C2ADB"/>
    <w:rsid w:val="000C2C1C"/>
    <w:rsid w:val="000C2C8E"/>
    <w:rsid w:val="000C3009"/>
    <w:rsid w:val="000C3140"/>
    <w:rsid w:val="000C3339"/>
    <w:rsid w:val="000C3350"/>
    <w:rsid w:val="000C33EC"/>
    <w:rsid w:val="000C3412"/>
    <w:rsid w:val="000C372C"/>
    <w:rsid w:val="000C3844"/>
    <w:rsid w:val="000C38D4"/>
    <w:rsid w:val="000C38D8"/>
    <w:rsid w:val="000C39CB"/>
    <w:rsid w:val="000C3A75"/>
    <w:rsid w:val="000C3C74"/>
    <w:rsid w:val="000C3CE2"/>
    <w:rsid w:val="000C3E51"/>
    <w:rsid w:val="000C3ED8"/>
    <w:rsid w:val="000C3F12"/>
    <w:rsid w:val="000C3F60"/>
    <w:rsid w:val="000C41C1"/>
    <w:rsid w:val="000C426A"/>
    <w:rsid w:val="000C4604"/>
    <w:rsid w:val="000C465C"/>
    <w:rsid w:val="000C4729"/>
    <w:rsid w:val="000C4941"/>
    <w:rsid w:val="000C4A67"/>
    <w:rsid w:val="000C4D35"/>
    <w:rsid w:val="000C4F90"/>
    <w:rsid w:val="000C5171"/>
    <w:rsid w:val="000C51DF"/>
    <w:rsid w:val="000C558D"/>
    <w:rsid w:val="000C55B1"/>
    <w:rsid w:val="000C55D1"/>
    <w:rsid w:val="000C55F2"/>
    <w:rsid w:val="000C5623"/>
    <w:rsid w:val="000C59BE"/>
    <w:rsid w:val="000C5A16"/>
    <w:rsid w:val="000C5C9C"/>
    <w:rsid w:val="000C5D40"/>
    <w:rsid w:val="000C5D47"/>
    <w:rsid w:val="000C5D61"/>
    <w:rsid w:val="000C5DF2"/>
    <w:rsid w:val="000C6013"/>
    <w:rsid w:val="000C61A7"/>
    <w:rsid w:val="000C620E"/>
    <w:rsid w:val="000C6284"/>
    <w:rsid w:val="000C637C"/>
    <w:rsid w:val="000C648A"/>
    <w:rsid w:val="000C6531"/>
    <w:rsid w:val="000C6639"/>
    <w:rsid w:val="000C66B3"/>
    <w:rsid w:val="000C687A"/>
    <w:rsid w:val="000C6A06"/>
    <w:rsid w:val="000C6A68"/>
    <w:rsid w:val="000C6AF0"/>
    <w:rsid w:val="000C6B08"/>
    <w:rsid w:val="000C6B2C"/>
    <w:rsid w:val="000C6E3F"/>
    <w:rsid w:val="000C6E4A"/>
    <w:rsid w:val="000C6E64"/>
    <w:rsid w:val="000C6ED8"/>
    <w:rsid w:val="000C6EF2"/>
    <w:rsid w:val="000C6F4E"/>
    <w:rsid w:val="000C70B3"/>
    <w:rsid w:val="000C713E"/>
    <w:rsid w:val="000C71FE"/>
    <w:rsid w:val="000C72FD"/>
    <w:rsid w:val="000C73F5"/>
    <w:rsid w:val="000C75B6"/>
    <w:rsid w:val="000C75B9"/>
    <w:rsid w:val="000C76B6"/>
    <w:rsid w:val="000C7749"/>
    <w:rsid w:val="000C779A"/>
    <w:rsid w:val="000C7802"/>
    <w:rsid w:val="000C7AFA"/>
    <w:rsid w:val="000C7B56"/>
    <w:rsid w:val="000C7E2C"/>
    <w:rsid w:val="000C7ECA"/>
    <w:rsid w:val="000C7FB7"/>
    <w:rsid w:val="000C7FD0"/>
    <w:rsid w:val="000D0045"/>
    <w:rsid w:val="000D009C"/>
    <w:rsid w:val="000D00AE"/>
    <w:rsid w:val="000D01EF"/>
    <w:rsid w:val="000D0289"/>
    <w:rsid w:val="000D02DF"/>
    <w:rsid w:val="000D0339"/>
    <w:rsid w:val="000D0427"/>
    <w:rsid w:val="000D04BD"/>
    <w:rsid w:val="000D04E2"/>
    <w:rsid w:val="000D070E"/>
    <w:rsid w:val="000D0812"/>
    <w:rsid w:val="000D08A1"/>
    <w:rsid w:val="000D09EF"/>
    <w:rsid w:val="000D0A01"/>
    <w:rsid w:val="000D0A48"/>
    <w:rsid w:val="000D0A79"/>
    <w:rsid w:val="000D0A8E"/>
    <w:rsid w:val="000D0C6D"/>
    <w:rsid w:val="000D0D9C"/>
    <w:rsid w:val="000D0E0F"/>
    <w:rsid w:val="000D0E79"/>
    <w:rsid w:val="000D0FCC"/>
    <w:rsid w:val="000D101B"/>
    <w:rsid w:val="000D108F"/>
    <w:rsid w:val="000D117E"/>
    <w:rsid w:val="000D1486"/>
    <w:rsid w:val="000D1585"/>
    <w:rsid w:val="000D15E3"/>
    <w:rsid w:val="000D19D9"/>
    <w:rsid w:val="000D1A7F"/>
    <w:rsid w:val="000D1C23"/>
    <w:rsid w:val="000D1E63"/>
    <w:rsid w:val="000D1E97"/>
    <w:rsid w:val="000D1EC6"/>
    <w:rsid w:val="000D2058"/>
    <w:rsid w:val="000D21C6"/>
    <w:rsid w:val="000D226C"/>
    <w:rsid w:val="000D2386"/>
    <w:rsid w:val="000D23B4"/>
    <w:rsid w:val="000D2593"/>
    <w:rsid w:val="000D288A"/>
    <w:rsid w:val="000D28ED"/>
    <w:rsid w:val="000D2BA1"/>
    <w:rsid w:val="000D2C20"/>
    <w:rsid w:val="000D2C56"/>
    <w:rsid w:val="000D35A6"/>
    <w:rsid w:val="000D35C3"/>
    <w:rsid w:val="000D35C8"/>
    <w:rsid w:val="000D382B"/>
    <w:rsid w:val="000D388B"/>
    <w:rsid w:val="000D3905"/>
    <w:rsid w:val="000D399A"/>
    <w:rsid w:val="000D39E1"/>
    <w:rsid w:val="000D3AC6"/>
    <w:rsid w:val="000D3BAF"/>
    <w:rsid w:val="000D3C9B"/>
    <w:rsid w:val="000D3CC4"/>
    <w:rsid w:val="000D3DC1"/>
    <w:rsid w:val="000D3FDB"/>
    <w:rsid w:val="000D4050"/>
    <w:rsid w:val="000D4139"/>
    <w:rsid w:val="000D4443"/>
    <w:rsid w:val="000D46A5"/>
    <w:rsid w:val="000D48CF"/>
    <w:rsid w:val="000D4A1E"/>
    <w:rsid w:val="000D4AD3"/>
    <w:rsid w:val="000D4B86"/>
    <w:rsid w:val="000D4D6F"/>
    <w:rsid w:val="000D5017"/>
    <w:rsid w:val="000D5432"/>
    <w:rsid w:val="000D56FF"/>
    <w:rsid w:val="000D59FB"/>
    <w:rsid w:val="000D5B1F"/>
    <w:rsid w:val="000D5BF6"/>
    <w:rsid w:val="000D5C37"/>
    <w:rsid w:val="000D5C39"/>
    <w:rsid w:val="000D5CC5"/>
    <w:rsid w:val="000D5FCD"/>
    <w:rsid w:val="000D6114"/>
    <w:rsid w:val="000D616E"/>
    <w:rsid w:val="000D6231"/>
    <w:rsid w:val="000D62AC"/>
    <w:rsid w:val="000D630A"/>
    <w:rsid w:val="000D63E6"/>
    <w:rsid w:val="000D6452"/>
    <w:rsid w:val="000D645F"/>
    <w:rsid w:val="000D659B"/>
    <w:rsid w:val="000D6647"/>
    <w:rsid w:val="000D6912"/>
    <w:rsid w:val="000D6943"/>
    <w:rsid w:val="000D6CBE"/>
    <w:rsid w:val="000D7083"/>
    <w:rsid w:val="000D71C4"/>
    <w:rsid w:val="000D7214"/>
    <w:rsid w:val="000D722F"/>
    <w:rsid w:val="000D724C"/>
    <w:rsid w:val="000D7402"/>
    <w:rsid w:val="000D7525"/>
    <w:rsid w:val="000D766D"/>
    <w:rsid w:val="000D77C5"/>
    <w:rsid w:val="000D78BA"/>
    <w:rsid w:val="000D78D4"/>
    <w:rsid w:val="000D78DA"/>
    <w:rsid w:val="000D7928"/>
    <w:rsid w:val="000D79F8"/>
    <w:rsid w:val="000D7A63"/>
    <w:rsid w:val="000D7CAB"/>
    <w:rsid w:val="000D7D91"/>
    <w:rsid w:val="000D7E0A"/>
    <w:rsid w:val="000D7EE5"/>
    <w:rsid w:val="000D7F30"/>
    <w:rsid w:val="000D7FD7"/>
    <w:rsid w:val="000DA1DA"/>
    <w:rsid w:val="000E004A"/>
    <w:rsid w:val="000E0052"/>
    <w:rsid w:val="000E0209"/>
    <w:rsid w:val="000E031F"/>
    <w:rsid w:val="000E0417"/>
    <w:rsid w:val="000E0465"/>
    <w:rsid w:val="000E056C"/>
    <w:rsid w:val="000E05CF"/>
    <w:rsid w:val="000E05FB"/>
    <w:rsid w:val="000E071D"/>
    <w:rsid w:val="000E08FF"/>
    <w:rsid w:val="000E0A12"/>
    <w:rsid w:val="000E0AB1"/>
    <w:rsid w:val="000E0B40"/>
    <w:rsid w:val="000E0C3A"/>
    <w:rsid w:val="000E0CB1"/>
    <w:rsid w:val="000E0DEF"/>
    <w:rsid w:val="000E105A"/>
    <w:rsid w:val="000E116B"/>
    <w:rsid w:val="000E11C0"/>
    <w:rsid w:val="000E12A5"/>
    <w:rsid w:val="000E14EF"/>
    <w:rsid w:val="000E15E0"/>
    <w:rsid w:val="000E1777"/>
    <w:rsid w:val="000E1865"/>
    <w:rsid w:val="000E1B62"/>
    <w:rsid w:val="000E1BA5"/>
    <w:rsid w:val="000E1BB3"/>
    <w:rsid w:val="000E1C36"/>
    <w:rsid w:val="000E2250"/>
    <w:rsid w:val="000E22B4"/>
    <w:rsid w:val="000E22E1"/>
    <w:rsid w:val="000E2642"/>
    <w:rsid w:val="000E2822"/>
    <w:rsid w:val="000E2868"/>
    <w:rsid w:val="000E28B5"/>
    <w:rsid w:val="000E28F8"/>
    <w:rsid w:val="000E292E"/>
    <w:rsid w:val="000E29E4"/>
    <w:rsid w:val="000E2A2A"/>
    <w:rsid w:val="000E2A79"/>
    <w:rsid w:val="000E2B3F"/>
    <w:rsid w:val="000E2C22"/>
    <w:rsid w:val="000E2C62"/>
    <w:rsid w:val="000E2E5D"/>
    <w:rsid w:val="000E2ED8"/>
    <w:rsid w:val="000E2F0D"/>
    <w:rsid w:val="000E2F4E"/>
    <w:rsid w:val="000E2F87"/>
    <w:rsid w:val="000E31BD"/>
    <w:rsid w:val="000E3237"/>
    <w:rsid w:val="000E344C"/>
    <w:rsid w:val="000E34B1"/>
    <w:rsid w:val="000E3A79"/>
    <w:rsid w:val="000E3C23"/>
    <w:rsid w:val="000E3D47"/>
    <w:rsid w:val="000E419A"/>
    <w:rsid w:val="000E42AE"/>
    <w:rsid w:val="000E42D0"/>
    <w:rsid w:val="000E4508"/>
    <w:rsid w:val="000E465E"/>
    <w:rsid w:val="000E478A"/>
    <w:rsid w:val="000E480D"/>
    <w:rsid w:val="000E4A04"/>
    <w:rsid w:val="000E4BFA"/>
    <w:rsid w:val="000E4BFD"/>
    <w:rsid w:val="000E4C66"/>
    <w:rsid w:val="000E4E5E"/>
    <w:rsid w:val="000E5057"/>
    <w:rsid w:val="000E51E8"/>
    <w:rsid w:val="000E52AC"/>
    <w:rsid w:val="000E5575"/>
    <w:rsid w:val="000E55F8"/>
    <w:rsid w:val="000E5725"/>
    <w:rsid w:val="000E59BB"/>
    <w:rsid w:val="000E5A95"/>
    <w:rsid w:val="000E5D3C"/>
    <w:rsid w:val="000E5D5C"/>
    <w:rsid w:val="000E5D62"/>
    <w:rsid w:val="000E5E5F"/>
    <w:rsid w:val="000E5EFC"/>
    <w:rsid w:val="000E602A"/>
    <w:rsid w:val="000E6130"/>
    <w:rsid w:val="000E6313"/>
    <w:rsid w:val="000E6589"/>
    <w:rsid w:val="000E65B7"/>
    <w:rsid w:val="000E678A"/>
    <w:rsid w:val="000E67CA"/>
    <w:rsid w:val="000E68EC"/>
    <w:rsid w:val="000E6C93"/>
    <w:rsid w:val="000E6DCC"/>
    <w:rsid w:val="000E6DD1"/>
    <w:rsid w:val="000E71C4"/>
    <w:rsid w:val="000E7352"/>
    <w:rsid w:val="000E744E"/>
    <w:rsid w:val="000E76E2"/>
    <w:rsid w:val="000E7840"/>
    <w:rsid w:val="000E7924"/>
    <w:rsid w:val="000E7A76"/>
    <w:rsid w:val="000E7CC6"/>
    <w:rsid w:val="000E7D25"/>
    <w:rsid w:val="000E7ECD"/>
    <w:rsid w:val="000E7F4B"/>
    <w:rsid w:val="000F0005"/>
    <w:rsid w:val="000F003E"/>
    <w:rsid w:val="000F0236"/>
    <w:rsid w:val="000F02BC"/>
    <w:rsid w:val="000F02E6"/>
    <w:rsid w:val="000F0512"/>
    <w:rsid w:val="000F062D"/>
    <w:rsid w:val="000F0690"/>
    <w:rsid w:val="000F0B90"/>
    <w:rsid w:val="000F0C0C"/>
    <w:rsid w:val="000F0C2D"/>
    <w:rsid w:val="000F0F2B"/>
    <w:rsid w:val="000F0FDB"/>
    <w:rsid w:val="000F1015"/>
    <w:rsid w:val="000F1092"/>
    <w:rsid w:val="000F13D1"/>
    <w:rsid w:val="000F1505"/>
    <w:rsid w:val="000F1541"/>
    <w:rsid w:val="000F1620"/>
    <w:rsid w:val="000F16E6"/>
    <w:rsid w:val="000F18E0"/>
    <w:rsid w:val="000F1996"/>
    <w:rsid w:val="000F1B62"/>
    <w:rsid w:val="000F1F41"/>
    <w:rsid w:val="000F2080"/>
    <w:rsid w:val="000F23E5"/>
    <w:rsid w:val="000F245E"/>
    <w:rsid w:val="000F2556"/>
    <w:rsid w:val="000F2791"/>
    <w:rsid w:val="000F284E"/>
    <w:rsid w:val="000F296F"/>
    <w:rsid w:val="000F29D2"/>
    <w:rsid w:val="000F2B20"/>
    <w:rsid w:val="000F2C3B"/>
    <w:rsid w:val="000F2D4D"/>
    <w:rsid w:val="000F2F7C"/>
    <w:rsid w:val="000F2FEC"/>
    <w:rsid w:val="000F3031"/>
    <w:rsid w:val="000F3122"/>
    <w:rsid w:val="000F3281"/>
    <w:rsid w:val="000F33DB"/>
    <w:rsid w:val="000F33E1"/>
    <w:rsid w:val="000F3486"/>
    <w:rsid w:val="000F366F"/>
    <w:rsid w:val="000F3843"/>
    <w:rsid w:val="000F39F0"/>
    <w:rsid w:val="000F3A97"/>
    <w:rsid w:val="000F3B23"/>
    <w:rsid w:val="000F3BFF"/>
    <w:rsid w:val="000F3DA1"/>
    <w:rsid w:val="000F3E0C"/>
    <w:rsid w:val="000F3F52"/>
    <w:rsid w:val="000F4003"/>
    <w:rsid w:val="000F4078"/>
    <w:rsid w:val="000F40CB"/>
    <w:rsid w:val="000F4637"/>
    <w:rsid w:val="000F4693"/>
    <w:rsid w:val="000F46D9"/>
    <w:rsid w:val="000F4782"/>
    <w:rsid w:val="000F493A"/>
    <w:rsid w:val="000F4B64"/>
    <w:rsid w:val="000F4E3A"/>
    <w:rsid w:val="000F4F08"/>
    <w:rsid w:val="000F4F19"/>
    <w:rsid w:val="000F510A"/>
    <w:rsid w:val="000F5208"/>
    <w:rsid w:val="000F54DE"/>
    <w:rsid w:val="000F5636"/>
    <w:rsid w:val="000F5711"/>
    <w:rsid w:val="000F5796"/>
    <w:rsid w:val="000F58E8"/>
    <w:rsid w:val="000F597D"/>
    <w:rsid w:val="000F59BA"/>
    <w:rsid w:val="000F59D9"/>
    <w:rsid w:val="000F5B6A"/>
    <w:rsid w:val="000F5C64"/>
    <w:rsid w:val="000F5C89"/>
    <w:rsid w:val="000F5E20"/>
    <w:rsid w:val="000F5FAE"/>
    <w:rsid w:val="000F5FE8"/>
    <w:rsid w:val="000F604A"/>
    <w:rsid w:val="000F608F"/>
    <w:rsid w:val="000F60A6"/>
    <w:rsid w:val="000F60B5"/>
    <w:rsid w:val="000F6194"/>
    <w:rsid w:val="000F620C"/>
    <w:rsid w:val="000F626F"/>
    <w:rsid w:val="000F6306"/>
    <w:rsid w:val="000F64BD"/>
    <w:rsid w:val="000F6534"/>
    <w:rsid w:val="000F65C8"/>
    <w:rsid w:val="000F66BB"/>
    <w:rsid w:val="000F6729"/>
    <w:rsid w:val="000F6765"/>
    <w:rsid w:val="000F6852"/>
    <w:rsid w:val="000F68C3"/>
    <w:rsid w:val="000F698A"/>
    <w:rsid w:val="000F69B7"/>
    <w:rsid w:val="000F6CC6"/>
    <w:rsid w:val="000F704B"/>
    <w:rsid w:val="000F7062"/>
    <w:rsid w:val="000F7189"/>
    <w:rsid w:val="000F72C0"/>
    <w:rsid w:val="000F75C2"/>
    <w:rsid w:val="000F7740"/>
    <w:rsid w:val="000F7990"/>
    <w:rsid w:val="000F79B4"/>
    <w:rsid w:val="000F7A65"/>
    <w:rsid w:val="000F7B86"/>
    <w:rsid w:val="000F7E2A"/>
    <w:rsid w:val="001000B6"/>
    <w:rsid w:val="00100119"/>
    <w:rsid w:val="00100296"/>
    <w:rsid w:val="0010050C"/>
    <w:rsid w:val="00100605"/>
    <w:rsid w:val="001006F1"/>
    <w:rsid w:val="001007F8"/>
    <w:rsid w:val="001008A8"/>
    <w:rsid w:val="00100931"/>
    <w:rsid w:val="0010096B"/>
    <w:rsid w:val="0010097F"/>
    <w:rsid w:val="00100A33"/>
    <w:rsid w:val="00100A38"/>
    <w:rsid w:val="00100A90"/>
    <w:rsid w:val="00100B7C"/>
    <w:rsid w:val="00100C17"/>
    <w:rsid w:val="00100E27"/>
    <w:rsid w:val="00100F0A"/>
    <w:rsid w:val="00100F2D"/>
    <w:rsid w:val="0010103E"/>
    <w:rsid w:val="001010AA"/>
    <w:rsid w:val="001010EA"/>
    <w:rsid w:val="00101325"/>
    <w:rsid w:val="00101428"/>
    <w:rsid w:val="00101443"/>
    <w:rsid w:val="0010167B"/>
    <w:rsid w:val="001016FF"/>
    <w:rsid w:val="001017F6"/>
    <w:rsid w:val="0010192E"/>
    <w:rsid w:val="00101B6E"/>
    <w:rsid w:val="00101C20"/>
    <w:rsid w:val="00101C56"/>
    <w:rsid w:val="00101D18"/>
    <w:rsid w:val="00101D7F"/>
    <w:rsid w:val="00101DA7"/>
    <w:rsid w:val="00101DD0"/>
    <w:rsid w:val="00101F23"/>
    <w:rsid w:val="00102117"/>
    <w:rsid w:val="00102159"/>
    <w:rsid w:val="00102456"/>
    <w:rsid w:val="001026D4"/>
    <w:rsid w:val="00102700"/>
    <w:rsid w:val="00102702"/>
    <w:rsid w:val="00102717"/>
    <w:rsid w:val="0010274C"/>
    <w:rsid w:val="0010275D"/>
    <w:rsid w:val="0010293F"/>
    <w:rsid w:val="00102B4A"/>
    <w:rsid w:val="00102C34"/>
    <w:rsid w:val="00102CEE"/>
    <w:rsid w:val="00102DC7"/>
    <w:rsid w:val="00102F52"/>
    <w:rsid w:val="00103053"/>
    <w:rsid w:val="00103071"/>
    <w:rsid w:val="00103092"/>
    <w:rsid w:val="00103121"/>
    <w:rsid w:val="0010322C"/>
    <w:rsid w:val="00103358"/>
    <w:rsid w:val="0010344D"/>
    <w:rsid w:val="0010361D"/>
    <w:rsid w:val="001036EA"/>
    <w:rsid w:val="0010374F"/>
    <w:rsid w:val="00103B1B"/>
    <w:rsid w:val="00103D19"/>
    <w:rsid w:val="00103E02"/>
    <w:rsid w:val="00103E0F"/>
    <w:rsid w:val="00103F2F"/>
    <w:rsid w:val="0010403B"/>
    <w:rsid w:val="0010403F"/>
    <w:rsid w:val="001040F3"/>
    <w:rsid w:val="00104260"/>
    <w:rsid w:val="001042AF"/>
    <w:rsid w:val="001044FA"/>
    <w:rsid w:val="00104723"/>
    <w:rsid w:val="00104864"/>
    <w:rsid w:val="00104B5E"/>
    <w:rsid w:val="00104BD0"/>
    <w:rsid w:val="00104D03"/>
    <w:rsid w:val="00104EE6"/>
    <w:rsid w:val="00104FC9"/>
    <w:rsid w:val="00105022"/>
    <w:rsid w:val="0010507C"/>
    <w:rsid w:val="001051C0"/>
    <w:rsid w:val="00105306"/>
    <w:rsid w:val="00105502"/>
    <w:rsid w:val="0010572D"/>
    <w:rsid w:val="00105804"/>
    <w:rsid w:val="00105806"/>
    <w:rsid w:val="00105830"/>
    <w:rsid w:val="0010586F"/>
    <w:rsid w:val="00105A18"/>
    <w:rsid w:val="00105AA0"/>
    <w:rsid w:val="00105B66"/>
    <w:rsid w:val="00105BE0"/>
    <w:rsid w:val="00105D87"/>
    <w:rsid w:val="00105EA0"/>
    <w:rsid w:val="00105EC5"/>
    <w:rsid w:val="00105ED1"/>
    <w:rsid w:val="00105F9B"/>
    <w:rsid w:val="00106049"/>
    <w:rsid w:val="001061FD"/>
    <w:rsid w:val="00106259"/>
    <w:rsid w:val="00106324"/>
    <w:rsid w:val="00106425"/>
    <w:rsid w:val="00106993"/>
    <w:rsid w:val="00106B39"/>
    <w:rsid w:val="00106DB8"/>
    <w:rsid w:val="00106E4F"/>
    <w:rsid w:val="00106ED4"/>
    <w:rsid w:val="00106F55"/>
    <w:rsid w:val="0010701C"/>
    <w:rsid w:val="0010702C"/>
    <w:rsid w:val="001074E0"/>
    <w:rsid w:val="001075C5"/>
    <w:rsid w:val="00107646"/>
    <w:rsid w:val="0010767E"/>
    <w:rsid w:val="00107769"/>
    <w:rsid w:val="00107959"/>
    <w:rsid w:val="00107A49"/>
    <w:rsid w:val="00107B71"/>
    <w:rsid w:val="00107DFE"/>
    <w:rsid w:val="00107E0E"/>
    <w:rsid w:val="00107E65"/>
    <w:rsid w:val="00107EB7"/>
    <w:rsid w:val="00107EE2"/>
    <w:rsid w:val="00107FD3"/>
    <w:rsid w:val="001101FB"/>
    <w:rsid w:val="0011027F"/>
    <w:rsid w:val="001102BE"/>
    <w:rsid w:val="00110447"/>
    <w:rsid w:val="001105CA"/>
    <w:rsid w:val="001105DA"/>
    <w:rsid w:val="001105E8"/>
    <w:rsid w:val="0011061D"/>
    <w:rsid w:val="00110862"/>
    <w:rsid w:val="00110945"/>
    <w:rsid w:val="001109E2"/>
    <w:rsid w:val="00110A0E"/>
    <w:rsid w:val="00110ADF"/>
    <w:rsid w:val="00110BFE"/>
    <w:rsid w:val="00110C02"/>
    <w:rsid w:val="00110C7F"/>
    <w:rsid w:val="00110D10"/>
    <w:rsid w:val="00110E4A"/>
    <w:rsid w:val="00110E80"/>
    <w:rsid w:val="00110F38"/>
    <w:rsid w:val="00110F9A"/>
    <w:rsid w:val="00110FB9"/>
    <w:rsid w:val="00111034"/>
    <w:rsid w:val="0011120E"/>
    <w:rsid w:val="0011133C"/>
    <w:rsid w:val="0011163C"/>
    <w:rsid w:val="00111674"/>
    <w:rsid w:val="00111A9E"/>
    <w:rsid w:val="00111E67"/>
    <w:rsid w:val="00111F21"/>
    <w:rsid w:val="00111FB2"/>
    <w:rsid w:val="001121DB"/>
    <w:rsid w:val="001121FE"/>
    <w:rsid w:val="001122BE"/>
    <w:rsid w:val="001123A8"/>
    <w:rsid w:val="0011240E"/>
    <w:rsid w:val="00112412"/>
    <w:rsid w:val="00112620"/>
    <w:rsid w:val="00112673"/>
    <w:rsid w:val="001126DB"/>
    <w:rsid w:val="00112831"/>
    <w:rsid w:val="00112B6C"/>
    <w:rsid w:val="00112CE4"/>
    <w:rsid w:val="00112D68"/>
    <w:rsid w:val="00112EC1"/>
    <w:rsid w:val="00112EF2"/>
    <w:rsid w:val="00112F63"/>
    <w:rsid w:val="00112F90"/>
    <w:rsid w:val="001131F2"/>
    <w:rsid w:val="0011321E"/>
    <w:rsid w:val="0011336D"/>
    <w:rsid w:val="00113477"/>
    <w:rsid w:val="0011348D"/>
    <w:rsid w:val="0011371D"/>
    <w:rsid w:val="00113AEF"/>
    <w:rsid w:val="00113D94"/>
    <w:rsid w:val="00113E81"/>
    <w:rsid w:val="00113EA8"/>
    <w:rsid w:val="0011401F"/>
    <w:rsid w:val="00114060"/>
    <w:rsid w:val="00114192"/>
    <w:rsid w:val="001141DA"/>
    <w:rsid w:val="0011432F"/>
    <w:rsid w:val="0011435D"/>
    <w:rsid w:val="001143BA"/>
    <w:rsid w:val="00114612"/>
    <w:rsid w:val="00114669"/>
    <w:rsid w:val="00114740"/>
    <w:rsid w:val="0011496A"/>
    <w:rsid w:val="00114A3B"/>
    <w:rsid w:val="00114CDE"/>
    <w:rsid w:val="00114D02"/>
    <w:rsid w:val="00115256"/>
    <w:rsid w:val="001152CC"/>
    <w:rsid w:val="001154F3"/>
    <w:rsid w:val="00115729"/>
    <w:rsid w:val="00115757"/>
    <w:rsid w:val="00115A6E"/>
    <w:rsid w:val="00115BE7"/>
    <w:rsid w:val="00115BF5"/>
    <w:rsid w:val="00115E18"/>
    <w:rsid w:val="00115E7C"/>
    <w:rsid w:val="00115EC7"/>
    <w:rsid w:val="00115F7F"/>
    <w:rsid w:val="0011602A"/>
    <w:rsid w:val="001160B7"/>
    <w:rsid w:val="0011616A"/>
    <w:rsid w:val="001161C7"/>
    <w:rsid w:val="00116588"/>
    <w:rsid w:val="00116599"/>
    <w:rsid w:val="001165AB"/>
    <w:rsid w:val="00116819"/>
    <w:rsid w:val="00116890"/>
    <w:rsid w:val="00116999"/>
    <w:rsid w:val="00116C01"/>
    <w:rsid w:val="00116C34"/>
    <w:rsid w:val="00116D10"/>
    <w:rsid w:val="00116E86"/>
    <w:rsid w:val="00116EC3"/>
    <w:rsid w:val="00116F00"/>
    <w:rsid w:val="00117001"/>
    <w:rsid w:val="00117177"/>
    <w:rsid w:val="00117230"/>
    <w:rsid w:val="0011726C"/>
    <w:rsid w:val="001173ED"/>
    <w:rsid w:val="0011761B"/>
    <w:rsid w:val="0011774B"/>
    <w:rsid w:val="00117B0C"/>
    <w:rsid w:val="00117C1E"/>
    <w:rsid w:val="00117C78"/>
    <w:rsid w:val="00117E74"/>
    <w:rsid w:val="00120186"/>
    <w:rsid w:val="0012024A"/>
    <w:rsid w:val="001202C5"/>
    <w:rsid w:val="001203E9"/>
    <w:rsid w:val="00120552"/>
    <w:rsid w:val="001205D5"/>
    <w:rsid w:val="00120605"/>
    <w:rsid w:val="001206AD"/>
    <w:rsid w:val="00120737"/>
    <w:rsid w:val="00120AC4"/>
    <w:rsid w:val="00120B0C"/>
    <w:rsid w:val="00120B16"/>
    <w:rsid w:val="00120B97"/>
    <w:rsid w:val="00120BCD"/>
    <w:rsid w:val="00120F4B"/>
    <w:rsid w:val="00121015"/>
    <w:rsid w:val="0012130A"/>
    <w:rsid w:val="001213C6"/>
    <w:rsid w:val="00121488"/>
    <w:rsid w:val="0012148D"/>
    <w:rsid w:val="00121564"/>
    <w:rsid w:val="001216B5"/>
    <w:rsid w:val="00121738"/>
    <w:rsid w:val="001217C7"/>
    <w:rsid w:val="001219AA"/>
    <w:rsid w:val="00121A85"/>
    <w:rsid w:val="00121ACA"/>
    <w:rsid w:val="00121B3A"/>
    <w:rsid w:val="00121BC5"/>
    <w:rsid w:val="00121CF9"/>
    <w:rsid w:val="00121D3D"/>
    <w:rsid w:val="00121D88"/>
    <w:rsid w:val="00121DC6"/>
    <w:rsid w:val="00121F40"/>
    <w:rsid w:val="0012215C"/>
    <w:rsid w:val="001222F3"/>
    <w:rsid w:val="0012250C"/>
    <w:rsid w:val="001225C7"/>
    <w:rsid w:val="00122827"/>
    <w:rsid w:val="001228B6"/>
    <w:rsid w:val="001228C2"/>
    <w:rsid w:val="001229BB"/>
    <w:rsid w:val="00122C4C"/>
    <w:rsid w:val="00122CC4"/>
    <w:rsid w:val="00122D79"/>
    <w:rsid w:val="00122E7C"/>
    <w:rsid w:val="00122EBA"/>
    <w:rsid w:val="00123031"/>
    <w:rsid w:val="0012304F"/>
    <w:rsid w:val="00123093"/>
    <w:rsid w:val="001231D3"/>
    <w:rsid w:val="0012323E"/>
    <w:rsid w:val="00123308"/>
    <w:rsid w:val="00123324"/>
    <w:rsid w:val="0012355D"/>
    <w:rsid w:val="0012366C"/>
    <w:rsid w:val="001238C9"/>
    <w:rsid w:val="00123A4A"/>
    <w:rsid w:val="00123AD3"/>
    <w:rsid w:val="00123B8C"/>
    <w:rsid w:val="00123D1B"/>
    <w:rsid w:val="00123DA1"/>
    <w:rsid w:val="00123DE6"/>
    <w:rsid w:val="00123F47"/>
    <w:rsid w:val="00123F97"/>
    <w:rsid w:val="00123FAB"/>
    <w:rsid w:val="0012435C"/>
    <w:rsid w:val="001243BA"/>
    <w:rsid w:val="001243F3"/>
    <w:rsid w:val="00124426"/>
    <w:rsid w:val="00124445"/>
    <w:rsid w:val="001244E1"/>
    <w:rsid w:val="00124523"/>
    <w:rsid w:val="001245F0"/>
    <w:rsid w:val="001247B8"/>
    <w:rsid w:val="0012480A"/>
    <w:rsid w:val="00124C38"/>
    <w:rsid w:val="00124CE4"/>
    <w:rsid w:val="0012504C"/>
    <w:rsid w:val="00125090"/>
    <w:rsid w:val="00125109"/>
    <w:rsid w:val="001251EC"/>
    <w:rsid w:val="00125345"/>
    <w:rsid w:val="0012543D"/>
    <w:rsid w:val="001254C4"/>
    <w:rsid w:val="00125524"/>
    <w:rsid w:val="00125558"/>
    <w:rsid w:val="0012568E"/>
    <w:rsid w:val="00125695"/>
    <w:rsid w:val="001256E3"/>
    <w:rsid w:val="00125783"/>
    <w:rsid w:val="001257AC"/>
    <w:rsid w:val="0012581B"/>
    <w:rsid w:val="00125B42"/>
    <w:rsid w:val="00125B56"/>
    <w:rsid w:val="00125BF2"/>
    <w:rsid w:val="00125C8A"/>
    <w:rsid w:val="00125E9F"/>
    <w:rsid w:val="00125EA9"/>
    <w:rsid w:val="00126034"/>
    <w:rsid w:val="00126126"/>
    <w:rsid w:val="00126144"/>
    <w:rsid w:val="001264A3"/>
    <w:rsid w:val="001265DD"/>
    <w:rsid w:val="00126861"/>
    <w:rsid w:val="001268A3"/>
    <w:rsid w:val="001268BA"/>
    <w:rsid w:val="00126CBC"/>
    <w:rsid w:val="00126D32"/>
    <w:rsid w:val="00126D68"/>
    <w:rsid w:val="00127015"/>
    <w:rsid w:val="001271A4"/>
    <w:rsid w:val="00127212"/>
    <w:rsid w:val="0012722E"/>
    <w:rsid w:val="001273F2"/>
    <w:rsid w:val="00127681"/>
    <w:rsid w:val="001276AA"/>
    <w:rsid w:val="00127724"/>
    <w:rsid w:val="00127739"/>
    <w:rsid w:val="00127A48"/>
    <w:rsid w:val="00127A92"/>
    <w:rsid w:val="00127A93"/>
    <w:rsid w:val="00127B63"/>
    <w:rsid w:val="00127E31"/>
    <w:rsid w:val="00127EA9"/>
    <w:rsid w:val="00127F92"/>
    <w:rsid w:val="00130187"/>
    <w:rsid w:val="00130260"/>
    <w:rsid w:val="0013036E"/>
    <w:rsid w:val="0013040D"/>
    <w:rsid w:val="00130572"/>
    <w:rsid w:val="00130869"/>
    <w:rsid w:val="00130A56"/>
    <w:rsid w:val="00130C27"/>
    <w:rsid w:val="00130C35"/>
    <w:rsid w:val="00130CD4"/>
    <w:rsid w:val="00130D2B"/>
    <w:rsid w:val="00130DA4"/>
    <w:rsid w:val="00130E45"/>
    <w:rsid w:val="00130EF4"/>
    <w:rsid w:val="00130F6C"/>
    <w:rsid w:val="00130FAC"/>
    <w:rsid w:val="00130FAE"/>
    <w:rsid w:val="00131028"/>
    <w:rsid w:val="001312D2"/>
    <w:rsid w:val="001315B3"/>
    <w:rsid w:val="00131676"/>
    <w:rsid w:val="0013168F"/>
    <w:rsid w:val="0013187B"/>
    <w:rsid w:val="0013188D"/>
    <w:rsid w:val="00131B07"/>
    <w:rsid w:val="00131B65"/>
    <w:rsid w:val="00131B79"/>
    <w:rsid w:val="00131BD2"/>
    <w:rsid w:val="00131FF6"/>
    <w:rsid w:val="0013202A"/>
    <w:rsid w:val="00132106"/>
    <w:rsid w:val="0013215E"/>
    <w:rsid w:val="001321D6"/>
    <w:rsid w:val="0013237F"/>
    <w:rsid w:val="001323CA"/>
    <w:rsid w:val="001326EE"/>
    <w:rsid w:val="001326FF"/>
    <w:rsid w:val="001327DE"/>
    <w:rsid w:val="00132A5F"/>
    <w:rsid w:val="00132AA9"/>
    <w:rsid w:val="00132B09"/>
    <w:rsid w:val="00132BF6"/>
    <w:rsid w:val="00132F28"/>
    <w:rsid w:val="00132FDA"/>
    <w:rsid w:val="0013336B"/>
    <w:rsid w:val="00133535"/>
    <w:rsid w:val="00133783"/>
    <w:rsid w:val="001338F8"/>
    <w:rsid w:val="0013399A"/>
    <w:rsid w:val="00133A95"/>
    <w:rsid w:val="00133ABE"/>
    <w:rsid w:val="00133AC7"/>
    <w:rsid w:val="00133CC9"/>
    <w:rsid w:val="00133DA6"/>
    <w:rsid w:val="00133EA2"/>
    <w:rsid w:val="00133F27"/>
    <w:rsid w:val="00133F3F"/>
    <w:rsid w:val="00133FD2"/>
    <w:rsid w:val="00133FE7"/>
    <w:rsid w:val="00134090"/>
    <w:rsid w:val="001340E4"/>
    <w:rsid w:val="001340E9"/>
    <w:rsid w:val="001340FB"/>
    <w:rsid w:val="00134290"/>
    <w:rsid w:val="001343E9"/>
    <w:rsid w:val="00134482"/>
    <w:rsid w:val="0013458A"/>
    <w:rsid w:val="0013469B"/>
    <w:rsid w:val="001346CE"/>
    <w:rsid w:val="00134858"/>
    <w:rsid w:val="0013496E"/>
    <w:rsid w:val="00134AC7"/>
    <w:rsid w:val="00134DD9"/>
    <w:rsid w:val="00134EC9"/>
    <w:rsid w:val="00134FA6"/>
    <w:rsid w:val="0013513D"/>
    <w:rsid w:val="0013514A"/>
    <w:rsid w:val="001352EE"/>
    <w:rsid w:val="001354BF"/>
    <w:rsid w:val="001355C5"/>
    <w:rsid w:val="00135642"/>
    <w:rsid w:val="001358EC"/>
    <w:rsid w:val="00135923"/>
    <w:rsid w:val="0013594B"/>
    <w:rsid w:val="0013596F"/>
    <w:rsid w:val="00135B63"/>
    <w:rsid w:val="00135C9B"/>
    <w:rsid w:val="00135E3D"/>
    <w:rsid w:val="00135F05"/>
    <w:rsid w:val="00135FF4"/>
    <w:rsid w:val="001360EE"/>
    <w:rsid w:val="001361CD"/>
    <w:rsid w:val="00136227"/>
    <w:rsid w:val="00136595"/>
    <w:rsid w:val="001365C3"/>
    <w:rsid w:val="0013680A"/>
    <w:rsid w:val="00136882"/>
    <w:rsid w:val="00136C56"/>
    <w:rsid w:val="00136D89"/>
    <w:rsid w:val="00136DAB"/>
    <w:rsid w:val="00136DB1"/>
    <w:rsid w:val="00136EBB"/>
    <w:rsid w:val="00137123"/>
    <w:rsid w:val="001371A0"/>
    <w:rsid w:val="00137240"/>
    <w:rsid w:val="0013727E"/>
    <w:rsid w:val="001373AF"/>
    <w:rsid w:val="0013744A"/>
    <w:rsid w:val="001374DE"/>
    <w:rsid w:val="00137546"/>
    <w:rsid w:val="00137B09"/>
    <w:rsid w:val="00137B41"/>
    <w:rsid w:val="00137BCA"/>
    <w:rsid w:val="00137D6B"/>
    <w:rsid w:val="00140173"/>
    <w:rsid w:val="00140438"/>
    <w:rsid w:val="001404E8"/>
    <w:rsid w:val="001405F6"/>
    <w:rsid w:val="001406F7"/>
    <w:rsid w:val="001407A8"/>
    <w:rsid w:val="0014086F"/>
    <w:rsid w:val="0014090F"/>
    <w:rsid w:val="00140C24"/>
    <w:rsid w:val="00140D47"/>
    <w:rsid w:val="00140EA4"/>
    <w:rsid w:val="001410A5"/>
    <w:rsid w:val="001410D5"/>
    <w:rsid w:val="00141222"/>
    <w:rsid w:val="00141266"/>
    <w:rsid w:val="001416BE"/>
    <w:rsid w:val="001416CA"/>
    <w:rsid w:val="00141B6B"/>
    <w:rsid w:val="00141BB1"/>
    <w:rsid w:val="00141BBF"/>
    <w:rsid w:val="00141D5C"/>
    <w:rsid w:val="00141DC3"/>
    <w:rsid w:val="00141E81"/>
    <w:rsid w:val="00141F94"/>
    <w:rsid w:val="00141FB7"/>
    <w:rsid w:val="00142039"/>
    <w:rsid w:val="00142051"/>
    <w:rsid w:val="0014214C"/>
    <w:rsid w:val="00142168"/>
    <w:rsid w:val="0014221A"/>
    <w:rsid w:val="001424B5"/>
    <w:rsid w:val="00142565"/>
    <w:rsid w:val="00142625"/>
    <w:rsid w:val="00142876"/>
    <w:rsid w:val="001429E1"/>
    <w:rsid w:val="00142BAB"/>
    <w:rsid w:val="00142BE7"/>
    <w:rsid w:val="00142BEF"/>
    <w:rsid w:val="00142C67"/>
    <w:rsid w:val="00142CEE"/>
    <w:rsid w:val="00142D68"/>
    <w:rsid w:val="00142F0A"/>
    <w:rsid w:val="0014300D"/>
    <w:rsid w:val="00143051"/>
    <w:rsid w:val="001431B4"/>
    <w:rsid w:val="0014321E"/>
    <w:rsid w:val="001432C5"/>
    <w:rsid w:val="001433D6"/>
    <w:rsid w:val="001434B8"/>
    <w:rsid w:val="00143525"/>
    <w:rsid w:val="00143542"/>
    <w:rsid w:val="0014359C"/>
    <w:rsid w:val="001435EE"/>
    <w:rsid w:val="00143636"/>
    <w:rsid w:val="001438CE"/>
    <w:rsid w:val="00143955"/>
    <w:rsid w:val="00143A77"/>
    <w:rsid w:val="00143A9B"/>
    <w:rsid w:val="00143AA2"/>
    <w:rsid w:val="00143B0D"/>
    <w:rsid w:val="00143B34"/>
    <w:rsid w:val="00143BC7"/>
    <w:rsid w:val="00143D0B"/>
    <w:rsid w:val="00143D1E"/>
    <w:rsid w:val="00143D87"/>
    <w:rsid w:val="00143DFE"/>
    <w:rsid w:val="00144452"/>
    <w:rsid w:val="00144507"/>
    <w:rsid w:val="00144583"/>
    <w:rsid w:val="001445AC"/>
    <w:rsid w:val="001449A3"/>
    <w:rsid w:val="00144A9D"/>
    <w:rsid w:val="00144BA3"/>
    <w:rsid w:val="00144BD0"/>
    <w:rsid w:val="00144DBA"/>
    <w:rsid w:val="00144E61"/>
    <w:rsid w:val="00144FD0"/>
    <w:rsid w:val="00145233"/>
    <w:rsid w:val="0014525C"/>
    <w:rsid w:val="0014556A"/>
    <w:rsid w:val="001456C1"/>
    <w:rsid w:val="001458D5"/>
    <w:rsid w:val="00145A15"/>
    <w:rsid w:val="00145A33"/>
    <w:rsid w:val="00145A4D"/>
    <w:rsid w:val="00145A6E"/>
    <w:rsid w:val="00145B4B"/>
    <w:rsid w:val="00145BFB"/>
    <w:rsid w:val="00145D39"/>
    <w:rsid w:val="00145F7D"/>
    <w:rsid w:val="00145F82"/>
    <w:rsid w:val="001460FD"/>
    <w:rsid w:val="00146135"/>
    <w:rsid w:val="001461E1"/>
    <w:rsid w:val="001461E3"/>
    <w:rsid w:val="0014622A"/>
    <w:rsid w:val="00146479"/>
    <w:rsid w:val="00146533"/>
    <w:rsid w:val="001467AF"/>
    <w:rsid w:val="0014688D"/>
    <w:rsid w:val="001469E3"/>
    <w:rsid w:val="00146BF4"/>
    <w:rsid w:val="00146C8F"/>
    <w:rsid w:val="00146DC3"/>
    <w:rsid w:val="00146E31"/>
    <w:rsid w:val="0014703E"/>
    <w:rsid w:val="0014726A"/>
    <w:rsid w:val="001473B8"/>
    <w:rsid w:val="001473B9"/>
    <w:rsid w:val="00147411"/>
    <w:rsid w:val="001474B3"/>
    <w:rsid w:val="001474EE"/>
    <w:rsid w:val="00147748"/>
    <w:rsid w:val="0014774B"/>
    <w:rsid w:val="00147880"/>
    <w:rsid w:val="00147B1B"/>
    <w:rsid w:val="00147C8B"/>
    <w:rsid w:val="00147C95"/>
    <w:rsid w:val="00147E39"/>
    <w:rsid w:val="00147E96"/>
    <w:rsid w:val="00150017"/>
    <w:rsid w:val="0015025A"/>
    <w:rsid w:val="0015028C"/>
    <w:rsid w:val="0015058E"/>
    <w:rsid w:val="0015066B"/>
    <w:rsid w:val="00150711"/>
    <w:rsid w:val="0015072A"/>
    <w:rsid w:val="001509C0"/>
    <w:rsid w:val="00150AB9"/>
    <w:rsid w:val="00150B80"/>
    <w:rsid w:val="00150BC0"/>
    <w:rsid w:val="00150C9D"/>
    <w:rsid w:val="00150CD7"/>
    <w:rsid w:val="00150DB9"/>
    <w:rsid w:val="00150F18"/>
    <w:rsid w:val="001510EF"/>
    <w:rsid w:val="00151231"/>
    <w:rsid w:val="00151413"/>
    <w:rsid w:val="00151656"/>
    <w:rsid w:val="00151685"/>
    <w:rsid w:val="00151797"/>
    <w:rsid w:val="00151966"/>
    <w:rsid w:val="00151B5E"/>
    <w:rsid w:val="00151CA7"/>
    <w:rsid w:val="00152148"/>
    <w:rsid w:val="00152246"/>
    <w:rsid w:val="001523E1"/>
    <w:rsid w:val="0015255D"/>
    <w:rsid w:val="0015259A"/>
    <w:rsid w:val="00152648"/>
    <w:rsid w:val="00152713"/>
    <w:rsid w:val="0015284D"/>
    <w:rsid w:val="00152960"/>
    <w:rsid w:val="00152B6D"/>
    <w:rsid w:val="00152BBE"/>
    <w:rsid w:val="00152D3A"/>
    <w:rsid w:val="00152F06"/>
    <w:rsid w:val="00152F1C"/>
    <w:rsid w:val="0015316C"/>
    <w:rsid w:val="001532A7"/>
    <w:rsid w:val="001534D9"/>
    <w:rsid w:val="001535CA"/>
    <w:rsid w:val="0015363D"/>
    <w:rsid w:val="0015368D"/>
    <w:rsid w:val="0015380D"/>
    <w:rsid w:val="001539C9"/>
    <w:rsid w:val="00153AE3"/>
    <w:rsid w:val="00153BD3"/>
    <w:rsid w:val="00153C0E"/>
    <w:rsid w:val="00153E63"/>
    <w:rsid w:val="00154257"/>
    <w:rsid w:val="00154389"/>
    <w:rsid w:val="001546BC"/>
    <w:rsid w:val="0015497B"/>
    <w:rsid w:val="00154A24"/>
    <w:rsid w:val="00154B2D"/>
    <w:rsid w:val="00154B7C"/>
    <w:rsid w:val="00154B9A"/>
    <w:rsid w:val="00154BBE"/>
    <w:rsid w:val="00154BFF"/>
    <w:rsid w:val="00154D0B"/>
    <w:rsid w:val="00154E5F"/>
    <w:rsid w:val="00154FD8"/>
    <w:rsid w:val="00155006"/>
    <w:rsid w:val="001552B6"/>
    <w:rsid w:val="001552B7"/>
    <w:rsid w:val="0015531B"/>
    <w:rsid w:val="0015538D"/>
    <w:rsid w:val="00155474"/>
    <w:rsid w:val="00155677"/>
    <w:rsid w:val="001558A9"/>
    <w:rsid w:val="001558B7"/>
    <w:rsid w:val="00155C56"/>
    <w:rsid w:val="00155CE4"/>
    <w:rsid w:val="001560DE"/>
    <w:rsid w:val="0015618B"/>
    <w:rsid w:val="00156233"/>
    <w:rsid w:val="0015671B"/>
    <w:rsid w:val="00156870"/>
    <w:rsid w:val="00156991"/>
    <w:rsid w:val="00156AFA"/>
    <w:rsid w:val="00156D3A"/>
    <w:rsid w:val="00156DC2"/>
    <w:rsid w:val="00156E52"/>
    <w:rsid w:val="00156F04"/>
    <w:rsid w:val="00156FA2"/>
    <w:rsid w:val="00156FD9"/>
    <w:rsid w:val="0015729F"/>
    <w:rsid w:val="00157364"/>
    <w:rsid w:val="00157366"/>
    <w:rsid w:val="00157568"/>
    <w:rsid w:val="001575A4"/>
    <w:rsid w:val="00157602"/>
    <w:rsid w:val="00157609"/>
    <w:rsid w:val="001579A3"/>
    <w:rsid w:val="001579BF"/>
    <w:rsid w:val="00157B78"/>
    <w:rsid w:val="00157CB3"/>
    <w:rsid w:val="001601AC"/>
    <w:rsid w:val="001601B0"/>
    <w:rsid w:val="00160300"/>
    <w:rsid w:val="0016035E"/>
    <w:rsid w:val="00160400"/>
    <w:rsid w:val="00160685"/>
    <w:rsid w:val="001606CF"/>
    <w:rsid w:val="0016074E"/>
    <w:rsid w:val="001607BF"/>
    <w:rsid w:val="001609E8"/>
    <w:rsid w:val="00160B10"/>
    <w:rsid w:val="00160BA0"/>
    <w:rsid w:val="00160C69"/>
    <w:rsid w:val="00160C7F"/>
    <w:rsid w:val="00160D9B"/>
    <w:rsid w:val="00160DC4"/>
    <w:rsid w:val="00160FA3"/>
    <w:rsid w:val="001610DE"/>
    <w:rsid w:val="00161221"/>
    <w:rsid w:val="0016137D"/>
    <w:rsid w:val="001614A9"/>
    <w:rsid w:val="001617BD"/>
    <w:rsid w:val="00161869"/>
    <w:rsid w:val="001618F4"/>
    <w:rsid w:val="0016190A"/>
    <w:rsid w:val="00161A07"/>
    <w:rsid w:val="00161AB6"/>
    <w:rsid w:val="00161BC1"/>
    <w:rsid w:val="00161E53"/>
    <w:rsid w:val="00161E75"/>
    <w:rsid w:val="00161F76"/>
    <w:rsid w:val="001621CC"/>
    <w:rsid w:val="00162377"/>
    <w:rsid w:val="001624EB"/>
    <w:rsid w:val="001625E3"/>
    <w:rsid w:val="00162639"/>
    <w:rsid w:val="001627BF"/>
    <w:rsid w:val="00162891"/>
    <w:rsid w:val="00162BC9"/>
    <w:rsid w:val="00162C04"/>
    <w:rsid w:val="00162D57"/>
    <w:rsid w:val="00162FA8"/>
    <w:rsid w:val="0016304A"/>
    <w:rsid w:val="00163216"/>
    <w:rsid w:val="0016328C"/>
    <w:rsid w:val="0016339C"/>
    <w:rsid w:val="00163555"/>
    <w:rsid w:val="00163598"/>
    <w:rsid w:val="001636D6"/>
    <w:rsid w:val="0016390A"/>
    <w:rsid w:val="0016392F"/>
    <w:rsid w:val="00163D46"/>
    <w:rsid w:val="00163E77"/>
    <w:rsid w:val="00163F1A"/>
    <w:rsid w:val="00163F81"/>
    <w:rsid w:val="00163F99"/>
    <w:rsid w:val="00164336"/>
    <w:rsid w:val="001644BC"/>
    <w:rsid w:val="001646D3"/>
    <w:rsid w:val="001647FF"/>
    <w:rsid w:val="00164902"/>
    <w:rsid w:val="00164962"/>
    <w:rsid w:val="00164DBE"/>
    <w:rsid w:val="00164DF4"/>
    <w:rsid w:val="00164E54"/>
    <w:rsid w:val="001650A0"/>
    <w:rsid w:val="0016522C"/>
    <w:rsid w:val="001652B9"/>
    <w:rsid w:val="0016543A"/>
    <w:rsid w:val="001655ED"/>
    <w:rsid w:val="00165704"/>
    <w:rsid w:val="0016594E"/>
    <w:rsid w:val="0016597D"/>
    <w:rsid w:val="001659BD"/>
    <w:rsid w:val="00165AFE"/>
    <w:rsid w:val="00165B8F"/>
    <w:rsid w:val="00165CD4"/>
    <w:rsid w:val="00165F92"/>
    <w:rsid w:val="001660B5"/>
    <w:rsid w:val="00166115"/>
    <w:rsid w:val="00166263"/>
    <w:rsid w:val="00166400"/>
    <w:rsid w:val="001665B8"/>
    <w:rsid w:val="001665BB"/>
    <w:rsid w:val="001665C5"/>
    <w:rsid w:val="00166618"/>
    <w:rsid w:val="00166966"/>
    <w:rsid w:val="00166B02"/>
    <w:rsid w:val="00166EBF"/>
    <w:rsid w:val="00166EDA"/>
    <w:rsid w:val="00166EF9"/>
    <w:rsid w:val="00166F14"/>
    <w:rsid w:val="00166FDA"/>
    <w:rsid w:val="00167235"/>
    <w:rsid w:val="0016753E"/>
    <w:rsid w:val="00167568"/>
    <w:rsid w:val="001675D2"/>
    <w:rsid w:val="00167685"/>
    <w:rsid w:val="00167696"/>
    <w:rsid w:val="00167770"/>
    <w:rsid w:val="00167858"/>
    <w:rsid w:val="0016785B"/>
    <w:rsid w:val="001678C2"/>
    <w:rsid w:val="0016799B"/>
    <w:rsid w:val="001679AD"/>
    <w:rsid w:val="00167E1F"/>
    <w:rsid w:val="0017028C"/>
    <w:rsid w:val="00170329"/>
    <w:rsid w:val="001703CB"/>
    <w:rsid w:val="00170467"/>
    <w:rsid w:val="001704B3"/>
    <w:rsid w:val="0017051A"/>
    <w:rsid w:val="00170745"/>
    <w:rsid w:val="00170A2A"/>
    <w:rsid w:val="00170B08"/>
    <w:rsid w:val="00170B70"/>
    <w:rsid w:val="00170BF0"/>
    <w:rsid w:val="001710BF"/>
    <w:rsid w:val="00171271"/>
    <w:rsid w:val="001715DE"/>
    <w:rsid w:val="00171790"/>
    <w:rsid w:val="001717AB"/>
    <w:rsid w:val="001719B6"/>
    <w:rsid w:val="00171AD9"/>
    <w:rsid w:val="00171B6D"/>
    <w:rsid w:val="00171D58"/>
    <w:rsid w:val="00171DE6"/>
    <w:rsid w:val="00171E4D"/>
    <w:rsid w:val="00171E5C"/>
    <w:rsid w:val="00171F18"/>
    <w:rsid w:val="00171F5C"/>
    <w:rsid w:val="0017208E"/>
    <w:rsid w:val="00172135"/>
    <w:rsid w:val="00172385"/>
    <w:rsid w:val="00172480"/>
    <w:rsid w:val="00172502"/>
    <w:rsid w:val="00172640"/>
    <w:rsid w:val="0017267E"/>
    <w:rsid w:val="00172912"/>
    <w:rsid w:val="0017295D"/>
    <w:rsid w:val="00172B82"/>
    <w:rsid w:val="00172BF1"/>
    <w:rsid w:val="00172DFE"/>
    <w:rsid w:val="00173032"/>
    <w:rsid w:val="001731E6"/>
    <w:rsid w:val="00173226"/>
    <w:rsid w:val="001732F6"/>
    <w:rsid w:val="00173541"/>
    <w:rsid w:val="00173579"/>
    <w:rsid w:val="001735E9"/>
    <w:rsid w:val="001737BF"/>
    <w:rsid w:val="0017389A"/>
    <w:rsid w:val="00173923"/>
    <w:rsid w:val="00173A4B"/>
    <w:rsid w:val="00173B8C"/>
    <w:rsid w:val="00173BE6"/>
    <w:rsid w:val="00173C3A"/>
    <w:rsid w:val="00173CE9"/>
    <w:rsid w:val="00174054"/>
    <w:rsid w:val="001741B2"/>
    <w:rsid w:val="00174247"/>
    <w:rsid w:val="001742E2"/>
    <w:rsid w:val="00174613"/>
    <w:rsid w:val="001746DD"/>
    <w:rsid w:val="00174744"/>
    <w:rsid w:val="00174774"/>
    <w:rsid w:val="00174855"/>
    <w:rsid w:val="001748D1"/>
    <w:rsid w:val="00174AF9"/>
    <w:rsid w:val="00174B1A"/>
    <w:rsid w:val="00174B29"/>
    <w:rsid w:val="00174BFB"/>
    <w:rsid w:val="00174D5B"/>
    <w:rsid w:val="00174D74"/>
    <w:rsid w:val="00174F32"/>
    <w:rsid w:val="00175219"/>
    <w:rsid w:val="00175390"/>
    <w:rsid w:val="001754E3"/>
    <w:rsid w:val="00175628"/>
    <w:rsid w:val="001757B9"/>
    <w:rsid w:val="001758C2"/>
    <w:rsid w:val="00175925"/>
    <w:rsid w:val="00175C39"/>
    <w:rsid w:val="00175CF2"/>
    <w:rsid w:val="00175DED"/>
    <w:rsid w:val="00175E0B"/>
    <w:rsid w:val="00175FEF"/>
    <w:rsid w:val="00176137"/>
    <w:rsid w:val="001761E0"/>
    <w:rsid w:val="001762C6"/>
    <w:rsid w:val="0017638F"/>
    <w:rsid w:val="00176413"/>
    <w:rsid w:val="001764DB"/>
    <w:rsid w:val="0017654B"/>
    <w:rsid w:val="00176740"/>
    <w:rsid w:val="00176AAE"/>
    <w:rsid w:val="00176B94"/>
    <w:rsid w:val="00176BBC"/>
    <w:rsid w:val="00176C2B"/>
    <w:rsid w:val="00176CCB"/>
    <w:rsid w:val="00176E26"/>
    <w:rsid w:val="00176FD2"/>
    <w:rsid w:val="001770C0"/>
    <w:rsid w:val="00177312"/>
    <w:rsid w:val="0017776D"/>
    <w:rsid w:val="001777E7"/>
    <w:rsid w:val="00177831"/>
    <w:rsid w:val="001778A7"/>
    <w:rsid w:val="001778B5"/>
    <w:rsid w:val="00177AF7"/>
    <w:rsid w:val="00177BA9"/>
    <w:rsid w:val="00177F29"/>
    <w:rsid w:val="00177FBC"/>
    <w:rsid w:val="00180129"/>
    <w:rsid w:val="001801F6"/>
    <w:rsid w:val="001802CE"/>
    <w:rsid w:val="001802FC"/>
    <w:rsid w:val="001806AE"/>
    <w:rsid w:val="001806C3"/>
    <w:rsid w:val="0018089B"/>
    <w:rsid w:val="001808EA"/>
    <w:rsid w:val="00180947"/>
    <w:rsid w:val="001809E0"/>
    <w:rsid w:val="00180BD8"/>
    <w:rsid w:val="00180C6D"/>
    <w:rsid w:val="00180C9F"/>
    <w:rsid w:val="00180DDE"/>
    <w:rsid w:val="00180EAC"/>
    <w:rsid w:val="00180EB2"/>
    <w:rsid w:val="00181097"/>
    <w:rsid w:val="00181148"/>
    <w:rsid w:val="001812A9"/>
    <w:rsid w:val="001814B7"/>
    <w:rsid w:val="0018161D"/>
    <w:rsid w:val="0018182A"/>
    <w:rsid w:val="00181EB6"/>
    <w:rsid w:val="00181FD8"/>
    <w:rsid w:val="0018202E"/>
    <w:rsid w:val="001820C0"/>
    <w:rsid w:val="00182424"/>
    <w:rsid w:val="00182508"/>
    <w:rsid w:val="0018258B"/>
    <w:rsid w:val="00182682"/>
    <w:rsid w:val="001827A5"/>
    <w:rsid w:val="00182824"/>
    <w:rsid w:val="00182877"/>
    <w:rsid w:val="00182A6F"/>
    <w:rsid w:val="00182A70"/>
    <w:rsid w:val="00182AA0"/>
    <w:rsid w:val="00182B22"/>
    <w:rsid w:val="00182BC3"/>
    <w:rsid w:val="00182C4B"/>
    <w:rsid w:val="00182C58"/>
    <w:rsid w:val="00182D00"/>
    <w:rsid w:val="00182DF3"/>
    <w:rsid w:val="00182E2A"/>
    <w:rsid w:val="00182E40"/>
    <w:rsid w:val="00182E5F"/>
    <w:rsid w:val="00182FA2"/>
    <w:rsid w:val="0018300C"/>
    <w:rsid w:val="001830A0"/>
    <w:rsid w:val="00183269"/>
    <w:rsid w:val="0018328F"/>
    <w:rsid w:val="00183302"/>
    <w:rsid w:val="00183310"/>
    <w:rsid w:val="00183396"/>
    <w:rsid w:val="00183510"/>
    <w:rsid w:val="00183670"/>
    <w:rsid w:val="001836C9"/>
    <w:rsid w:val="00183701"/>
    <w:rsid w:val="00183753"/>
    <w:rsid w:val="0018379B"/>
    <w:rsid w:val="001837CA"/>
    <w:rsid w:val="001837F9"/>
    <w:rsid w:val="0018383A"/>
    <w:rsid w:val="001838ED"/>
    <w:rsid w:val="00183A25"/>
    <w:rsid w:val="00183BFB"/>
    <w:rsid w:val="00183CCE"/>
    <w:rsid w:val="00183EB6"/>
    <w:rsid w:val="00183F16"/>
    <w:rsid w:val="00183F2F"/>
    <w:rsid w:val="00184065"/>
    <w:rsid w:val="00184153"/>
    <w:rsid w:val="0018423F"/>
    <w:rsid w:val="0018430B"/>
    <w:rsid w:val="00184788"/>
    <w:rsid w:val="00184805"/>
    <w:rsid w:val="0018489E"/>
    <w:rsid w:val="00184B1A"/>
    <w:rsid w:val="00184C04"/>
    <w:rsid w:val="00184E03"/>
    <w:rsid w:val="00184F5D"/>
    <w:rsid w:val="00184FFC"/>
    <w:rsid w:val="00184FFF"/>
    <w:rsid w:val="0018507B"/>
    <w:rsid w:val="001851EC"/>
    <w:rsid w:val="00185232"/>
    <w:rsid w:val="001852D6"/>
    <w:rsid w:val="00185440"/>
    <w:rsid w:val="001854C2"/>
    <w:rsid w:val="00185628"/>
    <w:rsid w:val="00185858"/>
    <w:rsid w:val="00185908"/>
    <w:rsid w:val="00185974"/>
    <w:rsid w:val="00185ADA"/>
    <w:rsid w:val="00185F71"/>
    <w:rsid w:val="00185F9B"/>
    <w:rsid w:val="0018607D"/>
    <w:rsid w:val="0018610F"/>
    <w:rsid w:val="00186215"/>
    <w:rsid w:val="00186230"/>
    <w:rsid w:val="0018633D"/>
    <w:rsid w:val="00186341"/>
    <w:rsid w:val="0018641D"/>
    <w:rsid w:val="00186564"/>
    <w:rsid w:val="00186667"/>
    <w:rsid w:val="0018682B"/>
    <w:rsid w:val="001869DD"/>
    <w:rsid w:val="00186ADA"/>
    <w:rsid w:val="00186B1D"/>
    <w:rsid w:val="00186B78"/>
    <w:rsid w:val="00186C95"/>
    <w:rsid w:val="00187114"/>
    <w:rsid w:val="0018724B"/>
    <w:rsid w:val="0018756A"/>
    <w:rsid w:val="0018761F"/>
    <w:rsid w:val="001876A8"/>
    <w:rsid w:val="00187815"/>
    <w:rsid w:val="00187871"/>
    <w:rsid w:val="00187894"/>
    <w:rsid w:val="001879A5"/>
    <w:rsid w:val="00187A02"/>
    <w:rsid w:val="00187B28"/>
    <w:rsid w:val="00187BEF"/>
    <w:rsid w:val="00187C25"/>
    <w:rsid w:val="00187C71"/>
    <w:rsid w:val="00187C7E"/>
    <w:rsid w:val="00190195"/>
    <w:rsid w:val="001901C6"/>
    <w:rsid w:val="00190552"/>
    <w:rsid w:val="001905BE"/>
    <w:rsid w:val="00190986"/>
    <w:rsid w:val="001909F3"/>
    <w:rsid w:val="00190A01"/>
    <w:rsid w:val="00190B92"/>
    <w:rsid w:val="00190BD5"/>
    <w:rsid w:val="00190BDF"/>
    <w:rsid w:val="00190BF4"/>
    <w:rsid w:val="00190C65"/>
    <w:rsid w:val="00190C9D"/>
    <w:rsid w:val="001910BF"/>
    <w:rsid w:val="00191106"/>
    <w:rsid w:val="00191185"/>
    <w:rsid w:val="0019123C"/>
    <w:rsid w:val="0019128E"/>
    <w:rsid w:val="0019135C"/>
    <w:rsid w:val="00191387"/>
    <w:rsid w:val="0019141B"/>
    <w:rsid w:val="00191453"/>
    <w:rsid w:val="001914E0"/>
    <w:rsid w:val="00191574"/>
    <w:rsid w:val="00191653"/>
    <w:rsid w:val="00191710"/>
    <w:rsid w:val="00191906"/>
    <w:rsid w:val="001919C1"/>
    <w:rsid w:val="00191A2D"/>
    <w:rsid w:val="00191AE3"/>
    <w:rsid w:val="00191C86"/>
    <w:rsid w:val="001922E1"/>
    <w:rsid w:val="001922F0"/>
    <w:rsid w:val="0019232B"/>
    <w:rsid w:val="00192338"/>
    <w:rsid w:val="00192356"/>
    <w:rsid w:val="001925D4"/>
    <w:rsid w:val="00192686"/>
    <w:rsid w:val="0019277C"/>
    <w:rsid w:val="00192816"/>
    <w:rsid w:val="00192A0B"/>
    <w:rsid w:val="00192A28"/>
    <w:rsid w:val="00192AEF"/>
    <w:rsid w:val="00192B60"/>
    <w:rsid w:val="00192B7C"/>
    <w:rsid w:val="00192C1F"/>
    <w:rsid w:val="00192F8D"/>
    <w:rsid w:val="00193089"/>
    <w:rsid w:val="001931B4"/>
    <w:rsid w:val="0019331D"/>
    <w:rsid w:val="001933BD"/>
    <w:rsid w:val="00193406"/>
    <w:rsid w:val="0019342E"/>
    <w:rsid w:val="0019353A"/>
    <w:rsid w:val="001938AA"/>
    <w:rsid w:val="0019391B"/>
    <w:rsid w:val="00193C44"/>
    <w:rsid w:val="00193C71"/>
    <w:rsid w:val="00193CFA"/>
    <w:rsid w:val="00193D4F"/>
    <w:rsid w:val="00193E60"/>
    <w:rsid w:val="00194043"/>
    <w:rsid w:val="001940F0"/>
    <w:rsid w:val="00194116"/>
    <w:rsid w:val="00194237"/>
    <w:rsid w:val="001944AB"/>
    <w:rsid w:val="001944DF"/>
    <w:rsid w:val="0019452F"/>
    <w:rsid w:val="001945A7"/>
    <w:rsid w:val="001947A2"/>
    <w:rsid w:val="001947BA"/>
    <w:rsid w:val="001949CA"/>
    <w:rsid w:val="00194A22"/>
    <w:rsid w:val="00194DB0"/>
    <w:rsid w:val="00194F35"/>
    <w:rsid w:val="0019500B"/>
    <w:rsid w:val="001950C3"/>
    <w:rsid w:val="001951E0"/>
    <w:rsid w:val="0019521D"/>
    <w:rsid w:val="0019547B"/>
    <w:rsid w:val="00195558"/>
    <w:rsid w:val="001955F6"/>
    <w:rsid w:val="0019573E"/>
    <w:rsid w:val="0019579E"/>
    <w:rsid w:val="00195805"/>
    <w:rsid w:val="0019584A"/>
    <w:rsid w:val="0019586D"/>
    <w:rsid w:val="00195886"/>
    <w:rsid w:val="00195A08"/>
    <w:rsid w:val="00195B4A"/>
    <w:rsid w:val="00195BCA"/>
    <w:rsid w:val="00195DFD"/>
    <w:rsid w:val="0019600E"/>
    <w:rsid w:val="00196064"/>
    <w:rsid w:val="00196181"/>
    <w:rsid w:val="00196271"/>
    <w:rsid w:val="001962AE"/>
    <w:rsid w:val="00196395"/>
    <w:rsid w:val="001965A5"/>
    <w:rsid w:val="0019666A"/>
    <w:rsid w:val="00196742"/>
    <w:rsid w:val="001967CD"/>
    <w:rsid w:val="001967D6"/>
    <w:rsid w:val="00196831"/>
    <w:rsid w:val="001968CC"/>
    <w:rsid w:val="0019696A"/>
    <w:rsid w:val="00196AF1"/>
    <w:rsid w:val="00196B83"/>
    <w:rsid w:val="00196BD6"/>
    <w:rsid w:val="00196C58"/>
    <w:rsid w:val="00196ED8"/>
    <w:rsid w:val="00197352"/>
    <w:rsid w:val="00197579"/>
    <w:rsid w:val="00197651"/>
    <w:rsid w:val="0019765B"/>
    <w:rsid w:val="00197876"/>
    <w:rsid w:val="00197923"/>
    <w:rsid w:val="0019797B"/>
    <w:rsid w:val="001979B3"/>
    <w:rsid w:val="001979C7"/>
    <w:rsid w:val="00197AAD"/>
    <w:rsid w:val="00197ADA"/>
    <w:rsid w:val="00197C10"/>
    <w:rsid w:val="00197C8D"/>
    <w:rsid w:val="00197CBB"/>
    <w:rsid w:val="00197D13"/>
    <w:rsid w:val="00197DD9"/>
    <w:rsid w:val="00197EB9"/>
    <w:rsid w:val="0019A335"/>
    <w:rsid w:val="001A0019"/>
    <w:rsid w:val="001A011B"/>
    <w:rsid w:val="001A0299"/>
    <w:rsid w:val="001A035C"/>
    <w:rsid w:val="001A039D"/>
    <w:rsid w:val="001A0471"/>
    <w:rsid w:val="001A059C"/>
    <w:rsid w:val="001A05B8"/>
    <w:rsid w:val="001A0750"/>
    <w:rsid w:val="001A0836"/>
    <w:rsid w:val="001A0935"/>
    <w:rsid w:val="001A0B70"/>
    <w:rsid w:val="001A0B9C"/>
    <w:rsid w:val="001A0B9E"/>
    <w:rsid w:val="001A0BDA"/>
    <w:rsid w:val="001A0C25"/>
    <w:rsid w:val="001A0C84"/>
    <w:rsid w:val="001A0D54"/>
    <w:rsid w:val="001A0D60"/>
    <w:rsid w:val="001A0DEE"/>
    <w:rsid w:val="001A0F1A"/>
    <w:rsid w:val="001A1033"/>
    <w:rsid w:val="001A1039"/>
    <w:rsid w:val="001A12AC"/>
    <w:rsid w:val="001A148D"/>
    <w:rsid w:val="001A15B3"/>
    <w:rsid w:val="001A184C"/>
    <w:rsid w:val="001A1957"/>
    <w:rsid w:val="001A1A88"/>
    <w:rsid w:val="001A1B11"/>
    <w:rsid w:val="001A1B2F"/>
    <w:rsid w:val="001A1BC0"/>
    <w:rsid w:val="001A1C77"/>
    <w:rsid w:val="001A1F08"/>
    <w:rsid w:val="001A1FE3"/>
    <w:rsid w:val="001A2477"/>
    <w:rsid w:val="001A25EE"/>
    <w:rsid w:val="001A2614"/>
    <w:rsid w:val="001A261E"/>
    <w:rsid w:val="001A289A"/>
    <w:rsid w:val="001A29E0"/>
    <w:rsid w:val="001A2A03"/>
    <w:rsid w:val="001A2BA1"/>
    <w:rsid w:val="001A3032"/>
    <w:rsid w:val="001A3092"/>
    <w:rsid w:val="001A3158"/>
    <w:rsid w:val="001A326D"/>
    <w:rsid w:val="001A3447"/>
    <w:rsid w:val="001A3597"/>
    <w:rsid w:val="001A35B9"/>
    <w:rsid w:val="001A35DA"/>
    <w:rsid w:val="001A3825"/>
    <w:rsid w:val="001A3885"/>
    <w:rsid w:val="001A3A2B"/>
    <w:rsid w:val="001A3B7F"/>
    <w:rsid w:val="001A3BF6"/>
    <w:rsid w:val="001A3C77"/>
    <w:rsid w:val="001A3FDD"/>
    <w:rsid w:val="001A45EA"/>
    <w:rsid w:val="001A469C"/>
    <w:rsid w:val="001A46B4"/>
    <w:rsid w:val="001A482D"/>
    <w:rsid w:val="001A488D"/>
    <w:rsid w:val="001A49B0"/>
    <w:rsid w:val="001A4A57"/>
    <w:rsid w:val="001A4C95"/>
    <w:rsid w:val="001A50E0"/>
    <w:rsid w:val="001A519B"/>
    <w:rsid w:val="001A5373"/>
    <w:rsid w:val="001A537E"/>
    <w:rsid w:val="001A5438"/>
    <w:rsid w:val="001A5476"/>
    <w:rsid w:val="001A5489"/>
    <w:rsid w:val="001A5575"/>
    <w:rsid w:val="001A588D"/>
    <w:rsid w:val="001A5B2E"/>
    <w:rsid w:val="001A5BFC"/>
    <w:rsid w:val="001A5C1D"/>
    <w:rsid w:val="001A5D1F"/>
    <w:rsid w:val="001A5D61"/>
    <w:rsid w:val="001A5DEF"/>
    <w:rsid w:val="001A5E97"/>
    <w:rsid w:val="001A5F17"/>
    <w:rsid w:val="001A5F2D"/>
    <w:rsid w:val="001A5F44"/>
    <w:rsid w:val="001A5FCA"/>
    <w:rsid w:val="001A602A"/>
    <w:rsid w:val="001A6080"/>
    <w:rsid w:val="001A6170"/>
    <w:rsid w:val="001A6194"/>
    <w:rsid w:val="001A61CC"/>
    <w:rsid w:val="001A61FD"/>
    <w:rsid w:val="001A6373"/>
    <w:rsid w:val="001A63E7"/>
    <w:rsid w:val="001A66A2"/>
    <w:rsid w:val="001A66BA"/>
    <w:rsid w:val="001A673C"/>
    <w:rsid w:val="001A6956"/>
    <w:rsid w:val="001A6A5D"/>
    <w:rsid w:val="001A6C2E"/>
    <w:rsid w:val="001A6CE9"/>
    <w:rsid w:val="001A6DB0"/>
    <w:rsid w:val="001A6DF7"/>
    <w:rsid w:val="001A6E9A"/>
    <w:rsid w:val="001A6F58"/>
    <w:rsid w:val="001A70D0"/>
    <w:rsid w:val="001A7389"/>
    <w:rsid w:val="001A74B7"/>
    <w:rsid w:val="001A7507"/>
    <w:rsid w:val="001A7647"/>
    <w:rsid w:val="001A780C"/>
    <w:rsid w:val="001A7B0B"/>
    <w:rsid w:val="001A7B1C"/>
    <w:rsid w:val="001A7CE3"/>
    <w:rsid w:val="001A7CEC"/>
    <w:rsid w:val="001A7E77"/>
    <w:rsid w:val="001A7F96"/>
    <w:rsid w:val="001A7FEB"/>
    <w:rsid w:val="001B000D"/>
    <w:rsid w:val="001B0A13"/>
    <w:rsid w:val="001B0D3C"/>
    <w:rsid w:val="001B0E2C"/>
    <w:rsid w:val="001B10EE"/>
    <w:rsid w:val="001B11CD"/>
    <w:rsid w:val="001B1232"/>
    <w:rsid w:val="001B1383"/>
    <w:rsid w:val="001B13FA"/>
    <w:rsid w:val="001B1486"/>
    <w:rsid w:val="001B15A8"/>
    <w:rsid w:val="001B1D33"/>
    <w:rsid w:val="001B1E4E"/>
    <w:rsid w:val="001B1F81"/>
    <w:rsid w:val="001B1F9D"/>
    <w:rsid w:val="001B2025"/>
    <w:rsid w:val="001B20A3"/>
    <w:rsid w:val="001B22B9"/>
    <w:rsid w:val="001B24C0"/>
    <w:rsid w:val="001B257A"/>
    <w:rsid w:val="001B267E"/>
    <w:rsid w:val="001B272B"/>
    <w:rsid w:val="001B27E8"/>
    <w:rsid w:val="001B2815"/>
    <w:rsid w:val="001B2BA4"/>
    <w:rsid w:val="001B2C4C"/>
    <w:rsid w:val="001B2FF4"/>
    <w:rsid w:val="001B300A"/>
    <w:rsid w:val="001B305B"/>
    <w:rsid w:val="001B31CD"/>
    <w:rsid w:val="001B3222"/>
    <w:rsid w:val="001B33DC"/>
    <w:rsid w:val="001B3407"/>
    <w:rsid w:val="001B3418"/>
    <w:rsid w:val="001B353F"/>
    <w:rsid w:val="001B3598"/>
    <w:rsid w:val="001B35D3"/>
    <w:rsid w:val="001B3733"/>
    <w:rsid w:val="001B37E9"/>
    <w:rsid w:val="001B3812"/>
    <w:rsid w:val="001B385D"/>
    <w:rsid w:val="001B3893"/>
    <w:rsid w:val="001B38E1"/>
    <w:rsid w:val="001B3B1A"/>
    <w:rsid w:val="001B3DBE"/>
    <w:rsid w:val="001B4008"/>
    <w:rsid w:val="001B4261"/>
    <w:rsid w:val="001B42E9"/>
    <w:rsid w:val="001B436E"/>
    <w:rsid w:val="001B44B8"/>
    <w:rsid w:val="001B463B"/>
    <w:rsid w:val="001B46D6"/>
    <w:rsid w:val="001B4720"/>
    <w:rsid w:val="001B4756"/>
    <w:rsid w:val="001B4998"/>
    <w:rsid w:val="001B4C59"/>
    <w:rsid w:val="001B4E73"/>
    <w:rsid w:val="001B5046"/>
    <w:rsid w:val="001B50C4"/>
    <w:rsid w:val="001B5189"/>
    <w:rsid w:val="001B51A8"/>
    <w:rsid w:val="001B5207"/>
    <w:rsid w:val="001B53B3"/>
    <w:rsid w:val="001B5453"/>
    <w:rsid w:val="001B54BC"/>
    <w:rsid w:val="001B577C"/>
    <w:rsid w:val="001B57E1"/>
    <w:rsid w:val="001B58AC"/>
    <w:rsid w:val="001B591C"/>
    <w:rsid w:val="001B597E"/>
    <w:rsid w:val="001B5AA2"/>
    <w:rsid w:val="001B5B28"/>
    <w:rsid w:val="001B62F0"/>
    <w:rsid w:val="001B634F"/>
    <w:rsid w:val="001B638D"/>
    <w:rsid w:val="001B6472"/>
    <w:rsid w:val="001B6642"/>
    <w:rsid w:val="001B66FF"/>
    <w:rsid w:val="001B6875"/>
    <w:rsid w:val="001B69B1"/>
    <w:rsid w:val="001B6C03"/>
    <w:rsid w:val="001B6E90"/>
    <w:rsid w:val="001B6FBB"/>
    <w:rsid w:val="001B70DE"/>
    <w:rsid w:val="001B70FF"/>
    <w:rsid w:val="001B73CA"/>
    <w:rsid w:val="001B75E5"/>
    <w:rsid w:val="001B76AC"/>
    <w:rsid w:val="001B77A7"/>
    <w:rsid w:val="001B7918"/>
    <w:rsid w:val="001B7BC8"/>
    <w:rsid w:val="001B7C35"/>
    <w:rsid w:val="001B7DF0"/>
    <w:rsid w:val="001C0054"/>
    <w:rsid w:val="001C0070"/>
    <w:rsid w:val="001C00F0"/>
    <w:rsid w:val="001C0618"/>
    <w:rsid w:val="001C06F4"/>
    <w:rsid w:val="001C0727"/>
    <w:rsid w:val="001C0A24"/>
    <w:rsid w:val="001C0A26"/>
    <w:rsid w:val="001C0A39"/>
    <w:rsid w:val="001C0C27"/>
    <w:rsid w:val="001C0CD1"/>
    <w:rsid w:val="001C0E78"/>
    <w:rsid w:val="001C0FFB"/>
    <w:rsid w:val="001C11A6"/>
    <w:rsid w:val="001C1241"/>
    <w:rsid w:val="001C17B2"/>
    <w:rsid w:val="001C1A71"/>
    <w:rsid w:val="001C1C4D"/>
    <w:rsid w:val="001C1CB4"/>
    <w:rsid w:val="001C1D7C"/>
    <w:rsid w:val="001C1EF3"/>
    <w:rsid w:val="001C232B"/>
    <w:rsid w:val="001C238A"/>
    <w:rsid w:val="001C246D"/>
    <w:rsid w:val="001C2540"/>
    <w:rsid w:val="001C28AC"/>
    <w:rsid w:val="001C28B1"/>
    <w:rsid w:val="001C2901"/>
    <w:rsid w:val="001C2BBF"/>
    <w:rsid w:val="001C2CC3"/>
    <w:rsid w:val="001C2DA2"/>
    <w:rsid w:val="001C2E1B"/>
    <w:rsid w:val="001C2EB1"/>
    <w:rsid w:val="001C2F8E"/>
    <w:rsid w:val="001C3019"/>
    <w:rsid w:val="001C319D"/>
    <w:rsid w:val="001C33E0"/>
    <w:rsid w:val="001C3503"/>
    <w:rsid w:val="001C3547"/>
    <w:rsid w:val="001C3548"/>
    <w:rsid w:val="001C362E"/>
    <w:rsid w:val="001C36F2"/>
    <w:rsid w:val="001C3800"/>
    <w:rsid w:val="001C3A16"/>
    <w:rsid w:val="001C3A52"/>
    <w:rsid w:val="001C3CD9"/>
    <w:rsid w:val="001C3D21"/>
    <w:rsid w:val="001C3D6F"/>
    <w:rsid w:val="001C3E03"/>
    <w:rsid w:val="001C3E71"/>
    <w:rsid w:val="001C3F11"/>
    <w:rsid w:val="001C3F61"/>
    <w:rsid w:val="001C43A1"/>
    <w:rsid w:val="001C463C"/>
    <w:rsid w:val="001C4951"/>
    <w:rsid w:val="001C4A63"/>
    <w:rsid w:val="001C4AF8"/>
    <w:rsid w:val="001C4B7E"/>
    <w:rsid w:val="001C4CAF"/>
    <w:rsid w:val="001C4D71"/>
    <w:rsid w:val="001C4E44"/>
    <w:rsid w:val="001C4E8A"/>
    <w:rsid w:val="001C4F37"/>
    <w:rsid w:val="001C4FC4"/>
    <w:rsid w:val="001C50D0"/>
    <w:rsid w:val="001C5263"/>
    <w:rsid w:val="001C5348"/>
    <w:rsid w:val="001C554F"/>
    <w:rsid w:val="001C55DB"/>
    <w:rsid w:val="001C5634"/>
    <w:rsid w:val="001C57B8"/>
    <w:rsid w:val="001C5933"/>
    <w:rsid w:val="001C597A"/>
    <w:rsid w:val="001C5B96"/>
    <w:rsid w:val="001C5D1F"/>
    <w:rsid w:val="001C5DC9"/>
    <w:rsid w:val="001C5E25"/>
    <w:rsid w:val="001C60DF"/>
    <w:rsid w:val="001C6206"/>
    <w:rsid w:val="001C63B9"/>
    <w:rsid w:val="001C63C0"/>
    <w:rsid w:val="001C6705"/>
    <w:rsid w:val="001C685B"/>
    <w:rsid w:val="001C692D"/>
    <w:rsid w:val="001C6A7A"/>
    <w:rsid w:val="001C6AD4"/>
    <w:rsid w:val="001C6B48"/>
    <w:rsid w:val="001C6C7C"/>
    <w:rsid w:val="001C6D07"/>
    <w:rsid w:val="001C6E3E"/>
    <w:rsid w:val="001C6ED8"/>
    <w:rsid w:val="001C6F53"/>
    <w:rsid w:val="001C7181"/>
    <w:rsid w:val="001C71E3"/>
    <w:rsid w:val="001C7621"/>
    <w:rsid w:val="001C76E9"/>
    <w:rsid w:val="001C7941"/>
    <w:rsid w:val="001C797B"/>
    <w:rsid w:val="001C79A9"/>
    <w:rsid w:val="001C7ABE"/>
    <w:rsid w:val="001C7C51"/>
    <w:rsid w:val="001C7E0B"/>
    <w:rsid w:val="001D0042"/>
    <w:rsid w:val="001D0232"/>
    <w:rsid w:val="001D0293"/>
    <w:rsid w:val="001D04F8"/>
    <w:rsid w:val="001D066F"/>
    <w:rsid w:val="001D0916"/>
    <w:rsid w:val="001D0A1B"/>
    <w:rsid w:val="001D0AF8"/>
    <w:rsid w:val="001D0B46"/>
    <w:rsid w:val="001D0C67"/>
    <w:rsid w:val="001D0D50"/>
    <w:rsid w:val="001D0EB2"/>
    <w:rsid w:val="001D0FFC"/>
    <w:rsid w:val="001D1013"/>
    <w:rsid w:val="001D1059"/>
    <w:rsid w:val="001D10C5"/>
    <w:rsid w:val="001D1166"/>
    <w:rsid w:val="001D13F6"/>
    <w:rsid w:val="001D1B2C"/>
    <w:rsid w:val="001D1BE8"/>
    <w:rsid w:val="001D1D43"/>
    <w:rsid w:val="001D1EDC"/>
    <w:rsid w:val="001D202D"/>
    <w:rsid w:val="001D21EB"/>
    <w:rsid w:val="001D222B"/>
    <w:rsid w:val="001D22A8"/>
    <w:rsid w:val="001D2364"/>
    <w:rsid w:val="001D2411"/>
    <w:rsid w:val="001D2475"/>
    <w:rsid w:val="001D24E8"/>
    <w:rsid w:val="001D2535"/>
    <w:rsid w:val="001D26A1"/>
    <w:rsid w:val="001D26E1"/>
    <w:rsid w:val="001D27D3"/>
    <w:rsid w:val="001D27EA"/>
    <w:rsid w:val="001D2903"/>
    <w:rsid w:val="001D2930"/>
    <w:rsid w:val="001D2B5B"/>
    <w:rsid w:val="001D2E18"/>
    <w:rsid w:val="001D2F56"/>
    <w:rsid w:val="001D3137"/>
    <w:rsid w:val="001D3409"/>
    <w:rsid w:val="001D34F0"/>
    <w:rsid w:val="001D3677"/>
    <w:rsid w:val="001D3A95"/>
    <w:rsid w:val="001D3A99"/>
    <w:rsid w:val="001D3AF8"/>
    <w:rsid w:val="001D3B0E"/>
    <w:rsid w:val="001D3B3F"/>
    <w:rsid w:val="001D3B79"/>
    <w:rsid w:val="001D4024"/>
    <w:rsid w:val="001D412A"/>
    <w:rsid w:val="001D4212"/>
    <w:rsid w:val="001D455A"/>
    <w:rsid w:val="001D45B0"/>
    <w:rsid w:val="001D4633"/>
    <w:rsid w:val="001D4728"/>
    <w:rsid w:val="001D49EF"/>
    <w:rsid w:val="001D4B36"/>
    <w:rsid w:val="001D4D8C"/>
    <w:rsid w:val="001D4DAC"/>
    <w:rsid w:val="001D50F8"/>
    <w:rsid w:val="001D54C5"/>
    <w:rsid w:val="001D5710"/>
    <w:rsid w:val="001D5721"/>
    <w:rsid w:val="001D575E"/>
    <w:rsid w:val="001D5768"/>
    <w:rsid w:val="001D588F"/>
    <w:rsid w:val="001D5A12"/>
    <w:rsid w:val="001D5A93"/>
    <w:rsid w:val="001D5B4E"/>
    <w:rsid w:val="001D5C8B"/>
    <w:rsid w:val="001D5DF3"/>
    <w:rsid w:val="001D5F59"/>
    <w:rsid w:val="001D5FBB"/>
    <w:rsid w:val="001D6024"/>
    <w:rsid w:val="001D62F9"/>
    <w:rsid w:val="001D6525"/>
    <w:rsid w:val="001D6575"/>
    <w:rsid w:val="001D65F3"/>
    <w:rsid w:val="001D683C"/>
    <w:rsid w:val="001D6853"/>
    <w:rsid w:val="001D6D7F"/>
    <w:rsid w:val="001D6E6F"/>
    <w:rsid w:val="001D6FD8"/>
    <w:rsid w:val="001D6FEA"/>
    <w:rsid w:val="001D71A0"/>
    <w:rsid w:val="001D7315"/>
    <w:rsid w:val="001D7346"/>
    <w:rsid w:val="001D73ED"/>
    <w:rsid w:val="001D7467"/>
    <w:rsid w:val="001D74F1"/>
    <w:rsid w:val="001D7607"/>
    <w:rsid w:val="001D7608"/>
    <w:rsid w:val="001D788F"/>
    <w:rsid w:val="001D79CD"/>
    <w:rsid w:val="001D7A68"/>
    <w:rsid w:val="001D7AC4"/>
    <w:rsid w:val="001D7BAE"/>
    <w:rsid w:val="001D7BFE"/>
    <w:rsid w:val="001D7E87"/>
    <w:rsid w:val="001E00BD"/>
    <w:rsid w:val="001E0309"/>
    <w:rsid w:val="001E03BE"/>
    <w:rsid w:val="001E03D4"/>
    <w:rsid w:val="001E04CE"/>
    <w:rsid w:val="001E04E6"/>
    <w:rsid w:val="001E0617"/>
    <w:rsid w:val="001E0652"/>
    <w:rsid w:val="001E08FA"/>
    <w:rsid w:val="001E091B"/>
    <w:rsid w:val="001E0B78"/>
    <w:rsid w:val="001E0BA4"/>
    <w:rsid w:val="001E10F3"/>
    <w:rsid w:val="001E1200"/>
    <w:rsid w:val="001E1249"/>
    <w:rsid w:val="001E1267"/>
    <w:rsid w:val="001E12B8"/>
    <w:rsid w:val="001E1306"/>
    <w:rsid w:val="001E1374"/>
    <w:rsid w:val="001E146A"/>
    <w:rsid w:val="001E149B"/>
    <w:rsid w:val="001E153D"/>
    <w:rsid w:val="001E1593"/>
    <w:rsid w:val="001E15EA"/>
    <w:rsid w:val="001E191B"/>
    <w:rsid w:val="001E1A80"/>
    <w:rsid w:val="001E1BE9"/>
    <w:rsid w:val="001E1DA9"/>
    <w:rsid w:val="001E1DC5"/>
    <w:rsid w:val="001E1EA5"/>
    <w:rsid w:val="001E1F3E"/>
    <w:rsid w:val="001E2028"/>
    <w:rsid w:val="001E2064"/>
    <w:rsid w:val="001E2523"/>
    <w:rsid w:val="001E287F"/>
    <w:rsid w:val="001E2BC2"/>
    <w:rsid w:val="001E2D6A"/>
    <w:rsid w:val="001E2DBB"/>
    <w:rsid w:val="001E3024"/>
    <w:rsid w:val="001E3235"/>
    <w:rsid w:val="001E3485"/>
    <w:rsid w:val="001E3595"/>
    <w:rsid w:val="001E36AB"/>
    <w:rsid w:val="001E377C"/>
    <w:rsid w:val="001E39B7"/>
    <w:rsid w:val="001E3A10"/>
    <w:rsid w:val="001E3AA9"/>
    <w:rsid w:val="001E3DCA"/>
    <w:rsid w:val="001E3FC7"/>
    <w:rsid w:val="001E4050"/>
    <w:rsid w:val="001E4127"/>
    <w:rsid w:val="001E4314"/>
    <w:rsid w:val="001E4863"/>
    <w:rsid w:val="001E4900"/>
    <w:rsid w:val="001E49E0"/>
    <w:rsid w:val="001E4A8D"/>
    <w:rsid w:val="001E4A92"/>
    <w:rsid w:val="001E4CA4"/>
    <w:rsid w:val="001E4CBF"/>
    <w:rsid w:val="001E4E59"/>
    <w:rsid w:val="001E4FF6"/>
    <w:rsid w:val="001E5102"/>
    <w:rsid w:val="001E54F3"/>
    <w:rsid w:val="001E556A"/>
    <w:rsid w:val="001E560A"/>
    <w:rsid w:val="001E5628"/>
    <w:rsid w:val="001E5893"/>
    <w:rsid w:val="001E592D"/>
    <w:rsid w:val="001E5AD5"/>
    <w:rsid w:val="001E5DF0"/>
    <w:rsid w:val="001E5F2C"/>
    <w:rsid w:val="001E604C"/>
    <w:rsid w:val="001E619A"/>
    <w:rsid w:val="001E636E"/>
    <w:rsid w:val="001E6428"/>
    <w:rsid w:val="001E64BE"/>
    <w:rsid w:val="001E663A"/>
    <w:rsid w:val="001E6667"/>
    <w:rsid w:val="001E6680"/>
    <w:rsid w:val="001E669F"/>
    <w:rsid w:val="001E66EC"/>
    <w:rsid w:val="001E6756"/>
    <w:rsid w:val="001E67AF"/>
    <w:rsid w:val="001E6BF7"/>
    <w:rsid w:val="001E6DA5"/>
    <w:rsid w:val="001E6E9F"/>
    <w:rsid w:val="001E7073"/>
    <w:rsid w:val="001E708E"/>
    <w:rsid w:val="001E7356"/>
    <w:rsid w:val="001E74DD"/>
    <w:rsid w:val="001E75BF"/>
    <w:rsid w:val="001E7734"/>
    <w:rsid w:val="001E77BC"/>
    <w:rsid w:val="001E7819"/>
    <w:rsid w:val="001E7898"/>
    <w:rsid w:val="001E7A95"/>
    <w:rsid w:val="001E7CB6"/>
    <w:rsid w:val="001E7CFE"/>
    <w:rsid w:val="001E7D13"/>
    <w:rsid w:val="001E7E70"/>
    <w:rsid w:val="001E7E95"/>
    <w:rsid w:val="001E7F31"/>
    <w:rsid w:val="001F0110"/>
    <w:rsid w:val="001F0341"/>
    <w:rsid w:val="001F04DD"/>
    <w:rsid w:val="001F05D9"/>
    <w:rsid w:val="001F0655"/>
    <w:rsid w:val="001F082E"/>
    <w:rsid w:val="001F0AC3"/>
    <w:rsid w:val="001F0BDC"/>
    <w:rsid w:val="001F0CBD"/>
    <w:rsid w:val="001F0EB7"/>
    <w:rsid w:val="001F1042"/>
    <w:rsid w:val="001F1216"/>
    <w:rsid w:val="001F14D1"/>
    <w:rsid w:val="001F1597"/>
    <w:rsid w:val="001F1814"/>
    <w:rsid w:val="001F1B02"/>
    <w:rsid w:val="001F1B21"/>
    <w:rsid w:val="001F1CA9"/>
    <w:rsid w:val="001F1EB8"/>
    <w:rsid w:val="001F1F29"/>
    <w:rsid w:val="001F1FB4"/>
    <w:rsid w:val="001F2050"/>
    <w:rsid w:val="001F205A"/>
    <w:rsid w:val="001F226E"/>
    <w:rsid w:val="001F22A1"/>
    <w:rsid w:val="001F270E"/>
    <w:rsid w:val="001F2833"/>
    <w:rsid w:val="001F295A"/>
    <w:rsid w:val="001F2A38"/>
    <w:rsid w:val="001F2CA6"/>
    <w:rsid w:val="001F3118"/>
    <w:rsid w:val="001F3146"/>
    <w:rsid w:val="001F31B5"/>
    <w:rsid w:val="001F365F"/>
    <w:rsid w:val="001F397D"/>
    <w:rsid w:val="001F3A95"/>
    <w:rsid w:val="001F3AC3"/>
    <w:rsid w:val="001F3C04"/>
    <w:rsid w:val="001F3E89"/>
    <w:rsid w:val="001F4155"/>
    <w:rsid w:val="001F418A"/>
    <w:rsid w:val="001F42D0"/>
    <w:rsid w:val="001F4384"/>
    <w:rsid w:val="001F440D"/>
    <w:rsid w:val="001F470C"/>
    <w:rsid w:val="001F4850"/>
    <w:rsid w:val="001F4853"/>
    <w:rsid w:val="001F4854"/>
    <w:rsid w:val="001F486A"/>
    <w:rsid w:val="001F4D92"/>
    <w:rsid w:val="001F4DDA"/>
    <w:rsid w:val="001F4E27"/>
    <w:rsid w:val="001F4EDC"/>
    <w:rsid w:val="001F5225"/>
    <w:rsid w:val="001F52BE"/>
    <w:rsid w:val="001F556A"/>
    <w:rsid w:val="001F568C"/>
    <w:rsid w:val="001F5692"/>
    <w:rsid w:val="001F5845"/>
    <w:rsid w:val="001F5872"/>
    <w:rsid w:val="001F5932"/>
    <w:rsid w:val="001F593E"/>
    <w:rsid w:val="001F59BA"/>
    <w:rsid w:val="001F5ACE"/>
    <w:rsid w:val="001F5B19"/>
    <w:rsid w:val="001F5B2B"/>
    <w:rsid w:val="001F5CB6"/>
    <w:rsid w:val="001F5CEC"/>
    <w:rsid w:val="001F5D38"/>
    <w:rsid w:val="001F5D6B"/>
    <w:rsid w:val="001F5E32"/>
    <w:rsid w:val="001F5E93"/>
    <w:rsid w:val="001F5F26"/>
    <w:rsid w:val="001F60CC"/>
    <w:rsid w:val="001F6169"/>
    <w:rsid w:val="001F623E"/>
    <w:rsid w:val="001F63BE"/>
    <w:rsid w:val="001F646E"/>
    <w:rsid w:val="001F649C"/>
    <w:rsid w:val="001F65E0"/>
    <w:rsid w:val="001F6611"/>
    <w:rsid w:val="001F6A21"/>
    <w:rsid w:val="001F6B66"/>
    <w:rsid w:val="001F6CB1"/>
    <w:rsid w:val="001F6F5E"/>
    <w:rsid w:val="001F707C"/>
    <w:rsid w:val="001F72A2"/>
    <w:rsid w:val="001F7428"/>
    <w:rsid w:val="001F75BD"/>
    <w:rsid w:val="001F75C0"/>
    <w:rsid w:val="001F7817"/>
    <w:rsid w:val="001F7974"/>
    <w:rsid w:val="001F79DE"/>
    <w:rsid w:val="001F7AB4"/>
    <w:rsid w:val="001F7D89"/>
    <w:rsid w:val="001F7E56"/>
    <w:rsid w:val="001F7E67"/>
    <w:rsid w:val="001F7E86"/>
    <w:rsid w:val="001F7FC5"/>
    <w:rsid w:val="00200052"/>
    <w:rsid w:val="002000D7"/>
    <w:rsid w:val="00200111"/>
    <w:rsid w:val="002001BC"/>
    <w:rsid w:val="00200219"/>
    <w:rsid w:val="002003CC"/>
    <w:rsid w:val="0020046A"/>
    <w:rsid w:val="0020047C"/>
    <w:rsid w:val="00200676"/>
    <w:rsid w:val="0020082D"/>
    <w:rsid w:val="002009E2"/>
    <w:rsid w:val="00200ABC"/>
    <w:rsid w:val="00200E4E"/>
    <w:rsid w:val="00200EDF"/>
    <w:rsid w:val="00200F29"/>
    <w:rsid w:val="00200F30"/>
    <w:rsid w:val="0020117C"/>
    <w:rsid w:val="00201221"/>
    <w:rsid w:val="00201267"/>
    <w:rsid w:val="002012E7"/>
    <w:rsid w:val="002014B6"/>
    <w:rsid w:val="002014F8"/>
    <w:rsid w:val="00201559"/>
    <w:rsid w:val="002015DB"/>
    <w:rsid w:val="002017E0"/>
    <w:rsid w:val="00201852"/>
    <w:rsid w:val="0020192D"/>
    <w:rsid w:val="002019BD"/>
    <w:rsid w:val="00201A0B"/>
    <w:rsid w:val="00201AA8"/>
    <w:rsid w:val="00201B21"/>
    <w:rsid w:val="00201B3C"/>
    <w:rsid w:val="00201BC4"/>
    <w:rsid w:val="00201CD9"/>
    <w:rsid w:val="00201E1C"/>
    <w:rsid w:val="00201EAF"/>
    <w:rsid w:val="00201F02"/>
    <w:rsid w:val="00201FAF"/>
    <w:rsid w:val="00201FF4"/>
    <w:rsid w:val="0020220C"/>
    <w:rsid w:val="0020231A"/>
    <w:rsid w:val="0020245C"/>
    <w:rsid w:val="0020261A"/>
    <w:rsid w:val="002027B7"/>
    <w:rsid w:val="00202A2A"/>
    <w:rsid w:val="00202A78"/>
    <w:rsid w:val="00202BD6"/>
    <w:rsid w:val="00202D8E"/>
    <w:rsid w:val="00202DCF"/>
    <w:rsid w:val="00202F28"/>
    <w:rsid w:val="0020304F"/>
    <w:rsid w:val="002030D7"/>
    <w:rsid w:val="002031DC"/>
    <w:rsid w:val="00203215"/>
    <w:rsid w:val="0020349F"/>
    <w:rsid w:val="002034F8"/>
    <w:rsid w:val="002035ED"/>
    <w:rsid w:val="00203770"/>
    <w:rsid w:val="002038EA"/>
    <w:rsid w:val="00203A4C"/>
    <w:rsid w:val="00203D62"/>
    <w:rsid w:val="00203D67"/>
    <w:rsid w:val="00203EEB"/>
    <w:rsid w:val="00203F1C"/>
    <w:rsid w:val="00203F60"/>
    <w:rsid w:val="00203FE8"/>
    <w:rsid w:val="0020405C"/>
    <w:rsid w:val="00204098"/>
    <w:rsid w:val="002040CE"/>
    <w:rsid w:val="002041C6"/>
    <w:rsid w:val="0020427E"/>
    <w:rsid w:val="00204286"/>
    <w:rsid w:val="002042E7"/>
    <w:rsid w:val="00204391"/>
    <w:rsid w:val="002044EC"/>
    <w:rsid w:val="00204546"/>
    <w:rsid w:val="00204576"/>
    <w:rsid w:val="002045FB"/>
    <w:rsid w:val="002046C0"/>
    <w:rsid w:val="002046D6"/>
    <w:rsid w:val="002047D6"/>
    <w:rsid w:val="0020487E"/>
    <w:rsid w:val="0020494F"/>
    <w:rsid w:val="00204A57"/>
    <w:rsid w:val="00204A71"/>
    <w:rsid w:val="00204A90"/>
    <w:rsid w:val="00204AA5"/>
    <w:rsid w:val="00204BF3"/>
    <w:rsid w:val="00204C3F"/>
    <w:rsid w:val="00204C85"/>
    <w:rsid w:val="00204D99"/>
    <w:rsid w:val="00204DEB"/>
    <w:rsid w:val="00204F7E"/>
    <w:rsid w:val="00204FDC"/>
    <w:rsid w:val="002050A7"/>
    <w:rsid w:val="00205133"/>
    <w:rsid w:val="00205348"/>
    <w:rsid w:val="00205353"/>
    <w:rsid w:val="00205433"/>
    <w:rsid w:val="00205436"/>
    <w:rsid w:val="002055AC"/>
    <w:rsid w:val="0020566F"/>
    <w:rsid w:val="0020573B"/>
    <w:rsid w:val="00205838"/>
    <w:rsid w:val="00205914"/>
    <w:rsid w:val="0020596A"/>
    <w:rsid w:val="00205AAA"/>
    <w:rsid w:val="00205AF6"/>
    <w:rsid w:val="00205E56"/>
    <w:rsid w:val="00205EED"/>
    <w:rsid w:val="0020601B"/>
    <w:rsid w:val="002060CD"/>
    <w:rsid w:val="002062DA"/>
    <w:rsid w:val="002063CC"/>
    <w:rsid w:val="002064D6"/>
    <w:rsid w:val="002067C0"/>
    <w:rsid w:val="00206AE0"/>
    <w:rsid w:val="00206D0F"/>
    <w:rsid w:val="00206D48"/>
    <w:rsid w:val="00206DF0"/>
    <w:rsid w:val="00206DF4"/>
    <w:rsid w:val="00207105"/>
    <w:rsid w:val="00207248"/>
    <w:rsid w:val="00207287"/>
    <w:rsid w:val="00207411"/>
    <w:rsid w:val="00207565"/>
    <w:rsid w:val="002075B7"/>
    <w:rsid w:val="002075EF"/>
    <w:rsid w:val="00207619"/>
    <w:rsid w:val="002076CE"/>
    <w:rsid w:val="002076EE"/>
    <w:rsid w:val="00207890"/>
    <w:rsid w:val="002078EC"/>
    <w:rsid w:val="0020798C"/>
    <w:rsid w:val="00207AC9"/>
    <w:rsid w:val="00207B51"/>
    <w:rsid w:val="00207B8B"/>
    <w:rsid w:val="00207BEA"/>
    <w:rsid w:val="00207C0D"/>
    <w:rsid w:val="00207CB7"/>
    <w:rsid w:val="00207F5A"/>
    <w:rsid w:val="00210113"/>
    <w:rsid w:val="00210293"/>
    <w:rsid w:val="00210363"/>
    <w:rsid w:val="00210625"/>
    <w:rsid w:val="00210626"/>
    <w:rsid w:val="00210892"/>
    <w:rsid w:val="00210978"/>
    <w:rsid w:val="00210A38"/>
    <w:rsid w:val="00210ABE"/>
    <w:rsid w:val="00210B4A"/>
    <w:rsid w:val="00210B53"/>
    <w:rsid w:val="00210B5B"/>
    <w:rsid w:val="00210DFD"/>
    <w:rsid w:val="00210EA2"/>
    <w:rsid w:val="00210F65"/>
    <w:rsid w:val="00210FB4"/>
    <w:rsid w:val="002110DB"/>
    <w:rsid w:val="00211245"/>
    <w:rsid w:val="00211429"/>
    <w:rsid w:val="002117D1"/>
    <w:rsid w:val="0021182B"/>
    <w:rsid w:val="00211909"/>
    <w:rsid w:val="00211A89"/>
    <w:rsid w:val="00211AC9"/>
    <w:rsid w:val="00211B46"/>
    <w:rsid w:val="00211B4A"/>
    <w:rsid w:val="00211C75"/>
    <w:rsid w:val="00211CCE"/>
    <w:rsid w:val="00211FEF"/>
    <w:rsid w:val="0021208E"/>
    <w:rsid w:val="00212131"/>
    <w:rsid w:val="0021219B"/>
    <w:rsid w:val="0021223A"/>
    <w:rsid w:val="002123A3"/>
    <w:rsid w:val="002125C3"/>
    <w:rsid w:val="00212633"/>
    <w:rsid w:val="00212A3A"/>
    <w:rsid w:val="00212A62"/>
    <w:rsid w:val="00212B67"/>
    <w:rsid w:val="00212BDC"/>
    <w:rsid w:val="00212C7B"/>
    <w:rsid w:val="00212CC7"/>
    <w:rsid w:val="00212CD9"/>
    <w:rsid w:val="00212E90"/>
    <w:rsid w:val="00212FF1"/>
    <w:rsid w:val="0021312C"/>
    <w:rsid w:val="0021313D"/>
    <w:rsid w:val="00213212"/>
    <w:rsid w:val="0021335B"/>
    <w:rsid w:val="002133B8"/>
    <w:rsid w:val="0021354E"/>
    <w:rsid w:val="0021356F"/>
    <w:rsid w:val="00213601"/>
    <w:rsid w:val="002138D1"/>
    <w:rsid w:val="00213B02"/>
    <w:rsid w:val="00213B7E"/>
    <w:rsid w:val="00213C36"/>
    <w:rsid w:val="00213C93"/>
    <w:rsid w:val="00213E10"/>
    <w:rsid w:val="00213E92"/>
    <w:rsid w:val="00213F34"/>
    <w:rsid w:val="00213FC4"/>
    <w:rsid w:val="002144BF"/>
    <w:rsid w:val="00214645"/>
    <w:rsid w:val="002146DA"/>
    <w:rsid w:val="002146F3"/>
    <w:rsid w:val="00214941"/>
    <w:rsid w:val="00214ADD"/>
    <w:rsid w:val="00214D20"/>
    <w:rsid w:val="0021501A"/>
    <w:rsid w:val="0021536C"/>
    <w:rsid w:val="00215464"/>
    <w:rsid w:val="002154F0"/>
    <w:rsid w:val="00215502"/>
    <w:rsid w:val="002156DA"/>
    <w:rsid w:val="00215760"/>
    <w:rsid w:val="0021596B"/>
    <w:rsid w:val="00215C45"/>
    <w:rsid w:val="00215D3E"/>
    <w:rsid w:val="00215DCC"/>
    <w:rsid w:val="00215DD2"/>
    <w:rsid w:val="002160B6"/>
    <w:rsid w:val="002162E3"/>
    <w:rsid w:val="0021644E"/>
    <w:rsid w:val="0021655F"/>
    <w:rsid w:val="002166CA"/>
    <w:rsid w:val="00216854"/>
    <w:rsid w:val="00216C63"/>
    <w:rsid w:val="00217180"/>
    <w:rsid w:val="002173F3"/>
    <w:rsid w:val="0021745D"/>
    <w:rsid w:val="00217471"/>
    <w:rsid w:val="0021763E"/>
    <w:rsid w:val="00217736"/>
    <w:rsid w:val="00217740"/>
    <w:rsid w:val="002178C3"/>
    <w:rsid w:val="002178CC"/>
    <w:rsid w:val="00217E3B"/>
    <w:rsid w:val="00217F6C"/>
    <w:rsid w:val="0022051F"/>
    <w:rsid w:val="00220551"/>
    <w:rsid w:val="00220693"/>
    <w:rsid w:val="002206F4"/>
    <w:rsid w:val="002209BB"/>
    <w:rsid w:val="00220ABB"/>
    <w:rsid w:val="00220D23"/>
    <w:rsid w:val="00220DE1"/>
    <w:rsid w:val="00220E00"/>
    <w:rsid w:val="00220E21"/>
    <w:rsid w:val="00220EE1"/>
    <w:rsid w:val="00220F7C"/>
    <w:rsid w:val="00221031"/>
    <w:rsid w:val="002211B7"/>
    <w:rsid w:val="00221376"/>
    <w:rsid w:val="002213C3"/>
    <w:rsid w:val="002216D7"/>
    <w:rsid w:val="0022187C"/>
    <w:rsid w:val="0022189B"/>
    <w:rsid w:val="002218EB"/>
    <w:rsid w:val="00221AAD"/>
    <w:rsid w:val="00221E29"/>
    <w:rsid w:val="00221EE2"/>
    <w:rsid w:val="00221F73"/>
    <w:rsid w:val="00222017"/>
    <w:rsid w:val="002221F9"/>
    <w:rsid w:val="00222215"/>
    <w:rsid w:val="002222E9"/>
    <w:rsid w:val="0022238A"/>
    <w:rsid w:val="002223D2"/>
    <w:rsid w:val="00222527"/>
    <w:rsid w:val="002225BA"/>
    <w:rsid w:val="002225D4"/>
    <w:rsid w:val="00222638"/>
    <w:rsid w:val="0022283B"/>
    <w:rsid w:val="00222EF5"/>
    <w:rsid w:val="00222FA8"/>
    <w:rsid w:val="00223154"/>
    <w:rsid w:val="00223656"/>
    <w:rsid w:val="0022367A"/>
    <w:rsid w:val="002237B9"/>
    <w:rsid w:val="00223853"/>
    <w:rsid w:val="00223896"/>
    <w:rsid w:val="00223A25"/>
    <w:rsid w:val="00223C48"/>
    <w:rsid w:val="00223C97"/>
    <w:rsid w:val="00223D6F"/>
    <w:rsid w:val="00223DAD"/>
    <w:rsid w:val="00223DB4"/>
    <w:rsid w:val="00223F81"/>
    <w:rsid w:val="00224011"/>
    <w:rsid w:val="002242B7"/>
    <w:rsid w:val="0022456F"/>
    <w:rsid w:val="002245BE"/>
    <w:rsid w:val="00224741"/>
    <w:rsid w:val="00224837"/>
    <w:rsid w:val="002249AF"/>
    <w:rsid w:val="00224A7C"/>
    <w:rsid w:val="00224BCD"/>
    <w:rsid w:val="00224CE2"/>
    <w:rsid w:val="00224D45"/>
    <w:rsid w:val="00224DE7"/>
    <w:rsid w:val="00225164"/>
    <w:rsid w:val="002251CF"/>
    <w:rsid w:val="0022545D"/>
    <w:rsid w:val="0022566C"/>
    <w:rsid w:val="0022574E"/>
    <w:rsid w:val="00225A84"/>
    <w:rsid w:val="00225D80"/>
    <w:rsid w:val="00225F6D"/>
    <w:rsid w:val="00225FA4"/>
    <w:rsid w:val="00226287"/>
    <w:rsid w:val="00226587"/>
    <w:rsid w:val="0022660C"/>
    <w:rsid w:val="002267D2"/>
    <w:rsid w:val="00226954"/>
    <w:rsid w:val="00226B40"/>
    <w:rsid w:val="00226BB6"/>
    <w:rsid w:val="00226D96"/>
    <w:rsid w:val="00226D9C"/>
    <w:rsid w:val="00226EBB"/>
    <w:rsid w:val="00226F2D"/>
    <w:rsid w:val="00226F6C"/>
    <w:rsid w:val="00226F79"/>
    <w:rsid w:val="00226F9D"/>
    <w:rsid w:val="0022708E"/>
    <w:rsid w:val="00227585"/>
    <w:rsid w:val="0022767B"/>
    <w:rsid w:val="002278C0"/>
    <w:rsid w:val="00227D39"/>
    <w:rsid w:val="00227DA3"/>
    <w:rsid w:val="00227DAE"/>
    <w:rsid w:val="00227FD4"/>
    <w:rsid w:val="00230154"/>
    <w:rsid w:val="002301B9"/>
    <w:rsid w:val="00230374"/>
    <w:rsid w:val="002303AA"/>
    <w:rsid w:val="002304DD"/>
    <w:rsid w:val="002304ED"/>
    <w:rsid w:val="00230835"/>
    <w:rsid w:val="00230D8F"/>
    <w:rsid w:val="00230DFD"/>
    <w:rsid w:val="00230EEB"/>
    <w:rsid w:val="00230EFF"/>
    <w:rsid w:val="00230F85"/>
    <w:rsid w:val="00230FE1"/>
    <w:rsid w:val="0023119A"/>
    <w:rsid w:val="002313A2"/>
    <w:rsid w:val="002313D2"/>
    <w:rsid w:val="002313E5"/>
    <w:rsid w:val="00231564"/>
    <w:rsid w:val="002317EB"/>
    <w:rsid w:val="00231808"/>
    <w:rsid w:val="0023194C"/>
    <w:rsid w:val="00231E7E"/>
    <w:rsid w:val="00231EC5"/>
    <w:rsid w:val="002321E1"/>
    <w:rsid w:val="00232566"/>
    <w:rsid w:val="002327AB"/>
    <w:rsid w:val="00232816"/>
    <w:rsid w:val="00232844"/>
    <w:rsid w:val="0023288D"/>
    <w:rsid w:val="0023293F"/>
    <w:rsid w:val="00232B06"/>
    <w:rsid w:val="00232DDC"/>
    <w:rsid w:val="00232E73"/>
    <w:rsid w:val="00232F9E"/>
    <w:rsid w:val="00233186"/>
    <w:rsid w:val="002331D6"/>
    <w:rsid w:val="0023320A"/>
    <w:rsid w:val="00233222"/>
    <w:rsid w:val="00233229"/>
    <w:rsid w:val="002333C9"/>
    <w:rsid w:val="002334F0"/>
    <w:rsid w:val="0023351B"/>
    <w:rsid w:val="002336D4"/>
    <w:rsid w:val="0023381B"/>
    <w:rsid w:val="00233B00"/>
    <w:rsid w:val="00233B19"/>
    <w:rsid w:val="00233BAB"/>
    <w:rsid w:val="00233C2D"/>
    <w:rsid w:val="0023401A"/>
    <w:rsid w:val="002340A8"/>
    <w:rsid w:val="002340CB"/>
    <w:rsid w:val="002341C0"/>
    <w:rsid w:val="002343D2"/>
    <w:rsid w:val="00234500"/>
    <w:rsid w:val="0023464D"/>
    <w:rsid w:val="00234781"/>
    <w:rsid w:val="00234796"/>
    <w:rsid w:val="00234C5D"/>
    <w:rsid w:val="00234CAF"/>
    <w:rsid w:val="00234D0A"/>
    <w:rsid w:val="00234DED"/>
    <w:rsid w:val="00234E56"/>
    <w:rsid w:val="00234F3A"/>
    <w:rsid w:val="00234FC8"/>
    <w:rsid w:val="0023500A"/>
    <w:rsid w:val="002351A8"/>
    <w:rsid w:val="00235426"/>
    <w:rsid w:val="002354A7"/>
    <w:rsid w:val="002355FA"/>
    <w:rsid w:val="0023564D"/>
    <w:rsid w:val="0023574C"/>
    <w:rsid w:val="00235910"/>
    <w:rsid w:val="0023597E"/>
    <w:rsid w:val="0023598E"/>
    <w:rsid w:val="00235996"/>
    <w:rsid w:val="00235B3B"/>
    <w:rsid w:val="00235BCB"/>
    <w:rsid w:val="00235BCD"/>
    <w:rsid w:val="00235C23"/>
    <w:rsid w:val="00235C2B"/>
    <w:rsid w:val="00235CA4"/>
    <w:rsid w:val="00235F4D"/>
    <w:rsid w:val="00236001"/>
    <w:rsid w:val="00236078"/>
    <w:rsid w:val="00236210"/>
    <w:rsid w:val="002362B7"/>
    <w:rsid w:val="002362E4"/>
    <w:rsid w:val="00236572"/>
    <w:rsid w:val="00236A39"/>
    <w:rsid w:val="00236D0B"/>
    <w:rsid w:val="00237067"/>
    <w:rsid w:val="002370EC"/>
    <w:rsid w:val="0023719A"/>
    <w:rsid w:val="002372A5"/>
    <w:rsid w:val="002372BC"/>
    <w:rsid w:val="00237446"/>
    <w:rsid w:val="0023747D"/>
    <w:rsid w:val="0023749E"/>
    <w:rsid w:val="002377F0"/>
    <w:rsid w:val="00237840"/>
    <w:rsid w:val="002378EE"/>
    <w:rsid w:val="0023795E"/>
    <w:rsid w:val="00237965"/>
    <w:rsid w:val="002379D8"/>
    <w:rsid w:val="00237A2E"/>
    <w:rsid w:val="00237AC1"/>
    <w:rsid w:val="00237AC8"/>
    <w:rsid w:val="00237BCD"/>
    <w:rsid w:val="00237CEE"/>
    <w:rsid w:val="00237D94"/>
    <w:rsid w:val="00237E67"/>
    <w:rsid w:val="00237E8F"/>
    <w:rsid w:val="00237ED4"/>
    <w:rsid w:val="00237F52"/>
    <w:rsid w:val="0024008F"/>
    <w:rsid w:val="00240158"/>
    <w:rsid w:val="002402E3"/>
    <w:rsid w:val="00240335"/>
    <w:rsid w:val="00240372"/>
    <w:rsid w:val="002403E7"/>
    <w:rsid w:val="002404B5"/>
    <w:rsid w:val="002405F3"/>
    <w:rsid w:val="002406AA"/>
    <w:rsid w:val="00240881"/>
    <w:rsid w:val="00240AD2"/>
    <w:rsid w:val="00240D00"/>
    <w:rsid w:val="00240DA9"/>
    <w:rsid w:val="002413A4"/>
    <w:rsid w:val="002413C1"/>
    <w:rsid w:val="00241890"/>
    <w:rsid w:val="002418A5"/>
    <w:rsid w:val="002419CC"/>
    <w:rsid w:val="00241AA6"/>
    <w:rsid w:val="00241ABF"/>
    <w:rsid w:val="00241F69"/>
    <w:rsid w:val="00241FB6"/>
    <w:rsid w:val="002420CF"/>
    <w:rsid w:val="0024236E"/>
    <w:rsid w:val="00242567"/>
    <w:rsid w:val="0024261E"/>
    <w:rsid w:val="002426F7"/>
    <w:rsid w:val="00242823"/>
    <w:rsid w:val="00242A24"/>
    <w:rsid w:val="00242ABE"/>
    <w:rsid w:val="00242CF2"/>
    <w:rsid w:val="00242E7F"/>
    <w:rsid w:val="00242F5A"/>
    <w:rsid w:val="00242FFC"/>
    <w:rsid w:val="00243002"/>
    <w:rsid w:val="002430A8"/>
    <w:rsid w:val="0024313A"/>
    <w:rsid w:val="00243176"/>
    <w:rsid w:val="0024338B"/>
    <w:rsid w:val="00243421"/>
    <w:rsid w:val="002435CA"/>
    <w:rsid w:val="002435FD"/>
    <w:rsid w:val="002438A9"/>
    <w:rsid w:val="00243986"/>
    <w:rsid w:val="002439A0"/>
    <w:rsid w:val="002439F2"/>
    <w:rsid w:val="00243C30"/>
    <w:rsid w:val="00243CC7"/>
    <w:rsid w:val="00243D58"/>
    <w:rsid w:val="00243F76"/>
    <w:rsid w:val="00243F7B"/>
    <w:rsid w:val="00243FD5"/>
    <w:rsid w:val="00244001"/>
    <w:rsid w:val="00244230"/>
    <w:rsid w:val="002442D4"/>
    <w:rsid w:val="002444E6"/>
    <w:rsid w:val="002447B6"/>
    <w:rsid w:val="002448DF"/>
    <w:rsid w:val="00244AD7"/>
    <w:rsid w:val="00244B61"/>
    <w:rsid w:val="00244C27"/>
    <w:rsid w:val="00244DBA"/>
    <w:rsid w:val="002450EE"/>
    <w:rsid w:val="0024516F"/>
    <w:rsid w:val="002452FF"/>
    <w:rsid w:val="00245339"/>
    <w:rsid w:val="002453D1"/>
    <w:rsid w:val="002454CD"/>
    <w:rsid w:val="002456D4"/>
    <w:rsid w:val="0024582B"/>
    <w:rsid w:val="002458C4"/>
    <w:rsid w:val="002459A9"/>
    <w:rsid w:val="00245A5E"/>
    <w:rsid w:val="00245B36"/>
    <w:rsid w:val="00245DF2"/>
    <w:rsid w:val="00245E48"/>
    <w:rsid w:val="00246091"/>
    <w:rsid w:val="002460D6"/>
    <w:rsid w:val="00246176"/>
    <w:rsid w:val="0024620E"/>
    <w:rsid w:val="0024624B"/>
    <w:rsid w:val="0024627C"/>
    <w:rsid w:val="00246556"/>
    <w:rsid w:val="00246605"/>
    <w:rsid w:val="00246612"/>
    <w:rsid w:val="002466A4"/>
    <w:rsid w:val="002468ED"/>
    <w:rsid w:val="00246A42"/>
    <w:rsid w:val="00246BF3"/>
    <w:rsid w:val="00246CE7"/>
    <w:rsid w:val="00246D37"/>
    <w:rsid w:val="00246DC7"/>
    <w:rsid w:val="00246DF4"/>
    <w:rsid w:val="00246F3E"/>
    <w:rsid w:val="0024705D"/>
    <w:rsid w:val="00247093"/>
    <w:rsid w:val="002470D9"/>
    <w:rsid w:val="0024714A"/>
    <w:rsid w:val="002473E8"/>
    <w:rsid w:val="002474B8"/>
    <w:rsid w:val="0024756E"/>
    <w:rsid w:val="002476CE"/>
    <w:rsid w:val="00247B63"/>
    <w:rsid w:val="00247B76"/>
    <w:rsid w:val="00247D24"/>
    <w:rsid w:val="00250113"/>
    <w:rsid w:val="002502A7"/>
    <w:rsid w:val="00250357"/>
    <w:rsid w:val="00250575"/>
    <w:rsid w:val="002505F6"/>
    <w:rsid w:val="00250625"/>
    <w:rsid w:val="0025063B"/>
    <w:rsid w:val="00250697"/>
    <w:rsid w:val="002506E2"/>
    <w:rsid w:val="002506F0"/>
    <w:rsid w:val="00250838"/>
    <w:rsid w:val="00250C14"/>
    <w:rsid w:val="00250C1A"/>
    <w:rsid w:val="00250C56"/>
    <w:rsid w:val="00250DC2"/>
    <w:rsid w:val="00250F54"/>
    <w:rsid w:val="00250F7F"/>
    <w:rsid w:val="00250FA5"/>
    <w:rsid w:val="00251114"/>
    <w:rsid w:val="00251125"/>
    <w:rsid w:val="00251182"/>
    <w:rsid w:val="0025139C"/>
    <w:rsid w:val="002514E7"/>
    <w:rsid w:val="00251A48"/>
    <w:rsid w:val="00251C32"/>
    <w:rsid w:val="00251CC3"/>
    <w:rsid w:val="00251E00"/>
    <w:rsid w:val="002520A8"/>
    <w:rsid w:val="00252358"/>
    <w:rsid w:val="0025253D"/>
    <w:rsid w:val="00252643"/>
    <w:rsid w:val="002528A7"/>
    <w:rsid w:val="002528AE"/>
    <w:rsid w:val="002528EB"/>
    <w:rsid w:val="00252901"/>
    <w:rsid w:val="0025298E"/>
    <w:rsid w:val="00252A4F"/>
    <w:rsid w:val="00252DA5"/>
    <w:rsid w:val="00252EAC"/>
    <w:rsid w:val="00252FB9"/>
    <w:rsid w:val="00253304"/>
    <w:rsid w:val="002533C9"/>
    <w:rsid w:val="002534CE"/>
    <w:rsid w:val="00253578"/>
    <w:rsid w:val="0025364C"/>
    <w:rsid w:val="002538E5"/>
    <w:rsid w:val="00253942"/>
    <w:rsid w:val="0025398A"/>
    <w:rsid w:val="00253BCA"/>
    <w:rsid w:val="00253C5A"/>
    <w:rsid w:val="00253DDB"/>
    <w:rsid w:val="00253DEF"/>
    <w:rsid w:val="00253E96"/>
    <w:rsid w:val="0025401E"/>
    <w:rsid w:val="002540D1"/>
    <w:rsid w:val="0025410F"/>
    <w:rsid w:val="0025416E"/>
    <w:rsid w:val="00254426"/>
    <w:rsid w:val="0025453E"/>
    <w:rsid w:val="0025455B"/>
    <w:rsid w:val="00254598"/>
    <w:rsid w:val="0025468E"/>
    <w:rsid w:val="0025478D"/>
    <w:rsid w:val="00254B6B"/>
    <w:rsid w:val="00254CA6"/>
    <w:rsid w:val="00254EC6"/>
    <w:rsid w:val="00255014"/>
    <w:rsid w:val="002551D4"/>
    <w:rsid w:val="00255390"/>
    <w:rsid w:val="002553D0"/>
    <w:rsid w:val="002553E6"/>
    <w:rsid w:val="00255436"/>
    <w:rsid w:val="00255461"/>
    <w:rsid w:val="00255485"/>
    <w:rsid w:val="00255632"/>
    <w:rsid w:val="00255839"/>
    <w:rsid w:val="00255DDB"/>
    <w:rsid w:val="00255EF4"/>
    <w:rsid w:val="00255F56"/>
    <w:rsid w:val="00255F5E"/>
    <w:rsid w:val="00255F7E"/>
    <w:rsid w:val="002560D9"/>
    <w:rsid w:val="00256241"/>
    <w:rsid w:val="00256265"/>
    <w:rsid w:val="00256485"/>
    <w:rsid w:val="002564DA"/>
    <w:rsid w:val="00256738"/>
    <w:rsid w:val="00256973"/>
    <w:rsid w:val="00256A95"/>
    <w:rsid w:val="00256B4E"/>
    <w:rsid w:val="00256D60"/>
    <w:rsid w:val="00256D63"/>
    <w:rsid w:val="00256D8B"/>
    <w:rsid w:val="0025705B"/>
    <w:rsid w:val="00257070"/>
    <w:rsid w:val="002570C2"/>
    <w:rsid w:val="002570FB"/>
    <w:rsid w:val="00257150"/>
    <w:rsid w:val="002576F6"/>
    <w:rsid w:val="002577AE"/>
    <w:rsid w:val="002577F8"/>
    <w:rsid w:val="00257800"/>
    <w:rsid w:val="00257958"/>
    <w:rsid w:val="0025796E"/>
    <w:rsid w:val="0025797D"/>
    <w:rsid w:val="00257A01"/>
    <w:rsid w:val="00257BF0"/>
    <w:rsid w:val="00257D64"/>
    <w:rsid w:val="0026005F"/>
    <w:rsid w:val="00260168"/>
    <w:rsid w:val="002601F0"/>
    <w:rsid w:val="00260338"/>
    <w:rsid w:val="00260378"/>
    <w:rsid w:val="002605C2"/>
    <w:rsid w:val="0026060E"/>
    <w:rsid w:val="00260849"/>
    <w:rsid w:val="0026086F"/>
    <w:rsid w:val="00260A79"/>
    <w:rsid w:val="00260B73"/>
    <w:rsid w:val="00260C67"/>
    <w:rsid w:val="00260CAD"/>
    <w:rsid w:val="00260DCC"/>
    <w:rsid w:val="00260FC7"/>
    <w:rsid w:val="0026107D"/>
    <w:rsid w:val="0026118B"/>
    <w:rsid w:val="002611D0"/>
    <w:rsid w:val="00261227"/>
    <w:rsid w:val="0026141A"/>
    <w:rsid w:val="00261823"/>
    <w:rsid w:val="00261871"/>
    <w:rsid w:val="002618D9"/>
    <w:rsid w:val="00261A3C"/>
    <w:rsid w:val="00261B03"/>
    <w:rsid w:val="00261D71"/>
    <w:rsid w:val="00261D89"/>
    <w:rsid w:val="00261F61"/>
    <w:rsid w:val="00262448"/>
    <w:rsid w:val="0026250D"/>
    <w:rsid w:val="002625F4"/>
    <w:rsid w:val="002626D0"/>
    <w:rsid w:val="0026280F"/>
    <w:rsid w:val="0026299A"/>
    <w:rsid w:val="00262B53"/>
    <w:rsid w:val="00262B55"/>
    <w:rsid w:val="00262D08"/>
    <w:rsid w:val="00262E3D"/>
    <w:rsid w:val="00262E48"/>
    <w:rsid w:val="00262E56"/>
    <w:rsid w:val="00262F0F"/>
    <w:rsid w:val="00262F77"/>
    <w:rsid w:val="00263230"/>
    <w:rsid w:val="0026326F"/>
    <w:rsid w:val="002633C1"/>
    <w:rsid w:val="00263572"/>
    <w:rsid w:val="002636CA"/>
    <w:rsid w:val="002636FB"/>
    <w:rsid w:val="00263832"/>
    <w:rsid w:val="00263900"/>
    <w:rsid w:val="00263C17"/>
    <w:rsid w:val="00263D50"/>
    <w:rsid w:val="00263D54"/>
    <w:rsid w:val="00263FA8"/>
    <w:rsid w:val="0026423D"/>
    <w:rsid w:val="0026425A"/>
    <w:rsid w:val="002645FB"/>
    <w:rsid w:val="00264620"/>
    <w:rsid w:val="00264643"/>
    <w:rsid w:val="002647C9"/>
    <w:rsid w:val="002649EE"/>
    <w:rsid w:val="00264A1D"/>
    <w:rsid w:val="00264A2D"/>
    <w:rsid w:val="00264A8E"/>
    <w:rsid w:val="00264CB8"/>
    <w:rsid w:val="0026501D"/>
    <w:rsid w:val="002650D7"/>
    <w:rsid w:val="002652C6"/>
    <w:rsid w:val="002655A3"/>
    <w:rsid w:val="0026575C"/>
    <w:rsid w:val="002657D1"/>
    <w:rsid w:val="00265822"/>
    <w:rsid w:val="00265839"/>
    <w:rsid w:val="00265B7B"/>
    <w:rsid w:val="00265D17"/>
    <w:rsid w:val="00265D66"/>
    <w:rsid w:val="00265E93"/>
    <w:rsid w:val="00265F31"/>
    <w:rsid w:val="00266033"/>
    <w:rsid w:val="002660D3"/>
    <w:rsid w:val="002662F6"/>
    <w:rsid w:val="002665C6"/>
    <w:rsid w:val="002666BA"/>
    <w:rsid w:val="00266885"/>
    <w:rsid w:val="00266B1C"/>
    <w:rsid w:val="00266D20"/>
    <w:rsid w:val="00267205"/>
    <w:rsid w:val="002672CE"/>
    <w:rsid w:val="002672F5"/>
    <w:rsid w:val="00267361"/>
    <w:rsid w:val="0026736A"/>
    <w:rsid w:val="00267498"/>
    <w:rsid w:val="00267661"/>
    <w:rsid w:val="002676B4"/>
    <w:rsid w:val="00267922"/>
    <w:rsid w:val="00267A2A"/>
    <w:rsid w:val="00267D7D"/>
    <w:rsid w:val="00267DEA"/>
    <w:rsid w:val="00267FC4"/>
    <w:rsid w:val="0027028A"/>
    <w:rsid w:val="0027039F"/>
    <w:rsid w:val="002703AE"/>
    <w:rsid w:val="00270492"/>
    <w:rsid w:val="00270644"/>
    <w:rsid w:val="00270721"/>
    <w:rsid w:val="00270748"/>
    <w:rsid w:val="0027094C"/>
    <w:rsid w:val="00270A6E"/>
    <w:rsid w:val="00270B9F"/>
    <w:rsid w:val="00270C50"/>
    <w:rsid w:val="00270CA9"/>
    <w:rsid w:val="00270D9E"/>
    <w:rsid w:val="00270E97"/>
    <w:rsid w:val="00270F6B"/>
    <w:rsid w:val="00270F79"/>
    <w:rsid w:val="00270F80"/>
    <w:rsid w:val="002710FD"/>
    <w:rsid w:val="002712E5"/>
    <w:rsid w:val="002716C5"/>
    <w:rsid w:val="00271819"/>
    <w:rsid w:val="0027183E"/>
    <w:rsid w:val="002718D3"/>
    <w:rsid w:val="00271A93"/>
    <w:rsid w:val="00271C84"/>
    <w:rsid w:val="00271CC5"/>
    <w:rsid w:val="00271D33"/>
    <w:rsid w:val="00271FAB"/>
    <w:rsid w:val="002720B3"/>
    <w:rsid w:val="0027212D"/>
    <w:rsid w:val="0027220F"/>
    <w:rsid w:val="00272302"/>
    <w:rsid w:val="002723D6"/>
    <w:rsid w:val="00272410"/>
    <w:rsid w:val="00272A22"/>
    <w:rsid w:val="00272A36"/>
    <w:rsid w:val="00272A89"/>
    <w:rsid w:val="00272C93"/>
    <w:rsid w:val="00272DB5"/>
    <w:rsid w:val="00272F36"/>
    <w:rsid w:val="00272F39"/>
    <w:rsid w:val="002731C6"/>
    <w:rsid w:val="00273204"/>
    <w:rsid w:val="0027320D"/>
    <w:rsid w:val="00273248"/>
    <w:rsid w:val="002732B3"/>
    <w:rsid w:val="002734A0"/>
    <w:rsid w:val="002734B6"/>
    <w:rsid w:val="00273541"/>
    <w:rsid w:val="0027365A"/>
    <w:rsid w:val="002736BE"/>
    <w:rsid w:val="002737DB"/>
    <w:rsid w:val="0027383D"/>
    <w:rsid w:val="002738A2"/>
    <w:rsid w:val="0027396F"/>
    <w:rsid w:val="00273C10"/>
    <w:rsid w:val="00273D23"/>
    <w:rsid w:val="00273E5A"/>
    <w:rsid w:val="00273E79"/>
    <w:rsid w:val="00273F81"/>
    <w:rsid w:val="00273FC4"/>
    <w:rsid w:val="00273FC5"/>
    <w:rsid w:val="00273FF1"/>
    <w:rsid w:val="00274087"/>
    <w:rsid w:val="002740C2"/>
    <w:rsid w:val="0027411B"/>
    <w:rsid w:val="00274362"/>
    <w:rsid w:val="00274678"/>
    <w:rsid w:val="002747C4"/>
    <w:rsid w:val="002747CA"/>
    <w:rsid w:val="002749CA"/>
    <w:rsid w:val="002749F6"/>
    <w:rsid w:val="00274B41"/>
    <w:rsid w:val="00274C0A"/>
    <w:rsid w:val="00274CD9"/>
    <w:rsid w:val="00274F8F"/>
    <w:rsid w:val="00275093"/>
    <w:rsid w:val="0027524E"/>
    <w:rsid w:val="00275295"/>
    <w:rsid w:val="0027531A"/>
    <w:rsid w:val="00275456"/>
    <w:rsid w:val="00275658"/>
    <w:rsid w:val="00275776"/>
    <w:rsid w:val="00275928"/>
    <w:rsid w:val="00275A96"/>
    <w:rsid w:val="00275DFC"/>
    <w:rsid w:val="00275E98"/>
    <w:rsid w:val="00275FAF"/>
    <w:rsid w:val="002760E0"/>
    <w:rsid w:val="002761E9"/>
    <w:rsid w:val="002762E0"/>
    <w:rsid w:val="002763F1"/>
    <w:rsid w:val="002765C0"/>
    <w:rsid w:val="002765DD"/>
    <w:rsid w:val="00276614"/>
    <w:rsid w:val="0027674A"/>
    <w:rsid w:val="00276A98"/>
    <w:rsid w:val="00276AA6"/>
    <w:rsid w:val="00276B4B"/>
    <w:rsid w:val="002771DB"/>
    <w:rsid w:val="0027724F"/>
    <w:rsid w:val="0027731B"/>
    <w:rsid w:val="002773B2"/>
    <w:rsid w:val="00277412"/>
    <w:rsid w:val="00277474"/>
    <w:rsid w:val="002774DE"/>
    <w:rsid w:val="002775FE"/>
    <w:rsid w:val="002776C4"/>
    <w:rsid w:val="002776CC"/>
    <w:rsid w:val="00277796"/>
    <w:rsid w:val="002778F2"/>
    <w:rsid w:val="00277924"/>
    <w:rsid w:val="00277A43"/>
    <w:rsid w:val="00277B1E"/>
    <w:rsid w:val="00277B55"/>
    <w:rsid w:val="00277C26"/>
    <w:rsid w:val="00277D9B"/>
    <w:rsid w:val="002800B4"/>
    <w:rsid w:val="002800D4"/>
    <w:rsid w:val="0028029A"/>
    <w:rsid w:val="002802AC"/>
    <w:rsid w:val="00280451"/>
    <w:rsid w:val="0028055C"/>
    <w:rsid w:val="0028056B"/>
    <w:rsid w:val="00280848"/>
    <w:rsid w:val="002808B6"/>
    <w:rsid w:val="00280C87"/>
    <w:rsid w:val="00280D46"/>
    <w:rsid w:val="00280D5A"/>
    <w:rsid w:val="00280E03"/>
    <w:rsid w:val="00280E58"/>
    <w:rsid w:val="00281295"/>
    <w:rsid w:val="0028137D"/>
    <w:rsid w:val="00281518"/>
    <w:rsid w:val="00281687"/>
    <w:rsid w:val="002817F4"/>
    <w:rsid w:val="00281BD6"/>
    <w:rsid w:val="00281CB6"/>
    <w:rsid w:val="00281EE9"/>
    <w:rsid w:val="00281F8D"/>
    <w:rsid w:val="00281FA5"/>
    <w:rsid w:val="00282025"/>
    <w:rsid w:val="0028203C"/>
    <w:rsid w:val="00282124"/>
    <w:rsid w:val="00282200"/>
    <w:rsid w:val="00282326"/>
    <w:rsid w:val="00282379"/>
    <w:rsid w:val="002826CC"/>
    <w:rsid w:val="002826DE"/>
    <w:rsid w:val="00282728"/>
    <w:rsid w:val="002827F4"/>
    <w:rsid w:val="0028282E"/>
    <w:rsid w:val="00282851"/>
    <w:rsid w:val="00282920"/>
    <w:rsid w:val="00282A0E"/>
    <w:rsid w:val="00282C42"/>
    <w:rsid w:val="00282CCD"/>
    <w:rsid w:val="00283086"/>
    <w:rsid w:val="002831AD"/>
    <w:rsid w:val="00283241"/>
    <w:rsid w:val="00283271"/>
    <w:rsid w:val="0028343E"/>
    <w:rsid w:val="0028343F"/>
    <w:rsid w:val="00283465"/>
    <w:rsid w:val="00283498"/>
    <w:rsid w:val="002834DF"/>
    <w:rsid w:val="00283559"/>
    <w:rsid w:val="00283830"/>
    <w:rsid w:val="0028385A"/>
    <w:rsid w:val="00283A50"/>
    <w:rsid w:val="00283A99"/>
    <w:rsid w:val="00283B6F"/>
    <w:rsid w:val="00283C85"/>
    <w:rsid w:val="00283FA9"/>
    <w:rsid w:val="00284231"/>
    <w:rsid w:val="00284290"/>
    <w:rsid w:val="002842F0"/>
    <w:rsid w:val="00284451"/>
    <w:rsid w:val="00284483"/>
    <w:rsid w:val="0028458B"/>
    <w:rsid w:val="002845FC"/>
    <w:rsid w:val="002847A3"/>
    <w:rsid w:val="002849AB"/>
    <w:rsid w:val="00284A88"/>
    <w:rsid w:val="00284B27"/>
    <w:rsid w:val="00284BB6"/>
    <w:rsid w:val="00284D7B"/>
    <w:rsid w:val="00284E28"/>
    <w:rsid w:val="00284E4A"/>
    <w:rsid w:val="0028529C"/>
    <w:rsid w:val="0028541D"/>
    <w:rsid w:val="0028559D"/>
    <w:rsid w:val="00285683"/>
    <w:rsid w:val="00285857"/>
    <w:rsid w:val="00285A65"/>
    <w:rsid w:val="00285D1D"/>
    <w:rsid w:val="00285E0B"/>
    <w:rsid w:val="00285FCC"/>
    <w:rsid w:val="002860C5"/>
    <w:rsid w:val="00286372"/>
    <w:rsid w:val="002864E0"/>
    <w:rsid w:val="002865F2"/>
    <w:rsid w:val="00286936"/>
    <w:rsid w:val="00286D01"/>
    <w:rsid w:val="00286D0F"/>
    <w:rsid w:val="00286DD7"/>
    <w:rsid w:val="00286DE9"/>
    <w:rsid w:val="00286E6B"/>
    <w:rsid w:val="00286EC0"/>
    <w:rsid w:val="00286F71"/>
    <w:rsid w:val="0028717E"/>
    <w:rsid w:val="002871E9"/>
    <w:rsid w:val="00287231"/>
    <w:rsid w:val="002872CF"/>
    <w:rsid w:val="0028733F"/>
    <w:rsid w:val="0028734C"/>
    <w:rsid w:val="00287577"/>
    <w:rsid w:val="002875C6"/>
    <w:rsid w:val="002875F8"/>
    <w:rsid w:val="002878D0"/>
    <w:rsid w:val="002879DC"/>
    <w:rsid w:val="00287A28"/>
    <w:rsid w:val="00287A7D"/>
    <w:rsid w:val="00287D4C"/>
    <w:rsid w:val="0029054F"/>
    <w:rsid w:val="002905FC"/>
    <w:rsid w:val="00290626"/>
    <w:rsid w:val="002906FE"/>
    <w:rsid w:val="002909FF"/>
    <w:rsid w:val="00290A3C"/>
    <w:rsid w:val="00290AD9"/>
    <w:rsid w:val="00290B33"/>
    <w:rsid w:val="00290BB3"/>
    <w:rsid w:val="00290BFB"/>
    <w:rsid w:val="00290DD5"/>
    <w:rsid w:val="00291021"/>
    <w:rsid w:val="00291045"/>
    <w:rsid w:val="0029107E"/>
    <w:rsid w:val="002910A5"/>
    <w:rsid w:val="00291357"/>
    <w:rsid w:val="00291943"/>
    <w:rsid w:val="00291CC3"/>
    <w:rsid w:val="00291DF5"/>
    <w:rsid w:val="00291E9A"/>
    <w:rsid w:val="00291EA0"/>
    <w:rsid w:val="00291F38"/>
    <w:rsid w:val="00291F47"/>
    <w:rsid w:val="00292031"/>
    <w:rsid w:val="0029204C"/>
    <w:rsid w:val="00292060"/>
    <w:rsid w:val="002920ED"/>
    <w:rsid w:val="00292170"/>
    <w:rsid w:val="002921F5"/>
    <w:rsid w:val="002922AB"/>
    <w:rsid w:val="00292363"/>
    <w:rsid w:val="0029241E"/>
    <w:rsid w:val="00292473"/>
    <w:rsid w:val="0029248E"/>
    <w:rsid w:val="002924AE"/>
    <w:rsid w:val="002924D0"/>
    <w:rsid w:val="0029250F"/>
    <w:rsid w:val="00292728"/>
    <w:rsid w:val="00292947"/>
    <w:rsid w:val="0029298D"/>
    <w:rsid w:val="002929A7"/>
    <w:rsid w:val="00292B05"/>
    <w:rsid w:val="00292BC6"/>
    <w:rsid w:val="00292D4B"/>
    <w:rsid w:val="00292E49"/>
    <w:rsid w:val="00292F35"/>
    <w:rsid w:val="00292F47"/>
    <w:rsid w:val="00292FFB"/>
    <w:rsid w:val="0029309E"/>
    <w:rsid w:val="0029312D"/>
    <w:rsid w:val="002932DB"/>
    <w:rsid w:val="00293384"/>
    <w:rsid w:val="002933F0"/>
    <w:rsid w:val="002934E4"/>
    <w:rsid w:val="002935F6"/>
    <w:rsid w:val="002935FF"/>
    <w:rsid w:val="0029361F"/>
    <w:rsid w:val="00293888"/>
    <w:rsid w:val="002938B1"/>
    <w:rsid w:val="00293A08"/>
    <w:rsid w:val="00293A7F"/>
    <w:rsid w:val="00293B55"/>
    <w:rsid w:val="00293C10"/>
    <w:rsid w:val="00293C7C"/>
    <w:rsid w:val="00293D3D"/>
    <w:rsid w:val="00293DCC"/>
    <w:rsid w:val="00293FF7"/>
    <w:rsid w:val="00294017"/>
    <w:rsid w:val="0029420E"/>
    <w:rsid w:val="00294282"/>
    <w:rsid w:val="002942A4"/>
    <w:rsid w:val="00294387"/>
    <w:rsid w:val="002943FA"/>
    <w:rsid w:val="0029488B"/>
    <w:rsid w:val="00294A0A"/>
    <w:rsid w:val="00294A13"/>
    <w:rsid w:val="00294A63"/>
    <w:rsid w:val="00294B07"/>
    <w:rsid w:val="00294D0D"/>
    <w:rsid w:val="00294E13"/>
    <w:rsid w:val="0029500A"/>
    <w:rsid w:val="00295060"/>
    <w:rsid w:val="0029519D"/>
    <w:rsid w:val="00295285"/>
    <w:rsid w:val="0029530F"/>
    <w:rsid w:val="002953AC"/>
    <w:rsid w:val="002954D5"/>
    <w:rsid w:val="0029559B"/>
    <w:rsid w:val="0029598C"/>
    <w:rsid w:val="002959F4"/>
    <w:rsid w:val="00295ADB"/>
    <w:rsid w:val="00295BBC"/>
    <w:rsid w:val="00295DEC"/>
    <w:rsid w:val="00295E86"/>
    <w:rsid w:val="00295F3C"/>
    <w:rsid w:val="0029607F"/>
    <w:rsid w:val="0029633C"/>
    <w:rsid w:val="00296417"/>
    <w:rsid w:val="002964A2"/>
    <w:rsid w:val="00296944"/>
    <w:rsid w:val="00296A6B"/>
    <w:rsid w:val="00296BE8"/>
    <w:rsid w:val="00296D84"/>
    <w:rsid w:val="00296E7A"/>
    <w:rsid w:val="00297012"/>
    <w:rsid w:val="00297105"/>
    <w:rsid w:val="0029719B"/>
    <w:rsid w:val="0029721C"/>
    <w:rsid w:val="002972B4"/>
    <w:rsid w:val="0029735A"/>
    <w:rsid w:val="00297491"/>
    <w:rsid w:val="002974A8"/>
    <w:rsid w:val="0029787D"/>
    <w:rsid w:val="00297BB0"/>
    <w:rsid w:val="00297D26"/>
    <w:rsid w:val="00297D6A"/>
    <w:rsid w:val="002A0068"/>
    <w:rsid w:val="002A011F"/>
    <w:rsid w:val="002A0381"/>
    <w:rsid w:val="002A0382"/>
    <w:rsid w:val="002A0387"/>
    <w:rsid w:val="002A039F"/>
    <w:rsid w:val="002A0416"/>
    <w:rsid w:val="002A05EB"/>
    <w:rsid w:val="002A0774"/>
    <w:rsid w:val="002A0775"/>
    <w:rsid w:val="002A0846"/>
    <w:rsid w:val="002A084F"/>
    <w:rsid w:val="002A0AD9"/>
    <w:rsid w:val="002A0C1D"/>
    <w:rsid w:val="002A0E02"/>
    <w:rsid w:val="002A0E15"/>
    <w:rsid w:val="002A1060"/>
    <w:rsid w:val="002A1068"/>
    <w:rsid w:val="002A129C"/>
    <w:rsid w:val="002A14B1"/>
    <w:rsid w:val="002A1533"/>
    <w:rsid w:val="002A15CF"/>
    <w:rsid w:val="002A16C6"/>
    <w:rsid w:val="002A1983"/>
    <w:rsid w:val="002A1989"/>
    <w:rsid w:val="002A19D8"/>
    <w:rsid w:val="002A19F3"/>
    <w:rsid w:val="002A1A0E"/>
    <w:rsid w:val="002A1A1A"/>
    <w:rsid w:val="002A1B0C"/>
    <w:rsid w:val="002A1DD2"/>
    <w:rsid w:val="002A1F34"/>
    <w:rsid w:val="002A1F5C"/>
    <w:rsid w:val="002A2150"/>
    <w:rsid w:val="002A2297"/>
    <w:rsid w:val="002A2486"/>
    <w:rsid w:val="002A26A0"/>
    <w:rsid w:val="002A2847"/>
    <w:rsid w:val="002A2A2D"/>
    <w:rsid w:val="002A2A3D"/>
    <w:rsid w:val="002A2AFA"/>
    <w:rsid w:val="002A2B24"/>
    <w:rsid w:val="002A2C7E"/>
    <w:rsid w:val="002A2CAA"/>
    <w:rsid w:val="002A2D48"/>
    <w:rsid w:val="002A2FED"/>
    <w:rsid w:val="002A30B7"/>
    <w:rsid w:val="002A3185"/>
    <w:rsid w:val="002A3439"/>
    <w:rsid w:val="002A3570"/>
    <w:rsid w:val="002A3956"/>
    <w:rsid w:val="002A3B35"/>
    <w:rsid w:val="002A3F66"/>
    <w:rsid w:val="002A4084"/>
    <w:rsid w:val="002A40B2"/>
    <w:rsid w:val="002A432C"/>
    <w:rsid w:val="002A44CD"/>
    <w:rsid w:val="002A4507"/>
    <w:rsid w:val="002A4584"/>
    <w:rsid w:val="002A469A"/>
    <w:rsid w:val="002A47F2"/>
    <w:rsid w:val="002A4835"/>
    <w:rsid w:val="002A495C"/>
    <w:rsid w:val="002A4EAA"/>
    <w:rsid w:val="002A4FF2"/>
    <w:rsid w:val="002A529C"/>
    <w:rsid w:val="002A52B4"/>
    <w:rsid w:val="002A530F"/>
    <w:rsid w:val="002A567D"/>
    <w:rsid w:val="002A5778"/>
    <w:rsid w:val="002A598C"/>
    <w:rsid w:val="002A5A6A"/>
    <w:rsid w:val="002A5A76"/>
    <w:rsid w:val="002A5B6F"/>
    <w:rsid w:val="002A5BC5"/>
    <w:rsid w:val="002A5C26"/>
    <w:rsid w:val="002A5C37"/>
    <w:rsid w:val="002A5E9A"/>
    <w:rsid w:val="002A5F45"/>
    <w:rsid w:val="002A5F8E"/>
    <w:rsid w:val="002A638F"/>
    <w:rsid w:val="002A64DD"/>
    <w:rsid w:val="002A6569"/>
    <w:rsid w:val="002A66E9"/>
    <w:rsid w:val="002A679D"/>
    <w:rsid w:val="002A686E"/>
    <w:rsid w:val="002A687E"/>
    <w:rsid w:val="002A68F7"/>
    <w:rsid w:val="002A6A01"/>
    <w:rsid w:val="002A6B44"/>
    <w:rsid w:val="002A6BDD"/>
    <w:rsid w:val="002A6C23"/>
    <w:rsid w:val="002A6C30"/>
    <w:rsid w:val="002A6D3E"/>
    <w:rsid w:val="002A6F2B"/>
    <w:rsid w:val="002A7198"/>
    <w:rsid w:val="002A71CF"/>
    <w:rsid w:val="002A73C9"/>
    <w:rsid w:val="002A7464"/>
    <w:rsid w:val="002A75D6"/>
    <w:rsid w:val="002A7953"/>
    <w:rsid w:val="002A7B7F"/>
    <w:rsid w:val="002A7BF5"/>
    <w:rsid w:val="002A7D3C"/>
    <w:rsid w:val="002A7D98"/>
    <w:rsid w:val="002A7FEF"/>
    <w:rsid w:val="002B026D"/>
    <w:rsid w:val="002B03EE"/>
    <w:rsid w:val="002B04EB"/>
    <w:rsid w:val="002B057C"/>
    <w:rsid w:val="002B05B2"/>
    <w:rsid w:val="002B06F3"/>
    <w:rsid w:val="002B070A"/>
    <w:rsid w:val="002B07BD"/>
    <w:rsid w:val="002B0985"/>
    <w:rsid w:val="002B09B6"/>
    <w:rsid w:val="002B0A21"/>
    <w:rsid w:val="002B0AB8"/>
    <w:rsid w:val="002B0CB6"/>
    <w:rsid w:val="002B1045"/>
    <w:rsid w:val="002B1078"/>
    <w:rsid w:val="002B1235"/>
    <w:rsid w:val="002B1305"/>
    <w:rsid w:val="002B158C"/>
    <w:rsid w:val="002B165D"/>
    <w:rsid w:val="002B16E5"/>
    <w:rsid w:val="002B18FC"/>
    <w:rsid w:val="002B1ADD"/>
    <w:rsid w:val="002B1B3C"/>
    <w:rsid w:val="002B1B43"/>
    <w:rsid w:val="002B1C72"/>
    <w:rsid w:val="002B2008"/>
    <w:rsid w:val="002B23E4"/>
    <w:rsid w:val="002B23E7"/>
    <w:rsid w:val="002B25C9"/>
    <w:rsid w:val="002B264F"/>
    <w:rsid w:val="002B2741"/>
    <w:rsid w:val="002B282D"/>
    <w:rsid w:val="002B283F"/>
    <w:rsid w:val="002B29A0"/>
    <w:rsid w:val="002B2A21"/>
    <w:rsid w:val="002B2B13"/>
    <w:rsid w:val="002B2B24"/>
    <w:rsid w:val="002B2B3B"/>
    <w:rsid w:val="002B2BF8"/>
    <w:rsid w:val="002B3082"/>
    <w:rsid w:val="002B3322"/>
    <w:rsid w:val="002B338E"/>
    <w:rsid w:val="002B34B7"/>
    <w:rsid w:val="002B384E"/>
    <w:rsid w:val="002B38C0"/>
    <w:rsid w:val="002B3A12"/>
    <w:rsid w:val="002B3AAC"/>
    <w:rsid w:val="002B3B69"/>
    <w:rsid w:val="002B3BA0"/>
    <w:rsid w:val="002B3D14"/>
    <w:rsid w:val="002B3D58"/>
    <w:rsid w:val="002B3ED7"/>
    <w:rsid w:val="002B3FB0"/>
    <w:rsid w:val="002B3FEB"/>
    <w:rsid w:val="002B4287"/>
    <w:rsid w:val="002B4418"/>
    <w:rsid w:val="002B4587"/>
    <w:rsid w:val="002B4665"/>
    <w:rsid w:val="002B46CA"/>
    <w:rsid w:val="002B4814"/>
    <w:rsid w:val="002B48FA"/>
    <w:rsid w:val="002B4E33"/>
    <w:rsid w:val="002B4E6A"/>
    <w:rsid w:val="002B4EB1"/>
    <w:rsid w:val="002B52E8"/>
    <w:rsid w:val="002B534A"/>
    <w:rsid w:val="002B5434"/>
    <w:rsid w:val="002B54CA"/>
    <w:rsid w:val="002B5741"/>
    <w:rsid w:val="002B574E"/>
    <w:rsid w:val="002B577A"/>
    <w:rsid w:val="002B57AD"/>
    <w:rsid w:val="002B57C1"/>
    <w:rsid w:val="002B5918"/>
    <w:rsid w:val="002B59C4"/>
    <w:rsid w:val="002B5A25"/>
    <w:rsid w:val="002B5F33"/>
    <w:rsid w:val="002B6006"/>
    <w:rsid w:val="002B6068"/>
    <w:rsid w:val="002B6121"/>
    <w:rsid w:val="002B6354"/>
    <w:rsid w:val="002B63CA"/>
    <w:rsid w:val="002B6498"/>
    <w:rsid w:val="002B65C6"/>
    <w:rsid w:val="002B671E"/>
    <w:rsid w:val="002B6768"/>
    <w:rsid w:val="002B6BB5"/>
    <w:rsid w:val="002B6CCB"/>
    <w:rsid w:val="002B6CD7"/>
    <w:rsid w:val="002B6D76"/>
    <w:rsid w:val="002B6E69"/>
    <w:rsid w:val="002B6F26"/>
    <w:rsid w:val="002B6FA7"/>
    <w:rsid w:val="002B7178"/>
    <w:rsid w:val="002B7232"/>
    <w:rsid w:val="002B7433"/>
    <w:rsid w:val="002B75A4"/>
    <w:rsid w:val="002B762F"/>
    <w:rsid w:val="002B7794"/>
    <w:rsid w:val="002B7826"/>
    <w:rsid w:val="002B78B3"/>
    <w:rsid w:val="002B7906"/>
    <w:rsid w:val="002B79DE"/>
    <w:rsid w:val="002B7A6C"/>
    <w:rsid w:val="002B7BFF"/>
    <w:rsid w:val="002B7C3F"/>
    <w:rsid w:val="002B7C59"/>
    <w:rsid w:val="002B7D0C"/>
    <w:rsid w:val="002C00D4"/>
    <w:rsid w:val="002C0158"/>
    <w:rsid w:val="002C018E"/>
    <w:rsid w:val="002C0191"/>
    <w:rsid w:val="002C02B6"/>
    <w:rsid w:val="002C03A6"/>
    <w:rsid w:val="002C04C6"/>
    <w:rsid w:val="002C059C"/>
    <w:rsid w:val="002C065C"/>
    <w:rsid w:val="002C06B5"/>
    <w:rsid w:val="002C0837"/>
    <w:rsid w:val="002C0923"/>
    <w:rsid w:val="002C092A"/>
    <w:rsid w:val="002C0964"/>
    <w:rsid w:val="002C0ADB"/>
    <w:rsid w:val="002C0BFF"/>
    <w:rsid w:val="002C0C6C"/>
    <w:rsid w:val="002C0E56"/>
    <w:rsid w:val="002C0E9D"/>
    <w:rsid w:val="002C0F44"/>
    <w:rsid w:val="002C1101"/>
    <w:rsid w:val="002C1114"/>
    <w:rsid w:val="002C11DC"/>
    <w:rsid w:val="002C1309"/>
    <w:rsid w:val="002C1463"/>
    <w:rsid w:val="002C147D"/>
    <w:rsid w:val="002C14B2"/>
    <w:rsid w:val="002C1584"/>
    <w:rsid w:val="002C15F5"/>
    <w:rsid w:val="002C16B5"/>
    <w:rsid w:val="002C16F7"/>
    <w:rsid w:val="002C16FE"/>
    <w:rsid w:val="002C17DA"/>
    <w:rsid w:val="002C1856"/>
    <w:rsid w:val="002C1960"/>
    <w:rsid w:val="002C1DC5"/>
    <w:rsid w:val="002C1FB2"/>
    <w:rsid w:val="002C21E7"/>
    <w:rsid w:val="002C2408"/>
    <w:rsid w:val="002C241E"/>
    <w:rsid w:val="002C25DC"/>
    <w:rsid w:val="002C2724"/>
    <w:rsid w:val="002C278A"/>
    <w:rsid w:val="002C279C"/>
    <w:rsid w:val="002C27B3"/>
    <w:rsid w:val="002C2884"/>
    <w:rsid w:val="002C2911"/>
    <w:rsid w:val="002C2953"/>
    <w:rsid w:val="002C29CE"/>
    <w:rsid w:val="002C2A06"/>
    <w:rsid w:val="002C2A28"/>
    <w:rsid w:val="002C2B62"/>
    <w:rsid w:val="002C2D47"/>
    <w:rsid w:val="002C2F50"/>
    <w:rsid w:val="002C2FA1"/>
    <w:rsid w:val="002C314A"/>
    <w:rsid w:val="002C33FA"/>
    <w:rsid w:val="002C38E8"/>
    <w:rsid w:val="002C395E"/>
    <w:rsid w:val="002C3A28"/>
    <w:rsid w:val="002C3A63"/>
    <w:rsid w:val="002C3B04"/>
    <w:rsid w:val="002C441F"/>
    <w:rsid w:val="002C4440"/>
    <w:rsid w:val="002C460A"/>
    <w:rsid w:val="002C4751"/>
    <w:rsid w:val="002C4CE5"/>
    <w:rsid w:val="002C4CF8"/>
    <w:rsid w:val="002C4E72"/>
    <w:rsid w:val="002C4EA6"/>
    <w:rsid w:val="002C4F96"/>
    <w:rsid w:val="002C520B"/>
    <w:rsid w:val="002C521D"/>
    <w:rsid w:val="002C5367"/>
    <w:rsid w:val="002C5505"/>
    <w:rsid w:val="002C5686"/>
    <w:rsid w:val="002C57E4"/>
    <w:rsid w:val="002C5B83"/>
    <w:rsid w:val="002C5BA9"/>
    <w:rsid w:val="002C5C66"/>
    <w:rsid w:val="002C5D45"/>
    <w:rsid w:val="002C5E27"/>
    <w:rsid w:val="002C5F51"/>
    <w:rsid w:val="002C61D8"/>
    <w:rsid w:val="002C61E4"/>
    <w:rsid w:val="002C64A5"/>
    <w:rsid w:val="002C653B"/>
    <w:rsid w:val="002C668C"/>
    <w:rsid w:val="002C6775"/>
    <w:rsid w:val="002C678F"/>
    <w:rsid w:val="002C6A72"/>
    <w:rsid w:val="002C6AB1"/>
    <w:rsid w:val="002C6B37"/>
    <w:rsid w:val="002C6B5F"/>
    <w:rsid w:val="002C6C8F"/>
    <w:rsid w:val="002C6C90"/>
    <w:rsid w:val="002C6C9B"/>
    <w:rsid w:val="002C6D9F"/>
    <w:rsid w:val="002C6DE0"/>
    <w:rsid w:val="002C6ED7"/>
    <w:rsid w:val="002C6F15"/>
    <w:rsid w:val="002C7025"/>
    <w:rsid w:val="002C710A"/>
    <w:rsid w:val="002C7117"/>
    <w:rsid w:val="002C719B"/>
    <w:rsid w:val="002C74F2"/>
    <w:rsid w:val="002C7580"/>
    <w:rsid w:val="002C77DB"/>
    <w:rsid w:val="002C7AE3"/>
    <w:rsid w:val="002C7C88"/>
    <w:rsid w:val="002C7CDB"/>
    <w:rsid w:val="002C7DCA"/>
    <w:rsid w:val="002C7E61"/>
    <w:rsid w:val="002CF241"/>
    <w:rsid w:val="002D00F3"/>
    <w:rsid w:val="002D011F"/>
    <w:rsid w:val="002D0327"/>
    <w:rsid w:val="002D03D4"/>
    <w:rsid w:val="002D0417"/>
    <w:rsid w:val="002D0433"/>
    <w:rsid w:val="002D04A4"/>
    <w:rsid w:val="002D056F"/>
    <w:rsid w:val="002D0636"/>
    <w:rsid w:val="002D065B"/>
    <w:rsid w:val="002D065E"/>
    <w:rsid w:val="002D07C6"/>
    <w:rsid w:val="002D0A17"/>
    <w:rsid w:val="002D0A90"/>
    <w:rsid w:val="002D0B82"/>
    <w:rsid w:val="002D0C43"/>
    <w:rsid w:val="002D0DC0"/>
    <w:rsid w:val="002D0E6A"/>
    <w:rsid w:val="002D0EA3"/>
    <w:rsid w:val="002D0EC0"/>
    <w:rsid w:val="002D0F73"/>
    <w:rsid w:val="002D1288"/>
    <w:rsid w:val="002D12A3"/>
    <w:rsid w:val="002D12AB"/>
    <w:rsid w:val="002D14DC"/>
    <w:rsid w:val="002D1537"/>
    <w:rsid w:val="002D1652"/>
    <w:rsid w:val="002D1722"/>
    <w:rsid w:val="002D17DC"/>
    <w:rsid w:val="002D18EF"/>
    <w:rsid w:val="002D196E"/>
    <w:rsid w:val="002D1BC7"/>
    <w:rsid w:val="002D1BF7"/>
    <w:rsid w:val="002D1D6F"/>
    <w:rsid w:val="002D1DB3"/>
    <w:rsid w:val="002D1F96"/>
    <w:rsid w:val="002D1FB6"/>
    <w:rsid w:val="002D1FE3"/>
    <w:rsid w:val="002D22A5"/>
    <w:rsid w:val="002D23AB"/>
    <w:rsid w:val="002D245C"/>
    <w:rsid w:val="002D24CC"/>
    <w:rsid w:val="002D255C"/>
    <w:rsid w:val="002D271B"/>
    <w:rsid w:val="002D2870"/>
    <w:rsid w:val="002D2906"/>
    <w:rsid w:val="002D292C"/>
    <w:rsid w:val="002D2CED"/>
    <w:rsid w:val="002D2E0E"/>
    <w:rsid w:val="002D2E3D"/>
    <w:rsid w:val="002D2EA4"/>
    <w:rsid w:val="002D2EDF"/>
    <w:rsid w:val="002D2EFB"/>
    <w:rsid w:val="002D3116"/>
    <w:rsid w:val="002D31F0"/>
    <w:rsid w:val="002D3224"/>
    <w:rsid w:val="002D33AD"/>
    <w:rsid w:val="002D3580"/>
    <w:rsid w:val="002D38AC"/>
    <w:rsid w:val="002D3900"/>
    <w:rsid w:val="002D3992"/>
    <w:rsid w:val="002D39E3"/>
    <w:rsid w:val="002D39EE"/>
    <w:rsid w:val="002D3AAA"/>
    <w:rsid w:val="002D3D51"/>
    <w:rsid w:val="002D3D6F"/>
    <w:rsid w:val="002D3F2A"/>
    <w:rsid w:val="002D4002"/>
    <w:rsid w:val="002D4146"/>
    <w:rsid w:val="002D45D3"/>
    <w:rsid w:val="002D46FA"/>
    <w:rsid w:val="002D4708"/>
    <w:rsid w:val="002D472E"/>
    <w:rsid w:val="002D47EE"/>
    <w:rsid w:val="002D48FB"/>
    <w:rsid w:val="002D4901"/>
    <w:rsid w:val="002D495A"/>
    <w:rsid w:val="002D4BD9"/>
    <w:rsid w:val="002D4E43"/>
    <w:rsid w:val="002D5260"/>
    <w:rsid w:val="002D53BC"/>
    <w:rsid w:val="002D53E7"/>
    <w:rsid w:val="002D5501"/>
    <w:rsid w:val="002D55A4"/>
    <w:rsid w:val="002D5890"/>
    <w:rsid w:val="002D58E2"/>
    <w:rsid w:val="002D5AA9"/>
    <w:rsid w:val="002D5CEA"/>
    <w:rsid w:val="002D5D12"/>
    <w:rsid w:val="002D5EF0"/>
    <w:rsid w:val="002D5FC2"/>
    <w:rsid w:val="002D5FEA"/>
    <w:rsid w:val="002D63C7"/>
    <w:rsid w:val="002D644A"/>
    <w:rsid w:val="002D64FF"/>
    <w:rsid w:val="002D6855"/>
    <w:rsid w:val="002D694F"/>
    <w:rsid w:val="002D6AD8"/>
    <w:rsid w:val="002D6B26"/>
    <w:rsid w:val="002D6C7A"/>
    <w:rsid w:val="002D6D60"/>
    <w:rsid w:val="002D71D1"/>
    <w:rsid w:val="002D7406"/>
    <w:rsid w:val="002D7409"/>
    <w:rsid w:val="002D758A"/>
    <w:rsid w:val="002D75C3"/>
    <w:rsid w:val="002D75C4"/>
    <w:rsid w:val="002D76B0"/>
    <w:rsid w:val="002D7891"/>
    <w:rsid w:val="002D78F0"/>
    <w:rsid w:val="002D79FF"/>
    <w:rsid w:val="002D7B44"/>
    <w:rsid w:val="002D7C94"/>
    <w:rsid w:val="002E01C5"/>
    <w:rsid w:val="002E047C"/>
    <w:rsid w:val="002E055D"/>
    <w:rsid w:val="002E062C"/>
    <w:rsid w:val="002E07CE"/>
    <w:rsid w:val="002E07EA"/>
    <w:rsid w:val="002E0804"/>
    <w:rsid w:val="002E0872"/>
    <w:rsid w:val="002E0AA4"/>
    <w:rsid w:val="002E0E2D"/>
    <w:rsid w:val="002E0E9E"/>
    <w:rsid w:val="002E0FDE"/>
    <w:rsid w:val="002E10BA"/>
    <w:rsid w:val="002E11D6"/>
    <w:rsid w:val="002E130F"/>
    <w:rsid w:val="002E150B"/>
    <w:rsid w:val="002E1772"/>
    <w:rsid w:val="002E18EB"/>
    <w:rsid w:val="002E198C"/>
    <w:rsid w:val="002E19A7"/>
    <w:rsid w:val="002E1AFB"/>
    <w:rsid w:val="002E1E52"/>
    <w:rsid w:val="002E2048"/>
    <w:rsid w:val="002E2059"/>
    <w:rsid w:val="002E209C"/>
    <w:rsid w:val="002E20BE"/>
    <w:rsid w:val="002E2242"/>
    <w:rsid w:val="002E22F4"/>
    <w:rsid w:val="002E2314"/>
    <w:rsid w:val="002E2315"/>
    <w:rsid w:val="002E23A0"/>
    <w:rsid w:val="002E23F0"/>
    <w:rsid w:val="002E2404"/>
    <w:rsid w:val="002E240F"/>
    <w:rsid w:val="002E2424"/>
    <w:rsid w:val="002E2478"/>
    <w:rsid w:val="002E2570"/>
    <w:rsid w:val="002E27C6"/>
    <w:rsid w:val="002E281D"/>
    <w:rsid w:val="002E2891"/>
    <w:rsid w:val="002E29D0"/>
    <w:rsid w:val="002E29DF"/>
    <w:rsid w:val="002E2A2D"/>
    <w:rsid w:val="002E2DD2"/>
    <w:rsid w:val="002E2E93"/>
    <w:rsid w:val="002E3035"/>
    <w:rsid w:val="002E3291"/>
    <w:rsid w:val="002E3344"/>
    <w:rsid w:val="002E3518"/>
    <w:rsid w:val="002E364F"/>
    <w:rsid w:val="002E37C9"/>
    <w:rsid w:val="002E3848"/>
    <w:rsid w:val="002E3C07"/>
    <w:rsid w:val="002E3E49"/>
    <w:rsid w:val="002E3E65"/>
    <w:rsid w:val="002E3EB1"/>
    <w:rsid w:val="002E3F5F"/>
    <w:rsid w:val="002E4054"/>
    <w:rsid w:val="002E44EE"/>
    <w:rsid w:val="002E451E"/>
    <w:rsid w:val="002E45D6"/>
    <w:rsid w:val="002E478E"/>
    <w:rsid w:val="002E4812"/>
    <w:rsid w:val="002E48D4"/>
    <w:rsid w:val="002E48D6"/>
    <w:rsid w:val="002E4A43"/>
    <w:rsid w:val="002E4A9B"/>
    <w:rsid w:val="002E4AA3"/>
    <w:rsid w:val="002E4B75"/>
    <w:rsid w:val="002E4DEB"/>
    <w:rsid w:val="002E4FBD"/>
    <w:rsid w:val="002E50E9"/>
    <w:rsid w:val="002E51A5"/>
    <w:rsid w:val="002E51DF"/>
    <w:rsid w:val="002E52AA"/>
    <w:rsid w:val="002E542E"/>
    <w:rsid w:val="002E5569"/>
    <w:rsid w:val="002E565B"/>
    <w:rsid w:val="002E5A22"/>
    <w:rsid w:val="002E5CB6"/>
    <w:rsid w:val="002E5E8B"/>
    <w:rsid w:val="002E619A"/>
    <w:rsid w:val="002E6476"/>
    <w:rsid w:val="002E652D"/>
    <w:rsid w:val="002E66B9"/>
    <w:rsid w:val="002E68BD"/>
    <w:rsid w:val="002E6983"/>
    <w:rsid w:val="002E6FE4"/>
    <w:rsid w:val="002E710B"/>
    <w:rsid w:val="002E73D9"/>
    <w:rsid w:val="002E73DC"/>
    <w:rsid w:val="002E7486"/>
    <w:rsid w:val="002E7556"/>
    <w:rsid w:val="002E7582"/>
    <w:rsid w:val="002E760D"/>
    <w:rsid w:val="002E7807"/>
    <w:rsid w:val="002E7889"/>
    <w:rsid w:val="002E78A2"/>
    <w:rsid w:val="002E7914"/>
    <w:rsid w:val="002E7B7F"/>
    <w:rsid w:val="002E7CAA"/>
    <w:rsid w:val="002E7EF8"/>
    <w:rsid w:val="002E7F65"/>
    <w:rsid w:val="002F0186"/>
    <w:rsid w:val="002F01DE"/>
    <w:rsid w:val="002F0234"/>
    <w:rsid w:val="002F02BC"/>
    <w:rsid w:val="002F03BD"/>
    <w:rsid w:val="002F06D4"/>
    <w:rsid w:val="002F070A"/>
    <w:rsid w:val="002F07DD"/>
    <w:rsid w:val="002F0805"/>
    <w:rsid w:val="002F08BA"/>
    <w:rsid w:val="002F0999"/>
    <w:rsid w:val="002F09CC"/>
    <w:rsid w:val="002F09E5"/>
    <w:rsid w:val="002F0A24"/>
    <w:rsid w:val="002F0A36"/>
    <w:rsid w:val="002F0BB6"/>
    <w:rsid w:val="002F0C4E"/>
    <w:rsid w:val="002F0E07"/>
    <w:rsid w:val="002F0E54"/>
    <w:rsid w:val="002F0F9A"/>
    <w:rsid w:val="002F108B"/>
    <w:rsid w:val="002F11F7"/>
    <w:rsid w:val="002F141B"/>
    <w:rsid w:val="002F1477"/>
    <w:rsid w:val="002F14CC"/>
    <w:rsid w:val="002F162C"/>
    <w:rsid w:val="002F17A1"/>
    <w:rsid w:val="002F1891"/>
    <w:rsid w:val="002F1C2B"/>
    <w:rsid w:val="002F1C7F"/>
    <w:rsid w:val="002F1CE1"/>
    <w:rsid w:val="002F1D51"/>
    <w:rsid w:val="002F1E79"/>
    <w:rsid w:val="002F2151"/>
    <w:rsid w:val="002F21B8"/>
    <w:rsid w:val="002F21D3"/>
    <w:rsid w:val="002F2305"/>
    <w:rsid w:val="002F2592"/>
    <w:rsid w:val="002F2668"/>
    <w:rsid w:val="002F266B"/>
    <w:rsid w:val="002F26BE"/>
    <w:rsid w:val="002F276D"/>
    <w:rsid w:val="002F27B0"/>
    <w:rsid w:val="002F2A7C"/>
    <w:rsid w:val="002F2A87"/>
    <w:rsid w:val="002F2ACD"/>
    <w:rsid w:val="002F2AFC"/>
    <w:rsid w:val="002F2B1A"/>
    <w:rsid w:val="002F2D0C"/>
    <w:rsid w:val="002F2E04"/>
    <w:rsid w:val="002F2E22"/>
    <w:rsid w:val="002F2E45"/>
    <w:rsid w:val="002F3003"/>
    <w:rsid w:val="002F3023"/>
    <w:rsid w:val="002F31F2"/>
    <w:rsid w:val="002F3233"/>
    <w:rsid w:val="002F3305"/>
    <w:rsid w:val="002F3488"/>
    <w:rsid w:val="002F35EA"/>
    <w:rsid w:val="002F360B"/>
    <w:rsid w:val="002F3755"/>
    <w:rsid w:val="002F38E2"/>
    <w:rsid w:val="002F38FF"/>
    <w:rsid w:val="002F392B"/>
    <w:rsid w:val="002F395E"/>
    <w:rsid w:val="002F3BB0"/>
    <w:rsid w:val="002F3BC6"/>
    <w:rsid w:val="002F3BF2"/>
    <w:rsid w:val="002F3DC7"/>
    <w:rsid w:val="002F3DF6"/>
    <w:rsid w:val="002F3E07"/>
    <w:rsid w:val="002F3ED1"/>
    <w:rsid w:val="002F3F09"/>
    <w:rsid w:val="002F3F9D"/>
    <w:rsid w:val="002F4057"/>
    <w:rsid w:val="002F4199"/>
    <w:rsid w:val="002F4291"/>
    <w:rsid w:val="002F432A"/>
    <w:rsid w:val="002F4350"/>
    <w:rsid w:val="002F43DC"/>
    <w:rsid w:val="002F44EE"/>
    <w:rsid w:val="002F469E"/>
    <w:rsid w:val="002F487D"/>
    <w:rsid w:val="002F4B83"/>
    <w:rsid w:val="002F4C1D"/>
    <w:rsid w:val="002F4C41"/>
    <w:rsid w:val="002F4C42"/>
    <w:rsid w:val="002F4C73"/>
    <w:rsid w:val="002F4CD9"/>
    <w:rsid w:val="002F4F4A"/>
    <w:rsid w:val="002F5016"/>
    <w:rsid w:val="002F5056"/>
    <w:rsid w:val="002F511B"/>
    <w:rsid w:val="002F538A"/>
    <w:rsid w:val="002F5397"/>
    <w:rsid w:val="002F54A9"/>
    <w:rsid w:val="002F54CD"/>
    <w:rsid w:val="002F54E8"/>
    <w:rsid w:val="002F5575"/>
    <w:rsid w:val="002F5577"/>
    <w:rsid w:val="002F5637"/>
    <w:rsid w:val="002F5884"/>
    <w:rsid w:val="002F5A16"/>
    <w:rsid w:val="002F5C05"/>
    <w:rsid w:val="002F5FA5"/>
    <w:rsid w:val="002F6038"/>
    <w:rsid w:val="002F60A0"/>
    <w:rsid w:val="002F61C5"/>
    <w:rsid w:val="002F61C8"/>
    <w:rsid w:val="002F6356"/>
    <w:rsid w:val="002F63C5"/>
    <w:rsid w:val="002F646B"/>
    <w:rsid w:val="002F6546"/>
    <w:rsid w:val="002F66C6"/>
    <w:rsid w:val="002F6829"/>
    <w:rsid w:val="002F6A03"/>
    <w:rsid w:val="002F6B38"/>
    <w:rsid w:val="002F6D53"/>
    <w:rsid w:val="002F6D87"/>
    <w:rsid w:val="002F6EFC"/>
    <w:rsid w:val="002F7055"/>
    <w:rsid w:val="002F7063"/>
    <w:rsid w:val="002F750C"/>
    <w:rsid w:val="002F766A"/>
    <w:rsid w:val="002F76DF"/>
    <w:rsid w:val="002F76EB"/>
    <w:rsid w:val="002F7745"/>
    <w:rsid w:val="002F7783"/>
    <w:rsid w:val="002F786C"/>
    <w:rsid w:val="002F78BF"/>
    <w:rsid w:val="002F78F3"/>
    <w:rsid w:val="002F7902"/>
    <w:rsid w:val="002F79E1"/>
    <w:rsid w:val="002F7AAA"/>
    <w:rsid w:val="002F7AB6"/>
    <w:rsid w:val="002F7AD6"/>
    <w:rsid w:val="002F7BFF"/>
    <w:rsid w:val="002F7CD2"/>
    <w:rsid w:val="002F7D22"/>
    <w:rsid w:val="002F7D60"/>
    <w:rsid w:val="0030008F"/>
    <w:rsid w:val="00300395"/>
    <w:rsid w:val="003003E4"/>
    <w:rsid w:val="0030052F"/>
    <w:rsid w:val="0030059A"/>
    <w:rsid w:val="00300650"/>
    <w:rsid w:val="00300685"/>
    <w:rsid w:val="0030076B"/>
    <w:rsid w:val="003008FB"/>
    <w:rsid w:val="00300BC8"/>
    <w:rsid w:val="00300C05"/>
    <w:rsid w:val="00301241"/>
    <w:rsid w:val="00301275"/>
    <w:rsid w:val="00301371"/>
    <w:rsid w:val="00301388"/>
    <w:rsid w:val="003014F4"/>
    <w:rsid w:val="0030157F"/>
    <w:rsid w:val="0030160A"/>
    <w:rsid w:val="00301823"/>
    <w:rsid w:val="0030192D"/>
    <w:rsid w:val="00301982"/>
    <w:rsid w:val="00301A83"/>
    <w:rsid w:val="00301AFD"/>
    <w:rsid w:val="00301B05"/>
    <w:rsid w:val="00301CE1"/>
    <w:rsid w:val="00301DDA"/>
    <w:rsid w:val="0030238F"/>
    <w:rsid w:val="003024AC"/>
    <w:rsid w:val="00302516"/>
    <w:rsid w:val="00302665"/>
    <w:rsid w:val="00302675"/>
    <w:rsid w:val="00302769"/>
    <w:rsid w:val="0030278B"/>
    <w:rsid w:val="003027FB"/>
    <w:rsid w:val="00302C8A"/>
    <w:rsid w:val="00302D42"/>
    <w:rsid w:val="00303023"/>
    <w:rsid w:val="0030327D"/>
    <w:rsid w:val="00303429"/>
    <w:rsid w:val="0030343C"/>
    <w:rsid w:val="00303457"/>
    <w:rsid w:val="003034C8"/>
    <w:rsid w:val="0030371B"/>
    <w:rsid w:val="00303729"/>
    <w:rsid w:val="0030383F"/>
    <w:rsid w:val="0030391A"/>
    <w:rsid w:val="00303944"/>
    <w:rsid w:val="00303A20"/>
    <w:rsid w:val="00303A67"/>
    <w:rsid w:val="00303A90"/>
    <w:rsid w:val="00303C8B"/>
    <w:rsid w:val="00303CFF"/>
    <w:rsid w:val="00303D58"/>
    <w:rsid w:val="00303D8C"/>
    <w:rsid w:val="003041EA"/>
    <w:rsid w:val="00304216"/>
    <w:rsid w:val="00304244"/>
    <w:rsid w:val="00304353"/>
    <w:rsid w:val="003043DE"/>
    <w:rsid w:val="00304434"/>
    <w:rsid w:val="0030444C"/>
    <w:rsid w:val="00304619"/>
    <w:rsid w:val="0030467F"/>
    <w:rsid w:val="003046B3"/>
    <w:rsid w:val="003046B5"/>
    <w:rsid w:val="003046FD"/>
    <w:rsid w:val="00304909"/>
    <w:rsid w:val="0030492C"/>
    <w:rsid w:val="00304942"/>
    <w:rsid w:val="00304AE5"/>
    <w:rsid w:val="00304AF8"/>
    <w:rsid w:val="00304DA5"/>
    <w:rsid w:val="00304E7E"/>
    <w:rsid w:val="00304EBE"/>
    <w:rsid w:val="00304ECB"/>
    <w:rsid w:val="00304F56"/>
    <w:rsid w:val="00304F58"/>
    <w:rsid w:val="0030515C"/>
    <w:rsid w:val="00305233"/>
    <w:rsid w:val="00305301"/>
    <w:rsid w:val="00305431"/>
    <w:rsid w:val="003054BA"/>
    <w:rsid w:val="003055BC"/>
    <w:rsid w:val="003055DE"/>
    <w:rsid w:val="0030564C"/>
    <w:rsid w:val="0030569E"/>
    <w:rsid w:val="00305963"/>
    <w:rsid w:val="0030599A"/>
    <w:rsid w:val="00305A78"/>
    <w:rsid w:val="00305BB6"/>
    <w:rsid w:val="00305D76"/>
    <w:rsid w:val="00305D83"/>
    <w:rsid w:val="00305DB9"/>
    <w:rsid w:val="00305E63"/>
    <w:rsid w:val="00305ED4"/>
    <w:rsid w:val="00306069"/>
    <w:rsid w:val="0030614D"/>
    <w:rsid w:val="00306159"/>
    <w:rsid w:val="003061AA"/>
    <w:rsid w:val="00306363"/>
    <w:rsid w:val="00306560"/>
    <w:rsid w:val="003066B4"/>
    <w:rsid w:val="00306728"/>
    <w:rsid w:val="00306751"/>
    <w:rsid w:val="00306867"/>
    <w:rsid w:val="00306AB1"/>
    <w:rsid w:val="00306AEC"/>
    <w:rsid w:val="00306BFB"/>
    <w:rsid w:val="00306C1D"/>
    <w:rsid w:val="00306CCD"/>
    <w:rsid w:val="003070D9"/>
    <w:rsid w:val="003071C6"/>
    <w:rsid w:val="003071D9"/>
    <w:rsid w:val="00307214"/>
    <w:rsid w:val="0030730E"/>
    <w:rsid w:val="00307650"/>
    <w:rsid w:val="00307690"/>
    <w:rsid w:val="003077DA"/>
    <w:rsid w:val="003078F2"/>
    <w:rsid w:val="00307999"/>
    <w:rsid w:val="00307A5B"/>
    <w:rsid w:val="00307A65"/>
    <w:rsid w:val="00307C92"/>
    <w:rsid w:val="00307C9F"/>
    <w:rsid w:val="00307E65"/>
    <w:rsid w:val="00307F09"/>
    <w:rsid w:val="00310158"/>
    <w:rsid w:val="00310251"/>
    <w:rsid w:val="00310382"/>
    <w:rsid w:val="0031073C"/>
    <w:rsid w:val="003107F5"/>
    <w:rsid w:val="00310A8F"/>
    <w:rsid w:val="00310B42"/>
    <w:rsid w:val="00310F9B"/>
    <w:rsid w:val="00310FC6"/>
    <w:rsid w:val="00311057"/>
    <w:rsid w:val="00311086"/>
    <w:rsid w:val="003110C8"/>
    <w:rsid w:val="003110EC"/>
    <w:rsid w:val="003111F9"/>
    <w:rsid w:val="00311268"/>
    <w:rsid w:val="0031131C"/>
    <w:rsid w:val="003113BC"/>
    <w:rsid w:val="003114C0"/>
    <w:rsid w:val="003118F8"/>
    <w:rsid w:val="00311AE4"/>
    <w:rsid w:val="00311B64"/>
    <w:rsid w:val="00311BA1"/>
    <w:rsid w:val="00311C7E"/>
    <w:rsid w:val="00311DBF"/>
    <w:rsid w:val="00311E5B"/>
    <w:rsid w:val="00311E7A"/>
    <w:rsid w:val="00312009"/>
    <w:rsid w:val="00312111"/>
    <w:rsid w:val="00312197"/>
    <w:rsid w:val="0031237D"/>
    <w:rsid w:val="003125BB"/>
    <w:rsid w:val="00312761"/>
    <w:rsid w:val="00312A7E"/>
    <w:rsid w:val="00312B54"/>
    <w:rsid w:val="00312B8A"/>
    <w:rsid w:val="00312D4D"/>
    <w:rsid w:val="00312EFC"/>
    <w:rsid w:val="00312F1C"/>
    <w:rsid w:val="00312F87"/>
    <w:rsid w:val="00312FAF"/>
    <w:rsid w:val="00312FEF"/>
    <w:rsid w:val="003133EC"/>
    <w:rsid w:val="003134AA"/>
    <w:rsid w:val="0031375D"/>
    <w:rsid w:val="003139AD"/>
    <w:rsid w:val="00313B47"/>
    <w:rsid w:val="00313B7D"/>
    <w:rsid w:val="00313C40"/>
    <w:rsid w:val="00314293"/>
    <w:rsid w:val="003144A5"/>
    <w:rsid w:val="003144DA"/>
    <w:rsid w:val="00314583"/>
    <w:rsid w:val="003146F8"/>
    <w:rsid w:val="00314B0B"/>
    <w:rsid w:val="00314C54"/>
    <w:rsid w:val="00314D7A"/>
    <w:rsid w:val="00315150"/>
    <w:rsid w:val="0031526B"/>
    <w:rsid w:val="0031528C"/>
    <w:rsid w:val="00315293"/>
    <w:rsid w:val="00315297"/>
    <w:rsid w:val="003154B9"/>
    <w:rsid w:val="0031555D"/>
    <w:rsid w:val="003155CC"/>
    <w:rsid w:val="00315628"/>
    <w:rsid w:val="0031589E"/>
    <w:rsid w:val="00315920"/>
    <w:rsid w:val="00315B7B"/>
    <w:rsid w:val="00315CFD"/>
    <w:rsid w:val="00315D46"/>
    <w:rsid w:val="00315E95"/>
    <w:rsid w:val="00315EEF"/>
    <w:rsid w:val="00315F30"/>
    <w:rsid w:val="00315F64"/>
    <w:rsid w:val="00315F97"/>
    <w:rsid w:val="003161E8"/>
    <w:rsid w:val="003161F2"/>
    <w:rsid w:val="0031624B"/>
    <w:rsid w:val="003164D3"/>
    <w:rsid w:val="00316614"/>
    <w:rsid w:val="003167D9"/>
    <w:rsid w:val="0031681E"/>
    <w:rsid w:val="0031684E"/>
    <w:rsid w:val="003168FA"/>
    <w:rsid w:val="00316B02"/>
    <w:rsid w:val="00316D26"/>
    <w:rsid w:val="00316D5F"/>
    <w:rsid w:val="00316DC4"/>
    <w:rsid w:val="00316F33"/>
    <w:rsid w:val="00316F8E"/>
    <w:rsid w:val="003170A5"/>
    <w:rsid w:val="0031726C"/>
    <w:rsid w:val="00317383"/>
    <w:rsid w:val="003175CA"/>
    <w:rsid w:val="003175ED"/>
    <w:rsid w:val="003176C8"/>
    <w:rsid w:val="003177E5"/>
    <w:rsid w:val="00317861"/>
    <w:rsid w:val="00317905"/>
    <w:rsid w:val="00317BBC"/>
    <w:rsid w:val="00317D5F"/>
    <w:rsid w:val="0032003A"/>
    <w:rsid w:val="00320067"/>
    <w:rsid w:val="00320117"/>
    <w:rsid w:val="00320157"/>
    <w:rsid w:val="00320255"/>
    <w:rsid w:val="003202F6"/>
    <w:rsid w:val="00320348"/>
    <w:rsid w:val="00320431"/>
    <w:rsid w:val="00320450"/>
    <w:rsid w:val="00320573"/>
    <w:rsid w:val="00320797"/>
    <w:rsid w:val="003207B4"/>
    <w:rsid w:val="00320908"/>
    <w:rsid w:val="00320930"/>
    <w:rsid w:val="0032093D"/>
    <w:rsid w:val="00320AE0"/>
    <w:rsid w:val="00320B0E"/>
    <w:rsid w:val="00320CE4"/>
    <w:rsid w:val="00320DA4"/>
    <w:rsid w:val="00320F77"/>
    <w:rsid w:val="0032102F"/>
    <w:rsid w:val="0032104D"/>
    <w:rsid w:val="003210B8"/>
    <w:rsid w:val="00321101"/>
    <w:rsid w:val="00321125"/>
    <w:rsid w:val="003211B1"/>
    <w:rsid w:val="003214B2"/>
    <w:rsid w:val="0032152F"/>
    <w:rsid w:val="00321632"/>
    <w:rsid w:val="0032166E"/>
    <w:rsid w:val="00321724"/>
    <w:rsid w:val="00321759"/>
    <w:rsid w:val="00321832"/>
    <w:rsid w:val="00321897"/>
    <w:rsid w:val="0032196C"/>
    <w:rsid w:val="00321B6C"/>
    <w:rsid w:val="00321C62"/>
    <w:rsid w:val="00321EDF"/>
    <w:rsid w:val="00321F08"/>
    <w:rsid w:val="00322052"/>
    <w:rsid w:val="00322090"/>
    <w:rsid w:val="003220F5"/>
    <w:rsid w:val="00322258"/>
    <w:rsid w:val="003222E6"/>
    <w:rsid w:val="003226F9"/>
    <w:rsid w:val="003226FA"/>
    <w:rsid w:val="00322767"/>
    <w:rsid w:val="0032285D"/>
    <w:rsid w:val="00322917"/>
    <w:rsid w:val="00322A33"/>
    <w:rsid w:val="00322B78"/>
    <w:rsid w:val="00322DE5"/>
    <w:rsid w:val="00322E9F"/>
    <w:rsid w:val="00322F50"/>
    <w:rsid w:val="00322FE0"/>
    <w:rsid w:val="00323567"/>
    <w:rsid w:val="0032365B"/>
    <w:rsid w:val="00323680"/>
    <w:rsid w:val="0032371E"/>
    <w:rsid w:val="00323754"/>
    <w:rsid w:val="00323766"/>
    <w:rsid w:val="003237AE"/>
    <w:rsid w:val="00323A87"/>
    <w:rsid w:val="00323AEE"/>
    <w:rsid w:val="00323E17"/>
    <w:rsid w:val="00323EB0"/>
    <w:rsid w:val="00323F90"/>
    <w:rsid w:val="00323FD3"/>
    <w:rsid w:val="00324214"/>
    <w:rsid w:val="003242FF"/>
    <w:rsid w:val="003244E9"/>
    <w:rsid w:val="00324768"/>
    <w:rsid w:val="00324A48"/>
    <w:rsid w:val="00324A53"/>
    <w:rsid w:val="00324ABF"/>
    <w:rsid w:val="00324B2E"/>
    <w:rsid w:val="00324C5C"/>
    <w:rsid w:val="00324D90"/>
    <w:rsid w:val="00324F1A"/>
    <w:rsid w:val="003250FC"/>
    <w:rsid w:val="00325240"/>
    <w:rsid w:val="0032528A"/>
    <w:rsid w:val="0032532E"/>
    <w:rsid w:val="003253A4"/>
    <w:rsid w:val="00325529"/>
    <w:rsid w:val="0032558F"/>
    <w:rsid w:val="0032560B"/>
    <w:rsid w:val="00325687"/>
    <w:rsid w:val="003256DB"/>
    <w:rsid w:val="0032573E"/>
    <w:rsid w:val="0032592A"/>
    <w:rsid w:val="00325954"/>
    <w:rsid w:val="0032599C"/>
    <w:rsid w:val="00325B84"/>
    <w:rsid w:val="00325DB0"/>
    <w:rsid w:val="00325E8C"/>
    <w:rsid w:val="00325F0D"/>
    <w:rsid w:val="00325F73"/>
    <w:rsid w:val="00325F75"/>
    <w:rsid w:val="00325FC6"/>
    <w:rsid w:val="003263D2"/>
    <w:rsid w:val="003265EB"/>
    <w:rsid w:val="00326640"/>
    <w:rsid w:val="00326991"/>
    <w:rsid w:val="00326B4A"/>
    <w:rsid w:val="00326CAE"/>
    <w:rsid w:val="00326CCD"/>
    <w:rsid w:val="00326E3D"/>
    <w:rsid w:val="00326EE8"/>
    <w:rsid w:val="00326F19"/>
    <w:rsid w:val="00327022"/>
    <w:rsid w:val="0032744C"/>
    <w:rsid w:val="003276B9"/>
    <w:rsid w:val="003276DC"/>
    <w:rsid w:val="0032781B"/>
    <w:rsid w:val="00330010"/>
    <w:rsid w:val="0033003E"/>
    <w:rsid w:val="00330045"/>
    <w:rsid w:val="0033021E"/>
    <w:rsid w:val="0033059A"/>
    <w:rsid w:val="003305B1"/>
    <w:rsid w:val="003305EC"/>
    <w:rsid w:val="003305FB"/>
    <w:rsid w:val="00330633"/>
    <w:rsid w:val="00330639"/>
    <w:rsid w:val="003306AA"/>
    <w:rsid w:val="00330758"/>
    <w:rsid w:val="00330777"/>
    <w:rsid w:val="00330848"/>
    <w:rsid w:val="00330954"/>
    <w:rsid w:val="0033095C"/>
    <w:rsid w:val="00330C91"/>
    <w:rsid w:val="00330CEA"/>
    <w:rsid w:val="00330F97"/>
    <w:rsid w:val="00330FCD"/>
    <w:rsid w:val="00330FDD"/>
    <w:rsid w:val="003310B4"/>
    <w:rsid w:val="003311F4"/>
    <w:rsid w:val="003312BF"/>
    <w:rsid w:val="0033134C"/>
    <w:rsid w:val="003313B1"/>
    <w:rsid w:val="003314B0"/>
    <w:rsid w:val="00331511"/>
    <w:rsid w:val="0033163B"/>
    <w:rsid w:val="0033176D"/>
    <w:rsid w:val="00331771"/>
    <w:rsid w:val="00331B7F"/>
    <w:rsid w:val="00331CC3"/>
    <w:rsid w:val="003320A7"/>
    <w:rsid w:val="0033229F"/>
    <w:rsid w:val="003323EA"/>
    <w:rsid w:val="00332439"/>
    <w:rsid w:val="003324BF"/>
    <w:rsid w:val="003324F9"/>
    <w:rsid w:val="003327D5"/>
    <w:rsid w:val="0033283C"/>
    <w:rsid w:val="00332954"/>
    <w:rsid w:val="00332961"/>
    <w:rsid w:val="00332BDD"/>
    <w:rsid w:val="00332C35"/>
    <w:rsid w:val="00332D08"/>
    <w:rsid w:val="00332D33"/>
    <w:rsid w:val="00332FB0"/>
    <w:rsid w:val="00333301"/>
    <w:rsid w:val="00333622"/>
    <w:rsid w:val="00333680"/>
    <w:rsid w:val="003336A5"/>
    <w:rsid w:val="0033380C"/>
    <w:rsid w:val="00333865"/>
    <w:rsid w:val="00333BFD"/>
    <w:rsid w:val="00333CE3"/>
    <w:rsid w:val="00333DC9"/>
    <w:rsid w:val="00333E19"/>
    <w:rsid w:val="00333E55"/>
    <w:rsid w:val="00333FE0"/>
    <w:rsid w:val="00334024"/>
    <w:rsid w:val="0033451A"/>
    <w:rsid w:val="0033455C"/>
    <w:rsid w:val="0033457C"/>
    <w:rsid w:val="00334705"/>
    <w:rsid w:val="00334779"/>
    <w:rsid w:val="003349DA"/>
    <w:rsid w:val="00334A4D"/>
    <w:rsid w:val="00334AE6"/>
    <w:rsid w:val="00334B37"/>
    <w:rsid w:val="00334CAA"/>
    <w:rsid w:val="00334DA0"/>
    <w:rsid w:val="00334E6E"/>
    <w:rsid w:val="00334EB2"/>
    <w:rsid w:val="00334F19"/>
    <w:rsid w:val="00334FEF"/>
    <w:rsid w:val="003350CC"/>
    <w:rsid w:val="00335138"/>
    <w:rsid w:val="003353CB"/>
    <w:rsid w:val="00335494"/>
    <w:rsid w:val="003355BE"/>
    <w:rsid w:val="003356E7"/>
    <w:rsid w:val="00335A57"/>
    <w:rsid w:val="00335AE5"/>
    <w:rsid w:val="00335B81"/>
    <w:rsid w:val="00335CF2"/>
    <w:rsid w:val="00335D9C"/>
    <w:rsid w:val="00335ED5"/>
    <w:rsid w:val="003361E3"/>
    <w:rsid w:val="0033628E"/>
    <w:rsid w:val="003362EE"/>
    <w:rsid w:val="003364A9"/>
    <w:rsid w:val="00336573"/>
    <w:rsid w:val="003366F8"/>
    <w:rsid w:val="003367B3"/>
    <w:rsid w:val="003369C1"/>
    <w:rsid w:val="003369CD"/>
    <w:rsid w:val="00336DDE"/>
    <w:rsid w:val="00336E91"/>
    <w:rsid w:val="00336F8D"/>
    <w:rsid w:val="0033719B"/>
    <w:rsid w:val="00337401"/>
    <w:rsid w:val="003374B5"/>
    <w:rsid w:val="00337532"/>
    <w:rsid w:val="003375CD"/>
    <w:rsid w:val="0033778F"/>
    <w:rsid w:val="00337AA9"/>
    <w:rsid w:val="00337AF6"/>
    <w:rsid w:val="00337AFE"/>
    <w:rsid w:val="00337C6A"/>
    <w:rsid w:val="00337D21"/>
    <w:rsid w:val="00337DB0"/>
    <w:rsid w:val="00340136"/>
    <w:rsid w:val="003401D8"/>
    <w:rsid w:val="003402D6"/>
    <w:rsid w:val="00340573"/>
    <w:rsid w:val="00340827"/>
    <w:rsid w:val="00340A3C"/>
    <w:rsid w:val="00340BA4"/>
    <w:rsid w:val="00340BE5"/>
    <w:rsid w:val="00340CF1"/>
    <w:rsid w:val="00340DD0"/>
    <w:rsid w:val="00340E38"/>
    <w:rsid w:val="003410C0"/>
    <w:rsid w:val="00341279"/>
    <w:rsid w:val="00341287"/>
    <w:rsid w:val="003413A7"/>
    <w:rsid w:val="003414EB"/>
    <w:rsid w:val="003414EF"/>
    <w:rsid w:val="00341810"/>
    <w:rsid w:val="003419FC"/>
    <w:rsid w:val="00341B84"/>
    <w:rsid w:val="00341DE9"/>
    <w:rsid w:val="00341E2A"/>
    <w:rsid w:val="00341F45"/>
    <w:rsid w:val="00341F9E"/>
    <w:rsid w:val="00342049"/>
    <w:rsid w:val="00342091"/>
    <w:rsid w:val="003421B4"/>
    <w:rsid w:val="003421E9"/>
    <w:rsid w:val="00342294"/>
    <w:rsid w:val="003423DE"/>
    <w:rsid w:val="003424F1"/>
    <w:rsid w:val="0034253B"/>
    <w:rsid w:val="00342570"/>
    <w:rsid w:val="00342701"/>
    <w:rsid w:val="00342A4F"/>
    <w:rsid w:val="00342B71"/>
    <w:rsid w:val="00342BAB"/>
    <w:rsid w:val="00342C33"/>
    <w:rsid w:val="00342DA6"/>
    <w:rsid w:val="00342DFB"/>
    <w:rsid w:val="00342E1A"/>
    <w:rsid w:val="00342EB2"/>
    <w:rsid w:val="00343001"/>
    <w:rsid w:val="0034304B"/>
    <w:rsid w:val="003431EA"/>
    <w:rsid w:val="003431F5"/>
    <w:rsid w:val="003438F4"/>
    <w:rsid w:val="0034393A"/>
    <w:rsid w:val="003439C6"/>
    <w:rsid w:val="00343A06"/>
    <w:rsid w:val="00343A8D"/>
    <w:rsid w:val="00343ADD"/>
    <w:rsid w:val="00343B36"/>
    <w:rsid w:val="00343B68"/>
    <w:rsid w:val="00343C46"/>
    <w:rsid w:val="00343E64"/>
    <w:rsid w:val="00343E6E"/>
    <w:rsid w:val="00344023"/>
    <w:rsid w:val="003440D7"/>
    <w:rsid w:val="003442FE"/>
    <w:rsid w:val="00344316"/>
    <w:rsid w:val="00344330"/>
    <w:rsid w:val="0034435C"/>
    <w:rsid w:val="00344367"/>
    <w:rsid w:val="0034445E"/>
    <w:rsid w:val="0034450E"/>
    <w:rsid w:val="003445C3"/>
    <w:rsid w:val="00344694"/>
    <w:rsid w:val="00344708"/>
    <w:rsid w:val="00344836"/>
    <w:rsid w:val="00344953"/>
    <w:rsid w:val="00344B0F"/>
    <w:rsid w:val="00344BFB"/>
    <w:rsid w:val="00344C8A"/>
    <w:rsid w:val="00344E62"/>
    <w:rsid w:val="00344ED7"/>
    <w:rsid w:val="00345295"/>
    <w:rsid w:val="003453EB"/>
    <w:rsid w:val="003453ED"/>
    <w:rsid w:val="00345413"/>
    <w:rsid w:val="0034552F"/>
    <w:rsid w:val="00345557"/>
    <w:rsid w:val="003455A1"/>
    <w:rsid w:val="003455DA"/>
    <w:rsid w:val="003457E9"/>
    <w:rsid w:val="00345B1C"/>
    <w:rsid w:val="00345B8B"/>
    <w:rsid w:val="00345CB2"/>
    <w:rsid w:val="00345CB9"/>
    <w:rsid w:val="00345CEE"/>
    <w:rsid w:val="00345F25"/>
    <w:rsid w:val="00346156"/>
    <w:rsid w:val="003461F9"/>
    <w:rsid w:val="00346208"/>
    <w:rsid w:val="0034629C"/>
    <w:rsid w:val="0034634D"/>
    <w:rsid w:val="00346420"/>
    <w:rsid w:val="003464E8"/>
    <w:rsid w:val="00346503"/>
    <w:rsid w:val="00346571"/>
    <w:rsid w:val="0034657D"/>
    <w:rsid w:val="003468E4"/>
    <w:rsid w:val="00346A13"/>
    <w:rsid w:val="00346A29"/>
    <w:rsid w:val="00346A2A"/>
    <w:rsid w:val="00346BAB"/>
    <w:rsid w:val="00346DA6"/>
    <w:rsid w:val="00346DE6"/>
    <w:rsid w:val="00346E78"/>
    <w:rsid w:val="00346F1F"/>
    <w:rsid w:val="00346F4B"/>
    <w:rsid w:val="00346F93"/>
    <w:rsid w:val="00346FDC"/>
    <w:rsid w:val="003470E3"/>
    <w:rsid w:val="0034736F"/>
    <w:rsid w:val="00347399"/>
    <w:rsid w:val="00347413"/>
    <w:rsid w:val="0034745D"/>
    <w:rsid w:val="0034753B"/>
    <w:rsid w:val="003475B9"/>
    <w:rsid w:val="003477DB"/>
    <w:rsid w:val="00347894"/>
    <w:rsid w:val="00347A1F"/>
    <w:rsid w:val="00347D46"/>
    <w:rsid w:val="00347FD2"/>
    <w:rsid w:val="00350206"/>
    <w:rsid w:val="00350294"/>
    <w:rsid w:val="003502A4"/>
    <w:rsid w:val="003502BA"/>
    <w:rsid w:val="00350319"/>
    <w:rsid w:val="003503C6"/>
    <w:rsid w:val="003504FB"/>
    <w:rsid w:val="00350555"/>
    <w:rsid w:val="00350679"/>
    <w:rsid w:val="0035071E"/>
    <w:rsid w:val="003507CB"/>
    <w:rsid w:val="00350DD2"/>
    <w:rsid w:val="00350EC7"/>
    <w:rsid w:val="00350EF9"/>
    <w:rsid w:val="00350F71"/>
    <w:rsid w:val="00350FFC"/>
    <w:rsid w:val="0035107A"/>
    <w:rsid w:val="00351087"/>
    <w:rsid w:val="003510E1"/>
    <w:rsid w:val="00351105"/>
    <w:rsid w:val="0035112A"/>
    <w:rsid w:val="0035112E"/>
    <w:rsid w:val="003513D5"/>
    <w:rsid w:val="0035149D"/>
    <w:rsid w:val="00351552"/>
    <w:rsid w:val="00351559"/>
    <w:rsid w:val="00351730"/>
    <w:rsid w:val="003517B6"/>
    <w:rsid w:val="00351B89"/>
    <w:rsid w:val="00351D06"/>
    <w:rsid w:val="00351DE1"/>
    <w:rsid w:val="00351E4A"/>
    <w:rsid w:val="00351EB5"/>
    <w:rsid w:val="00352024"/>
    <w:rsid w:val="003520D6"/>
    <w:rsid w:val="003522B2"/>
    <w:rsid w:val="003524A8"/>
    <w:rsid w:val="003524B1"/>
    <w:rsid w:val="003524C7"/>
    <w:rsid w:val="00352571"/>
    <w:rsid w:val="003525DE"/>
    <w:rsid w:val="00352601"/>
    <w:rsid w:val="0035264C"/>
    <w:rsid w:val="00352708"/>
    <w:rsid w:val="00352A0B"/>
    <w:rsid w:val="00352B1D"/>
    <w:rsid w:val="00352BBC"/>
    <w:rsid w:val="00352CA5"/>
    <w:rsid w:val="00352D71"/>
    <w:rsid w:val="00352E83"/>
    <w:rsid w:val="0035310D"/>
    <w:rsid w:val="00353251"/>
    <w:rsid w:val="003532AF"/>
    <w:rsid w:val="003532C7"/>
    <w:rsid w:val="003533C0"/>
    <w:rsid w:val="00353496"/>
    <w:rsid w:val="003535D9"/>
    <w:rsid w:val="00353682"/>
    <w:rsid w:val="00353A3C"/>
    <w:rsid w:val="00353A67"/>
    <w:rsid w:val="00353B38"/>
    <w:rsid w:val="00353C4F"/>
    <w:rsid w:val="00353CD6"/>
    <w:rsid w:val="00353D42"/>
    <w:rsid w:val="00353D90"/>
    <w:rsid w:val="00353E96"/>
    <w:rsid w:val="00354105"/>
    <w:rsid w:val="0035424A"/>
    <w:rsid w:val="00354264"/>
    <w:rsid w:val="003542CA"/>
    <w:rsid w:val="0035446A"/>
    <w:rsid w:val="00354589"/>
    <w:rsid w:val="003545B1"/>
    <w:rsid w:val="0035469C"/>
    <w:rsid w:val="003546D9"/>
    <w:rsid w:val="003546E3"/>
    <w:rsid w:val="003546FC"/>
    <w:rsid w:val="0035482A"/>
    <w:rsid w:val="00354936"/>
    <w:rsid w:val="00354968"/>
    <w:rsid w:val="003549B7"/>
    <w:rsid w:val="00354A0C"/>
    <w:rsid w:val="00354A86"/>
    <w:rsid w:val="00354ACF"/>
    <w:rsid w:val="00354DD8"/>
    <w:rsid w:val="00354DEB"/>
    <w:rsid w:val="00354E55"/>
    <w:rsid w:val="00354E84"/>
    <w:rsid w:val="00355020"/>
    <w:rsid w:val="00355214"/>
    <w:rsid w:val="0035547A"/>
    <w:rsid w:val="003554EB"/>
    <w:rsid w:val="00355643"/>
    <w:rsid w:val="0035567C"/>
    <w:rsid w:val="00355714"/>
    <w:rsid w:val="0035585E"/>
    <w:rsid w:val="0035586D"/>
    <w:rsid w:val="003558FE"/>
    <w:rsid w:val="00355BA3"/>
    <w:rsid w:val="00355EE6"/>
    <w:rsid w:val="00356087"/>
    <w:rsid w:val="0035609E"/>
    <w:rsid w:val="003562D8"/>
    <w:rsid w:val="003562FA"/>
    <w:rsid w:val="00356304"/>
    <w:rsid w:val="0035636A"/>
    <w:rsid w:val="0035637E"/>
    <w:rsid w:val="003563E5"/>
    <w:rsid w:val="00356465"/>
    <w:rsid w:val="003566C7"/>
    <w:rsid w:val="003567DE"/>
    <w:rsid w:val="003568E5"/>
    <w:rsid w:val="003568EA"/>
    <w:rsid w:val="0035695D"/>
    <w:rsid w:val="003569E3"/>
    <w:rsid w:val="00356A44"/>
    <w:rsid w:val="00356A6A"/>
    <w:rsid w:val="00356A9F"/>
    <w:rsid w:val="00356AB8"/>
    <w:rsid w:val="00356B22"/>
    <w:rsid w:val="00356BC2"/>
    <w:rsid w:val="00356C00"/>
    <w:rsid w:val="00356CBA"/>
    <w:rsid w:val="00356E3D"/>
    <w:rsid w:val="00356F39"/>
    <w:rsid w:val="003572BC"/>
    <w:rsid w:val="00357392"/>
    <w:rsid w:val="0035759B"/>
    <w:rsid w:val="003576D7"/>
    <w:rsid w:val="003576D9"/>
    <w:rsid w:val="0035774B"/>
    <w:rsid w:val="00357791"/>
    <w:rsid w:val="00357878"/>
    <w:rsid w:val="003578B8"/>
    <w:rsid w:val="0035797A"/>
    <w:rsid w:val="003579E5"/>
    <w:rsid w:val="00357AD0"/>
    <w:rsid w:val="00357EBF"/>
    <w:rsid w:val="00357ECA"/>
    <w:rsid w:val="00357ECE"/>
    <w:rsid w:val="00360027"/>
    <w:rsid w:val="00360179"/>
    <w:rsid w:val="00360278"/>
    <w:rsid w:val="003602C5"/>
    <w:rsid w:val="0036031E"/>
    <w:rsid w:val="0036039F"/>
    <w:rsid w:val="00360400"/>
    <w:rsid w:val="0036047B"/>
    <w:rsid w:val="003604CF"/>
    <w:rsid w:val="00360510"/>
    <w:rsid w:val="00360DC4"/>
    <w:rsid w:val="00360E02"/>
    <w:rsid w:val="00360F06"/>
    <w:rsid w:val="00360F21"/>
    <w:rsid w:val="00360FEC"/>
    <w:rsid w:val="00360FF6"/>
    <w:rsid w:val="0036101B"/>
    <w:rsid w:val="00361150"/>
    <w:rsid w:val="003611E0"/>
    <w:rsid w:val="00361687"/>
    <w:rsid w:val="003616F0"/>
    <w:rsid w:val="00361768"/>
    <w:rsid w:val="003617B2"/>
    <w:rsid w:val="00361865"/>
    <w:rsid w:val="00361A0C"/>
    <w:rsid w:val="00361A1B"/>
    <w:rsid w:val="00361AE1"/>
    <w:rsid w:val="00361B7A"/>
    <w:rsid w:val="00361CF2"/>
    <w:rsid w:val="00361D0E"/>
    <w:rsid w:val="00361D6E"/>
    <w:rsid w:val="00361D81"/>
    <w:rsid w:val="00361E3B"/>
    <w:rsid w:val="00361F1D"/>
    <w:rsid w:val="00361F84"/>
    <w:rsid w:val="00361F85"/>
    <w:rsid w:val="00362041"/>
    <w:rsid w:val="003620BA"/>
    <w:rsid w:val="0036214F"/>
    <w:rsid w:val="0036218A"/>
    <w:rsid w:val="0036219A"/>
    <w:rsid w:val="00362401"/>
    <w:rsid w:val="003624A6"/>
    <w:rsid w:val="003625E6"/>
    <w:rsid w:val="00362640"/>
    <w:rsid w:val="00362655"/>
    <w:rsid w:val="00362720"/>
    <w:rsid w:val="0036279F"/>
    <w:rsid w:val="0036281E"/>
    <w:rsid w:val="003628A9"/>
    <w:rsid w:val="00362990"/>
    <w:rsid w:val="00362AB0"/>
    <w:rsid w:val="00362EB2"/>
    <w:rsid w:val="00362EE5"/>
    <w:rsid w:val="00362FB5"/>
    <w:rsid w:val="0036326A"/>
    <w:rsid w:val="0036332A"/>
    <w:rsid w:val="00363423"/>
    <w:rsid w:val="003634A5"/>
    <w:rsid w:val="003634CF"/>
    <w:rsid w:val="003634FF"/>
    <w:rsid w:val="003637B1"/>
    <w:rsid w:val="003637DF"/>
    <w:rsid w:val="0036390A"/>
    <w:rsid w:val="00363BE7"/>
    <w:rsid w:val="00363C0E"/>
    <w:rsid w:val="00363FCA"/>
    <w:rsid w:val="00363FCF"/>
    <w:rsid w:val="003640B4"/>
    <w:rsid w:val="003640E6"/>
    <w:rsid w:val="0036419C"/>
    <w:rsid w:val="00364386"/>
    <w:rsid w:val="00364492"/>
    <w:rsid w:val="00364575"/>
    <w:rsid w:val="00364761"/>
    <w:rsid w:val="003647E8"/>
    <w:rsid w:val="00364876"/>
    <w:rsid w:val="00364A06"/>
    <w:rsid w:val="00364A97"/>
    <w:rsid w:val="00364B2B"/>
    <w:rsid w:val="00364B74"/>
    <w:rsid w:val="00364D9A"/>
    <w:rsid w:val="00364F15"/>
    <w:rsid w:val="00364F8D"/>
    <w:rsid w:val="00365246"/>
    <w:rsid w:val="003652CF"/>
    <w:rsid w:val="003653F8"/>
    <w:rsid w:val="00365571"/>
    <w:rsid w:val="0036558D"/>
    <w:rsid w:val="0036567F"/>
    <w:rsid w:val="003656C3"/>
    <w:rsid w:val="003656FE"/>
    <w:rsid w:val="003657C3"/>
    <w:rsid w:val="003658DA"/>
    <w:rsid w:val="00365925"/>
    <w:rsid w:val="00365995"/>
    <w:rsid w:val="003659E1"/>
    <w:rsid w:val="00365B89"/>
    <w:rsid w:val="00365C17"/>
    <w:rsid w:val="00365C50"/>
    <w:rsid w:val="00365C8F"/>
    <w:rsid w:val="00365E18"/>
    <w:rsid w:val="00365E2D"/>
    <w:rsid w:val="00365FE0"/>
    <w:rsid w:val="003660AA"/>
    <w:rsid w:val="003662EF"/>
    <w:rsid w:val="0036640B"/>
    <w:rsid w:val="00366480"/>
    <w:rsid w:val="00366483"/>
    <w:rsid w:val="003664EB"/>
    <w:rsid w:val="003665D6"/>
    <w:rsid w:val="0036678F"/>
    <w:rsid w:val="00366C79"/>
    <w:rsid w:val="00366EC8"/>
    <w:rsid w:val="00366F02"/>
    <w:rsid w:val="00366FFF"/>
    <w:rsid w:val="003672F1"/>
    <w:rsid w:val="00367588"/>
    <w:rsid w:val="003675AF"/>
    <w:rsid w:val="003675E5"/>
    <w:rsid w:val="003676B0"/>
    <w:rsid w:val="003676FA"/>
    <w:rsid w:val="00367CA2"/>
    <w:rsid w:val="00367D00"/>
    <w:rsid w:val="00367D2D"/>
    <w:rsid w:val="00367E13"/>
    <w:rsid w:val="00367E2D"/>
    <w:rsid w:val="00367E8B"/>
    <w:rsid w:val="00367FE1"/>
    <w:rsid w:val="00370105"/>
    <w:rsid w:val="00370239"/>
    <w:rsid w:val="00370365"/>
    <w:rsid w:val="003703BC"/>
    <w:rsid w:val="003704EC"/>
    <w:rsid w:val="003705F7"/>
    <w:rsid w:val="003707AC"/>
    <w:rsid w:val="003707FB"/>
    <w:rsid w:val="00370D87"/>
    <w:rsid w:val="00370F43"/>
    <w:rsid w:val="00370FA7"/>
    <w:rsid w:val="0037100A"/>
    <w:rsid w:val="00371151"/>
    <w:rsid w:val="003711D0"/>
    <w:rsid w:val="0037121E"/>
    <w:rsid w:val="00371237"/>
    <w:rsid w:val="0037126B"/>
    <w:rsid w:val="0037148D"/>
    <w:rsid w:val="003715B1"/>
    <w:rsid w:val="003715B8"/>
    <w:rsid w:val="003715E1"/>
    <w:rsid w:val="00371749"/>
    <w:rsid w:val="00371BC7"/>
    <w:rsid w:val="00371BD5"/>
    <w:rsid w:val="00371BF0"/>
    <w:rsid w:val="00371BFE"/>
    <w:rsid w:val="00371F0C"/>
    <w:rsid w:val="00372002"/>
    <w:rsid w:val="003722D6"/>
    <w:rsid w:val="003724D8"/>
    <w:rsid w:val="0037251B"/>
    <w:rsid w:val="00372531"/>
    <w:rsid w:val="0037261B"/>
    <w:rsid w:val="00372651"/>
    <w:rsid w:val="0037267D"/>
    <w:rsid w:val="003726BA"/>
    <w:rsid w:val="00372706"/>
    <w:rsid w:val="00372A58"/>
    <w:rsid w:val="00372D26"/>
    <w:rsid w:val="00372D7F"/>
    <w:rsid w:val="00372D90"/>
    <w:rsid w:val="00372F8A"/>
    <w:rsid w:val="00373154"/>
    <w:rsid w:val="003734B4"/>
    <w:rsid w:val="0037350C"/>
    <w:rsid w:val="0037353D"/>
    <w:rsid w:val="00373673"/>
    <w:rsid w:val="003736C3"/>
    <w:rsid w:val="003738D2"/>
    <w:rsid w:val="00373968"/>
    <w:rsid w:val="00373A9E"/>
    <w:rsid w:val="00373B81"/>
    <w:rsid w:val="00373C2B"/>
    <w:rsid w:val="00373C6C"/>
    <w:rsid w:val="00373CAF"/>
    <w:rsid w:val="0037456F"/>
    <w:rsid w:val="003745A3"/>
    <w:rsid w:val="0037469B"/>
    <w:rsid w:val="003746B9"/>
    <w:rsid w:val="003746E8"/>
    <w:rsid w:val="00374834"/>
    <w:rsid w:val="00374C11"/>
    <w:rsid w:val="00374C36"/>
    <w:rsid w:val="00374D23"/>
    <w:rsid w:val="00374D55"/>
    <w:rsid w:val="00374DDE"/>
    <w:rsid w:val="00374EE9"/>
    <w:rsid w:val="00374FBB"/>
    <w:rsid w:val="00374FD6"/>
    <w:rsid w:val="00375416"/>
    <w:rsid w:val="003756C7"/>
    <w:rsid w:val="00375784"/>
    <w:rsid w:val="003757F8"/>
    <w:rsid w:val="00375806"/>
    <w:rsid w:val="00375861"/>
    <w:rsid w:val="00375AC2"/>
    <w:rsid w:val="00375BAD"/>
    <w:rsid w:val="00375DF3"/>
    <w:rsid w:val="00375EC2"/>
    <w:rsid w:val="00375EC3"/>
    <w:rsid w:val="00375EFF"/>
    <w:rsid w:val="00376004"/>
    <w:rsid w:val="003763C1"/>
    <w:rsid w:val="0037658E"/>
    <w:rsid w:val="00376632"/>
    <w:rsid w:val="003766AB"/>
    <w:rsid w:val="0037681F"/>
    <w:rsid w:val="00376835"/>
    <w:rsid w:val="0037686A"/>
    <w:rsid w:val="00376951"/>
    <w:rsid w:val="00376FBA"/>
    <w:rsid w:val="00376FD5"/>
    <w:rsid w:val="0037700C"/>
    <w:rsid w:val="0037702D"/>
    <w:rsid w:val="00377140"/>
    <w:rsid w:val="003771A9"/>
    <w:rsid w:val="003771D3"/>
    <w:rsid w:val="0037728E"/>
    <w:rsid w:val="0037733C"/>
    <w:rsid w:val="0037739C"/>
    <w:rsid w:val="00377472"/>
    <w:rsid w:val="00377579"/>
    <w:rsid w:val="003775DD"/>
    <w:rsid w:val="003775EE"/>
    <w:rsid w:val="00377992"/>
    <w:rsid w:val="00377999"/>
    <w:rsid w:val="00377A15"/>
    <w:rsid w:val="00377A76"/>
    <w:rsid w:val="00377B74"/>
    <w:rsid w:val="00377D10"/>
    <w:rsid w:val="00377D51"/>
    <w:rsid w:val="00377E91"/>
    <w:rsid w:val="00377E9D"/>
    <w:rsid w:val="00380252"/>
    <w:rsid w:val="003802EA"/>
    <w:rsid w:val="0038041E"/>
    <w:rsid w:val="0038048C"/>
    <w:rsid w:val="003804C1"/>
    <w:rsid w:val="00380528"/>
    <w:rsid w:val="00380586"/>
    <w:rsid w:val="0038080A"/>
    <w:rsid w:val="0038081B"/>
    <w:rsid w:val="0038097F"/>
    <w:rsid w:val="00380C12"/>
    <w:rsid w:val="00380C53"/>
    <w:rsid w:val="00380DFA"/>
    <w:rsid w:val="00380E33"/>
    <w:rsid w:val="00380E44"/>
    <w:rsid w:val="003810D7"/>
    <w:rsid w:val="00381562"/>
    <w:rsid w:val="003815CD"/>
    <w:rsid w:val="00381649"/>
    <w:rsid w:val="00381819"/>
    <w:rsid w:val="0038186D"/>
    <w:rsid w:val="00381984"/>
    <w:rsid w:val="00381AAD"/>
    <w:rsid w:val="00381CEC"/>
    <w:rsid w:val="00381E6E"/>
    <w:rsid w:val="00382086"/>
    <w:rsid w:val="003823C8"/>
    <w:rsid w:val="0038248D"/>
    <w:rsid w:val="00382520"/>
    <w:rsid w:val="00382682"/>
    <w:rsid w:val="00382703"/>
    <w:rsid w:val="003827F8"/>
    <w:rsid w:val="00382A78"/>
    <w:rsid w:val="00382B3C"/>
    <w:rsid w:val="00382C7B"/>
    <w:rsid w:val="00382F4A"/>
    <w:rsid w:val="00382FF0"/>
    <w:rsid w:val="003830C0"/>
    <w:rsid w:val="003830D0"/>
    <w:rsid w:val="0038312C"/>
    <w:rsid w:val="003832EC"/>
    <w:rsid w:val="00383516"/>
    <w:rsid w:val="00383536"/>
    <w:rsid w:val="0038365A"/>
    <w:rsid w:val="0038367D"/>
    <w:rsid w:val="00383681"/>
    <w:rsid w:val="0038375C"/>
    <w:rsid w:val="003837AE"/>
    <w:rsid w:val="003837C0"/>
    <w:rsid w:val="00383913"/>
    <w:rsid w:val="00383B29"/>
    <w:rsid w:val="00383CEB"/>
    <w:rsid w:val="00383D8F"/>
    <w:rsid w:val="00383DC1"/>
    <w:rsid w:val="00383E47"/>
    <w:rsid w:val="00383ECB"/>
    <w:rsid w:val="00383FE8"/>
    <w:rsid w:val="0038405E"/>
    <w:rsid w:val="00384080"/>
    <w:rsid w:val="003840B9"/>
    <w:rsid w:val="00384199"/>
    <w:rsid w:val="00384407"/>
    <w:rsid w:val="003848A4"/>
    <w:rsid w:val="003849D5"/>
    <w:rsid w:val="003849FA"/>
    <w:rsid w:val="00384A6E"/>
    <w:rsid w:val="00384E06"/>
    <w:rsid w:val="00384F4F"/>
    <w:rsid w:val="00384F5D"/>
    <w:rsid w:val="00385163"/>
    <w:rsid w:val="0038528F"/>
    <w:rsid w:val="0038534E"/>
    <w:rsid w:val="0038592E"/>
    <w:rsid w:val="003859A6"/>
    <w:rsid w:val="003859F7"/>
    <w:rsid w:val="00385A05"/>
    <w:rsid w:val="00385A1A"/>
    <w:rsid w:val="00385D4F"/>
    <w:rsid w:val="00385E45"/>
    <w:rsid w:val="00385E8E"/>
    <w:rsid w:val="00385F18"/>
    <w:rsid w:val="00385FA7"/>
    <w:rsid w:val="00386055"/>
    <w:rsid w:val="003860E7"/>
    <w:rsid w:val="003861E3"/>
    <w:rsid w:val="00386213"/>
    <w:rsid w:val="0038627D"/>
    <w:rsid w:val="0038632D"/>
    <w:rsid w:val="003864CE"/>
    <w:rsid w:val="00386615"/>
    <w:rsid w:val="00386764"/>
    <w:rsid w:val="00386BFC"/>
    <w:rsid w:val="00386C8B"/>
    <w:rsid w:val="00386FE1"/>
    <w:rsid w:val="00387092"/>
    <w:rsid w:val="0038714E"/>
    <w:rsid w:val="00387173"/>
    <w:rsid w:val="0038722B"/>
    <w:rsid w:val="003872D3"/>
    <w:rsid w:val="0038752B"/>
    <w:rsid w:val="0038757B"/>
    <w:rsid w:val="00387587"/>
    <w:rsid w:val="003876AE"/>
    <w:rsid w:val="00387774"/>
    <w:rsid w:val="003877E7"/>
    <w:rsid w:val="00387AFD"/>
    <w:rsid w:val="00387B15"/>
    <w:rsid w:val="00387C9C"/>
    <w:rsid w:val="00387D12"/>
    <w:rsid w:val="00387E39"/>
    <w:rsid w:val="00387F22"/>
    <w:rsid w:val="003901E4"/>
    <w:rsid w:val="0039022C"/>
    <w:rsid w:val="0039026A"/>
    <w:rsid w:val="00390373"/>
    <w:rsid w:val="00390480"/>
    <w:rsid w:val="003905FF"/>
    <w:rsid w:val="0039069D"/>
    <w:rsid w:val="00390738"/>
    <w:rsid w:val="00390773"/>
    <w:rsid w:val="00390ABD"/>
    <w:rsid w:val="00390B1A"/>
    <w:rsid w:val="00390B6C"/>
    <w:rsid w:val="00390ECD"/>
    <w:rsid w:val="00390F2A"/>
    <w:rsid w:val="003911CA"/>
    <w:rsid w:val="0039136B"/>
    <w:rsid w:val="00391503"/>
    <w:rsid w:val="0039159F"/>
    <w:rsid w:val="003916C2"/>
    <w:rsid w:val="00391943"/>
    <w:rsid w:val="0039197B"/>
    <w:rsid w:val="00391B17"/>
    <w:rsid w:val="00391D73"/>
    <w:rsid w:val="00391DA2"/>
    <w:rsid w:val="00391DE8"/>
    <w:rsid w:val="00391E0B"/>
    <w:rsid w:val="0039210E"/>
    <w:rsid w:val="0039212B"/>
    <w:rsid w:val="0039212D"/>
    <w:rsid w:val="003922DD"/>
    <w:rsid w:val="0039230D"/>
    <w:rsid w:val="00392438"/>
    <w:rsid w:val="0039262E"/>
    <w:rsid w:val="003927F5"/>
    <w:rsid w:val="003929BD"/>
    <w:rsid w:val="00392A6E"/>
    <w:rsid w:val="00392B7A"/>
    <w:rsid w:val="00392C15"/>
    <w:rsid w:val="00392E99"/>
    <w:rsid w:val="00393047"/>
    <w:rsid w:val="003931C4"/>
    <w:rsid w:val="003931FD"/>
    <w:rsid w:val="00393289"/>
    <w:rsid w:val="00393338"/>
    <w:rsid w:val="00393393"/>
    <w:rsid w:val="003936EC"/>
    <w:rsid w:val="00393834"/>
    <w:rsid w:val="0039387D"/>
    <w:rsid w:val="00393995"/>
    <w:rsid w:val="00393A27"/>
    <w:rsid w:val="00393AF6"/>
    <w:rsid w:val="00393B30"/>
    <w:rsid w:val="00393BB9"/>
    <w:rsid w:val="00393CE1"/>
    <w:rsid w:val="00393EA4"/>
    <w:rsid w:val="00393FA0"/>
    <w:rsid w:val="0039401E"/>
    <w:rsid w:val="00394129"/>
    <w:rsid w:val="00394261"/>
    <w:rsid w:val="0039430A"/>
    <w:rsid w:val="003943E5"/>
    <w:rsid w:val="00394652"/>
    <w:rsid w:val="0039495E"/>
    <w:rsid w:val="003949AA"/>
    <w:rsid w:val="00394CCD"/>
    <w:rsid w:val="00394E66"/>
    <w:rsid w:val="003950A2"/>
    <w:rsid w:val="003950D7"/>
    <w:rsid w:val="00395147"/>
    <w:rsid w:val="0039514E"/>
    <w:rsid w:val="003951BF"/>
    <w:rsid w:val="0039557A"/>
    <w:rsid w:val="003955A1"/>
    <w:rsid w:val="00395773"/>
    <w:rsid w:val="0039589A"/>
    <w:rsid w:val="003958F7"/>
    <w:rsid w:val="0039592E"/>
    <w:rsid w:val="00395A1E"/>
    <w:rsid w:val="00395A27"/>
    <w:rsid w:val="00395E38"/>
    <w:rsid w:val="00395E8E"/>
    <w:rsid w:val="00395F0F"/>
    <w:rsid w:val="00395F1E"/>
    <w:rsid w:val="00395F9D"/>
    <w:rsid w:val="0039617F"/>
    <w:rsid w:val="00396206"/>
    <w:rsid w:val="003962FA"/>
    <w:rsid w:val="003963D5"/>
    <w:rsid w:val="003965DA"/>
    <w:rsid w:val="00396887"/>
    <w:rsid w:val="00396925"/>
    <w:rsid w:val="00396A05"/>
    <w:rsid w:val="00396A30"/>
    <w:rsid w:val="00396BFF"/>
    <w:rsid w:val="00396DF8"/>
    <w:rsid w:val="00396DF9"/>
    <w:rsid w:val="00396FD5"/>
    <w:rsid w:val="003971C8"/>
    <w:rsid w:val="003971F5"/>
    <w:rsid w:val="003972B0"/>
    <w:rsid w:val="003974D2"/>
    <w:rsid w:val="003974EE"/>
    <w:rsid w:val="00397518"/>
    <w:rsid w:val="0039782E"/>
    <w:rsid w:val="00397892"/>
    <w:rsid w:val="0039798B"/>
    <w:rsid w:val="00397A58"/>
    <w:rsid w:val="00397A61"/>
    <w:rsid w:val="00397AA3"/>
    <w:rsid w:val="00397FE7"/>
    <w:rsid w:val="00397FEB"/>
    <w:rsid w:val="003A021B"/>
    <w:rsid w:val="003A02A3"/>
    <w:rsid w:val="003A0468"/>
    <w:rsid w:val="003A04B9"/>
    <w:rsid w:val="003A05EA"/>
    <w:rsid w:val="003A0621"/>
    <w:rsid w:val="003A06B9"/>
    <w:rsid w:val="003A06FF"/>
    <w:rsid w:val="003A0790"/>
    <w:rsid w:val="003A0A5E"/>
    <w:rsid w:val="003A0A87"/>
    <w:rsid w:val="003A0B8A"/>
    <w:rsid w:val="003A0BE2"/>
    <w:rsid w:val="003A0D27"/>
    <w:rsid w:val="003A0DB7"/>
    <w:rsid w:val="003A0EE0"/>
    <w:rsid w:val="003A1185"/>
    <w:rsid w:val="003A14EF"/>
    <w:rsid w:val="003A1500"/>
    <w:rsid w:val="003A1564"/>
    <w:rsid w:val="003A16C7"/>
    <w:rsid w:val="003A1923"/>
    <w:rsid w:val="003A1926"/>
    <w:rsid w:val="003A193B"/>
    <w:rsid w:val="003A199C"/>
    <w:rsid w:val="003A1AD4"/>
    <w:rsid w:val="003A1D08"/>
    <w:rsid w:val="003A1D27"/>
    <w:rsid w:val="003A1DBC"/>
    <w:rsid w:val="003A1E5F"/>
    <w:rsid w:val="003A1FAA"/>
    <w:rsid w:val="003A2065"/>
    <w:rsid w:val="003A20B0"/>
    <w:rsid w:val="003A210B"/>
    <w:rsid w:val="003A220E"/>
    <w:rsid w:val="003A2245"/>
    <w:rsid w:val="003A2285"/>
    <w:rsid w:val="003A2347"/>
    <w:rsid w:val="003A24FE"/>
    <w:rsid w:val="003A2599"/>
    <w:rsid w:val="003A27D4"/>
    <w:rsid w:val="003A2843"/>
    <w:rsid w:val="003A2C27"/>
    <w:rsid w:val="003A2C58"/>
    <w:rsid w:val="003A2D7B"/>
    <w:rsid w:val="003A2D82"/>
    <w:rsid w:val="003A2DA6"/>
    <w:rsid w:val="003A2F6F"/>
    <w:rsid w:val="003A3036"/>
    <w:rsid w:val="003A30E7"/>
    <w:rsid w:val="003A33A6"/>
    <w:rsid w:val="003A3439"/>
    <w:rsid w:val="003A35C6"/>
    <w:rsid w:val="003A35FD"/>
    <w:rsid w:val="003A3627"/>
    <w:rsid w:val="003A3980"/>
    <w:rsid w:val="003A3A67"/>
    <w:rsid w:val="003A3A8B"/>
    <w:rsid w:val="003A3D45"/>
    <w:rsid w:val="003A3E7C"/>
    <w:rsid w:val="003A3EE6"/>
    <w:rsid w:val="003A3F77"/>
    <w:rsid w:val="003A3FD0"/>
    <w:rsid w:val="003A40A0"/>
    <w:rsid w:val="003A4136"/>
    <w:rsid w:val="003A4316"/>
    <w:rsid w:val="003A441B"/>
    <w:rsid w:val="003A441E"/>
    <w:rsid w:val="003A4494"/>
    <w:rsid w:val="003A4496"/>
    <w:rsid w:val="003A4605"/>
    <w:rsid w:val="003A466A"/>
    <w:rsid w:val="003A47FD"/>
    <w:rsid w:val="003A4989"/>
    <w:rsid w:val="003A4C4B"/>
    <w:rsid w:val="003A4D59"/>
    <w:rsid w:val="003A4D99"/>
    <w:rsid w:val="003A4E90"/>
    <w:rsid w:val="003A4EA3"/>
    <w:rsid w:val="003A4EBC"/>
    <w:rsid w:val="003A522D"/>
    <w:rsid w:val="003A5248"/>
    <w:rsid w:val="003A52B5"/>
    <w:rsid w:val="003A534E"/>
    <w:rsid w:val="003A53C5"/>
    <w:rsid w:val="003A546E"/>
    <w:rsid w:val="003A5607"/>
    <w:rsid w:val="003A5622"/>
    <w:rsid w:val="003A56EF"/>
    <w:rsid w:val="003A5891"/>
    <w:rsid w:val="003A5A4D"/>
    <w:rsid w:val="003A5BE1"/>
    <w:rsid w:val="003A5D30"/>
    <w:rsid w:val="003A5E3D"/>
    <w:rsid w:val="003A6084"/>
    <w:rsid w:val="003A61A6"/>
    <w:rsid w:val="003A6275"/>
    <w:rsid w:val="003A627E"/>
    <w:rsid w:val="003A6623"/>
    <w:rsid w:val="003A66BD"/>
    <w:rsid w:val="003A6958"/>
    <w:rsid w:val="003A6A47"/>
    <w:rsid w:val="003A6E28"/>
    <w:rsid w:val="003A6F39"/>
    <w:rsid w:val="003A7030"/>
    <w:rsid w:val="003A724A"/>
    <w:rsid w:val="003A7548"/>
    <w:rsid w:val="003A7643"/>
    <w:rsid w:val="003A78C4"/>
    <w:rsid w:val="003A79F4"/>
    <w:rsid w:val="003A7A2C"/>
    <w:rsid w:val="003A7CAB"/>
    <w:rsid w:val="003A7D66"/>
    <w:rsid w:val="003A7E93"/>
    <w:rsid w:val="003A7F66"/>
    <w:rsid w:val="003A7FEA"/>
    <w:rsid w:val="003B0066"/>
    <w:rsid w:val="003B0177"/>
    <w:rsid w:val="003B0260"/>
    <w:rsid w:val="003B0398"/>
    <w:rsid w:val="003B092D"/>
    <w:rsid w:val="003B09FE"/>
    <w:rsid w:val="003B0A0B"/>
    <w:rsid w:val="003B0BF7"/>
    <w:rsid w:val="003B0DC5"/>
    <w:rsid w:val="003B0F88"/>
    <w:rsid w:val="003B1288"/>
    <w:rsid w:val="003B132A"/>
    <w:rsid w:val="003B145D"/>
    <w:rsid w:val="003B14DB"/>
    <w:rsid w:val="003B14F4"/>
    <w:rsid w:val="003B1556"/>
    <w:rsid w:val="003B17C5"/>
    <w:rsid w:val="003B1848"/>
    <w:rsid w:val="003B18C0"/>
    <w:rsid w:val="003B1913"/>
    <w:rsid w:val="003B1A28"/>
    <w:rsid w:val="003B1A2C"/>
    <w:rsid w:val="003B1A73"/>
    <w:rsid w:val="003B1B0F"/>
    <w:rsid w:val="003B1B21"/>
    <w:rsid w:val="003B1E9F"/>
    <w:rsid w:val="003B201E"/>
    <w:rsid w:val="003B2033"/>
    <w:rsid w:val="003B2048"/>
    <w:rsid w:val="003B2197"/>
    <w:rsid w:val="003B242D"/>
    <w:rsid w:val="003B249B"/>
    <w:rsid w:val="003B24FB"/>
    <w:rsid w:val="003B251C"/>
    <w:rsid w:val="003B259A"/>
    <w:rsid w:val="003B2627"/>
    <w:rsid w:val="003B2633"/>
    <w:rsid w:val="003B27AC"/>
    <w:rsid w:val="003B2AAD"/>
    <w:rsid w:val="003B2B45"/>
    <w:rsid w:val="003B2B95"/>
    <w:rsid w:val="003B2C0D"/>
    <w:rsid w:val="003B2CFA"/>
    <w:rsid w:val="003B2D11"/>
    <w:rsid w:val="003B2E14"/>
    <w:rsid w:val="003B2E84"/>
    <w:rsid w:val="003B3030"/>
    <w:rsid w:val="003B303A"/>
    <w:rsid w:val="003B303F"/>
    <w:rsid w:val="003B3258"/>
    <w:rsid w:val="003B3600"/>
    <w:rsid w:val="003B3690"/>
    <w:rsid w:val="003B36A1"/>
    <w:rsid w:val="003B37EB"/>
    <w:rsid w:val="003B3945"/>
    <w:rsid w:val="003B3971"/>
    <w:rsid w:val="003B39BA"/>
    <w:rsid w:val="003B3A3F"/>
    <w:rsid w:val="003B3C3A"/>
    <w:rsid w:val="003B3DB3"/>
    <w:rsid w:val="003B3F83"/>
    <w:rsid w:val="003B3FD2"/>
    <w:rsid w:val="003B40B4"/>
    <w:rsid w:val="003B41C6"/>
    <w:rsid w:val="003B4347"/>
    <w:rsid w:val="003B4423"/>
    <w:rsid w:val="003B4448"/>
    <w:rsid w:val="003B463F"/>
    <w:rsid w:val="003B478D"/>
    <w:rsid w:val="003B47D9"/>
    <w:rsid w:val="003B4829"/>
    <w:rsid w:val="003B4AC2"/>
    <w:rsid w:val="003B4B30"/>
    <w:rsid w:val="003B4C1A"/>
    <w:rsid w:val="003B4C21"/>
    <w:rsid w:val="003B4E55"/>
    <w:rsid w:val="003B507E"/>
    <w:rsid w:val="003B52EA"/>
    <w:rsid w:val="003B537F"/>
    <w:rsid w:val="003B53E2"/>
    <w:rsid w:val="003B54A6"/>
    <w:rsid w:val="003B56BA"/>
    <w:rsid w:val="003B5780"/>
    <w:rsid w:val="003B5792"/>
    <w:rsid w:val="003B591D"/>
    <w:rsid w:val="003B5A8E"/>
    <w:rsid w:val="003B6021"/>
    <w:rsid w:val="003B60E4"/>
    <w:rsid w:val="003B6266"/>
    <w:rsid w:val="003B6361"/>
    <w:rsid w:val="003B64EF"/>
    <w:rsid w:val="003B66E8"/>
    <w:rsid w:val="003B6746"/>
    <w:rsid w:val="003B677D"/>
    <w:rsid w:val="003B682F"/>
    <w:rsid w:val="003B6AD8"/>
    <w:rsid w:val="003B6B8A"/>
    <w:rsid w:val="003B6FC8"/>
    <w:rsid w:val="003B7059"/>
    <w:rsid w:val="003B71FA"/>
    <w:rsid w:val="003B7204"/>
    <w:rsid w:val="003B7656"/>
    <w:rsid w:val="003B76DF"/>
    <w:rsid w:val="003B788C"/>
    <w:rsid w:val="003B7940"/>
    <w:rsid w:val="003B7ABB"/>
    <w:rsid w:val="003B7B57"/>
    <w:rsid w:val="003B7B87"/>
    <w:rsid w:val="003B7BBC"/>
    <w:rsid w:val="003B7C14"/>
    <w:rsid w:val="003B7D92"/>
    <w:rsid w:val="003B7D9C"/>
    <w:rsid w:val="003B7DEA"/>
    <w:rsid w:val="003B7E2D"/>
    <w:rsid w:val="003B7E3D"/>
    <w:rsid w:val="003B7FE3"/>
    <w:rsid w:val="003C006C"/>
    <w:rsid w:val="003C022B"/>
    <w:rsid w:val="003C0456"/>
    <w:rsid w:val="003C061F"/>
    <w:rsid w:val="003C067D"/>
    <w:rsid w:val="003C08DD"/>
    <w:rsid w:val="003C08EA"/>
    <w:rsid w:val="003C09A9"/>
    <w:rsid w:val="003C0B25"/>
    <w:rsid w:val="003C0C33"/>
    <w:rsid w:val="003C0D3B"/>
    <w:rsid w:val="003C0D4D"/>
    <w:rsid w:val="003C0DA3"/>
    <w:rsid w:val="003C0F10"/>
    <w:rsid w:val="003C0F62"/>
    <w:rsid w:val="003C0FB2"/>
    <w:rsid w:val="003C10FD"/>
    <w:rsid w:val="003C149D"/>
    <w:rsid w:val="003C14FF"/>
    <w:rsid w:val="003C152B"/>
    <w:rsid w:val="003C1664"/>
    <w:rsid w:val="003C1843"/>
    <w:rsid w:val="003C18D7"/>
    <w:rsid w:val="003C1910"/>
    <w:rsid w:val="003C1947"/>
    <w:rsid w:val="003C1BD1"/>
    <w:rsid w:val="003C1CE1"/>
    <w:rsid w:val="003C1DC1"/>
    <w:rsid w:val="003C1DCC"/>
    <w:rsid w:val="003C1EE6"/>
    <w:rsid w:val="003C21D7"/>
    <w:rsid w:val="003C22D5"/>
    <w:rsid w:val="003C23B9"/>
    <w:rsid w:val="003C2408"/>
    <w:rsid w:val="003C2469"/>
    <w:rsid w:val="003C2519"/>
    <w:rsid w:val="003C259D"/>
    <w:rsid w:val="003C25CD"/>
    <w:rsid w:val="003C2677"/>
    <w:rsid w:val="003C2AD2"/>
    <w:rsid w:val="003C2B01"/>
    <w:rsid w:val="003C2B58"/>
    <w:rsid w:val="003C2C00"/>
    <w:rsid w:val="003C2CEA"/>
    <w:rsid w:val="003C2EE4"/>
    <w:rsid w:val="003C2FEC"/>
    <w:rsid w:val="003C312A"/>
    <w:rsid w:val="003C3218"/>
    <w:rsid w:val="003C32C6"/>
    <w:rsid w:val="003C3515"/>
    <w:rsid w:val="003C35D3"/>
    <w:rsid w:val="003C35FC"/>
    <w:rsid w:val="003C3738"/>
    <w:rsid w:val="003C3955"/>
    <w:rsid w:val="003C39CE"/>
    <w:rsid w:val="003C39D5"/>
    <w:rsid w:val="003C3A7C"/>
    <w:rsid w:val="003C3B42"/>
    <w:rsid w:val="003C3BE7"/>
    <w:rsid w:val="003C3CBC"/>
    <w:rsid w:val="003C3CFC"/>
    <w:rsid w:val="003C3D3D"/>
    <w:rsid w:val="003C3D50"/>
    <w:rsid w:val="003C3E0B"/>
    <w:rsid w:val="003C3F67"/>
    <w:rsid w:val="003C3FD3"/>
    <w:rsid w:val="003C4171"/>
    <w:rsid w:val="003C422A"/>
    <w:rsid w:val="003C4424"/>
    <w:rsid w:val="003C4585"/>
    <w:rsid w:val="003C4598"/>
    <w:rsid w:val="003C497F"/>
    <w:rsid w:val="003C4A98"/>
    <w:rsid w:val="003C4C92"/>
    <w:rsid w:val="003C4DBD"/>
    <w:rsid w:val="003C4E28"/>
    <w:rsid w:val="003C4EA1"/>
    <w:rsid w:val="003C4EF4"/>
    <w:rsid w:val="003C4FD5"/>
    <w:rsid w:val="003C50F3"/>
    <w:rsid w:val="003C5560"/>
    <w:rsid w:val="003C5676"/>
    <w:rsid w:val="003C57D8"/>
    <w:rsid w:val="003C5822"/>
    <w:rsid w:val="003C5C7C"/>
    <w:rsid w:val="003C5E15"/>
    <w:rsid w:val="003C5EDD"/>
    <w:rsid w:val="003C5FF6"/>
    <w:rsid w:val="003C613F"/>
    <w:rsid w:val="003C6357"/>
    <w:rsid w:val="003C6519"/>
    <w:rsid w:val="003C67FE"/>
    <w:rsid w:val="003C680F"/>
    <w:rsid w:val="003C69B6"/>
    <w:rsid w:val="003C69C6"/>
    <w:rsid w:val="003C69CF"/>
    <w:rsid w:val="003C69E0"/>
    <w:rsid w:val="003C6A70"/>
    <w:rsid w:val="003C6BB2"/>
    <w:rsid w:val="003C6CC5"/>
    <w:rsid w:val="003C6E8A"/>
    <w:rsid w:val="003C6EEF"/>
    <w:rsid w:val="003C6EF0"/>
    <w:rsid w:val="003C70AB"/>
    <w:rsid w:val="003C717A"/>
    <w:rsid w:val="003C7188"/>
    <w:rsid w:val="003C7281"/>
    <w:rsid w:val="003C7296"/>
    <w:rsid w:val="003C73ED"/>
    <w:rsid w:val="003C7453"/>
    <w:rsid w:val="003C75E3"/>
    <w:rsid w:val="003C7657"/>
    <w:rsid w:val="003C767A"/>
    <w:rsid w:val="003C783A"/>
    <w:rsid w:val="003C7910"/>
    <w:rsid w:val="003C7C03"/>
    <w:rsid w:val="003C7F06"/>
    <w:rsid w:val="003D02A3"/>
    <w:rsid w:val="003D0357"/>
    <w:rsid w:val="003D05F1"/>
    <w:rsid w:val="003D06E0"/>
    <w:rsid w:val="003D08D3"/>
    <w:rsid w:val="003D0A3B"/>
    <w:rsid w:val="003D0BE7"/>
    <w:rsid w:val="003D0CD2"/>
    <w:rsid w:val="003D0D04"/>
    <w:rsid w:val="003D0E54"/>
    <w:rsid w:val="003D1088"/>
    <w:rsid w:val="003D1091"/>
    <w:rsid w:val="003D11D7"/>
    <w:rsid w:val="003D124C"/>
    <w:rsid w:val="003D1522"/>
    <w:rsid w:val="003D15F5"/>
    <w:rsid w:val="003D1677"/>
    <w:rsid w:val="003D167F"/>
    <w:rsid w:val="003D175A"/>
    <w:rsid w:val="003D18F3"/>
    <w:rsid w:val="003D1C00"/>
    <w:rsid w:val="003D1DA0"/>
    <w:rsid w:val="003D1DD0"/>
    <w:rsid w:val="003D1EA0"/>
    <w:rsid w:val="003D1FF0"/>
    <w:rsid w:val="003D204F"/>
    <w:rsid w:val="003D2084"/>
    <w:rsid w:val="003D2177"/>
    <w:rsid w:val="003D219B"/>
    <w:rsid w:val="003D21F9"/>
    <w:rsid w:val="003D2324"/>
    <w:rsid w:val="003D23DF"/>
    <w:rsid w:val="003D2481"/>
    <w:rsid w:val="003D2821"/>
    <w:rsid w:val="003D28A4"/>
    <w:rsid w:val="003D2950"/>
    <w:rsid w:val="003D2A84"/>
    <w:rsid w:val="003D2A95"/>
    <w:rsid w:val="003D2BB6"/>
    <w:rsid w:val="003D2C24"/>
    <w:rsid w:val="003D2DCB"/>
    <w:rsid w:val="003D32BC"/>
    <w:rsid w:val="003D337C"/>
    <w:rsid w:val="003D3593"/>
    <w:rsid w:val="003D38CA"/>
    <w:rsid w:val="003D3B1F"/>
    <w:rsid w:val="003D3D71"/>
    <w:rsid w:val="003D3DB5"/>
    <w:rsid w:val="003D3EC7"/>
    <w:rsid w:val="003D3FA9"/>
    <w:rsid w:val="003D3FB2"/>
    <w:rsid w:val="003D3FD6"/>
    <w:rsid w:val="003D4750"/>
    <w:rsid w:val="003D48E5"/>
    <w:rsid w:val="003D48FF"/>
    <w:rsid w:val="003D4A2B"/>
    <w:rsid w:val="003D4AF5"/>
    <w:rsid w:val="003D4B9F"/>
    <w:rsid w:val="003D4BDF"/>
    <w:rsid w:val="003D4ED9"/>
    <w:rsid w:val="003D501B"/>
    <w:rsid w:val="003D501C"/>
    <w:rsid w:val="003D521F"/>
    <w:rsid w:val="003D533B"/>
    <w:rsid w:val="003D5478"/>
    <w:rsid w:val="003D54DC"/>
    <w:rsid w:val="003D56C3"/>
    <w:rsid w:val="003D5741"/>
    <w:rsid w:val="003D5AEB"/>
    <w:rsid w:val="003D5B9C"/>
    <w:rsid w:val="003D5F5C"/>
    <w:rsid w:val="003D5FDE"/>
    <w:rsid w:val="003D62EA"/>
    <w:rsid w:val="003D6328"/>
    <w:rsid w:val="003D6455"/>
    <w:rsid w:val="003D6581"/>
    <w:rsid w:val="003D66B4"/>
    <w:rsid w:val="003D66DF"/>
    <w:rsid w:val="003D6833"/>
    <w:rsid w:val="003D6973"/>
    <w:rsid w:val="003D6E96"/>
    <w:rsid w:val="003D6EC4"/>
    <w:rsid w:val="003D6FA1"/>
    <w:rsid w:val="003D72FE"/>
    <w:rsid w:val="003D736E"/>
    <w:rsid w:val="003D756F"/>
    <w:rsid w:val="003D7704"/>
    <w:rsid w:val="003D78F7"/>
    <w:rsid w:val="003D7910"/>
    <w:rsid w:val="003D7A14"/>
    <w:rsid w:val="003D7A9B"/>
    <w:rsid w:val="003D7B18"/>
    <w:rsid w:val="003D7BD3"/>
    <w:rsid w:val="003D7C08"/>
    <w:rsid w:val="003D7D17"/>
    <w:rsid w:val="003E01A3"/>
    <w:rsid w:val="003E0450"/>
    <w:rsid w:val="003E0768"/>
    <w:rsid w:val="003E07CC"/>
    <w:rsid w:val="003E096A"/>
    <w:rsid w:val="003E0D9B"/>
    <w:rsid w:val="003E0E01"/>
    <w:rsid w:val="003E0E73"/>
    <w:rsid w:val="003E0ED0"/>
    <w:rsid w:val="003E0FDA"/>
    <w:rsid w:val="003E108D"/>
    <w:rsid w:val="003E11D5"/>
    <w:rsid w:val="003E123D"/>
    <w:rsid w:val="003E12A6"/>
    <w:rsid w:val="003E1375"/>
    <w:rsid w:val="003E1400"/>
    <w:rsid w:val="003E144E"/>
    <w:rsid w:val="003E1457"/>
    <w:rsid w:val="003E184C"/>
    <w:rsid w:val="003E18A2"/>
    <w:rsid w:val="003E1A3F"/>
    <w:rsid w:val="003E1AB9"/>
    <w:rsid w:val="003E1B6A"/>
    <w:rsid w:val="003E1C34"/>
    <w:rsid w:val="003E1C6C"/>
    <w:rsid w:val="003E1F77"/>
    <w:rsid w:val="003E2057"/>
    <w:rsid w:val="003E256B"/>
    <w:rsid w:val="003E2585"/>
    <w:rsid w:val="003E262A"/>
    <w:rsid w:val="003E2717"/>
    <w:rsid w:val="003E2B40"/>
    <w:rsid w:val="003E2DAF"/>
    <w:rsid w:val="003E2E1C"/>
    <w:rsid w:val="003E3131"/>
    <w:rsid w:val="003E31DD"/>
    <w:rsid w:val="003E3364"/>
    <w:rsid w:val="003E3693"/>
    <w:rsid w:val="003E36F6"/>
    <w:rsid w:val="003E374C"/>
    <w:rsid w:val="003E3826"/>
    <w:rsid w:val="003E3899"/>
    <w:rsid w:val="003E38A0"/>
    <w:rsid w:val="003E3913"/>
    <w:rsid w:val="003E391C"/>
    <w:rsid w:val="003E3A81"/>
    <w:rsid w:val="003E3BFD"/>
    <w:rsid w:val="003E3CA0"/>
    <w:rsid w:val="003E3CA8"/>
    <w:rsid w:val="003E3E1D"/>
    <w:rsid w:val="003E3F58"/>
    <w:rsid w:val="003E42CC"/>
    <w:rsid w:val="003E4635"/>
    <w:rsid w:val="003E47CB"/>
    <w:rsid w:val="003E48F7"/>
    <w:rsid w:val="003E492B"/>
    <w:rsid w:val="003E499C"/>
    <w:rsid w:val="003E4AB1"/>
    <w:rsid w:val="003E4AEB"/>
    <w:rsid w:val="003E4AF2"/>
    <w:rsid w:val="003E532F"/>
    <w:rsid w:val="003E5483"/>
    <w:rsid w:val="003E573A"/>
    <w:rsid w:val="003E5761"/>
    <w:rsid w:val="003E57AD"/>
    <w:rsid w:val="003E5AE0"/>
    <w:rsid w:val="003E5B0F"/>
    <w:rsid w:val="003E5B1E"/>
    <w:rsid w:val="003E5C00"/>
    <w:rsid w:val="003E5C08"/>
    <w:rsid w:val="003E5C0E"/>
    <w:rsid w:val="003E5C18"/>
    <w:rsid w:val="003E5C89"/>
    <w:rsid w:val="003E5D61"/>
    <w:rsid w:val="003E62DA"/>
    <w:rsid w:val="003E66BD"/>
    <w:rsid w:val="003E6AC7"/>
    <w:rsid w:val="003E6BCA"/>
    <w:rsid w:val="003E6C1D"/>
    <w:rsid w:val="003E6CFD"/>
    <w:rsid w:val="003E6E91"/>
    <w:rsid w:val="003E6F19"/>
    <w:rsid w:val="003E7011"/>
    <w:rsid w:val="003E7101"/>
    <w:rsid w:val="003E718B"/>
    <w:rsid w:val="003E719B"/>
    <w:rsid w:val="003E73BC"/>
    <w:rsid w:val="003E770C"/>
    <w:rsid w:val="003E771F"/>
    <w:rsid w:val="003E7750"/>
    <w:rsid w:val="003E7811"/>
    <w:rsid w:val="003E7822"/>
    <w:rsid w:val="003E7915"/>
    <w:rsid w:val="003E7971"/>
    <w:rsid w:val="003E7A6A"/>
    <w:rsid w:val="003E7B2A"/>
    <w:rsid w:val="003E7B30"/>
    <w:rsid w:val="003E7BCE"/>
    <w:rsid w:val="003E7BFA"/>
    <w:rsid w:val="003E7D4D"/>
    <w:rsid w:val="003E7F26"/>
    <w:rsid w:val="003F0093"/>
    <w:rsid w:val="003F01BE"/>
    <w:rsid w:val="003F0316"/>
    <w:rsid w:val="003F05F6"/>
    <w:rsid w:val="003F06B3"/>
    <w:rsid w:val="003F0707"/>
    <w:rsid w:val="003F0895"/>
    <w:rsid w:val="003F0935"/>
    <w:rsid w:val="003F0A1E"/>
    <w:rsid w:val="003F0A2F"/>
    <w:rsid w:val="003F0C43"/>
    <w:rsid w:val="003F0C91"/>
    <w:rsid w:val="003F0DD9"/>
    <w:rsid w:val="003F0E6C"/>
    <w:rsid w:val="003F0F7D"/>
    <w:rsid w:val="003F0F8D"/>
    <w:rsid w:val="003F0FB5"/>
    <w:rsid w:val="003F10D5"/>
    <w:rsid w:val="003F10F7"/>
    <w:rsid w:val="003F1155"/>
    <w:rsid w:val="003F162C"/>
    <w:rsid w:val="003F1633"/>
    <w:rsid w:val="003F191E"/>
    <w:rsid w:val="003F19C6"/>
    <w:rsid w:val="003F1B07"/>
    <w:rsid w:val="003F1DA3"/>
    <w:rsid w:val="003F1FCA"/>
    <w:rsid w:val="003F2245"/>
    <w:rsid w:val="003F2363"/>
    <w:rsid w:val="003F2676"/>
    <w:rsid w:val="003F268B"/>
    <w:rsid w:val="003F29EA"/>
    <w:rsid w:val="003F2A09"/>
    <w:rsid w:val="003F2A8C"/>
    <w:rsid w:val="003F2B88"/>
    <w:rsid w:val="003F2C18"/>
    <w:rsid w:val="003F2D05"/>
    <w:rsid w:val="003F2DC7"/>
    <w:rsid w:val="003F3059"/>
    <w:rsid w:val="003F3141"/>
    <w:rsid w:val="003F320D"/>
    <w:rsid w:val="003F32F2"/>
    <w:rsid w:val="003F3405"/>
    <w:rsid w:val="003F35B0"/>
    <w:rsid w:val="003F363B"/>
    <w:rsid w:val="003F36D5"/>
    <w:rsid w:val="003F37FE"/>
    <w:rsid w:val="003F3A7A"/>
    <w:rsid w:val="003F3BA6"/>
    <w:rsid w:val="003F3C1D"/>
    <w:rsid w:val="003F3D55"/>
    <w:rsid w:val="003F3E3E"/>
    <w:rsid w:val="003F3F38"/>
    <w:rsid w:val="003F4029"/>
    <w:rsid w:val="003F40CD"/>
    <w:rsid w:val="003F41BA"/>
    <w:rsid w:val="003F4290"/>
    <w:rsid w:val="003F444E"/>
    <w:rsid w:val="003F4587"/>
    <w:rsid w:val="003F45E4"/>
    <w:rsid w:val="003F4637"/>
    <w:rsid w:val="003F4671"/>
    <w:rsid w:val="003F4694"/>
    <w:rsid w:val="003F4759"/>
    <w:rsid w:val="003F49CC"/>
    <w:rsid w:val="003F4A28"/>
    <w:rsid w:val="003F4B6A"/>
    <w:rsid w:val="003F4C64"/>
    <w:rsid w:val="003F4C68"/>
    <w:rsid w:val="003F4DA8"/>
    <w:rsid w:val="003F4DAC"/>
    <w:rsid w:val="003F4DB5"/>
    <w:rsid w:val="003F4EC6"/>
    <w:rsid w:val="003F4EC9"/>
    <w:rsid w:val="003F5084"/>
    <w:rsid w:val="003F51DE"/>
    <w:rsid w:val="003F52C5"/>
    <w:rsid w:val="003F54B8"/>
    <w:rsid w:val="003F54ED"/>
    <w:rsid w:val="003F5644"/>
    <w:rsid w:val="003F56D8"/>
    <w:rsid w:val="003F56E5"/>
    <w:rsid w:val="003F5757"/>
    <w:rsid w:val="003F580F"/>
    <w:rsid w:val="003F590C"/>
    <w:rsid w:val="003F5975"/>
    <w:rsid w:val="003F5BF6"/>
    <w:rsid w:val="003F5E1D"/>
    <w:rsid w:val="003F618A"/>
    <w:rsid w:val="003F64C2"/>
    <w:rsid w:val="003F6655"/>
    <w:rsid w:val="003F6661"/>
    <w:rsid w:val="003F690C"/>
    <w:rsid w:val="003F6971"/>
    <w:rsid w:val="003F6AC1"/>
    <w:rsid w:val="003F6CBA"/>
    <w:rsid w:val="003F6CEE"/>
    <w:rsid w:val="003F6D1C"/>
    <w:rsid w:val="003F6DA3"/>
    <w:rsid w:val="003F6EAC"/>
    <w:rsid w:val="003F6EB9"/>
    <w:rsid w:val="003F6F18"/>
    <w:rsid w:val="003F6F82"/>
    <w:rsid w:val="003F700C"/>
    <w:rsid w:val="003F75D8"/>
    <w:rsid w:val="003F75DE"/>
    <w:rsid w:val="003F7686"/>
    <w:rsid w:val="003F77B6"/>
    <w:rsid w:val="003F77EC"/>
    <w:rsid w:val="003F785A"/>
    <w:rsid w:val="003F7985"/>
    <w:rsid w:val="003F7997"/>
    <w:rsid w:val="003F7C57"/>
    <w:rsid w:val="003F7C8D"/>
    <w:rsid w:val="003F7CE7"/>
    <w:rsid w:val="0040006B"/>
    <w:rsid w:val="00400196"/>
    <w:rsid w:val="00400523"/>
    <w:rsid w:val="0040057D"/>
    <w:rsid w:val="0040069A"/>
    <w:rsid w:val="004007B5"/>
    <w:rsid w:val="004007EC"/>
    <w:rsid w:val="004009A1"/>
    <w:rsid w:val="00400A44"/>
    <w:rsid w:val="00400B8C"/>
    <w:rsid w:val="00400B9C"/>
    <w:rsid w:val="00400C25"/>
    <w:rsid w:val="00400C50"/>
    <w:rsid w:val="00400DAB"/>
    <w:rsid w:val="00400DBE"/>
    <w:rsid w:val="00400E1D"/>
    <w:rsid w:val="00400E9E"/>
    <w:rsid w:val="00401291"/>
    <w:rsid w:val="00401809"/>
    <w:rsid w:val="00401879"/>
    <w:rsid w:val="00401967"/>
    <w:rsid w:val="00401A38"/>
    <w:rsid w:val="00401B44"/>
    <w:rsid w:val="00401C0C"/>
    <w:rsid w:val="00401CA6"/>
    <w:rsid w:val="00401D88"/>
    <w:rsid w:val="00401DAB"/>
    <w:rsid w:val="00401DCE"/>
    <w:rsid w:val="0040203E"/>
    <w:rsid w:val="0040260C"/>
    <w:rsid w:val="0040268F"/>
    <w:rsid w:val="004026AC"/>
    <w:rsid w:val="0040285E"/>
    <w:rsid w:val="004028BF"/>
    <w:rsid w:val="00402A07"/>
    <w:rsid w:val="00402AA3"/>
    <w:rsid w:val="00402AD4"/>
    <w:rsid w:val="00402B47"/>
    <w:rsid w:val="00402BA2"/>
    <w:rsid w:val="00402BC7"/>
    <w:rsid w:val="00402CD3"/>
    <w:rsid w:val="00402CDD"/>
    <w:rsid w:val="00402D5B"/>
    <w:rsid w:val="00402EBC"/>
    <w:rsid w:val="00403057"/>
    <w:rsid w:val="00403060"/>
    <w:rsid w:val="004030C1"/>
    <w:rsid w:val="0040315C"/>
    <w:rsid w:val="00403230"/>
    <w:rsid w:val="0040327D"/>
    <w:rsid w:val="004032B5"/>
    <w:rsid w:val="004032DE"/>
    <w:rsid w:val="00403539"/>
    <w:rsid w:val="00403585"/>
    <w:rsid w:val="0040365C"/>
    <w:rsid w:val="00403698"/>
    <w:rsid w:val="004036F0"/>
    <w:rsid w:val="004036F2"/>
    <w:rsid w:val="00403811"/>
    <w:rsid w:val="00403857"/>
    <w:rsid w:val="0040385E"/>
    <w:rsid w:val="004038F9"/>
    <w:rsid w:val="0040396D"/>
    <w:rsid w:val="00403AC7"/>
    <w:rsid w:val="00403CD7"/>
    <w:rsid w:val="00403E01"/>
    <w:rsid w:val="00403E04"/>
    <w:rsid w:val="00403E1E"/>
    <w:rsid w:val="00403F97"/>
    <w:rsid w:val="00404083"/>
    <w:rsid w:val="004041CB"/>
    <w:rsid w:val="004041D1"/>
    <w:rsid w:val="00404217"/>
    <w:rsid w:val="0040445A"/>
    <w:rsid w:val="004045E4"/>
    <w:rsid w:val="00404A7E"/>
    <w:rsid w:val="00404BB9"/>
    <w:rsid w:val="00404C83"/>
    <w:rsid w:val="00404D32"/>
    <w:rsid w:val="00404D53"/>
    <w:rsid w:val="00404D90"/>
    <w:rsid w:val="00404E18"/>
    <w:rsid w:val="004050EF"/>
    <w:rsid w:val="00405442"/>
    <w:rsid w:val="004054D8"/>
    <w:rsid w:val="0040556C"/>
    <w:rsid w:val="004055E5"/>
    <w:rsid w:val="00405669"/>
    <w:rsid w:val="004058C7"/>
    <w:rsid w:val="00405907"/>
    <w:rsid w:val="004059F8"/>
    <w:rsid w:val="00405A68"/>
    <w:rsid w:val="00405C4F"/>
    <w:rsid w:val="00405CA7"/>
    <w:rsid w:val="00405CB8"/>
    <w:rsid w:val="00405D19"/>
    <w:rsid w:val="00405E22"/>
    <w:rsid w:val="00405ECC"/>
    <w:rsid w:val="00405FFD"/>
    <w:rsid w:val="004060A3"/>
    <w:rsid w:val="0040616D"/>
    <w:rsid w:val="004061AC"/>
    <w:rsid w:val="00406269"/>
    <w:rsid w:val="00406276"/>
    <w:rsid w:val="0040632D"/>
    <w:rsid w:val="004068AF"/>
    <w:rsid w:val="004069D4"/>
    <w:rsid w:val="004069EE"/>
    <w:rsid w:val="00406A3D"/>
    <w:rsid w:val="00406A48"/>
    <w:rsid w:val="00406AEF"/>
    <w:rsid w:val="00406B31"/>
    <w:rsid w:val="00406B51"/>
    <w:rsid w:val="00406C0F"/>
    <w:rsid w:val="00406D7E"/>
    <w:rsid w:val="00406D89"/>
    <w:rsid w:val="00406F8E"/>
    <w:rsid w:val="004071F6"/>
    <w:rsid w:val="0040735E"/>
    <w:rsid w:val="004075AD"/>
    <w:rsid w:val="0040761E"/>
    <w:rsid w:val="00407710"/>
    <w:rsid w:val="0040776E"/>
    <w:rsid w:val="00407797"/>
    <w:rsid w:val="004077DD"/>
    <w:rsid w:val="00407927"/>
    <w:rsid w:val="00407AC1"/>
    <w:rsid w:val="00407B35"/>
    <w:rsid w:val="00407D60"/>
    <w:rsid w:val="00407D93"/>
    <w:rsid w:val="00407E42"/>
    <w:rsid w:val="00407E79"/>
    <w:rsid w:val="00407F2D"/>
    <w:rsid w:val="004100C8"/>
    <w:rsid w:val="00410161"/>
    <w:rsid w:val="004101DD"/>
    <w:rsid w:val="0041055A"/>
    <w:rsid w:val="004105F1"/>
    <w:rsid w:val="00410678"/>
    <w:rsid w:val="00410729"/>
    <w:rsid w:val="00410777"/>
    <w:rsid w:val="004107C6"/>
    <w:rsid w:val="0041082D"/>
    <w:rsid w:val="004109B1"/>
    <w:rsid w:val="00410D37"/>
    <w:rsid w:val="00410F2A"/>
    <w:rsid w:val="0041109C"/>
    <w:rsid w:val="004110F7"/>
    <w:rsid w:val="004111F6"/>
    <w:rsid w:val="004112C1"/>
    <w:rsid w:val="004114A3"/>
    <w:rsid w:val="004115F0"/>
    <w:rsid w:val="004116C1"/>
    <w:rsid w:val="00411795"/>
    <w:rsid w:val="004117F5"/>
    <w:rsid w:val="00411B69"/>
    <w:rsid w:val="00411C70"/>
    <w:rsid w:val="00411CE7"/>
    <w:rsid w:val="00411DDF"/>
    <w:rsid w:val="00411E9A"/>
    <w:rsid w:val="00412209"/>
    <w:rsid w:val="004123B3"/>
    <w:rsid w:val="004124BA"/>
    <w:rsid w:val="00412548"/>
    <w:rsid w:val="0041258F"/>
    <w:rsid w:val="004125EC"/>
    <w:rsid w:val="004126AF"/>
    <w:rsid w:val="004126E1"/>
    <w:rsid w:val="00412705"/>
    <w:rsid w:val="004127DF"/>
    <w:rsid w:val="004129CE"/>
    <w:rsid w:val="004129FB"/>
    <w:rsid w:val="00412A33"/>
    <w:rsid w:val="00412A5E"/>
    <w:rsid w:val="00412C49"/>
    <w:rsid w:val="00412CD2"/>
    <w:rsid w:val="00412EDC"/>
    <w:rsid w:val="00412F88"/>
    <w:rsid w:val="0041302D"/>
    <w:rsid w:val="004131CA"/>
    <w:rsid w:val="0041339F"/>
    <w:rsid w:val="004133B9"/>
    <w:rsid w:val="00413628"/>
    <w:rsid w:val="00413636"/>
    <w:rsid w:val="00413644"/>
    <w:rsid w:val="00413956"/>
    <w:rsid w:val="00413ACE"/>
    <w:rsid w:val="00413B1D"/>
    <w:rsid w:val="00413CFA"/>
    <w:rsid w:val="00413D93"/>
    <w:rsid w:val="00413F01"/>
    <w:rsid w:val="004141F4"/>
    <w:rsid w:val="0041423E"/>
    <w:rsid w:val="00414302"/>
    <w:rsid w:val="00414386"/>
    <w:rsid w:val="004143C1"/>
    <w:rsid w:val="004143F9"/>
    <w:rsid w:val="00414466"/>
    <w:rsid w:val="00414468"/>
    <w:rsid w:val="004144A4"/>
    <w:rsid w:val="004146F2"/>
    <w:rsid w:val="004146FF"/>
    <w:rsid w:val="00414917"/>
    <w:rsid w:val="004149C0"/>
    <w:rsid w:val="00414E8C"/>
    <w:rsid w:val="00414EB8"/>
    <w:rsid w:val="00414ED0"/>
    <w:rsid w:val="0041527A"/>
    <w:rsid w:val="004153CA"/>
    <w:rsid w:val="00415498"/>
    <w:rsid w:val="00415511"/>
    <w:rsid w:val="00415641"/>
    <w:rsid w:val="00415661"/>
    <w:rsid w:val="00415792"/>
    <w:rsid w:val="00415A10"/>
    <w:rsid w:val="00415A6A"/>
    <w:rsid w:val="00415B17"/>
    <w:rsid w:val="00415B58"/>
    <w:rsid w:val="00415C37"/>
    <w:rsid w:val="00415F65"/>
    <w:rsid w:val="00416024"/>
    <w:rsid w:val="00416069"/>
    <w:rsid w:val="00416070"/>
    <w:rsid w:val="00416258"/>
    <w:rsid w:val="004164D5"/>
    <w:rsid w:val="00416522"/>
    <w:rsid w:val="00416752"/>
    <w:rsid w:val="00416842"/>
    <w:rsid w:val="004168C3"/>
    <w:rsid w:val="00416B00"/>
    <w:rsid w:val="00416BA0"/>
    <w:rsid w:val="00416BD2"/>
    <w:rsid w:val="00416C52"/>
    <w:rsid w:val="00416CE5"/>
    <w:rsid w:val="00416D5B"/>
    <w:rsid w:val="00416DE9"/>
    <w:rsid w:val="00416E4E"/>
    <w:rsid w:val="004171E9"/>
    <w:rsid w:val="00417205"/>
    <w:rsid w:val="00417487"/>
    <w:rsid w:val="004175A7"/>
    <w:rsid w:val="004175DC"/>
    <w:rsid w:val="004176EA"/>
    <w:rsid w:val="00417889"/>
    <w:rsid w:val="004178CF"/>
    <w:rsid w:val="00417A48"/>
    <w:rsid w:val="00417B45"/>
    <w:rsid w:val="00417B77"/>
    <w:rsid w:val="00417BF8"/>
    <w:rsid w:val="00417CB1"/>
    <w:rsid w:val="00417D0B"/>
    <w:rsid w:val="00417D1D"/>
    <w:rsid w:val="00417DD7"/>
    <w:rsid w:val="00417DF1"/>
    <w:rsid w:val="00417F7E"/>
    <w:rsid w:val="0042027C"/>
    <w:rsid w:val="004203A7"/>
    <w:rsid w:val="004203DA"/>
    <w:rsid w:val="004204AF"/>
    <w:rsid w:val="004204C3"/>
    <w:rsid w:val="004204DE"/>
    <w:rsid w:val="00420741"/>
    <w:rsid w:val="00420757"/>
    <w:rsid w:val="00420847"/>
    <w:rsid w:val="004209BC"/>
    <w:rsid w:val="00420BA0"/>
    <w:rsid w:val="00420E7B"/>
    <w:rsid w:val="00420EC0"/>
    <w:rsid w:val="0042118E"/>
    <w:rsid w:val="004212D3"/>
    <w:rsid w:val="0042132B"/>
    <w:rsid w:val="004213B4"/>
    <w:rsid w:val="0042155E"/>
    <w:rsid w:val="004215FB"/>
    <w:rsid w:val="0042161D"/>
    <w:rsid w:val="0042161E"/>
    <w:rsid w:val="004217FE"/>
    <w:rsid w:val="00421915"/>
    <w:rsid w:val="0042193F"/>
    <w:rsid w:val="00421CC7"/>
    <w:rsid w:val="00421D3B"/>
    <w:rsid w:val="00421DC7"/>
    <w:rsid w:val="00421E07"/>
    <w:rsid w:val="00421E26"/>
    <w:rsid w:val="00421EBC"/>
    <w:rsid w:val="00421F6A"/>
    <w:rsid w:val="0042212F"/>
    <w:rsid w:val="004221DA"/>
    <w:rsid w:val="004221E7"/>
    <w:rsid w:val="00422250"/>
    <w:rsid w:val="00422277"/>
    <w:rsid w:val="00422297"/>
    <w:rsid w:val="0042232E"/>
    <w:rsid w:val="0042234C"/>
    <w:rsid w:val="004223B7"/>
    <w:rsid w:val="004223EE"/>
    <w:rsid w:val="00422421"/>
    <w:rsid w:val="00422493"/>
    <w:rsid w:val="00422555"/>
    <w:rsid w:val="0042260B"/>
    <w:rsid w:val="00422935"/>
    <w:rsid w:val="00422B01"/>
    <w:rsid w:val="00422BCD"/>
    <w:rsid w:val="00422D3D"/>
    <w:rsid w:val="00422EC1"/>
    <w:rsid w:val="0042309D"/>
    <w:rsid w:val="004232B0"/>
    <w:rsid w:val="004233E1"/>
    <w:rsid w:val="004234F0"/>
    <w:rsid w:val="00423699"/>
    <w:rsid w:val="00423993"/>
    <w:rsid w:val="00423A29"/>
    <w:rsid w:val="00423B32"/>
    <w:rsid w:val="00423BB1"/>
    <w:rsid w:val="00423C23"/>
    <w:rsid w:val="00423C64"/>
    <w:rsid w:val="00423D8C"/>
    <w:rsid w:val="00423DB2"/>
    <w:rsid w:val="00423F32"/>
    <w:rsid w:val="00423F64"/>
    <w:rsid w:val="00423F71"/>
    <w:rsid w:val="0042410A"/>
    <w:rsid w:val="00424390"/>
    <w:rsid w:val="004243B6"/>
    <w:rsid w:val="004244CF"/>
    <w:rsid w:val="0042459A"/>
    <w:rsid w:val="004246CE"/>
    <w:rsid w:val="00424717"/>
    <w:rsid w:val="00424A26"/>
    <w:rsid w:val="00424B49"/>
    <w:rsid w:val="00424B75"/>
    <w:rsid w:val="00424BE8"/>
    <w:rsid w:val="00424BFF"/>
    <w:rsid w:val="00424C63"/>
    <w:rsid w:val="00424C65"/>
    <w:rsid w:val="00424CB6"/>
    <w:rsid w:val="00424CF5"/>
    <w:rsid w:val="00424E88"/>
    <w:rsid w:val="00424EC0"/>
    <w:rsid w:val="00424F0C"/>
    <w:rsid w:val="00424F7B"/>
    <w:rsid w:val="00424FBA"/>
    <w:rsid w:val="004251F2"/>
    <w:rsid w:val="004252F7"/>
    <w:rsid w:val="00425756"/>
    <w:rsid w:val="0042578F"/>
    <w:rsid w:val="00425791"/>
    <w:rsid w:val="00425815"/>
    <w:rsid w:val="004258F1"/>
    <w:rsid w:val="00425A4E"/>
    <w:rsid w:val="00425AB2"/>
    <w:rsid w:val="00425C5F"/>
    <w:rsid w:val="00425CC3"/>
    <w:rsid w:val="00425DDF"/>
    <w:rsid w:val="00425E7E"/>
    <w:rsid w:val="004260C7"/>
    <w:rsid w:val="00426272"/>
    <w:rsid w:val="00426392"/>
    <w:rsid w:val="004263A6"/>
    <w:rsid w:val="004263DD"/>
    <w:rsid w:val="004263E0"/>
    <w:rsid w:val="00426480"/>
    <w:rsid w:val="00426548"/>
    <w:rsid w:val="00426593"/>
    <w:rsid w:val="004265D4"/>
    <w:rsid w:val="0042660E"/>
    <w:rsid w:val="00426769"/>
    <w:rsid w:val="00426898"/>
    <w:rsid w:val="00426A2A"/>
    <w:rsid w:val="00426A39"/>
    <w:rsid w:val="00426C06"/>
    <w:rsid w:val="00426C11"/>
    <w:rsid w:val="00426C40"/>
    <w:rsid w:val="00426EA3"/>
    <w:rsid w:val="00426EF1"/>
    <w:rsid w:val="00426F0F"/>
    <w:rsid w:val="00426F36"/>
    <w:rsid w:val="0042700F"/>
    <w:rsid w:val="0042717F"/>
    <w:rsid w:val="0042745C"/>
    <w:rsid w:val="00427565"/>
    <w:rsid w:val="00427572"/>
    <w:rsid w:val="00427673"/>
    <w:rsid w:val="00427766"/>
    <w:rsid w:val="004277F8"/>
    <w:rsid w:val="0042792F"/>
    <w:rsid w:val="00427A24"/>
    <w:rsid w:val="00427A65"/>
    <w:rsid w:val="00427B4B"/>
    <w:rsid w:val="00427BEF"/>
    <w:rsid w:val="00427F4D"/>
    <w:rsid w:val="00427FA3"/>
    <w:rsid w:val="0043003E"/>
    <w:rsid w:val="00430090"/>
    <w:rsid w:val="0043010F"/>
    <w:rsid w:val="00430120"/>
    <w:rsid w:val="00430124"/>
    <w:rsid w:val="00430139"/>
    <w:rsid w:val="004301B4"/>
    <w:rsid w:val="00430366"/>
    <w:rsid w:val="004304E4"/>
    <w:rsid w:val="00430623"/>
    <w:rsid w:val="0043070B"/>
    <w:rsid w:val="0043075C"/>
    <w:rsid w:val="00430808"/>
    <w:rsid w:val="004308BE"/>
    <w:rsid w:val="00430B4B"/>
    <w:rsid w:val="00430B5D"/>
    <w:rsid w:val="00430C0A"/>
    <w:rsid w:val="00430F37"/>
    <w:rsid w:val="00430F84"/>
    <w:rsid w:val="00431037"/>
    <w:rsid w:val="004310AB"/>
    <w:rsid w:val="00431151"/>
    <w:rsid w:val="004312B3"/>
    <w:rsid w:val="004312BD"/>
    <w:rsid w:val="00431340"/>
    <w:rsid w:val="004313B0"/>
    <w:rsid w:val="004313F9"/>
    <w:rsid w:val="00431501"/>
    <w:rsid w:val="004315AB"/>
    <w:rsid w:val="004316D8"/>
    <w:rsid w:val="004316EA"/>
    <w:rsid w:val="00431913"/>
    <w:rsid w:val="004319DD"/>
    <w:rsid w:val="00431B5A"/>
    <w:rsid w:val="00431B6F"/>
    <w:rsid w:val="00431CF2"/>
    <w:rsid w:val="00431DC0"/>
    <w:rsid w:val="00431DCB"/>
    <w:rsid w:val="00431E50"/>
    <w:rsid w:val="00431ECC"/>
    <w:rsid w:val="004321F7"/>
    <w:rsid w:val="0043252B"/>
    <w:rsid w:val="004326DE"/>
    <w:rsid w:val="004327F1"/>
    <w:rsid w:val="0043293E"/>
    <w:rsid w:val="00432AB7"/>
    <w:rsid w:val="00432E3B"/>
    <w:rsid w:val="0043303C"/>
    <w:rsid w:val="004330D7"/>
    <w:rsid w:val="004331FE"/>
    <w:rsid w:val="00433386"/>
    <w:rsid w:val="00433392"/>
    <w:rsid w:val="0043339C"/>
    <w:rsid w:val="004333D1"/>
    <w:rsid w:val="004334E2"/>
    <w:rsid w:val="0043391E"/>
    <w:rsid w:val="00433CFC"/>
    <w:rsid w:val="00433D5A"/>
    <w:rsid w:val="00433EFB"/>
    <w:rsid w:val="00433F42"/>
    <w:rsid w:val="00434073"/>
    <w:rsid w:val="004340D7"/>
    <w:rsid w:val="004340F7"/>
    <w:rsid w:val="0043422A"/>
    <w:rsid w:val="004343E4"/>
    <w:rsid w:val="004344E5"/>
    <w:rsid w:val="004345AB"/>
    <w:rsid w:val="0043482F"/>
    <w:rsid w:val="00434AC9"/>
    <w:rsid w:val="00434D6B"/>
    <w:rsid w:val="00434D7C"/>
    <w:rsid w:val="00434E47"/>
    <w:rsid w:val="00434F1B"/>
    <w:rsid w:val="00434F55"/>
    <w:rsid w:val="00435133"/>
    <w:rsid w:val="00435280"/>
    <w:rsid w:val="00435291"/>
    <w:rsid w:val="004352C8"/>
    <w:rsid w:val="00435490"/>
    <w:rsid w:val="00435542"/>
    <w:rsid w:val="0043558F"/>
    <w:rsid w:val="00435607"/>
    <w:rsid w:val="0043561D"/>
    <w:rsid w:val="004356AD"/>
    <w:rsid w:val="0043594F"/>
    <w:rsid w:val="00435C6B"/>
    <w:rsid w:val="00435C80"/>
    <w:rsid w:val="00435C9E"/>
    <w:rsid w:val="00435CBF"/>
    <w:rsid w:val="00435DE7"/>
    <w:rsid w:val="00435EC3"/>
    <w:rsid w:val="00435EE1"/>
    <w:rsid w:val="00435EEB"/>
    <w:rsid w:val="004361A7"/>
    <w:rsid w:val="00436220"/>
    <w:rsid w:val="00436275"/>
    <w:rsid w:val="00436377"/>
    <w:rsid w:val="00436455"/>
    <w:rsid w:val="004367A4"/>
    <w:rsid w:val="00436882"/>
    <w:rsid w:val="004368B7"/>
    <w:rsid w:val="004369E4"/>
    <w:rsid w:val="00436A0A"/>
    <w:rsid w:val="00436B92"/>
    <w:rsid w:val="00436BC0"/>
    <w:rsid w:val="00436CA6"/>
    <w:rsid w:val="00436E13"/>
    <w:rsid w:val="00436E9E"/>
    <w:rsid w:val="00437214"/>
    <w:rsid w:val="00437278"/>
    <w:rsid w:val="004374D1"/>
    <w:rsid w:val="0043786C"/>
    <w:rsid w:val="0043793F"/>
    <w:rsid w:val="004379DE"/>
    <w:rsid w:val="00437B59"/>
    <w:rsid w:val="00437E4F"/>
    <w:rsid w:val="00437FC1"/>
    <w:rsid w:val="0044004F"/>
    <w:rsid w:val="0044021F"/>
    <w:rsid w:val="00440285"/>
    <w:rsid w:val="0044045E"/>
    <w:rsid w:val="00440661"/>
    <w:rsid w:val="00440681"/>
    <w:rsid w:val="004408E8"/>
    <w:rsid w:val="00440DA9"/>
    <w:rsid w:val="00440DCE"/>
    <w:rsid w:val="00441189"/>
    <w:rsid w:val="004414B7"/>
    <w:rsid w:val="004414BB"/>
    <w:rsid w:val="00441516"/>
    <w:rsid w:val="0044156A"/>
    <w:rsid w:val="004415BA"/>
    <w:rsid w:val="00441795"/>
    <w:rsid w:val="0044195E"/>
    <w:rsid w:val="00441989"/>
    <w:rsid w:val="00441A67"/>
    <w:rsid w:val="00441AD4"/>
    <w:rsid w:val="00441B47"/>
    <w:rsid w:val="00441B4C"/>
    <w:rsid w:val="00441E46"/>
    <w:rsid w:val="00441E59"/>
    <w:rsid w:val="00441E71"/>
    <w:rsid w:val="00442051"/>
    <w:rsid w:val="004420AB"/>
    <w:rsid w:val="0044211B"/>
    <w:rsid w:val="0044229A"/>
    <w:rsid w:val="00442477"/>
    <w:rsid w:val="004425F7"/>
    <w:rsid w:val="004425FA"/>
    <w:rsid w:val="00442644"/>
    <w:rsid w:val="00442765"/>
    <w:rsid w:val="00442775"/>
    <w:rsid w:val="00442810"/>
    <w:rsid w:val="00442B33"/>
    <w:rsid w:val="00442BA0"/>
    <w:rsid w:val="00442D07"/>
    <w:rsid w:val="00442D1D"/>
    <w:rsid w:val="00442E32"/>
    <w:rsid w:val="00442EA9"/>
    <w:rsid w:val="00442F61"/>
    <w:rsid w:val="00443052"/>
    <w:rsid w:val="004431F7"/>
    <w:rsid w:val="00443248"/>
    <w:rsid w:val="004432FF"/>
    <w:rsid w:val="00443447"/>
    <w:rsid w:val="00443453"/>
    <w:rsid w:val="004436AC"/>
    <w:rsid w:val="00443755"/>
    <w:rsid w:val="00443994"/>
    <w:rsid w:val="004439F6"/>
    <w:rsid w:val="00443B02"/>
    <w:rsid w:val="00443B76"/>
    <w:rsid w:val="00443D43"/>
    <w:rsid w:val="00443DD5"/>
    <w:rsid w:val="00443DF9"/>
    <w:rsid w:val="00443FE4"/>
    <w:rsid w:val="00444003"/>
    <w:rsid w:val="00444603"/>
    <w:rsid w:val="0044472F"/>
    <w:rsid w:val="0044478E"/>
    <w:rsid w:val="004447D5"/>
    <w:rsid w:val="004447DC"/>
    <w:rsid w:val="004449C1"/>
    <w:rsid w:val="00444ACD"/>
    <w:rsid w:val="00444B22"/>
    <w:rsid w:val="00444BEA"/>
    <w:rsid w:val="00444C21"/>
    <w:rsid w:val="00444EDB"/>
    <w:rsid w:val="00444F64"/>
    <w:rsid w:val="00444F9B"/>
    <w:rsid w:val="0044507A"/>
    <w:rsid w:val="004452B3"/>
    <w:rsid w:val="004453BE"/>
    <w:rsid w:val="00445423"/>
    <w:rsid w:val="00445470"/>
    <w:rsid w:val="004454D5"/>
    <w:rsid w:val="00445516"/>
    <w:rsid w:val="00445577"/>
    <w:rsid w:val="0044566C"/>
    <w:rsid w:val="004457C8"/>
    <w:rsid w:val="004458C2"/>
    <w:rsid w:val="00445A7D"/>
    <w:rsid w:val="00445CFA"/>
    <w:rsid w:val="00445D84"/>
    <w:rsid w:val="0044615D"/>
    <w:rsid w:val="0044617E"/>
    <w:rsid w:val="004461FF"/>
    <w:rsid w:val="00446269"/>
    <w:rsid w:val="0044639E"/>
    <w:rsid w:val="0044658E"/>
    <w:rsid w:val="00446847"/>
    <w:rsid w:val="004468FE"/>
    <w:rsid w:val="00446957"/>
    <w:rsid w:val="00446A10"/>
    <w:rsid w:val="00446A36"/>
    <w:rsid w:val="00446A9C"/>
    <w:rsid w:val="00446B18"/>
    <w:rsid w:val="00446BC7"/>
    <w:rsid w:val="00446EC6"/>
    <w:rsid w:val="00446FDC"/>
    <w:rsid w:val="004470AC"/>
    <w:rsid w:val="0044730C"/>
    <w:rsid w:val="004473D6"/>
    <w:rsid w:val="004475CC"/>
    <w:rsid w:val="0044765D"/>
    <w:rsid w:val="004476F8"/>
    <w:rsid w:val="0044774E"/>
    <w:rsid w:val="00447806"/>
    <w:rsid w:val="00447808"/>
    <w:rsid w:val="0044782E"/>
    <w:rsid w:val="00447B76"/>
    <w:rsid w:val="00447CFD"/>
    <w:rsid w:val="00447DD4"/>
    <w:rsid w:val="00447EED"/>
    <w:rsid w:val="00447F16"/>
    <w:rsid w:val="0045030D"/>
    <w:rsid w:val="00450346"/>
    <w:rsid w:val="004503D0"/>
    <w:rsid w:val="0045046D"/>
    <w:rsid w:val="004505CA"/>
    <w:rsid w:val="004507B1"/>
    <w:rsid w:val="0045085B"/>
    <w:rsid w:val="00450923"/>
    <w:rsid w:val="00450A96"/>
    <w:rsid w:val="00450B0F"/>
    <w:rsid w:val="00450B2D"/>
    <w:rsid w:val="00450CCA"/>
    <w:rsid w:val="004510E4"/>
    <w:rsid w:val="00451146"/>
    <w:rsid w:val="00451183"/>
    <w:rsid w:val="0045123E"/>
    <w:rsid w:val="004512AF"/>
    <w:rsid w:val="00451383"/>
    <w:rsid w:val="004513A2"/>
    <w:rsid w:val="00451454"/>
    <w:rsid w:val="00451506"/>
    <w:rsid w:val="00451507"/>
    <w:rsid w:val="00451659"/>
    <w:rsid w:val="0045172D"/>
    <w:rsid w:val="0045194F"/>
    <w:rsid w:val="0045198F"/>
    <w:rsid w:val="00451A63"/>
    <w:rsid w:val="00451A8A"/>
    <w:rsid w:val="00451B2C"/>
    <w:rsid w:val="00451DB9"/>
    <w:rsid w:val="00451EAE"/>
    <w:rsid w:val="00451EFE"/>
    <w:rsid w:val="0045201E"/>
    <w:rsid w:val="0045212B"/>
    <w:rsid w:val="004521F0"/>
    <w:rsid w:val="0045232B"/>
    <w:rsid w:val="00452349"/>
    <w:rsid w:val="004525CC"/>
    <w:rsid w:val="0045296A"/>
    <w:rsid w:val="00452A43"/>
    <w:rsid w:val="00452A89"/>
    <w:rsid w:val="00452AF5"/>
    <w:rsid w:val="00452BF9"/>
    <w:rsid w:val="00452ECC"/>
    <w:rsid w:val="004532B4"/>
    <w:rsid w:val="00453372"/>
    <w:rsid w:val="0045340D"/>
    <w:rsid w:val="004536F0"/>
    <w:rsid w:val="004537C9"/>
    <w:rsid w:val="004538CC"/>
    <w:rsid w:val="00453B2C"/>
    <w:rsid w:val="00453B2F"/>
    <w:rsid w:val="00453C29"/>
    <w:rsid w:val="00453DA1"/>
    <w:rsid w:val="00453F4A"/>
    <w:rsid w:val="0045412B"/>
    <w:rsid w:val="0045417D"/>
    <w:rsid w:val="004543BE"/>
    <w:rsid w:val="00454504"/>
    <w:rsid w:val="004545AC"/>
    <w:rsid w:val="00454689"/>
    <w:rsid w:val="004546C4"/>
    <w:rsid w:val="0045484A"/>
    <w:rsid w:val="00454852"/>
    <w:rsid w:val="00454927"/>
    <w:rsid w:val="00454956"/>
    <w:rsid w:val="0045497A"/>
    <w:rsid w:val="00454B57"/>
    <w:rsid w:val="00454CCE"/>
    <w:rsid w:val="00454D32"/>
    <w:rsid w:val="00455011"/>
    <w:rsid w:val="00455061"/>
    <w:rsid w:val="004550CE"/>
    <w:rsid w:val="0045532F"/>
    <w:rsid w:val="004553F9"/>
    <w:rsid w:val="00455488"/>
    <w:rsid w:val="004554BE"/>
    <w:rsid w:val="004554DC"/>
    <w:rsid w:val="00455564"/>
    <w:rsid w:val="00455669"/>
    <w:rsid w:val="00455680"/>
    <w:rsid w:val="0045576A"/>
    <w:rsid w:val="00455B09"/>
    <w:rsid w:val="00455B64"/>
    <w:rsid w:val="00455DC8"/>
    <w:rsid w:val="00455F22"/>
    <w:rsid w:val="00455F40"/>
    <w:rsid w:val="0045621C"/>
    <w:rsid w:val="00456598"/>
    <w:rsid w:val="00456686"/>
    <w:rsid w:val="0045678C"/>
    <w:rsid w:val="0045696F"/>
    <w:rsid w:val="004569AD"/>
    <w:rsid w:val="00456BB6"/>
    <w:rsid w:val="00456E58"/>
    <w:rsid w:val="00456F15"/>
    <w:rsid w:val="00457000"/>
    <w:rsid w:val="00457189"/>
    <w:rsid w:val="00457281"/>
    <w:rsid w:val="004577DB"/>
    <w:rsid w:val="00457829"/>
    <w:rsid w:val="004578C8"/>
    <w:rsid w:val="004578D0"/>
    <w:rsid w:val="00457933"/>
    <w:rsid w:val="00457956"/>
    <w:rsid w:val="00457988"/>
    <w:rsid w:val="004579C7"/>
    <w:rsid w:val="00457A1F"/>
    <w:rsid w:val="00457AF1"/>
    <w:rsid w:val="00457B93"/>
    <w:rsid w:val="00457C0B"/>
    <w:rsid w:val="00457EB1"/>
    <w:rsid w:val="0046004D"/>
    <w:rsid w:val="00460070"/>
    <w:rsid w:val="004600DE"/>
    <w:rsid w:val="00460216"/>
    <w:rsid w:val="00460291"/>
    <w:rsid w:val="004602C8"/>
    <w:rsid w:val="0046037D"/>
    <w:rsid w:val="004603CA"/>
    <w:rsid w:val="004604FA"/>
    <w:rsid w:val="00460602"/>
    <w:rsid w:val="00460741"/>
    <w:rsid w:val="004607A6"/>
    <w:rsid w:val="004607B5"/>
    <w:rsid w:val="004609C7"/>
    <w:rsid w:val="00460C17"/>
    <w:rsid w:val="00460E5F"/>
    <w:rsid w:val="00461036"/>
    <w:rsid w:val="004610AB"/>
    <w:rsid w:val="004611E5"/>
    <w:rsid w:val="0046120D"/>
    <w:rsid w:val="00461237"/>
    <w:rsid w:val="0046125A"/>
    <w:rsid w:val="004613D6"/>
    <w:rsid w:val="00461415"/>
    <w:rsid w:val="0046175A"/>
    <w:rsid w:val="00461B17"/>
    <w:rsid w:val="00461C76"/>
    <w:rsid w:val="00461F77"/>
    <w:rsid w:val="00461FB8"/>
    <w:rsid w:val="004620F7"/>
    <w:rsid w:val="00462400"/>
    <w:rsid w:val="004624B2"/>
    <w:rsid w:val="0046263F"/>
    <w:rsid w:val="004627A8"/>
    <w:rsid w:val="004627B2"/>
    <w:rsid w:val="004627DD"/>
    <w:rsid w:val="00462886"/>
    <w:rsid w:val="004628E2"/>
    <w:rsid w:val="004629D6"/>
    <w:rsid w:val="00462B34"/>
    <w:rsid w:val="00462BFE"/>
    <w:rsid w:val="00462DA0"/>
    <w:rsid w:val="00462EA7"/>
    <w:rsid w:val="00462F49"/>
    <w:rsid w:val="0046301F"/>
    <w:rsid w:val="004630E0"/>
    <w:rsid w:val="00463275"/>
    <w:rsid w:val="004632D4"/>
    <w:rsid w:val="0046337B"/>
    <w:rsid w:val="004633E7"/>
    <w:rsid w:val="004634BC"/>
    <w:rsid w:val="004634D9"/>
    <w:rsid w:val="004634F4"/>
    <w:rsid w:val="0046356C"/>
    <w:rsid w:val="004636D8"/>
    <w:rsid w:val="004636EA"/>
    <w:rsid w:val="004639F7"/>
    <w:rsid w:val="00463A24"/>
    <w:rsid w:val="00463D83"/>
    <w:rsid w:val="00463FC9"/>
    <w:rsid w:val="0046416A"/>
    <w:rsid w:val="0046464D"/>
    <w:rsid w:val="004647D8"/>
    <w:rsid w:val="004648C5"/>
    <w:rsid w:val="00464BA8"/>
    <w:rsid w:val="00464C9F"/>
    <w:rsid w:val="00464D0E"/>
    <w:rsid w:val="0046508F"/>
    <w:rsid w:val="00465258"/>
    <w:rsid w:val="0046531D"/>
    <w:rsid w:val="00465370"/>
    <w:rsid w:val="00465533"/>
    <w:rsid w:val="00465650"/>
    <w:rsid w:val="00465658"/>
    <w:rsid w:val="004657C3"/>
    <w:rsid w:val="004659A3"/>
    <w:rsid w:val="004659FE"/>
    <w:rsid w:val="00465A83"/>
    <w:rsid w:val="00466027"/>
    <w:rsid w:val="00466059"/>
    <w:rsid w:val="00466089"/>
    <w:rsid w:val="00466253"/>
    <w:rsid w:val="004662E6"/>
    <w:rsid w:val="0046630D"/>
    <w:rsid w:val="004663B2"/>
    <w:rsid w:val="004664C3"/>
    <w:rsid w:val="0046657B"/>
    <w:rsid w:val="00466692"/>
    <w:rsid w:val="0046677B"/>
    <w:rsid w:val="00466808"/>
    <w:rsid w:val="00466B7D"/>
    <w:rsid w:val="00466E76"/>
    <w:rsid w:val="00466EFE"/>
    <w:rsid w:val="00466FAC"/>
    <w:rsid w:val="00466FB8"/>
    <w:rsid w:val="0046713F"/>
    <w:rsid w:val="004672FB"/>
    <w:rsid w:val="00467379"/>
    <w:rsid w:val="0046753C"/>
    <w:rsid w:val="0046759E"/>
    <w:rsid w:val="00467793"/>
    <w:rsid w:val="004677AA"/>
    <w:rsid w:val="004678A4"/>
    <w:rsid w:val="00467AF4"/>
    <w:rsid w:val="00467C68"/>
    <w:rsid w:val="00467CC9"/>
    <w:rsid w:val="00467D33"/>
    <w:rsid w:val="00467DAE"/>
    <w:rsid w:val="00467E3A"/>
    <w:rsid w:val="00467E84"/>
    <w:rsid w:val="00467F7F"/>
    <w:rsid w:val="00467F9D"/>
    <w:rsid w:val="00467FC4"/>
    <w:rsid w:val="0046B0D8"/>
    <w:rsid w:val="0046B104"/>
    <w:rsid w:val="004700D0"/>
    <w:rsid w:val="00470267"/>
    <w:rsid w:val="0047030F"/>
    <w:rsid w:val="004703CD"/>
    <w:rsid w:val="00470440"/>
    <w:rsid w:val="00470447"/>
    <w:rsid w:val="0047046A"/>
    <w:rsid w:val="00470550"/>
    <w:rsid w:val="00470636"/>
    <w:rsid w:val="004706BF"/>
    <w:rsid w:val="00470BA7"/>
    <w:rsid w:val="00470C34"/>
    <w:rsid w:val="00470D2B"/>
    <w:rsid w:val="00470EBF"/>
    <w:rsid w:val="00471456"/>
    <w:rsid w:val="004715A5"/>
    <w:rsid w:val="0047174D"/>
    <w:rsid w:val="004717E5"/>
    <w:rsid w:val="004717E9"/>
    <w:rsid w:val="0047189B"/>
    <w:rsid w:val="004719B3"/>
    <w:rsid w:val="00471A2A"/>
    <w:rsid w:val="00471A70"/>
    <w:rsid w:val="00471A94"/>
    <w:rsid w:val="00471B55"/>
    <w:rsid w:val="00471B56"/>
    <w:rsid w:val="00471B9F"/>
    <w:rsid w:val="00471BF0"/>
    <w:rsid w:val="00471C4B"/>
    <w:rsid w:val="00471E74"/>
    <w:rsid w:val="00471FEA"/>
    <w:rsid w:val="00472040"/>
    <w:rsid w:val="00472249"/>
    <w:rsid w:val="0047229B"/>
    <w:rsid w:val="004722D3"/>
    <w:rsid w:val="004724B7"/>
    <w:rsid w:val="004727DE"/>
    <w:rsid w:val="004728E9"/>
    <w:rsid w:val="004729E7"/>
    <w:rsid w:val="00472AEE"/>
    <w:rsid w:val="00472B26"/>
    <w:rsid w:val="00472C34"/>
    <w:rsid w:val="00472DA2"/>
    <w:rsid w:val="00472E46"/>
    <w:rsid w:val="004730E7"/>
    <w:rsid w:val="004731E7"/>
    <w:rsid w:val="0047334B"/>
    <w:rsid w:val="0047342A"/>
    <w:rsid w:val="00473560"/>
    <w:rsid w:val="004735B8"/>
    <w:rsid w:val="004735D2"/>
    <w:rsid w:val="00473694"/>
    <w:rsid w:val="00473961"/>
    <w:rsid w:val="00473A90"/>
    <w:rsid w:val="00473C6E"/>
    <w:rsid w:val="00473C8C"/>
    <w:rsid w:val="00473D07"/>
    <w:rsid w:val="00473DCD"/>
    <w:rsid w:val="00473DFD"/>
    <w:rsid w:val="00473FA8"/>
    <w:rsid w:val="00474066"/>
    <w:rsid w:val="00474100"/>
    <w:rsid w:val="0047437E"/>
    <w:rsid w:val="004743E2"/>
    <w:rsid w:val="00474450"/>
    <w:rsid w:val="004744E0"/>
    <w:rsid w:val="004744FD"/>
    <w:rsid w:val="004745F1"/>
    <w:rsid w:val="00474671"/>
    <w:rsid w:val="004748DA"/>
    <w:rsid w:val="004749FF"/>
    <w:rsid w:val="00474FF6"/>
    <w:rsid w:val="00474FFB"/>
    <w:rsid w:val="00475004"/>
    <w:rsid w:val="00475226"/>
    <w:rsid w:val="00475534"/>
    <w:rsid w:val="004755C9"/>
    <w:rsid w:val="0047561F"/>
    <w:rsid w:val="004757DA"/>
    <w:rsid w:val="0047584A"/>
    <w:rsid w:val="004758C0"/>
    <w:rsid w:val="004759A0"/>
    <w:rsid w:val="00475C7E"/>
    <w:rsid w:val="00475C92"/>
    <w:rsid w:val="00475D8D"/>
    <w:rsid w:val="00475E15"/>
    <w:rsid w:val="00475E77"/>
    <w:rsid w:val="00475E93"/>
    <w:rsid w:val="00475FFC"/>
    <w:rsid w:val="004762DA"/>
    <w:rsid w:val="00476382"/>
    <w:rsid w:val="004765A1"/>
    <w:rsid w:val="00476854"/>
    <w:rsid w:val="004768F6"/>
    <w:rsid w:val="00476ABC"/>
    <w:rsid w:val="00476BA9"/>
    <w:rsid w:val="00476FDA"/>
    <w:rsid w:val="0047710B"/>
    <w:rsid w:val="004772DC"/>
    <w:rsid w:val="00477568"/>
    <w:rsid w:val="00477630"/>
    <w:rsid w:val="004778B1"/>
    <w:rsid w:val="00477A25"/>
    <w:rsid w:val="00477BDD"/>
    <w:rsid w:val="00477BF4"/>
    <w:rsid w:val="00477CB3"/>
    <w:rsid w:val="00477D0B"/>
    <w:rsid w:val="004800B0"/>
    <w:rsid w:val="00480166"/>
    <w:rsid w:val="004801FD"/>
    <w:rsid w:val="0048039B"/>
    <w:rsid w:val="004803F6"/>
    <w:rsid w:val="004805D6"/>
    <w:rsid w:val="00480605"/>
    <w:rsid w:val="00480683"/>
    <w:rsid w:val="00480768"/>
    <w:rsid w:val="00480940"/>
    <w:rsid w:val="004809BC"/>
    <w:rsid w:val="00480A42"/>
    <w:rsid w:val="00480B8E"/>
    <w:rsid w:val="00480D0D"/>
    <w:rsid w:val="00480E59"/>
    <w:rsid w:val="00480EF0"/>
    <w:rsid w:val="00480FA3"/>
    <w:rsid w:val="0048119D"/>
    <w:rsid w:val="0048131C"/>
    <w:rsid w:val="00481329"/>
    <w:rsid w:val="00481442"/>
    <w:rsid w:val="00481582"/>
    <w:rsid w:val="004815BF"/>
    <w:rsid w:val="0048162C"/>
    <w:rsid w:val="004816E2"/>
    <w:rsid w:val="004817EB"/>
    <w:rsid w:val="004818CF"/>
    <w:rsid w:val="00481A6B"/>
    <w:rsid w:val="00481BB7"/>
    <w:rsid w:val="00481D3E"/>
    <w:rsid w:val="00481F0C"/>
    <w:rsid w:val="00481F19"/>
    <w:rsid w:val="00482133"/>
    <w:rsid w:val="004822E1"/>
    <w:rsid w:val="0048233D"/>
    <w:rsid w:val="004825C2"/>
    <w:rsid w:val="004825CB"/>
    <w:rsid w:val="0048261B"/>
    <w:rsid w:val="00482646"/>
    <w:rsid w:val="00482692"/>
    <w:rsid w:val="0048283E"/>
    <w:rsid w:val="004828F4"/>
    <w:rsid w:val="00482A58"/>
    <w:rsid w:val="00482BAF"/>
    <w:rsid w:val="00482D0F"/>
    <w:rsid w:val="00482D72"/>
    <w:rsid w:val="00482E26"/>
    <w:rsid w:val="00482FAF"/>
    <w:rsid w:val="00483146"/>
    <w:rsid w:val="00483208"/>
    <w:rsid w:val="00483214"/>
    <w:rsid w:val="004834A8"/>
    <w:rsid w:val="004835D0"/>
    <w:rsid w:val="004837A2"/>
    <w:rsid w:val="00483851"/>
    <w:rsid w:val="004838FF"/>
    <w:rsid w:val="00483AF7"/>
    <w:rsid w:val="00483B95"/>
    <w:rsid w:val="00483C56"/>
    <w:rsid w:val="00483D9F"/>
    <w:rsid w:val="004840DF"/>
    <w:rsid w:val="0048416F"/>
    <w:rsid w:val="004841C1"/>
    <w:rsid w:val="004841D0"/>
    <w:rsid w:val="0048451C"/>
    <w:rsid w:val="0048456E"/>
    <w:rsid w:val="00484588"/>
    <w:rsid w:val="00484626"/>
    <w:rsid w:val="0048473A"/>
    <w:rsid w:val="0048477E"/>
    <w:rsid w:val="00484C29"/>
    <w:rsid w:val="00484C32"/>
    <w:rsid w:val="00484C8A"/>
    <w:rsid w:val="00484D0A"/>
    <w:rsid w:val="00484D1A"/>
    <w:rsid w:val="00484F5B"/>
    <w:rsid w:val="004852A1"/>
    <w:rsid w:val="00485338"/>
    <w:rsid w:val="004853E8"/>
    <w:rsid w:val="00485488"/>
    <w:rsid w:val="00485493"/>
    <w:rsid w:val="004854AF"/>
    <w:rsid w:val="00485590"/>
    <w:rsid w:val="004855EC"/>
    <w:rsid w:val="0048568B"/>
    <w:rsid w:val="00485782"/>
    <w:rsid w:val="0048581F"/>
    <w:rsid w:val="0048585A"/>
    <w:rsid w:val="004858A8"/>
    <w:rsid w:val="00485E1B"/>
    <w:rsid w:val="00485FAA"/>
    <w:rsid w:val="00486153"/>
    <w:rsid w:val="00486275"/>
    <w:rsid w:val="004862B1"/>
    <w:rsid w:val="00486328"/>
    <w:rsid w:val="00486364"/>
    <w:rsid w:val="00486573"/>
    <w:rsid w:val="0048657E"/>
    <w:rsid w:val="004865AC"/>
    <w:rsid w:val="00486665"/>
    <w:rsid w:val="00486897"/>
    <w:rsid w:val="004868E2"/>
    <w:rsid w:val="00486967"/>
    <w:rsid w:val="0048699E"/>
    <w:rsid w:val="004869D9"/>
    <w:rsid w:val="00486DC4"/>
    <w:rsid w:val="00486DDA"/>
    <w:rsid w:val="004870AF"/>
    <w:rsid w:val="004871A6"/>
    <w:rsid w:val="00487371"/>
    <w:rsid w:val="004877C2"/>
    <w:rsid w:val="00487A9F"/>
    <w:rsid w:val="00487C0A"/>
    <w:rsid w:val="00487E92"/>
    <w:rsid w:val="00487F63"/>
    <w:rsid w:val="00487F71"/>
    <w:rsid w:val="004900A1"/>
    <w:rsid w:val="004902EA"/>
    <w:rsid w:val="00490431"/>
    <w:rsid w:val="00490498"/>
    <w:rsid w:val="00490548"/>
    <w:rsid w:val="004908B6"/>
    <w:rsid w:val="004908E7"/>
    <w:rsid w:val="00490A56"/>
    <w:rsid w:val="00490AE1"/>
    <w:rsid w:val="00490BC8"/>
    <w:rsid w:val="00490BE2"/>
    <w:rsid w:val="00490C9A"/>
    <w:rsid w:val="00490CAF"/>
    <w:rsid w:val="00490CB1"/>
    <w:rsid w:val="00490CB8"/>
    <w:rsid w:val="00490D2B"/>
    <w:rsid w:val="00490EE0"/>
    <w:rsid w:val="00491515"/>
    <w:rsid w:val="004917AB"/>
    <w:rsid w:val="00491989"/>
    <w:rsid w:val="004919B8"/>
    <w:rsid w:val="00491A06"/>
    <w:rsid w:val="00491B67"/>
    <w:rsid w:val="00491B74"/>
    <w:rsid w:val="00491C1A"/>
    <w:rsid w:val="00491C66"/>
    <w:rsid w:val="00491FA5"/>
    <w:rsid w:val="00492121"/>
    <w:rsid w:val="00492203"/>
    <w:rsid w:val="0049228D"/>
    <w:rsid w:val="004923C0"/>
    <w:rsid w:val="004923CE"/>
    <w:rsid w:val="00492535"/>
    <w:rsid w:val="004925BE"/>
    <w:rsid w:val="00492673"/>
    <w:rsid w:val="004927AB"/>
    <w:rsid w:val="004927C7"/>
    <w:rsid w:val="00492995"/>
    <w:rsid w:val="00492AB3"/>
    <w:rsid w:val="00492B04"/>
    <w:rsid w:val="00492B96"/>
    <w:rsid w:val="00492BB5"/>
    <w:rsid w:val="00492C0E"/>
    <w:rsid w:val="00492DC3"/>
    <w:rsid w:val="00492DCD"/>
    <w:rsid w:val="00492EDA"/>
    <w:rsid w:val="00492F7C"/>
    <w:rsid w:val="00492FC5"/>
    <w:rsid w:val="00493163"/>
    <w:rsid w:val="00493196"/>
    <w:rsid w:val="00493387"/>
    <w:rsid w:val="00493606"/>
    <w:rsid w:val="00493786"/>
    <w:rsid w:val="004938B6"/>
    <w:rsid w:val="004938DF"/>
    <w:rsid w:val="00493A85"/>
    <w:rsid w:val="00493C78"/>
    <w:rsid w:val="00493CC5"/>
    <w:rsid w:val="00493E98"/>
    <w:rsid w:val="00493F09"/>
    <w:rsid w:val="00493F8B"/>
    <w:rsid w:val="00494573"/>
    <w:rsid w:val="004945FC"/>
    <w:rsid w:val="004947F2"/>
    <w:rsid w:val="00494894"/>
    <w:rsid w:val="00494DED"/>
    <w:rsid w:val="00494E92"/>
    <w:rsid w:val="00494FF0"/>
    <w:rsid w:val="004950E9"/>
    <w:rsid w:val="0049517D"/>
    <w:rsid w:val="00495380"/>
    <w:rsid w:val="004953E6"/>
    <w:rsid w:val="0049541F"/>
    <w:rsid w:val="0049563E"/>
    <w:rsid w:val="0049570C"/>
    <w:rsid w:val="00495B07"/>
    <w:rsid w:val="00495C17"/>
    <w:rsid w:val="004960D4"/>
    <w:rsid w:val="0049610C"/>
    <w:rsid w:val="0049613D"/>
    <w:rsid w:val="00496257"/>
    <w:rsid w:val="0049626A"/>
    <w:rsid w:val="004962A1"/>
    <w:rsid w:val="004963C7"/>
    <w:rsid w:val="004964DD"/>
    <w:rsid w:val="004964E4"/>
    <w:rsid w:val="0049676B"/>
    <w:rsid w:val="00496836"/>
    <w:rsid w:val="0049683A"/>
    <w:rsid w:val="00496995"/>
    <w:rsid w:val="004969EA"/>
    <w:rsid w:val="00496BF4"/>
    <w:rsid w:val="00496D0D"/>
    <w:rsid w:val="00496D34"/>
    <w:rsid w:val="00496E5B"/>
    <w:rsid w:val="00496EA6"/>
    <w:rsid w:val="00496F61"/>
    <w:rsid w:val="004972C9"/>
    <w:rsid w:val="004974AA"/>
    <w:rsid w:val="004979CB"/>
    <w:rsid w:val="00497CE0"/>
    <w:rsid w:val="00497E2B"/>
    <w:rsid w:val="004A0226"/>
    <w:rsid w:val="004A043B"/>
    <w:rsid w:val="004A0598"/>
    <w:rsid w:val="004A077D"/>
    <w:rsid w:val="004A0866"/>
    <w:rsid w:val="004A0902"/>
    <w:rsid w:val="004A0AD8"/>
    <w:rsid w:val="004A0B9D"/>
    <w:rsid w:val="004A0CD4"/>
    <w:rsid w:val="004A0DA5"/>
    <w:rsid w:val="004A0EAF"/>
    <w:rsid w:val="004A0EF6"/>
    <w:rsid w:val="004A1464"/>
    <w:rsid w:val="004A1917"/>
    <w:rsid w:val="004A1A01"/>
    <w:rsid w:val="004A1AA7"/>
    <w:rsid w:val="004A1B4F"/>
    <w:rsid w:val="004A1BE6"/>
    <w:rsid w:val="004A1E66"/>
    <w:rsid w:val="004A2086"/>
    <w:rsid w:val="004A20B4"/>
    <w:rsid w:val="004A2127"/>
    <w:rsid w:val="004A21A2"/>
    <w:rsid w:val="004A239C"/>
    <w:rsid w:val="004A2411"/>
    <w:rsid w:val="004A242D"/>
    <w:rsid w:val="004A2449"/>
    <w:rsid w:val="004A2503"/>
    <w:rsid w:val="004A25F0"/>
    <w:rsid w:val="004A2735"/>
    <w:rsid w:val="004A276D"/>
    <w:rsid w:val="004A28AA"/>
    <w:rsid w:val="004A29A8"/>
    <w:rsid w:val="004A2AA5"/>
    <w:rsid w:val="004A2AF8"/>
    <w:rsid w:val="004A2B31"/>
    <w:rsid w:val="004A2C8E"/>
    <w:rsid w:val="004A2D79"/>
    <w:rsid w:val="004A303F"/>
    <w:rsid w:val="004A30D8"/>
    <w:rsid w:val="004A3129"/>
    <w:rsid w:val="004A333C"/>
    <w:rsid w:val="004A348F"/>
    <w:rsid w:val="004A35A8"/>
    <w:rsid w:val="004A375D"/>
    <w:rsid w:val="004A391B"/>
    <w:rsid w:val="004A3BA2"/>
    <w:rsid w:val="004A3C63"/>
    <w:rsid w:val="004A41FE"/>
    <w:rsid w:val="004A42F9"/>
    <w:rsid w:val="004A43D7"/>
    <w:rsid w:val="004A4551"/>
    <w:rsid w:val="004A473C"/>
    <w:rsid w:val="004A4C46"/>
    <w:rsid w:val="004A4D4F"/>
    <w:rsid w:val="004A4EDA"/>
    <w:rsid w:val="004A4EEE"/>
    <w:rsid w:val="004A4F28"/>
    <w:rsid w:val="004A501D"/>
    <w:rsid w:val="004A527F"/>
    <w:rsid w:val="004A5463"/>
    <w:rsid w:val="004A54C8"/>
    <w:rsid w:val="004A5842"/>
    <w:rsid w:val="004A59D2"/>
    <w:rsid w:val="004A5A49"/>
    <w:rsid w:val="004A5A6F"/>
    <w:rsid w:val="004A5D83"/>
    <w:rsid w:val="004A5FCE"/>
    <w:rsid w:val="004A607A"/>
    <w:rsid w:val="004A6149"/>
    <w:rsid w:val="004A64C2"/>
    <w:rsid w:val="004A657E"/>
    <w:rsid w:val="004A660D"/>
    <w:rsid w:val="004A6884"/>
    <w:rsid w:val="004A695E"/>
    <w:rsid w:val="004A6CD3"/>
    <w:rsid w:val="004A6E63"/>
    <w:rsid w:val="004A6ED2"/>
    <w:rsid w:val="004A70E9"/>
    <w:rsid w:val="004A7117"/>
    <w:rsid w:val="004A71D8"/>
    <w:rsid w:val="004A74D3"/>
    <w:rsid w:val="004A7558"/>
    <w:rsid w:val="004A758C"/>
    <w:rsid w:val="004A7A16"/>
    <w:rsid w:val="004A7C40"/>
    <w:rsid w:val="004A7EE1"/>
    <w:rsid w:val="004A7F14"/>
    <w:rsid w:val="004A7FC8"/>
    <w:rsid w:val="004B0039"/>
    <w:rsid w:val="004B0160"/>
    <w:rsid w:val="004B01FA"/>
    <w:rsid w:val="004B039A"/>
    <w:rsid w:val="004B03FF"/>
    <w:rsid w:val="004B0417"/>
    <w:rsid w:val="004B0508"/>
    <w:rsid w:val="004B0606"/>
    <w:rsid w:val="004B06B1"/>
    <w:rsid w:val="004B06CE"/>
    <w:rsid w:val="004B074F"/>
    <w:rsid w:val="004B0986"/>
    <w:rsid w:val="004B0A0F"/>
    <w:rsid w:val="004B0BBE"/>
    <w:rsid w:val="004B0D24"/>
    <w:rsid w:val="004B0E35"/>
    <w:rsid w:val="004B0EF0"/>
    <w:rsid w:val="004B1049"/>
    <w:rsid w:val="004B106D"/>
    <w:rsid w:val="004B11C4"/>
    <w:rsid w:val="004B1222"/>
    <w:rsid w:val="004B12D1"/>
    <w:rsid w:val="004B13F0"/>
    <w:rsid w:val="004B1492"/>
    <w:rsid w:val="004B1799"/>
    <w:rsid w:val="004B1827"/>
    <w:rsid w:val="004B192B"/>
    <w:rsid w:val="004B1BB6"/>
    <w:rsid w:val="004B1D88"/>
    <w:rsid w:val="004B1DA7"/>
    <w:rsid w:val="004B1FAB"/>
    <w:rsid w:val="004B2106"/>
    <w:rsid w:val="004B211B"/>
    <w:rsid w:val="004B2307"/>
    <w:rsid w:val="004B23A8"/>
    <w:rsid w:val="004B2590"/>
    <w:rsid w:val="004B2613"/>
    <w:rsid w:val="004B26E1"/>
    <w:rsid w:val="004B276D"/>
    <w:rsid w:val="004B27AD"/>
    <w:rsid w:val="004B27CB"/>
    <w:rsid w:val="004B27D9"/>
    <w:rsid w:val="004B2954"/>
    <w:rsid w:val="004B2A04"/>
    <w:rsid w:val="004B2B9C"/>
    <w:rsid w:val="004B2BA7"/>
    <w:rsid w:val="004B2BAC"/>
    <w:rsid w:val="004B2D96"/>
    <w:rsid w:val="004B2EFA"/>
    <w:rsid w:val="004B2FA7"/>
    <w:rsid w:val="004B34AC"/>
    <w:rsid w:val="004B34E1"/>
    <w:rsid w:val="004B3800"/>
    <w:rsid w:val="004B39E3"/>
    <w:rsid w:val="004B3AF6"/>
    <w:rsid w:val="004B3B6F"/>
    <w:rsid w:val="004B3BAA"/>
    <w:rsid w:val="004B3CBB"/>
    <w:rsid w:val="004B3E3B"/>
    <w:rsid w:val="004B401B"/>
    <w:rsid w:val="004B4092"/>
    <w:rsid w:val="004B4120"/>
    <w:rsid w:val="004B42AB"/>
    <w:rsid w:val="004B430C"/>
    <w:rsid w:val="004B444E"/>
    <w:rsid w:val="004B4500"/>
    <w:rsid w:val="004B46B2"/>
    <w:rsid w:val="004B472A"/>
    <w:rsid w:val="004B483C"/>
    <w:rsid w:val="004B493B"/>
    <w:rsid w:val="004B4A76"/>
    <w:rsid w:val="004B5070"/>
    <w:rsid w:val="004B50F9"/>
    <w:rsid w:val="004B5174"/>
    <w:rsid w:val="004B5379"/>
    <w:rsid w:val="004B538C"/>
    <w:rsid w:val="004B53B2"/>
    <w:rsid w:val="004B53C5"/>
    <w:rsid w:val="004B54D0"/>
    <w:rsid w:val="004B55A0"/>
    <w:rsid w:val="004B56BB"/>
    <w:rsid w:val="004B57BC"/>
    <w:rsid w:val="004B59D1"/>
    <w:rsid w:val="004B5A01"/>
    <w:rsid w:val="004B5AEB"/>
    <w:rsid w:val="004B5B3F"/>
    <w:rsid w:val="004B5C10"/>
    <w:rsid w:val="004B5D4E"/>
    <w:rsid w:val="004B5EA9"/>
    <w:rsid w:val="004B5F30"/>
    <w:rsid w:val="004B6043"/>
    <w:rsid w:val="004B6321"/>
    <w:rsid w:val="004B6406"/>
    <w:rsid w:val="004B668A"/>
    <w:rsid w:val="004B6B00"/>
    <w:rsid w:val="004B6E7B"/>
    <w:rsid w:val="004B6E9E"/>
    <w:rsid w:val="004B71A8"/>
    <w:rsid w:val="004B72E6"/>
    <w:rsid w:val="004B7571"/>
    <w:rsid w:val="004B7620"/>
    <w:rsid w:val="004B77D5"/>
    <w:rsid w:val="004B7808"/>
    <w:rsid w:val="004B78D0"/>
    <w:rsid w:val="004B7972"/>
    <w:rsid w:val="004B7B6F"/>
    <w:rsid w:val="004B7BF5"/>
    <w:rsid w:val="004B7CF0"/>
    <w:rsid w:val="004B7D6B"/>
    <w:rsid w:val="004B7DD8"/>
    <w:rsid w:val="004B7F27"/>
    <w:rsid w:val="004C0096"/>
    <w:rsid w:val="004C00F5"/>
    <w:rsid w:val="004C026A"/>
    <w:rsid w:val="004C02BA"/>
    <w:rsid w:val="004C0342"/>
    <w:rsid w:val="004C04D6"/>
    <w:rsid w:val="004C04F1"/>
    <w:rsid w:val="004C0520"/>
    <w:rsid w:val="004C0526"/>
    <w:rsid w:val="004C07BE"/>
    <w:rsid w:val="004C09AB"/>
    <w:rsid w:val="004C09EF"/>
    <w:rsid w:val="004C0D08"/>
    <w:rsid w:val="004C0D6F"/>
    <w:rsid w:val="004C0F1D"/>
    <w:rsid w:val="004C0F82"/>
    <w:rsid w:val="004C10B8"/>
    <w:rsid w:val="004C1353"/>
    <w:rsid w:val="004C1389"/>
    <w:rsid w:val="004C13AC"/>
    <w:rsid w:val="004C15D6"/>
    <w:rsid w:val="004C160F"/>
    <w:rsid w:val="004C1686"/>
    <w:rsid w:val="004C17D2"/>
    <w:rsid w:val="004C1854"/>
    <w:rsid w:val="004C190A"/>
    <w:rsid w:val="004C192C"/>
    <w:rsid w:val="004C1A33"/>
    <w:rsid w:val="004C1B64"/>
    <w:rsid w:val="004C1CBE"/>
    <w:rsid w:val="004C1D10"/>
    <w:rsid w:val="004C1EBF"/>
    <w:rsid w:val="004C1F7F"/>
    <w:rsid w:val="004C1FB9"/>
    <w:rsid w:val="004C2077"/>
    <w:rsid w:val="004C24CF"/>
    <w:rsid w:val="004C289E"/>
    <w:rsid w:val="004C2947"/>
    <w:rsid w:val="004C2AE7"/>
    <w:rsid w:val="004C2D7E"/>
    <w:rsid w:val="004C2E90"/>
    <w:rsid w:val="004C3066"/>
    <w:rsid w:val="004C32B1"/>
    <w:rsid w:val="004C33BD"/>
    <w:rsid w:val="004C369A"/>
    <w:rsid w:val="004C3940"/>
    <w:rsid w:val="004C3B90"/>
    <w:rsid w:val="004C3BBB"/>
    <w:rsid w:val="004C3C1E"/>
    <w:rsid w:val="004C3C53"/>
    <w:rsid w:val="004C3D60"/>
    <w:rsid w:val="004C3F9E"/>
    <w:rsid w:val="004C4163"/>
    <w:rsid w:val="004C42A7"/>
    <w:rsid w:val="004C4537"/>
    <w:rsid w:val="004C4540"/>
    <w:rsid w:val="004C455A"/>
    <w:rsid w:val="004C472A"/>
    <w:rsid w:val="004C4779"/>
    <w:rsid w:val="004C4924"/>
    <w:rsid w:val="004C49FA"/>
    <w:rsid w:val="004C4AE3"/>
    <w:rsid w:val="004C4BDD"/>
    <w:rsid w:val="004C4C70"/>
    <w:rsid w:val="004C4CED"/>
    <w:rsid w:val="004C4D6F"/>
    <w:rsid w:val="004C4DBF"/>
    <w:rsid w:val="004C4F71"/>
    <w:rsid w:val="004C50A1"/>
    <w:rsid w:val="004C50AD"/>
    <w:rsid w:val="004C50D9"/>
    <w:rsid w:val="004C51C0"/>
    <w:rsid w:val="004C5297"/>
    <w:rsid w:val="004C5317"/>
    <w:rsid w:val="004C53B6"/>
    <w:rsid w:val="004C5571"/>
    <w:rsid w:val="004C55F6"/>
    <w:rsid w:val="004C5645"/>
    <w:rsid w:val="004C5745"/>
    <w:rsid w:val="004C5870"/>
    <w:rsid w:val="004C5875"/>
    <w:rsid w:val="004C5CBB"/>
    <w:rsid w:val="004C5D9F"/>
    <w:rsid w:val="004C5E36"/>
    <w:rsid w:val="004C6109"/>
    <w:rsid w:val="004C618A"/>
    <w:rsid w:val="004C629F"/>
    <w:rsid w:val="004C63F2"/>
    <w:rsid w:val="004C6402"/>
    <w:rsid w:val="004C6600"/>
    <w:rsid w:val="004C68FA"/>
    <w:rsid w:val="004C6A28"/>
    <w:rsid w:val="004C6EB6"/>
    <w:rsid w:val="004C7097"/>
    <w:rsid w:val="004C70F9"/>
    <w:rsid w:val="004C7307"/>
    <w:rsid w:val="004C7322"/>
    <w:rsid w:val="004C737C"/>
    <w:rsid w:val="004C7453"/>
    <w:rsid w:val="004C772E"/>
    <w:rsid w:val="004C7749"/>
    <w:rsid w:val="004C7762"/>
    <w:rsid w:val="004C7811"/>
    <w:rsid w:val="004C796B"/>
    <w:rsid w:val="004C7994"/>
    <w:rsid w:val="004C79B1"/>
    <w:rsid w:val="004C7AAD"/>
    <w:rsid w:val="004C7B0C"/>
    <w:rsid w:val="004C7C4C"/>
    <w:rsid w:val="004C7CB0"/>
    <w:rsid w:val="004C7D36"/>
    <w:rsid w:val="004C7F95"/>
    <w:rsid w:val="004D035C"/>
    <w:rsid w:val="004D03EA"/>
    <w:rsid w:val="004D0428"/>
    <w:rsid w:val="004D0581"/>
    <w:rsid w:val="004D0595"/>
    <w:rsid w:val="004D066C"/>
    <w:rsid w:val="004D0843"/>
    <w:rsid w:val="004D0B8F"/>
    <w:rsid w:val="004D0CE5"/>
    <w:rsid w:val="004D0D1E"/>
    <w:rsid w:val="004D0D3C"/>
    <w:rsid w:val="004D1009"/>
    <w:rsid w:val="004D11C3"/>
    <w:rsid w:val="004D120A"/>
    <w:rsid w:val="004D12DE"/>
    <w:rsid w:val="004D13D2"/>
    <w:rsid w:val="004D161A"/>
    <w:rsid w:val="004D163D"/>
    <w:rsid w:val="004D16EC"/>
    <w:rsid w:val="004D17C5"/>
    <w:rsid w:val="004D17F7"/>
    <w:rsid w:val="004D1802"/>
    <w:rsid w:val="004D1809"/>
    <w:rsid w:val="004D1A29"/>
    <w:rsid w:val="004D1C28"/>
    <w:rsid w:val="004D1C4C"/>
    <w:rsid w:val="004D1D1B"/>
    <w:rsid w:val="004D1D1E"/>
    <w:rsid w:val="004D2075"/>
    <w:rsid w:val="004D20B0"/>
    <w:rsid w:val="004D231B"/>
    <w:rsid w:val="004D243B"/>
    <w:rsid w:val="004D25FD"/>
    <w:rsid w:val="004D272B"/>
    <w:rsid w:val="004D2B97"/>
    <w:rsid w:val="004D2C46"/>
    <w:rsid w:val="004D3009"/>
    <w:rsid w:val="004D3159"/>
    <w:rsid w:val="004D3392"/>
    <w:rsid w:val="004D370F"/>
    <w:rsid w:val="004D38A0"/>
    <w:rsid w:val="004D39CC"/>
    <w:rsid w:val="004D3BFA"/>
    <w:rsid w:val="004D3C96"/>
    <w:rsid w:val="004D3CBB"/>
    <w:rsid w:val="004D3D3C"/>
    <w:rsid w:val="004D3FFE"/>
    <w:rsid w:val="004D401B"/>
    <w:rsid w:val="004D4066"/>
    <w:rsid w:val="004D4180"/>
    <w:rsid w:val="004D449F"/>
    <w:rsid w:val="004D44B6"/>
    <w:rsid w:val="004D4612"/>
    <w:rsid w:val="004D462D"/>
    <w:rsid w:val="004D4637"/>
    <w:rsid w:val="004D4BB5"/>
    <w:rsid w:val="004D4C13"/>
    <w:rsid w:val="004D4C20"/>
    <w:rsid w:val="004D51F0"/>
    <w:rsid w:val="004D5285"/>
    <w:rsid w:val="004D5787"/>
    <w:rsid w:val="004D57F9"/>
    <w:rsid w:val="004D58D4"/>
    <w:rsid w:val="004D5B53"/>
    <w:rsid w:val="004D5CB6"/>
    <w:rsid w:val="004D5D68"/>
    <w:rsid w:val="004D5D7E"/>
    <w:rsid w:val="004D5F84"/>
    <w:rsid w:val="004D60F5"/>
    <w:rsid w:val="004D618C"/>
    <w:rsid w:val="004D627D"/>
    <w:rsid w:val="004D62A1"/>
    <w:rsid w:val="004D6372"/>
    <w:rsid w:val="004D647C"/>
    <w:rsid w:val="004D6530"/>
    <w:rsid w:val="004D695D"/>
    <w:rsid w:val="004D698B"/>
    <w:rsid w:val="004D6C0E"/>
    <w:rsid w:val="004D6F6F"/>
    <w:rsid w:val="004D7132"/>
    <w:rsid w:val="004D71E6"/>
    <w:rsid w:val="004D7311"/>
    <w:rsid w:val="004D748B"/>
    <w:rsid w:val="004D7620"/>
    <w:rsid w:val="004D7663"/>
    <w:rsid w:val="004D772C"/>
    <w:rsid w:val="004D7740"/>
    <w:rsid w:val="004D7773"/>
    <w:rsid w:val="004D77BE"/>
    <w:rsid w:val="004D7DCD"/>
    <w:rsid w:val="004D7E16"/>
    <w:rsid w:val="004D7F9E"/>
    <w:rsid w:val="004E0048"/>
    <w:rsid w:val="004E0096"/>
    <w:rsid w:val="004E00D6"/>
    <w:rsid w:val="004E0221"/>
    <w:rsid w:val="004E05C0"/>
    <w:rsid w:val="004E0627"/>
    <w:rsid w:val="004E0674"/>
    <w:rsid w:val="004E06DE"/>
    <w:rsid w:val="004E0799"/>
    <w:rsid w:val="004E0814"/>
    <w:rsid w:val="004E08BD"/>
    <w:rsid w:val="004E09B4"/>
    <w:rsid w:val="004E0AD4"/>
    <w:rsid w:val="004E0C44"/>
    <w:rsid w:val="004E0D8D"/>
    <w:rsid w:val="004E1027"/>
    <w:rsid w:val="004E10BA"/>
    <w:rsid w:val="004E11D9"/>
    <w:rsid w:val="004E124E"/>
    <w:rsid w:val="004E1293"/>
    <w:rsid w:val="004E1578"/>
    <w:rsid w:val="004E167E"/>
    <w:rsid w:val="004E1720"/>
    <w:rsid w:val="004E197C"/>
    <w:rsid w:val="004E1A23"/>
    <w:rsid w:val="004E21EB"/>
    <w:rsid w:val="004E2226"/>
    <w:rsid w:val="004E223F"/>
    <w:rsid w:val="004E2330"/>
    <w:rsid w:val="004E2385"/>
    <w:rsid w:val="004E2480"/>
    <w:rsid w:val="004E24E7"/>
    <w:rsid w:val="004E2513"/>
    <w:rsid w:val="004E2877"/>
    <w:rsid w:val="004E2967"/>
    <w:rsid w:val="004E2B3E"/>
    <w:rsid w:val="004E2B6F"/>
    <w:rsid w:val="004E2BBE"/>
    <w:rsid w:val="004E2D0D"/>
    <w:rsid w:val="004E2D68"/>
    <w:rsid w:val="004E2E74"/>
    <w:rsid w:val="004E2F1E"/>
    <w:rsid w:val="004E2FC0"/>
    <w:rsid w:val="004E30AA"/>
    <w:rsid w:val="004E316F"/>
    <w:rsid w:val="004E319D"/>
    <w:rsid w:val="004E32FA"/>
    <w:rsid w:val="004E3305"/>
    <w:rsid w:val="004E3526"/>
    <w:rsid w:val="004E3581"/>
    <w:rsid w:val="004E35AC"/>
    <w:rsid w:val="004E3612"/>
    <w:rsid w:val="004E363A"/>
    <w:rsid w:val="004E3650"/>
    <w:rsid w:val="004E3741"/>
    <w:rsid w:val="004E3A0A"/>
    <w:rsid w:val="004E3A83"/>
    <w:rsid w:val="004E3B76"/>
    <w:rsid w:val="004E3BD5"/>
    <w:rsid w:val="004E3C31"/>
    <w:rsid w:val="004E3C44"/>
    <w:rsid w:val="004E3D07"/>
    <w:rsid w:val="004E3D2A"/>
    <w:rsid w:val="004E3D60"/>
    <w:rsid w:val="004E3E43"/>
    <w:rsid w:val="004E3E56"/>
    <w:rsid w:val="004E41CF"/>
    <w:rsid w:val="004E4235"/>
    <w:rsid w:val="004E46D2"/>
    <w:rsid w:val="004E4778"/>
    <w:rsid w:val="004E479B"/>
    <w:rsid w:val="004E47E8"/>
    <w:rsid w:val="004E4868"/>
    <w:rsid w:val="004E4A5B"/>
    <w:rsid w:val="004E4A5D"/>
    <w:rsid w:val="004E4A70"/>
    <w:rsid w:val="004E4C82"/>
    <w:rsid w:val="004E4E04"/>
    <w:rsid w:val="004E4F41"/>
    <w:rsid w:val="004E4F8E"/>
    <w:rsid w:val="004E500B"/>
    <w:rsid w:val="004E503D"/>
    <w:rsid w:val="004E5199"/>
    <w:rsid w:val="004E51A1"/>
    <w:rsid w:val="004E525E"/>
    <w:rsid w:val="004E539D"/>
    <w:rsid w:val="004E54CF"/>
    <w:rsid w:val="004E59CC"/>
    <w:rsid w:val="004E5A32"/>
    <w:rsid w:val="004E5B89"/>
    <w:rsid w:val="004E5BC6"/>
    <w:rsid w:val="004E5D70"/>
    <w:rsid w:val="004E5F76"/>
    <w:rsid w:val="004E605C"/>
    <w:rsid w:val="004E605F"/>
    <w:rsid w:val="004E6109"/>
    <w:rsid w:val="004E621F"/>
    <w:rsid w:val="004E6321"/>
    <w:rsid w:val="004E69FF"/>
    <w:rsid w:val="004E6A6B"/>
    <w:rsid w:val="004E6BA4"/>
    <w:rsid w:val="004E6C58"/>
    <w:rsid w:val="004E6CC0"/>
    <w:rsid w:val="004E6EF5"/>
    <w:rsid w:val="004E6F06"/>
    <w:rsid w:val="004E6F88"/>
    <w:rsid w:val="004E70CB"/>
    <w:rsid w:val="004E72E5"/>
    <w:rsid w:val="004E7468"/>
    <w:rsid w:val="004E7599"/>
    <w:rsid w:val="004E76C5"/>
    <w:rsid w:val="004E7874"/>
    <w:rsid w:val="004E787B"/>
    <w:rsid w:val="004E78FB"/>
    <w:rsid w:val="004E799F"/>
    <w:rsid w:val="004E79D2"/>
    <w:rsid w:val="004E7A70"/>
    <w:rsid w:val="004E7B55"/>
    <w:rsid w:val="004E7FB2"/>
    <w:rsid w:val="004F00BD"/>
    <w:rsid w:val="004F0102"/>
    <w:rsid w:val="004F010B"/>
    <w:rsid w:val="004F033B"/>
    <w:rsid w:val="004F05F2"/>
    <w:rsid w:val="004F06BB"/>
    <w:rsid w:val="004F09A3"/>
    <w:rsid w:val="004F09BA"/>
    <w:rsid w:val="004F09D1"/>
    <w:rsid w:val="004F09E9"/>
    <w:rsid w:val="004F0AE5"/>
    <w:rsid w:val="004F0B0B"/>
    <w:rsid w:val="004F0B25"/>
    <w:rsid w:val="004F0C57"/>
    <w:rsid w:val="004F0E0D"/>
    <w:rsid w:val="004F0E27"/>
    <w:rsid w:val="004F0E55"/>
    <w:rsid w:val="004F0EAD"/>
    <w:rsid w:val="004F0FF8"/>
    <w:rsid w:val="004F101C"/>
    <w:rsid w:val="004F1175"/>
    <w:rsid w:val="004F1482"/>
    <w:rsid w:val="004F1565"/>
    <w:rsid w:val="004F1588"/>
    <w:rsid w:val="004F15F9"/>
    <w:rsid w:val="004F16FB"/>
    <w:rsid w:val="004F1754"/>
    <w:rsid w:val="004F1A81"/>
    <w:rsid w:val="004F1E85"/>
    <w:rsid w:val="004F204C"/>
    <w:rsid w:val="004F207A"/>
    <w:rsid w:val="004F2081"/>
    <w:rsid w:val="004F20C4"/>
    <w:rsid w:val="004F2117"/>
    <w:rsid w:val="004F2183"/>
    <w:rsid w:val="004F21D8"/>
    <w:rsid w:val="004F22B4"/>
    <w:rsid w:val="004F25C1"/>
    <w:rsid w:val="004F25E7"/>
    <w:rsid w:val="004F284E"/>
    <w:rsid w:val="004F287A"/>
    <w:rsid w:val="004F293C"/>
    <w:rsid w:val="004F29AB"/>
    <w:rsid w:val="004F2AAA"/>
    <w:rsid w:val="004F2AF3"/>
    <w:rsid w:val="004F2C3B"/>
    <w:rsid w:val="004F2CA9"/>
    <w:rsid w:val="004F2D07"/>
    <w:rsid w:val="004F2D3C"/>
    <w:rsid w:val="004F2F74"/>
    <w:rsid w:val="004F3152"/>
    <w:rsid w:val="004F31AF"/>
    <w:rsid w:val="004F3211"/>
    <w:rsid w:val="004F35A8"/>
    <w:rsid w:val="004F35FD"/>
    <w:rsid w:val="004F3648"/>
    <w:rsid w:val="004F3713"/>
    <w:rsid w:val="004F3791"/>
    <w:rsid w:val="004F38F9"/>
    <w:rsid w:val="004F3B76"/>
    <w:rsid w:val="004F3E0D"/>
    <w:rsid w:val="004F3EE3"/>
    <w:rsid w:val="004F3F7E"/>
    <w:rsid w:val="004F3FED"/>
    <w:rsid w:val="004F402C"/>
    <w:rsid w:val="004F4131"/>
    <w:rsid w:val="004F41DE"/>
    <w:rsid w:val="004F4392"/>
    <w:rsid w:val="004F43F3"/>
    <w:rsid w:val="004F4423"/>
    <w:rsid w:val="004F4430"/>
    <w:rsid w:val="004F4B05"/>
    <w:rsid w:val="004F4B7D"/>
    <w:rsid w:val="004F4CAA"/>
    <w:rsid w:val="004F4E5F"/>
    <w:rsid w:val="004F5110"/>
    <w:rsid w:val="004F51D8"/>
    <w:rsid w:val="004F51E6"/>
    <w:rsid w:val="004F5209"/>
    <w:rsid w:val="004F522A"/>
    <w:rsid w:val="004F5559"/>
    <w:rsid w:val="004F55BC"/>
    <w:rsid w:val="004F5812"/>
    <w:rsid w:val="004F585A"/>
    <w:rsid w:val="004F5863"/>
    <w:rsid w:val="004F58C4"/>
    <w:rsid w:val="004F595E"/>
    <w:rsid w:val="004F5C76"/>
    <w:rsid w:val="004F5F1D"/>
    <w:rsid w:val="004F6112"/>
    <w:rsid w:val="004F6285"/>
    <w:rsid w:val="004F63F2"/>
    <w:rsid w:val="004F6437"/>
    <w:rsid w:val="004F645F"/>
    <w:rsid w:val="004F64B2"/>
    <w:rsid w:val="004F67CE"/>
    <w:rsid w:val="004F6C42"/>
    <w:rsid w:val="004F6DAC"/>
    <w:rsid w:val="004F6E0C"/>
    <w:rsid w:val="004F6E4D"/>
    <w:rsid w:val="004F6E8D"/>
    <w:rsid w:val="004F6F64"/>
    <w:rsid w:val="004F7197"/>
    <w:rsid w:val="004F74C6"/>
    <w:rsid w:val="004F74E3"/>
    <w:rsid w:val="004F74E4"/>
    <w:rsid w:val="004F7512"/>
    <w:rsid w:val="004F770D"/>
    <w:rsid w:val="004F773E"/>
    <w:rsid w:val="004F7A45"/>
    <w:rsid w:val="004F7D5C"/>
    <w:rsid w:val="004F7D9D"/>
    <w:rsid w:val="004F7E15"/>
    <w:rsid w:val="004F7E3A"/>
    <w:rsid w:val="004F7E88"/>
    <w:rsid w:val="004F7F37"/>
    <w:rsid w:val="004F7F98"/>
    <w:rsid w:val="004F7F9A"/>
    <w:rsid w:val="004F7FA8"/>
    <w:rsid w:val="0050004A"/>
    <w:rsid w:val="0050010B"/>
    <w:rsid w:val="00500148"/>
    <w:rsid w:val="0050038F"/>
    <w:rsid w:val="0050040C"/>
    <w:rsid w:val="00500443"/>
    <w:rsid w:val="0050047D"/>
    <w:rsid w:val="005006E5"/>
    <w:rsid w:val="005008CE"/>
    <w:rsid w:val="00500902"/>
    <w:rsid w:val="00500A2D"/>
    <w:rsid w:val="00500ACD"/>
    <w:rsid w:val="00500B7F"/>
    <w:rsid w:val="00500B92"/>
    <w:rsid w:val="00500DA7"/>
    <w:rsid w:val="00500F19"/>
    <w:rsid w:val="00500F4B"/>
    <w:rsid w:val="00500FF5"/>
    <w:rsid w:val="00501044"/>
    <w:rsid w:val="00501072"/>
    <w:rsid w:val="0050108C"/>
    <w:rsid w:val="005012C6"/>
    <w:rsid w:val="0050136E"/>
    <w:rsid w:val="00501386"/>
    <w:rsid w:val="00501402"/>
    <w:rsid w:val="0050141C"/>
    <w:rsid w:val="0050147A"/>
    <w:rsid w:val="005014A1"/>
    <w:rsid w:val="005016E3"/>
    <w:rsid w:val="00501980"/>
    <w:rsid w:val="00501B36"/>
    <w:rsid w:val="00501BFD"/>
    <w:rsid w:val="00501E18"/>
    <w:rsid w:val="00501E42"/>
    <w:rsid w:val="00502067"/>
    <w:rsid w:val="00502214"/>
    <w:rsid w:val="00502320"/>
    <w:rsid w:val="00502332"/>
    <w:rsid w:val="005023E1"/>
    <w:rsid w:val="0050245E"/>
    <w:rsid w:val="0050260E"/>
    <w:rsid w:val="00502641"/>
    <w:rsid w:val="005027AA"/>
    <w:rsid w:val="005028A0"/>
    <w:rsid w:val="00502A3B"/>
    <w:rsid w:val="00502AAE"/>
    <w:rsid w:val="00502C38"/>
    <w:rsid w:val="00502CAE"/>
    <w:rsid w:val="00502D3F"/>
    <w:rsid w:val="00502F04"/>
    <w:rsid w:val="0050301D"/>
    <w:rsid w:val="00503115"/>
    <w:rsid w:val="00503411"/>
    <w:rsid w:val="005035F5"/>
    <w:rsid w:val="005036BE"/>
    <w:rsid w:val="005037D1"/>
    <w:rsid w:val="005038A5"/>
    <w:rsid w:val="00503988"/>
    <w:rsid w:val="00503A37"/>
    <w:rsid w:val="00503C64"/>
    <w:rsid w:val="00503D09"/>
    <w:rsid w:val="00503D31"/>
    <w:rsid w:val="00503FE8"/>
    <w:rsid w:val="00504269"/>
    <w:rsid w:val="005044B0"/>
    <w:rsid w:val="005044BD"/>
    <w:rsid w:val="005045F4"/>
    <w:rsid w:val="0050464D"/>
    <w:rsid w:val="0050471B"/>
    <w:rsid w:val="005048B4"/>
    <w:rsid w:val="00504DE2"/>
    <w:rsid w:val="00504FE9"/>
    <w:rsid w:val="005050D6"/>
    <w:rsid w:val="00505215"/>
    <w:rsid w:val="00505321"/>
    <w:rsid w:val="005054AF"/>
    <w:rsid w:val="0050555E"/>
    <w:rsid w:val="00505588"/>
    <w:rsid w:val="0050558E"/>
    <w:rsid w:val="0050578E"/>
    <w:rsid w:val="005059ED"/>
    <w:rsid w:val="00505A47"/>
    <w:rsid w:val="00505A9F"/>
    <w:rsid w:val="00505AFB"/>
    <w:rsid w:val="00505B64"/>
    <w:rsid w:val="00505DBF"/>
    <w:rsid w:val="00505E21"/>
    <w:rsid w:val="00505F6D"/>
    <w:rsid w:val="00505F7C"/>
    <w:rsid w:val="005061FD"/>
    <w:rsid w:val="0050625B"/>
    <w:rsid w:val="0050634A"/>
    <w:rsid w:val="00506378"/>
    <w:rsid w:val="00506574"/>
    <w:rsid w:val="005065A1"/>
    <w:rsid w:val="0050663F"/>
    <w:rsid w:val="00506655"/>
    <w:rsid w:val="0050667A"/>
    <w:rsid w:val="005067FA"/>
    <w:rsid w:val="00506948"/>
    <w:rsid w:val="0050697D"/>
    <w:rsid w:val="0050701D"/>
    <w:rsid w:val="00507083"/>
    <w:rsid w:val="005071C3"/>
    <w:rsid w:val="005071C7"/>
    <w:rsid w:val="0050721D"/>
    <w:rsid w:val="005073A2"/>
    <w:rsid w:val="005075EF"/>
    <w:rsid w:val="005077A4"/>
    <w:rsid w:val="005077B4"/>
    <w:rsid w:val="00507830"/>
    <w:rsid w:val="005078C6"/>
    <w:rsid w:val="0050793A"/>
    <w:rsid w:val="00507944"/>
    <w:rsid w:val="00507B8C"/>
    <w:rsid w:val="0051018C"/>
    <w:rsid w:val="00510221"/>
    <w:rsid w:val="00510475"/>
    <w:rsid w:val="00510498"/>
    <w:rsid w:val="005105EF"/>
    <w:rsid w:val="00510623"/>
    <w:rsid w:val="00510649"/>
    <w:rsid w:val="00510918"/>
    <w:rsid w:val="0051093F"/>
    <w:rsid w:val="00510D22"/>
    <w:rsid w:val="00510DAA"/>
    <w:rsid w:val="00510DDF"/>
    <w:rsid w:val="00510ECA"/>
    <w:rsid w:val="00510F6A"/>
    <w:rsid w:val="00511071"/>
    <w:rsid w:val="0051112D"/>
    <w:rsid w:val="00511175"/>
    <w:rsid w:val="005116C0"/>
    <w:rsid w:val="005116EE"/>
    <w:rsid w:val="00511781"/>
    <w:rsid w:val="0051186A"/>
    <w:rsid w:val="005118CF"/>
    <w:rsid w:val="005118D3"/>
    <w:rsid w:val="00511A5E"/>
    <w:rsid w:val="00511AE9"/>
    <w:rsid w:val="00511B02"/>
    <w:rsid w:val="00511B0A"/>
    <w:rsid w:val="00511BA7"/>
    <w:rsid w:val="00511BBC"/>
    <w:rsid w:val="00511E18"/>
    <w:rsid w:val="00511E3B"/>
    <w:rsid w:val="005120E9"/>
    <w:rsid w:val="005123A2"/>
    <w:rsid w:val="00512487"/>
    <w:rsid w:val="00512565"/>
    <w:rsid w:val="00512922"/>
    <w:rsid w:val="005129B3"/>
    <w:rsid w:val="00512B1F"/>
    <w:rsid w:val="00512C1A"/>
    <w:rsid w:val="00512CB6"/>
    <w:rsid w:val="00512FEC"/>
    <w:rsid w:val="00513072"/>
    <w:rsid w:val="005130FB"/>
    <w:rsid w:val="005131FE"/>
    <w:rsid w:val="00513211"/>
    <w:rsid w:val="00513245"/>
    <w:rsid w:val="0051325A"/>
    <w:rsid w:val="0051334B"/>
    <w:rsid w:val="0051362E"/>
    <w:rsid w:val="00513699"/>
    <w:rsid w:val="0051372F"/>
    <w:rsid w:val="00513756"/>
    <w:rsid w:val="005137C8"/>
    <w:rsid w:val="00513825"/>
    <w:rsid w:val="00513AAC"/>
    <w:rsid w:val="00513BBF"/>
    <w:rsid w:val="00513BD8"/>
    <w:rsid w:val="00513CEB"/>
    <w:rsid w:val="00514094"/>
    <w:rsid w:val="005140AE"/>
    <w:rsid w:val="0051434F"/>
    <w:rsid w:val="0051435B"/>
    <w:rsid w:val="0051464A"/>
    <w:rsid w:val="00514677"/>
    <w:rsid w:val="00514885"/>
    <w:rsid w:val="005148A6"/>
    <w:rsid w:val="005148C8"/>
    <w:rsid w:val="00514A42"/>
    <w:rsid w:val="00514A68"/>
    <w:rsid w:val="00514C82"/>
    <w:rsid w:val="00514CD0"/>
    <w:rsid w:val="00514EA5"/>
    <w:rsid w:val="00514F1E"/>
    <w:rsid w:val="0051509E"/>
    <w:rsid w:val="005151E3"/>
    <w:rsid w:val="00515262"/>
    <w:rsid w:val="005152D4"/>
    <w:rsid w:val="00515398"/>
    <w:rsid w:val="00515416"/>
    <w:rsid w:val="0051560A"/>
    <w:rsid w:val="0051561C"/>
    <w:rsid w:val="005156B7"/>
    <w:rsid w:val="0051571B"/>
    <w:rsid w:val="00515931"/>
    <w:rsid w:val="00515B56"/>
    <w:rsid w:val="00515B75"/>
    <w:rsid w:val="00515CCA"/>
    <w:rsid w:val="00515D9D"/>
    <w:rsid w:val="00515DAD"/>
    <w:rsid w:val="00515E0C"/>
    <w:rsid w:val="00515E26"/>
    <w:rsid w:val="00515FD7"/>
    <w:rsid w:val="00516010"/>
    <w:rsid w:val="00516538"/>
    <w:rsid w:val="00516687"/>
    <w:rsid w:val="005166E4"/>
    <w:rsid w:val="0051679B"/>
    <w:rsid w:val="005167AB"/>
    <w:rsid w:val="0051688E"/>
    <w:rsid w:val="005168BD"/>
    <w:rsid w:val="005169E0"/>
    <w:rsid w:val="005169F8"/>
    <w:rsid w:val="00516A3F"/>
    <w:rsid w:val="00516AED"/>
    <w:rsid w:val="00516EA6"/>
    <w:rsid w:val="00516F40"/>
    <w:rsid w:val="0051700C"/>
    <w:rsid w:val="0051711D"/>
    <w:rsid w:val="00517145"/>
    <w:rsid w:val="00517467"/>
    <w:rsid w:val="005178FB"/>
    <w:rsid w:val="00517AC9"/>
    <w:rsid w:val="00517CD6"/>
    <w:rsid w:val="00517D55"/>
    <w:rsid w:val="00517D6F"/>
    <w:rsid w:val="00517E33"/>
    <w:rsid w:val="00517E9C"/>
    <w:rsid w:val="0052029A"/>
    <w:rsid w:val="00520309"/>
    <w:rsid w:val="00520388"/>
    <w:rsid w:val="0052056B"/>
    <w:rsid w:val="00520736"/>
    <w:rsid w:val="005208FA"/>
    <w:rsid w:val="005209C1"/>
    <w:rsid w:val="00520B47"/>
    <w:rsid w:val="00520B79"/>
    <w:rsid w:val="00520D16"/>
    <w:rsid w:val="00520E46"/>
    <w:rsid w:val="00520FE0"/>
    <w:rsid w:val="00521053"/>
    <w:rsid w:val="00521136"/>
    <w:rsid w:val="00521301"/>
    <w:rsid w:val="0052137A"/>
    <w:rsid w:val="005213C7"/>
    <w:rsid w:val="0052157A"/>
    <w:rsid w:val="005215F1"/>
    <w:rsid w:val="00521757"/>
    <w:rsid w:val="0052180D"/>
    <w:rsid w:val="00521889"/>
    <w:rsid w:val="005218C7"/>
    <w:rsid w:val="00521AA8"/>
    <w:rsid w:val="00521B25"/>
    <w:rsid w:val="00521E46"/>
    <w:rsid w:val="00521EBD"/>
    <w:rsid w:val="005220DF"/>
    <w:rsid w:val="00522146"/>
    <w:rsid w:val="005221A5"/>
    <w:rsid w:val="00522279"/>
    <w:rsid w:val="005222F5"/>
    <w:rsid w:val="005223C7"/>
    <w:rsid w:val="00522477"/>
    <w:rsid w:val="005227B0"/>
    <w:rsid w:val="0052298B"/>
    <w:rsid w:val="00522A5E"/>
    <w:rsid w:val="00522C05"/>
    <w:rsid w:val="00522C27"/>
    <w:rsid w:val="00522E3B"/>
    <w:rsid w:val="00522EE8"/>
    <w:rsid w:val="0052342B"/>
    <w:rsid w:val="005235DE"/>
    <w:rsid w:val="00523733"/>
    <w:rsid w:val="00523744"/>
    <w:rsid w:val="00523965"/>
    <w:rsid w:val="00523AF6"/>
    <w:rsid w:val="00523C91"/>
    <w:rsid w:val="00523D84"/>
    <w:rsid w:val="00523EF6"/>
    <w:rsid w:val="00524242"/>
    <w:rsid w:val="00524404"/>
    <w:rsid w:val="0052442A"/>
    <w:rsid w:val="005244B7"/>
    <w:rsid w:val="0052450D"/>
    <w:rsid w:val="00524523"/>
    <w:rsid w:val="00524782"/>
    <w:rsid w:val="005249B2"/>
    <w:rsid w:val="00524AF4"/>
    <w:rsid w:val="00524BE4"/>
    <w:rsid w:val="00524C57"/>
    <w:rsid w:val="00524D0F"/>
    <w:rsid w:val="00524E02"/>
    <w:rsid w:val="00524EAF"/>
    <w:rsid w:val="00524F4C"/>
    <w:rsid w:val="00525390"/>
    <w:rsid w:val="00525510"/>
    <w:rsid w:val="00525574"/>
    <w:rsid w:val="00525721"/>
    <w:rsid w:val="005257EC"/>
    <w:rsid w:val="005258A5"/>
    <w:rsid w:val="00525954"/>
    <w:rsid w:val="00525A23"/>
    <w:rsid w:val="00525AD6"/>
    <w:rsid w:val="00525B95"/>
    <w:rsid w:val="00525C00"/>
    <w:rsid w:val="00525CA2"/>
    <w:rsid w:val="00525DBE"/>
    <w:rsid w:val="00525DCE"/>
    <w:rsid w:val="00525E71"/>
    <w:rsid w:val="00525E83"/>
    <w:rsid w:val="00525FAF"/>
    <w:rsid w:val="00525FEC"/>
    <w:rsid w:val="00526030"/>
    <w:rsid w:val="00526165"/>
    <w:rsid w:val="005261BE"/>
    <w:rsid w:val="0052620A"/>
    <w:rsid w:val="005262F7"/>
    <w:rsid w:val="00526763"/>
    <w:rsid w:val="00526992"/>
    <w:rsid w:val="00526AC5"/>
    <w:rsid w:val="00526C52"/>
    <w:rsid w:val="00526C6E"/>
    <w:rsid w:val="00526D3F"/>
    <w:rsid w:val="00526F42"/>
    <w:rsid w:val="00526FC3"/>
    <w:rsid w:val="00527029"/>
    <w:rsid w:val="005274FE"/>
    <w:rsid w:val="005277F4"/>
    <w:rsid w:val="00527BE7"/>
    <w:rsid w:val="00527D42"/>
    <w:rsid w:val="00527D85"/>
    <w:rsid w:val="00527E91"/>
    <w:rsid w:val="00527EC1"/>
    <w:rsid w:val="005302E3"/>
    <w:rsid w:val="005302FC"/>
    <w:rsid w:val="0053032F"/>
    <w:rsid w:val="005304DF"/>
    <w:rsid w:val="00530700"/>
    <w:rsid w:val="00530774"/>
    <w:rsid w:val="005307FF"/>
    <w:rsid w:val="00530BCC"/>
    <w:rsid w:val="00530D9D"/>
    <w:rsid w:val="00530DF3"/>
    <w:rsid w:val="00530E8A"/>
    <w:rsid w:val="00530EFC"/>
    <w:rsid w:val="00530FB5"/>
    <w:rsid w:val="00530FB6"/>
    <w:rsid w:val="00531155"/>
    <w:rsid w:val="005311C8"/>
    <w:rsid w:val="00531350"/>
    <w:rsid w:val="00531431"/>
    <w:rsid w:val="00531463"/>
    <w:rsid w:val="005314FE"/>
    <w:rsid w:val="00531BDA"/>
    <w:rsid w:val="00531CC3"/>
    <w:rsid w:val="00531E1F"/>
    <w:rsid w:val="00531E62"/>
    <w:rsid w:val="00531FBD"/>
    <w:rsid w:val="0053213C"/>
    <w:rsid w:val="00532321"/>
    <w:rsid w:val="00532355"/>
    <w:rsid w:val="005323AA"/>
    <w:rsid w:val="005323C3"/>
    <w:rsid w:val="0053255E"/>
    <w:rsid w:val="005326D4"/>
    <w:rsid w:val="0053279B"/>
    <w:rsid w:val="0053286A"/>
    <w:rsid w:val="00532A58"/>
    <w:rsid w:val="00532C33"/>
    <w:rsid w:val="00532CE1"/>
    <w:rsid w:val="00532D7D"/>
    <w:rsid w:val="00532F27"/>
    <w:rsid w:val="00532F49"/>
    <w:rsid w:val="00532FC4"/>
    <w:rsid w:val="00532FE9"/>
    <w:rsid w:val="0053302D"/>
    <w:rsid w:val="00533037"/>
    <w:rsid w:val="00533045"/>
    <w:rsid w:val="00533152"/>
    <w:rsid w:val="0053326E"/>
    <w:rsid w:val="00533307"/>
    <w:rsid w:val="00533476"/>
    <w:rsid w:val="00533484"/>
    <w:rsid w:val="005334A1"/>
    <w:rsid w:val="00533791"/>
    <w:rsid w:val="005338BD"/>
    <w:rsid w:val="005338C0"/>
    <w:rsid w:val="00533946"/>
    <w:rsid w:val="00533B1C"/>
    <w:rsid w:val="00533B7A"/>
    <w:rsid w:val="00533B8C"/>
    <w:rsid w:val="00533C9C"/>
    <w:rsid w:val="00533D4C"/>
    <w:rsid w:val="00533DD4"/>
    <w:rsid w:val="00533E1C"/>
    <w:rsid w:val="00533E36"/>
    <w:rsid w:val="00533E3E"/>
    <w:rsid w:val="00533E9C"/>
    <w:rsid w:val="005340E7"/>
    <w:rsid w:val="0053418B"/>
    <w:rsid w:val="005341D9"/>
    <w:rsid w:val="005342A4"/>
    <w:rsid w:val="005342C0"/>
    <w:rsid w:val="00534300"/>
    <w:rsid w:val="005343C8"/>
    <w:rsid w:val="0053450A"/>
    <w:rsid w:val="00534545"/>
    <w:rsid w:val="005345A8"/>
    <w:rsid w:val="00534738"/>
    <w:rsid w:val="0053489E"/>
    <w:rsid w:val="005348DF"/>
    <w:rsid w:val="00534907"/>
    <w:rsid w:val="0053499C"/>
    <w:rsid w:val="00534A1E"/>
    <w:rsid w:val="00534A4B"/>
    <w:rsid w:val="00534BBE"/>
    <w:rsid w:val="00534CA8"/>
    <w:rsid w:val="00534DE5"/>
    <w:rsid w:val="00534E48"/>
    <w:rsid w:val="00534FF7"/>
    <w:rsid w:val="00535232"/>
    <w:rsid w:val="00535520"/>
    <w:rsid w:val="005356B3"/>
    <w:rsid w:val="005356BF"/>
    <w:rsid w:val="0053582E"/>
    <w:rsid w:val="00535927"/>
    <w:rsid w:val="00535A39"/>
    <w:rsid w:val="00535B33"/>
    <w:rsid w:val="00535C3B"/>
    <w:rsid w:val="00535CE7"/>
    <w:rsid w:val="00535DC8"/>
    <w:rsid w:val="00535F21"/>
    <w:rsid w:val="00535FDC"/>
    <w:rsid w:val="00536017"/>
    <w:rsid w:val="0053604F"/>
    <w:rsid w:val="0053623D"/>
    <w:rsid w:val="00536391"/>
    <w:rsid w:val="00536455"/>
    <w:rsid w:val="00536476"/>
    <w:rsid w:val="005364E6"/>
    <w:rsid w:val="005366E0"/>
    <w:rsid w:val="005367E0"/>
    <w:rsid w:val="005369DC"/>
    <w:rsid w:val="00536A85"/>
    <w:rsid w:val="00536BF6"/>
    <w:rsid w:val="00536E3E"/>
    <w:rsid w:val="005372C4"/>
    <w:rsid w:val="005373A2"/>
    <w:rsid w:val="005373D6"/>
    <w:rsid w:val="00537530"/>
    <w:rsid w:val="00537756"/>
    <w:rsid w:val="0053780E"/>
    <w:rsid w:val="0053784E"/>
    <w:rsid w:val="0053793C"/>
    <w:rsid w:val="005379F3"/>
    <w:rsid w:val="00537A07"/>
    <w:rsid w:val="00537AEC"/>
    <w:rsid w:val="00537B1A"/>
    <w:rsid w:val="00537FC6"/>
    <w:rsid w:val="00540057"/>
    <w:rsid w:val="0054029C"/>
    <w:rsid w:val="0054030D"/>
    <w:rsid w:val="00540406"/>
    <w:rsid w:val="00540665"/>
    <w:rsid w:val="00540715"/>
    <w:rsid w:val="00540779"/>
    <w:rsid w:val="005408A1"/>
    <w:rsid w:val="005409EA"/>
    <w:rsid w:val="00540ACA"/>
    <w:rsid w:val="00540AE2"/>
    <w:rsid w:val="00540B15"/>
    <w:rsid w:val="00540B2A"/>
    <w:rsid w:val="00540B43"/>
    <w:rsid w:val="00540B4E"/>
    <w:rsid w:val="00540B53"/>
    <w:rsid w:val="00540C5D"/>
    <w:rsid w:val="00540D2C"/>
    <w:rsid w:val="00540D92"/>
    <w:rsid w:val="00540ED7"/>
    <w:rsid w:val="00541510"/>
    <w:rsid w:val="00541692"/>
    <w:rsid w:val="0054173D"/>
    <w:rsid w:val="00541AD7"/>
    <w:rsid w:val="00541BA7"/>
    <w:rsid w:val="00541D80"/>
    <w:rsid w:val="005420E4"/>
    <w:rsid w:val="00542365"/>
    <w:rsid w:val="005423F7"/>
    <w:rsid w:val="0054244C"/>
    <w:rsid w:val="00542477"/>
    <w:rsid w:val="005425EE"/>
    <w:rsid w:val="0054267E"/>
    <w:rsid w:val="00542689"/>
    <w:rsid w:val="005427D2"/>
    <w:rsid w:val="005428D8"/>
    <w:rsid w:val="00542A01"/>
    <w:rsid w:val="00542A12"/>
    <w:rsid w:val="00542B8B"/>
    <w:rsid w:val="00542CDF"/>
    <w:rsid w:val="00542FCB"/>
    <w:rsid w:val="00543155"/>
    <w:rsid w:val="0054322C"/>
    <w:rsid w:val="00543264"/>
    <w:rsid w:val="005432D5"/>
    <w:rsid w:val="00543321"/>
    <w:rsid w:val="00543365"/>
    <w:rsid w:val="00543382"/>
    <w:rsid w:val="005435D7"/>
    <w:rsid w:val="00543648"/>
    <w:rsid w:val="00543D07"/>
    <w:rsid w:val="00543D16"/>
    <w:rsid w:val="00543E66"/>
    <w:rsid w:val="00543E7F"/>
    <w:rsid w:val="00544006"/>
    <w:rsid w:val="0054404D"/>
    <w:rsid w:val="005441B2"/>
    <w:rsid w:val="0054421F"/>
    <w:rsid w:val="005442C4"/>
    <w:rsid w:val="00544361"/>
    <w:rsid w:val="00544372"/>
    <w:rsid w:val="00544425"/>
    <w:rsid w:val="005444DB"/>
    <w:rsid w:val="005445E0"/>
    <w:rsid w:val="005445E2"/>
    <w:rsid w:val="00544A25"/>
    <w:rsid w:val="00544A41"/>
    <w:rsid w:val="00544B1D"/>
    <w:rsid w:val="00544B2F"/>
    <w:rsid w:val="00544CDB"/>
    <w:rsid w:val="00544E08"/>
    <w:rsid w:val="00544FAF"/>
    <w:rsid w:val="005452BC"/>
    <w:rsid w:val="005452F3"/>
    <w:rsid w:val="0054530B"/>
    <w:rsid w:val="00545539"/>
    <w:rsid w:val="00545589"/>
    <w:rsid w:val="0054560A"/>
    <w:rsid w:val="005456AA"/>
    <w:rsid w:val="005456C9"/>
    <w:rsid w:val="005457AF"/>
    <w:rsid w:val="00545A1D"/>
    <w:rsid w:val="00545A36"/>
    <w:rsid w:val="00545BD9"/>
    <w:rsid w:val="00545D4F"/>
    <w:rsid w:val="00545D73"/>
    <w:rsid w:val="00545E5B"/>
    <w:rsid w:val="00546869"/>
    <w:rsid w:val="005468C9"/>
    <w:rsid w:val="005469F7"/>
    <w:rsid w:val="00546A61"/>
    <w:rsid w:val="00546C0E"/>
    <w:rsid w:val="00546CEA"/>
    <w:rsid w:val="00546CF3"/>
    <w:rsid w:val="0054707F"/>
    <w:rsid w:val="00547134"/>
    <w:rsid w:val="00547198"/>
    <w:rsid w:val="0054719D"/>
    <w:rsid w:val="005473E5"/>
    <w:rsid w:val="0054765B"/>
    <w:rsid w:val="005476F9"/>
    <w:rsid w:val="00547770"/>
    <w:rsid w:val="0054779D"/>
    <w:rsid w:val="00547829"/>
    <w:rsid w:val="005478BD"/>
    <w:rsid w:val="00547986"/>
    <w:rsid w:val="005479CD"/>
    <w:rsid w:val="00547B61"/>
    <w:rsid w:val="00547B75"/>
    <w:rsid w:val="00547C7A"/>
    <w:rsid w:val="00547FE4"/>
    <w:rsid w:val="005501D5"/>
    <w:rsid w:val="0055020E"/>
    <w:rsid w:val="00550469"/>
    <w:rsid w:val="00550487"/>
    <w:rsid w:val="005505CD"/>
    <w:rsid w:val="0055060C"/>
    <w:rsid w:val="005506AD"/>
    <w:rsid w:val="00550708"/>
    <w:rsid w:val="005507A2"/>
    <w:rsid w:val="005508CE"/>
    <w:rsid w:val="005508D0"/>
    <w:rsid w:val="00550998"/>
    <w:rsid w:val="00550A68"/>
    <w:rsid w:val="00550A9B"/>
    <w:rsid w:val="00550B50"/>
    <w:rsid w:val="00550BC8"/>
    <w:rsid w:val="00550CA2"/>
    <w:rsid w:val="00550CAD"/>
    <w:rsid w:val="00550D62"/>
    <w:rsid w:val="00551052"/>
    <w:rsid w:val="005510CE"/>
    <w:rsid w:val="0055110F"/>
    <w:rsid w:val="00551182"/>
    <w:rsid w:val="00551270"/>
    <w:rsid w:val="00551393"/>
    <w:rsid w:val="005513F9"/>
    <w:rsid w:val="005514A4"/>
    <w:rsid w:val="005515C2"/>
    <w:rsid w:val="005518F4"/>
    <w:rsid w:val="0055195C"/>
    <w:rsid w:val="00551DFD"/>
    <w:rsid w:val="00551F2E"/>
    <w:rsid w:val="0055234A"/>
    <w:rsid w:val="00552659"/>
    <w:rsid w:val="00552681"/>
    <w:rsid w:val="005528FA"/>
    <w:rsid w:val="00552ABB"/>
    <w:rsid w:val="00552C86"/>
    <w:rsid w:val="00552CB7"/>
    <w:rsid w:val="00552F5D"/>
    <w:rsid w:val="00552FE4"/>
    <w:rsid w:val="00553108"/>
    <w:rsid w:val="00553148"/>
    <w:rsid w:val="00553194"/>
    <w:rsid w:val="005531A9"/>
    <w:rsid w:val="00553282"/>
    <w:rsid w:val="005532C6"/>
    <w:rsid w:val="005533F8"/>
    <w:rsid w:val="00553431"/>
    <w:rsid w:val="005534E0"/>
    <w:rsid w:val="0055353C"/>
    <w:rsid w:val="00553548"/>
    <w:rsid w:val="00553791"/>
    <w:rsid w:val="00553845"/>
    <w:rsid w:val="005538C7"/>
    <w:rsid w:val="00553904"/>
    <w:rsid w:val="00553A4E"/>
    <w:rsid w:val="00553B70"/>
    <w:rsid w:val="00553D43"/>
    <w:rsid w:val="00553DD5"/>
    <w:rsid w:val="00553E58"/>
    <w:rsid w:val="00553FBE"/>
    <w:rsid w:val="005540A9"/>
    <w:rsid w:val="005542E6"/>
    <w:rsid w:val="005544F4"/>
    <w:rsid w:val="0055481E"/>
    <w:rsid w:val="005548A2"/>
    <w:rsid w:val="0055494A"/>
    <w:rsid w:val="0055497F"/>
    <w:rsid w:val="00554A05"/>
    <w:rsid w:val="00554A10"/>
    <w:rsid w:val="00554AD2"/>
    <w:rsid w:val="00554BB5"/>
    <w:rsid w:val="00554CC4"/>
    <w:rsid w:val="00554D98"/>
    <w:rsid w:val="00554F09"/>
    <w:rsid w:val="00554F83"/>
    <w:rsid w:val="00555088"/>
    <w:rsid w:val="005552BA"/>
    <w:rsid w:val="005552D0"/>
    <w:rsid w:val="0055532B"/>
    <w:rsid w:val="00555374"/>
    <w:rsid w:val="0055562C"/>
    <w:rsid w:val="005559AC"/>
    <w:rsid w:val="00555A55"/>
    <w:rsid w:val="00555D6F"/>
    <w:rsid w:val="00555E13"/>
    <w:rsid w:val="00555EB3"/>
    <w:rsid w:val="00555EF2"/>
    <w:rsid w:val="00556541"/>
    <w:rsid w:val="0055671C"/>
    <w:rsid w:val="005568CD"/>
    <w:rsid w:val="005569F9"/>
    <w:rsid w:val="00556C90"/>
    <w:rsid w:val="00556DE7"/>
    <w:rsid w:val="0055700E"/>
    <w:rsid w:val="00557049"/>
    <w:rsid w:val="005571B6"/>
    <w:rsid w:val="005571C5"/>
    <w:rsid w:val="00557375"/>
    <w:rsid w:val="0055747D"/>
    <w:rsid w:val="005579CD"/>
    <w:rsid w:val="00557B8B"/>
    <w:rsid w:val="00557BDF"/>
    <w:rsid w:val="00557D36"/>
    <w:rsid w:val="00560102"/>
    <w:rsid w:val="00560121"/>
    <w:rsid w:val="00560230"/>
    <w:rsid w:val="0056029A"/>
    <w:rsid w:val="00560351"/>
    <w:rsid w:val="005604F4"/>
    <w:rsid w:val="00560513"/>
    <w:rsid w:val="005605CC"/>
    <w:rsid w:val="00560827"/>
    <w:rsid w:val="005609DC"/>
    <w:rsid w:val="00560A20"/>
    <w:rsid w:val="00560CCE"/>
    <w:rsid w:val="00560DAC"/>
    <w:rsid w:val="00560F26"/>
    <w:rsid w:val="005610D8"/>
    <w:rsid w:val="005611A1"/>
    <w:rsid w:val="005611F4"/>
    <w:rsid w:val="005613C4"/>
    <w:rsid w:val="00561400"/>
    <w:rsid w:val="005614A2"/>
    <w:rsid w:val="0056151D"/>
    <w:rsid w:val="00561720"/>
    <w:rsid w:val="005617A2"/>
    <w:rsid w:val="005617EB"/>
    <w:rsid w:val="00561C4E"/>
    <w:rsid w:val="00561DEA"/>
    <w:rsid w:val="00562195"/>
    <w:rsid w:val="00562293"/>
    <w:rsid w:val="005622B6"/>
    <w:rsid w:val="005622BB"/>
    <w:rsid w:val="00562339"/>
    <w:rsid w:val="00562571"/>
    <w:rsid w:val="0056280E"/>
    <w:rsid w:val="00562816"/>
    <w:rsid w:val="005628DC"/>
    <w:rsid w:val="00562AB1"/>
    <w:rsid w:val="00562AD6"/>
    <w:rsid w:val="00562B9E"/>
    <w:rsid w:val="00562D6A"/>
    <w:rsid w:val="00562DE0"/>
    <w:rsid w:val="00562FC9"/>
    <w:rsid w:val="00562FFC"/>
    <w:rsid w:val="00563113"/>
    <w:rsid w:val="00563172"/>
    <w:rsid w:val="005631C3"/>
    <w:rsid w:val="0056325F"/>
    <w:rsid w:val="005632FD"/>
    <w:rsid w:val="00563595"/>
    <w:rsid w:val="0056378E"/>
    <w:rsid w:val="005637BA"/>
    <w:rsid w:val="005637D6"/>
    <w:rsid w:val="0056395F"/>
    <w:rsid w:val="005639DB"/>
    <w:rsid w:val="00563A18"/>
    <w:rsid w:val="00563DDF"/>
    <w:rsid w:val="00563DE5"/>
    <w:rsid w:val="00563F16"/>
    <w:rsid w:val="00563F95"/>
    <w:rsid w:val="00564012"/>
    <w:rsid w:val="005641C9"/>
    <w:rsid w:val="005642AE"/>
    <w:rsid w:val="005642FC"/>
    <w:rsid w:val="005643A3"/>
    <w:rsid w:val="005644C8"/>
    <w:rsid w:val="0056453A"/>
    <w:rsid w:val="00564641"/>
    <w:rsid w:val="005646C1"/>
    <w:rsid w:val="005647FE"/>
    <w:rsid w:val="0056482F"/>
    <w:rsid w:val="00564957"/>
    <w:rsid w:val="00564A1A"/>
    <w:rsid w:val="00564A7D"/>
    <w:rsid w:val="00564DAA"/>
    <w:rsid w:val="0056511F"/>
    <w:rsid w:val="005656BA"/>
    <w:rsid w:val="00565715"/>
    <w:rsid w:val="0056587A"/>
    <w:rsid w:val="0056589A"/>
    <w:rsid w:val="00565959"/>
    <w:rsid w:val="00565A1E"/>
    <w:rsid w:val="00565D31"/>
    <w:rsid w:val="00565D70"/>
    <w:rsid w:val="00565D99"/>
    <w:rsid w:val="00565E50"/>
    <w:rsid w:val="00565E7F"/>
    <w:rsid w:val="00566177"/>
    <w:rsid w:val="005661AE"/>
    <w:rsid w:val="0056621E"/>
    <w:rsid w:val="00566324"/>
    <w:rsid w:val="005663A1"/>
    <w:rsid w:val="0056646F"/>
    <w:rsid w:val="005664A6"/>
    <w:rsid w:val="005666B7"/>
    <w:rsid w:val="005667E6"/>
    <w:rsid w:val="005668F8"/>
    <w:rsid w:val="00566C82"/>
    <w:rsid w:val="00566CD8"/>
    <w:rsid w:val="00566E33"/>
    <w:rsid w:val="00566FF2"/>
    <w:rsid w:val="0056704B"/>
    <w:rsid w:val="00567081"/>
    <w:rsid w:val="005670AA"/>
    <w:rsid w:val="005670D2"/>
    <w:rsid w:val="005670FE"/>
    <w:rsid w:val="00567128"/>
    <w:rsid w:val="00567211"/>
    <w:rsid w:val="00567281"/>
    <w:rsid w:val="00567388"/>
    <w:rsid w:val="00567491"/>
    <w:rsid w:val="005675BF"/>
    <w:rsid w:val="0056769A"/>
    <w:rsid w:val="005676A4"/>
    <w:rsid w:val="005676C3"/>
    <w:rsid w:val="005676E0"/>
    <w:rsid w:val="005678BF"/>
    <w:rsid w:val="0056798B"/>
    <w:rsid w:val="005679FC"/>
    <w:rsid w:val="00567CFF"/>
    <w:rsid w:val="00567D19"/>
    <w:rsid w:val="00567E0A"/>
    <w:rsid w:val="00567F09"/>
    <w:rsid w:val="00569547"/>
    <w:rsid w:val="00570064"/>
    <w:rsid w:val="005701BB"/>
    <w:rsid w:val="005703FE"/>
    <w:rsid w:val="0057042C"/>
    <w:rsid w:val="00570451"/>
    <w:rsid w:val="00570480"/>
    <w:rsid w:val="005704E8"/>
    <w:rsid w:val="0057071A"/>
    <w:rsid w:val="00570756"/>
    <w:rsid w:val="00570892"/>
    <w:rsid w:val="00570B92"/>
    <w:rsid w:val="00570C25"/>
    <w:rsid w:val="00570DC2"/>
    <w:rsid w:val="00570E72"/>
    <w:rsid w:val="00571098"/>
    <w:rsid w:val="00571172"/>
    <w:rsid w:val="005711C4"/>
    <w:rsid w:val="0057134B"/>
    <w:rsid w:val="0057147C"/>
    <w:rsid w:val="005715B6"/>
    <w:rsid w:val="0057164E"/>
    <w:rsid w:val="00571725"/>
    <w:rsid w:val="005717C7"/>
    <w:rsid w:val="00571831"/>
    <w:rsid w:val="0057192E"/>
    <w:rsid w:val="0057198C"/>
    <w:rsid w:val="00571AB5"/>
    <w:rsid w:val="00571AC8"/>
    <w:rsid w:val="00571C07"/>
    <w:rsid w:val="00571E8D"/>
    <w:rsid w:val="00571ECE"/>
    <w:rsid w:val="0057243F"/>
    <w:rsid w:val="0057280A"/>
    <w:rsid w:val="00572879"/>
    <w:rsid w:val="005728C7"/>
    <w:rsid w:val="00572A08"/>
    <w:rsid w:val="00572A09"/>
    <w:rsid w:val="00572A1D"/>
    <w:rsid w:val="00572B23"/>
    <w:rsid w:val="00572B28"/>
    <w:rsid w:val="00572B2A"/>
    <w:rsid w:val="00572D4E"/>
    <w:rsid w:val="00572DC5"/>
    <w:rsid w:val="00572F32"/>
    <w:rsid w:val="0057319F"/>
    <w:rsid w:val="005731A1"/>
    <w:rsid w:val="00573217"/>
    <w:rsid w:val="005736C1"/>
    <w:rsid w:val="005738F6"/>
    <w:rsid w:val="0057392D"/>
    <w:rsid w:val="0057395D"/>
    <w:rsid w:val="005739A7"/>
    <w:rsid w:val="00573B07"/>
    <w:rsid w:val="00573BD9"/>
    <w:rsid w:val="00573D5E"/>
    <w:rsid w:val="00573E52"/>
    <w:rsid w:val="00573EBC"/>
    <w:rsid w:val="00573F3D"/>
    <w:rsid w:val="005740E3"/>
    <w:rsid w:val="005741FD"/>
    <w:rsid w:val="0057438B"/>
    <w:rsid w:val="005743AA"/>
    <w:rsid w:val="005745AE"/>
    <w:rsid w:val="00574680"/>
    <w:rsid w:val="0057470A"/>
    <w:rsid w:val="005747F2"/>
    <w:rsid w:val="0057487A"/>
    <w:rsid w:val="00574B03"/>
    <w:rsid w:val="00574BA9"/>
    <w:rsid w:val="00574CB6"/>
    <w:rsid w:val="00574D1A"/>
    <w:rsid w:val="00575015"/>
    <w:rsid w:val="00575031"/>
    <w:rsid w:val="00575482"/>
    <w:rsid w:val="0057548B"/>
    <w:rsid w:val="005754B5"/>
    <w:rsid w:val="005754C4"/>
    <w:rsid w:val="0057557E"/>
    <w:rsid w:val="005755B3"/>
    <w:rsid w:val="0057583A"/>
    <w:rsid w:val="00575957"/>
    <w:rsid w:val="00575BC3"/>
    <w:rsid w:val="00575D3C"/>
    <w:rsid w:val="00576158"/>
    <w:rsid w:val="00576367"/>
    <w:rsid w:val="005765A4"/>
    <w:rsid w:val="005766BF"/>
    <w:rsid w:val="00576755"/>
    <w:rsid w:val="00576773"/>
    <w:rsid w:val="0057677F"/>
    <w:rsid w:val="005768B7"/>
    <w:rsid w:val="005768BC"/>
    <w:rsid w:val="00576B07"/>
    <w:rsid w:val="00576BA5"/>
    <w:rsid w:val="00576BBC"/>
    <w:rsid w:val="00576BF0"/>
    <w:rsid w:val="00576C2F"/>
    <w:rsid w:val="00576C58"/>
    <w:rsid w:val="00576EDF"/>
    <w:rsid w:val="00576F4F"/>
    <w:rsid w:val="005770A1"/>
    <w:rsid w:val="005771F7"/>
    <w:rsid w:val="00577330"/>
    <w:rsid w:val="00577393"/>
    <w:rsid w:val="0057745E"/>
    <w:rsid w:val="00577A1A"/>
    <w:rsid w:val="00577D8B"/>
    <w:rsid w:val="00577DCB"/>
    <w:rsid w:val="00577F80"/>
    <w:rsid w:val="00577F81"/>
    <w:rsid w:val="00580059"/>
    <w:rsid w:val="0058009F"/>
    <w:rsid w:val="00580143"/>
    <w:rsid w:val="00580305"/>
    <w:rsid w:val="005804DC"/>
    <w:rsid w:val="005805F8"/>
    <w:rsid w:val="00580876"/>
    <w:rsid w:val="005808E5"/>
    <w:rsid w:val="00580AE0"/>
    <w:rsid w:val="00580E30"/>
    <w:rsid w:val="00581045"/>
    <w:rsid w:val="005810DF"/>
    <w:rsid w:val="0058115B"/>
    <w:rsid w:val="00581347"/>
    <w:rsid w:val="005813CC"/>
    <w:rsid w:val="005814FA"/>
    <w:rsid w:val="005815BF"/>
    <w:rsid w:val="00581605"/>
    <w:rsid w:val="005817B9"/>
    <w:rsid w:val="00581AD7"/>
    <w:rsid w:val="00581B72"/>
    <w:rsid w:val="00581D7A"/>
    <w:rsid w:val="00581D7B"/>
    <w:rsid w:val="00582153"/>
    <w:rsid w:val="00582266"/>
    <w:rsid w:val="005824BE"/>
    <w:rsid w:val="0058261D"/>
    <w:rsid w:val="005826D5"/>
    <w:rsid w:val="00582865"/>
    <w:rsid w:val="00582B10"/>
    <w:rsid w:val="00582BE1"/>
    <w:rsid w:val="00582C48"/>
    <w:rsid w:val="00582CB7"/>
    <w:rsid w:val="00582FE8"/>
    <w:rsid w:val="00583006"/>
    <w:rsid w:val="0058312A"/>
    <w:rsid w:val="005831D7"/>
    <w:rsid w:val="00583241"/>
    <w:rsid w:val="005832F0"/>
    <w:rsid w:val="005833C3"/>
    <w:rsid w:val="00583568"/>
    <w:rsid w:val="005837AE"/>
    <w:rsid w:val="005837D5"/>
    <w:rsid w:val="00583876"/>
    <w:rsid w:val="005838CA"/>
    <w:rsid w:val="0058395E"/>
    <w:rsid w:val="00583F15"/>
    <w:rsid w:val="00583F3A"/>
    <w:rsid w:val="00584163"/>
    <w:rsid w:val="0058424E"/>
    <w:rsid w:val="005843C8"/>
    <w:rsid w:val="005843EF"/>
    <w:rsid w:val="00584564"/>
    <w:rsid w:val="0058459B"/>
    <w:rsid w:val="00584B4C"/>
    <w:rsid w:val="00584B5E"/>
    <w:rsid w:val="00584B76"/>
    <w:rsid w:val="00584C04"/>
    <w:rsid w:val="00584C80"/>
    <w:rsid w:val="00584D3E"/>
    <w:rsid w:val="00584D9D"/>
    <w:rsid w:val="00584DBB"/>
    <w:rsid w:val="00584ECC"/>
    <w:rsid w:val="00584FD6"/>
    <w:rsid w:val="0058506F"/>
    <w:rsid w:val="00585431"/>
    <w:rsid w:val="005855B4"/>
    <w:rsid w:val="00585685"/>
    <w:rsid w:val="00585768"/>
    <w:rsid w:val="0058580E"/>
    <w:rsid w:val="00585909"/>
    <w:rsid w:val="00585939"/>
    <w:rsid w:val="0058597A"/>
    <w:rsid w:val="00585AEA"/>
    <w:rsid w:val="00585AF9"/>
    <w:rsid w:val="00585BD3"/>
    <w:rsid w:val="00585BE2"/>
    <w:rsid w:val="00585CBF"/>
    <w:rsid w:val="00585CF1"/>
    <w:rsid w:val="00585EC7"/>
    <w:rsid w:val="00585FED"/>
    <w:rsid w:val="0058608A"/>
    <w:rsid w:val="00586141"/>
    <w:rsid w:val="005862D6"/>
    <w:rsid w:val="005864AB"/>
    <w:rsid w:val="0058664F"/>
    <w:rsid w:val="005866BD"/>
    <w:rsid w:val="005869C5"/>
    <w:rsid w:val="00586A57"/>
    <w:rsid w:val="00586ACB"/>
    <w:rsid w:val="00586AF5"/>
    <w:rsid w:val="00586B67"/>
    <w:rsid w:val="00586BFC"/>
    <w:rsid w:val="00587029"/>
    <w:rsid w:val="00587125"/>
    <w:rsid w:val="005874E7"/>
    <w:rsid w:val="00587521"/>
    <w:rsid w:val="0058758D"/>
    <w:rsid w:val="005876BF"/>
    <w:rsid w:val="00587750"/>
    <w:rsid w:val="005877CF"/>
    <w:rsid w:val="005877FC"/>
    <w:rsid w:val="00587888"/>
    <w:rsid w:val="005878A7"/>
    <w:rsid w:val="005879A6"/>
    <w:rsid w:val="00587AD5"/>
    <w:rsid w:val="00587FD0"/>
    <w:rsid w:val="0059019D"/>
    <w:rsid w:val="0059029D"/>
    <w:rsid w:val="005902EE"/>
    <w:rsid w:val="00590342"/>
    <w:rsid w:val="005904F0"/>
    <w:rsid w:val="005906E6"/>
    <w:rsid w:val="005906F5"/>
    <w:rsid w:val="00590787"/>
    <w:rsid w:val="0059084D"/>
    <w:rsid w:val="00590A40"/>
    <w:rsid w:val="00590D4A"/>
    <w:rsid w:val="00590FC1"/>
    <w:rsid w:val="00590FF7"/>
    <w:rsid w:val="00591053"/>
    <w:rsid w:val="005910A8"/>
    <w:rsid w:val="00591301"/>
    <w:rsid w:val="00591479"/>
    <w:rsid w:val="00591715"/>
    <w:rsid w:val="0059183A"/>
    <w:rsid w:val="0059193F"/>
    <w:rsid w:val="00591AB3"/>
    <w:rsid w:val="00591FA0"/>
    <w:rsid w:val="0059201C"/>
    <w:rsid w:val="00592024"/>
    <w:rsid w:val="00592043"/>
    <w:rsid w:val="0059206F"/>
    <w:rsid w:val="00592089"/>
    <w:rsid w:val="005921BC"/>
    <w:rsid w:val="005924DC"/>
    <w:rsid w:val="0059260D"/>
    <w:rsid w:val="00592983"/>
    <w:rsid w:val="005929E8"/>
    <w:rsid w:val="00592A26"/>
    <w:rsid w:val="00592AB3"/>
    <w:rsid w:val="00592B24"/>
    <w:rsid w:val="00592D3A"/>
    <w:rsid w:val="00592E44"/>
    <w:rsid w:val="00592F87"/>
    <w:rsid w:val="00592FC5"/>
    <w:rsid w:val="0059315C"/>
    <w:rsid w:val="005932A4"/>
    <w:rsid w:val="005933D3"/>
    <w:rsid w:val="00593594"/>
    <w:rsid w:val="005936F6"/>
    <w:rsid w:val="00593735"/>
    <w:rsid w:val="005937CA"/>
    <w:rsid w:val="005938B9"/>
    <w:rsid w:val="0059395C"/>
    <w:rsid w:val="00593A02"/>
    <w:rsid w:val="00593BDD"/>
    <w:rsid w:val="00593C2E"/>
    <w:rsid w:val="00593D7A"/>
    <w:rsid w:val="00593DBE"/>
    <w:rsid w:val="00593E11"/>
    <w:rsid w:val="00593E32"/>
    <w:rsid w:val="00593F3F"/>
    <w:rsid w:val="00593F4A"/>
    <w:rsid w:val="0059418D"/>
    <w:rsid w:val="0059429F"/>
    <w:rsid w:val="005942AD"/>
    <w:rsid w:val="005943AA"/>
    <w:rsid w:val="00594597"/>
    <w:rsid w:val="005945A5"/>
    <w:rsid w:val="0059464C"/>
    <w:rsid w:val="0059466E"/>
    <w:rsid w:val="00594AC3"/>
    <w:rsid w:val="00594C6D"/>
    <w:rsid w:val="00594CBD"/>
    <w:rsid w:val="00594D3F"/>
    <w:rsid w:val="00595074"/>
    <w:rsid w:val="00595224"/>
    <w:rsid w:val="00595286"/>
    <w:rsid w:val="0059546C"/>
    <w:rsid w:val="005954DB"/>
    <w:rsid w:val="005954E6"/>
    <w:rsid w:val="00595590"/>
    <w:rsid w:val="0059566C"/>
    <w:rsid w:val="00595731"/>
    <w:rsid w:val="0059575F"/>
    <w:rsid w:val="0059577B"/>
    <w:rsid w:val="005959FA"/>
    <w:rsid w:val="00595AF6"/>
    <w:rsid w:val="00595D80"/>
    <w:rsid w:val="00596002"/>
    <w:rsid w:val="0059601E"/>
    <w:rsid w:val="0059602D"/>
    <w:rsid w:val="005960F4"/>
    <w:rsid w:val="005961C5"/>
    <w:rsid w:val="0059621F"/>
    <w:rsid w:val="005964A2"/>
    <w:rsid w:val="005964FB"/>
    <w:rsid w:val="005965DE"/>
    <w:rsid w:val="00596618"/>
    <w:rsid w:val="005969D1"/>
    <w:rsid w:val="005969D2"/>
    <w:rsid w:val="00596AED"/>
    <w:rsid w:val="00596C01"/>
    <w:rsid w:val="00596C84"/>
    <w:rsid w:val="00596EDF"/>
    <w:rsid w:val="00596F5F"/>
    <w:rsid w:val="00596FD3"/>
    <w:rsid w:val="0059700A"/>
    <w:rsid w:val="005970A5"/>
    <w:rsid w:val="00597122"/>
    <w:rsid w:val="005971DC"/>
    <w:rsid w:val="00597208"/>
    <w:rsid w:val="005973FF"/>
    <w:rsid w:val="00597423"/>
    <w:rsid w:val="0059762E"/>
    <w:rsid w:val="0059771B"/>
    <w:rsid w:val="00597C85"/>
    <w:rsid w:val="00597E67"/>
    <w:rsid w:val="00597EB3"/>
    <w:rsid w:val="00597FB1"/>
    <w:rsid w:val="005A001D"/>
    <w:rsid w:val="005A00B6"/>
    <w:rsid w:val="005A0162"/>
    <w:rsid w:val="005A01A9"/>
    <w:rsid w:val="005A01DD"/>
    <w:rsid w:val="005A0270"/>
    <w:rsid w:val="005A03F2"/>
    <w:rsid w:val="005A0499"/>
    <w:rsid w:val="005A04AD"/>
    <w:rsid w:val="005A0750"/>
    <w:rsid w:val="005A0791"/>
    <w:rsid w:val="005A07A8"/>
    <w:rsid w:val="005A082D"/>
    <w:rsid w:val="005A0C8F"/>
    <w:rsid w:val="005A0E14"/>
    <w:rsid w:val="005A0F9C"/>
    <w:rsid w:val="005A1078"/>
    <w:rsid w:val="005A1524"/>
    <w:rsid w:val="005A1536"/>
    <w:rsid w:val="005A15D9"/>
    <w:rsid w:val="005A1994"/>
    <w:rsid w:val="005A1A1A"/>
    <w:rsid w:val="005A1A32"/>
    <w:rsid w:val="005A1B55"/>
    <w:rsid w:val="005A1C4D"/>
    <w:rsid w:val="005A1D60"/>
    <w:rsid w:val="005A201C"/>
    <w:rsid w:val="005A2510"/>
    <w:rsid w:val="005A25AD"/>
    <w:rsid w:val="005A25B5"/>
    <w:rsid w:val="005A2719"/>
    <w:rsid w:val="005A2786"/>
    <w:rsid w:val="005A284F"/>
    <w:rsid w:val="005A28D4"/>
    <w:rsid w:val="005A299B"/>
    <w:rsid w:val="005A2B32"/>
    <w:rsid w:val="005A2C9A"/>
    <w:rsid w:val="005A2D6F"/>
    <w:rsid w:val="005A2DDA"/>
    <w:rsid w:val="005A2E07"/>
    <w:rsid w:val="005A2EA1"/>
    <w:rsid w:val="005A3065"/>
    <w:rsid w:val="005A31DA"/>
    <w:rsid w:val="005A343F"/>
    <w:rsid w:val="005A3459"/>
    <w:rsid w:val="005A37EE"/>
    <w:rsid w:val="005A3CC0"/>
    <w:rsid w:val="005A3CC3"/>
    <w:rsid w:val="005A3CF8"/>
    <w:rsid w:val="005A3D29"/>
    <w:rsid w:val="005A403F"/>
    <w:rsid w:val="005A40C2"/>
    <w:rsid w:val="005A4156"/>
    <w:rsid w:val="005A4372"/>
    <w:rsid w:val="005A4457"/>
    <w:rsid w:val="005A44BD"/>
    <w:rsid w:val="005A45C9"/>
    <w:rsid w:val="005A4852"/>
    <w:rsid w:val="005A4959"/>
    <w:rsid w:val="005A4A8A"/>
    <w:rsid w:val="005A4C61"/>
    <w:rsid w:val="005A4C6F"/>
    <w:rsid w:val="005A4CE4"/>
    <w:rsid w:val="005A4E1C"/>
    <w:rsid w:val="005A4ED8"/>
    <w:rsid w:val="005A4EF9"/>
    <w:rsid w:val="005A51DD"/>
    <w:rsid w:val="005A51EF"/>
    <w:rsid w:val="005A52EC"/>
    <w:rsid w:val="005A54F3"/>
    <w:rsid w:val="005A5555"/>
    <w:rsid w:val="005A55B4"/>
    <w:rsid w:val="005A57F2"/>
    <w:rsid w:val="005A58B0"/>
    <w:rsid w:val="005A58D3"/>
    <w:rsid w:val="005A593A"/>
    <w:rsid w:val="005A597A"/>
    <w:rsid w:val="005A5A6B"/>
    <w:rsid w:val="005A5A7A"/>
    <w:rsid w:val="005A5B17"/>
    <w:rsid w:val="005A5BAE"/>
    <w:rsid w:val="005A5DA6"/>
    <w:rsid w:val="005A5EB0"/>
    <w:rsid w:val="005A61D5"/>
    <w:rsid w:val="005A61F1"/>
    <w:rsid w:val="005A629A"/>
    <w:rsid w:val="005A6351"/>
    <w:rsid w:val="005A6383"/>
    <w:rsid w:val="005A6431"/>
    <w:rsid w:val="005A6562"/>
    <w:rsid w:val="005A67C9"/>
    <w:rsid w:val="005A687A"/>
    <w:rsid w:val="005A6AAC"/>
    <w:rsid w:val="005A6B69"/>
    <w:rsid w:val="005A6BFA"/>
    <w:rsid w:val="005A6C11"/>
    <w:rsid w:val="005A6CA3"/>
    <w:rsid w:val="005A6CE8"/>
    <w:rsid w:val="005A6EAA"/>
    <w:rsid w:val="005A70BD"/>
    <w:rsid w:val="005A7180"/>
    <w:rsid w:val="005A720B"/>
    <w:rsid w:val="005A7223"/>
    <w:rsid w:val="005A72C2"/>
    <w:rsid w:val="005A7510"/>
    <w:rsid w:val="005A761B"/>
    <w:rsid w:val="005A76F4"/>
    <w:rsid w:val="005A790C"/>
    <w:rsid w:val="005A7B12"/>
    <w:rsid w:val="005A7B45"/>
    <w:rsid w:val="005A7BE9"/>
    <w:rsid w:val="005A7C30"/>
    <w:rsid w:val="005A7CBF"/>
    <w:rsid w:val="005A7D86"/>
    <w:rsid w:val="005A7F36"/>
    <w:rsid w:val="005B012E"/>
    <w:rsid w:val="005B0216"/>
    <w:rsid w:val="005B0246"/>
    <w:rsid w:val="005B03E7"/>
    <w:rsid w:val="005B0475"/>
    <w:rsid w:val="005B04B2"/>
    <w:rsid w:val="005B0713"/>
    <w:rsid w:val="005B07F7"/>
    <w:rsid w:val="005B088F"/>
    <w:rsid w:val="005B0A68"/>
    <w:rsid w:val="005B0B67"/>
    <w:rsid w:val="005B0D24"/>
    <w:rsid w:val="005B0E20"/>
    <w:rsid w:val="005B0EB1"/>
    <w:rsid w:val="005B0EEB"/>
    <w:rsid w:val="005B146C"/>
    <w:rsid w:val="005B1485"/>
    <w:rsid w:val="005B1504"/>
    <w:rsid w:val="005B176F"/>
    <w:rsid w:val="005B186C"/>
    <w:rsid w:val="005B18EE"/>
    <w:rsid w:val="005B1A9D"/>
    <w:rsid w:val="005B1B59"/>
    <w:rsid w:val="005B1C76"/>
    <w:rsid w:val="005B1C9A"/>
    <w:rsid w:val="005B1E84"/>
    <w:rsid w:val="005B1E87"/>
    <w:rsid w:val="005B1EBA"/>
    <w:rsid w:val="005B2228"/>
    <w:rsid w:val="005B2317"/>
    <w:rsid w:val="005B2371"/>
    <w:rsid w:val="005B2419"/>
    <w:rsid w:val="005B246F"/>
    <w:rsid w:val="005B266C"/>
    <w:rsid w:val="005B2715"/>
    <w:rsid w:val="005B2719"/>
    <w:rsid w:val="005B278B"/>
    <w:rsid w:val="005B283D"/>
    <w:rsid w:val="005B287F"/>
    <w:rsid w:val="005B28E7"/>
    <w:rsid w:val="005B2A4D"/>
    <w:rsid w:val="005B2B92"/>
    <w:rsid w:val="005B2C66"/>
    <w:rsid w:val="005B2F0B"/>
    <w:rsid w:val="005B2F56"/>
    <w:rsid w:val="005B31DD"/>
    <w:rsid w:val="005B3297"/>
    <w:rsid w:val="005B34C4"/>
    <w:rsid w:val="005B3505"/>
    <w:rsid w:val="005B367A"/>
    <w:rsid w:val="005B3762"/>
    <w:rsid w:val="005B3969"/>
    <w:rsid w:val="005B3AB1"/>
    <w:rsid w:val="005B3BCA"/>
    <w:rsid w:val="005B3CD0"/>
    <w:rsid w:val="005B3CF6"/>
    <w:rsid w:val="005B3E84"/>
    <w:rsid w:val="005B3F7E"/>
    <w:rsid w:val="005B4150"/>
    <w:rsid w:val="005B41C3"/>
    <w:rsid w:val="005B41D8"/>
    <w:rsid w:val="005B42B1"/>
    <w:rsid w:val="005B442A"/>
    <w:rsid w:val="005B445F"/>
    <w:rsid w:val="005B44EF"/>
    <w:rsid w:val="005B4595"/>
    <w:rsid w:val="005B46E0"/>
    <w:rsid w:val="005B47A0"/>
    <w:rsid w:val="005B47B0"/>
    <w:rsid w:val="005B48CA"/>
    <w:rsid w:val="005B4A49"/>
    <w:rsid w:val="005B4AAC"/>
    <w:rsid w:val="005B4CD2"/>
    <w:rsid w:val="005B4E9F"/>
    <w:rsid w:val="005B4F0B"/>
    <w:rsid w:val="005B4F3A"/>
    <w:rsid w:val="005B50AC"/>
    <w:rsid w:val="005B5213"/>
    <w:rsid w:val="005B54A1"/>
    <w:rsid w:val="005B5627"/>
    <w:rsid w:val="005B5689"/>
    <w:rsid w:val="005B5755"/>
    <w:rsid w:val="005B5797"/>
    <w:rsid w:val="005B585E"/>
    <w:rsid w:val="005B59D4"/>
    <w:rsid w:val="005B5A8D"/>
    <w:rsid w:val="005B5FB9"/>
    <w:rsid w:val="005B6092"/>
    <w:rsid w:val="005B6253"/>
    <w:rsid w:val="005B6358"/>
    <w:rsid w:val="005B6490"/>
    <w:rsid w:val="005B651F"/>
    <w:rsid w:val="005B662F"/>
    <w:rsid w:val="005B6698"/>
    <w:rsid w:val="005B67D3"/>
    <w:rsid w:val="005B6838"/>
    <w:rsid w:val="005B696D"/>
    <w:rsid w:val="005B69C9"/>
    <w:rsid w:val="005B6B28"/>
    <w:rsid w:val="005B6B6C"/>
    <w:rsid w:val="005B6BEE"/>
    <w:rsid w:val="005B6C14"/>
    <w:rsid w:val="005B6C80"/>
    <w:rsid w:val="005B6D12"/>
    <w:rsid w:val="005B6F11"/>
    <w:rsid w:val="005B6F57"/>
    <w:rsid w:val="005B7072"/>
    <w:rsid w:val="005B70DB"/>
    <w:rsid w:val="005B722B"/>
    <w:rsid w:val="005B731F"/>
    <w:rsid w:val="005B73F1"/>
    <w:rsid w:val="005B742F"/>
    <w:rsid w:val="005B7909"/>
    <w:rsid w:val="005B7A00"/>
    <w:rsid w:val="005B7C66"/>
    <w:rsid w:val="005B7DE0"/>
    <w:rsid w:val="005B7DF3"/>
    <w:rsid w:val="005B7E5E"/>
    <w:rsid w:val="005B7EF0"/>
    <w:rsid w:val="005C03B2"/>
    <w:rsid w:val="005C04C1"/>
    <w:rsid w:val="005C055B"/>
    <w:rsid w:val="005C05C9"/>
    <w:rsid w:val="005C05D0"/>
    <w:rsid w:val="005C0749"/>
    <w:rsid w:val="005C08F1"/>
    <w:rsid w:val="005C0B48"/>
    <w:rsid w:val="005C0BBF"/>
    <w:rsid w:val="005C0C35"/>
    <w:rsid w:val="005C0E62"/>
    <w:rsid w:val="005C0E63"/>
    <w:rsid w:val="005C1030"/>
    <w:rsid w:val="005C1069"/>
    <w:rsid w:val="005C10C8"/>
    <w:rsid w:val="005C11E3"/>
    <w:rsid w:val="005C11EB"/>
    <w:rsid w:val="005C1431"/>
    <w:rsid w:val="005C163B"/>
    <w:rsid w:val="005C1703"/>
    <w:rsid w:val="005C1711"/>
    <w:rsid w:val="005C1795"/>
    <w:rsid w:val="005C194C"/>
    <w:rsid w:val="005C1A04"/>
    <w:rsid w:val="005C1A15"/>
    <w:rsid w:val="005C1A27"/>
    <w:rsid w:val="005C1F93"/>
    <w:rsid w:val="005C213E"/>
    <w:rsid w:val="005C2151"/>
    <w:rsid w:val="005C2464"/>
    <w:rsid w:val="005C26AD"/>
    <w:rsid w:val="005C2978"/>
    <w:rsid w:val="005C29F3"/>
    <w:rsid w:val="005C2A3A"/>
    <w:rsid w:val="005C2ACC"/>
    <w:rsid w:val="005C2B27"/>
    <w:rsid w:val="005C2C4E"/>
    <w:rsid w:val="005C2D9A"/>
    <w:rsid w:val="005C2DDD"/>
    <w:rsid w:val="005C2DF8"/>
    <w:rsid w:val="005C2EB6"/>
    <w:rsid w:val="005C2FF5"/>
    <w:rsid w:val="005C30D6"/>
    <w:rsid w:val="005C30E2"/>
    <w:rsid w:val="005C323A"/>
    <w:rsid w:val="005C347D"/>
    <w:rsid w:val="005C35D0"/>
    <w:rsid w:val="005C362D"/>
    <w:rsid w:val="005C3668"/>
    <w:rsid w:val="005C38DF"/>
    <w:rsid w:val="005C38F3"/>
    <w:rsid w:val="005C3922"/>
    <w:rsid w:val="005C3937"/>
    <w:rsid w:val="005C3B35"/>
    <w:rsid w:val="005C3D48"/>
    <w:rsid w:val="005C3D93"/>
    <w:rsid w:val="005C3E20"/>
    <w:rsid w:val="005C3E37"/>
    <w:rsid w:val="005C3EC2"/>
    <w:rsid w:val="005C3F20"/>
    <w:rsid w:val="005C3FE5"/>
    <w:rsid w:val="005C400B"/>
    <w:rsid w:val="005C415C"/>
    <w:rsid w:val="005C437C"/>
    <w:rsid w:val="005C444F"/>
    <w:rsid w:val="005C44E9"/>
    <w:rsid w:val="005C4519"/>
    <w:rsid w:val="005C45CB"/>
    <w:rsid w:val="005C47C2"/>
    <w:rsid w:val="005C47CA"/>
    <w:rsid w:val="005C48E9"/>
    <w:rsid w:val="005C4A09"/>
    <w:rsid w:val="005C4CDB"/>
    <w:rsid w:val="005C4E46"/>
    <w:rsid w:val="005C5059"/>
    <w:rsid w:val="005C50C8"/>
    <w:rsid w:val="005C50D5"/>
    <w:rsid w:val="005C5178"/>
    <w:rsid w:val="005C54DF"/>
    <w:rsid w:val="005C5596"/>
    <w:rsid w:val="005C564B"/>
    <w:rsid w:val="005C564D"/>
    <w:rsid w:val="005C57F6"/>
    <w:rsid w:val="005C583F"/>
    <w:rsid w:val="005C58EA"/>
    <w:rsid w:val="005C597F"/>
    <w:rsid w:val="005C59AB"/>
    <w:rsid w:val="005C5E4D"/>
    <w:rsid w:val="005C5EDE"/>
    <w:rsid w:val="005C61AC"/>
    <w:rsid w:val="005C61CB"/>
    <w:rsid w:val="005C6232"/>
    <w:rsid w:val="005C62A9"/>
    <w:rsid w:val="005C6346"/>
    <w:rsid w:val="005C647D"/>
    <w:rsid w:val="005C64EA"/>
    <w:rsid w:val="005C6722"/>
    <w:rsid w:val="005C67E6"/>
    <w:rsid w:val="005C682F"/>
    <w:rsid w:val="005C6890"/>
    <w:rsid w:val="005C6BA3"/>
    <w:rsid w:val="005C6D98"/>
    <w:rsid w:val="005C6E20"/>
    <w:rsid w:val="005C6EF1"/>
    <w:rsid w:val="005C6F78"/>
    <w:rsid w:val="005C70C6"/>
    <w:rsid w:val="005C72E6"/>
    <w:rsid w:val="005C7353"/>
    <w:rsid w:val="005C735E"/>
    <w:rsid w:val="005C7365"/>
    <w:rsid w:val="005C73CF"/>
    <w:rsid w:val="005C7413"/>
    <w:rsid w:val="005C7481"/>
    <w:rsid w:val="005C7527"/>
    <w:rsid w:val="005C7582"/>
    <w:rsid w:val="005C762D"/>
    <w:rsid w:val="005C7819"/>
    <w:rsid w:val="005C789D"/>
    <w:rsid w:val="005C7935"/>
    <w:rsid w:val="005C7987"/>
    <w:rsid w:val="005C7C0A"/>
    <w:rsid w:val="005C7CF8"/>
    <w:rsid w:val="005C7CFB"/>
    <w:rsid w:val="005C7EC8"/>
    <w:rsid w:val="005C7F76"/>
    <w:rsid w:val="005D0099"/>
    <w:rsid w:val="005D00EE"/>
    <w:rsid w:val="005D0356"/>
    <w:rsid w:val="005D0361"/>
    <w:rsid w:val="005D03E7"/>
    <w:rsid w:val="005D06B0"/>
    <w:rsid w:val="005D0B73"/>
    <w:rsid w:val="005D0B7E"/>
    <w:rsid w:val="005D0C47"/>
    <w:rsid w:val="005D0CEF"/>
    <w:rsid w:val="005D0D17"/>
    <w:rsid w:val="005D0D68"/>
    <w:rsid w:val="005D0E32"/>
    <w:rsid w:val="005D10B0"/>
    <w:rsid w:val="005D1311"/>
    <w:rsid w:val="005D15F1"/>
    <w:rsid w:val="005D1612"/>
    <w:rsid w:val="005D16B9"/>
    <w:rsid w:val="005D16D0"/>
    <w:rsid w:val="005D1708"/>
    <w:rsid w:val="005D17FF"/>
    <w:rsid w:val="005D18A1"/>
    <w:rsid w:val="005D19CD"/>
    <w:rsid w:val="005D1AAB"/>
    <w:rsid w:val="005D1B04"/>
    <w:rsid w:val="005D1B73"/>
    <w:rsid w:val="005D1BBD"/>
    <w:rsid w:val="005D1D19"/>
    <w:rsid w:val="005D1DBD"/>
    <w:rsid w:val="005D20FF"/>
    <w:rsid w:val="005D210E"/>
    <w:rsid w:val="005D2111"/>
    <w:rsid w:val="005D21E8"/>
    <w:rsid w:val="005D2256"/>
    <w:rsid w:val="005D2362"/>
    <w:rsid w:val="005D2376"/>
    <w:rsid w:val="005D24C9"/>
    <w:rsid w:val="005D252D"/>
    <w:rsid w:val="005D2705"/>
    <w:rsid w:val="005D2757"/>
    <w:rsid w:val="005D27A3"/>
    <w:rsid w:val="005D28E7"/>
    <w:rsid w:val="005D29AF"/>
    <w:rsid w:val="005D2AE4"/>
    <w:rsid w:val="005D2AEA"/>
    <w:rsid w:val="005D2B4D"/>
    <w:rsid w:val="005D2B69"/>
    <w:rsid w:val="005D2F2B"/>
    <w:rsid w:val="005D318E"/>
    <w:rsid w:val="005D3574"/>
    <w:rsid w:val="005D35CD"/>
    <w:rsid w:val="005D3629"/>
    <w:rsid w:val="005D39B4"/>
    <w:rsid w:val="005D39CD"/>
    <w:rsid w:val="005D3DA6"/>
    <w:rsid w:val="005D3F50"/>
    <w:rsid w:val="005D3F81"/>
    <w:rsid w:val="005D3FD9"/>
    <w:rsid w:val="005D404A"/>
    <w:rsid w:val="005D40DE"/>
    <w:rsid w:val="005D4100"/>
    <w:rsid w:val="005D42CF"/>
    <w:rsid w:val="005D42EC"/>
    <w:rsid w:val="005D43A9"/>
    <w:rsid w:val="005D43D1"/>
    <w:rsid w:val="005D44C8"/>
    <w:rsid w:val="005D4673"/>
    <w:rsid w:val="005D4674"/>
    <w:rsid w:val="005D49DC"/>
    <w:rsid w:val="005D4B26"/>
    <w:rsid w:val="005D4B8F"/>
    <w:rsid w:val="005D4C02"/>
    <w:rsid w:val="005D4D88"/>
    <w:rsid w:val="005D4D9D"/>
    <w:rsid w:val="005D4F42"/>
    <w:rsid w:val="005D4F80"/>
    <w:rsid w:val="005D5000"/>
    <w:rsid w:val="005D50A3"/>
    <w:rsid w:val="005D50FF"/>
    <w:rsid w:val="005D52E5"/>
    <w:rsid w:val="005D5491"/>
    <w:rsid w:val="005D59CF"/>
    <w:rsid w:val="005D5ABE"/>
    <w:rsid w:val="005D5C3F"/>
    <w:rsid w:val="005D5D24"/>
    <w:rsid w:val="005D5D5B"/>
    <w:rsid w:val="005D5D9A"/>
    <w:rsid w:val="005D5E0F"/>
    <w:rsid w:val="005D5F0F"/>
    <w:rsid w:val="005D62B9"/>
    <w:rsid w:val="005D62C8"/>
    <w:rsid w:val="005D62D5"/>
    <w:rsid w:val="005D63A7"/>
    <w:rsid w:val="005D6595"/>
    <w:rsid w:val="005D66D7"/>
    <w:rsid w:val="005D680B"/>
    <w:rsid w:val="005D6858"/>
    <w:rsid w:val="005D68B4"/>
    <w:rsid w:val="005D6965"/>
    <w:rsid w:val="005D6CEB"/>
    <w:rsid w:val="005D6D0D"/>
    <w:rsid w:val="005D6D18"/>
    <w:rsid w:val="005D6DB0"/>
    <w:rsid w:val="005D6E4D"/>
    <w:rsid w:val="005D6ECC"/>
    <w:rsid w:val="005D71B9"/>
    <w:rsid w:val="005D7378"/>
    <w:rsid w:val="005D73F4"/>
    <w:rsid w:val="005D75A0"/>
    <w:rsid w:val="005D76D6"/>
    <w:rsid w:val="005D7978"/>
    <w:rsid w:val="005D79B6"/>
    <w:rsid w:val="005D7A45"/>
    <w:rsid w:val="005D7A7A"/>
    <w:rsid w:val="005D7AB2"/>
    <w:rsid w:val="005D7ACB"/>
    <w:rsid w:val="005D7B11"/>
    <w:rsid w:val="005D7B77"/>
    <w:rsid w:val="005D7C5D"/>
    <w:rsid w:val="005D7CAE"/>
    <w:rsid w:val="005D7CCB"/>
    <w:rsid w:val="005D7D2C"/>
    <w:rsid w:val="005D7EC1"/>
    <w:rsid w:val="005D7EE3"/>
    <w:rsid w:val="005E00A5"/>
    <w:rsid w:val="005E0324"/>
    <w:rsid w:val="005E05BD"/>
    <w:rsid w:val="005E07DA"/>
    <w:rsid w:val="005E080C"/>
    <w:rsid w:val="005E088E"/>
    <w:rsid w:val="005E0C69"/>
    <w:rsid w:val="005E10F5"/>
    <w:rsid w:val="005E12ED"/>
    <w:rsid w:val="005E1370"/>
    <w:rsid w:val="005E1472"/>
    <w:rsid w:val="005E147F"/>
    <w:rsid w:val="005E14F0"/>
    <w:rsid w:val="005E1506"/>
    <w:rsid w:val="005E15BE"/>
    <w:rsid w:val="005E1882"/>
    <w:rsid w:val="005E1AF2"/>
    <w:rsid w:val="005E1C60"/>
    <w:rsid w:val="005E1C63"/>
    <w:rsid w:val="005E1C66"/>
    <w:rsid w:val="005E1D3A"/>
    <w:rsid w:val="005E1F87"/>
    <w:rsid w:val="005E1FB7"/>
    <w:rsid w:val="005E1FDA"/>
    <w:rsid w:val="005E2107"/>
    <w:rsid w:val="005E2322"/>
    <w:rsid w:val="005E28C9"/>
    <w:rsid w:val="005E28D6"/>
    <w:rsid w:val="005E2903"/>
    <w:rsid w:val="005E2939"/>
    <w:rsid w:val="005E2987"/>
    <w:rsid w:val="005E2A55"/>
    <w:rsid w:val="005E2A6F"/>
    <w:rsid w:val="005E2C8F"/>
    <w:rsid w:val="005E2D34"/>
    <w:rsid w:val="005E2D89"/>
    <w:rsid w:val="005E2EBE"/>
    <w:rsid w:val="005E3025"/>
    <w:rsid w:val="005E3097"/>
    <w:rsid w:val="005E3468"/>
    <w:rsid w:val="005E353A"/>
    <w:rsid w:val="005E35BB"/>
    <w:rsid w:val="005E3722"/>
    <w:rsid w:val="005E37F5"/>
    <w:rsid w:val="005E3817"/>
    <w:rsid w:val="005E3953"/>
    <w:rsid w:val="005E39F1"/>
    <w:rsid w:val="005E3B18"/>
    <w:rsid w:val="005E3B4E"/>
    <w:rsid w:val="005E3D35"/>
    <w:rsid w:val="005E3DD1"/>
    <w:rsid w:val="005E3E1F"/>
    <w:rsid w:val="005E40FE"/>
    <w:rsid w:val="005E41D6"/>
    <w:rsid w:val="005E4253"/>
    <w:rsid w:val="005E4304"/>
    <w:rsid w:val="005E433B"/>
    <w:rsid w:val="005E43C3"/>
    <w:rsid w:val="005E449C"/>
    <w:rsid w:val="005E4582"/>
    <w:rsid w:val="005E464D"/>
    <w:rsid w:val="005E4653"/>
    <w:rsid w:val="005E47F1"/>
    <w:rsid w:val="005E49D5"/>
    <w:rsid w:val="005E4A58"/>
    <w:rsid w:val="005E4AE1"/>
    <w:rsid w:val="005E4B6A"/>
    <w:rsid w:val="005E4BAF"/>
    <w:rsid w:val="005E4CF3"/>
    <w:rsid w:val="005E4F0A"/>
    <w:rsid w:val="005E5062"/>
    <w:rsid w:val="005E5099"/>
    <w:rsid w:val="005E51DB"/>
    <w:rsid w:val="005E51FB"/>
    <w:rsid w:val="005E53AE"/>
    <w:rsid w:val="005E540F"/>
    <w:rsid w:val="005E589F"/>
    <w:rsid w:val="005E5A36"/>
    <w:rsid w:val="005E5A73"/>
    <w:rsid w:val="005E5D67"/>
    <w:rsid w:val="005E5F21"/>
    <w:rsid w:val="005E61EA"/>
    <w:rsid w:val="005E6352"/>
    <w:rsid w:val="005E63DE"/>
    <w:rsid w:val="005E6439"/>
    <w:rsid w:val="005E662B"/>
    <w:rsid w:val="005E6813"/>
    <w:rsid w:val="005E6A70"/>
    <w:rsid w:val="005E7272"/>
    <w:rsid w:val="005E739E"/>
    <w:rsid w:val="005E73D2"/>
    <w:rsid w:val="005E7455"/>
    <w:rsid w:val="005E750C"/>
    <w:rsid w:val="005E756A"/>
    <w:rsid w:val="005E763F"/>
    <w:rsid w:val="005E7651"/>
    <w:rsid w:val="005E77B0"/>
    <w:rsid w:val="005E783A"/>
    <w:rsid w:val="005E7871"/>
    <w:rsid w:val="005E78E0"/>
    <w:rsid w:val="005E7989"/>
    <w:rsid w:val="005E7E77"/>
    <w:rsid w:val="005F009D"/>
    <w:rsid w:val="005F0236"/>
    <w:rsid w:val="005F024E"/>
    <w:rsid w:val="005F0418"/>
    <w:rsid w:val="005F04F3"/>
    <w:rsid w:val="005F0866"/>
    <w:rsid w:val="005F0921"/>
    <w:rsid w:val="005F0936"/>
    <w:rsid w:val="005F09B2"/>
    <w:rsid w:val="005F0A21"/>
    <w:rsid w:val="005F0A34"/>
    <w:rsid w:val="005F0CFB"/>
    <w:rsid w:val="005F0F0C"/>
    <w:rsid w:val="005F0FFE"/>
    <w:rsid w:val="005F101D"/>
    <w:rsid w:val="005F10F2"/>
    <w:rsid w:val="005F1160"/>
    <w:rsid w:val="005F1208"/>
    <w:rsid w:val="005F1429"/>
    <w:rsid w:val="005F1555"/>
    <w:rsid w:val="005F1700"/>
    <w:rsid w:val="005F1796"/>
    <w:rsid w:val="005F17B7"/>
    <w:rsid w:val="005F18B2"/>
    <w:rsid w:val="005F1B73"/>
    <w:rsid w:val="005F1E80"/>
    <w:rsid w:val="005F212D"/>
    <w:rsid w:val="005F2320"/>
    <w:rsid w:val="005F2483"/>
    <w:rsid w:val="005F2738"/>
    <w:rsid w:val="005F2785"/>
    <w:rsid w:val="005F27BF"/>
    <w:rsid w:val="005F27C7"/>
    <w:rsid w:val="005F29D4"/>
    <w:rsid w:val="005F2B79"/>
    <w:rsid w:val="005F2C18"/>
    <w:rsid w:val="005F2F3B"/>
    <w:rsid w:val="005F304C"/>
    <w:rsid w:val="005F3095"/>
    <w:rsid w:val="005F3162"/>
    <w:rsid w:val="005F3196"/>
    <w:rsid w:val="005F3356"/>
    <w:rsid w:val="005F356E"/>
    <w:rsid w:val="005F379E"/>
    <w:rsid w:val="005F38A0"/>
    <w:rsid w:val="005F38A5"/>
    <w:rsid w:val="005F39E5"/>
    <w:rsid w:val="005F3BA8"/>
    <w:rsid w:val="005F3CFF"/>
    <w:rsid w:val="005F3F24"/>
    <w:rsid w:val="005F416F"/>
    <w:rsid w:val="005F4253"/>
    <w:rsid w:val="005F450E"/>
    <w:rsid w:val="005F458C"/>
    <w:rsid w:val="005F477C"/>
    <w:rsid w:val="005F47A4"/>
    <w:rsid w:val="005F4A5D"/>
    <w:rsid w:val="005F4ACF"/>
    <w:rsid w:val="005F4C7E"/>
    <w:rsid w:val="005F4C93"/>
    <w:rsid w:val="005F4EF2"/>
    <w:rsid w:val="005F4F87"/>
    <w:rsid w:val="005F4F90"/>
    <w:rsid w:val="005F4FC5"/>
    <w:rsid w:val="005F50F3"/>
    <w:rsid w:val="005F51A3"/>
    <w:rsid w:val="005F51A8"/>
    <w:rsid w:val="005F5282"/>
    <w:rsid w:val="005F533C"/>
    <w:rsid w:val="005F539C"/>
    <w:rsid w:val="005F53F0"/>
    <w:rsid w:val="005F543D"/>
    <w:rsid w:val="005F549A"/>
    <w:rsid w:val="005F5711"/>
    <w:rsid w:val="005F5719"/>
    <w:rsid w:val="005F5761"/>
    <w:rsid w:val="005F58B4"/>
    <w:rsid w:val="005F5A30"/>
    <w:rsid w:val="005F5ACD"/>
    <w:rsid w:val="005F5C1C"/>
    <w:rsid w:val="005F5C54"/>
    <w:rsid w:val="005F5D9B"/>
    <w:rsid w:val="005F5EBC"/>
    <w:rsid w:val="005F5F6A"/>
    <w:rsid w:val="005F601F"/>
    <w:rsid w:val="005F6214"/>
    <w:rsid w:val="005F6240"/>
    <w:rsid w:val="005F6485"/>
    <w:rsid w:val="005F6499"/>
    <w:rsid w:val="005F64BC"/>
    <w:rsid w:val="005F6741"/>
    <w:rsid w:val="005F68DF"/>
    <w:rsid w:val="005F69CA"/>
    <w:rsid w:val="005F6A1D"/>
    <w:rsid w:val="005F6ABE"/>
    <w:rsid w:val="005F6AD1"/>
    <w:rsid w:val="005F6F23"/>
    <w:rsid w:val="005F6F29"/>
    <w:rsid w:val="005F734E"/>
    <w:rsid w:val="005F77AE"/>
    <w:rsid w:val="005F78F6"/>
    <w:rsid w:val="005F7C5F"/>
    <w:rsid w:val="005F7E3E"/>
    <w:rsid w:val="005F7E71"/>
    <w:rsid w:val="00600298"/>
    <w:rsid w:val="006002DF"/>
    <w:rsid w:val="00600328"/>
    <w:rsid w:val="00600340"/>
    <w:rsid w:val="00600444"/>
    <w:rsid w:val="0060054A"/>
    <w:rsid w:val="00600718"/>
    <w:rsid w:val="0060094E"/>
    <w:rsid w:val="00600FB5"/>
    <w:rsid w:val="00600FE4"/>
    <w:rsid w:val="006010B3"/>
    <w:rsid w:val="006012C4"/>
    <w:rsid w:val="006012D9"/>
    <w:rsid w:val="006014D9"/>
    <w:rsid w:val="006016F5"/>
    <w:rsid w:val="00601738"/>
    <w:rsid w:val="00601870"/>
    <w:rsid w:val="00601884"/>
    <w:rsid w:val="006019B3"/>
    <w:rsid w:val="00601AA1"/>
    <w:rsid w:val="00601B17"/>
    <w:rsid w:val="00601BBA"/>
    <w:rsid w:val="00601C7A"/>
    <w:rsid w:val="00601E37"/>
    <w:rsid w:val="00601EF1"/>
    <w:rsid w:val="00601F54"/>
    <w:rsid w:val="00601F9A"/>
    <w:rsid w:val="0060204A"/>
    <w:rsid w:val="00602197"/>
    <w:rsid w:val="00602321"/>
    <w:rsid w:val="00602698"/>
    <w:rsid w:val="00602837"/>
    <w:rsid w:val="006028D5"/>
    <w:rsid w:val="00602984"/>
    <w:rsid w:val="006029C3"/>
    <w:rsid w:val="00602D17"/>
    <w:rsid w:val="00602E5D"/>
    <w:rsid w:val="0060308C"/>
    <w:rsid w:val="0060310A"/>
    <w:rsid w:val="0060326A"/>
    <w:rsid w:val="00603522"/>
    <w:rsid w:val="006035B2"/>
    <w:rsid w:val="006036B6"/>
    <w:rsid w:val="00603789"/>
    <w:rsid w:val="00603AC0"/>
    <w:rsid w:val="00603BC5"/>
    <w:rsid w:val="00603DDB"/>
    <w:rsid w:val="00603E3B"/>
    <w:rsid w:val="00603EED"/>
    <w:rsid w:val="00604059"/>
    <w:rsid w:val="006047B2"/>
    <w:rsid w:val="006047C5"/>
    <w:rsid w:val="00604942"/>
    <w:rsid w:val="00604980"/>
    <w:rsid w:val="00604A81"/>
    <w:rsid w:val="00604CBF"/>
    <w:rsid w:val="00604F28"/>
    <w:rsid w:val="00604FAC"/>
    <w:rsid w:val="0060506D"/>
    <w:rsid w:val="006050EE"/>
    <w:rsid w:val="00605150"/>
    <w:rsid w:val="0060517C"/>
    <w:rsid w:val="00605183"/>
    <w:rsid w:val="00605215"/>
    <w:rsid w:val="0060523D"/>
    <w:rsid w:val="00605404"/>
    <w:rsid w:val="006055BD"/>
    <w:rsid w:val="0060569A"/>
    <w:rsid w:val="00605732"/>
    <w:rsid w:val="00605905"/>
    <w:rsid w:val="00605971"/>
    <w:rsid w:val="00605A26"/>
    <w:rsid w:val="00605AA0"/>
    <w:rsid w:val="00605CB1"/>
    <w:rsid w:val="00605CBA"/>
    <w:rsid w:val="00605D0F"/>
    <w:rsid w:val="00605FBA"/>
    <w:rsid w:val="006061A9"/>
    <w:rsid w:val="00606219"/>
    <w:rsid w:val="0060621B"/>
    <w:rsid w:val="00606250"/>
    <w:rsid w:val="0060669D"/>
    <w:rsid w:val="006066E7"/>
    <w:rsid w:val="0060680E"/>
    <w:rsid w:val="0060683C"/>
    <w:rsid w:val="00606A75"/>
    <w:rsid w:val="00606B0C"/>
    <w:rsid w:val="00606B28"/>
    <w:rsid w:val="00606BC8"/>
    <w:rsid w:val="00606DD7"/>
    <w:rsid w:val="00606E30"/>
    <w:rsid w:val="006070E4"/>
    <w:rsid w:val="006070EE"/>
    <w:rsid w:val="0060714B"/>
    <w:rsid w:val="006072F7"/>
    <w:rsid w:val="00607357"/>
    <w:rsid w:val="006073ED"/>
    <w:rsid w:val="00607487"/>
    <w:rsid w:val="00607666"/>
    <w:rsid w:val="006077E4"/>
    <w:rsid w:val="00607804"/>
    <w:rsid w:val="006078AB"/>
    <w:rsid w:val="006079F0"/>
    <w:rsid w:val="00607D94"/>
    <w:rsid w:val="00607DE2"/>
    <w:rsid w:val="00607E85"/>
    <w:rsid w:val="00607E89"/>
    <w:rsid w:val="00607F9D"/>
    <w:rsid w:val="0061031F"/>
    <w:rsid w:val="006106E9"/>
    <w:rsid w:val="0061073F"/>
    <w:rsid w:val="006108EF"/>
    <w:rsid w:val="00610B82"/>
    <w:rsid w:val="00610B8C"/>
    <w:rsid w:val="00610BCB"/>
    <w:rsid w:val="00610D0D"/>
    <w:rsid w:val="00610EA0"/>
    <w:rsid w:val="00611457"/>
    <w:rsid w:val="00611497"/>
    <w:rsid w:val="00611573"/>
    <w:rsid w:val="00611596"/>
    <w:rsid w:val="006118D7"/>
    <w:rsid w:val="00611CA3"/>
    <w:rsid w:val="00611D04"/>
    <w:rsid w:val="00611D64"/>
    <w:rsid w:val="00611F5C"/>
    <w:rsid w:val="00612007"/>
    <w:rsid w:val="0061201C"/>
    <w:rsid w:val="006121CE"/>
    <w:rsid w:val="00612231"/>
    <w:rsid w:val="00612345"/>
    <w:rsid w:val="00612556"/>
    <w:rsid w:val="00612653"/>
    <w:rsid w:val="0061269C"/>
    <w:rsid w:val="006127F2"/>
    <w:rsid w:val="006128E2"/>
    <w:rsid w:val="006128FC"/>
    <w:rsid w:val="006129A4"/>
    <w:rsid w:val="006129E0"/>
    <w:rsid w:val="00612A98"/>
    <w:rsid w:val="00612C8F"/>
    <w:rsid w:val="00612DB3"/>
    <w:rsid w:val="00612E5A"/>
    <w:rsid w:val="00612EB9"/>
    <w:rsid w:val="00612FBF"/>
    <w:rsid w:val="00613118"/>
    <w:rsid w:val="006132E0"/>
    <w:rsid w:val="006133B9"/>
    <w:rsid w:val="0061343D"/>
    <w:rsid w:val="00613574"/>
    <w:rsid w:val="006136E2"/>
    <w:rsid w:val="00613777"/>
    <w:rsid w:val="00613876"/>
    <w:rsid w:val="006139C3"/>
    <w:rsid w:val="00613CFE"/>
    <w:rsid w:val="00613DC4"/>
    <w:rsid w:val="006140E5"/>
    <w:rsid w:val="006142F4"/>
    <w:rsid w:val="0061436D"/>
    <w:rsid w:val="00614586"/>
    <w:rsid w:val="00614609"/>
    <w:rsid w:val="006147BE"/>
    <w:rsid w:val="0061484D"/>
    <w:rsid w:val="006148E2"/>
    <w:rsid w:val="00614B09"/>
    <w:rsid w:val="00614BB0"/>
    <w:rsid w:val="00614F0A"/>
    <w:rsid w:val="00614FB3"/>
    <w:rsid w:val="00615114"/>
    <w:rsid w:val="00615170"/>
    <w:rsid w:val="006151CD"/>
    <w:rsid w:val="00615295"/>
    <w:rsid w:val="0061540A"/>
    <w:rsid w:val="0061544B"/>
    <w:rsid w:val="00615451"/>
    <w:rsid w:val="0061549D"/>
    <w:rsid w:val="0061557C"/>
    <w:rsid w:val="00615923"/>
    <w:rsid w:val="006159F4"/>
    <w:rsid w:val="00615A8A"/>
    <w:rsid w:val="00615A8B"/>
    <w:rsid w:val="00615AA5"/>
    <w:rsid w:val="00615AC2"/>
    <w:rsid w:val="00615AFB"/>
    <w:rsid w:val="00615C48"/>
    <w:rsid w:val="00615CF1"/>
    <w:rsid w:val="00615DB0"/>
    <w:rsid w:val="00615E89"/>
    <w:rsid w:val="00615FE1"/>
    <w:rsid w:val="0061606A"/>
    <w:rsid w:val="00616095"/>
    <w:rsid w:val="0061609A"/>
    <w:rsid w:val="00616160"/>
    <w:rsid w:val="006162F8"/>
    <w:rsid w:val="006163FF"/>
    <w:rsid w:val="00616472"/>
    <w:rsid w:val="006165BF"/>
    <w:rsid w:val="006167F7"/>
    <w:rsid w:val="00616B1D"/>
    <w:rsid w:val="00616BE1"/>
    <w:rsid w:val="00616C18"/>
    <w:rsid w:val="00616C35"/>
    <w:rsid w:val="00616C5C"/>
    <w:rsid w:val="00616CCE"/>
    <w:rsid w:val="00616E90"/>
    <w:rsid w:val="00616F60"/>
    <w:rsid w:val="00617059"/>
    <w:rsid w:val="00617129"/>
    <w:rsid w:val="0061723B"/>
    <w:rsid w:val="006172AD"/>
    <w:rsid w:val="0061735B"/>
    <w:rsid w:val="006174C5"/>
    <w:rsid w:val="0061755F"/>
    <w:rsid w:val="0061759F"/>
    <w:rsid w:val="00617770"/>
    <w:rsid w:val="006178EE"/>
    <w:rsid w:val="00617902"/>
    <w:rsid w:val="00617935"/>
    <w:rsid w:val="00617A24"/>
    <w:rsid w:val="00617A2C"/>
    <w:rsid w:val="00620129"/>
    <w:rsid w:val="006201C9"/>
    <w:rsid w:val="006201D0"/>
    <w:rsid w:val="006201F6"/>
    <w:rsid w:val="006203BD"/>
    <w:rsid w:val="0062045A"/>
    <w:rsid w:val="00620466"/>
    <w:rsid w:val="00620489"/>
    <w:rsid w:val="00620573"/>
    <w:rsid w:val="0062061A"/>
    <w:rsid w:val="006207F8"/>
    <w:rsid w:val="00620A60"/>
    <w:rsid w:val="00620A71"/>
    <w:rsid w:val="00620B12"/>
    <w:rsid w:val="00620BB9"/>
    <w:rsid w:val="00620D7B"/>
    <w:rsid w:val="00620DCF"/>
    <w:rsid w:val="00620EA9"/>
    <w:rsid w:val="00620F6F"/>
    <w:rsid w:val="006211D0"/>
    <w:rsid w:val="0062120C"/>
    <w:rsid w:val="00621413"/>
    <w:rsid w:val="00621669"/>
    <w:rsid w:val="00621725"/>
    <w:rsid w:val="0062179A"/>
    <w:rsid w:val="00621826"/>
    <w:rsid w:val="006218C6"/>
    <w:rsid w:val="00621903"/>
    <w:rsid w:val="00621BAE"/>
    <w:rsid w:val="00621C3F"/>
    <w:rsid w:val="00621C93"/>
    <w:rsid w:val="0062207F"/>
    <w:rsid w:val="00622163"/>
    <w:rsid w:val="00622185"/>
    <w:rsid w:val="0062236D"/>
    <w:rsid w:val="006224DB"/>
    <w:rsid w:val="006224FF"/>
    <w:rsid w:val="006225EE"/>
    <w:rsid w:val="0062266F"/>
    <w:rsid w:val="00622761"/>
    <w:rsid w:val="0062278B"/>
    <w:rsid w:val="0062280B"/>
    <w:rsid w:val="00622BDA"/>
    <w:rsid w:val="00622BFC"/>
    <w:rsid w:val="00622D29"/>
    <w:rsid w:val="006230CA"/>
    <w:rsid w:val="0062319F"/>
    <w:rsid w:val="006232F4"/>
    <w:rsid w:val="00623377"/>
    <w:rsid w:val="00623482"/>
    <w:rsid w:val="00623731"/>
    <w:rsid w:val="006238D9"/>
    <w:rsid w:val="00623916"/>
    <w:rsid w:val="0062398D"/>
    <w:rsid w:val="00623A38"/>
    <w:rsid w:val="00623A3B"/>
    <w:rsid w:val="00623B09"/>
    <w:rsid w:val="00623BC8"/>
    <w:rsid w:val="00623ED3"/>
    <w:rsid w:val="00624520"/>
    <w:rsid w:val="006246AD"/>
    <w:rsid w:val="00624719"/>
    <w:rsid w:val="00624724"/>
    <w:rsid w:val="00624862"/>
    <w:rsid w:val="0062498A"/>
    <w:rsid w:val="006249A8"/>
    <w:rsid w:val="006249C9"/>
    <w:rsid w:val="00624A96"/>
    <w:rsid w:val="00624B41"/>
    <w:rsid w:val="00624EDE"/>
    <w:rsid w:val="00624F69"/>
    <w:rsid w:val="00624F9D"/>
    <w:rsid w:val="00625262"/>
    <w:rsid w:val="00625699"/>
    <w:rsid w:val="006256C9"/>
    <w:rsid w:val="0062575F"/>
    <w:rsid w:val="0062593B"/>
    <w:rsid w:val="00625B64"/>
    <w:rsid w:val="00625D46"/>
    <w:rsid w:val="006261B7"/>
    <w:rsid w:val="00626207"/>
    <w:rsid w:val="0062620D"/>
    <w:rsid w:val="0062637A"/>
    <w:rsid w:val="00626501"/>
    <w:rsid w:val="006266BF"/>
    <w:rsid w:val="00626758"/>
    <w:rsid w:val="006268E8"/>
    <w:rsid w:val="00626923"/>
    <w:rsid w:val="0062692B"/>
    <w:rsid w:val="00626996"/>
    <w:rsid w:val="00626AFC"/>
    <w:rsid w:val="00626C75"/>
    <w:rsid w:val="00626CA6"/>
    <w:rsid w:val="00626DB7"/>
    <w:rsid w:val="00626E24"/>
    <w:rsid w:val="00626EDA"/>
    <w:rsid w:val="00626F9A"/>
    <w:rsid w:val="00627069"/>
    <w:rsid w:val="006270A1"/>
    <w:rsid w:val="00627149"/>
    <w:rsid w:val="0062715C"/>
    <w:rsid w:val="0062727E"/>
    <w:rsid w:val="0062733F"/>
    <w:rsid w:val="0062772F"/>
    <w:rsid w:val="00627783"/>
    <w:rsid w:val="006277CE"/>
    <w:rsid w:val="006279C2"/>
    <w:rsid w:val="00627C68"/>
    <w:rsid w:val="00627E8E"/>
    <w:rsid w:val="00627EF3"/>
    <w:rsid w:val="00627F1C"/>
    <w:rsid w:val="006301DE"/>
    <w:rsid w:val="00630328"/>
    <w:rsid w:val="0063034F"/>
    <w:rsid w:val="00630386"/>
    <w:rsid w:val="00630445"/>
    <w:rsid w:val="00630483"/>
    <w:rsid w:val="0063054B"/>
    <w:rsid w:val="00630605"/>
    <w:rsid w:val="006306B0"/>
    <w:rsid w:val="0063071A"/>
    <w:rsid w:val="00630744"/>
    <w:rsid w:val="006307F5"/>
    <w:rsid w:val="00630810"/>
    <w:rsid w:val="00630979"/>
    <w:rsid w:val="006309A9"/>
    <w:rsid w:val="00630ABF"/>
    <w:rsid w:val="00630F9A"/>
    <w:rsid w:val="0063115F"/>
    <w:rsid w:val="00631203"/>
    <w:rsid w:val="00631290"/>
    <w:rsid w:val="006313BE"/>
    <w:rsid w:val="006313CF"/>
    <w:rsid w:val="006314CD"/>
    <w:rsid w:val="00631609"/>
    <w:rsid w:val="0063169F"/>
    <w:rsid w:val="006316D6"/>
    <w:rsid w:val="00631768"/>
    <w:rsid w:val="006317FA"/>
    <w:rsid w:val="006319F4"/>
    <w:rsid w:val="00631AB7"/>
    <w:rsid w:val="00631BC5"/>
    <w:rsid w:val="00631BE4"/>
    <w:rsid w:val="00631EC2"/>
    <w:rsid w:val="0063203A"/>
    <w:rsid w:val="0063203E"/>
    <w:rsid w:val="00632066"/>
    <w:rsid w:val="0063213D"/>
    <w:rsid w:val="006321E8"/>
    <w:rsid w:val="00632277"/>
    <w:rsid w:val="00632291"/>
    <w:rsid w:val="006323F1"/>
    <w:rsid w:val="00632404"/>
    <w:rsid w:val="0063241C"/>
    <w:rsid w:val="006325E9"/>
    <w:rsid w:val="0063260B"/>
    <w:rsid w:val="00632639"/>
    <w:rsid w:val="006327BA"/>
    <w:rsid w:val="00632889"/>
    <w:rsid w:val="006328B7"/>
    <w:rsid w:val="0063294E"/>
    <w:rsid w:val="00632955"/>
    <w:rsid w:val="0063295E"/>
    <w:rsid w:val="00632D63"/>
    <w:rsid w:val="00632DE2"/>
    <w:rsid w:val="00632E4E"/>
    <w:rsid w:val="00632EC8"/>
    <w:rsid w:val="00632F8B"/>
    <w:rsid w:val="006330CD"/>
    <w:rsid w:val="006333D3"/>
    <w:rsid w:val="0063342E"/>
    <w:rsid w:val="006334CD"/>
    <w:rsid w:val="006334D9"/>
    <w:rsid w:val="0063359C"/>
    <w:rsid w:val="00633678"/>
    <w:rsid w:val="006336B5"/>
    <w:rsid w:val="00633A99"/>
    <w:rsid w:val="00633F16"/>
    <w:rsid w:val="006341A5"/>
    <w:rsid w:val="0063432D"/>
    <w:rsid w:val="00634386"/>
    <w:rsid w:val="00634397"/>
    <w:rsid w:val="006343C6"/>
    <w:rsid w:val="006343EA"/>
    <w:rsid w:val="00634BAF"/>
    <w:rsid w:val="00634D8C"/>
    <w:rsid w:val="00634DB5"/>
    <w:rsid w:val="00634DDE"/>
    <w:rsid w:val="00634F5A"/>
    <w:rsid w:val="00634F76"/>
    <w:rsid w:val="00634F84"/>
    <w:rsid w:val="00635188"/>
    <w:rsid w:val="00635418"/>
    <w:rsid w:val="0063542E"/>
    <w:rsid w:val="0063543D"/>
    <w:rsid w:val="00635620"/>
    <w:rsid w:val="0063562B"/>
    <w:rsid w:val="0063567A"/>
    <w:rsid w:val="00635760"/>
    <w:rsid w:val="00635801"/>
    <w:rsid w:val="00635BE8"/>
    <w:rsid w:val="00635CC5"/>
    <w:rsid w:val="00635CED"/>
    <w:rsid w:val="00635F5D"/>
    <w:rsid w:val="00635FA3"/>
    <w:rsid w:val="0063607B"/>
    <w:rsid w:val="00636129"/>
    <w:rsid w:val="006361A6"/>
    <w:rsid w:val="006362B2"/>
    <w:rsid w:val="006362EC"/>
    <w:rsid w:val="00636468"/>
    <w:rsid w:val="006364C3"/>
    <w:rsid w:val="006364F3"/>
    <w:rsid w:val="0063650D"/>
    <w:rsid w:val="0063682B"/>
    <w:rsid w:val="006368D2"/>
    <w:rsid w:val="00636904"/>
    <w:rsid w:val="006369CA"/>
    <w:rsid w:val="00636C19"/>
    <w:rsid w:val="00636CD1"/>
    <w:rsid w:val="00636CDD"/>
    <w:rsid w:val="00636D96"/>
    <w:rsid w:val="00636DC8"/>
    <w:rsid w:val="00636E13"/>
    <w:rsid w:val="00636FCB"/>
    <w:rsid w:val="00637131"/>
    <w:rsid w:val="0063714D"/>
    <w:rsid w:val="00637336"/>
    <w:rsid w:val="00637380"/>
    <w:rsid w:val="00637413"/>
    <w:rsid w:val="00637416"/>
    <w:rsid w:val="0063758F"/>
    <w:rsid w:val="00637722"/>
    <w:rsid w:val="0063783A"/>
    <w:rsid w:val="0063798D"/>
    <w:rsid w:val="00637A52"/>
    <w:rsid w:val="00637A6E"/>
    <w:rsid w:val="00637C90"/>
    <w:rsid w:val="00640069"/>
    <w:rsid w:val="006400E3"/>
    <w:rsid w:val="0064013A"/>
    <w:rsid w:val="00640195"/>
    <w:rsid w:val="0064024C"/>
    <w:rsid w:val="0064059E"/>
    <w:rsid w:val="006405A9"/>
    <w:rsid w:val="006406F7"/>
    <w:rsid w:val="00640733"/>
    <w:rsid w:val="006409E0"/>
    <w:rsid w:val="00640A24"/>
    <w:rsid w:val="00640AAC"/>
    <w:rsid w:val="00640D23"/>
    <w:rsid w:val="00640E5D"/>
    <w:rsid w:val="00640E97"/>
    <w:rsid w:val="00640EE7"/>
    <w:rsid w:val="00640F42"/>
    <w:rsid w:val="00640FA6"/>
    <w:rsid w:val="00641048"/>
    <w:rsid w:val="00641197"/>
    <w:rsid w:val="006411C9"/>
    <w:rsid w:val="006412F7"/>
    <w:rsid w:val="00641311"/>
    <w:rsid w:val="00641495"/>
    <w:rsid w:val="00641508"/>
    <w:rsid w:val="00641693"/>
    <w:rsid w:val="006419F5"/>
    <w:rsid w:val="00641A17"/>
    <w:rsid w:val="00641A20"/>
    <w:rsid w:val="00641A4A"/>
    <w:rsid w:val="00641C07"/>
    <w:rsid w:val="00641FDD"/>
    <w:rsid w:val="00642098"/>
    <w:rsid w:val="00642243"/>
    <w:rsid w:val="00642591"/>
    <w:rsid w:val="00642640"/>
    <w:rsid w:val="00642CF4"/>
    <w:rsid w:val="00642D49"/>
    <w:rsid w:val="00642E13"/>
    <w:rsid w:val="00642EBC"/>
    <w:rsid w:val="006432E6"/>
    <w:rsid w:val="0064354E"/>
    <w:rsid w:val="006435CD"/>
    <w:rsid w:val="006436DE"/>
    <w:rsid w:val="0064377A"/>
    <w:rsid w:val="006438FD"/>
    <w:rsid w:val="00643C54"/>
    <w:rsid w:val="00643C87"/>
    <w:rsid w:val="00643D56"/>
    <w:rsid w:val="00643EA5"/>
    <w:rsid w:val="00643FC5"/>
    <w:rsid w:val="006443BB"/>
    <w:rsid w:val="0064469C"/>
    <w:rsid w:val="006446A8"/>
    <w:rsid w:val="00644768"/>
    <w:rsid w:val="00644C06"/>
    <w:rsid w:val="00644CDC"/>
    <w:rsid w:val="00644D11"/>
    <w:rsid w:val="00644EE1"/>
    <w:rsid w:val="00644EE3"/>
    <w:rsid w:val="0064502D"/>
    <w:rsid w:val="00645185"/>
    <w:rsid w:val="006451F3"/>
    <w:rsid w:val="0064546F"/>
    <w:rsid w:val="006454AA"/>
    <w:rsid w:val="00645596"/>
    <w:rsid w:val="0064589B"/>
    <w:rsid w:val="00645A50"/>
    <w:rsid w:val="00645BC7"/>
    <w:rsid w:val="00645C97"/>
    <w:rsid w:val="00645CAD"/>
    <w:rsid w:val="00645E25"/>
    <w:rsid w:val="00645F0D"/>
    <w:rsid w:val="00645F78"/>
    <w:rsid w:val="00646004"/>
    <w:rsid w:val="006460B3"/>
    <w:rsid w:val="006462F1"/>
    <w:rsid w:val="006463D9"/>
    <w:rsid w:val="006463DB"/>
    <w:rsid w:val="006463F8"/>
    <w:rsid w:val="00646485"/>
    <w:rsid w:val="006464A1"/>
    <w:rsid w:val="0064685C"/>
    <w:rsid w:val="0064696B"/>
    <w:rsid w:val="0064697F"/>
    <w:rsid w:val="006469C6"/>
    <w:rsid w:val="00646B4F"/>
    <w:rsid w:val="00646C0E"/>
    <w:rsid w:val="00646CCF"/>
    <w:rsid w:val="00646E12"/>
    <w:rsid w:val="00646E13"/>
    <w:rsid w:val="00646FF7"/>
    <w:rsid w:val="00647052"/>
    <w:rsid w:val="006472BF"/>
    <w:rsid w:val="006472CE"/>
    <w:rsid w:val="00647308"/>
    <w:rsid w:val="006474B3"/>
    <w:rsid w:val="00647535"/>
    <w:rsid w:val="0064755D"/>
    <w:rsid w:val="0064773B"/>
    <w:rsid w:val="006477C7"/>
    <w:rsid w:val="00647927"/>
    <w:rsid w:val="00647A15"/>
    <w:rsid w:val="00647ABE"/>
    <w:rsid w:val="00647AEB"/>
    <w:rsid w:val="00647B0A"/>
    <w:rsid w:val="00647E23"/>
    <w:rsid w:val="0065003F"/>
    <w:rsid w:val="00650220"/>
    <w:rsid w:val="006506A1"/>
    <w:rsid w:val="006506A4"/>
    <w:rsid w:val="00650797"/>
    <w:rsid w:val="006507CB"/>
    <w:rsid w:val="006509FD"/>
    <w:rsid w:val="00650A31"/>
    <w:rsid w:val="00650ADD"/>
    <w:rsid w:val="00650B21"/>
    <w:rsid w:val="00650BC6"/>
    <w:rsid w:val="00650F3E"/>
    <w:rsid w:val="00650FAF"/>
    <w:rsid w:val="006510C2"/>
    <w:rsid w:val="006511E1"/>
    <w:rsid w:val="0065123C"/>
    <w:rsid w:val="006512DB"/>
    <w:rsid w:val="00651333"/>
    <w:rsid w:val="006514C4"/>
    <w:rsid w:val="00651630"/>
    <w:rsid w:val="0065163A"/>
    <w:rsid w:val="0065177C"/>
    <w:rsid w:val="00651980"/>
    <w:rsid w:val="00651AAF"/>
    <w:rsid w:val="00651BE0"/>
    <w:rsid w:val="00651C2E"/>
    <w:rsid w:val="00651D23"/>
    <w:rsid w:val="00651D2E"/>
    <w:rsid w:val="00651FA2"/>
    <w:rsid w:val="0065216D"/>
    <w:rsid w:val="0065217D"/>
    <w:rsid w:val="0065238E"/>
    <w:rsid w:val="00652406"/>
    <w:rsid w:val="006525C8"/>
    <w:rsid w:val="006525D1"/>
    <w:rsid w:val="00652621"/>
    <w:rsid w:val="0065279B"/>
    <w:rsid w:val="006528BF"/>
    <w:rsid w:val="00652A63"/>
    <w:rsid w:val="00652F86"/>
    <w:rsid w:val="00652FB7"/>
    <w:rsid w:val="00653229"/>
    <w:rsid w:val="00653325"/>
    <w:rsid w:val="00653392"/>
    <w:rsid w:val="0065346B"/>
    <w:rsid w:val="0065374A"/>
    <w:rsid w:val="006537B5"/>
    <w:rsid w:val="00653891"/>
    <w:rsid w:val="00653997"/>
    <w:rsid w:val="00653C85"/>
    <w:rsid w:val="00653E6C"/>
    <w:rsid w:val="00654049"/>
    <w:rsid w:val="006540FB"/>
    <w:rsid w:val="0065427A"/>
    <w:rsid w:val="006545C9"/>
    <w:rsid w:val="006547F0"/>
    <w:rsid w:val="0065485F"/>
    <w:rsid w:val="00654A8B"/>
    <w:rsid w:val="00654C35"/>
    <w:rsid w:val="00654D40"/>
    <w:rsid w:val="00654E46"/>
    <w:rsid w:val="00654E4D"/>
    <w:rsid w:val="0065502A"/>
    <w:rsid w:val="00655095"/>
    <w:rsid w:val="006551F4"/>
    <w:rsid w:val="00655299"/>
    <w:rsid w:val="006553DA"/>
    <w:rsid w:val="00655550"/>
    <w:rsid w:val="00655573"/>
    <w:rsid w:val="006555E6"/>
    <w:rsid w:val="006555F7"/>
    <w:rsid w:val="00655A2E"/>
    <w:rsid w:val="00655C46"/>
    <w:rsid w:val="00655C8A"/>
    <w:rsid w:val="00655D3C"/>
    <w:rsid w:val="00655ED5"/>
    <w:rsid w:val="0065617D"/>
    <w:rsid w:val="00656222"/>
    <w:rsid w:val="00656270"/>
    <w:rsid w:val="006563FD"/>
    <w:rsid w:val="006564F5"/>
    <w:rsid w:val="0065656F"/>
    <w:rsid w:val="00656629"/>
    <w:rsid w:val="0065666E"/>
    <w:rsid w:val="00656690"/>
    <w:rsid w:val="0065676F"/>
    <w:rsid w:val="00656990"/>
    <w:rsid w:val="00656A51"/>
    <w:rsid w:val="00656AB7"/>
    <w:rsid w:val="00656B5F"/>
    <w:rsid w:val="00656B86"/>
    <w:rsid w:val="00656C56"/>
    <w:rsid w:val="00656CCA"/>
    <w:rsid w:val="00656DB0"/>
    <w:rsid w:val="00657021"/>
    <w:rsid w:val="00657275"/>
    <w:rsid w:val="0065744C"/>
    <w:rsid w:val="00657470"/>
    <w:rsid w:val="00657563"/>
    <w:rsid w:val="006576FB"/>
    <w:rsid w:val="0065780E"/>
    <w:rsid w:val="006579CC"/>
    <w:rsid w:val="00657D85"/>
    <w:rsid w:val="00657EA8"/>
    <w:rsid w:val="00657FA4"/>
    <w:rsid w:val="006601E5"/>
    <w:rsid w:val="00660349"/>
    <w:rsid w:val="00660479"/>
    <w:rsid w:val="00660496"/>
    <w:rsid w:val="006604D6"/>
    <w:rsid w:val="0066057C"/>
    <w:rsid w:val="00660655"/>
    <w:rsid w:val="006607D8"/>
    <w:rsid w:val="0066090D"/>
    <w:rsid w:val="00660AC6"/>
    <w:rsid w:val="00660D27"/>
    <w:rsid w:val="006610E3"/>
    <w:rsid w:val="006610F6"/>
    <w:rsid w:val="006615F0"/>
    <w:rsid w:val="00661617"/>
    <w:rsid w:val="00661671"/>
    <w:rsid w:val="00661740"/>
    <w:rsid w:val="006617FF"/>
    <w:rsid w:val="0066182B"/>
    <w:rsid w:val="006618CF"/>
    <w:rsid w:val="006618EE"/>
    <w:rsid w:val="00661A96"/>
    <w:rsid w:val="00661B83"/>
    <w:rsid w:val="00661C0F"/>
    <w:rsid w:val="00661FAC"/>
    <w:rsid w:val="00661FCD"/>
    <w:rsid w:val="0066200F"/>
    <w:rsid w:val="00662029"/>
    <w:rsid w:val="006620D6"/>
    <w:rsid w:val="006620E3"/>
    <w:rsid w:val="00662122"/>
    <w:rsid w:val="006621EF"/>
    <w:rsid w:val="00662401"/>
    <w:rsid w:val="00662410"/>
    <w:rsid w:val="0066242B"/>
    <w:rsid w:val="006625C4"/>
    <w:rsid w:val="00662632"/>
    <w:rsid w:val="0066272B"/>
    <w:rsid w:val="00662A24"/>
    <w:rsid w:val="00662A43"/>
    <w:rsid w:val="00662A93"/>
    <w:rsid w:val="00662A96"/>
    <w:rsid w:val="00662AA9"/>
    <w:rsid w:val="00662C82"/>
    <w:rsid w:val="00662D00"/>
    <w:rsid w:val="00662D97"/>
    <w:rsid w:val="0066302A"/>
    <w:rsid w:val="00663161"/>
    <w:rsid w:val="00663171"/>
    <w:rsid w:val="0066325A"/>
    <w:rsid w:val="00663384"/>
    <w:rsid w:val="006633C2"/>
    <w:rsid w:val="006635A9"/>
    <w:rsid w:val="006636AE"/>
    <w:rsid w:val="0066375E"/>
    <w:rsid w:val="006637ED"/>
    <w:rsid w:val="00663F13"/>
    <w:rsid w:val="00663F99"/>
    <w:rsid w:val="006641CE"/>
    <w:rsid w:val="006641FB"/>
    <w:rsid w:val="00664306"/>
    <w:rsid w:val="0066433F"/>
    <w:rsid w:val="00664353"/>
    <w:rsid w:val="006643CA"/>
    <w:rsid w:val="0066445D"/>
    <w:rsid w:val="00664465"/>
    <w:rsid w:val="006646CB"/>
    <w:rsid w:val="006647AC"/>
    <w:rsid w:val="00664879"/>
    <w:rsid w:val="006649AD"/>
    <w:rsid w:val="00664B69"/>
    <w:rsid w:val="006651A2"/>
    <w:rsid w:val="00665285"/>
    <w:rsid w:val="006652C2"/>
    <w:rsid w:val="00665414"/>
    <w:rsid w:val="006655A4"/>
    <w:rsid w:val="0066562E"/>
    <w:rsid w:val="006656AF"/>
    <w:rsid w:val="0066591C"/>
    <w:rsid w:val="00665C79"/>
    <w:rsid w:val="00665D26"/>
    <w:rsid w:val="00665F36"/>
    <w:rsid w:val="00665F6A"/>
    <w:rsid w:val="0066606E"/>
    <w:rsid w:val="00666086"/>
    <w:rsid w:val="00666240"/>
    <w:rsid w:val="006662C2"/>
    <w:rsid w:val="00666343"/>
    <w:rsid w:val="00666490"/>
    <w:rsid w:val="006666B7"/>
    <w:rsid w:val="00666742"/>
    <w:rsid w:val="006668FC"/>
    <w:rsid w:val="00666B92"/>
    <w:rsid w:val="00666BA9"/>
    <w:rsid w:val="00666C0B"/>
    <w:rsid w:val="00666C62"/>
    <w:rsid w:val="00666CD2"/>
    <w:rsid w:val="00666CD7"/>
    <w:rsid w:val="00666DFA"/>
    <w:rsid w:val="00666E5E"/>
    <w:rsid w:val="00666F12"/>
    <w:rsid w:val="0066715A"/>
    <w:rsid w:val="00667176"/>
    <w:rsid w:val="006671DF"/>
    <w:rsid w:val="00667207"/>
    <w:rsid w:val="006673FC"/>
    <w:rsid w:val="0066740F"/>
    <w:rsid w:val="00667742"/>
    <w:rsid w:val="00667756"/>
    <w:rsid w:val="0066781E"/>
    <w:rsid w:val="0066787A"/>
    <w:rsid w:val="0066797E"/>
    <w:rsid w:val="00667A4B"/>
    <w:rsid w:val="00667B03"/>
    <w:rsid w:val="00667B13"/>
    <w:rsid w:val="00667B3B"/>
    <w:rsid w:val="00667B80"/>
    <w:rsid w:val="00667DAC"/>
    <w:rsid w:val="00667FD9"/>
    <w:rsid w:val="00670174"/>
    <w:rsid w:val="00670222"/>
    <w:rsid w:val="0067032F"/>
    <w:rsid w:val="00670465"/>
    <w:rsid w:val="00670510"/>
    <w:rsid w:val="00670839"/>
    <w:rsid w:val="00670B8D"/>
    <w:rsid w:val="00670BE6"/>
    <w:rsid w:val="00670C4B"/>
    <w:rsid w:val="00670D9C"/>
    <w:rsid w:val="00670E8A"/>
    <w:rsid w:val="00670F6B"/>
    <w:rsid w:val="0067105F"/>
    <w:rsid w:val="00671069"/>
    <w:rsid w:val="006710CC"/>
    <w:rsid w:val="006711E6"/>
    <w:rsid w:val="006711F5"/>
    <w:rsid w:val="0067128C"/>
    <w:rsid w:val="00671352"/>
    <w:rsid w:val="006713A5"/>
    <w:rsid w:val="006713AD"/>
    <w:rsid w:val="0067145B"/>
    <w:rsid w:val="0067159A"/>
    <w:rsid w:val="006715DB"/>
    <w:rsid w:val="0067166C"/>
    <w:rsid w:val="006716AE"/>
    <w:rsid w:val="006716BE"/>
    <w:rsid w:val="006717B9"/>
    <w:rsid w:val="0067190F"/>
    <w:rsid w:val="00671A51"/>
    <w:rsid w:val="00671A88"/>
    <w:rsid w:val="00671AD1"/>
    <w:rsid w:val="00671C7B"/>
    <w:rsid w:val="00671DBE"/>
    <w:rsid w:val="00671DEF"/>
    <w:rsid w:val="00671DFD"/>
    <w:rsid w:val="00671E77"/>
    <w:rsid w:val="006722F4"/>
    <w:rsid w:val="00672316"/>
    <w:rsid w:val="00672452"/>
    <w:rsid w:val="006724F0"/>
    <w:rsid w:val="006726C1"/>
    <w:rsid w:val="00672A5E"/>
    <w:rsid w:val="00672AEF"/>
    <w:rsid w:val="00672CF1"/>
    <w:rsid w:val="006730BD"/>
    <w:rsid w:val="0067312F"/>
    <w:rsid w:val="006732B2"/>
    <w:rsid w:val="00673302"/>
    <w:rsid w:val="0067357F"/>
    <w:rsid w:val="00673658"/>
    <w:rsid w:val="00673903"/>
    <w:rsid w:val="00673B2F"/>
    <w:rsid w:val="00673BFC"/>
    <w:rsid w:val="00673CA4"/>
    <w:rsid w:val="0067402D"/>
    <w:rsid w:val="0067402F"/>
    <w:rsid w:val="0067417D"/>
    <w:rsid w:val="006741E5"/>
    <w:rsid w:val="006742BE"/>
    <w:rsid w:val="00674398"/>
    <w:rsid w:val="006743EF"/>
    <w:rsid w:val="00674414"/>
    <w:rsid w:val="0067458D"/>
    <w:rsid w:val="00674698"/>
    <w:rsid w:val="006746EF"/>
    <w:rsid w:val="00674A71"/>
    <w:rsid w:val="00674A80"/>
    <w:rsid w:val="00674C58"/>
    <w:rsid w:val="00675032"/>
    <w:rsid w:val="00675067"/>
    <w:rsid w:val="006750C2"/>
    <w:rsid w:val="00675174"/>
    <w:rsid w:val="00675263"/>
    <w:rsid w:val="006752A6"/>
    <w:rsid w:val="0067544C"/>
    <w:rsid w:val="0067559E"/>
    <w:rsid w:val="00675766"/>
    <w:rsid w:val="0067580D"/>
    <w:rsid w:val="0067588F"/>
    <w:rsid w:val="00675A1E"/>
    <w:rsid w:val="00675A9D"/>
    <w:rsid w:val="00675B8D"/>
    <w:rsid w:val="00675B91"/>
    <w:rsid w:val="00675C1A"/>
    <w:rsid w:val="00675C9F"/>
    <w:rsid w:val="00675CF1"/>
    <w:rsid w:val="0067620B"/>
    <w:rsid w:val="0067645F"/>
    <w:rsid w:val="006766AF"/>
    <w:rsid w:val="00676865"/>
    <w:rsid w:val="00676988"/>
    <w:rsid w:val="00676A18"/>
    <w:rsid w:val="00676A54"/>
    <w:rsid w:val="00676ADA"/>
    <w:rsid w:val="00676AED"/>
    <w:rsid w:val="00676B41"/>
    <w:rsid w:val="00676B58"/>
    <w:rsid w:val="00676D99"/>
    <w:rsid w:val="00676E7D"/>
    <w:rsid w:val="00676F58"/>
    <w:rsid w:val="0067717D"/>
    <w:rsid w:val="00677239"/>
    <w:rsid w:val="006772B5"/>
    <w:rsid w:val="00677754"/>
    <w:rsid w:val="006777DF"/>
    <w:rsid w:val="00677A34"/>
    <w:rsid w:val="00677C0A"/>
    <w:rsid w:val="00677CDF"/>
    <w:rsid w:val="00680121"/>
    <w:rsid w:val="0068055E"/>
    <w:rsid w:val="006808A2"/>
    <w:rsid w:val="00680BBF"/>
    <w:rsid w:val="00680C16"/>
    <w:rsid w:val="00680C7E"/>
    <w:rsid w:val="00680DF7"/>
    <w:rsid w:val="00680E09"/>
    <w:rsid w:val="00680EE5"/>
    <w:rsid w:val="006811DC"/>
    <w:rsid w:val="00681379"/>
    <w:rsid w:val="0068140B"/>
    <w:rsid w:val="0068154D"/>
    <w:rsid w:val="00681582"/>
    <w:rsid w:val="006815FF"/>
    <w:rsid w:val="00681643"/>
    <w:rsid w:val="006817CC"/>
    <w:rsid w:val="00681994"/>
    <w:rsid w:val="00681A49"/>
    <w:rsid w:val="00681B5B"/>
    <w:rsid w:val="00681BAB"/>
    <w:rsid w:val="00681C6B"/>
    <w:rsid w:val="00681CD3"/>
    <w:rsid w:val="00681E47"/>
    <w:rsid w:val="00681F9F"/>
    <w:rsid w:val="00681FB8"/>
    <w:rsid w:val="00682096"/>
    <w:rsid w:val="0068214D"/>
    <w:rsid w:val="006825EF"/>
    <w:rsid w:val="0068262C"/>
    <w:rsid w:val="00682739"/>
    <w:rsid w:val="0068278F"/>
    <w:rsid w:val="00682791"/>
    <w:rsid w:val="006827A5"/>
    <w:rsid w:val="00682834"/>
    <w:rsid w:val="006828DF"/>
    <w:rsid w:val="00682BE6"/>
    <w:rsid w:val="00682CFA"/>
    <w:rsid w:val="00682D5F"/>
    <w:rsid w:val="00682E5C"/>
    <w:rsid w:val="0068300C"/>
    <w:rsid w:val="0068306A"/>
    <w:rsid w:val="00683070"/>
    <w:rsid w:val="00683091"/>
    <w:rsid w:val="006831BE"/>
    <w:rsid w:val="00683280"/>
    <w:rsid w:val="0068336D"/>
    <w:rsid w:val="006833D4"/>
    <w:rsid w:val="00683514"/>
    <w:rsid w:val="0068357A"/>
    <w:rsid w:val="00683608"/>
    <w:rsid w:val="006837CF"/>
    <w:rsid w:val="00683946"/>
    <w:rsid w:val="006839F0"/>
    <w:rsid w:val="00683A04"/>
    <w:rsid w:val="00683A30"/>
    <w:rsid w:val="00683BB1"/>
    <w:rsid w:val="00683C62"/>
    <w:rsid w:val="00683D3E"/>
    <w:rsid w:val="00683E5A"/>
    <w:rsid w:val="00684043"/>
    <w:rsid w:val="006840A9"/>
    <w:rsid w:val="006840C0"/>
    <w:rsid w:val="00684131"/>
    <w:rsid w:val="006841E0"/>
    <w:rsid w:val="006841EC"/>
    <w:rsid w:val="00684216"/>
    <w:rsid w:val="0068429E"/>
    <w:rsid w:val="006842D6"/>
    <w:rsid w:val="0068435D"/>
    <w:rsid w:val="00684397"/>
    <w:rsid w:val="00684741"/>
    <w:rsid w:val="0068478B"/>
    <w:rsid w:val="0068482E"/>
    <w:rsid w:val="006849C1"/>
    <w:rsid w:val="006849EE"/>
    <w:rsid w:val="006849F8"/>
    <w:rsid w:val="00684BAE"/>
    <w:rsid w:val="00684BB4"/>
    <w:rsid w:val="00684BBB"/>
    <w:rsid w:val="00684CE4"/>
    <w:rsid w:val="00684D82"/>
    <w:rsid w:val="00684E80"/>
    <w:rsid w:val="00684F70"/>
    <w:rsid w:val="00684F86"/>
    <w:rsid w:val="00685178"/>
    <w:rsid w:val="006851EA"/>
    <w:rsid w:val="00685343"/>
    <w:rsid w:val="00685365"/>
    <w:rsid w:val="006853BB"/>
    <w:rsid w:val="006854E5"/>
    <w:rsid w:val="00685587"/>
    <w:rsid w:val="0068571B"/>
    <w:rsid w:val="00685752"/>
    <w:rsid w:val="0068578B"/>
    <w:rsid w:val="0068593E"/>
    <w:rsid w:val="00685956"/>
    <w:rsid w:val="00685989"/>
    <w:rsid w:val="00685D42"/>
    <w:rsid w:val="00685D6A"/>
    <w:rsid w:val="00685D7B"/>
    <w:rsid w:val="00685E73"/>
    <w:rsid w:val="00685F21"/>
    <w:rsid w:val="00685F85"/>
    <w:rsid w:val="00685F99"/>
    <w:rsid w:val="00686227"/>
    <w:rsid w:val="006862C6"/>
    <w:rsid w:val="0068632D"/>
    <w:rsid w:val="006863C1"/>
    <w:rsid w:val="0068669C"/>
    <w:rsid w:val="0068674B"/>
    <w:rsid w:val="00686756"/>
    <w:rsid w:val="006868A2"/>
    <w:rsid w:val="006868BA"/>
    <w:rsid w:val="00686C3A"/>
    <w:rsid w:val="00686F06"/>
    <w:rsid w:val="00686FCF"/>
    <w:rsid w:val="00687017"/>
    <w:rsid w:val="006870A6"/>
    <w:rsid w:val="006870C1"/>
    <w:rsid w:val="0068729F"/>
    <w:rsid w:val="00687342"/>
    <w:rsid w:val="006874C9"/>
    <w:rsid w:val="006875FB"/>
    <w:rsid w:val="0068760A"/>
    <w:rsid w:val="00687789"/>
    <w:rsid w:val="006877FE"/>
    <w:rsid w:val="00687930"/>
    <w:rsid w:val="006879FC"/>
    <w:rsid w:val="00687D47"/>
    <w:rsid w:val="00687E26"/>
    <w:rsid w:val="00690159"/>
    <w:rsid w:val="0069039A"/>
    <w:rsid w:val="00690456"/>
    <w:rsid w:val="006904F8"/>
    <w:rsid w:val="00690504"/>
    <w:rsid w:val="00690578"/>
    <w:rsid w:val="006905E9"/>
    <w:rsid w:val="00690628"/>
    <w:rsid w:val="0069063C"/>
    <w:rsid w:val="00690726"/>
    <w:rsid w:val="006909A5"/>
    <w:rsid w:val="00690AF9"/>
    <w:rsid w:val="00690C48"/>
    <w:rsid w:val="00690C86"/>
    <w:rsid w:val="00690C9E"/>
    <w:rsid w:val="00690D87"/>
    <w:rsid w:val="00690DCA"/>
    <w:rsid w:val="00690EC9"/>
    <w:rsid w:val="00691093"/>
    <w:rsid w:val="006911D2"/>
    <w:rsid w:val="00691238"/>
    <w:rsid w:val="006912A0"/>
    <w:rsid w:val="006912E7"/>
    <w:rsid w:val="0069135B"/>
    <w:rsid w:val="00691380"/>
    <w:rsid w:val="00691387"/>
    <w:rsid w:val="0069149E"/>
    <w:rsid w:val="00691504"/>
    <w:rsid w:val="006915CD"/>
    <w:rsid w:val="0069162A"/>
    <w:rsid w:val="006917EF"/>
    <w:rsid w:val="00691A64"/>
    <w:rsid w:val="00691ADB"/>
    <w:rsid w:val="00691C42"/>
    <w:rsid w:val="00691EC1"/>
    <w:rsid w:val="00691EDD"/>
    <w:rsid w:val="0069202D"/>
    <w:rsid w:val="00692058"/>
    <w:rsid w:val="006921AD"/>
    <w:rsid w:val="00692254"/>
    <w:rsid w:val="0069225A"/>
    <w:rsid w:val="0069239D"/>
    <w:rsid w:val="0069244F"/>
    <w:rsid w:val="006926BD"/>
    <w:rsid w:val="00692716"/>
    <w:rsid w:val="00692740"/>
    <w:rsid w:val="00692785"/>
    <w:rsid w:val="00692DFC"/>
    <w:rsid w:val="00692F26"/>
    <w:rsid w:val="00692F89"/>
    <w:rsid w:val="006932AA"/>
    <w:rsid w:val="00693448"/>
    <w:rsid w:val="00693493"/>
    <w:rsid w:val="006935A3"/>
    <w:rsid w:val="006935F1"/>
    <w:rsid w:val="00693613"/>
    <w:rsid w:val="006936B8"/>
    <w:rsid w:val="006936E3"/>
    <w:rsid w:val="00693774"/>
    <w:rsid w:val="006937E2"/>
    <w:rsid w:val="0069386F"/>
    <w:rsid w:val="006938E5"/>
    <w:rsid w:val="00693948"/>
    <w:rsid w:val="00693CE4"/>
    <w:rsid w:val="00693D32"/>
    <w:rsid w:val="00693E03"/>
    <w:rsid w:val="00694117"/>
    <w:rsid w:val="006941D5"/>
    <w:rsid w:val="006941FD"/>
    <w:rsid w:val="00694652"/>
    <w:rsid w:val="00694911"/>
    <w:rsid w:val="006949A3"/>
    <w:rsid w:val="00694AE6"/>
    <w:rsid w:val="00694CD6"/>
    <w:rsid w:val="00694D08"/>
    <w:rsid w:val="00694E6E"/>
    <w:rsid w:val="00694F5F"/>
    <w:rsid w:val="00694F63"/>
    <w:rsid w:val="00694F6E"/>
    <w:rsid w:val="006950EA"/>
    <w:rsid w:val="006951CA"/>
    <w:rsid w:val="00695379"/>
    <w:rsid w:val="0069583F"/>
    <w:rsid w:val="00695885"/>
    <w:rsid w:val="006959C2"/>
    <w:rsid w:val="00695B98"/>
    <w:rsid w:val="00695F65"/>
    <w:rsid w:val="00695FDC"/>
    <w:rsid w:val="00695FEC"/>
    <w:rsid w:val="0069611A"/>
    <w:rsid w:val="006962D7"/>
    <w:rsid w:val="00696585"/>
    <w:rsid w:val="006965D3"/>
    <w:rsid w:val="006967B1"/>
    <w:rsid w:val="00696891"/>
    <w:rsid w:val="0069693F"/>
    <w:rsid w:val="006969FD"/>
    <w:rsid w:val="00696A57"/>
    <w:rsid w:val="00696C50"/>
    <w:rsid w:val="00696CE1"/>
    <w:rsid w:val="00697410"/>
    <w:rsid w:val="0069767B"/>
    <w:rsid w:val="006976A5"/>
    <w:rsid w:val="00697A6C"/>
    <w:rsid w:val="00697BAE"/>
    <w:rsid w:val="00697C12"/>
    <w:rsid w:val="00697D47"/>
    <w:rsid w:val="00697DC1"/>
    <w:rsid w:val="00697EDA"/>
    <w:rsid w:val="006A01C1"/>
    <w:rsid w:val="006A046D"/>
    <w:rsid w:val="006A04FC"/>
    <w:rsid w:val="006A050B"/>
    <w:rsid w:val="006A05BF"/>
    <w:rsid w:val="006A07BA"/>
    <w:rsid w:val="006A07F6"/>
    <w:rsid w:val="006A08F9"/>
    <w:rsid w:val="006A0A10"/>
    <w:rsid w:val="006A0C1A"/>
    <w:rsid w:val="006A0C34"/>
    <w:rsid w:val="006A0C4F"/>
    <w:rsid w:val="006A0C91"/>
    <w:rsid w:val="006A0F4C"/>
    <w:rsid w:val="006A0F71"/>
    <w:rsid w:val="006A11D1"/>
    <w:rsid w:val="006A1503"/>
    <w:rsid w:val="006A161C"/>
    <w:rsid w:val="006A161D"/>
    <w:rsid w:val="006A18A6"/>
    <w:rsid w:val="006A191F"/>
    <w:rsid w:val="006A19A8"/>
    <w:rsid w:val="006A19E4"/>
    <w:rsid w:val="006A1A1C"/>
    <w:rsid w:val="006A1C50"/>
    <w:rsid w:val="006A1CB8"/>
    <w:rsid w:val="006A1E98"/>
    <w:rsid w:val="006A1F32"/>
    <w:rsid w:val="006A1F5A"/>
    <w:rsid w:val="006A1FDA"/>
    <w:rsid w:val="006A209F"/>
    <w:rsid w:val="006A212A"/>
    <w:rsid w:val="006A221F"/>
    <w:rsid w:val="006A2242"/>
    <w:rsid w:val="006A2394"/>
    <w:rsid w:val="006A2560"/>
    <w:rsid w:val="006A2570"/>
    <w:rsid w:val="006A25D7"/>
    <w:rsid w:val="006A25E2"/>
    <w:rsid w:val="006A26E3"/>
    <w:rsid w:val="006A2745"/>
    <w:rsid w:val="006A27E3"/>
    <w:rsid w:val="006A2821"/>
    <w:rsid w:val="006A2969"/>
    <w:rsid w:val="006A297B"/>
    <w:rsid w:val="006A2A5E"/>
    <w:rsid w:val="006A2AB1"/>
    <w:rsid w:val="006A2E9B"/>
    <w:rsid w:val="006A2EF6"/>
    <w:rsid w:val="006A2F69"/>
    <w:rsid w:val="006A3169"/>
    <w:rsid w:val="006A33E7"/>
    <w:rsid w:val="006A345C"/>
    <w:rsid w:val="006A34E2"/>
    <w:rsid w:val="006A37B6"/>
    <w:rsid w:val="006A380E"/>
    <w:rsid w:val="006A394B"/>
    <w:rsid w:val="006A3A79"/>
    <w:rsid w:val="006A3B36"/>
    <w:rsid w:val="006A3BA4"/>
    <w:rsid w:val="006A3BAD"/>
    <w:rsid w:val="006A3C81"/>
    <w:rsid w:val="006A3CB2"/>
    <w:rsid w:val="006A3E0B"/>
    <w:rsid w:val="006A3F47"/>
    <w:rsid w:val="006A403C"/>
    <w:rsid w:val="006A40BF"/>
    <w:rsid w:val="006A42B2"/>
    <w:rsid w:val="006A462A"/>
    <w:rsid w:val="006A4813"/>
    <w:rsid w:val="006A483A"/>
    <w:rsid w:val="006A4946"/>
    <w:rsid w:val="006A4A29"/>
    <w:rsid w:val="006A4C7D"/>
    <w:rsid w:val="006A4D34"/>
    <w:rsid w:val="006A4D41"/>
    <w:rsid w:val="006A4DB8"/>
    <w:rsid w:val="006A4DC8"/>
    <w:rsid w:val="006A4E17"/>
    <w:rsid w:val="006A4F0D"/>
    <w:rsid w:val="006A50E7"/>
    <w:rsid w:val="006A52A2"/>
    <w:rsid w:val="006A531A"/>
    <w:rsid w:val="006A54AD"/>
    <w:rsid w:val="006A554E"/>
    <w:rsid w:val="006A5719"/>
    <w:rsid w:val="006A5789"/>
    <w:rsid w:val="006A5836"/>
    <w:rsid w:val="006A5889"/>
    <w:rsid w:val="006A593F"/>
    <w:rsid w:val="006A5A56"/>
    <w:rsid w:val="006A5F0C"/>
    <w:rsid w:val="006A5F97"/>
    <w:rsid w:val="006A625C"/>
    <w:rsid w:val="006A6381"/>
    <w:rsid w:val="006A6383"/>
    <w:rsid w:val="006A639A"/>
    <w:rsid w:val="006A63A4"/>
    <w:rsid w:val="006A63E2"/>
    <w:rsid w:val="006A65E7"/>
    <w:rsid w:val="006A6706"/>
    <w:rsid w:val="006A6854"/>
    <w:rsid w:val="006A70D8"/>
    <w:rsid w:val="006A71C9"/>
    <w:rsid w:val="006A71D4"/>
    <w:rsid w:val="006A725C"/>
    <w:rsid w:val="006A731D"/>
    <w:rsid w:val="006A7328"/>
    <w:rsid w:val="006A73F1"/>
    <w:rsid w:val="006A78B7"/>
    <w:rsid w:val="006A7A9D"/>
    <w:rsid w:val="006A7AFD"/>
    <w:rsid w:val="006A7BD1"/>
    <w:rsid w:val="006A7BEF"/>
    <w:rsid w:val="006A7CE9"/>
    <w:rsid w:val="006A7CEF"/>
    <w:rsid w:val="006A7D2F"/>
    <w:rsid w:val="006A7D45"/>
    <w:rsid w:val="006A7DA2"/>
    <w:rsid w:val="006A7EA0"/>
    <w:rsid w:val="006B0006"/>
    <w:rsid w:val="006B0218"/>
    <w:rsid w:val="006B027F"/>
    <w:rsid w:val="006B0460"/>
    <w:rsid w:val="006B04D4"/>
    <w:rsid w:val="006B05F7"/>
    <w:rsid w:val="006B077B"/>
    <w:rsid w:val="006B0784"/>
    <w:rsid w:val="006B0793"/>
    <w:rsid w:val="006B0800"/>
    <w:rsid w:val="006B08CA"/>
    <w:rsid w:val="006B08D6"/>
    <w:rsid w:val="006B0A4D"/>
    <w:rsid w:val="006B0AC5"/>
    <w:rsid w:val="006B0B79"/>
    <w:rsid w:val="006B0BF0"/>
    <w:rsid w:val="006B0EF9"/>
    <w:rsid w:val="006B110E"/>
    <w:rsid w:val="006B1133"/>
    <w:rsid w:val="006B11DA"/>
    <w:rsid w:val="006B181A"/>
    <w:rsid w:val="006B19D0"/>
    <w:rsid w:val="006B1C6F"/>
    <w:rsid w:val="006B1D81"/>
    <w:rsid w:val="006B1EA0"/>
    <w:rsid w:val="006B1ED4"/>
    <w:rsid w:val="006B1FEC"/>
    <w:rsid w:val="006B2039"/>
    <w:rsid w:val="006B2173"/>
    <w:rsid w:val="006B21D7"/>
    <w:rsid w:val="006B2293"/>
    <w:rsid w:val="006B22F1"/>
    <w:rsid w:val="006B23AE"/>
    <w:rsid w:val="006B23B6"/>
    <w:rsid w:val="006B2680"/>
    <w:rsid w:val="006B2684"/>
    <w:rsid w:val="006B296C"/>
    <w:rsid w:val="006B2A52"/>
    <w:rsid w:val="006B2A83"/>
    <w:rsid w:val="006B2CB6"/>
    <w:rsid w:val="006B2D2B"/>
    <w:rsid w:val="006B2F06"/>
    <w:rsid w:val="006B31B9"/>
    <w:rsid w:val="006B337D"/>
    <w:rsid w:val="006B34FB"/>
    <w:rsid w:val="006B3593"/>
    <w:rsid w:val="006B35ED"/>
    <w:rsid w:val="006B36E3"/>
    <w:rsid w:val="006B3BBD"/>
    <w:rsid w:val="006B3E73"/>
    <w:rsid w:val="006B3EAE"/>
    <w:rsid w:val="006B3EB2"/>
    <w:rsid w:val="006B3F52"/>
    <w:rsid w:val="006B4065"/>
    <w:rsid w:val="006B4157"/>
    <w:rsid w:val="006B41F6"/>
    <w:rsid w:val="006B4312"/>
    <w:rsid w:val="006B4398"/>
    <w:rsid w:val="006B4451"/>
    <w:rsid w:val="006B445E"/>
    <w:rsid w:val="006B4704"/>
    <w:rsid w:val="006B474B"/>
    <w:rsid w:val="006B47EB"/>
    <w:rsid w:val="006B47FD"/>
    <w:rsid w:val="006B480C"/>
    <w:rsid w:val="006B48B6"/>
    <w:rsid w:val="006B495E"/>
    <w:rsid w:val="006B497A"/>
    <w:rsid w:val="006B4B90"/>
    <w:rsid w:val="006B4BF7"/>
    <w:rsid w:val="006B4C0A"/>
    <w:rsid w:val="006B4D09"/>
    <w:rsid w:val="006B4D29"/>
    <w:rsid w:val="006B4EE6"/>
    <w:rsid w:val="006B4EF8"/>
    <w:rsid w:val="006B528E"/>
    <w:rsid w:val="006B53DB"/>
    <w:rsid w:val="006B53F5"/>
    <w:rsid w:val="006B54AB"/>
    <w:rsid w:val="006B567A"/>
    <w:rsid w:val="006B5780"/>
    <w:rsid w:val="006B57FE"/>
    <w:rsid w:val="006B5930"/>
    <w:rsid w:val="006B5B70"/>
    <w:rsid w:val="006B5E98"/>
    <w:rsid w:val="006B61B9"/>
    <w:rsid w:val="006B6273"/>
    <w:rsid w:val="006B627D"/>
    <w:rsid w:val="006B635F"/>
    <w:rsid w:val="006B6492"/>
    <w:rsid w:val="006B65C2"/>
    <w:rsid w:val="006B6613"/>
    <w:rsid w:val="006B67FB"/>
    <w:rsid w:val="006B6845"/>
    <w:rsid w:val="006B695D"/>
    <w:rsid w:val="006B6AC1"/>
    <w:rsid w:val="006B6ACA"/>
    <w:rsid w:val="006B6BED"/>
    <w:rsid w:val="006B6C52"/>
    <w:rsid w:val="006B6CD8"/>
    <w:rsid w:val="006B6CF2"/>
    <w:rsid w:val="006B7104"/>
    <w:rsid w:val="006B7158"/>
    <w:rsid w:val="006B7161"/>
    <w:rsid w:val="006B72E6"/>
    <w:rsid w:val="006B7389"/>
    <w:rsid w:val="006B73B1"/>
    <w:rsid w:val="006B74AF"/>
    <w:rsid w:val="006B75B4"/>
    <w:rsid w:val="006B7628"/>
    <w:rsid w:val="006B7685"/>
    <w:rsid w:val="006B7758"/>
    <w:rsid w:val="006B7764"/>
    <w:rsid w:val="006B777A"/>
    <w:rsid w:val="006B7795"/>
    <w:rsid w:val="006B7816"/>
    <w:rsid w:val="006B78C1"/>
    <w:rsid w:val="006B791E"/>
    <w:rsid w:val="006B7A65"/>
    <w:rsid w:val="006B7C53"/>
    <w:rsid w:val="006B7D26"/>
    <w:rsid w:val="006B7D6C"/>
    <w:rsid w:val="006B7D90"/>
    <w:rsid w:val="006B7FA6"/>
    <w:rsid w:val="006C043A"/>
    <w:rsid w:val="006C04AF"/>
    <w:rsid w:val="006C089F"/>
    <w:rsid w:val="006C08EA"/>
    <w:rsid w:val="006C0A88"/>
    <w:rsid w:val="006C0D00"/>
    <w:rsid w:val="006C0D68"/>
    <w:rsid w:val="006C112A"/>
    <w:rsid w:val="006C123C"/>
    <w:rsid w:val="006C12A4"/>
    <w:rsid w:val="006C14FF"/>
    <w:rsid w:val="006C1525"/>
    <w:rsid w:val="006C1816"/>
    <w:rsid w:val="006C1831"/>
    <w:rsid w:val="006C1A7C"/>
    <w:rsid w:val="006C1AA0"/>
    <w:rsid w:val="006C1AC7"/>
    <w:rsid w:val="006C1ACC"/>
    <w:rsid w:val="006C1C08"/>
    <w:rsid w:val="006C1DB5"/>
    <w:rsid w:val="006C1E7C"/>
    <w:rsid w:val="006C1FE4"/>
    <w:rsid w:val="006C1FFF"/>
    <w:rsid w:val="006C20BB"/>
    <w:rsid w:val="006C2200"/>
    <w:rsid w:val="006C2592"/>
    <w:rsid w:val="006C269C"/>
    <w:rsid w:val="006C2737"/>
    <w:rsid w:val="006C277E"/>
    <w:rsid w:val="006C27BF"/>
    <w:rsid w:val="006C28A1"/>
    <w:rsid w:val="006C2970"/>
    <w:rsid w:val="006C2ACF"/>
    <w:rsid w:val="006C2B90"/>
    <w:rsid w:val="006C2BB1"/>
    <w:rsid w:val="006C2C85"/>
    <w:rsid w:val="006C2E44"/>
    <w:rsid w:val="006C2ECB"/>
    <w:rsid w:val="006C2EDB"/>
    <w:rsid w:val="006C300D"/>
    <w:rsid w:val="006C3063"/>
    <w:rsid w:val="006C32E1"/>
    <w:rsid w:val="006C33A1"/>
    <w:rsid w:val="006C3465"/>
    <w:rsid w:val="006C34CD"/>
    <w:rsid w:val="006C3554"/>
    <w:rsid w:val="006C394B"/>
    <w:rsid w:val="006C3A2F"/>
    <w:rsid w:val="006C3AB6"/>
    <w:rsid w:val="006C3B88"/>
    <w:rsid w:val="006C3BC1"/>
    <w:rsid w:val="006C3DFB"/>
    <w:rsid w:val="006C3E36"/>
    <w:rsid w:val="006C3EFD"/>
    <w:rsid w:val="006C3FD6"/>
    <w:rsid w:val="006C403B"/>
    <w:rsid w:val="006C41C7"/>
    <w:rsid w:val="006C4202"/>
    <w:rsid w:val="006C4252"/>
    <w:rsid w:val="006C44EB"/>
    <w:rsid w:val="006C4840"/>
    <w:rsid w:val="006C4871"/>
    <w:rsid w:val="006C4AEC"/>
    <w:rsid w:val="006C4BBE"/>
    <w:rsid w:val="006C4E41"/>
    <w:rsid w:val="006C4FA9"/>
    <w:rsid w:val="006C50E0"/>
    <w:rsid w:val="006C50E5"/>
    <w:rsid w:val="006C5210"/>
    <w:rsid w:val="006C53C9"/>
    <w:rsid w:val="006C5446"/>
    <w:rsid w:val="006C5459"/>
    <w:rsid w:val="006C5547"/>
    <w:rsid w:val="006C55A2"/>
    <w:rsid w:val="006C56A2"/>
    <w:rsid w:val="006C56CD"/>
    <w:rsid w:val="006C56F0"/>
    <w:rsid w:val="006C5874"/>
    <w:rsid w:val="006C5AE5"/>
    <w:rsid w:val="006C5B90"/>
    <w:rsid w:val="006C5C7E"/>
    <w:rsid w:val="006C5F9F"/>
    <w:rsid w:val="006C6049"/>
    <w:rsid w:val="006C60D6"/>
    <w:rsid w:val="006C6107"/>
    <w:rsid w:val="006C62A1"/>
    <w:rsid w:val="006C62BF"/>
    <w:rsid w:val="006C6573"/>
    <w:rsid w:val="006C6729"/>
    <w:rsid w:val="006C67B9"/>
    <w:rsid w:val="006C67C4"/>
    <w:rsid w:val="006C6926"/>
    <w:rsid w:val="006C6A2F"/>
    <w:rsid w:val="006C6DDC"/>
    <w:rsid w:val="006C6E42"/>
    <w:rsid w:val="006C6F2B"/>
    <w:rsid w:val="006C7025"/>
    <w:rsid w:val="006C7061"/>
    <w:rsid w:val="006C71F9"/>
    <w:rsid w:val="006C721B"/>
    <w:rsid w:val="006C727D"/>
    <w:rsid w:val="006C7513"/>
    <w:rsid w:val="006C75EE"/>
    <w:rsid w:val="006C7633"/>
    <w:rsid w:val="006C7713"/>
    <w:rsid w:val="006C7790"/>
    <w:rsid w:val="006C7879"/>
    <w:rsid w:val="006C7AF8"/>
    <w:rsid w:val="006C7B06"/>
    <w:rsid w:val="006C7B62"/>
    <w:rsid w:val="006C7BC3"/>
    <w:rsid w:val="006C7D3B"/>
    <w:rsid w:val="006D000D"/>
    <w:rsid w:val="006D00C4"/>
    <w:rsid w:val="006D012A"/>
    <w:rsid w:val="006D01E8"/>
    <w:rsid w:val="006D0207"/>
    <w:rsid w:val="006D0301"/>
    <w:rsid w:val="006D03B0"/>
    <w:rsid w:val="006D085C"/>
    <w:rsid w:val="006D0945"/>
    <w:rsid w:val="006D0A02"/>
    <w:rsid w:val="006D0A09"/>
    <w:rsid w:val="006D0B3A"/>
    <w:rsid w:val="006D0E91"/>
    <w:rsid w:val="006D0ED9"/>
    <w:rsid w:val="006D0F15"/>
    <w:rsid w:val="006D1134"/>
    <w:rsid w:val="006D1138"/>
    <w:rsid w:val="006D11F0"/>
    <w:rsid w:val="006D13B7"/>
    <w:rsid w:val="006D13FC"/>
    <w:rsid w:val="006D15A6"/>
    <w:rsid w:val="006D16AB"/>
    <w:rsid w:val="006D1799"/>
    <w:rsid w:val="006D1874"/>
    <w:rsid w:val="006D19C4"/>
    <w:rsid w:val="006D1F6D"/>
    <w:rsid w:val="006D1F9C"/>
    <w:rsid w:val="006D2039"/>
    <w:rsid w:val="006D2052"/>
    <w:rsid w:val="006D20C6"/>
    <w:rsid w:val="006D217F"/>
    <w:rsid w:val="006D2197"/>
    <w:rsid w:val="006D21AB"/>
    <w:rsid w:val="006D2270"/>
    <w:rsid w:val="006D22FB"/>
    <w:rsid w:val="006D2349"/>
    <w:rsid w:val="006D2545"/>
    <w:rsid w:val="006D285C"/>
    <w:rsid w:val="006D2A03"/>
    <w:rsid w:val="006D2AB2"/>
    <w:rsid w:val="006D2ACA"/>
    <w:rsid w:val="006D2B09"/>
    <w:rsid w:val="006D2B9C"/>
    <w:rsid w:val="006D2BA4"/>
    <w:rsid w:val="006D2BA8"/>
    <w:rsid w:val="006D2D0E"/>
    <w:rsid w:val="006D2EBB"/>
    <w:rsid w:val="006D2EBF"/>
    <w:rsid w:val="006D2F92"/>
    <w:rsid w:val="006D333F"/>
    <w:rsid w:val="006D33D1"/>
    <w:rsid w:val="006D33FF"/>
    <w:rsid w:val="006D3473"/>
    <w:rsid w:val="006D35A1"/>
    <w:rsid w:val="006D35AC"/>
    <w:rsid w:val="006D3728"/>
    <w:rsid w:val="006D3766"/>
    <w:rsid w:val="006D37B6"/>
    <w:rsid w:val="006D3A36"/>
    <w:rsid w:val="006D3A3A"/>
    <w:rsid w:val="006D3E02"/>
    <w:rsid w:val="006D4290"/>
    <w:rsid w:val="006D42EA"/>
    <w:rsid w:val="006D42F8"/>
    <w:rsid w:val="006D435E"/>
    <w:rsid w:val="006D43B1"/>
    <w:rsid w:val="006D441C"/>
    <w:rsid w:val="006D4464"/>
    <w:rsid w:val="006D44A1"/>
    <w:rsid w:val="006D479D"/>
    <w:rsid w:val="006D4A5D"/>
    <w:rsid w:val="006D4D44"/>
    <w:rsid w:val="006D4D5E"/>
    <w:rsid w:val="006D4DC8"/>
    <w:rsid w:val="006D4E30"/>
    <w:rsid w:val="006D4E7C"/>
    <w:rsid w:val="006D5118"/>
    <w:rsid w:val="006D53BF"/>
    <w:rsid w:val="006D5417"/>
    <w:rsid w:val="006D5696"/>
    <w:rsid w:val="006D56D2"/>
    <w:rsid w:val="006D5714"/>
    <w:rsid w:val="006D578A"/>
    <w:rsid w:val="006D59A7"/>
    <w:rsid w:val="006D59CF"/>
    <w:rsid w:val="006D5B38"/>
    <w:rsid w:val="006D5DD2"/>
    <w:rsid w:val="006D5F25"/>
    <w:rsid w:val="006D5F8B"/>
    <w:rsid w:val="006D60C7"/>
    <w:rsid w:val="006D64F6"/>
    <w:rsid w:val="006D6508"/>
    <w:rsid w:val="006D66A9"/>
    <w:rsid w:val="006D6878"/>
    <w:rsid w:val="006D68D8"/>
    <w:rsid w:val="006D6A86"/>
    <w:rsid w:val="006D6DB1"/>
    <w:rsid w:val="006D6E70"/>
    <w:rsid w:val="006D7173"/>
    <w:rsid w:val="006D7192"/>
    <w:rsid w:val="006D71B3"/>
    <w:rsid w:val="006D71B9"/>
    <w:rsid w:val="006D71DA"/>
    <w:rsid w:val="006D71E6"/>
    <w:rsid w:val="006D72BF"/>
    <w:rsid w:val="006D7442"/>
    <w:rsid w:val="006D74BD"/>
    <w:rsid w:val="006D7711"/>
    <w:rsid w:val="006D7864"/>
    <w:rsid w:val="006D78B5"/>
    <w:rsid w:val="006D7961"/>
    <w:rsid w:val="006D799A"/>
    <w:rsid w:val="006D79DB"/>
    <w:rsid w:val="006D79EB"/>
    <w:rsid w:val="006D79F2"/>
    <w:rsid w:val="006D7A40"/>
    <w:rsid w:val="006D7BD6"/>
    <w:rsid w:val="006D7C7E"/>
    <w:rsid w:val="006D7D13"/>
    <w:rsid w:val="006D7E75"/>
    <w:rsid w:val="006D7E8E"/>
    <w:rsid w:val="006D7EB4"/>
    <w:rsid w:val="006D7EBA"/>
    <w:rsid w:val="006D7F09"/>
    <w:rsid w:val="006D7F50"/>
    <w:rsid w:val="006D7FFA"/>
    <w:rsid w:val="006E008F"/>
    <w:rsid w:val="006E026E"/>
    <w:rsid w:val="006E0380"/>
    <w:rsid w:val="006E048E"/>
    <w:rsid w:val="006E04EA"/>
    <w:rsid w:val="006E05D1"/>
    <w:rsid w:val="006E05E9"/>
    <w:rsid w:val="006E0639"/>
    <w:rsid w:val="006E06BC"/>
    <w:rsid w:val="006E08BB"/>
    <w:rsid w:val="006E0A4D"/>
    <w:rsid w:val="006E0ABF"/>
    <w:rsid w:val="006E0EA2"/>
    <w:rsid w:val="006E117A"/>
    <w:rsid w:val="006E1238"/>
    <w:rsid w:val="006E128D"/>
    <w:rsid w:val="006E1518"/>
    <w:rsid w:val="006E15BF"/>
    <w:rsid w:val="006E15D2"/>
    <w:rsid w:val="006E1636"/>
    <w:rsid w:val="006E16B9"/>
    <w:rsid w:val="006E18A3"/>
    <w:rsid w:val="006E18AD"/>
    <w:rsid w:val="006E1B3B"/>
    <w:rsid w:val="006E1E86"/>
    <w:rsid w:val="006E1EE1"/>
    <w:rsid w:val="006E1F3D"/>
    <w:rsid w:val="006E21C6"/>
    <w:rsid w:val="006E21EF"/>
    <w:rsid w:val="006E2366"/>
    <w:rsid w:val="006E2375"/>
    <w:rsid w:val="006E2554"/>
    <w:rsid w:val="006E25AD"/>
    <w:rsid w:val="006E25B1"/>
    <w:rsid w:val="006E25F9"/>
    <w:rsid w:val="006E26BA"/>
    <w:rsid w:val="006E274C"/>
    <w:rsid w:val="006E2864"/>
    <w:rsid w:val="006E2937"/>
    <w:rsid w:val="006E2972"/>
    <w:rsid w:val="006E2A4B"/>
    <w:rsid w:val="006E2B93"/>
    <w:rsid w:val="006E2B9E"/>
    <w:rsid w:val="006E2EF9"/>
    <w:rsid w:val="006E3180"/>
    <w:rsid w:val="006E331D"/>
    <w:rsid w:val="006E36DC"/>
    <w:rsid w:val="006E386D"/>
    <w:rsid w:val="006E3AA0"/>
    <w:rsid w:val="006E3D79"/>
    <w:rsid w:val="006E3DD5"/>
    <w:rsid w:val="006E4074"/>
    <w:rsid w:val="006E4096"/>
    <w:rsid w:val="006E429F"/>
    <w:rsid w:val="006E42B4"/>
    <w:rsid w:val="006E433E"/>
    <w:rsid w:val="006E4460"/>
    <w:rsid w:val="006E4689"/>
    <w:rsid w:val="006E46D5"/>
    <w:rsid w:val="006E46E5"/>
    <w:rsid w:val="006E473D"/>
    <w:rsid w:val="006E4772"/>
    <w:rsid w:val="006E49D5"/>
    <w:rsid w:val="006E4A8E"/>
    <w:rsid w:val="006E4B99"/>
    <w:rsid w:val="006E4BE4"/>
    <w:rsid w:val="006E4CAE"/>
    <w:rsid w:val="006E51A5"/>
    <w:rsid w:val="006E5240"/>
    <w:rsid w:val="006E5316"/>
    <w:rsid w:val="006E5371"/>
    <w:rsid w:val="006E53AB"/>
    <w:rsid w:val="006E559D"/>
    <w:rsid w:val="006E561A"/>
    <w:rsid w:val="006E56AC"/>
    <w:rsid w:val="006E56D4"/>
    <w:rsid w:val="006E5842"/>
    <w:rsid w:val="006E58EB"/>
    <w:rsid w:val="006E59A4"/>
    <w:rsid w:val="006E59BB"/>
    <w:rsid w:val="006E5B6D"/>
    <w:rsid w:val="006E5C87"/>
    <w:rsid w:val="006E5C9C"/>
    <w:rsid w:val="006E5D84"/>
    <w:rsid w:val="006E5DB9"/>
    <w:rsid w:val="006E5E16"/>
    <w:rsid w:val="006E5E47"/>
    <w:rsid w:val="006E5E5D"/>
    <w:rsid w:val="006E5E6D"/>
    <w:rsid w:val="006E5E72"/>
    <w:rsid w:val="006E5F36"/>
    <w:rsid w:val="006E6016"/>
    <w:rsid w:val="006E61BF"/>
    <w:rsid w:val="006E625D"/>
    <w:rsid w:val="006E6402"/>
    <w:rsid w:val="006E64B3"/>
    <w:rsid w:val="006E65EA"/>
    <w:rsid w:val="006E692E"/>
    <w:rsid w:val="006E693E"/>
    <w:rsid w:val="006E697B"/>
    <w:rsid w:val="006E6AEA"/>
    <w:rsid w:val="006E6C7E"/>
    <w:rsid w:val="006E6D3C"/>
    <w:rsid w:val="006E6D51"/>
    <w:rsid w:val="006E6F3B"/>
    <w:rsid w:val="006E6F41"/>
    <w:rsid w:val="006E7208"/>
    <w:rsid w:val="006E7217"/>
    <w:rsid w:val="006E72C5"/>
    <w:rsid w:val="006E7496"/>
    <w:rsid w:val="006E74E5"/>
    <w:rsid w:val="006E7510"/>
    <w:rsid w:val="006E76A8"/>
    <w:rsid w:val="006E7954"/>
    <w:rsid w:val="006E7968"/>
    <w:rsid w:val="006E7BF8"/>
    <w:rsid w:val="006E7C4D"/>
    <w:rsid w:val="006E7CA1"/>
    <w:rsid w:val="006E7F22"/>
    <w:rsid w:val="006E7F97"/>
    <w:rsid w:val="006E9F09"/>
    <w:rsid w:val="006F0092"/>
    <w:rsid w:val="006F0172"/>
    <w:rsid w:val="006F01C1"/>
    <w:rsid w:val="006F028C"/>
    <w:rsid w:val="006F03D1"/>
    <w:rsid w:val="006F07C5"/>
    <w:rsid w:val="006F07FB"/>
    <w:rsid w:val="006F086E"/>
    <w:rsid w:val="006F0928"/>
    <w:rsid w:val="006F0B92"/>
    <w:rsid w:val="006F0C0E"/>
    <w:rsid w:val="006F0DE9"/>
    <w:rsid w:val="006F1009"/>
    <w:rsid w:val="006F10CC"/>
    <w:rsid w:val="006F10F1"/>
    <w:rsid w:val="006F11AE"/>
    <w:rsid w:val="006F11EC"/>
    <w:rsid w:val="006F1419"/>
    <w:rsid w:val="006F1426"/>
    <w:rsid w:val="006F153A"/>
    <w:rsid w:val="006F1632"/>
    <w:rsid w:val="006F1806"/>
    <w:rsid w:val="006F185E"/>
    <w:rsid w:val="006F18FD"/>
    <w:rsid w:val="006F19A5"/>
    <w:rsid w:val="006F1B0E"/>
    <w:rsid w:val="006F1D18"/>
    <w:rsid w:val="006F1E4B"/>
    <w:rsid w:val="006F2114"/>
    <w:rsid w:val="006F2146"/>
    <w:rsid w:val="006F22AB"/>
    <w:rsid w:val="006F2362"/>
    <w:rsid w:val="006F2472"/>
    <w:rsid w:val="006F24C4"/>
    <w:rsid w:val="006F2558"/>
    <w:rsid w:val="006F25D3"/>
    <w:rsid w:val="006F26CF"/>
    <w:rsid w:val="006F280C"/>
    <w:rsid w:val="006F283C"/>
    <w:rsid w:val="006F288A"/>
    <w:rsid w:val="006F296E"/>
    <w:rsid w:val="006F2ABC"/>
    <w:rsid w:val="006F2DD3"/>
    <w:rsid w:val="006F2EF7"/>
    <w:rsid w:val="006F2F53"/>
    <w:rsid w:val="006F2F5F"/>
    <w:rsid w:val="006F324A"/>
    <w:rsid w:val="006F3288"/>
    <w:rsid w:val="006F32CA"/>
    <w:rsid w:val="006F3364"/>
    <w:rsid w:val="006F34C6"/>
    <w:rsid w:val="006F34D6"/>
    <w:rsid w:val="006F3871"/>
    <w:rsid w:val="006F3BA0"/>
    <w:rsid w:val="006F3BD8"/>
    <w:rsid w:val="006F3D73"/>
    <w:rsid w:val="006F3E4E"/>
    <w:rsid w:val="006F40A5"/>
    <w:rsid w:val="006F4262"/>
    <w:rsid w:val="006F441E"/>
    <w:rsid w:val="006F47B8"/>
    <w:rsid w:val="006F4CBB"/>
    <w:rsid w:val="006F4F65"/>
    <w:rsid w:val="006F540B"/>
    <w:rsid w:val="006F55FD"/>
    <w:rsid w:val="006F58A1"/>
    <w:rsid w:val="006F59E5"/>
    <w:rsid w:val="006F5B71"/>
    <w:rsid w:val="006F5C2D"/>
    <w:rsid w:val="006F5E77"/>
    <w:rsid w:val="006F5F7B"/>
    <w:rsid w:val="006F6147"/>
    <w:rsid w:val="006F63D8"/>
    <w:rsid w:val="006F6807"/>
    <w:rsid w:val="006F690E"/>
    <w:rsid w:val="006F6950"/>
    <w:rsid w:val="006F6999"/>
    <w:rsid w:val="006F6B25"/>
    <w:rsid w:val="006F6B6E"/>
    <w:rsid w:val="006F6E6E"/>
    <w:rsid w:val="006F6EC8"/>
    <w:rsid w:val="006F6F7E"/>
    <w:rsid w:val="006F6FB4"/>
    <w:rsid w:val="006F6FE0"/>
    <w:rsid w:val="006F70F1"/>
    <w:rsid w:val="006F70F5"/>
    <w:rsid w:val="006F712A"/>
    <w:rsid w:val="006F71BE"/>
    <w:rsid w:val="006F72C3"/>
    <w:rsid w:val="006F7315"/>
    <w:rsid w:val="006F74A3"/>
    <w:rsid w:val="006F74F1"/>
    <w:rsid w:val="006F75A9"/>
    <w:rsid w:val="006F7616"/>
    <w:rsid w:val="006F76F2"/>
    <w:rsid w:val="006F77D8"/>
    <w:rsid w:val="006F7936"/>
    <w:rsid w:val="006F7953"/>
    <w:rsid w:val="006F7965"/>
    <w:rsid w:val="006F7B83"/>
    <w:rsid w:val="006F7E59"/>
    <w:rsid w:val="006F7F6C"/>
    <w:rsid w:val="0070017C"/>
    <w:rsid w:val="00700672"/>
    <w:rsid w:val="0070072C"/>
    <w:rsid w:val="00700808"/>
    <w:rsid w:val="007009D6"/>
    <w:rsid w:val="00700A7E"/>
    <w:rsid w:val="00700A9C"/>
    <w:rsid w:val="00700BCF"/>
    <w:rsid w:val="00700C26"/>
    <w:rsid w:val="00700F0F"/>
    <w:rsid w:val="007010CD"/>
    <w:rsid w:val="007011BE"/>
    <w:rsid w:val="007012DC"/>
    <w:rsid w:val="007013E6"/>
    <w:rsid w:val="0070143F"/>
    <w:rsid w:val="0070158E"/>
    <w:rsid w:val="0070159A"/>
    <w:rsid w:val="00701667"/>
    <w:rsid w:val="00701684"/>
    <w:rsid w:val="0070190D"/>
    <w:rsid w:val="00701994"/>
    <w:rsid w:val="007019D2"/>
    <w:rsid w:val="00701A6A"/>
    <w:rsid w:val="00701AF3"/>
    <w:rsid w:val="00701D88"/>
    <w:rsid w:val="00701DF0"/>
    <w:rsid w:val="00702179"/>
    <w:rsid w:val="0070218C"/>
    <w:rsid w:val="00702208"/>
    <w:rsid w:val="0070225F"/>
    <w:rsid w:val="007022B9"/>
    <w:rsid w:val="0070248F"/>
    <w:rsid w:val="0070256C"/>
    <w:rsid w:val="00702715"/>
    <w:rsid w:val="00702856"/>
    <w:rsid w:val="00702A14"/>
    <w:rsid w:val="00702B19"/>
    <w:rsid w:val="00702C5E"/>
    <w:rsid w:val="00702EB6"/>
    <w:rsid w:val="00702F95"/>
    <w:rsid w:val="00702F9B"/>
    <w:rsid w:val="0070304A"/>
    <w:rsid w:val="0070332D"/>
    <w:rsid w:val="00703451"/>
    <w:rsid w:val="00703626"/>
    <w:rsid w:val="0070364A"/>
    <w:rsid w:val="00703910"/>
    <w:rsid w:val="00703A54"/>
    <w:rsid w:val="00703AD7"/>
    <w:rsid w:val="00703C33"/>
    <w:rsid w:val="00703D68"/>
    <w:rsid w:val="00703E37"/>
    <w:rsid w:val="00703F37"/>
    <w:rsid w:val="007041D2"/>
    <w:rsid w:val="007043AB"/>
    <w:rsid w:val="00704419"/>
    <w:rsid w:val="0070447D"/>
    <w:rsid w:val="00704806"/>
    <w:rsid w:val="0070493A"/>
    <w:rsid w:val="007049A0"/>
    <w:rsid w:val="00704B6C"/>
    <w:rsid w:val="00704C44"/>
    <w:rsid w:val="00704F48"/>
    <w:rsid w:val="00704FBC"/>
    <w:rsid w:val="00704FBD"/>
    <w:rsid w:val="00704FFA"/>
    <w:rsid w:val="0070505B"/>
    <w:rsid w:val="00705077"/>
    <w:rsid w:val="007050D9"/>
    <w:rsid w:val="0070510A"/>
    <w:rsid w:val="00705422"/>
    <w:rsid w:val="00705473"/>
    <w:rsid w:val="007054A7"/>
    <w:rsid w:val="00705A1D"/>
    <w:rsid w:val="00705B2F"/>
    <w:rsid w:val="00705B99"/>
    <w:rsid w:val="00705BB0"/>
    <w:rsid w:val="00705C17"/>
    <w:rsid w:val="00705C30"/>
    <w:rsid w:val="00705D61"/>
    <w:rsid w:val="00705DC7"/>
    <w:rsid w:val="00705EA7"/>
    <w:rsid w:val="0070603A"/>
    <w:rsid w:val="00706117"/>
    <w:rsid w:val="00706157"/>
    <w:rsid w:val="007061B1"/>
    <w:rsid w:val="007061C5"/>
    <w:rsid w:val="0070625F"/>
    <w:rsid w:val="00706279"/>
    <w:rsid w:val="00706504"/>
    <w:rsid w:val="007065E9"/>
    <w:rsid w:val="00706607"/>
    <w:rsid w:val="0070663B"/>
    <w:rsid w:val="00706778"/>
    <w:rsid w:val="0070679E"/>
    <w:rsid w:val="007067EB"/>
    <w:rsid w:val="007068A5"/>
    <w:rsid w:val="00706913"/>
    <w:rsid w:val="00706987"/>
    <w:rsid w:val="00706AE7"/>
    <w:rsid w:val="00706B0B"/>
    <w:rsid w:val="00706B18"/>
    <w:rsid w:val="00706B3C"/>
    <w:rsid w:val="00706B53"/>
    <w:rsid w:val="00706B73"/>
    <w:rsid w:val="00706CB8"/>
    <w:rsid w:val="00706EA6"/>
    <w:rsid w:val="00707011"/>
    <w:rsid w:val="0070721E"/>
    <w:rsid w:val="007074BF"/>
    <w:rsid w:val="007074C8"/>
    <w:rsid w:val="007076F2"/>
    <w:rsid w:val="00707818"/>
    <w:rsid w:val="007078E5"/>
    <w:rsid w:val="00707912"/>
    <w:rsid w:val="00707A80"/>
    <w:rsid w:val="00707B3E"/>
    <w:rsid w:val="00707CDB"/>
    <w:rsid w:val="00707EAA"/>
    <w:rsid w:val="00707EF4"/>
    <w:rsid w:val="00710008"/>
    <w:rsid w:val="0071000B"/>
    <w:rsid w:val="007100F9"/>
    <w:rsid w:val="0071045A"/>
    <w:rsid w:val="0071053D"/>
    <w:rsid w:val="0071057B"/>
    <w:rsid w:val="007105E6"/>
    <w:rsid w:val="007108C9"/>
    <w:rsid w:val="00710A2B"/>
    <w:rsid w:val="00710C5C"/>
    <w:rsid w:val="00710C89"/>
    <w:rsid w:val="00710D3C"/>
    <w:rsid w:val="00710D49"/>
    <w:rsid w:val="00710EA7"/>
    <w:rsid w:val="00710F80"/>
    <w:rsid w:val="007114A5"/>
    <w:rsid w:val="007115F6"/>
    <w:rsid w:val="0071161E"/>
    <w:rsid w:val="00711715"/>
    <w:rsid w:val="00711780"/>
    <w:rsid w:val="00711829"/>
    <w:rsid w:val="007118F4"/>
    <w:rsid w:val="00711976"/>
    <w:rsid w:val="00711A0D"/>
    <w:rsid w:val="00711A6E"/>
    <w:rsid w:val="00711C1B"/>
    <w:rsid w:val="00711C6C"/>
    <w:rsid w:val="00711C7B"/>
    <w:rsid w:val="00711DA4"/>
    <w:rsid w:val="00711E11"/>
    <w:rsid w:val="00711E39"/>
    <w:rsid w:val="00711F41"/>
    <w:rsid w:val="0071279F"/>
    <w:rsid w:val="007129BC"/>
    <w:rsid w:val="007129D9"/>
    <w:rsid w:val="007129E4"/>
    <w:rsid w:val="00712A54"/>
    <w:rsid w:val="00712B03"/>
    <w:rsid w:val="00712C94"/>
    <w:rsid w:val="00712CE2"/>
    <w:rsid w:val="00712D69"/>
    <w:rsid w:val="00712D81"/>
    <w:rsid w:val="00712F05"/>
    <w:rsid w:val="00712FD5"/>
    <w:rsid w:val="0071322D"/>
    <w:rsid w:val="007134C7"/>
    <w:rsid w:val="007135C6"/>
    <w:rsid w:val="007135D8"/>
    <w:rsid w:val="007135F1"/>
    <w:rsid w:val="00713651"/>
    <w:rsid w:val="007138BA"/>
    <w:rsid w:val="00713DDE"/>
    <w:rsid w:val="00713E8A"/>
    <w:rsid w:val="00713EC9"/>
    <w:rsid w:val="00713FAB"/>
    <w:rsid w:val="00714233"/>
    <w:rsid w:val="00714239"/>
    <w:rsid w:val="0071434D"/>
    <w:rsid w:val="00714453"/>
    <w:rsid w:val="007144B1"/>
    <w:rsid w:val="007145A5"/>
    <w:rsid w:val="0071462C"/>
    <w:rsid w:val="0071462E"/>
    <w:rsid w:val="00714682"/>
    <w:rsid w:val="00714703"/>
    <w:rsid w:val="007147AD"/>
    <w:rsid w:val="007147BE"/>
    <w:rsid w:val="007148EC"/>
    <w:rsid w:val="0071499D"/>
    <w:rsid w:val="00714A2E"/>
    <w:rsid w:val="00714ACF"/>
    <w:rsid w:val="00714BF6"/>
    <w:rsid w:val="00714C96"/>
    <w:rsid w:val="00714CB4"/>
    <w:rsid w:val="00714CCD"/>
    <w:rsid w:val="00714FEC"/>
    <w:rsid w:val="00715059"/>
    <w:rsid w:val="00715129"/>
    <w:rsid w:val="007154C8"/>
    <w:rsid w:val="00715589"/>
    <w:rsid w:val="00715637"/>
    <w:rsid w:val="00715654"/>
    <w:rsid w:val="0071571D"/>
    <w:rsid w:val="007157F3"/>
    <w:rsid w:val="0071580D"/>
    <w:rsid w:val="007158F5"/>
    <w:rsid w:val="00715947"/>
    <w:rsid w:val="007159E0"/>
    <w:rsid w:val="00715C48"/>
    <w:rsid w:val="00715CDD"/>
    <w:rsid w:val="00715DB8"/>
    <w:rsid w:val="00715E08"/>
    <w:rsid w:val="00715F62"/>
    <w:rsid w:val="00716006"/>
    <w:rsid w:val="00716008"/>
    <w:rsid w:val="0071611E"/>
    <w:rsid w:val="0071613E"/>
    <w:rsid w:val="007161E0"/>
    <w:rsid w:val="0071626A"/>
    <w:rsid w:val="007162EA"/>
    <w:rsid w:val="0071635D"/>
    <w:rsid w:val="0071640B"/>
    <w:rsid w:val="0071644F"/>
    <w:rsid w:val="007165B9"/>
    <w:rsid w:val="007168A6"/>
    <w:rsid w:val="007169B3"/>
    <w:rsid w:val="00716A00"/>
    <w:rsid w:val="00716A7C"/>
    <w:rsid w:val="00716D38"/>
    <w:rsid w:val="00716DF5"/>
    <w:rsid w:val="00716FFC"/>
    <w:rsid w:val="00717404"/>
    <w:rsid w:val="007174F3"/>
    <w:rsid w:val="00717551"/>
    <w:rsid w:val="00717576"/>
    <w:rsid w:val="007177BF"/>
    <w:rsid w:val="007177E9"/>
    <w:rsid w:val="00717802"/>
    <w:rsid w:val="00717D18"/>
    <w:rsid w:val="00717D33"/>
    <w:rsid w:val="00717E83"/>
    <w:rsid w:val="0072005E"/>
    <w:rsid w:val="00720234"/>
    <w:rsid w:val="0072041D"/>
    <w:rsid w:val="007204EC"/>
    <w:rsid w:val="00720541"/>
    <w:rsid w:val="007207D2"/>
    <w:rsid w:val="00720A59"/>
    <w:rsid w:val="00720B3E"/>
    <w:rsid w:val="00720B4E"/>
    <w:rsid w:val="00720C45"/>
    <w:rsid w:val="00720C77"/>
    <w:rsid w:val="00720D7E"/>
    <w:rsid w:val="00720FF7"/>
    <w:rsid w:val="00721257"/>
    <w:rsid w:val="007212A6"/>
    <w:rsid w:val="007212A9"/>
    <w:rsid w:val="007212AD"/>
    <w:rsid w:val="00721673"/>
    <w:rsid w:val="007216E0"/>
    <w:rsid w:val="007217E7"/>
    <w:rsid w:val="0072188D"/>
    <w:rsid w:val="0072198E"/>
    <w:rsid w:val="007219C2"/>
    <w:rsid w:val="007219FA"/>
    <w:rsid w:val="00721A64"/>
    <w:rsid w:val="00721B19"/>
    <w:rsid w:val="00721BAC"/>
    <w:rsid w:val="00721C85"/>
    <w:rsid w:val="00721D80"/>
    <w:rsid w:val="00721E37"/>
    <w:rsid w:val="00721ED8"/>
    <w:rsid w:val="007220AD"/>
    <w:rsid w:val="0072212C"/>
    <w:rsid w:val="00722159"/>
    <w:rsid w:val="0072215C"/>
    <w:rsid w:val="00722215"/>
    <w:rsid w:val="007222B2"/>
    <w:rsid w:val="00722313"/>
    <w:rsid w:val="00722409"/>
    <w:rsid w:val="00722486"/>
    <w:rsid w:val="007226B8"/>
    <w:rsid w:val="0072271C"/>
    <w:rsid w:val="00722767"/>
    <w:rsid w:val="00722896"/>
    <w:rsid w:val="00722940"/>
    <w:rsid w:val="0072294F"/>
    <w:rsid w:val="007229E4"/>
    <w:rsid w:val="00722A8E"/>
    <w:rsid w:val="00722AA6"/>
    <w:rsid w:val="00722AC5"/>
    <w:rsid w:val="00722B51"/>
    <w:rsid w:val="00722D78"/>
    <w:rsid w:val="00722E10"/>
    <w:rsid w:val="00722EB4"/>
    <w:rsid w:val="00723051"/>
    <w:rsid w:val="00723099"/>
    <w:rsid w:val="00723124"/>
    <w:rsid w:val="0072313A"/>
    <w:rsid w:val="00723327"/>
    <w:rsid w:val="00723556"/>
    <w:rsid w:val="007236C9"/>
    <w:rsid w:val="007238C3"/>
    <w:rsid w:val="007239E5"/>
    <w:rsid w:val="00723C29"/>
    <w:rsid w:val="00723C74"/>
    <w:rsid w:val="00723E93"/>
    <w:rsid w:val="007240F1"/>
    <w:rsid w:val="0072413A"/>
    <w:rsid w:val="0072413F"/>
    <w:rsid w:val="007243B5"/>
    <w:rsid w:val="00724455"/>
    <w:rsid w:val="007244D2"/>
    <w:rsid w:val="0072452D"/>
    <w:rsid w:val="0072459A"/>
    <w:rsid w:val="00724854"/>
    <w:rsid w:val="00724878"/>
    <w:rsid w:val="007249A7"/>
    <w:rsid w:val="007249DC"/>
    <w:rsid w:val="007249E2"/>
    <w:rsid w:val="00724A0C"/>
    <w:rsid w:val="00725063"/>
    <w:rsid w:val="007253A2"/>
    <w:rsid w:val="007253F4"/>
    <w:rsid w:val="007254A7"/>
    <w:rsid w:val="0072568A"/>
    <w:rsid w:val="0072572F"/>
    <w:rsid w:val="00725768"/>
    <w:rsid w:val="007257B0"/>
    <w:rsid w:val="007257F6"/>
    <w:rsid w:val="00725853"/>
    <w:rsid w:val="007258BD"/>
    <w:rsid w:val="007258F7"/>
    <w:rsid w:val="007258FB"/>
    <w:rsid w:val="00725951"/>
    <w:rsid w:val="00725956"/>
    <w:rsid w:val="00725BA4"/>
    <w:rsid w:val="00725E10"/>
    <w:rsid w:val="00725F2E"/>
    <w:rsid w:val="007260E0"/>
    <w:rsid w:val="007260EA"/>
    <w:rsid w:val="0072617F"/>
    <w:rsid w:val="00726375"/>
    <w:rsid w:val="007263A9"/>
    <w:rsid w:val="0072652F"/>
    <w:rsid w:val="0072655B"/>
    <w:rsid w:val="0072675A"/>
    <w:rsid w:val="0072675F"/>
    <w:rsid w:val="007267FF"/>
    <w:rsid w:val="0072683A"/>
    <w:rsid w:val="0072683C"/>
    <w:rsid w:val="00726983"/>
    <w:rsid w:val="00726BD1"/>
    <w:rsid w:val="00726C01"/>
    <w:rsid w:val="00726C16"/>
    <w:rsid w:val="00726C34"/>
    <w:rsid w:val="00726D2B"/>
    <w:rsid w:val="00726E84"/>
    <w:rsid w:val="00726FB7"/>
    <w:rsid w:val="00727415"/>
    <w:rsid w:val="0072746C"/>
    <w:rsid w:val="00727488"/>
    <w:rsid w:val="00727570"/>
    <w:rsid w:val="00727616"/>
    <w:rsid w:val="0072761D"/>
    <w:rsid w:val="0072776D"/>
    <w:rsid w:val="0072782E"/>
    <w:rsid w:val="007279A5"/>
    <w:rsid w:val="00727A89"/>
    <w:rsid w:val="00727C67"/>
    <w:rsid w:val="00727F51"/>
    <w:rsid w:val="007301EA"/>
    <w:rsid w:val="00730343"/>
    <w:rsid w:val="007305AD"/>
    <w:rsid w:val="00730619"/>
    <w:rsid w:val="007306F2"/>
    <w:rsid w:val="00730750"/>
    <w:rsid w:val="00730761"/>
    <w:rsid w:val="007307AD"/>
    <w:rsid w:val="00730806"/>
    <w:rsid w:val="007308BA"/>
    <w:rsid w:val="0073099E"/>
    <w:rsid w:val="00730A2E"/>
    <w:rsid w:val="00730A67"/>
    <w:rsid w:val="00730AAF"/>
    <w:rsid w:val="00730B08"/>
    <w:rsid w:val="00730CBD"/>
    <w:rsid w:val="00730CF5"/>
    <w:rsid w:val="00730E40"/>
    <w:rsid w:val="00730EB8"/>
    <w:rsid w:val="00730ED2"/>
    <w:rsid w:val="00731046"/>
    <w:rsid w:val="007310C9"/>
    <w:rsid w:val="007310F3"/>
    <w:rsid w:val="007311CF"/>
    <w:rsid w:val="007311F4"/>
    <w:rsid w:val="0073134C"/>
    <w:rsid w:val="00731409"/>
    <w:rsid w:val="0073154F"/>
    <w:rsid w:val="0073160D"/>
    <w:rsid w:val="007317B7"/>
    <w:rsid w:val="00731944"/>
    <w:rsid w:val="00731A19"/>
    <w:rsid w:val="00731D14"/>
    <w:rsid w:val="00732019"/>
    <w:rsid w:val="00732096"/>
    <w:rsid w:val="00732319"/>
    <w:rsid w:val="0073238C"/>
    <w:rsid w:val="0073238E"/>
    <w:rsid w:val="007324FA"/>
    <w:rsid w:val="00732698"/>
    <w:rsid w:val="0073270F"/>
    <w:rsid w:val="00732766"/>
    <w:rsid w:val="007327EE"/>
    <w:rsid w:val="00732853"/>
    <w:rsid w:val="007329A2"/>
    <w:rsid w:val="007329B9"/>
    <w:rsid w:val="00732A89"/>
    <w:rsid w:val="00732B20"/>
    <w:rsid w:val="00732B3B"/>
    <w:rsid w:val="00732B48"/>
    <w:rsid w:val="007331B6"/>
    <w:rsid w:val="0073321E"/>
    <w:rsid w:val="007334E8"/>
    <w:rsid w:val="007335E1"/>
    <w:rsid w:val="00733696"/>
    <w:rsid w:val="00733793"/>
    <w:rsid w:val="0073396E"/>
    <w:rsid w:val="00733EEF"/>
    <w:rsid w:val="00733F44"/>
    <w:rsid w:val="00734185"/>
    <w:rsid w:val="0073423B"/>
    <w:rsid w:val="0073425E"/>
    <w:rsid w:val="007344B2"/>
    <w:rsid w:val="007344B4"/>
    <w:rsid w:val="00734505"/>
    <w:rsid w:val="00734649"/>
    <w:rsid w:val="00734ABE"/>
    <w:rsid w:val="00734DA3"/>
    <w:rsid w:val="00734DD9"/>
    <w:rsid w:val="007350D9"/>
    <w:rsid w:val="007352DC"/>
    <w:rsid w:val="007354B0"/>
    <w:rsid w:val="00735530"/>
    <w:rsid w:val="00735622"/>
    <w:rsid w:val="0073564E"/>
    <w:rsid w:val="007356B7"/>
    <w:rsid w:val="0073577A"/>
    <w:rsid w:val="007357E1"/>
    <w:rsid w:val="0073587A"/>
    <w:rsid w:val="007358C9"/>
    <w:rsid w:val="007358D6"/>
    <w:rsid w:val="00735959"/>
    <w:rsid w:val="00735A70"/>
    <w:rsid w:val="00735C6B"/>
    <w:rsid w:val="00735C82"/>
    <w:rsid w:val="00735CFA"/>
    <w:rsid w:val="00735D00"/>
    <w:rsid w:val="00735DD4"/>
    <w:rsid w:val="00735F69"/>
    <w:rsid w:val="00735F70"/>
    <w:rsid w:val="00736001"/>
    <w:rsid w:val="00736171"/>
    <w:rsid w:val="00736429"/>
    <w:rsid w:val="00736546"/>
    <w:rsid w:val="0073667C"/>
    <w:rsid w:val="007366FF"/>
    <w:rsid w:val="007368BD"/>
    <w:rsid w:val="007368C6"/>
    <w:rsid w:val="00736A0D"/>
    <w:rsid w:val="00736A45"/>
    <w:rsid w:val="00736AA6"/>
    <w:rsid w:val="00736BC2"/>
    <w:rsid w:val="00736C35"/>
    <w:rsid w:val="00736E82"/>
    <w:rsid w:val="007370D7"/>
    <w:rsid w:val="0073713B"/>
    <w:rsid w:val="007371D5"/>
    <w:rsid w:val="00737255"/>
    <w:rsid w:val="007373AC"/>
    <w:rsid w:val="007373EB"/>
    <w:rsid w:val="00737409"/>
    <w:rsid w:val="007374D9"/>
    <w:rsid w:val="0073761A"/>
    <w:rsid w:val="00737863"/>
    <w:rsid w:val="00737A42"/>
    <w:rsid w:val="00737B45"/>
    <w:rsid w:val="00737C14"/>
    <w:rsid w:val="00737C88"/>
    <w:rsid w:val="00737CCC"/>
    <w:rsid w:val="00737DD5"/>
    <w:rsid w:val="007400D2"/>
    <w:rsid w:val="0074028F"/>
    <w:rsid w:val="00740708"/>
    <w:rsid w:val="007408DA"/>
    <w:rsid w:val="00740B06"/>
    <w:rsid w:val="00740E05"/>
    <w:rsid w:val="00740F42"/>
    <w:rsid w:val="00741038"/>
    <w:rsid w:val="007412C2"/>
    <w:rsid w:val="007414DB"/>
    <w:rsid w:val="0074164B"/>
    <w:rsid w:val="00741738"/>
    <w:rsid w:val="00741917"/>
    <w:rsid w:val="00741A56"/>
    <w:rsid w:val="00741B9F"/>
    <w:rsid w:val="00741DA1"/>
    <w:rsid w:val="00741E88"/>
    <w:rsid w:val="00741EBF"/>
    <w:rsid w:val="00741F6D"/>
    <w:rsid w:val="0074204A"/>
    <w:rsid w:val="00742063"/>
    <w:rsid w:val="007420EF"/>
    <w:rsid w:val="0074227B"/>
    <w:rsid w:val="007422E8"/>
    <w:rsid w:val="007422FD"/>
    <w:rsid w:val="007423D3"/>
    <w:rsid w:val="007424D1"/>
    <w:rsid w:val="0074256F"/>
    <w:rsid w:val="00742638"/>
    <w:rsid w:val="007426AB"/>
    <w:rsid w:val="00742932"/>
    <w:rsid w:val="00742A12"/>
    <w:rsid w:val="00742B7A"/>
    <w:rsid w:val="00742BBC"/>
    <w:rsid w:val="00742BC0"/>
    <w:rsid w:val="00742C12"/>
    <w:rsid w:val="00742F2F"/>
    <w:rsid w:val="007430FC"/>
    <w:rsid w:val="00743194"/>
    <w:rsid w:val="00743279"/>
    <w:rsid w:val="00743365"/>
    <w:rsid w:val="007433B7"/>
    <w:rsid w:val="00743667"/>
    <w:rsid w:val="00743685"/>
    <w:rsid w:val="007436C6"/>
    <w:rsid w:val="007436EE"/>
    <w:rsid w:val="007436F6"/>
    <w:rsid w:val="00743814"/>
    <w:rsid w:val="007439ED"/>
    <w:rsid w:val="00743A41"/>
    <w:rsid w:val="00743B89"/>
    <w:rsid w:val="00743CF6"/>
    <w:rsid w:val="00743D96"/>
    <w:rsid w:val="00743DC4"/>
    <w:rsid w:val="00744011"/>
    <w:rsid w:val="00744180"/>
    <w:rsid w:val="00744241"/>
    <w:rsid w:val="007443A5"/>
    <w:rsid w:val="00744502"/>
    <w:rsid w:val="00744586"/>
    <w:rsid w:val="00744902"/>
    <w:rsid w:val="0074493A"/>
    <w:rsid w:val="0074498C"/>
    <w:rsid w:val="00744B0E"/>
    <w:rsid w:val="00744C71"/>
    <w:rsid w:val="00744CAB"/>
    <w:rsid w:val="00744CE9"/>
    <w:rsid w:val="00744ECE"/>
    <w:rsid w:val="00744EF7"/>
    <w:rsid w:val="00744FDC"/>
    <w:rsid w:val="00745269"/>
    <w:rsid w:val="007453A4"/>
    <w:rsid w:val="0074547E"/>
    <w:rsid w:val="00745980"/>
    <w:rsid w:val="00745A57"/>
    <w:rsid w:val="00745C67"/>
    <w:rsid w:val="00745E27"/>
    <w:rsid w:val="00745F12"/>
    <w:rsid w:val="00745F3B"/>
    <w:rsid w:val="00746214"/>
    <w:rsid w:val="0074634B"/>
    <w:rsid w:val="0074651A"/>
    <w:rsid w:val="0074666A"/>
    <w:rsid w:val="007466B6"/>
    <w:rsid w:val="007467BD"/>
    <w:rsid w:val="007467D6"/>
    <w:rsid w:val="00746A11"/>
    <w:rsid w:val="00746D1A"/>
    <w:rsid w:val="00746E1F"/>
    <w:rsid w:val="00746F26"/>
    <w:rsid w:val="00746F39"/>
    <w:rsid w:val="00746FB8"/>
    <w:rsid w:val="00746FCA"/>
    <w:rsid w:val="00746FE6"/>
    <w:rsid w:val="0074701C"/>
    <w:rsid w:val="007470C9"/>
    <w:rsid w:val="0074726A"/>
    <w:rsid w:val="007472CF"/>
    <w:rsid w:val="00747458"/>
    <w:rsid w:val="0074775A"/>
    <w:rsid w:val="00747767"/>
    <w:rsid w:val="007479F2"/>
    <w:rsid w:val="00747A0A"/>
    <w:rsid w:val="00747B91"/>
    <w:rsid w:val="00747DAB"/>
    <w:rsid w:val="00747FFB"/>
    <w:rsid w:val="007501A8"/>
    <w:rsid w:val="007501D9"/>
    <w:rsid w:val="00750221"/>
    <w:rsid w:val="0075047A"/>
    <w:rsid w:val="0075047E"/>
    <w:rsid w:val="0075049F"/>
    <w:rsid w:val="007505DB"/>
    <w:rsid w:val="00750766"/>
    <w:rsid w:val="00750A26"/>
    <w:rsid w:val="00750D38"/>
    <w:rsid w:val="00750D45"/>
    <w:rsid w:val="00750DF8"/>
    <w:rsid w:val="00750E5E"/>
    <w:rsid w:val="0075117D"/>
    <w:rsid w:val="0075120B"/>
    <w:rsid w:val="007512A1"/>
    <w:rsid w:val="00751379"/>
    <w:rsid w:val="00751393"/>
    <w:rsid w:val="00751423"/>
    <w:rsid w:val="00751472"/>
    <w:rsid w:val="00751577"/>
    <w:rsid w:val="007515A7"/>
    <w:rsid w:val="00751673"/>
    <w:rsid w:val="00751709"/>
    <w:rsid w:val="00751760"/>
    <w:rsid w:val="00751B0B"/>
    <w:rsid w:val="00751B19"/>
    <w:rsid w:val="00751C19"/>
    <w:rsid w:val="00751F15"/>
    <w:rsid w:val="00751F91"/>
    <w:rsid w:val="00752000"/>
    <w:rsid w:val="007521F8"/>
    <w:rsid w:val="007522F3"/>
    <w:rsid w:val="0075239F"/>
    <w:rsid w:val="0075282A"/>
    <w:rsid w:val="007528F6"/>
    <w:rsid w:val="00752926"/>
    <w:rsid w:val="00752B99"/>
    <w:rsid w:val="00752CCC"/>
    <w:rsid w:val="00752D75"/>
    <w:rsid w:val="00752D7F"/>
    <w:rsid w:val="00752DBA"/>
    <w:rsid w:val="00752E43"/>
    <w:rsid w:val="00753042"/>
    <w:rsid w:val="007530B3"/>
    <w:rsid w:val="00753319"/>
    <w:rsid w:val="007533A4"/>
    <w:rsid w:val="0075350E"/>
    <w:rsid w:val="00753745"/>
    <w:rsid w:val="007537F7"/>
    <w:rsid w:val="00753919"/>
    <w:rsid w:val="00753A55"/>
    <w:rsid w:val="00753A9F"/>
    <w:rsid w:val="00753AA0"/>
    <w:rsid w:val="00753B21"/>
    <w:rsid w:val="00753B90"/>
    <w:rsid w:val="00753C46"/>
    <w:rsid w:val="00753E01"/>
    <w:rsid w:val="007541E9"/>
    <w:rsid w:val="00754215"/>
    <w:rsid w:val="00754231"/>
    <w:rsid w:val="00754320"/>
    <w:rsid w:val="0075436C"/>
    <w:rsid w:val="0075443F"/>
    <w:rsid w:val="0075477C"/>
    <w:rsid w:val="0075485E"/>
    <w:rsid w:val="00754953"/>
    <w:rsid w:val="007549EE"/>
    <w:rsid w:val="00754A9F"/>
    <w:rsid w:val="00754CAC"/>
    <w:rsid w:val="00754DBD"/>
    <w:rsid w:val="00754E8B"/>
    <w:rsid w:val="00754F25"/>
    <w:rsid w:val="00755636"/>
    <w:rsid w:val="0075563E"/>
    <w:rsid w:val="0075580C"/>
    <w:rsid w:val="0075586D"/>
    <w:rsid w:val="00755BE2"/>
    <w:rsid w:val="00755C33"/>
    <w:rsid w:val="00755C8B"/>
    <w:rsid w:val="00755F0A"/>
    <w:rsid w:val="00756040"/>
    <w:rsid w:val="007560D0"/>
    <w:rsid w:val="00756109"/>
    <w:rsid w:val="00756319"/>
    <w:rsid w:val="007563FA"/>
    <w:rsid w:val="00756429"/>
    <w:rsid w:val="0075642E"/>
    <w:rsid w:val="007565A8"/>
    <w:rsid w:val="0075672A"/>
    <w:rsid w:val="0075683E"/>
    <w:rsid w:val="00756A03"/>
    <w:rsid w:val="00756A99"/>
    <w:rsid w:val="00756C36"/>
    <w:rsid w:val="00756C3D"/>
    <w:rsid w:val="00756C4C"/>
    <w:rsid w:val="00756CA0"/>
    <w:rsid w:val="00756CC8"/>
    <w:rsid w:val="00756D13"/>
    <w:rsid w:val="00756F9B"/>
    <w:rsid w:val="0075703A"/>
    <w:rsid w:val="007570AA"/>
    <w:rsid w:val="007570D8"/>
    <w:rsid w:val="007570ED"/>
    <w:rsid w:val="00757151"/>
    <w:rsid w:val="0075716F"/>
    <w:rsid w:val="0075723B"/>
    <w:rsid w:val="00757572"/>
    <w:rsid w:val="00757699"/>
    <w:rsid w:val="007578C3"/>
    <w:rsid w:val="007579D9"/>
    <w:rsid w:val="007579E0"/>
    <w:rsid w:val="00757A00"/>
    <w:rsid w:val="00757C5B"/>
    <w:rsid w:val="0076013E"/>
    <w:rsid w:val="00760167"/>
    <w:rsid w:val="00760278"/>
    <w:rsid w:val="00760511"/>
    <w:rsid w:val="007605CD"/>
    <w:rsid w:val="00760635"/>
    <w:rsid w:val="00760681"/>
    <w:rsid w:val="0076090D"/>
    <w:rsid w:val="00760A07"/>
    <w:rsid w:val="00760A4A"/>
    <w:rsid w:val="00760A5E"/>
    <w:rsid w:val="00760B9E"/>
    <w:rsid w:val="00760BB4"/>
    <w:rsid w:val="0076108E"/>
    <w:rsid w:val="007610D6"/>
    <w:rsid w:val="007610DC"/>
    <w:rsid w:val="0076113A"/>
    <w:rsid w:val="0076120D"/>
    <w:rsid w:val="00761370"/>
    <w:rsid w:val="007613B3"/>
    <w:rsid w:val="00761535"/>
    <w:rsid w:val="0076155D"/>
    <w:rsid w:val="0076162D"/>
    <w:rsid w:val="007616DC"/>
    <w:rsid w:val="00761712"/>
    <w:rsid w:val="007617C0"/>
    <w:rsid w:val="007617DA"/>
    <w:rsid w:val="00761A60"/>
    <w:rsid w:val="00761D46"/>
    <w:rsid w:val="00761E0B"/>
    <w:rsid w:val="00762023"/>
    <w:rsid w:val="007621E4"/>
    <w:rsid w:val="007622C2"/>
    <w:rsid w:val="00762384"/>
    <w:rsid w:val="007623C8"/>
    <w:rsid w:val="00762490"/>
    <w:rsid w:val="007624A1"/>
    <w:rsid w:val="007624EB"/>
    <w:rsid w:val="007625E1"/>
    <w:rsid w:val="00762713"/>
    <w:rsid w:val="00762762"/>
    <w:rsid w:val="0076284F"/>
    <w:rsid w:val="00762A2B"/>
    <w:rsid w:val="00762A3B"/>
    <w:rsid w:val="00762A54"/>
    <w:rsid w:val="0076332B"/>
    <w:rsid w:val="0076340C"/>
    <w:rsid w:val="0076362B"/>
    <w:rsid w:val="00763824"/>
    <w:rsid w:val="00763B4B"/>
    <w:rsid w:val="00763BD1"/>
    <w:rsid w:val="00763C71"/>
    <w:rsid w:val="00763D15"/>
    <w:rsid w:val="00763F05"/>
    <w:rsid w:val="00763F42"/>
    <w:rsid w:val="00764173"/>
    <w:rsid w:val="007641C5"/>
    <w:rsid w:val="007642C5"/>
    <w:rsid w:val="007642D3"/>
    <w:rsid w:val="007643B4"/>
    <w:rsid w:val="0076473F"/>
    <w:rsid w:val="00764877"/>
    <w:rsid w:val="0076496D"/>
    <w:rsid w:val="00764B82"/>
    <w:rsid w:val="00764DB4"/>
    <w:rsid w:val="00764E3D"/>
    <w:rsid w:val="0076514D"/>
    <w:rsid w:val="00765174"/>
    <w:rsid w:val="0076527E"/>
    <w:rsid w:val="00765297"/>
    <w:rsid w:val="007652AF"/>
    <w:rsid w:val="007653B9"/>
    <w:rsid w:val="007653D3"/>
    <w:rsid w:val="00765423"/>
    <w:rsid w:val="00765485"/>
    <w:rsid w:val="007654BA"/>
    <w:rsid w:val="007654EE"/>
    <w:rsid w:val="007656AB"/>
    <w:rsid w:val="007656D5"/>
    <w:rsid w:val="007657BF"/>
    <w:rsid w:val="007657E6"/>
    <w:rsid w:val="0076597F"/>
    <w:rsid w:val="0076599A"/>
    <w:rsid w:val="00765CBB"/>
    <w:rsid w:val="00765DD1"/>
    <w:rsid w:val="00765ED5"/>
    <w:rsid w:val="00765F0D"/>
    <w:rsid w:val="00765FD9"/>
    <w:rsid w:val="007662E6"/>
    <w:rsid w:val="007663CF"/>
    <w:rsid w:val="00766493"/>
    <w:rsid w:val="007664B1"/>
    <w:rsid w:val="00766513"/>
    <w:rsid w:val="0076665A"/>
    <w:rsid w:val="00766743"/>
    <w:rsid w:val="00766779"/>
    <w:rsid w:val="0076680A"/>
    <w:rsid w:val="007668E9"/>
    <w:rsid w:val="007669CB"/>
    <w:rsid w:val="00766C15"/>
    <w:rsid w:val="00767073"/>
    <w:rsid w:val="00767184"/>
    <w:rsid w:val="00767488"/>
    <w:rsid w:val="0076750E"/>
    <w:rsid w:val="00767546"/>
    <w:rsid w:val="0076756B"/>
    <w:rsid w:val="007677BF"/>
    <w:rsid w:val="007678D2"/>
    <w:rsid w:val="007679DC"/>
    <w:rsid w:val="00767B8A"/>
    <w:rsid w:val="00767D43"/>
    <w:rsid w:val="00770173"/>
    <w:rsid w:val="00770243"/>
    <w:rsid w:val="007703DE"/>
    <w:rsid w:val="007704BA"/>
    <w:rsid w:val="0077062C"/>
    <w:rsid w:val="007706FA"/>
    <w:rsid w:val="00770826"/>
    <w:rsid w:val="007708C3"/>
    <w:rsid w:val="00770914"/>
    <w:rsid w:val="00770966"/>
    <w:rsid w:val="00770A96"/>
    <w:rsid w:val="00770B2E"/>
    <w:rsid w:val="00770CB7"/>
    <w:rsid w:val="00770CB9"/>
    <w:rsid w:val="00770D1E"/>
    <w:rsid w:val="00770FAD"/>
    <w:rsid w:val="0077106D"/>
    <w:rsid w:val="00771277"/>
    <w:rsid w:val="0077132C"/>
    <w:rsid w:val="00771364"/>
    <w:rsid w:val="0077147B"/>
    <w:rsid w:val="007714A9"/>
    <w:rsid w:val="0077152B"/>
    <w:rsid w:val="007715D9"/>
    <w:rsid w:val="00771724"/>
    <w:rsid w:val="0077196C"/>
    <w:rsid w:val="007719A7"/>
    <w:rsid w:val="00771BE6"/>
    <w:rsid w:val="00771CB9"/>
    <w:rsid w:val="00771CD0"/>
    <w:rsid w:val="00771F24"/>
    <w:rsid w:val="00772054"/>
    <w:rsid w:val="00772072"/>
    <w:rsid w:val="007720C4"/>
    <w:rsid w:val="00772197"/>
    <w:rsid w:val="00772229"/>
    <w:rsid w:val="00772326"/>
    <w:rsid w:val="0077233B"/>
    <w:rsid w:val="00772511"/>
    <w:rsid w:val="0077272C"/>
    <w:rsid w:val="00772791"/>
    <w:rsid w:val="00772798"/>
    <w:rsid w:val="0077290D"/>
    <w:rsid w:val="00772A14"/>
    <w:rsid w:val="00772B24"/>
    <w:rsid w:val="00772D0D"/>
    <w:rsid w:val="00772D5F"/>
    <w:rsid w:val="00772E30"/>
    <w:rsid w:val="0077347A"/>
    <w:rsid w:val="00773638"/>
    <w:rsid w:val="0077387C"/>
    <w:rsid w:val="00773A01"/>
    <w:rsid w:val="00773A84"/>
    <w:rsid w:val="00773BE0"/>
    <w:rsid w:val="00773D09"/>
    <w:rsid w:val="00773E55"/>
    <w:rsid w:val="00773F5B"/>
    <w:rsid w:val="00773FEE"/>
    <w:rsid w:val="00774171"/>
    <w:rsid w:val="007744AE"/>
    <w:rsid w:val="007744CF"/>
    <w:rsid w:val="007745FF"/>
    <w:rsid w:val="00774620"/>
    <w:rsid w:val="0077485D"/>
    <w:rsid w:val="00774A9C"/>
    <w:rsid w:val="00774ADB"/>
    <w:rsid w:val="00774AEB"/>
    <w:rsid w:val="00774B6D"/>
    <w:rsid w:val="00774C1E"/>
    <w:rsid w:val="00774D04"/>
    <w:rsid w:val="00774D79"/>
    <w:rsid w:val="007751CA"/>
    <w:rsid w:val="0077550B"/>
    <w:rsid w:val="00775728"/>
    <w:rsid w:val="00775891"/>
    <w:rsid w:val="007758D1"/>
    <w:rsid w:val="007759E1"/>
    <w:rsid w:val="00775AE0"/>
    <w:rsid w:val="00775D39"/>
    <w:rsid w:val="00775F1E"/>
    <w:rsid w:val="00775F97"/>
    <w:rsid w:val="00775FFC"/>
    <w:rsid w:val="007760BA"/>
    <w:rsid w:val="007760F8"/>
    <w:rsid w:val="0077621C"/>
    <w:rsid w:val="00776587"/>
    <w:rsid w:val="007767DD"/>
    <w:rsid w:val="00776801"/>
    <w:rsid w:val="00776924"/>
    <w:rsid w:val="00776A20"/>
    <w:rsid w:val="00776A83"/>
    <w:rsid w:val="00776B0F"/>
    <w:rsid w:val="00776C4D"/>
    <w:rsid w:val="00776C68"/>
    <w:rsid w:val="00776D5F"/>
    <w:rsid w:val="00776DD4"/>
    <w:rsid w:val="00776FB5"/>
    <w:rsid w:val="00777028"/>
    <w:rsid w:val="0077716C"/>
    <w:rsid w:val="007771D1"/>
    <w:rsid w:val="0077736E"/>
    <w:rsid w:val="00777378"/>
    <w:rsid w:val="0077739A"/>
    <w:rsid w:val="00777474"/>
    <w:rsid w:val="00777621"/>
    <w:rsid w:val="007777D8"/>
    <w:rsid w:val="00777848"/>
    <w:rsid w:val="007778D0"/>
    <w:rsid w:val="00777AD0"/>
    <w:rsid w:val="00777C15"/>
    <w:rsid w:val="00777D27"/>
    <w:rsid w:val="00777D72"/>
    <w:rsid w:val="00777F5F"/>
    <w:rsid w:val="00777F99"/>
    <w:rsid w:val="00780086"/>
    <w:rsid w:val="00780194"/>
    <w:rsid w:val="0078028E"/>
    <w:rsid w:val="00780347"/>
    <w:rsid w:val="00780580"/>
    <w:rsid w:val="0078070C"/>
    <w:rsid w:val="0078070F"/>
    <w:rsid w:val="00780714"/>
    <w:rsid w:val="0078073A"/>
    <w:rsid w:val="007807AD"/>
    <w:rsid w:val="0078083D"/>
    <w:rsid w:val="00780904"/>
    <w:rsid w:val="00780B90"/>
    <w:rsid w:val="007810D7"/>
    <w:rsid w:val="0078119A"/>
    <w:rsid w:val="007813C6"/>
    <w:rsid w:val="00781756"/>
    <w:rsid w:val="007818EC"/>
    <w:rsid w:val="00781931"/>
    <w:rsid w:val="00781A3C"/>
    <w:rsid w:val="00781A74"/>
    <w:rsid w:val="00781ABD"/>
    <w:rsid w:val="00781E4B"/>
    <w:rsid w:val="00781F80"/>
    <w:rsid w:val="00782006"/>
    <w:rsid w:val="00782079"/>
    <w:rsid w:val="007820B4"/>
    <w:rsid w:val="00782498"/>
    <w:rsid w:val="007825D5"/>
    <w:rsid w:val="007827E4"/>
    <w:rsid w:val="00782821"/>
    <w:rsid w:val="00782A98"/>
    <w:rsid w:val="00782AD9"/>
    <w:rsid w:val="00782D3E"/>
    <w:rsid w:val="00782D88"/>
    <w:rsid w:val="00782D9D"/>
    <w:rsid w:val="00782EEB"/>
    <w:rsid w:val="00782F07"/>
    <w:rsid w:val="00782F23"/>
    <w:rsid w:val="00783095"/>
    <w:rsid w:val="0078314E"/>
    <w:rsid w:val="007831F6"/>
    <w:rsid w:val="0078334E"/>
    <w:rsid w:val="007833F8"/>
    <w:rsid w:val="007835C6"/>
    <w:rsid w:val="00783677"/>
    <w:rsid w:val="007836F5"/>
    <w:rsid w:val="00783A7C"/>
    <w:rsid w:val="00783B07"/>
    <w:rsid w:val="00783C88"/>
    <w:rsid w:val="00783CA8"/>
    <w:rsid w:val="00783D2A"/>
    <w:rsid w:val="00783D4D"/>
    <w:rsid w:val="00783D8A"/>
    <w:rsid w:val="00783E64"/>
    <w:rsid w:val="00783F70"/>
    <w:rsid w:val="00783FC1"/>
    <w:rsid w:val="00784050"/>
    <w:rsid w:val="007841A0"/>
    <w:rsid w:val="007843A4"/>
    <w:rsid w:val="00784416"/>
    <w:rsid w:val="007844A9"/>
    <w:rsid w:val="00784596"/>
    <w:rsid w:val="0078463E"/>
    <w:rsid w:val="00784675"/>
    <w:rsid w:val="007847B9"/>
    <w:rsid w:val="00784848"/>
    <w:rsid w:val="007848AB"/>
    <w:rsid w:val="00784BA6"/>
    <w:rsid w:val="00784BF8"/>
    <w:rsid w:val="00784C6F"/>
    <w:rsid w:val="00784D16"/>
    <w:rsid w:val="00784DF2"/>
    <w:rsid w:val="00785047"/>
    <w:rsid w:val="007854C0"/>
    <w:rsid w:val="007854DE"/>
    <w:rsid w:val="00785505"/>
    <w:rsid w:val="0078561A"/>
    <w:rsid w:val="007856BA"/>
    <w:rsid w:val="007858CF"/>
    <w:rsid w:val="00785973"/>
    <w:rsid w:val="00785A70"/>
    <w:rsid w:val="00785B76"/>
    <w:rsid w:val="00785DE6"/>
    <w:rsid w:val="00785FDA"/>
    <w:rsid w:val="00786021"/>
    <w:rsid w:val="00786044"/>
    <w:rsid w:val="00786097"/>
    <w:rsid w:val="007860FA"/>
    <w:rsid w:val="00786228"/>
    <w:rsid w:val="0078658A"/>
    <w:rsid w:val="00786599"/>
    <w:rsid w:val="007865AD"/>
    <w:rsid w:val="00786622"/>
    <w:rsid w:val="007866E4"/>
    <w:rsid w:val="00786793"/>
    <w:rsid w:val="0078699A"/>
    <w:rsid w:val="00786A9E"/>
    <w:rsid w:val="00786B2A"/>
    <w:rsid w:val="00786B85"/>
    <w:rsid w:val="00786CDA"/>
    <w:rsid w:val="00786DC1"/>
    <w:rsid w:val="00786F6A"/>
    <w:rsid w:val="0078705A"/>
    <w:rsid w:val="0078706C"/>
    <w:rsid w:val="00787085"/>
    <w:rsid w:val="00787096"/>
    <w:rsid w:val="00787166"/>
    <w:rsid w:val="0078725E"/>
    <w:rsid w:val="00787278"/>
    <w:rsid w:val="00787308"/>
    <w:rsid w:val="00787463"/>
    <w:rsid w:val="007878B2"/>
    <w:rsid w:val="007878E3"/>
    <w:rsid w:val="00787B00"/>
    <w:rsid w:val="00787C02"/>
    <w:rsid w:val="00787C47"/>
    <w:rsid w:val="00787D7B"/>
    <w:rsid w:val="00787E48"/>
    <w:rsid w:val="00787E7E"/>
    <w:rsid w:val="00787E92"/>
    <w:rsid w:val="00787FCC"/>
    <w:rsid w:val="007900E9"/>
    <w:rsid w:val="00790102"/>
    <w:rsid w:val="007901F2"/>
    <w:rsid w:val="00790344"/>
    <w:rsid w:val="007903E1"/>
    <w:rsid w:val="007904D9"/>
    <w:rsid w:val="007905ED"/>
    <w:rsid w:val="007906E2"/>
    <w:rsid w:val="00790979"/>
    <w:rsid w:val="00790988"/>
    <w:rsid w:val="00790C0B"/>
    <w:rsid w:val="00790FCE"/>
    <w:rsid w:val="007910F4"/>
    <w:rsid w:val="0079144A"/>
    <w:rsid w:val="007916A8"/>
    <w:rsid w:val="00791BBD"/>
    <w:rsid w:val="00791CE3"/>
    <w:rsid w:val="00791DD3"/>
    <w:rsid w:val="00791F0C"/>
    <w:rsid w:val="0079201E"/>
    <w:rsid w:val="0079250F"/>
    <w:rsid w:val="007925B5"/>
    <w:rsid w:val="00792864"/>
    <w:rsid w:val="007928C7"/>
    <w:rsid w:val="0079297C"/>
    <w:rsid w:val="00792A56"/>
    <w:rsid w:val="00792A73"/>
    <w:rsid w:val="00792E12"/>
    <w:rsid w:val="00792E9A"/>
    <w:rsid w:val="00792FAE"/>
    <w:rsid w:val="00793026"/>
    <w:rsid w:val="007930A9"/>
    <w:rsid w:val="00793143"/>
    <w:rsid w:val="007931D5"/>
    <w:rsid w:val="00793560"/>
    <w:rsid w:val="00793645"/>
    <w:rsid w:val="007936E4"/>
    <w:rsid w:val="0079386D"/>
    <w:rsid w:val="007938EA"/>
    <w:rsid w:val="00793926"/>
    <w:rsid w:val="00793986"/>
    <w:rsid w:val="00793B32"/>
    <w:rsid w:val="00793CF1"/>
    <w:rsid w:val="00793DE8"/>
    <w:rsid w:val="00793E03"/>
    <w:rsid w:val="00793FCA"/>
    <w:rsid w:val="00793FF0"/>
    <w:rsid w:val="00794051"/>
    <w:rsid w:val="00794284"/>
    <w:rsid w:val="00794733"/>
    <w:rsid w:val="00794744"/>
    <w:rsid w:val="007947A1"/>
    <w:rsid w:val="00794860"/>
    <w:rsid w:val="0079486F"/>
    <w:rsid w:val="007948B5"/>
    <w:rsid w:val="0079493F"/>
    <w:rsid w:val="007949EC"/>
    <w:rsid w:val="00794AC1"/>
    <w:rsid w:val="00794CC1"/>
    <w:rsid w:val="00794CF0"/>
    <w:rsid w:val="00794DA5"/>
    <w:rsid w:val="00795150"/>
    <w:rsid w:val="0079517B"/>
    <w:rsid w:val="007952B7"/>
    <w:rsid w:val="007952F8"/>
    <w:rsid w:val="007955DF"/>
    <w:rsid w:val="007956A4"/>
    <w:rsid w:val="00795801"/>
    <w:rsid w:val="00795879"/>
    <w:rsid w:val="0079593A"/>
    <w:rsid w:val="00795B24"/>
    <w:rsid w:val="00795C10"/>
    <w:rsid w:val="00795D5B"/>
    <w:rsid w:val="00795DD1"/>
    <w:rsid w:val="00795ECA"/>
    <w:rsid w:val="00795F7D"/>
    <w:rsid w:val="00795F90"/>
    <w:rsid w:val="00795FC6"/>
    <w:rsid w:val="00796018"/>
    <w:rsid w:val="0079601C"/>
    <w:rsid w:val="0079602C"/>
    <w:rsid w:val="00796209"/>
    <w:rsid w:val="0079621B"/>
    <w:rsid w:val="00796304"/>
    <w:rsid w:val="00796393"/>
    <w:rsid w:val="00796576"/>
    <w:rsid w:val="0079668C"/>
    <w:rsid w:val="007967A6"/>
    <w:rsid w:val="00796936"/>
    <w:rsid w:val="00796A00"/>
    <w:rsid w:val="00796AEC"/>
    <w:rsid w:val="00796D22"/>
    <w:rsid w:val="00796D98"/>
    <w:rsid w:val="00796E92"/>
    <w:rsid w:val="00797327"/>
    <w:rsid w:val="0079739E"/>
    <w:rsid w:val="00797569"/>
    <w:rsid w:val="00797689"/>
    <w:rsid w:val="0079774D"/>
    <w:rsid w:val="007A0032"/>
    <w:rsid w:val="007A0060"/>
    <w:rsid w:val="007A00CB"/>
    <w:rsid w:val="007A00D7"/>
    <w:rsid w:val="007A011D"/>
    <w:rsid w:val="007A028A"/>
    <w:rsid w:val="007A02FB"/>
    <w:rsid w:val="007A0593"/>
    <w:rsid w:val="007A05E9"/>
    <w:rsid w:val="007A07AF"/>
    <w:rsid w:val="007A0818"/>
    <w:rsid w:val="007A0BFC"/>
    <w:rsid w:val="007A0BFE"/>
    <w:rsid w:val="007A0DB4"/>
    <w:rsid w:val="007A0E74"/>
    <w:rsid w:val="007A0EEF"/>
    <w:rsid w:val="007A0F89"/>
    <w:rsid w:val="007A10CE"/>
    <w:rsid w:val="007A12AE"/>
    <w:rsid w:val="007A160F"/>
    <w:rsid w:val="007A1926"/>
    <w:rsid w:val="007A199B"/>
    <w:rsid w:val="007A19D7"/>
    <w:rsid w:val="007A1B48"/>
    <w:rsid w:val="007A1C4F"/>
    <w:rsid w:val="007A1C66"/>
    <w:rsid w:val="007A1C83"/>
    <w:rsid w:val="007A1CC6"/>
    <w:rsid w:val="007A1EFC"/>
    <w:rsid w:val="007A1FBE"/>
    <w:rsid w:val="007A20C0"/>
    <w:rsid w:val="007A2139"/>
    <w:rsid w:val="007A21E5"/>
    <w:rsid w:val="007A22E1"/>
    <w:rsid w:val="007A2357"/>
    <w:rsid w:val="007A25CA"/>
    <w:rsid w:val="007A27B6"/>
    <w:rsid w:val="007A27E6"/>
    <w:rsid w:val="007A2B57"/>
    <w:rsid w:val="007A2B8E"/>
    <w:rsid w:val="007A2CFC"/>
    <w:rsid w:val="007A2D94"/>
    <w:rsid w:val="007A313E"/>
    <w:rsid w:val="007A31D1"/>
    <w:rsid w:val="007A320E"/>
    <w:rsid w:val="007A32A6"/>
    <w:rsid w:val="007A348C"/>
    <w:rsid w:val="007A3A12"/>
    <w:rsid w:val="007A3A51"/>
    <w:rsid w:val="007A3B73"/>
    <w:rsid w:val="007A3BBD"/>
    <w:rsid w:val="007A3D8F"/>
    <w:rsid w:val="007A3FFB"/>
    <w:rsid w:val="007A40E4"/>
    <w:rsid w:val="007A413A"/>
    <w:rsid w:val="007A4376"/>
    <w:rsid w:val="007A43CF"/>
    <w:rsid w:val="007A43EA"/>
    <w:rsid w:val="007A45C5"/>
    <w:rsid w:val="007A461B"/>
    <w:rsid w:val="007A475B"/>
    <w:rsid w:val="007A483B"/>
    <w:rsid w:val="007A4D04"/>
    <w:rsid w:val="007A4D5E"/>
    <w:rsid w:val="007A4EEA"/>
    <w:rsid w:val="007A5213"/>
    <w:rsid w:val="007A5385"/>
    <w:rsid w:val="007A54AB"/>
    <w:rsid w:val="007A55C2"/>
    <w:rsid w:val="007A5871"/>
    <w:rsid w:val="007A590C"/>
    <w:rsid w:val="007A59FF"/>
    <w:rsid w:val="007A5A1D"/>
    <w:rsid w:val="007A5CD3"/>
    <w:rsid w:val="007A5CF2"/>
    <w:rsid w:val="007A5E6A"/>
    <w:rsid w:val="007A5E9B"/>
    <w:rsid w:val="007A602B"/>
    <w:rsid w:val="007A604E"/>
    <w:rsid w:val="007A6318"/>
    <w:rsid w:val="007A635A"/>
    <w:rsid w:val="007A66FA"/>
    <w:rsid w:val="007A6799"/>
    <w:rsid w:val="007A69D2"/>
    <w:rsid w:val="007A6A56"/>
    <w:rsid w:val="007A6AAC"/>
    <w:rsid w:val="007A6CA2"/>
    <w:rsid w:val="007A6E53"/>
    <w:rsid w:val="007A6E61"/>
    <w:rsid w:val="007A6FC7"/>
    <w:rsid w:val="007A7085"/>
    <w:rsid w:val="007A7166"/>
    <w:rsid w:val="007A731A"/>
    <w:rsid w:val="007A75E1"/>
    <w:rsid w:val="007A7601"/>
    <w:rsid w:val="007A76A5"/>
    <w:rsid w:val="007A774C"/>
    <w:rsid w:val="007A7808"/>
    <w:rsid w:val="007A78BE"/>
    <w:rsid w:val="007A7A2C"/>
    <w:rsid w:val="007A7B00"/>
    <w:rsid w:val="007A7CBC"/>
    <w:rsid w:val="007A7D7D"/>
    <w:rsid w:val="007A7D7F"/>
    <w:rsid w:val="007A7DA0"/>
    <w:rsid w:val="007A7E08"/>
    <w:rsid w:val="007A7E42"/>
    <w:rsid w:val="007A7E46"/>
    <w:rsid w:val="007A7F0B"/>
    <w:rsid w:val="007A7F18"/>
    <w:rsid w:val="007A7F90"/>
    <w:rsid w:val="007B0051"/>
    <w:rsid w:val="007B0100"/>
    <w:rsid w:val="007B0386"/>
    <w:rsid w:val="007B05F7"/>
    <w:rsid w:val="007B06D5"/>
    <w:rsid w:val="007B0780"/>
    <w:rsid w:val="007B0F90"/>
    <w:rsid w:val="007B0FED"/>
    <w:rsid w:val="007B12D2"/>
    <w:rsid w:val="007B1403"/>
    <w:rsid w:val="007B146E"/>
    <w:rsid w:val="007B1549"/>
    <w:rsid w:val="007B15C8"/>
    <w:rsid w:val="007B16B8"/>
    <w:rsid w:val="007B1864"/>
    <w:rsid w:val="007B1943"/>
    <w:rsid w:val="007B1965"/>
    <w:rsid w:val="007B1A71"/>
    <w:rsid w:val="007B1A9B"/>
    <w:rsid w:val="007B1B3A"/>
    <w:rsid w:val="007B1CDB"/>
    <w:rsid w:val="007B1DBF"/>
    <w:rsid w:val="007B1DDA"/>
    <w:rsid w:val="007B2161"/>
    <w:rsid w:val="007B21C1"/>
    <w:rsid w:val="007B21D4"/>
    <w:rsid w:val="007B21E9"/>
    <w:rsid w:val="007B2492"/>
    <w:rsid w:val="007B2760"/>
    <w:rsid w:val="007B27DE"/>
    <w:rsid w:val="007B28CA"/>
    <w:rsid w:val="007B2921"/>
    <w:rsid w:val="007B29E3"/>
    <w:rsid w:val="007B2C30"/>
    <w:rsid w:val="007B2DAA"/>
    <w:rsid w:val="007B2E0F"/>
    <w:rsid w:val="007B2E33"/>
    <w:rsid w:val="007B2FD4"/>
    <w:rsid w:val="007B3215"/>
    <w:rsid w:val="007B321A"/>
    <w:rsid w:val="007B3278"/>
    <w:rsid w:val="007B335D"/>
    <w:rsid w:val="007B3417"/>
    <w:rsid w:val="007B342D"/>
    <w:rsid w:val="007B343E"/>
    <w:rsid w:val="007B34E5"/>
    <w:rsid w:val="007B35FD"/>
    <w:rsid w:val="007B3603"/>
    <w:rsid w:val="007B3666"/>
    <w:rsid w:val="007B3C9C"/>
    <w:rsid w:val="007B3D08"/>
    <w:rsid w:val="007B3DD7"/>
    <w:rsid w:val="007B3E80"/>
    <w:rsid w:val="007B402B"/>
    <w:rsid w:val="007B407B"/>
    <w:rsid w:val="007B4203"/>
    <w:rsid w:val="007B44E6"/>
    <w:rsid w:val="007B4555"/>
    <w:rsid w:val="007B4881"/>
    <w:rsid w:val="007B4933"/>
    <w:rsid w:val="007B4AA6"/>
    <w:rsid w:val="007B4B2D"/>
    <w:rsid w:val="007B4D63"/>
    <w:rsid w:val="007B4EDA"/>
    <w:rsid w:val="007B4F98"/>
    <w:rsid w:val="007B4FF3"/>
    <w:rsid w:val="007B50CD"/>
    <w:rsid w:val="007B51EE"/>
    <w:rsid w:val="007B5377"/>
    <w:rsid w:val="007B53CD"/>
    <w:rsid w:val="007B549E"/>
    <w:rsid w:val="007B577A"/>
    <w:rsid w:val="007B57D2"/>
    <w:rsid w:val="007B586C"/>
    <w:rsid w:val="007B591E"/>
    <w:rsid w:val="007B5DFF"/>
    <w:rsid w:val="007B5FB4"/>
    <w:rsid w:val="007B5FD7"/>
    <w:rsid w:val="007B61E1"/>
    <w:rsid w:val="007B6332"/>
    <w:rsid w:val="007B6435"/>
    <w:rsid w:val="007B650A"/>
    <w:rsid w:val="007B651F"/>
    <w:rsid w:val="007B6524"/>
    <w:rsid w:val="007B6749"/>
    <w:rsid w:val="007B6D1F"/>
    <w:rsid w:val="007B6D37"/>
    <w:rsid w:val="007B6DBD"/>
    <w:rsid w:val="007B6F1B"/>
    <w:rsid w:val="007B7308"/>
    <w:rsid w:val="007B74AC"/>
    <w:rsid w:val="007B758E"/>
    <w:rsid w:val="007B759D"/>
    <w:rsid w:val="007B7693"/>
    <w:rsid w:val="007B7708"/>
    <w:rsid w:val="007B7790"/>
    <w:rsid w:val="007B787E"/>
    <w:rsid w:val="007B788E"/>
    <w:rsid w:val="007B7950"/>
    <w:rsid w:val="007B79BD"/>
    <w:rsid w:val="007B79DE"/>
    <w:rsid w:val="007B7A19"/>
    <w:rsid w:val="007B7A5B"/>
    <w:rsid w:val="007B7A9C"/>
    <w:rsid w:val="007B7AA7"/>
    <w:rsid w:val="007B7EDB"/>
    <w:rsid w:val="007B7EEB"/>
    <w:rsid w:val="007B7F26"/>
    <w:rsid w:val="007B7F93"/>
    <w:rsid w:val="007B7FCE"/>
    <w:rsid w:val="007B7FDB"/>
    <w:rsid w:val="007B7FEE"/>
    <w:rsid w:val="007C0016"/>
    <w:rsid w:val="007C008D"/>
    <w:rsid w:val="007C00AB"/>
    <w:rsid w:val="007C01C7"/>
    <w:rsid w:val="007C03D0"/>
    <w:rsid w:val="007C04C0"/>
    <w:rsid w:val="007C05E2"/>
    <w:rsid w:val="007C06A3"/>
    <w:rsid w:val="007C09A5"/>
    <w:rsid w:val="007C10E5"/>
    <w:rsid w:val="007C1109"/>
    <w:rsid w:val="007C1273"/>
    <w:rsid w:val="007C13BC"/>
    <w:rsid w:val="007C13D6"/>
    <w:rsid w:val="007C1409"/>
    <w:rsid w:val="007C166B"/>
    <w:rsid w:val="007C17C9"/>
    <w:rsid w:val="007C1A52"/>
    <w:rsid w:val="007C1A5F"/>
    <w:rsid w:val="007C1ABF"/>
    <w:rsid w:val="007C1D79"/>
    <w:rsid w:val="007C1D95"/>
    <w:rsid w:val="007C1E98"/>
    <w:rsid w:val="007C1FA0"/>
    <w:rsid w:val="007C1FF1"/>
    <w:rsid w:val="007C2144"/>
    <w:rsid w:val="007C2226"/>
    <w:rsid w:val="007C2334"/>
    <w:rsid w:val="007C23D8"/>
    <w:rsid w:val="007C249B"/>
    <w:rsid w:val="007C26A2"/>
    <w:rsid w:val="007C2853"/>
    <w:rsid w:val="007C28A4"/>
    <w:rsid w:val="007C2A83"/>
    <w:rsid w:val="007C2BBD"/>
    <w:rsid w:val="007C2BE4"/>
    <w:rsid w:val="007C2CBB"/>
    <w:rsid w:val="007C2D37"/>
    <w:rsid w:val="007C2E0A"/>
    <w:rsid w:val="007C2F1D"/>
    <w:rsid w:val="007C2F72"/>
    <w:rsid w:val="007C3293"/>
    <w:rsid w:val="007C335C"/>
    <w:rsid w:val="007C3533"/>
    <w:rsid w:val="007C358B"/>
    <w:rsid w:val="007C35AA"/>
    <w:rsid w:val="007C36FD"/>
    <w:rsid w:val="007C3736"/>
    <w:rsid w:val="007C3846"/>
    <w:rsid w:val="007C38D7"/>
    <w:rsid w:val="007C3AA5"/>
    <w:rsid w:val="007C3B97"/>
    <w:rsid w:val="007C3C0F"/>
    <w:rsid w:val="007C3DCD"/>
    <w:rsid w:val="007C3E6F"/>
    <w:rsid w:val="007C3FF9"/>
    <w:rsid w:val="007C4084"/>
    <w:rsid w:val="007C415C"/>
    <w:rsid w:val="007C41CC"/>
    <w:rsid w:val="007C41F2"/>
    <w:rsid w:val="007C42F8"/>
    <w:rsid w:val="007C431E"/>
    <w:rsid w:val="007C44F0"/>
    <w:rsid w:val="007C45C4"/>
    <w:rsid w:val="007C472B"/>
    <w:rsid w:val="007C483E"/>
    <w:rsid w:val="007C4853"/>
    <w:rsid w:val="007C4945"/>
    <w:rsid w:val="007C49B6"/>
    <w:rsid w:val="007C4A94"/>
    <w:rsid w:val="007C4B15"/>
    <w:rsid w:val="007C4B28"/>
    <w:rsid w:val="007C4B3E"/>
    <w:rsid w:val="007C4FF7"/>
    <w:rsid w:val="007C50B0"/>
    <w:rsid w:val="007C50D3"/>
    <w:rsid w:val="007C5175"/>
    <w:rsid w:val="007C521E"/>
    <w:rsid w:val="007C52DD"/>
    <w:rsid w:val="007C530D"/>
    <w:rsid w:val="007C5449"/>
    <w:rsid w:val="007C5537"/>
    <w:rsid w:val="007C55BF"/>
    <w:rsid w:val="007C563F"/>
    <w:rsid w:val="007C575F"/>
    <w:rsid w:val="007C5B04"/>
    <w:rsid w:val="007C5D15"/>
    <w:rsid w:val="007C6086"/>
    <w:rsid w:val="007C61CC"/>
    <w:rsid w:val="007C6213"/>
    <w:rsid w:val="007C6261"/>
    <w:rsid w:val="007C63C1"/>
    <w:rsid w:val="007C6441"/>
    <w:rsid w:val="007C64A9"/>
    <w:rsid w:val="007C65F7"/>
    <w:rsid w:val="007C668D"/>
    <w:rsid w:val="007C6832"/>
    <w:rsid w:val="007C687D"/>
    <w:rsid w:val="007C6993"/>
    <w:rsid w:val="007C6CAD"/>
    <w:rsid w:val="007C6DA2"/>
    <w:rsid w:val="007C6E06"/>
    <w:rsid w:val="007C6FBC"/>
    <w:rsid w:val="007C729E"/>
    <w:rsid w:val="007C7468"/>
    <w:rsid w:val="007C7556"/>
    <w:rsid w:val="007C758C"/>
    <w:rsid w:val="007C7755"/>
    <w:rsid w:val="007C77EC"/>
    <w:rsid w:val="007C7C11"/>
    <w:rsid w:val="007C7CDD"/>
    <w:rsid w:val="007C7D6D"/>
    <w:rsid w:val="007C7E34"/>
    <w:rsid w:val="007D00FF"/>
    <w:rsid w:val="007D0241"/>
    <w:rsid w:val="007D02D0"/>
    <w:rsid w:val="007D0518"/>
    <w:rsid w:val="007D0629"/>
    <w:rsid w:val="007D064F"/>
    <w:rsid w:val="007D0705"/>
    <w:rsid w:val="007D0737"/>
    <w:rsid w:val="007D0757"/>
    <w:rsid w:val="007D098A"/>
    <w:rsid w:val="007D0B66"/>
    <w:rsid w:val="007D0CD7"/>
    <w:rsid w:val="007D0D56"/>
    <w:rsid w:val="007D0E1F"/>
    <w:rsid w:val="007D0EEF"/>
    <w:rsid w:val="007D0EFC"/>
    <w:rsid w:val="007D0F7B"/>
    <w:rsid w:val="007D119D"/>
    <w:rsid w:val="007D11BC"/>
    <w:rsid w:val="007D13FB"/>
    <w:rsid w:val="007D1452"/>
    <w:rsid w:val="007D1493"/>
    <w:rsid w:val="007D14E9"/>
    <w:rsid w:val="007D14FE"/>
    <w:rsid w:val="007D1519"/>
    <w:rsid w:val="007D1714"/>
    <w:rsid w:val="007D18C2"/>
    <w:rsid w:val="007D190B"/>
    <w:rsid w:val="007D19A0"/>
    <w:rsid w:val="007D1A02"/>
    <w:rsid w:val="007D1A51"/>
    <w:rsid w:val="007D1B46"/>
    <w:rsid w:val="007D1D94"/>
    <w:rsid w:val="007D1E10"/>
    <w:rsid w:val="007D1EB8"/>
    <w:rsid w:val="007D1FF8"/>
    <w:rsid w:val="007D20C1"/>
    <w:rsid w:val="007D2347"/>
    <w:rsid w:val="007D2411"/>
    <w:rsid w:val="007D24A2"/>
    <w:rsid w:val="007D26EB"/>
    <w:rsid w:val="007D2702"/>
    <w:rsid w:val="007D299F"/>
    <w:rsid w:val="007D29D8"/>
    <w:rsid w:val="007D2A37"/>
    <w:rsid w:val="007D2CC9"/>
    <w:rsid w:val="007D2EB7"/>
    <w:rsid w:val="007D2FF1"/>
    <w:rsid w:val="007D301F"/>
    <w:rsid w:val="007D3037"/>
    <w:rsid w:val="007D3133"/>
    <w:rsid w:val="007D31AA"/>
    <w:rsid w:val="007D3305"/>
    <w:rsid w:val="007D33D2"/>
    <w:rsid w:val="007D34EE"/>
    <w:rsid w:val="007D35DD"/>
    <w:rsid w:val="007D37E8"/>
    <w:rsid w:val="007D3A2B"/>
    <w:rsid w:val="007D3CFD"/>
    <w:rsid w:val="007D3E5F"/>
    <w:rsid w:val="007D3F97"/>
    <w:rsid w:val="007D4298"/>
    <w:rsid w:val="007D4365"/>
    <w:rsid w:val="007D447A"/>
    <w:rsid w:val="007D4774"/>
    <w:rsid w:val="007D480B"/>
    <w:rsid w:val="007D49A5"/>
    <w:rsid w:val="007D4B7B"/>
    <w:rsid w:val="007D4B8D"/>
    <w:rsid w:val="007D4BD3"/>
    <w:rsid w:val="007D4E02"/>
    <w:rsid w:val="007D4ED9"/>
    <w:rsid w:val="007D5291"/>
    <w:rsid w:val="007D541C"/>
    <w:rsid w:val="007D5443"/>
    <w:rsid w:val="007D55BB"/>
    <w:rsid w:val="007D55E3"/>
    <w:rsid w:val="007D5609"/>
    <w:rsid w:val="007D59EC"/>
    <w:rsid w:val="007D5B78"/>
    <w:rsid w:val="007D5BDD"/>
    <w:rsid w:val="007D5CE4"/>
    <w:rsid w:val="007D5DCD"/>
    <w:rsid w:val="007D5EF5"/>
    <w:rsid w:val="007D654F"/>
    <w:rsid w:val="007D6568"/>
    <w:rsid w:val="007D68E7"/>
    <w:rsid w:val="007D6C47"/>
    <w:rsid w:val="007D6CAD"/>
    <w:rsid w:val="007D6D66"/>
    <w:rsid w:val="007D6E43"/>
    <w:rsid w:val="007D71A4"/>
    <w:rsid w:val="007D7294"/>
    <w:rsid w:val="007D7797"/>
    <w:rsid w:val="007D7876"/>
    <w:rsid w:val="007D7921"/>
    <w:rsid w:val="007D79A5"/>
    <w:rsid w:val="007D7A93"/>
    <w:rsid w:val="007D7B3A"/>
    <w:rsid w:val="007D7C19"/>
    <w:rsid w:val="007D7EA4"/>
    <w:rsid w:val="007E0021"/>
    <w:rsid w:val="007E00AB"/>
    <w:rsid w:val="007E029F"/>
    <w:rsid w:val="007E02A8"/>
    <w:rsid w:val="007E03C5"/>
    <w:rsid w:val="007E03ED"/>
    <w:rsid w:val="007E0446"/>
    <w:rsid w:val="007E04D1"/>
    <w:rsid w:val="007E057C"/>
    <w:rsid w:val="007E05B5"/>
    <w:rsid w:val="007E05D1"/>
    <w:rsid w:val="007E0685"/>
    <w:rsid w:val="007E07DE"/>
    <w:rsid w:val="007E0AAB"/>
    <w:rsid w:val="007E0BC7"/>
    <w:rsid w:val="007E0C20"/>
    <w:rsid w:val="007E0C89"/>
    <w:rsid w:val="007E0F23"/>
    <w:rsid w:val="007E0F66"/>
    <w:rsid w:val="007E112F"/>
    <w:rsid w:val="007E1305"/>
    <w:rsid w:val="007E1530"/>
    <w:rsid w:val="007E160B"/>
    <w:rsid w:val="007E16A8"/>
    <w:rsid w:val="007E16E5"/>
    <w:rsid w:val="007E1737"/>
    <w:rsid w:val="007E173D"/>
    <w:rsid w:val="007E17E0"/>
    <w:rsid w:val="007E1898"/>
    <w:rsid w:val="007E18D3"/>
    <w:rsid w:val="007E1A96"/>
    <w:rsid w:val="007E1B77"/>
    <w:rsid w:val="007E1DD7"/>
    <w:rsid w:val="007E1DEA"/>
    <w:rsid w:val="007E1F3F"/>
    <w:rsid w:val="007E1FC0"/>
    <w:rsid w:val="007E2173"/>
    <w:rsid w:val="007E2199"/>
    <w:rsid w:val="007E245D"/>
    <w:rsid w:val="007E245F"/>
    <w:rsid w:val="007E277B"/>
    <w:rsid w:val="007E281F"/>
    <w:rsid w:val="007E2883"/>
    <w:rsid w:val="007E2950"/>
    <w:rsid w:val="007E2AEC"/>
    <w:rsid w:val="007E2C33"/>
    <w:rsid w:val="007E2E2F"/>
    <w:rsid w:val="007E2EB2"/>
    <w:rsid w:val="007E30F8"/>
    <w:rsid w:val="007E3141"/>
    <w:rsid w:val="007E3161"/>
    <w:rsid w:val="007E3196"/>
    <w:rsid w:val="007E31F1"/>
    <w:rsid w:val="007E32C2"/>
    <w:rsid w:val="007E33BF"/>
    <w:rsid w:val="007E35F7"/>
    <w:rsid w:val="007E3746"/>
    <w:rsid w:val="007E378A"/>
    <w:rsid w:val="007E3959"/>
    <w:rsid w:val="007E3D09"/>
    <w:rsid w:val="007E3F83"/>
    <w:rsid w:val="007E410F"/>
    <w:rsid w:val="007E4195"/>
    <w:rsid w:val="007E4213"/>
    <w:rsid w:val="007E4216"/>
    <w:rsid w:val="007E4246"/>
    <w:rsid w:val="007E443F"/>
    <w:rsid w:val="007E447C"/>
    <w:rsid w:val="007E45F3"/>
    <w:rsid w:val="007E460D"/>
    <w:rsid w:val="007E4888"/>
    <w:rsid w:val="007E493D"/>
    <w:rsid w:val="007E4B4B"/>
    <w:rsid w:val="007E4CB9"/>
    <w:rsid w:val="007E4D41"/>
    <w:rsid w:val="007E4D6E"/>
    <w:rsid w:val="007E4E13"/>
    <w:rsid w:val="007E4F50"/>
    <w:rsid w:val="007E50F5"/>
    <w:rsid w:val="007E50F6"/>
    <w:rsid w:val="007E5364"/>
    <w:rsid w:val="007E53DB"/>
    <w:rsid w:val="007E541D"/>
    <w:rsid w:val="007E54E7"/>
    <w:rsid w:val="007E56F0"/>
    <w:rsid w:val="007E573A"/>
    <w:rsid w:val="007E5757"/>
    <w:rsid w:val="007E57F3"/>
    <w:rsid w:val="007E5A35"/>
    <w:rsid w:val="007E5A86"/>
    <w:rsid w:val="007E5B2A"/>
    <w:rsid w:val="007E5F89"/>
    <w:rsid w:val="007E5F90"/>
    <w:rsid w:val="007E5FA6"/>
    <w:rsid w:val="007E5FDD"/>
    <w:rsid w:val="007E60BC"/>
    <w:rsid w:val="007E61F3"/>
    <w:rsid w:val="007E64B2"/>
    <w:rsid w:val="007E6528"/>
    <w:rsid w:val="007E683D"/>
    <w:rsid w:val="007E685A"/>
    <w:rsid w:val="007E68A2"/>
    <w:rsid w:val="007E6918"/>
    <w:rsid w:val="007E69A0"/>
    <w:rsid w:val="007E69C0"/>
    <w:rsid w:val="007E6A6C"/>
    <w:rsid w:val="007E6ABC"/>
    <w:rsid w:val="007E6C39"/>
    <w:rsid w:val="007E6CCA"/>
    <w:rsid w:val="007E6D3C"/>
    <w:rsid w:val="007E6E8C"/>
    <w:rsid w:val="007E6EC8"/>
    <w:rsid w:val="007E6ED4"/>
    <w:rsid w:val="007E6EF1"/>
    <w:rsid w:val="007E6F47"/>
    <w:rsid w:val="007E6F50"/>
    <w:rsid w:val="007E70B2"/>
    <w:rsid w:val="007E7365"/>
    <w:rsid w:val="007E73DA"/>
    <w:rsid w:val="007E751B"/>
    <w:rsid w:val="007E75DB"/>
    <w:rsid w:val="007E761A"/>
    <w:rsid w:val="007E7819"/>
    <w:rsid w:val="007E782B"/>
    <w:rsid w:val="007E7AB2"/>
    <w:rsid w:val="007E7ADF"/>
    <w:rsid w:val="007E7B22"/>
    <w:rsid w:val="007E7B48"/>
    <w:rsid w:val="007E7B54"/>
    <w:rsid w:val="007E7C94"/>
    <w:rsid w:val="007E7CAA"/>
    <w:rsid w:val="007E7CB0"/>
    <w:rsid w:val="007E7D27"/>
    <w:rsid w:val="007E7F91"/>
    <w:rsid w:val="007F005C"/>
    <w:rsid w:val="007F0189"/>
    <w:rsid w:val="007F01C0"/>
    <w:rsid w:val="007F01CA"/>
    <w:rsid w:val="007F021A"/>
    <w:rsid w:val="007F037A"/>
    <w:rsid w:val="007F0602"/>
    <w:rsid w:val="007F0633"/>
    <w:rsid w:val="007F0878"/>
    <w:rsid w:val="007F08EB"/>
    <w:rsid w:val="007F095B"/>
    <w:rsid w:val="007F0999"/>
    <w:rsid w:val="007F0D6A"/>
    <w:rsid w:val="007F0E85"/>
    <w:rsid w:val="007F0F88"/>
    <w:rsid w:val="007F11AC"/>
    <w:rsid w:val="007F1248"/>
    <w:rsid w:val="007F14B1"/>
    <w:rsid w:val="007F14C9"/>
    <w:rsid w:val="007F1907"/>
    <w:rsid w:val="007F1A28"/>
    <w:rsid w:val="007F1A60"/>
    <w:rsid w:val="007F1CE7"/>
    <w:rsid w:val="007F1F1B"/>
    <w:rsid w:val="007F22AE"/>
    <w:rsid w:val="007F230C"/>
    <w:rsid w:val="007F23FD"/>
    <w:rsid w:val="007F243F"/>
    <w:rsid w:val="007F2526"/>
    <w:rsid w:val="007F2547"/>
    <w:rsid w:val="007F254D"/>
    <w:rsid w:val="007F258A"/>
    <w:rsid w:val="007F2633"/>
    <w:rsid w:val="007F2650"/>
    <w:rsid w:val="007F2654"/>
    <w:rsid w:val="007F2672"/>
    <w:rsid w:val="007F26CD"/>
    <w:rsid w:val="007F2843"/>
    <w:rsid w:val="007F2855"/>
    <w:rsid w:val="007F28B8"/>
    <w:rsid w:val="007F2922"/>
    <w:rsid w:val="007F29A2"/>
    <w:rsid w:val="007F29F0"/>
    <w:rsid w:val="007F2A0A"/>
    <w:rsid w:val="007F2A57"/>
    <w:rsid w:val="007F2B00"/>
    <w:rsid w:val="007F2BAF"/>
    <w:rsid w:val="007F2CBF"/>
    <w:rsid w:val="007F2CE3"/>
    <w:rsid w:val="007F2E26"/>
    <w:rsid w:val="007F2E71"/>
    <w:rsid w:val="007F2ECE"/>
    <w:rsid w:val="007F31DD"/>
    <w:rsid w:val="007F3492"/>
    <w:rsid w:val="007F3A02"/>
    <w:rsid w:val="007F3A5F"/>
    <w:rsid w:val="007F3AEF"/>
    <w:rsid w:val="007F3B06"/>
    <w:rsid w:val="007F3B32"/>
    <w:rsid w:val="007F3DF3"/>
    <w:rsid w:val="007F3FE0"/>
    <w:rsid w:val="007F430F"/>
    <w:rsid w:val="007F4365"/>
    <w:rsid w:val="007F448F"/>
    <w:rsid w:val="007F4516"/>
    <w:rsid w:val="007F457D"/>
    <w:rsid w:val="007F4669"/>
    <w:rsid w:val="007F46E4"/>
    <w:rsid w:val="007F4839"/>
    <w:rsid w:val="007F4877"/>
    <w:rsid w:val="007F48C3"/>
    <w:rsid w:val="007F4917"/>
    <w:rsid w:val="007F4AEE"/>
    <w:rsid w:val="007F4B24"/>
    <w:rsid w:val="007F4CEA"/>
    <w:rsid w:val="007F4D13"/>
    <w:rsid w:val="007F4F4E"/>
    <w:rsid w:val="007F4F70"/>
    <w:rsid w:val="007F51D7"/>
    <w:rsid w:val="007F536B"/>
    <w:rsid w:val="007F53B4"/>
    <w:rsid w:val="007F53C9"/>
    <w:rsid w:val="007F5404"/>
    <w:rsid w:val="007F5432"/>
    <w:rsid w:val="007F54F8"/>
    <w:rsid w:val="007F566B"/>
    <w:rsid w:val="007F56BC"/>
    <w:rsid w:val="007F576B"/>
    <w:rsid w:val="007F5784"/>
    <w:rsid w:val="007F5797"/>
    <w:rsid w:val="007F590C"/>
    <w:rsid w:val="007F5950"/>
    <w:rsid w:val="007F5967"/>
    <w:rsid w:val="007F5A4A"/>
    <w:rsid w:val="007F5B22"/>
    <w:rsid w:val="007F6157"/>
    <w:rsid w:val="007F61F5"/>
    <w:rsid w:val="007F6273"/>
    <w:rsid w:val="007F6386"/>
    <w:rsid w:val="007F64AD"/>
    <w:rsid w:val="007F65BB"/>
    <w:rsid w:val="007F66E3"/>
    <w:rsid w:val="007F6704"/>
    <w:rsid w:val="007F6723"/>
    <w:rsid w:val="007F67CD"/>
    <w:rsid w:val="007F68DF"/>
    <w:rsid w:val="007F6BA8"/>
    <w:rsid w:val="007F6CE2"/>
    <w:rsid w:val="007F6D00"/>
    <w:rsid w:val="007F6E74"/>
    <w:rsid w:val="007F6F92"/>
    <w:rsid w:val="007F71A5"/>
    <w:rsid w:val="007F71C3"/>
    <w:rsid w:val="007F724C"/>
    <w:rsid w:val="007F73AB"/>
    <w:rsid w:val="007F7651"/>
    <w:rsid w:val="007F768E"/>
    <w:rsid w:val="007F76BD"/>
    <w:rsid w:val="007F777B"/>
    <w:rsid w:val="007F78B1"/>
    <w:rsid w:val="007F78D0"/>
    <w:rsid w:val="007F799B"/>
    <w:rsid w:val="007F7B32"/>
    <w:rsid w:val="007F7B44"/>
    <w:rsid w:val="007F7B69"/>
    <w:rsid w:val="007F7C82"/>
    <w:rsid w:val="007F7D12"/>
    <w:rsid w:val="007F7DB9"/>
    <w:rsid w:val="007F7F62"/>
    <w:rsid w:val="008000AB"/>
    <w:rsid w:val="008000D5"/>
    <w:rsid w:val="00800697"/>
    <w:rsid w:val="0080074F"/>
    <w:rsid w:val="00800764"/>
    <w:rsid w:val="00800792"/>
    <w:rsid w:val="00800896"/>
    <w:rsid w:val="008008C4"/>
    <w:rsid w:val="00800AE6"/>
    <w:rsid w:val="00800B53"/>
    <w:rsid w:val="00800B9F"/>
    <w:rsid w:val="00800BE5"/>
    <w:rsid w:val="008010B7"/>
    <w:rsid w:val="008011C8"/>
    <w:rsid w:val="0080178A"/>
    <w:rsid w:val="00801862"/>
    <w:rsid w:val="008018FD"/>
    <w:rsid w:val="00801B38"/>
    <w:rsid w:val="00801BA9"/>
    <w:rsid w:val="00801CE1"/>
    <w:rsid w:val="00801DFA"/>
    <w:rsid w:val="00801E43"/>
    <w:rsid w:val="00801F7C"/>
    <w:rsid w:val="00801F89"/>
    <w:rsid w:val="0080229E"/>
    <w:rsid w:val="008022F1"/>
    <w:rsid w:val="008023A1"/>
    <w:rsid w:val="008023CB"/>
    <w:rsid w:val="0080248C"/>
    <w:rsid w:val="008024AB"/>
    <w:rsid w:val="0080258B"/>
    <w:rsid w:val="0080275C"/>
    <w:rsid w:val="00802790"/>
    <w:rsid w:val="008028C0"/>
    <w:rsid w:val="008029D9"/>
    <w:rsid w:val="00802ABF"/>
    <w:rsid w:val="00802B0E"/>
    <w:rsid w:val="00802CA4"/>
    <w:rsid w:val="00802CD7"/>
    <w:rsid w:val="00802D45"/>
    <w:rsid w:val="00802DD7"/>
    <w:rsid w:val="00802EB0"/>
    <w:rsid w:val="00802F0D"/>
    <w:rsid w:val="0080300D"/>
    <w:rsid w:val="0080329A"/>
    <w:rsid w:val="0080343E"/>
    <w:rsid w:val="0080361B"/>
    <w:rsid w:val="008036E5"/>
    <w:rsid w:val="008037FE"/>
    <w:rsid w:val="008038B4"/>
    <w:rsid w:val="008038E0"/>
    <w:rsid w:val="00803941"/>
    <w:rsid w:val="00803978"/>
    <w:rsid w:val="00803A8A"/>
    <w:rsid w:val="00803D33"/>
    <w:rsid w:val="00803D41"/>
    <w:rsid w:val="00803E1B"/>
    <w:rsid w:val="00803E69"/>
    <w:rsid w:val="00804190"/>
    <w:rsid w:val="008041A7"/>
    <w:rsid w:val="008041EB"/>
    <w:rsid w:val="00804244"/>
    <w:rsid w:val="00804367"/>
    <w:rsid w:val="0080443E"/>
    <w:rsid w:val="0080465F"/>
    <w:rsid w:val="00804822"/>
    <w:rsid w:val="00804C0C"/>
    <w:rsid w:val="00804E38"/>
    <w:rsid w:val="00804E51"/>
    <w:rsid w:val="00804E9D"/>
    <w:rsid w:val="00804FB3"/>
    <w:rsid w:val="0080505D"/>
    <w:rsid w:val="00805070"/>
    <w:rsid w:val="00805175"/>
    <w:rsid w:val="00805302"/>
    <w:rsid w:val="0080564D"/>
    <w:rsid w:val="0080569E"/>
    <w:rsid w:val="008056E0"/>
    <w:rsid w:val="00805828"/>
    <w:rsid w:val="008058AC"/>
    <w:rsid w:val="008059E3"/>
    <w:rsid w:val="00805B1F"/>
    <w:rsid w:val="00805BBD"/>
    <w:rsid w:val="00805C0D"/>
    <w:rsid w:val="00805C8A"/>
    <w:rsid w:val="00805E14"/>
    <w:rsid w:val="00805F66"/>
    <w:rsid w:val="00806105"/>
    <w:rsid w:val="00806129"/>
    <w:rsid w:val="008061EC"/>
    <w:rsid w:val="00806238"/>
    <w:rsid w:val="0080652D"/>
    <w:rsid w:val="008065FF"/>
    <w:rsid w:val="0080675E"/>
    <w:rsid w:val="008067C5"/>
    <w:rsid w:val="0080685E"/>
    <w:rsid w:val="008069DB"/>
    <w:rsid w:val="00806B75"/>
    <w:rsid w:val="00806D88"/>
    <w:rsid w:val="00806E14"/>
    <w:rsid w:val="00807192"/>
    <w:rsid w:val="008071E9"/>
    <w:rsid w:val="008072E2"/>
    <w:rsid w:val="008073B7"/>
    <w:rsid w:val="008074A2"/>
    <w:rsid w:val="008074E4"/>
    <w:rsid w:val="008074FE"/>
    <w:rsid w:val="008075EE"/>
    <w:rsid w:val="0080777B"/>
    <w:rsid w:val="00807B28"/>
    <w:rsid w:val="00807B39"/>
    <w:rsid w:val="00807BAB"/>
    <w:rsid w:val="00807D38"/>
    <w:rsid w:val="00807D87"/>
    <w:rsid w:val="00807DC7"/>
    <w:rsid w:val="00807FE8"/>
    <w:rsid w:val="00810014"/>
    <w:rsid w:val="0081012C"/>
    <w:rsid w:val="008102D8"/>
    <w:rsid w:val="00810309"/>
    <w:rsid w:val="008103D2"/>
    <w:rsid w:val="0081049D"/>
    <w:rsid w:val="0081066B"/>
    <w:rsid w:val="008106DC"/>
    <w:rsid w:val="008107C9"/>
    <w:rsid w:val="0081086A"/>
    <w:rsid w:val="00810878"/>
    <w:rsid w:val="008108E6"/>
    <w:rsid w:val="008109A9"/>
    <w:rsid w:val="00810A51"/>
    <w:rsid w:val="00810A6E"/>
    <w:rsid w:val="00810B68"/>
    <w:rsid w:val="00810B97"/>
    <w:rsid w:val="00810E49"/>
    <w:rsid w:val="00810E6E"/>
    <w:rsid w:val="0081105E"/>
    <w:rsid w:val="008111D8"/>
    <w:rsid w:val="0081141F"/>
    <w:rsid w:val="00811456"/>
    <w:rsid w:val="0081149B"/>
    <w:rsid w:val="008114F1"/>
    <w:rsid w:val="0081157A"/>
    <w:rsid w:val="00811886"/>
    <w:rsid w:val="008118A9"/>
    <w:rsid w:val="008118C4"/>
    <w:rsid w:val="008118EA"/>
    <w:rsid w:val="0081194D"/>
    <w:rsid w:val="008119AF"/>
    <w:rsid w:val="00811B17"/>
    <w:rsid w:val="00811C87"/>
    <w:rsid w:val="00811C96"/>
    <w:rsid w:val="00811E19"/>
    <w:rsid w:val="00811E6B"/>
    <w:rsid w:val="00811F73"/>
    <w:rsid w:val="008122BE"/>
    <w:rsid w:val="008123B4"/>
    <w:rsid w:val="008123E4"/>
    <w:rsid w:val="00812492"/>
    <w:rsid w:val="00812506"/>
    <w:rsid w:val="00812756"/>
    <w:rsid w:val="0081285E"/>
    <w:rsid w:val="00812AEA"/>
    <w:rsid w:val="00812C44"/>
    <w:rsid w:val="00812D65"/>
    <w:rsid w:val="00812E0E"/>
    <w:rsid w:val="00812E1A"/>
    <w:rsid w:val="00812F50"/>
    <w:rsid w:val="00813238"/>
    <w:rsid w:val="00813241"/>
    <w:rsid w:val="008133D9"/>
    <w:rsid w:val="00813514"/>
    <w:rsid w:val="00813523"/>
    <w:rsid w:val="00813638"/>
    <w:rsid w:val="00813A09"/>
    <w:rsid w:val="00813A9E"/>
    <w:rsid w:val="00813BBE"/>
    <w:rsid w:val="00813DEA"/>
    <w:rsid w:val="00813F52"/>
    <w:rsid w:val="00814117"/>
    <w:rsid w:val="0081411E"/>
    <w:rsid w:val="00814359"/>
    <w:rsid w:val="008143AD"/>
    <w:rsid w:val="0081456F"/>
    <w:rsid w:val="008146BE"/>
    <w:rsid w:val="008147BC"/>
    <w:rsid w:val="008147CD"/>
    <w:rsid w:val="008147E9"/>
    <w:rsid w:val="0081485D"/>
    <w:rsid w:val="008148E0"/>
    <w:rsid w:val="0081495C"/>
    <w:rsid w:val="008149D7"/>
    <w:rsid w:val="00814AA2"/>
    <w:rsid w:val="00814ABC"/>
    <w:rsid w:val="00814B0F"/>
    <w:rsid w:val="00814BBA"/>
    <w:rsid w:val="00814C1B"/>
    <w:rsid w:val="00814E49"/>
    <w:rsid w:val="00814FA5"/>
    <w:rsid w:val="008151F9"/>
    <w:rsid w:val="00815547"/>
    <w:rsid w:val="00815583"/>
    <w:rsid w:val="0081583E"/>
    <w:rsid w:val="00815B3B"/>
    <w:rsid w:val="00815B92"/>
    <w:rsid w:val="00815C39"/>
    <w:rsid w:val="00815D7A"/>
    <w:rsid w:val="00815E2F"/>
    <w:rsid w:val="00815F38"/>
    <w:rsid w:val="0081601E"/>
    <w:rsid w:val="008160A7"/>
    <w:rsid w:val="008161BC"/>
    <w:rsid w:val="00816413"/>
    <w:rsid w:val="00816421"/>
    <w:rsid w:val="00816695"/>
    <w:rsid w:val="00816834"/>
    <w:rsid w:val="00816A1C"/>
    <w:rsid w:val="00816CC4"/>
    <w:rsid w:val="00816D6F"/>
    <w:rsid w:val="00816D9A"/>
    <w:rsid w:val="00816E8B"/>
    <w:rsid w:val="00816F6C"/>
    <w:rsid w:val="00816FD4"/>
    <w:rsid w:val="00816FDC"/>
    <w:rsid w:val="00817033"/>
    <w:rsid w:val="0081705B"/>
    <w:rsid w:val="00817237"/>
    <w:rsid w:val="00817361"/>
    <w:rsid w:val="00817384"/>
    <w:rsid w:val="0081738F"/>
    <w:rsid w:val="00817539"/>
    <w:rsid w:val="00817580"/>
    <w:rsid w:val="008177A8"/>
    <w:rsid w:val="008177C7"/>
    <w:rsid w:val="0081791A"/>
    <w:rsid w:val="00817BE6"/>
    <w:rsid w:val="00817C88"/>
    <w:rsid w:val="00817CB5"/>
    <w:rsid w:val="00817DB2"/>
    <w:rsid w:val="00817DBE"/>
    <w:rsid w:val="00817E04"/>
    <w:rsid w:val="00817E6C"/>
    <w:rsid w:val="00817F96"/>
    <w:rsid w:val="00820059"/>
    <w:rsid w:val="0082020E"/>
    <w:rsid w:val="00820218"/>
    <w:rsid w:val="0082022C"/>
    <w:rsid w:val="00820351"/>
    <w:rsid w:val="008206C4"/>
    <w:rsid w:val="008206E2"/>
    <w:rsid w:val="008207B6"/>
    <w:rsid w:val="008207F5"/>
    <w:rsid w:val="00820905"/>
    <w:rsid w:val="0082092E"/>
    <w:rsid w:val="00820945"/>
    <w:rsid w:val="00820A0C"/>
    <w:rsid w:val="00820A33"/>
    <w:rsid w:val="00820AF4"/>
    <w:rsid w:val="00820C2A"/>
    <w:rsid w:val="00820C9C"/>
    <w:rsid w:val="00820E8F"/>
    <w:rsid w:val="00820ED0"/>
    <w:rsid w:val="00820F3D"/>
    <w:rsid w:val="00821013"/>
    <w:rsid w:val="00821074"/>
    <w:rsid w:val="00821173"/>
    <w:rsid w:val="008211B5"/>
    <w:rsid w:val="008212AC"/>
    <w:rsid w:val="00821394"/>
    <w:rsid w:val="008213C4"/>
    <w:rsid w:val="008213FE"/>
    <w:rsid w:val="00821445"/>
    <w:rsid w:val="00821688"/>
    <w:rsid w:val="008216F6"/>
    <w:rsid w:val="00821704"/>
    <w:rsid w:val="008218AB"/>
    <w:rsid w:val="008218C8"/>
    <w:rsid w:val="008219A1"/>
    <w:rsid w:val="00821B0B"/>
    <w:rsid w:val="00821B65"/>
    <w:rsid w:val="00821C5C"/>
    <w:rsid w:val="00821EB8"/>
    <w:rsid w:val="00821F96"/>
    <w:rsid w:val="00821FEE"/>
    <w:rsid w:val="008221BA"/>
    <w:rsid w:val="008221FD"/>
    <w:rsid w:val="00822231"/>
    <w:rsid w:val="008223D6"/>
    <w:rsid w:val="0082244A"/>
    <w:rsid w:val="0082253E"/>
    <w:rsid w:val="008226AD"/>
    <w:rsid w:val="00822849"/>
    <w:rsid w:val="008229E6"/>
    <w:rsid w:val="00822A9E"/>
    <w:rsid w:val="00822AD5"/>
    <w:rsid w:val="00822AF9"/>
    <w:rsid w:val="00822C65"/>
    <w:rsid w:val="00822DD7"/>
    <w:rsid w:val="00823555"/>
    <w:rsid w:val="0082368D"/>
    <w:rsid w:val="0082369B"/>
    <w:rsid w:val="0082371D"/>
    <w:rsid w:val="00823765"/>
    <w:rsid w:val="008238A7"/>
    <w:rsid w:val="008239A5"/>
    <w:rsid w:val="00823B2B"/>
    <w:rsid w:val="00823C53"/>
    <w:rsid w:val="00823CA2"/>
    <w:rsid w:val="00823DFE"/>
    <w:rsid w:val="0082406A"/>
    <w:rsid w:val="00824164"/>
    <w:rsid w:val="0082417A"/>
    <w:rsid w:val="008243B9"/>
    <w:rsid w:val="00824663"/>
    <w:rsid w:val="00824944"/>
    <w:rsid w:val="00824CA3"/>
    <w:rsid w:val="00824F6D"/>
    <w:rsid w:val="00824FDE"/>
    <w:rsid w:val="00825239"/>
    <w:rsid w:val="00825374"/>
    <w:rsid w:val="00825381"/>
    <w:rsid w:val="008253FF"/>
    <w:rsid w:val="0082550A"/>
    <w:rsid w:val="0082569A"/>
    <w:rsid w:val="008256E0"/>
    <w:rsid w:val="00825765"/>
    <w:rsid w:val="00825820"/>
    <w:rsid w:val="008258FC"/>
    <w:rsid w:val="0082593C"/>
    <w:rsid w:val="00825AE7"/>
    <w:rsid w:val="00825D68"/>
    <w:rsid w:val="00825D77"/>
    <w:rsid w:val="00825E3C"/>
    <w:rsid w:val="00825E43"/>
    <w:rsid w:val="00825F3F"/>
    <w:rsid w:val="00825FD1"/>
    <w:rsid w:val="00825FEE"/>
    <w:rsid w:val="00826029"/>
    <w:rsid w:val="0082609A"/>
    <w:rsid w:val="008260C8"/>
    <w:rsid w:val="008264E4"/>
    <w:rsid w:val="0082666E"/>
    <w:rsid w:val="00826695"/>
    <w:rsid w:val="0082679A"/>
    <w:rsid w:val="008268A4"/>
    <w:rsid w:val="00826B25"/>
    <w:rsid w:val="00826C9F"/>
    <w:rsid w:val="00826CC4"/>
    <w:rsid w:val="00827026"/>
    <w:rsid w:val="008270C3"/>
    <w:rsid w:val="00827230"/>
    <w:rsid w:val="008272E1"/>
    <w:rsid w:val="008278E6"/>
    <w:rsid w:val="008279C4"/>
    <w:rsid w:val="00827B7B"/>
    <w:rsid w:val="00827C5E"/>
    <w:rsid w:val="00827C6B"/>
    <w:rsid w:val="0083023F"/>
    <w:rsid w:val="0083034F"/>
    <w:rsid w:val="00830518"/>
    <w:rsid w:val="008305EB"/>
    <w:rsid w:val="008306A0"/>
    <w:rsid w:val="008306EB"/>
    <w:rsid w:val="0083070B"/>
    <w:rsid w:val="00830806"/>
    <w:rsid w:val="00830891"/>
    <w:rsid w:val="008308DD"/>
    <w:rsid w:val="0083096A"/>
    <w:rsid w:val="00830BAE"/>
    <w:rsid w:val="00831049"/>
    <w:rsid w:val="008310D0"/>
    <w:rsid w:val="0083115A"/>
    <w:rsid w:val="0083128C"/>
    <w:rsid w:val="00831350"/>
    <w:rsid w:val="00831357"/>
    <w:rsid w:val="0083148C"/>
    <w:rsid w:val="0083152D"/>
    <w:rsid w:val="00831682"/>
    <w:rsid w:val="008316D9"/>
    <w:rsid w:val="00831A52"/>
    <w:rsid w:val="00831ABB"/>
    <w:rsid w:val="00831C39"/>
    <w:rsid w:val="00831F05"/>
    <w:rsid w:val="0083200C"/>
    <w:rsid w:val="0083202F"/>
    <w:rsid w:val="008321FE"/>
    <w:rsid w:val="0083230D"/>
    <w:rsid w:val="008324B4"/>
    <w:rsid w:val="008327F4"/>
    <w:rsid w:val="00832893"/>
    <w:rsid w:val="00832A41"/>
    <w:rsid w:val="00832A54"/>
    <w:rsid w:val="00832D26"/>
    <w:rsid w:val="00832ED7"/>
    <w:rsid w:val="00832F3A"/>
    <w:rsid w:val="008330DF"/>
    <w:rsid w:val="00833275"/>
    <w:rsid w:val="00833373"/>
    <w:rsid w:val="008335C9"/>
    <w:rsid w:val="008338B1"/>
    <w:rsid w:val="0083397D"/>
    <w:rsid w:val="00833E8B"/>
    <w:rsid w:val="00833F95"/>
    <w:rsid w:val="0083407B"/>
    <w:rsid w:val="008341CA"/>
    <w:rsid w:val="0083434B"/>
    <w:rsid w:val="008343D6"/>
    <w:rsid w:val="0083444F"/>
    <w:rsid w:val="008344E9"/>
    <w:rsid w:val="00834513"/>
    <w:rsid w:val="00834751"/>
    <w:rsid w:val="00834787"/>
    <w:rsid w:val="008348B3"/>
    <w:rsid w:val="008348C4"/>
    <w:rsid w:val="00834C04"/>
    <w:rsid w:val="00834C23"/>
    <w:rsid w:val="00834CB8"/>
    <w:rsid w:val="00835035"/>
    <w:rsid w:val="008350EE"/>
    <w:rsid w:val="00835234"/>
    <w:rsid w:val="00835278"/>
    <w:rsid w:val="0083531F"/>
    <w:rsid w:val="0083555B"/>
    <w:rsid w:val="0083560A"/>
    <w:rsid w:val="00835634"/>
    <w:rsid w:val="0083567B"/>
    <w:rsid w:val="0083586C"/>
    <w:rsid w:val="00835908"/>
    <w:rsid w:val="00835AA8"/>
    <w:rsid w:val="00835C4B"/>
    <w:rsid w:val="00835C75"/>
    <w:rsid w:val="00835D14"/>
    <w:rsid w:val="00835EBD"/>
    <w:rsid w:val="0083603C"/>
    <w:rsid w:val="0083610D"/>
    <w:rsid w:val="00836142"/>
    <w:rsid w:val="008361FD"/>
    <w:rsid w:val="00836297"/>
    <w:rsid w:val="00836381"/>
    <w:rsid w:val="008363B8"/>
    <w:rsid w:val="0083642D"/>
    <w:rsid w:val="008364E2"/>
    <w:rsid w:val="00836573"/>
    <w:rsid w:val="008365E5"/>
    <w:rsid w:val="0083664A"/>
    <w:rsid w:val="008366D9"/>
    <w:rsid w:val="00836974"/>
    <w:rsid w:val="00836A3B"/>
    <w:rsid w:val="00836ADE"/>
    <w:rsid w:val="00836B46"/>
    <w:rsid w:val="00836F8D"/>
    <w:rsid w:val="00837054"/>
    <w:rsid w:val="00837062"/>
    <w:rsid w:val="00837076"/>
    <w:rsid w:val="00837170"/>
    <w:rsid w:val="0083728B"/>
    <w:rsid w:val="008372AD"/>
    <w:rsid w:val="008375B2"/>
    <w:rsid w:val="0083764F"/>
    <w:rsid w:val="00837703"/>
    <w:rsid w:val="0083777F"/>
    <w:rsid w:val="00837A13"/>
    <w:rsid w:val="00837B95"/>
    <w:rsid w:val="00837BB7"/>
    <w:rsid w:val="00837D0A"/>
    <w:rsid w:val="00837E31"/>
    <w:rsid w:val="00837E87"/>
    <w:rsid w:val="00837EF6"/>
    <w:rsid w:val="0084007B"/>
    <w:rsid w:val="008400FC"/>
    <w:rsid w:val="00840150"/>
    <w:rsid w:val="008401B8"/>
    <w:rsid w:val="0084020D"/>
    <w:rsid w:val="00840226"/>
    <w:rsid w:val="00840272"/>
    <w:rsid w:val="00840332"/>
    <w:rsid w:val="008403CD"/>
    <w:rsid w:val="00840485"/>
    <w:rsid w:val="00840531"/>
    <w:rsid w:val="00840623"/>
    <w:rsid w:val="0084088C"/>
    <w:rsid w:val="00840DD4"/>
    <w:rsid w:val="00840DF5"/>
    <w:rsid w:val="00840EC9"/>
    <w:rsid w:val="00841010"/>
    <w:rsid w:val="008411DB"/>
    <w:rsid w:val="008412D5"/>
    <w:rsid w:val="008412E8"/>
    <w:rsid w:val="008415FD"/>
    <w:rsid w:val="00841805"/>
    <w:rsid w:val="008418D4"/>
    <w:rsid w:val="00841999"/>
    <w:rsid w:val="00841B7B"/>
    <w:rsid w:val="00841BF1"/>
    <w:rsid w:val="00841E32"/>
    <w:rsid w:val="00841EAC"/>
    <w:rsid w:val="00841F7F"/>
    <w:rsid w:val="00841FBE"/>
    <w:rsid w:val="0084211F"/>
    <w:rsid w:val="00842178"/>
    <w:rsid w:val="00842191"/>
    <w:rsid w:val="008421DD"/>
    <w:rsid w:val="00842232"/>
    <w:rsid w:val="00842399"/>
    <w:rsid w:val="0084247E"/>
    <w:rsid w:val="008424A1"/>
    <w:rsid w:val="008424AE"/>
    <w:rsid w:val="008425FD"/>
    <w:rsid w:val="0084265A"/>
    <w:rsid w:val="00842867"/>
    <w:rsid w:val="00842958"/>
    <w:rsid w:val="008429C6"/>
    <w:rsid w:val="008429CA"/>
    <w:rsid w:val="00842ABC"/>
    <w:rsid w:val="00842ADC"/>
    <w:rsid w:val="00842B7A"/>
    <w:rsid w:val="008430A2"/>
    <w:rsid w:val="008430DF"/>
    <w:rsid w:val="00843185"/>
    <w:rsid w:val="00843217"/>
    <w:rsid w:val="00843389"/>
    <w:rsid w:val="008433B7"/>
    <w:rsid w:val="00843520"/>
    <w:rsid w:val="00843966"/>
    <w:rsid w:val="00843A12"/>
    <w:rsid w:val="00843C9D"/>
    <w:rsid w:val="00843D90"/>
    <w:rsid w:val="00843F81"/>
    <w:rsid w:val="0084400E"/>
    <w:rsid w:val="00844146"/>
    <w:rsid w:val="008441FF"/>
    <w:rsid w:val="008443C0"/>
    <w:rsid w:val="00844442"/>
    <w:rsid w:val="008444A9"/>
    <w:rsid w:val="0084453F"/>
    <w:rsid w:val="0084455E"/>
    <w:rsid w:val="008445D6"/>
    <w:rsid w:val="00844824"/>
    <w:rsid w:val="0084498D"/>
    <w:rsid w:val="008449F1"/>
    <w:rsid w:val="00844AB5"/>
    <w:rsid w:val="00844AE6"/>
    <w:rsid w:val="00844CD8"/>
    <w:rsid w:val="00844EFD"/>
    <w:rsid w:val="00845147"/>
    <w:rsid w:val="0084516F"/>
    <w:rsid w:val="0084519B"/>
    <w:rsid w:val="0084525E"/>
    <w:rsid w:val="00845287"/>
    <w:rsid w:val="0084547A"/>
    <w:rsid w:val="008455B5"/>
    <w:rsid w:val="00845607"/>
    <w:rsid w:val="008457B7"/>
    <w:rsid w:val="008457BA"/>
    <w:rsid w:val="00845A47"/>
    <w:rsid w:val="00846117"/>
    <w:rsid w:val="00846154"/>
    <w:rsid w:val="00846203"/>
    <w:rsid w:val="00846335"/>
    <w:rsid w:val="008464C1"/>
    <w:rsid w:val="0084663E"/>
    <w:rsid w:val="0084667E"/>
    <w:rsid w:val="00846708"/>
    <w:rsid w:val="008469D3"/>
    <w:rsid w:val="00846A21"/>
    <w:rsid w:val="00846C13"/>
    <w:rsid w:val="00846D85"/>
    <w:rsid w:val="00846E8F"/>
    <w:rsid w:val="00846FA7"/>
    <w:rsid w:val="0084722E"/>
    <w:rsid w:val="00847382"/>
    <w:rsid w:val="0084744E"/>
    <w:rsid w:val="008474DC"/>
    <w:rsid w:val="0084758B"/>
    <w:rsid w:val="008475CC"/>
    <w:rsid w:val="0084777C"/>
    <w:rsid w:val="00847817"/>
    <w:rsid w:val="00847B32"/>
    <w:rsid w:val="00847CF6"/>
    <w:rsid w:val="00847E07"/>
    <w:rsid w:val="00847F03"/>
    <w:rsid w:val="00847F8D"/>
    <w:rsid w:val="00850048"/>
    <w:rsid w:val="0085017E"/>
    <w:rsid w:val="0085023C"/>
    <w:rsid w:val="0085027B"/>
    <w:rsid w:val="00850430"/>
    <w:rsid w:val="00850464"/>
    <w:rsid w:val="00850485"/>
    <w:rsid w:val="008504B0"/>
    <w:rsid w:val="008504F3"/>
    <w:rsid w:val="008506E6"/>
    <w:rsid w:val="00850822"/>
    <w:rsid w:val="0085083E"/>
    <w:rsid w:val="00850921"/>
    <w:rsid w:val="00850981"/>
    <w:rsid w:val="00850B18"/>
    <w:rsid w:val="00850B63"/>
    <w:rsid w:val="00850D53"/>
    <w:rsid w:val="00850E3D"/>
    <w:rsid w:val="00850EDE"/>
    <w:rsid w:val="00850F3E"/>
    <w:rsid w:val="00850F66"/>
    <w:rsid w:val="008510DC"/>
    <w:rsid w:val="008510DD"/>
    <w:rsid w:val="00851154"/>
    <w:rsid w:val="008512A2"/>
    <w:rsid w:val="008512E9"/>
    <w:rsid w:val="008513D9"/>
    <w:rsid w:val="008518E8"/>
    <w:rsid w:val="00851A4D"/>
    <w:rsid w:val="00851B8C"/>
    <w:rsid w:val="00851C90"/>
    <w:rsid w:val="00851D4D"/>
    <w:rsid w:val="00851E7A"/>
    <w:rsid w:val="00851E90"/>
    <w:rsid w:val="00851EBA"/>
    <w:rsid w:val="00851FE9"/>
    <w:rsid w:val="008521EF"/>
    <w:rsid w:val="008522EC"/>
    <w:rsid w:val="008524E0"/>
    <w:rsid w:val="008525C3"/>
    <w:rsid w:val="008526C3"/>
    <w:rsid w:val="00852752"/>
    <w:rsid w:val="00852801"/>
    <w:rsid w:val="008528D1"/>
    <w:rsid w:val="008528D5"/>
    <w:rsid w:val="008529CF"/>
    <w:rsid w:val="00852AF9"/>
    <w:rsid w:val="00852C31"/>
    <w:rsid w:val="00852C5E"/>
    <w:rsid w:val="00852DA2"/>
    <w:rsid w:val="00852DE4"/>
    <w:rsid w:val="008530CF"/>
    <w:rsid w:val="00853148"/>
    <w:rsid w:val="008534FC"/>
    <w:rsid w:val="0085372D"/>
    <w:rsid w:val="00853744"/>
    <w:rsid w:val="00853969"/>
    <w:rsid w:val="008539D9"/>
    <w:rsid w:val="00853A11"/>
    <w:rsid w:val="00853B3F"/>
    <w:rsid w:val="00853B58"/>
    <w:rsid w:val="00853BDA"/>
    <w:rsid w:val="00853DF4"/>
    <w:rsid w:val="00853F93"/>
    <w:rsid w:val="00853F95"/>
    <w:rsid w:val="008540F0"/>
    <w:rsid w:val="00854145"/>
    <w:rsid w:val="00854165"/>
    <w:rsid w:val="0085423B"/>
    <w:rsid w:val="00854402"/>
    <w:rsid w:val="00854533"/>
    <w:rsid w:val="0085462D"/>
    <w:rsid w:val="008546CD"/>
    <w:rsid w:val="008546F6"/>
    <w:rsid w:val="00854720"/>
    <w:rsid w:val="00854732"/>
    <w:rsid w:val="0085475B"/>
    <w:rsid w:val="0085478C"/>
    <w:rsid w:val="00854823"/>
    <w:rsid w:val="008548AA"/>
    <w:rsid w:val="00854C1A"/>
    <w:rsid w:val="00854C64"/>
    <w:rsid w:val="00854D4E"/>
    <w:rsid w:val="00854E10"/>
    <w:rsid w:val="008550B4"/>
    <w:rsid w:val="00855274"/>
    <w:rsid w:val="00855467"/>
    <w:rsid w:val="00855582"/>
    <w:rsid w:val="008557CC"/>
    <w:rsid w:val="00855821"/>
    <w:rsid w:val="00855BA5"/>
    <w:rsid w:val="00855EAC"/>
    <w:rsid w:val="00855F6A"/>
    <w:rsid w:val="00855FEF"/>
    <w:rsid w:val="0085647E"/>
    <w:rsid w:val="00856693"/>
    <w:rsid w:val="0085674A"/>
    <w:rsid w:val="00856785"/>
    <w:rsid w:val="008569A9"/>
    <w:rsid w:val="00856A7B"/>
    <w:rsid w:val="00856BB7"/>
    <w:rsid w:val="00856DFA"/>
    <w:rsid w:val="00856F4E"/>
    <w:rsid w:val="00856F55"/>
    <w:rsid w:val="00856FDA"/>
    <w:rsid w:val="008572A9"/>
    <w:rsid w:val="00857369"/>
    <w:rsid w:val="008574DD"/>
    <w:rsid w:val="008574E6"/>
    <w:rsid w:val="00857521"/>
    <w:rsid w:val="00857793"/>
    <w:rsid w:val="00857852"/>
    <w:rsid w:val="00857964"/>
    <w:rsid w:val="00857973"/>
    <w:rsid w:val="008579B1"/>
    <w:rsid w:val="00857A7C"/>
    <w:rsid w:val="00857B0D"/>
    <w:rsid w:val="00857B30"/>
    <w:rsid w:val="00857B33"/>
    <w:rsid w:val="00857B68"/>
    <w:rsid w:val="00857BD8"/>
    <w:rsid w:val="00857BFB"/>
    <w:rsid w:val="00857CCA"/>
    <w:rsid w:val="00857ECE"/>
    <w:rsid w:val="008600D0"/>
    <w:rsid w:val="008604FD"/>
    <w:rsid w:val="00860599"/>
    <w:rsid w:val="00860657"/>
    <w:rsid w:val="008608F2"/>
    <w:rsid w:val="00860B81"/>
    <w:rsid w:val="00860C8F"/>
    <w:rsid w:val="00860D19"/>
    <w:rsid w:val="00860F2F"/>
    <w:rsid w:val="0086104C"/>
    <w:rsid w:val="008610B1"/>
    <w:rsid w:val="0086122C"/>
    <w:rsid w:val="008612C6"/>
    <w:rsid w:val="008615EC"/>
    <w:rsid w:val="00861611"/>
    <w:rsid w:val="008617A8"/>
    <w:rsid w:val="008618A7"/>
    <w:rsid w:val="008619E6"/>
    <w:rsid w:val="00861A2B"/>
    <w:rsid w:val="00861A5C"/>
    <w:rsid w:val="00861D93"/>
    <w:rsid w:val="00861EAD"/>
    <w:rsid w:val="00861F8C"/>
    <w:rsid w:val="008620CA"/>
    <w:rsid w:val="008621BC"/>
    <w:rsid w:val="0086259C"/>
    <w:rsid w:val="00862608"/>
    <w:rsid w:val="008626A0"/>
    <w:rsid w:val="008626EF"/>
    <w:rsid w:val="00862705"/>
    <w:rsid w:val="0086273E"/>
    <w:rsid w:val="00862943"/>
    <w:rsid w:val="00862A30"/>
    <w:rsid w:val="00862C61"/>
    <w:rsid w:val="00862CF7"/>
    <w:rsid w:val="00862D82"/>
    <w:rsid w:val="00862E0F"/>
    <w:rsid w:val="00862EC9"/>
    <w:rsid w:val="00862EDE"/>
    <w:rsid w:val="00862EEE"/>
    <w:rsid w:val="00862FEA"/>
    <w:rsid w:val="00863010"/>
    <w:rsid w:val="0086311C"/>
    <w:rsid w:val="0086329C"/>
    <w:rsid w:val="008633B3"/>
    <w:rsid w:val="008633EF"/>
    <w:rsid w:val="00863533"/>
    <w:rsid w:val="00863682"/>
    <w:rsid w:val="0086373A"/>
    <w:rsid w:val="008637AD"/>
    <w:rsid w:val="0086398B"/>
    <w:rsid w:val="00863C36"/>
    <w:rsid w:val="00863C74"/>
    <w:rsid w:val="00863C8D"/>
    <w:rsid w:val="00863FD5"/>
    <w:rsid w:val="0086404B"/>
    <w:rsid w:val="00864074"/>
    <w:rsid w:val="008640CB"/>
    <w:rsid w:val="00864288"/>
    <w:rsid w:val="00864314"/>
    <w:rsid w:val="008643AA"/>
    <w:rsid w:val="008643F4"/>
    <w:rsid w:val="008644F4"/>
    <w:rsid w:val="00864865"/>
    <w:rsid w:val="00864947"/>
    <w:rsid w:val="00864B32"/>
    <w:rsid w:val="00864C3F"/>
    <w:rsid w:val="00864C48"/>
    <w:rsid w:val="00864CDE"/>
    <w:rsid w:val="00864D09"/>
    <w:rsid w:val="00864FDF"/>
    <w:rsid w:val="0086505E"/>
    <w:rsid w:val="0086508A"/>
    <w:rsid w:val="0086509F"/>
    <w:rsid w:val="008652A7"/>
    <w:rsid w:val="0086537B"/>
    <w:rsid w:val="00865392"/>
    <w:rsid w:val="0086586F"/>
    <w:rsid w:val="008658DB"/>
    <w:rsid w:val="00865957"/>
    <w:rsid w:val="00865AC2"/>
    <w:rsid w:val="00865BB1"/>
    <w:rsid w:val="00865BBE"/>
    <w:rsid w:val="00865C58"/>
    <w:rsid w:val="00865F69"/>
    <w:rsid w:val="00866079"/>
    <w:rsid w:val="008660AA"/>
    <w:rsid w:val="008660F0"/>
    <w:rsid w:val="008661EE"/>
    <w:rsid w:val="00866215"/>
    <w:rsid w:val="00866677"/>
    <w:rsid w:val="00866913"/>
    <w:rsid w:val="00866A7B"/>
    <w:rsid w:val="00866ACA"/>
    <w:rsid w:val="00866B42"/>
    <w:rsid w:val="00866C37"/>
    <w:rsid w:val="00866CFD"/>
    <w:rsid w:val="008672D8"/>
    <w:rsid w:val="00867670"/>
    <w:rsid w:val="008678AE"/>
    <w:rsid w:val="00867943"/>
    <w:rsid w:val="00867B35"/>
    <w:rsid w:val="00867CE0"/>
    <w:rsid w:val="00867E12"/>
    <w:rsid w:val="0087003C"/>
    <w:rsid w:val="00870125"/>
    <w:rsid w:val="0087015C"/>
    <w:rsid w:val="00870181"/>
    <w:rsid w:val="00870184"/>
    <w:rsid w:val="00870227"/>
    <w:rsid w:val="008704A6"/>
    <w:rsid w:val="0087055C"/>
    <w:rsid w:val="00870823"/>
    <w:rsid w:val="0087094A"/>
    <w:rsid w:val="00870A21"/>
    <w:rsid w:val="00870A3D"/>
    <w:rsid w:val="00870A6A"/>
    <w:rsid w:val="00870B2C"/>
    <w:rsid w:val="00870B3E"/>
    <w:rsid w:val="00870C08"/>
    <w:rsid w:val="00870D0A"/>
    <w:rsid w:val="00870D0E"/>
    <w:rsid w:val="00870DF7"/>
    <w:rsid w:val="00870F2E"/>
    <w:rsid w:val="00870FEF"/>
    <w:rsid w:val="008710AC"/>
    <w:rsid w:val="008710EF"/>
    <w:rsid w:val="0087116C"/>
    <w:rsid w:val="00871455"/>
    <w:rsid w:val="0087145D"/>
    <w:rsid w:val="008717B8"/>
    <w:rsid w:val="0087182E"/>
    <w:rsid w:val="00871B39"/>
    <w:rsid w:val="00871B3B"/>
    <w:rsid w:val="00871DA3"/>
    <w:rsid w:val="00871DF7"/>
    <w:rsid w:val="00871E54"/>
    <w:rsid w:val="00871E99"/>
    <w:rsid w:val="00871EA8"/>
    <w:rsid w:val="00871EBF"/>
    <w:rsid w:val="00871F0A"/>
    <w:rsid w:val="0087220F"/>
    <w:rsid w:val="0087225F"/>
    <w:rsid w:val="008723A9"/>
    <w:rsid w:val="00872414"/>
    <w:rsid w:val="008726EC"/>
    <w:rsid w:val="00872861"/>
    <w:rsid w:val="00872906"/>
    <w:rsid w:val="00872925"/>
    <w:rsid w:val="00872B23"/>
    <w:rsid w:val="00872C19"/>
    <w:rsid w:val="00872C29"/>
    <w:rsid w:val="00872DC0"/>
    <w:rsid w:val="00872EBD"/>
    <w:rsid w:val="00873156"/>
    <w:rsid w:val="00873569"/>
    <w:rsid w:val="00873584"/>
    <w:rsid w:val="0087371B"/>
    <w:rsid w:val="00873732"/>
    <w:rsid w:val="00873794"/>
    <w:rsid w:val="0087384E"/>
    <w:rsid w:val="008739A9"/>
    <w:rsid w:val="00873A06"/>
    <w:rsid w:val="00873A80"/>
    <w:rsid w:val="00873AF5"/>
    <w:rsid w:val="00873DEC"/>
    <w:rsid w:val="00873F9A"/>
    <w:rsid w:val="00874012"/>
    <w:rsid w:val="0087414C"/>
    <w:rsid w:val="00874156"/>
    <w:rsid w:val="008741F4"/>
    <w:rsid w:val="008742DE"/>
    <w:rsid w:val="00874459"/>
    <w:rsid w:val="008745A8"/>
    <w:rsid w:val="00874950"/>
    <w:rsid w:val="00874961"/>
    <w:rsid w:val="008749FF"/>
    <w:rsid w:val="00874AD1"/>
    <w:rsid w:val="00874E5E"/>
    <w:rsid w:val="00874EFD"/>
    <w:rsid w:val="00875022"/>
    <w:rsid w:val="00875169"/>
    <w:rsid w:val="008753D1"/>
    <w:rsid w:val="008754B7"/>
    <w:rsid w:val="00875505"/>
    <w:rsid w:val="0087556A"/>
    <w:rsid w:val="008757B1"/>
    <w:rsid w:val="00875888"/>
    <w:rsid w:val="0087596C"/>
    <w:rsid w:val="00875CF8"/>
    <w:rsid w:val="00875D86"/>
    <w:rsid w:val="00875E8A"/>
    <w:rsid w:val="008760BE"/>
    <w:rsid w:val="00876127"/>
    <w:rsid w:val="00876130"/>
    <w:rsid w:val="008761E9"/>
    <w:rsid w:val="008762F9"/>
    <w:rsid w:val="0087631C"/>
    <w:rsid w:val="00876346"/>
    <w:rsid w:val="00876560"/>
    <w:rsid w:val="00876575"/>
    <w:rsid w:val="008768B2"/>
    <w:rsid w:val="00876A40"/>
    <w:rsid w:val="00876A73"/>
    <w:rsid w:val="00876A81"/>
    <w:rsid w:val="00876AA0"/>
    <w:rsid w:val="00876C5B"/>
    <w:rsid w:val="00876DBA"/>
    <w:rsid w:val="00876F72"/>
    <w:rsid w:val="00877073"/>
    <w:rsid w:val="008770FD"/>
    <w:rsid w:val="008770FE"/>
    <w:rsid w:val="008771C3"/>
    <w:rsid w:val="00877227"/>
    <w:rsid w:val="008772F3"/>
    <w:rsid w:val="008776BB"/>
    <w:rsid w:val="008777C6"/>
    <w:rsid w:val="0087785C"/>
    <w:rsid w:val="008778BC"/>
    <w:rsid w:val="00877B63"/>
    <w:rsid w:val="00877BEB"/>
    <w:rsid w:val="00877C26"/>
    <w:rsid w:val="00877C7F"/>
    <w:rsid w:val="00877DEF"/>
    <w:rsid w:val="00877FBD"/>
    <w:rsid w:val="0088014E"/>
    <w:rsid w:val="00880165"/>
    <w:rsid w:val="00880179"/>
    <w:rsid w:val="0088026E"/>
    <w:rsid w:val="00880343"/>
    <w:rsid w:val="0088035D"/>
    <w:rsid w:val="00880360"/>
    <w:rsid w:val="00880392"/>
    <w:rsid w:val="00880538"/>
    <w:rsid w:val="0088068F"/>
    <w:rsid w:val="0088072C"/>
    <w:rsid w:val="0088096D"/>
    <w:rsid w:val="00880BA3"/>
    <w:rsid w:val="00880E37"/>
    <w:rsid w:val="00880F4D"/>
    <w:rsid w:val="00880FF3"/>
    <w:rsid w:val="008815AC"/>
    <w:rsid w:val="008816B3"/>
    <w:rsid w:val="008816E5"/>
    <w:rsid w:val="00881757"/>
    <w:rsid w:val="008818A9"/>
    <w:rsid w:val="00881B25"/>
    <w:rsid w:val="00881CC3"/>
    <w:rsid w:val="00881CFA"/>
    <w:rsid w:val="00881D8D"/>
    <w:rsid w:val="00882A52"/>
    <w:rsid w:val="00882AA4"/>
    <w:rsid w:val="00882CFE"/>
    <w:rsid w:val="00882F1B"/>
    <w:rsid w:val="00883157"/>
    <w:rsid w:val="008831A2"/>
    <w:rsid w:val="008834CE"/>
    <w:rsid w:val="008836A4"/>
    <w:rsid w:val="0088382A"/>
    <w:rsid w:val="00883852"/>
    <w:rsid w:val="008838D2"/>
    <w:rsid w:val="00883A35"/>
    <w:rsid w:val="00883BA3"/>
    <w:rsid w:val="00883DCF"/>
    <w:rsid w:val="008841A8"/>
    <w:rsid w:val="00884546"/>
    <w:rsid w:val="00884660"/>
    <w:rsid w:val="0088472F"/>
    <w:rsid w:val="0088479C"/>
    <w:rsid w:val="0088480B"/>
    <w:rsid w:val="00884936"/>
    <w:rsid w:val="00884D46"/>
    <w:rsid w:val="00884E64"/>
    <w:rsid w:val="0088537A"/>
    <w:rsid w:val="00885435"/>
    <w:rsid w:val="0088549A"/>
    <w:rsid w:val="00885540"/>
    <w:rsid w:val="008855CA"/>
    <w:rsid w:val="008855D2"/>
    <w:rsid w:val="008855E0"/>
    <w:rsid w:val="008856A7"/>
    <w:rsid w:val="00885769"/>
    <w:rsid w:val="008857EE"/>
    <w:rsid w:val="00885857"/>
    <w:rsid w:val="00885B33"/>
    <w:rsid w:val="00885B68"/>
    <w:rsid w:val="00885BD1"/>
    <w:rsid w:val="00885EB3"/>
    <w:rsid w:val="00886012"/>
    <w:rsid w:val="00886028"/>
    <w:rsid w:val="008861D0"/>
    <w:rsid w:val="008862E7"/>
    <w:rsid w:val="00886317"/>
    <w:rsid w:val="0088648B"/>
    <w:rsid w:val="008864C6"/>
    <w:rsid w:val="008864D0"/>
    <w:rsid w:val="008866BB"/>
    <w:rsid w:val="00886B35"/>
    <w:rsid w:val="00886C63"/>
    <w:rsid w:val="00886CCE"/>
    <w:rsid w:val="00886CEA"/>
    <w:rsid w:val="00886DB1"/>
    <w:rsid w:val="00886E57"/>
    <w:rsid w:val="008870CD"/>
    <w:rsid w:val="00887235"/>
    <w:rsid w:val="00887301"/>
    <w:rsid w:val="00887377"/>
    <w:rsid w:val="008873A4"/>
    <w:rsid w:val="008873E7"/>
    <w:rsid w:val="00887430"/>
    <w:rsid w:val="008875BE"/>
    <w:rsid w:val="00887802"/>
    <w:rsid w:val="008879DB"/>
    <w:rsid w:val="00887AB6"/>
    <w:rsid w:val="00887B0E"/>
    <w:rsid w:val="00887B55"/>
    <w:rsid w:val="00887CED"/>
    <w:rsid w:val="00887D7E"/>
    <w:rsid w:val="00887F76"/>
    <w:rsid w:val="00887FCD"/>
    <w:rsid w:val="008901E5"/>
    <w:rsid w:val="00890525"/>
    <w:rsid w:val="008906D9"/>
    <w:rsid w:val="0089075A"/>
    <w:rsid w:val="00890773"/>
    <w:rsid w:val="00890786"/>
    <w:rsid w:val="008907F3"/>
    <w:rsid w:val="0089097A"/>
    <w:rsid w:val="00890984"/>
    <w:rsid w:val="00890AC7"/>
    <w:rsid w:val="00890C20"/>
    <w:rsid w:val="00890C2F"/>
    <w:rsid w:val="00890C38"/>
    <w:rsid w:val="00890C4D"/>
    <w:rsid w:val="00890C5D"/>
    <w:rsid w:val="00890CCF"/>
    <w:rsid w:val="00890EA6"/>
    <w:rsid w:val="00891060"/>
    <w:rsid w:val="008910CB"/>
    <w:rsid w:val="00891293"/>
    <w:rsid w:val="008913DD"/>
    <w:rsid w:val="00891459"/>
    <w:rsid w:val="0089153B"/>
    <w:rsid w:val="0089165F"/>
    <w:rsid w:val="008916B1"/>
    <w:rsid w:val="008917E4"/>
    <w:rsid w:val="0089189B"/>
    <w:rsid w:val="008918DD"/>
    <w:rsid w:val="00891D7C"/>
    <w:rsid w:val="00891F14"/>
    <w:rsid w:val="00891FD7"/>
    <w:rsid w:val="00892069"/>
    <w:rsid w:val="00892139"/>
    <w:rsid w:val="00892216"/>
    <w:rsid w:val="00892295"/>
    <w:rsid w:val="00892373"/>
    <w:rsid w:val="008924AB"/>
    <w:rsid w:val="0089257C"/>
    <w:rsid w:val="0089258B"/>
    <w:rsid w:val="008925DE"/>
    <w:rsid w:val="008925FE"/>
    <w:rsid w:val="00892A10"/>
    <w:rsid w:val="00892A93"/>
    <w:rsid w:val="00892DEB"/>
    <w:rsid w:val="00892ED2"/>
    <w:rsid w:val="00892FF5"/>
    <w:rsid w:val="0089308F"/>
    <w:rsid w:val="00893091"/>
    <w:rsid w:val="00893206"/>
    <w:rsid w:val="00893292"/>
    <w:rsid w:val="00893306"/>
    <w:rsid w:val="00893307"/>
    <w:rsid w:val="0089330B"/>
    <w:rsid w:val="00893380"/>
    <w:rsid w:val="00893549"/>
    <w:rsid w:val="00893830"/>
    <w:rsid w:val="00893843"/>
    <w:rsid w:val="0089395B"/>
    <w:rsid w:val="008939A9"/>
    <w:rsid w:val="00893B42"/>
    <w:rsid w:val="00893C65"/>
    <w:rsid w:val="00893D7E"/>
    <w:rsid w:val="00893E17"/>
    <w:rsid w:val="00893E95"/>
    <w:rsid w:val="008941BC"/>
    <w:rsid w:val="008943ED"/>
    <w:rsid w:val="008945E2"/>
    <w:rsid w:val="0089467D"/>
    <w:rsid w:val="00894AE6"/>
    <w:rsid w:val="00894BB2"/>
    <w:rsid w:val="00894CCA"/>
    <w:rsid w:val="00894D41"/>
    <w:rsid w:val="00894FBD"/>
    <w:rsid w:val="00894FD1"/>
    <w:rsid w:val="00895414"/>
    <w:rsid w:val="00895483"/>
    <w:rsid w:val="00895508"/>
    <w:rsid w:val="00895619"/>
    <w:rsid w:val="0089578F"/>
    <w:rsid w:val="00895807"/>
    <w:rsid w:val="00895818"/>
    <w:rsid w:val="0089582A"/>
    <w:rsid w:val="00895A0F"/>
    <w:rsid w:val="00895C1D"/>
    <w:rsid w:val="00895CC1"/>
    <w:rsid w:val="00895EA6"/>
    <w:rsid w:val="00895FAF"/>
    <w:rsid w:val="0089617C"/>
    <w:rsid w:val="00896352"/>
    <w:rsid w:val="00896438"/>
    <w:rsid w:val="00896501"/>
    <w:rsid w:val="008966AA"/>
    <w:rsid w:val="008968DB"/>
    <w:rsid w:val="008969A7"/>
    <w:rsid w:val="00896AC9"/>
    <w:rsid w:val="00896C9E"/>
    <w:rsid w:val="00896E84"/>
    <w:rsid w:val="00896EA0"/>
    <w:rsid w:val="00896F50"/>
    <w:rsid w:val="00896FAD"/>
    <w:rsid w:val="00897042"/>
    <w:rsid w:val="00897104"/>
    <w:rsid w:val="00897107"/>
    <w:rsid w:val="0089719C"/>
    <w:rsid w:val="008972D3"/>
    <w:rsid w:val="008973FF"/>
    <w:rsid w:val="00897607"/>
    <w:rsid w:val="008976CA"/>
    <w:rsid w:val="00897951"/>
    <w:rsid w:val="00897991"/>
    <w:rsid w:val="008979D1"/>
    <w:rsid w:val="00897AB9"/>
    <w:rsid w:val="00897CA6"/>
    <w:rsid w:val="00897D10"/>
    <w:rsid w:val="008A08A1"/>
    <w:rsid w:val="008A0908"/>
    <w:rsid w:val="008A091E"/>
    <w:rsid w:val="008A0964"/>
    <w:rsid w:val="008A0997"/>
    <w:rsid w:val="008A0AC4"/>
    <w:rsid w:val="008A0BD9"/>
    <w:rsid w:val="008A0C5B"/>
    <w:rsid w:val="008A0FE1"/>
    <w:rsid w:val="008A104F"/>
    <w:rsid w:val="008A1532"/>
    <w:rsid w:val="008A1620"/>
    <w:rsid w:val="008A1705"/>
    <w:rsid w:val="008A1706"/>
    <w:rsid w:val="008A18DA"/>
    <w:rsid w:val="008A192D"/>
    <w:rsid w:val="008A1939"/>
    <w:rsid w:val="008A1A6E"/>
    <w:rsid w:val="008A1C6A"/>
    <w:rsid w:val="008A1D40"/>
    <w:rsid w:val="008A1E5D"/>
    <w:rsid w:val="008A1FAF"/>
    <w:rsid w:val="008A236B"/>
    <w:rsid w:val="008A23E3"/>
    <w:rsid w:val="008A23E8"/>
    <w:rsid w:val="008A254A"/>
    <w:rsid w:val="008A2582"/>
    <w:rsid w:val="008A25AD"/>
    <w:rsid w:val="008A28C5"/>
    <w:rsid w:val="008A2A3B"/>
    <w:rsid w:val="008A2B58"/>
    <w:rsid w:val="008A2BAB"/>
    <w:rsid w:val="008A2D9A"/>
    <w:rsid w:val="008A2DEA"/>
    <w:rsid w:val="008A2E12"/>
    <w:rsid w:val="008A2FB1"/>
    <w:rsid w:val="008A2FF9"/>
    <w:rsid w:val="008A3027"/>
    <w:rsid w:val="008A3128"/>
    <w:rsid w:val="008A312E"/>
    <w:rsid w:val="008A326D"/>
    <w:rsid w:val="008A3329"/>
    <w:rsid w:val="008A33F0"/>
    <w:rsid w:val="008A3535"/>
    <w:rsid w:val="008A38A5"/>
    <w:rsid w:val="008A38C6"/>
    <w:rsid w:val="008A393A"/>
    <w:rsid w:val="008A3964"/>
    <w:rsid w:val="008A3B03"/>
    <w:rsid w:val="008A3B3B"/>
    <w:rsid w:val="008A3C37"/>
    <w:rsid w:val="008A3C76"/>
    <w:rsid w:val="008A3FFE"/>
    <w:rsid w:val="008A4062"/>
    <w:rsid w:val="008A4085"/>
    <w:rsid w:val="008A40BA"/>
    <w:rsid w:val="008A41A3"/>
    <w:rsid w:val="008A45D1"/>
    <w:rsid w:val="008A461C"/>
    <w:rsid w:val="008A4692"/>
    <w:rsid w:val="008A46BD"/>
    <w:rsid w:val="008A4745"/>
    <w:rsid w:val="008A4763"/>
    <w:rsid w:val="008A485D"/>
    <w:rsid w:val="008A4A8C"/>
    <w:rsid w:val="008A4AD6"/>
    <w:rsid w:val="008A52B6"/>
    <w:rsid w:val="008A538D"/>
    <w:rsid w:val="008A55A1"/>
    <w:rsid w:val="008A55A3"/>
    <w:rsid w:val="008A561F"/>
    <w:rsid w:val="008A5620"/>
    <w:rsid w:val="008A574E"/>
    <w:rsid w:val="008A5762"/>
    <w:rsid w:val="008A5B9A"/>
    <w:rsid w:val="008A5C79"/>
    <w:rsid w:val="008A5EF2"/>
    <w:rsid w:val="008A6054"/>
    <w:rsid w:val="008A607B"/>
    <w:rsid w:val="008A612F"/>
    <w:rsid w:val="008A649E"/>
    <w:rsid w:val="008A67EF"/>
    <w:rsid w:val="008A6885"/>
    <w:rsid w:val="008A69A5"/>
    <w:rsid w:val="008A6A0F"/>
    <w:rsid w:val="008A6A61"/>
    <w:rsid w:val="008A6AA5"/>
    <w:rsid w:val="008A6D78"/>
    <w:rsid w:val="008A6DD1"/>
    <w:rsid w:val="008A6E59"/>
    <w:rsid w:val="008A6E63"/>
    <w:rsid w:val="008A6F75"/>
    <w:rsid w:val="008A6FB8"/>
    <w:rsid w:val="008A7019"/>
    <w:rsid w:val="008A70A9"/>
    <w:rsid w:val="008A71D7"/>
    <w:rsid w:val="008A753C"/>
    <w:rsid w:val="008A753F"/>
    <w:rsid w:val="008A75B8"/>
    <w:rsid w:val="008A76AB"/>
    <w:rsid w:val="008A76D1"/>
    <w:rsid w:val="008A7815"/>
    <w:rsid w:val="008A7AAF"/>
    <w:rsid w:val="008A7C8E"/>
    <w:rsid w:val="008A7EDC"/>
    <w:rsid w:val="008AECE0"/>
    <w:rsid w:val="008B003D"/>
    <w:rsid w:val="008B0485"/>
    <w:rsid w:val="008B0565"/>
    <w:rsid w:val="008B077C"/>
    <w:rsid w:val="008B07BD"/>
    <w:rsid w:val="008B087A"/>
    <w:rsid w:val="008B08B0"/>
    <w:rsid w:val="008B0977"/>
    <w:rsid w:val="008B0B93"/>
    <w:rsid w:val="008B0D84"/>
    <w:rsid w:val="008B0DB9"/>
    <w:rsid w:val="008B0DDF"/>
    <w:rsid w:val="008B0E84"/>
    <w:rsid w:val="008B0E9E"/>
    <w:rsid w:val="008B0EBB"/>
    <w:rsid w:val="008B0F18"/>
    <w:rsid w:val="008B1110"/>
    <w:rsid w:val="008B132E"/>
    <w:rsid w:val="008B159D"/>
    <w:rsid w:val="008B15A6"/>
    <w:rsid w:val="008B184C"/>
    <w:rsid w:val="008B1AC5"/>
    <w:rsid w:val="008B1ADB"/>
    <w:rsid w:val="008B1B0E"/>
    <w:rsid w:val="008B1CA4"/>
    <w:rsid w:val="008B1D8C"/>
    <w:rsid w:val="008B1F52"/>
    <w:rsid w:val="008B1FCB"/>
    <w:rsid w:val="008B2074"/>
    <w:rsid w:val="008B2091"/>
    <w:rsid w:val="008B20DC"/>
    <w:rsid w:val="008B20ED"/>
    <w:rsid w:val="008B216A"/>
    <w:rsid w:val="008B217A"/>
    <w:rsid w:val="008B21C9"/>
    <w:rsid w:val="008B224B"/>
    <w:rsid w:val="008B22CD"/>
    <w:rsid w:val="008B232E"/>
    <w:rsid w:val="008B2405"/>
    <w:rsid w:val="008B271B"/>
    <w:rsid w:val="008B2761"/>
    <w:rsid w:val="008B278D"/>
    <w:rsid w:val="008B29CA"/>
    <w:rsid w:val="008B2A13"/>
    <w:rsid w:val="008B2ADF"/>
    <w:rsid w:val="008B2AE4"/>
    <w:rsid w:val="008B2C5B"/>
    <w:rsid w:val="008B2CEC"/>
    <w:rsid w:val="008B2D05"/>
    <w:rsid w:val="008B2DBB"/>
    <w:rsid w:val="008B2F78"/>
    <w:rsid w:val="008B311D"/>
    <w:rsid w:val="008B33D5"/>
    <w:rsid w:val="008B3501"/>
    <w:rsid w:val="008B3575"/>
    <w:rsid w:val="008B35BC"/>
    <w:rsid w:val="008B3783"/>
    <w:rsid w:val="008B3A2F"/>
    <w:rsid w:val="008B3A76"/>
    <w:rsid w:val="008B3D6C"/>
    <w:rsid w:val="008B3DE2"/>
    <w:rsid w:val="008B3DE6"/>
    <w:rsid w:val="008B4065"/>
    <w:rsid w:val="008B40C3"/>
    <w:rsid w:val="008B4437"/>
    <w:rsid w:val="008B447C"/>
    <w:rsid w:val="008B4645"/>
    <w:rsid w:val="008B46FB"/>
    <w:rsid w:val="008B470E"/>
    <w:rsid w:val="008B4825"/>
    <w:rsid w:val="008B4940"/>
    <w:rsid w:val="008B4950"/>
    <w:rsid w:val="008B4951"/>
    <w:rsid w:val="008B4A1E"/>
    <w:rsid w:val="008B4B6F"/>
    <w:rsid w:val="008B4C8E"/>
    <w:rsid w:val="008B4D7D"/>
    <w:rsid w:val="008B4FDB"/>
    <w:rsid w:val="008B50B9"/>
    <w:rsid w:val="008B51B8"/>
    <w:rsid w:val="008B51C1"/>
    <w:rsid w:val="008B5457"/>
    <w:rsid w:val="008B571C"/>
    <w:rsid w:val="008B577E"/>
    <w:rsid w:val="008B58A6"/>
    <w:rsid w:val="008B5924"/>
    <w:rsid w:val="008B5B30"/>
    <w:rsid w:val="008B5C5A"/>
    <w:rsid w:val="008B5D21"/>
    <w:rsid w:val="008B612D"/>
    <w:rsid w:val="008B64AE"/>
    <w:rsid w:val="008B66D4"/>
    <w:rsid w:val="008B676E"/>
    <w:rsid w:val="008B67E9"/>
    <w:rsid w:val="008B6814"/>
    <w:rsid w:val="008B6876"/>
    <w:rsid w:val="008B6A09"/>
    <w:rsid w:val="008B6AAC"/>
    <w:rsid w:val="008B6B23"/>
    <w:rsid w:val="008B6DAD"/>
    <w:rsid w:val="008B6EF4"/>
    <w:rsid w:val="008B6F02"/>
    <w:rsid w:val="008B7074"/>
    <w:rsid w:val="008B70CE"/>
    <w:rsid w:val="008B7386"/>
    <w:rsid w:val="008B7460"/>
    <w:rsid w:val="008B7586"/>
    <w:rsid w:val="008B7685"/>
    <w:rsid w:val="008B7725"/>
    <w:rsid w:val="008B7784"/>
    <w:rsid w:val="008B79FE"/>
    <w:rsid w:val="008B7B6E"/>
    <w:rsid w:val="008B7E4C"/>
    <w:rsid w:val="008C001F"/>
    <w:rsid w:val="008C0378"/>
    <w:rsid w:val="008C050E"/>
    <w:rsid w:val="008C0514"/>
    <w:rsid w:val="008C0525"/>
    <w:rsid w:val="008C055B"/>
    <w:rsid w:val="008C078E"/>
    <w:rsid w:val="008C08E9"/>
    <w:rsid w:val="008C0A8E"/>
    <w:rsid w:val="008C0ADA"/>
    <w:rsid w:val="008C0B2A"/>
    <w:rsid w:val="008C0C03"/>
    <w:rsid w:val="008C0DA3"/>
    <w:rsid w:val="008C0E47"/>
    <w:rsid w:val="008C0E72"/>
    <w:rsid w:val="008C0E9F"/>
    <w:rsid w:val="008C0EF0"/>
    <w:rsid w:val="008C10AA"/>
    <w:rsid w:val="008C1134"/>
    <w:rsid w:val="008C127F"/>
    <w:rsid w:val="008C13D1"/>
    <w:rsid w:val="008C14E8"/>
    <w:rsid w:val="008C164A"/>
    <w:rsid w:val="008C16DB"/>
    <w:rsid w:val="008C1A1D"/>
    <w:rsid w:val="008C1CC9"/>
    <w:rsid w:val="008C1D5E"/>
    <w:rsid w:val="008C1FEA"/>
    <w:rsid w:val="008C212A"/>
    <w:rsid w:val="008C214C"/>
    <w:rsid w:val="008C252D"/>
    <w:rsid w:val="008C2620"/>
    <w:rsid w:val="008C2696"/>
    <w:rsid w:val="008C27DC"/>
    <w:rsid w:val="008C2A8B"/>
    <w:rsid w:val="008C2B9F"/>
    <w:rsid w:val="008C2CA0"/>
    <w:rsid w:val="008C2E1E"/>
    <w:rsid w:val="008C2F5E"/>
    <w:rsid w:val="008C3009"/>
    <w:rsid w:val="008C307F"/>
    <w:rsid w:val="008C30C4"/>
    <w:rsid w:val="008C3174"/>
    <w:rsid w:val="008C3216"/>
    <w:rsid w:val="008C3382"/>
    <w:rsid w:val="008C35EC"/>
    <w:rsid w:val="008C3B5C"/>
    <w:rsid w:val="008C3B9D"/>
    <w:rsid w:val="008C3BD2"/>
    <w:rsid w:val="008C3BEF"/>
    <w:rsid w:val="008C3CB2"/>
    <w:rsid w:val="008C3D16"/>
    <w:rsid w:val="008C3D1D"/>
    <w:rsid w:val="008C3D4F"/>
    <w:rsid w:val="008C3D6E"/>
    <w:rsid w:val="008C3E13"/>
    <w:rsid w:val="008C3FD4"/>
    <w:rsid w:val="008C425B"/>
    <w:rsid w:val="008C4310"/>
    <w:rsid w:val="008C441A"/>
    <w:rsid w:val="008C45DA"/>
    <w:rsid w:val="008C4871"/>
    <w:rsid w:val="008C4AED"/>
    <w:rsid w:val="008C4E67"/>
    <w:rsid w:val="008C4E8D"/>
    <w:rsid w:val="008C4EEA"/>
    <w:rsid w:val="008C4FC4"/>
    <w:rsid w:val="008C5178"/>
    <w:rsid w:val="008C51CE"/>
    <w:rsid w:val="008C5311"/>
    <w:rsid w:val="008C53AE"/>
    <w:rsid w:val="008C5895"/>
    <w:rsid w:val="008C58D1"/>
    <w:rsid w:val="008C596E"/>
    <w:rsid w:val="008C5A3C"/>
    <w:rsid w:val="008C5B0F"/>
    <w:rsid w:val="008C5C77"/>
    <w:rsid w:val="008C5D79"/>
    <w:rsid w:val="008C602F"/>
    <w:rsid w:val="008C622A"/>
    <w:rsid w:val="008C628C"/>
    <w:rsid w:val="008C62CE"/>
    <w:rsid w:val="008C6322"/>
    <w:rsid w:val="008C6379"/>
    <w:rsid w:val="008C6387"/>
    <w:rsid w:val="008C6430"/>
    <w:rsid w:val="008C64DF"/>
    <w:rsid w:val="008C6694"/>
    <w:rsid w:val="008C66D1"/>
    <w:rsid w:val="008C68D6"/>
    <w:rsid w:val="008C6BF1"/>
    <w:rsid w:val="008C6D13"/>
    <w:rsid w:val="008C6D1A"/>
    <w:rsid w:val="008C6F66"/>
    <w:rsid w:val="008C70CD"/>
    <w:rsid w:val="008C7385"/>
    <w:rsid w:val="008C73AC"/>
    <w:rsid w:val="008C767C"/>
    <w:rsid w:val="008C7870"/>
    <w:rsid w:val="008C79D4"/>
    <w:rsid w:val="008C7A0A"/>
    <w:rsid w:val="008C7AE7"/>
    <w:rsid w:val="008C7B14"/>
    <w:rsid w:val="008C7C56"/>
    <w:rsid w:val="008C7E2B"/>
    <w:rsid w:val="008C7E4D"/>
    <w:rsid w:val="008C7EFD"/>
    <w:rsid w:val="008C7F30"/>
    <w:rsid w:val="008D00D9"/>
    <w:rsid w:val="008D01AD"/>
    <w:rsid w:val="008D03B3"/>
    <w:rsid w:val="008D0519"/>
    <w:rsid w:val="008D05B1"/>
    <w:rsid w:val="008D061D"/>
    <w:rsid w:val="008D07A0"/>
    <w:rsid w:val="008D07F6"/>
    <w:rsid w:val="008D08B5"/>
    <w:rsid w:val="008D0945"/>
    <w:rsid w:val="008D09DB"/>
    <w:rsid w:val="008D0A87"/>
    <w:rsid w:val="008D0AC6"/>
    <w:rsid w:val="008D0D90"/>
    <w:rsid w:val="008D0ED3"/>
    <w:rsid w:val="008D0F82"/>
    <w:rsid w:val="008D1015"/>
    <w:rsid w:val="008D1559"/>
    <w:rsid w:val="008D1588"/>
    <w:rsid w:val="008D17C9"/>
    <w:rsid w:val="008D1804"/>
    <w:rsid w:val="008D1999"/>
    <w:rsid w:val="008D1A11"/>
    <w:rsid w:val="008D1A16"/>
    <w:rsid w:val="008D1B09"/>
    <w:rsid w:val="008D1C2F"/>
    <w:rsid w:val="008D1C32"/>
    <w:rsid w:val="008D1C40"/>
    <w:rsid w:val="008D20CB"/>
    <w:rsid w:val="008D2131"/>
    <w:rsid w:val="008D21EF"/>
    <w:rsid w:val="008D2300"/>
    <w:rsid w:val="008D2640"/>
    <w:rsid w:val="008D283B"/>
    <w:rsid w:val="008D28E4"/>
    <w:rsid w:val="008D2979"/>
    <w:rsid w:val="008D2A0C"/>
    <w:rsid w:val="008D2A1A"/>
    <w:rsid w:val="008D2C85"/>
    <w:rsid w:val="008D2D7B"/>
    <w:rsid w:val="008D2DEE"/>
    <w:rsid w:val="008D2E0A"/>
    <w:rsid w:val="008D2E21"/>
    <w:rsid w:val="008D2EC4"/>
    <w:rsid w:val="008D2F1C"/>
    <w:rsid w:val="008D3076"/>
    <w:rsid w:val="008D30BC"/>
    <w:rsid w:val="008D30C7"/>
    <w:rsid w:val="008D30D7"/>
    <w:rsid w:val="008D318E"/>
    <w:rsid w:val="008D3311"/>
    <w:rsid w:val="008D34E9"/>
    <w:rsid w:val="008D372B"/>
    <w:rsid w:val="008D3755"/>
    <w:rsid w:val="008D383F"/>
    <w:rsid w:val="008D3843"/>
    <w:rsid w:val="008D388F"/>
    <w:rsid w:val="008D394B"/>
    <w:rsid w:val="008D3A64"/>
    <w:rsid w:val="008D3AF9"/>
    <w:rsid w:val="008D3C5F"/>
    <w:rsid w:val="008D3CFD"/>
    <w:rsid w:val="008D3EE1"/>
    <w:rsid w:val="008D40E5"/>
    <w:rsid w:val="008D4233"/>
    <w:rsid w:val="008D426A"/>
    <w:rsid w:val="008D44DC"/>
    <w:rsid w:val="008D44FE"/>
    <w:rsid w:val="008D4647"/>
    <w:rsid w:val="008D496B"/>
    <w:rsid w:val="008D498A"/>
    <w:rsid w:val="008D4BD8"/>
    <w:rsid w:val="008D4CB3"/>
    <w:rsid w:val="008D4D3F"/>
    <w:rsid w:val="008D4D80"/>
    <w:rsid w:val="008D4ED5"/>
    <w:rsid w:val="008D50CE"/>
    <w:rsid w:val="008D5460"/>
    <w:rsid w:val="008D5976"/>
    <w:rsid w:val="008D5A18"/>
    <w:rsid w:val="008D5AF3"/>
    <w:rsid w:val="008D6286"/>
    <w:rsid w:val="008D630A"/>
    <w:rsid w:val="008D6340"/>
    <w:rsid w:val="008D664D"/>
    <w:rsid w:val="008D66DE"/>
    <w:rsid w:val="008D66EE"/>
    <w:rsid w:val="008D676E"/>
    <w:rsid w:val="008D6AB4"/>
    <w:rsid w:val="008D6CF6"/>
    <w:rsid w:val="008D6D06"/>
    <w:rsid w:val="008D6E1B"/>
    <w:rsid w:val="008D6FE7"/>
    <w:rsid w:val="008D7164"/>
    <w:rsid w:val="008D71FB"/>
    <w:rsid w:val="008D7640"/>
    <w:rsid w:val="008D7653"/>
    <w:rsid w:val="008D76E9"/>
    <w:rsid w:val="008D7759"/>
    <w:rsid w:val="008D7A27"/>
    <w:rsid w:val="008D7B94"/>
    <w:rsid w:val="008D7CEA"/>
    <w:rsid w:val="008D7CFF"/>
    <w:rsid w:val="008D7D41"/>
    <w:rsid w:val="008D7E1F"/>
    <w:rsid w:val="008D7ED3"/>
    <w:rsid w:val="008D7F07"/>
    <w:rsid w:val="008D7F4B"/>
    <w:rsid w:val="008D7F6A"/>
    <w:rsid w:val="008D7FD8"/>
    <w:rsid w:val="008E018F"/>
    <w:rsid w:val="008E01C4"/>
    <w:rsid w:val="008E045A"/>
    <w:rsid w:val="008E0533"/>
    <w:rsid w:val="008E05DD"/>
    <w:rsid w:val="008E05F6"/>
    <w:rsid w:val="008E05FA"/>
    <w:rsid w:val="008E07E1"/>
    <w:rsid w:val="008E0806"/>
    <w:rsid w:val="008E0A28"/>
    <w:rsid w:val="008E0BC0"/>
    <w:rsid w:val="008E0C4E"/>
    <w:rsid w:val="008E0E81"/>
    <w:rsid w:val="008E0E9E"/>
    <w:rsid w:val="008E0F75"/>
    <w:rsid w:val="008E10C7"/>
    <w:rsid w:val="008E12EB"/>
    <w:rsid w:val="008E1653"/>
    <w:rsid w:val="008E1792"/>
    <w:rsid w:val="008E1806"/>
    <w:rsid w:val="008E1835"/>
    <w:rsid w:val="008E186A"/>
    <w:rsid w:val="008E190D"/>
    <w:rsid w:val="008E1A92"/>
    <w:rsid w:val="008E1A9B"/>
    <w:rsid w:val="008E1B67"/>
    <w:rsid w:val="008E1BEC"/>
    <w:rsid w:val="008E1C7C"/>
    <w:rsid w:val="008E1D33"/>
    <w:rsid w:val="008E1D70"/>
    <w:rsid w:val="008E1E97"/>
    <w:rsid w:val="008E1EA7"/>
    <w:rsid w:val="008E21E1"/>
    <w:rsid w:val="008E225B"/>
    <w:rsid w:val="008E2537"/>
    <w:rsid w:val="008E2853"/>
    <w:rsid w:val="008E28B1"/>
    <w:rsid w:val="008E2985"/>
    <w:rsid w:val="008E29AC"/>
    <w:rsid w:val="008E2A4B"/>
    <w:rsid w:val="008E2AAB"/>
    <w:rsid w:val="008E2ADB"/>
    <w:rsid w:val="008E2AE0"/>
    <w:rsid w:val="008E2BD6"/>
    <w:rsid w:val="008E2CD9"/>
    <w:rsid w:val="008E2DBF"/>
    <w:rsid w:val="008E2EE8"/>
    <w:rsid w:val="008E2F1E"/>
    <w:rsid w:val="008E30E8"/>
    <w:rsid w:val="008E31B2"/>
    <w:rsid w:val="008E3219"/>
    <w:rsid w:val="008E34A1"/>
    <w:rsid w:val="008E34A7"/>
    <w:rsid w:val="008E3586"/>
    <w:rsid w:val="008E35B3"/>
    <w:rsid w:val="008E3786"/>
    <w:rsid w:val="008E3872"/>
    <w:rsid w:val="008E3A4E"/>
    <w:rsid w:val="008E3A91"/>
    <w:rsid w:val="008E3DCC"/>
    <w:rsid w:val="008E41C8"/>
    <w:rsid w:val="008E4276"/>
    <w:rsid w:val="008E43B8"/>
    <w:rsid w:val="008E4487"/>
    <w:rsid w:val="008E4573"/>
    <w:rsid w:val="008E4637"/>
    <w:rsid w:val="008E48DE"/>
    <w:rsid w:val="008E4B38"/>
    <w:rsid w:val="008E4C37"/>
    <w:rsid w:val="008E4DF2"/>
    <w:rsid w:val="008E4E31"/>
    <w:rsid w:val="008E51D3"/>
    <w:rsid w:val="008E5205"/>
    <w:rsid w:val="008E5532"/>
    <w:rsid w:val="008E55A1"/>
    <w:rsid w:val="008E565F"/>
    <w:rsid w:val="008E5748"/>
    <w:rsid w:val="008E580F"/>
    <w:rsid w:val="008E5978"/>
    <w:rsid w:val="008E599A"/>
    <w:rsid w:val="008E59C7"/>
    <w:rsid w:val="008E5A58"/>
    <w:rsid w:val="008E5ABA"/>
    <w:rsid w:val="008E5AFA"/>
    <w:rsid w:val="008E5B0D"/>
    <w:rsid w:val="008E5B96"/>
    <w:rsid w:val="008E5C7F"/>
    <w:rsid w:val="008E5E83"/>
    <w:rsid w:val="008E60ED"/>
    <w:rsid w:val="008E6168"/>
    <w:rsid w:val="008E6190"/>
    <w:rsid w:val="008E64A0"/>
    <w:rsid w:val="008E64FB"/>
    <w:rsid w:val="008E680A"/>
    <w:rsid w:val="008E683B"/>
    <w:rsid w:val="008E6897"/>
    <w:rsid w:val="008E6941"/>
    <w:rsid w:val="008E697C"/>
    <w:rsid w:val="008E6BB6"/>
    <w:rsid w:val="008E6C42"/>
    <w:rsid w:val="008E6CA8"/>
    <w:rsid w:val="008E6D5E"/>
    <w:rsid w:val="008E6D64"/>
    <w:rsid w:val="008E6EA0"/>
    <w:rsid w:val="008E72D1"/>
    <w:rsid w:val="008E7379"/>
    <w:rsid w:val="008E73B4"/>
    <w:rsid w:val="008E7434"/>
    <w:rsid w:val="008E743A"/>
    <w:rsid w:val="008E7504"/>
    <w:rsid w:val="008E7837"/>
    <w:rsid w:val="008E790A"/>
    <w:rsid w:val="008E7924"/>
    <w:rsid w:val="008E79AC"/>
    <w:rsid w:val="008E7B72"/>
    <w:rsid w:val="008E7C09"/>
    <w:rsid w:val="008E7C62"/>
    <w:rsid w:val="008E7D5C"/>
    <w:rsid w:val="008E7E1D"/>
    <w:rsid w:val="008E7E48"/>
    <w:rsid w:val="008E7EB0"/>
    <w:rsid w:val="008EDC24"/>
    <w:rsid w:val="008F0258"/>
    <w:rsid w:val="008F029D"/>
    <w:rsid w:val="008F0321"/>
    <w:rsid w:val="008F045C"/>
    <w:rsid w:val="008F0677"/>
    <w:rsid w:val="008F0724"/>
    <w:rsid w:val="008F07B2"/>
    <w:rsid w:val="008F0E5F"/>
    <w:rsid w:val="008F0FDB"/>
    <w:rsid w:val="008F116A"/>
    <w:rsid w:val="008F12EF"/>
    <w:rsid w:val="008F13B1"/>
    <w:rsid w:val="008F158D"/>
    <w:rsid w:val="008F162B"/>
    <w:rsid w:val="008F166A"/>
    <w:rsid w:val="008F1694"/>
    <w:rsid w:val="008F16CB"/>
    <w:rsid w:val="008F18B9"/>
    <w:rsid w:val="008F19AC"/>
    <w:rsid w:val="008F1B2B"/>
    <w:rsid w:val="008F1B57"/>
    <w:rsid w:val="008F1BF7"/>
    <w:rsid w:val="008F1E92"/>
    <w:rsid w:val="008F1EE0"/>
    <w:rsid w:val="008F1F87"/>
    <w:rsid w:val="008F1F96"/>
    <w:rsid w:val="008F1FC7"/>
    <w:rsid w:val="008F209B"/>
    <w:rsid w:val="008F20E6"/>
    <w:rsid w:val="008F213F"/>
    <w:rsid w:val="008F2328"/>
    <w:rsid w:val="008F238F"/>
    <w:rsid w:val="008F23C5"/>
    <w:rsid w:val="008F2638"/>
    <w:rsid w:val="008F2780"/>
    <w:rsid w:val="008F2848"/>
    <w:rsid w:val="008F29A4"/>
    <w:rsid w:val="008F2B38"/>
    <w:rsid w:val="008F2B7F"/>
    <w:rsid w:val="008F2BED"/>
    <w:rsid w:val="008F2CD7"/>
    <w:rsid w:val="008F2D3A"/>
    <w:rsid w:val="008F2D3D"/>
    <w:rsid w:val="008F2E06"/>
    <w:rsid w:val="008F2E15"/>
    <w:rsid w:val="008F2E26"/>
    <w:rsid w:val="008F31D5"/>
    <w:rsid w:val="008F3273"/>
    <w:rsid w:val="008F32D7"/>
    <w:rsid w:val="008F34B2"/>
    <w:rsid w:val="008F350F"/>
    <w:rsid w:val="008F362B"/>
    <w:rsid w:val="008F39B0"/>
    <w:rsid w:val="008F3CC7"/>
    <w:rsid w:val="008F3D30"/>
    <w:rsid w:val="008F3E86"/>
    <w:rsid w:val="008F3F8C"/>
    <w:rsid w:val="008F40DC"/>
    <w:rsid w:val="008F410B"/>
    <w:rsid w:val="008F42C0"/>
    <w:rsid w:val="008F432A"/>
    <w:rsid w:val="008F4494"/>
    <w:rsid w:val="008F451D"/>
    <w:rsid w:val="008F45E0"/>
    <w:rsid w:val="008F4721"/>
    <w:rsid w:val="008F4B05"/>
    <w:rsid w:val="008F4E16"/>
    <w:rsid w:val="008F4E22"/>
    <w:rsid w:val="008F4FAF"/>
    <w:rsid w:val="008F4FB2"/>
    <w:rsid w:val="008F50A1"/>
    <w:rsid w:val="008F510E"/>
    <w:rsid w:val="008F5150"/>
    <w:rsid w:val="008F5240"/>
    <w:rsid w:val="008F5311"/>
    <w:rsid w:val="008F544B"/>
    <w:rsid w:val="008F5590"/>
    <w:rsid w:val="008F565E"/>
    <w:rsid w:val="008F5661"/>
    <w:rsid w:val="008F5674"/>
    <w:rsid w:val="008F576B"/>
    <w:rsid w:val="008F5AC1"/>
    <w:rsid w:val="008F5AFF"/>
    <w:rsid w:val="008F5B3E"/>
    <w:rsid w:val="008F5B9C"/>
    <w:rsid w:val="008F5D7B"/>
    <w:rsid w:val="008F5E31"/>
    <w:rsid w:val="008F5E7C"/>
    <w:rsid w:val="008F6086"/>
    <w:rsid w:val="008F616F"/>
    <w:rsid w:val="008F639D"/>
    <w:rsid w:val="008F646E"/>
    <w:rsid w:val="008F64E4"/>
    <w:rsid w:val="008F655E"/>
    <w:rsid w:val="008F66DD"/>
    <w:rsid w:val="008F66F3"/>
    <w:rsid w:val="008F6747"/>
    <w:rsid w:val="008F67AF"/>
    <w:rsid w:val="008F681F"/>
    <w:rsid w:val="008F6918"/>
    <w:rsid w:val="008F6A8A"/>
    <w:rsid w:val="008F6CE6"/>
    <w:rsid w:val="008F6EC7"/>
    <w:rsid w:val="008F70A4"/>
    <w:rsid w:val="008F7109"/>
    <w:rsid w:val="008F717A"/>
    <w:rsid w:val="008F7333"/>
    <w:rsid w:val="008F738F"/>
    <w:rsid w:val="008F73A6"/>
    <w:rsid w:val="008F74E5"/>
    <w:rsid w:val="008F7670"/>
    <w:rsid w:val="008F7683"/>
    <w:rsid w:val="008F77FC"/>
    <w:rsid w:val="008F7915"/>
    <w:rsid w:val="008F7A0F"/>
    <w:rsid w:val="008F7A5F"/>
    <w:rsid w:val="008F7B5D"/>
    <w:rsid w:val="008F7B69"/>
    <w:rsid w:val="008F7BD7"/>
    <w:rsid w:val="008F7DEE"/>
    <w:rsid w:val="008F7F5D"/>
    <w:rsid w:val="0090013C"/>
    <w:rsid w:val="0090013D"/>
    <w:rsid w:val="009001A2"/>
    <w:rsid w:val="0090044B"/>
    <w:rsid w:val="009005A9"/>
    <w:rsid w:val="00900717"/>
    <w:rsid w:val="009008A1"/>
    <w:rsid w:val="00900985"/>
    <w:rsid w:val="00900A20"/>
    <w:rsid w:val="00900A2E"/>
    <w:rsid w:val="00900A30"/>
    <w:rsid w:val="00900A5E"/>
    <w:rsid w:val="00900B95"/>
    <w:rsid w:val="00900BF7"/>
    <w:rsid w:val="00900C99"/>
    <w:rsid w:val="00900F3B"/>
    <w:rsid w:val="00901095"/>
    <w:rsid w:val="009010BD"/>
    <w:rsid w:val="00901103"/>
    <w:rsid w:val="0090124A"/>
    <w:rsid w:val="00901487"/>
    <w:rsid w:val="00901686"/>
    <w:rsid w:val="009016E9"/>
    <w:rsid w:val="009017DE"/>
    <w:rsid w:val="0090188E"/>
    <w:rsid w:val="00901945"/>
    <w:rsid w:val="00901A97"/>
    <w:rsid w:val="00901B74"/>
    <w:rsid w:val="00901C7B"/>
    <w:rsid w:val="00901D65"/>
    <w:rsid w:val="00901EAB"/>
    <w:rsid w:val="00901F0A"/>
    <w:rsid w:val="00901F2A"/>
    <w:rsid w:val="00901F91"/>
    <w:rsid w:val="00901FB9"/>
    <w:rsid w:val="00901FC7"/>
    <w:rsid w:val="009020F0"/>
    <w:rsid w:val="0090225F"/>
    <w:rsid w:val="00902321"/>
    <w:rsid w:val="0090232C"/>
    <w:rsid w:val="00902373"/>
    <w:rsid w:val="009024BC"/>
    <w:rsid w:val="009024F7"/>
    <w:rsid w:val="009024FD"/>
    <w:rsid w:val="0090265E"/>
    <w:rsid w:val="0090268B"/>
    <w:rsid w:val="009029D9"/>
    <w:rsid w:val="00902A86"/>
    <w:rsid w:val="00902C79"/>
    <w:rsid w:val="009030A8"/>
    <w:rsid w:val="009031B6"/>
    <w:rsid w:val="00903207"/>
    <w:rsid w:val="00903239"/>
    <w:rsid w:val="00903249"/>
    <w:rsid w:val="00903286"/>
    <w:rsid w:val="009032D0"/>
    <w:rsid w:val="0090334C"/>
    <w:rsid w:val="0090347B"/>
    <w:rsid w:val="0090363D"/>
    <w:rsid w:val="0090399D"/>
    <w:rsid w:val="00903B36"/>
    <w:rsid w:val="00903BCC"/>
    <w:rsid w:val="00903D0E"/>
    <w:rsid w:val="00903DC1"/>
    <w:rsid w:val="00903DDB"/>
    <w:rsid w:val="00903E85"/>
    <w:rsid w:val="00903EFB"/>
    <w:rsid w:val="00904063"/>
    <w:rsid w:val="00904293"/>
    <w:rsid w:val="009046FF"/>
    <w:rsid w:val="009047F1"/>
    <w:rsid w:val="0090484C"/>
    <w:rsid w:val="00904858"/>
    <w:rsid w:val="00904966"/>
    <w:rsid w:val="00904A0E"/>
    <w:rsid w:val="00904B2B"/>
    <w:rsid w:val="00904BDB"/>
    <w:rsid w:val="00904EAD"/>
    <w:rsid w:val="00904F1A"/>
    <w:rsid w:val="00904FC7"/>
    <w:rsid w:val="009050D7"/>
    <w:rsid w:val="0090512E"/>
    <w:rsid w:val="009051E6"/>
    <w:rsid w:val="009052BE"/>
    <w:rsid w:val="0090548C"/>
    <w:rsid w:val="009055C7"/>
    <w:rsid w:val="009056B0"/>
    <w:rsid w:val="009057FF"/>
    <w:rsid w:val="009059E4"/>
    <w:rsid w:val="009059EF"/>
    <w:rsid w:val="00905A80"/>
    <w:rsid w:val="00905B0B"/>
    <w:rsid w:val="00905B54"/>
    <w:rsid w:val="00905E19"/>
    <w:rsid w:val="00906010"/>
    <w:rsid w:val="0090604E"/>
    <w:rsid w:val="009060DD"/>
    <w:rsid w:val="00906146"/>
    <w:rsid w:val="00906366"/>
    <w:rsid w:val="009063C0"/>
    <w:rsid w:val="009064C4"/>
    <w:rsid w:val="00906561"/>
    <w:rsid w:val="0090667D"/>
    <w:rsid w:val="00906752"/>
    <w:rsid w:val="0090675D"/>
    <w:rsid w:val="00906A02"/>
    <w:rsid w:val="00906C08"/>
    <w:rsid w:val="00906E95"/>
    <w:rsid w:val="00906FCB"/>
    <w:rsid w:val="0090700F"/>
    <w:rsid w:val="0090702F"/>
    <w:rsid w:val="00907046"/>
    <w:rsid w:val="00907082"/>
    <w:rsid w:val="0090711A"/>
    <w:rsid w:val="009071A8"/>
    <w:rsid w:val="009071C3"/>
    <w:rsid w:val="009071E4"/>
    <w:rsid w:val="0090755B"/>
    <w:rsid w:val="009075C7"/>
    <w:rsid w:val="0090764F"/>
    <w:rsid w:val="00907876"/>
    <w:rsid w:val="00907A1A"/>
    <w:rsid w:val="00907B82"/>
    <w:rsid w:val="00907D8A"/>
    <w:rsid w:val="00907E2C"/>
    <w:rsid w:val="00907ECC"/>
    <w:rsid w:val="009100A0"/>
    <w:rsid w:val="009100E0"/>
    <w:rsid w:val="009101DB"/>
    <w:rsid w:val="009101F9"/>
    <w:rsid w:val="00910302"/>
    <w:rsid w:val="009103E8"/>
    <w:rsid w:val="0091041B"/>
    <w:rsid w:val="00910552"/>
    <w:rsid w:val="009105D9"/>
    <w:rsid w:val="00910614"/>
    <w:rsid w:val="0091070A"/>
    <w:rsid w:val="0091098A"/>
    <w:rsid w:val="00910A68"/>
    <w:rsid w:val="00910BF4"/>
    <w:rsid w:val="00910C38"/>
    <w:rsid w:val="009110EE"/>
    <w:rsid w:val="0091128A"/>
    <w:rsid w:val="0091145A"/>
    <w:rsid w:val="00911556"/>
    <w:rsid w:val="00911724"/>
    <w:rsid w:val="00911737"/>
    <w:rsid w:val="009117CF"/>
    <w:rsid w:val="009119A5"/>
    <w:rsid w:val="00911A1B"/>
    <w:rsid w:val="00911B5D"/>
    <w:rsid w:val="00911CA8"/>
    <w:rsid w:val="00911E5C"/>
    <w:rsid w:val="00911EF1"/>
    <w:rsid w:val="00912275"/>
    <w:rsid w:val="009123C7"/>
    <w:rsid w:val="00912810"/>
    <w:rsid w:val="0091288D"/>
    <w:rsid w:val="009129B1"/>
    <w:rsid w:val="00912AF3"/>
    <w:rsid w:val="00912B80"/>
    <w:rsid w:val="00912C54"/>
    <w:rsid w:val="00912D54"/>
    <w:rsid w:val="00912E9E"/>
    <w:rsid w:val="00912FA3"/>
    <w:rsid w:val="0091305B"/>
    <w:rsid w:val="009131E4"/>
    <w:rsid w:val="00913255"/>
    <w:rsid w:val="009132C9"/>
    <w:rsid w:val="009134A4"/>
    <w:rsid w:val="009137A4"/>
    <w:rsid w:val="009138DA"/>
    <w:rsid w:val="0091395C"/>
    <w:rsid w:val="00913A23"/>
    <w:rsid w:val="00913A4E"/>
    <w:rsid w:val="00913AEC"/>
    <w:rsid w:val="00913B2C"/>
    <w:rsid w:val="00913B9A"/>
    <w:rsid w:val="00913BE3"/>
    <w:rsid w:val="00913D3F"/>
    <w:rsid w:val="00913DAE"/>
    <w:rsid w:val="00913DB2"/>
    <w:rsid w:val="00913DDF"/>
    <w:rsid w:val="00913FDE"/>
    <w:rsid w:val="00914219"/>
    <w:rsid w:val="00914295"/>
    <w:rsid w:val="009142AF"/>
    <w:rsid w:val="00914513"/>
    <w:rsid w:val="0091464A"/>
    <w:rsid w:val="009146F8"/>
    <w:rsid w:val="00914B6E"/>
    <w:rsid w:val="00914D4D"/>
    <w:rsid w:val="00914D7F"/>
    <w:rsid w:val="00914EA2"/>
    <w:rsid w:val="0091519C"/>
    <w:rsid w:val="009153C2"/>
    <w:rsid w:val="009155EF"/>
    <w:rsid w:val="009156F8"/>
    <w:rsid w:val="00915B98"/>
    <w:rsid w:val="00915C09"/>
    <w:rsid w:val="00915D21"/>
    <w:rsid w:val="00915D9C"/>
    <w:rsid w:val="00915E6C"/>
    <w:rsid w:val="00915FBB"/>
    <w:rsid w:val="009160A3"/>
    <w:rsid w:val="00916142"/>
    <w:rsid w:val="009166A3"/>
    <w:rsid w:val="00916778"/>
    <w:rsid w:val="00916780"/>
    <w:rsid w:val="009169A8"/>
    <w:rsid w:val="00916B60"/>
    <w:rsid w:val="00916CD1"/>
    <w:rsid w:val="00916ED1"/>
    <w:rsid w:val="00916F78"/>
    <w:rsid w:val="009172CC"/>
    <w:rsid w:val="0091741D"/>
    <w:rsid w:val="00917846"/>
    <w:rsid w:val="00917872"/>
    <w:rsid w:val="0091794F"/>
    <w:rsid w:val="00917985"/>
    <w:rsid w:val="009179CB"/>
    <w:rsid w:val="00917AB6"/>
    <w:rsid w:val="00917C1E"/>
    <w:rsid w:val="00917F54"/>
    <w:rsid w:val="00920017"/>
    <w:rsid w:val="0092031B"/>
    <w:rsid w:val="009206A9"/>
    <w:rsid w:val="009208E6"/>
    <w:rsid w:val="00920937"/>
    <w:rsid w:val="00920A27"/>
    <w:rsid w:val="00920B5B"/>
    <w:rsid w:val="00920BE3"/>
    <w:rsid w:val="00920C1E"/>
    <w:rsid w:val="00920D3D"/>
    <w:rsid w:val="00920D94"/>
    <w:rsid w:val="00921014"/>
    <w:rsid w:val="00921257"/>
    <w:rsid w:val="0092137C"/>
    <w:rsid w:val="00921677"/>
    <w:rsid w:val="00921931"/>
    <w:rsid w:val="00921A32"/>
    <w:rsid w:val="00921C0B"/>
    <w:rsid w:val="00921C20"/>
    <w:rsid w:val="00921DAE"/>
    <w:rsid w:val="00921F7F"/>
    <w:rsid w:val="0092204B"/>
    <w:rsid w:val="0092209F"/>
    <w:rsid w:val="00922119"/>
    <w:rsid w:val="00922139"/>
    <w:rsid w:val="009221E2"/>
    <w:rsid w:val="00922217"/>
    <w:rsid w:val="00922400"/>
    <w:rsid w:val="00922563"/>
    <w:rsid w:val="00922591"/>
    <w:rsid w:val="009225E2"/>
    <w:rsid w:val="0092284B"/>
    <w:rsid w:val="00922A3C"/>
    <w:rsid w:val="00922A66"/>
    <w:rsid w:val="00922B22"/>
    <w:rsid w:val="00922C0C"/>
    <w:rsid w:val="00922CB4"/>
    <w:rsid w:val="00922ED1"/>
    <w:rsid w:val="0092338F"/>
    <w:rsid w:val="00923771"/>
    <w:rsid w:val="009237BA"/>
    <w:rsid w:val="00923B16"/>
    <w:rsid w:val="00923B69"/>
    <w:rsid w:val="00923BB8"/>
    <w:rsid w:val="00923BE7"/>
    <w:rsid w:val="00923CAA"/>
    <w:rsid w:val="00923FC1"/>
    <w:rsid w:val="00923FFA"/>
    <w:rsid w:val="009241C0"/>
    <w:rsid w:val="00924577"/>
    <w:rsid w:val="0092475A"/>
    <w:rsid w:val="009247DF"/>
    <w:rsid w:val="0092496C"/>
    <w:rsid w:val="00924B5A"/>
    <w:rsid w:val="00924BCD"/>
    <w:rsid w:val="00924E7D"/>
    <w:rsid w:val="00925001"/>
    <w:rsid w:val="00925047"/>
    <w:rsid w:val="00925069"/>
    <w:rsid w:val="009250A5"/>
    <w:rsid w:val="00925416"/>
    <w:rsid w:val="00925494"/>
    <w:rsid w:val="00925495"/>
    <w:rsid w:val="0092549D"/>
    <w:rsid w:val="0092551F"/>
    <w:rsid w:val="0092553E"/>
    <w:rsid w:val="009255B5"/>
    <w:rsid w:val="00925606"/>
    <w:rsid w:val="00925623"/>
    <w:rsid w:val="009256DE"/>
    <w:rsid w:val="00925CB7"/>
    <w:rsid w:val="00925CFD"/>
    <w:rsid w:val="00925E85"/>
    <w:rsid w:val="00925ED3"/>
    <w:rsid w:val="00925F36"/>
    <w:rsid w:val="0092617B"/>
    <w:rsid w:val="009261F2"/>
    <w:rsid w:val="00926691"/>
    <w:rsid w:val="009267CB"/>
    <w:rsid w:val="00926867"/>
    <w:rsid w:val="009268E5"/>
    <w:rsid w:val="00926930"/>
    <w:rsid w:val="00926B32"/>
    <w:rsid w:val="00926B6A"/>
    <w:rsid w:val="00926DA1"/>
    <w:rsid w:val="00926E3D"/>
    <w:rsid w:val="00926E90"/>
    <w:rsid w:val="00926E9E"/>
    <w:rsid w:val="00926F80"/>
    <w:rsid w:val="00927102"/>
    <w:rsid w:val="0092734F"/>
    <w:rsid w:val="0092757B"/>
    <w:rsid w:val="0092757C"/>
    <w:rsid w:val="009276DC"/>
    <w:rsid w:val="00927980"/>
    <w:rsid w:val="00927A18"/>
    <w:rsid w:val="00927B82"/>
    <w:rsid w:val="00927CB9"/>
    <w:rsid w:val="00927F3C"/>
    <w:rsid w:val="0093006C"/>
    <w:rsid w:val="0093024F"/>
    <w:rsid w:val="009302A5"/>
    <w:rsid w:val="00930323"/>
    <w:rsid w:val="00930344"/>
    <w:rsid w:val="009306AC"/>
    <w:rsid w:val="0093084A"/>
    <w:rsid w:val="00930984"/>
    <w:rsid w:val="009309F4"/>
    <w:rsid w:val="009309F6"/>
    <w:rsid w:val="00930AD6"/>
    <w:rsid w:val="00930C73"/>
    <w:rsid w:val="00930D47"/>
    <w:rsid w:val="00930E04"/>
    <w:rsid w:val="00930E9F"/>
    <w:rsid w:val="00930FE2"/>
    <w:rsid w:val="009310DC"/>
    <w:rsid w:val="00931593"/>
    <w:rsid w:val="009315EE"/>
    <w:rsid w:val="009316D5"/>
    <w:rsid w:val="00931926"/>
    <w:rsid w:val="00931A01"/>
    <w:rsid w:val="00931B47"/>
    <w:rsid w:val="00931B79"/>
    <w:rsid w:val="00931CDB"/>
    <w:rsid w:val="00931D09"/>
    <w:rsid w:val="00931D2C"/>
    <w:rsid w:val="00931E9F"/>
    <w:rsid w:val="00931FC1"/>
    <w:rsid w:val="00932076"/>
    <w:rsid w:val="009320E0"/>
    <w:rsid w:val="009323AD"/>
    <w:rsid w:val="009323D7"/>
    <w:rsid w:val="00932408"/>
    <w:rsid w:val="00932459"/>
    <w:rsid w:val="009324F7"/>
    <w:rsid w:val="009325D4"/>
    <w:rsid w:val="00932713"/>
    <w:rsid w:val="009329C4"/>
    <w:rsid w:val="00932AB5"/>
    <w:rsid w:val="00932CB8"/>
    <w:rsid w:val="00932CC0"/>
    <w:rsid w:val="00932F00"/>
    <w:rsid w:val="0093300B"/>
    <w:rsid w:val="0093330C"/>
    <w:rsid w:val="0093331D"/>
    <w:rsid w:val="0093336F"/>
    <w:rsid w:val="0093348B"/>
    <w:rsid w:val="009334FA"/>
    <w:rsid w:val="00933578"/>
    <w:rsid w:val="009335C3"/>
    <w:rsid w:val="00933644"/>
    <w:rsid w:val="00933741"/>
    <w:rsid w:val="0093376C"/>
    <w:rsid w:val="009338CF"/>
    <w:rsid w:val="009339D6"/>
    <w:rsid w:val="00933A0A"/>
    <w:rsid w:val="00933A37"/>
    <w:rsid w:val="00933D7D"/>
    <w:rsid w:val="00933D81"/>
    <w:rsid w:val="00933D9B"/>
    <w:rsid w:val="00933F3C"/>
    <w:rsid w:val="009341CA"/>
    <w:rsid w:val="009341E7"/>
    <w:rsid w:val="0093422C"/>
    <w:rsid w:val="00934249"/>
    <w:rsid w:val="0093435F"/>
    <w:rsid w:val="009343F5"/>
    <w:rsid w:val="009343F8"/>
    <w:rsid w:val="00934622"/>
    <w:rsid w:val="00934642"/>
    <w:rsid w:val="00934773"/>
    <w:rsid w:val="0093480D"/>
    <w:rsid w:val="0093481D"/>
    <w:rsid w:val="009348B8"/>
    <w:rsid w:val="0093494A"/>
    <w:rsid w:val="00934997"/>
    <w:rsid w:val="009349E8"/>
    <w:rsid w:val="00934A13"/>
    <w:rsid w:val="00934C2C"/>
    <w:rsid w:val="00934D0B"/>
    <w:rsid w:val="00934ED4"/>
    <w:rsid w:val="00934FC4"/>
    <w:rsid w:val="00934FD9"/>
    <w:rsid w:val="00935071"/>
    <w:rsid w:val="00935093"/>
    <w:rsid w:val="0093551C"/>
    <w:rsid w:val="0093569A"/>
    <w:rsid w:val="00935817"/>
    <w:rsid w:val="009358D5"/>
    <w:rsid w:val="00935A15"/>
    <w:rsid w:val="00935A35"/>
    <w:rsid w:val="00935B2B"/>
    <w:rsid w:val="00935BC1"/>
    <w:rsid w:val="00935C32"/>
    <w:rsid w:val="00935C9B"/>
    <w:rsid w:val="00935CB2"/>
    <w:rsid w:val="00935DE2"/>
    <w:rsid w:val="00935ED1"/>
    <w:rsid w:val="00935F1A"/>
    <w:rsid w:val="00935F81"/>
    <w:rsid w:val="00935FC4"/>
    <w:rsid w:val="00936347"/>
    <w:rsid w:val="009363F6"/>
    <w:rsid w:val="00936904"/>
    <w:rsid w:val="0093694B"/>
    <w:rsid w:val="00936961"/>
    <w:rsid w:val="00936A2F"/>
    <w:rsid w:val="00936C89"/>
    <w:rsid w:val="00936C94"/>
    <w:rsid w:val="00936CCB"/>
    <w:rsid w:val="00936CF4"/>
    <w:rsid w:val="00936E72"/>
    <w:rsid w:val="00936EA8"/>
    <w:rsid w:val="00936FBA"/>
    <w:rsid w:val="0093738B"/>
    <w:rsid w:val="00937394"/>
    <w:rsid w:val="009373A4"/>
    <w:rsid w:val="0093744B"/>
    <w:rsid w:val="0093765E"/>
    <w:rsid w:val="009376DD"/>
    <w:rsid w:val="0093774A"/>
    <w:rsid w:val="009377CD"/>
    <w:rsid w:val="00937983"/>
    <w:rsid w:val="00937A91"/>
    <w:rsid w:val="00937DA2"/>
    <w:rsid w:val="00937FC2"/>
    <w:rsid w:val="009400BA"/>
    <w:rsid w:val="009400C4"/>
    <w:rsid w:val="009402D5"/>
    <w:rsid w:val="00940388"/>
    <w:rsid w:val="0094046A"/>
    <w:rsid w:val="0094049B"/>
    <w:rsid w:val="0094051F"/>
    <w:rsid w:val="0094052D"/>
    <w:rsid w:val="0094069C"/>
    <w:rsid w:val="009407C6"/>
    <w:rsid w:val="0094098D"/>
    <w:rsid w:val="00940E80"/>
    <w:rsid w:val="0094111C"/>
    <w:rsid w:val="0094113E"/>
    <w:rsid w:val="0094128D"/>
    <w:rsid w:val="00941336"/>
    <w:rsid w:val="0094147C"/>
    <w:rsid w:val="0094154F"/>
    <w:rsid w:val="0094184C"/>
    <w:rsid w:val="00941867"/>
    <w:rsid w:val="0094191A"/>
    <w:rsid w:val="00941B5E"/>
    <w:rsid w:val="00941DC3"/>
    <w:rsid w:val="00941EE4"/>
    <w:rsid w:val="00941F45"/>
    <w:rsid w:val="00942078"/>
    <w:rsid w:val="009420B7"/>
    <w:rsid w:val="00942236"/>
    <w:rsid w:val="00942386"/>
    <w:rsid w:val="00942462"/>
    <w:rsid w:val="009425F5"/>
    <w:rsid w:val="0094264F"/>
    <w:rsid w:val="009429AB"/>
    <w:rsid w:val="009429BE"/>
    <w:rsid w:val="00942C31"/>
    <w:rsid w:val="00942C6F"/>
    <w:rsid w:val="009433C8"/>
    <w:rsid w:val="0094342A"/>
    <w:rsid w:val="00943557"/>
    <w:rsid w:val="009436AE"/>
    <w:rsid w:val="00943DAB"/>
    <w:rsid w:val="00943DCB"/>
    <w:rsid w:val="00943F85"/>
    <w:rsid w:val="00943FA7"/>
    <w:rsid w:val="00944029"/>
    <w:rsid w:val="0094407D"/>
    <w:rsid w:val="00944082"/>
    <w:rsid w:val="0094413D"/>
    <w:rsid w:val="0094417B"/>
    <w:rsid w:val="00944208"/>
    <w:rsid w:val="009443D7"/>
    <w:rsid w:val="0094447E"/>
    <w:rsid w:val="009444D8"/>
    <w:rsid w:val="009445C4"/>
    <w:rsid w:val="009446B8"/>
    <w:rsid w:val="009446E6"/>
    <w:rsid w:val="00944712"/>
    <w:rsid w:val="009448AA"/>
    <w:rsid w:val="00944B96"/>
    <w:rsid w:val="00944CAB"/>
    <w:rsid w:val="00944CC8"/>
    <w:rsid w:val="00944CD8"/>
    <w:rsid w:val="0094504D"/>
    <w:rsid w:val="00945273"/>
    <w:rsid w:val="009453F4"/>
    <w:rsid w:val="009455D7"/>
    <w:rsid w:val="0094570C"/>
    <w:rsid w:val="00945721"/>
    <w:rsid w:val="0094580D"/>
    <w:rsid w:val="00945935"/>
    <w:rsid w:val="00945A15"/>
    <w:rsid w:val="00945AC2"/>
    <w:rsid w:val="00945B0A"/>
    <w:rsid w:val="00945FF8"/>
    <w:rsid w:val="00946309"/>
    <w:rsid w:val="00946405"/>
    <w:rsid w:val="009466FD"/>
    <w:rsid w:val="00946A8F"/>
    <w:rsid w:val="00946CF9"/>
    <w:rsid w:val="00946DC1"/>
    <w:rsid w:val="00946F60"/>
    <w:rsid w:val="00947058"/>
    <w:rsid w:val="009471A1"/>
    <w:rsid w:val="00947226"/>
    <w:rsid w:val="009472AB"/>
    <w:rsid w:val="00947598"/>
    <w:rsid w:val="009475AD"/>
    <w:rsid w:val="009475B2"/>
    <w:rsid w:val="00947735"/>
    <w:rsid w:val="009477C8"/>
    <w:rsid w:val="00947A65"/>
    <w:rsid w:val="00947A91"/>
    <w:rsid w:val="00947A9D"/>
    <w:rsid w:val="00947B1A"/>
    <w:rsid w:val="00947DCD"/>
    <w:rsid w:val="00947EB1"/>
    <w:rsid w:val="00947EEC"/>
    <w:rsid w:val="0095004C"/>
    <w:rsid w:val="0095007B"/>
    <w:rsid w:val="0095009C"/>
    <w:rsid w:val="0095038E"/>
    <w:rsid w:val="0095045C"/>
    <w:rsid w:val="009505A1"/>
    <w:rsid w:val="00950602"/>
    <w:rsid w:val="0095070F"/>
    <w:rsid w:val="0095075B"/>
    <w:rsid w:val="0095082B"/>
    <w:rsid w:val="00950B5C"/>
    <w:rsid w:val="00950D12"/>
    <w:rsid w:val="00950E44"/>
    <w:rsid w:val="00950EDF"/>
    <w:rsid w:val="00950F08"/>
    <w:rsid w:val="00950F37"/>
    <w:rsid w:val="00951057"/>
    <w:rsid w:val="00951364"/>
    <w:rsid w:val="009514F9"/>
    <w:rsid w:val="0095150A"/>
    <w:rsid w:val="00951521"/>
    <w:rsid w:val="00951703"/>
    <w:rsid w:val="009517D7"/>
    <w:rsid w:val="00951804"/>
    <w:rsid w:val="0095199F"/>
    <w:rsid w:val="00951B96"/>
    <w:rsid w:val="00951BCC"/>
    <w:rsid w:val="00951DF2"/>
    <w:rsid w:val="00951F29"/>
    <w:rsid w:val="0095203C"/>
    <w:rsid w:val="009520AA"/>
    <w:rsid w:val="009521CD"/>
    <w:rsid w:val="00952306"/>
    <w:rsid w:val="00952426"/>
    <w:rsid w:val="00952562"/>
    <w:rsid w:val="00952574"/>
    <w:rsid w:val="0095260F"/>
    <w:rsid w:val="009528B8"/>
    <w:rsid w:val="00952B6A"/>
    <w:rsid w:val="00952BB4"/>
    <w:rsid w:val="00952C3E"/>
    <w:rsid w:val="00952D6E"/>
    <w:rsid w:val="00952E0E"/>
    <w:rsid w:val="00952F8A"/>
    <w:rsid w:val="0095313C"/>
    <w:rsid w:val="009535CA"/>
    <w:rsid w:val="00953B9A"/>
    <w:rsid w:val="00953BB1"/>
    <w:rsid w:val="00953BD3"/>
    <w:rsid w:val="00953F85"/>
    <w:rsid w:val="00954013"/>
    <w:rsid w:val="00954015"/>
    <w:rsid w:val="00954092"/>
    <w:rsid w:val="00954137"/>
    <w:rsid w:val="009542B3"/>
    <w:rsid w:val="0095436D"/>
    <w:rsid w:val="009544A8"/>
    <w:rsid w:val="009544E7"/>
    <w:rsid w:val="00954516"/>
    <w:rsid w:val="0095469A"/>
    <w:rsid w:val="009546C7"/>
    <w:rsid w:val="00954794"/>
    <w:rsid w:val="00954904"/>
    <w:rsid w:val="00954D89"/>
    <w:rsid w:val="00954EB0"/>
    <w:rsid w:val="009550DD"/>
    <w:rsid w:val="009552BF"/>
    <w:rsid w:val="00955316"/>
    <w:rsid w:val="00955380"/>
    <w:rsid w:val="009553D1"/>
    <w:rsid w:val="0095565B"/>
    <w:rsid w:val="009556D6"/>
    <w:rsid w:val="00955864"/>
    <w:rsid w:val="00955867"/>
    <w:rsid w:val="00955870"/>
    <w:rsid w:val="00955896"/>
    <w:rsid w:val="009558E5"/>
    <w:rsid w:val="00955B7C"/>
    <w:rsid w:val="00955BB1"/>
    <w:rsid w:val="00955C5F"/>
    <w:rsid w:val="00955C77"/>
    <w:rsid w:val="00955D9E"/>
    <w:rsid w:val="00955ED4"/>
    <w:rsid w:val="00956038"/>
    <w:rsid w:val="00956084"/>
    <w:rsid w:val="009560C3"/>
    <w:rsid w:val="00956134"/>
    <w:rsid w:val="00956209"/>
    <w:rsid w:val="009562D5"/>
    <w:rsid w:val="0095632F"/>
    <w:rsid w:val="00956412"/>
    <w:rsid w:val="00956489"/>
    <w:rsid w:val="00956640"/>
    <w:rsid w:val="0095686B"/>
    <w:rsid w:val="00956870"/>
    <w:rsid w:val="00956CF7"/>
    <w:rsid w:val="00956E22"/>
    <w:rsid w:val="00956E36"/>
    <w:rsid w:val="00956E59"/>
    <w:rsid w:val="00956EB3"/>
    <w:rsid w:val="009572C3"/>
    <w:rsid w:val="0095730C"/>
    <w:rsid w:val="0095735C"/>
    <w:rsid w:val="009573D0"/>
    <w:rsid w:val="00957652"/>
    <w:rsid w:val="00957788"/>
    <w:rsid w:val="00957793"/>
    <w:rsid w:val="00957830"/>
    <w:rsid w:val="00957833"/>
    <w:rsid w:val="0095786C"/>
    <w:rsid w:val="0095789C"/>
    <w:rsid w:val="0095790E"/>
    <w:rsid w:val="00957992"/>
    <w:rsid w:val="009579DB"/>
    <w:rsid w:val="00957BEC"/>
    <w:rsid w:val="00960148"/>
    <w:rsid w:val="009601C3"/>
    <w:rsid w:val="00960577"/>
    <w:rsid w:val="009606D1"/>
    <w:rsid w:val="00960719"/>
    <w:rsid w:val="00960965"/>
    <w:rsid w:val="00960D2E"/>
    <w:rsid w:val="00960E75"/>
    <w:rsid w:val="00960EF5"/>
    <w:rsid w:val="0096100F"/>
    <w:rsid w:val="009611EB"/>
    <w:rsid w:val="009613D8"/>
    <w:rsid w:val="00961458"/>
    <w:rsid w:val="009614A8"/>
    <w:rsid w:val="00961551"/>
    <w:rsid w:val="00961773"/>
    <w:rsid w:val="0096181B"/>
    <w:rsid w:val="009618BB"/>
    <w:rsid w:val="009618E1"/>
    <w:rsid w:val="009618E4"/>
    <w:rsid w:val="0096192F"/>
    <w:rsid w:val="00961A91"/>
    <w:rsid w:val="00961C49"/>
    <w:rsid w:val="00961CB1"/>
    <w:rsid w:val="00961CDC"/>
    <w:rsid w:val="00961D8C"/>
    <w:rsid w:val="00961E40"/>
    <w:rsid w:val="00961FEA"/>
    <w:rsid w:val="0096203E"/>
    <w:rsid w:val="009621B4"/>
    <w:rsid w:val="00962208"/>
    <w:rsid w:val="009623BE"/>
    <w:rsid w:val="009623F0"/>
    <w:rsid w:val="00962466"/>
    <w:rsid w:val="0096256C"/>
    <w:rsid w:val="009626A3"/>
    <w:rsid w:val="009626B3"/>
    <w:rsid w:val="009627D4"/>
    <w:rsid w:val="00962AA8"/>
    <w:rsid w:val="00962BA8"/>
    <w:rsid w:val="00962BD4"/>
    <w:rsid w:val="00962C21"/>
    <w:rsid w:val="00962F99"/>
    <w:rsid w:val="009631C8"/>
    <w:rsid w:val="0096338A"/>
    <w:rsid w:val="00963442"/>
    <w:rsid w:val="00963450"/>
    <w:rsid w:val="00963478"/>
    <w:rsid w:val="009635D1"/>
    <w:rsid w:val="00963783"/>
    <w:rsid w:val="009637FB"/>
    <w:rsid w:val="009638F6"/>
    <w:rsid w:val="00963A42"/>
    <w:rsid w:val="00963B0F"/>
    <w:rsid w:val="00963B5D"/>
    <w:rsid w:val="00963CFC"/>
    <w:rsid w:val="00963CFF"/>
    <w:rsid w:val="00963DE5"/>
    <w:rsid w:val="00963E35"/>
    <w:rsid w:val="00963E55"/>
    <w:rsid w:val="0096408A"/>
    <w:rsid w:val="009640E9"/>
    <w:rsid w:val="00964381"/>
    <w:rsid w:val="009644EF"/>
    <w:rsid w:val="009649DB"/>
    <w:rsid w:val="00964A43"/>
    <w:rsid w:val="00964D7F"/>
    <w:rsid w:val="00964D80"/>
    <w:rsid w:val="0096509F"/>
    <w:rsid w:val="009650E6"/>
    <w:rsid w:val="009650F3"/>
    <w:rsid w:val="00965139"/>
    <w:rsid w:val="009651B8"/>
    <w:rsid w:val="009651CB"/>
    <w:rsid w:val="00965321"/>
    <w:rsid w:val="009654F1"/>
    <w:rsid w:val="009654F9"/>
    <w:rsid w:val="009654FF"/>
    <w:rsid w:val="00965546"/>
    <w:rsid w:val="00965551"/>
    <w:rsid w:val="009655B0"/>
    <w:rsid w:val="0096588D"/>
    <w:rsid w:val="009658C4"/>
    <w:rsid w:val="00965910"/>
    <w:rsid w:val="0096598C"/>
    <w:rsid w:val="009659A1"/>
    <w:rsid w:val="00965A79"/>
    <w:rsid w:val="00965C81"/>
    <w:rsid w:val="00965CEB"/>
    <w:rsid w:val="00965DF5"/>
    <w:rsid w:val="00965DF6"/>
    <w:rsid w:val="00965EC0"/>
    <w:rsid w:val="0096621A"/>
    <w:rsid w:val="00966222"/>
    <w:rsid w:val="00966361"/>
    <w:rsid w:val="009663E8"/>
    <w:rsid w:val="009664B3"/>
    <w:rsid w:val="0096650C"/>
    <w:rsid w:val="00966607"/>
    <w:rsid w:val="0096661A"/>
    <w:rsid w:val="0096681A"/>
    <w:rsid w:val="009669EF"/>
    <w:rsid w:val="00966E54"/>
    <w:rsid w:val="0096715B"/>
    <w:rsid w:val="00967207"/>
    <w:rsid w:val="00967230"/>
    <w:rsid w:val="00967370"/>
    <w:rsid w:val="0096778A"/>
    <w:rsid w:val="009678F7"/>
    <w:rsid w:val="0096793A"/>
    <w:rsid w:val="00967995"/>
    <w:rsid w:val="00967F33"/>
    <w:rsid w:val="00970029"/>
    <w:rsid w:val="009705E6"/>
    <w:rsid w:val="009708CD"/>
    <w:rsid w:val="00970C83"/>
    <w:rsid w:val="00970CD1"/>
    <w:rsid w:val="00970DAD"/>
    <w:rsid w:val="00970DBD"/>
    <w:rsid w:val="00971129"/>
    <w:rsid w:val="009711B7"/>
    <w:rsid w:val="009715F5"/>
    <w:rsid w:val="009718F3"/>
    <w:rsid w:val="0097191A"/>
    <w:rsid w:val="009719F2"/>
    <w:rsid w:val="00971B7F"/>
    <w:rsid w:val="00971C6B"/>
    <w:rsid w:val="00971CDD"/>
    <w:rsid w:val="00971E43"/>
    <w:rsid w:val="00971ED7"/>
    <w:rsid w:val="00971F07"/>
    <w:rsid w:val="00972172"/>
    <w:rsid w:val="00972223"/>
    <w:rsid w:val="0097238E"/>
    <w:rsid w:val="00972579"/>
    <w:rsid w:val="009726AC"/>
    <w:rsid w:val="00972803"/>
    <w:rsid w:val="00972865"/>
    <w:rsid w:val="0097292B"/>
    <w:rsid w:val="009729CC"/>
    <w:rsid w:val="00972A08"/>
    <w:rsid w:val="00972CE7"/>
    <w:rsid w:val="00972F0E"/>
    <w:rsid w:val="00972F2D"/>
    <w:rsid w:val="00972FF8"/>
    <w:rsid w:val="009730A3"/>
    <w:rsid w:val="009733EC"/>
    <w:rsid w:val="009734C1"/>
    <w:rsid w:val="009735CC"/>
    <w:rsid w:val="009738DF"/>
    <w:rsid w:val="00973987"/>
    <w:rsid w:val="009739DA"/>
    <w:rsid w:val="00973AB3"/>
    <w:rsid w:val="00973AC3"/>
    <w:rsid w:val="00973B37"/>
    <w:rsid w:val="00973C88"/>
    <w:rsid w:val="00973D1A"/>
    <w:rsid w:val="00973F6E"/>
    <w:rsid w:val="009740A9"/>
    <w:rsid w:val="00974247"/>
    <w:rsid w:val="009742B4"/>
    <w:rsid w:val="0097433B"/>
    <w:rsid w:val="00974590"/>
    <w:rsid w:val="00974741"/>
    <w:rsid w:val="00974749"/>
    <w:rsid w:val="0097488C"/>
    <w:rsid w:val="009748FB"/>
    <w:rsid w:val="00974955"/>
    <w:rsid w:val="00974AB9"/>
    <w:rsid w:val="00974CF7"/>
    <w:rsid w:val="00974DE8"/>
    <w:rsid w:val="00974E02"/>
    <w:rsid w:val="00974E1D"/>
    <w:rsid w:val="00974E2D"/>
    <w:rsid w:val="00974F96"/>
    <w:rsid w:val="00975176"/>
    <w:rsid w:val="009751DB"/>
    <w:rsid w:val="009751FB"/>
    <w:rsid w:val="009753D1"/>
    <w:rsid w:val="0097547D"/>
    <w:rsid w:val="009754CF"/>
    <w:rsid w:val="00975518"/>
    <w:rsid w:val="009755A0"/>
    <w:rsid w:val="00975631"/>
    <w:rsid w:val="0097564F"/>
    <w:rsid w:val="00975726"/>
    <w:rsid w:val="00975823"/>
    <w:rsid w:val="00975C88"/>
    <w:rsid w:val="00975E4D"/>
    <w:rsid w:val="00975E50"/>
    <w:rsid w:val="00975F10"/>
    <w:rsid w:val="00975F62"/>
    <w:rsid w:val="00975F8C"/>
    <w:rsid w:val="00976034"/>
    <w:rsid w:val="0097628B"/>
    <w:rsid w:val="0097643F"/>
    <w:rsid w:val="009765F5"/>
    <w:rsid w:val="0097673B"/>
    <w:rsid w:val="009767D0"/>
    <w:rsid w:val="00976905"/>
    <w:rsid w:val="00976978"/>
    <w:rsid w:val="00976B6B"/>
    <w:rsid w:val="00976C29"/>
    <w:rsid w:val="00976CB2"/>
    <w:rsid w:val="00976CE0"/>
    <w:rsid w:val="00976D09"/>
    <w:rsid w:val="00976D5D"/>
    <w:rsid w:val="00976D6F"/>
    <w:rsid w:val="00976EAD"/>
    <w:rsid w:val="00976F2D"/>
    <w:rsid w:val="00977269"/>
    <w:rsid w:val="0097733F"/>
    <w:rsid w:val="00977547"/>
    <w:rsid w:val="0097760A"/>
    <w:rsid w:val="009776AF"/>
    <w:rsid w:val="00977ACD"/>
    <w:rsid w:val="00977AD5"/>
    <w:rsid w:val="00977B4E"/>
    <w:rsid w:val="00977D2D"/>
    <w:rsid w:val="00977E23"/>
    <w:rsid w:val="00980111"/>
    <w:rsid w:val="00980125"/>
    <w:rsid w:val="00980369"/>
    <w:rsid w:val="009805D8"/>
    <w:rsid w:val="0098075F"/>
    <w:rsid w:val="00980798"/>
    <w:rsid w:val="009808BB"/>
    <w:rsid w:val="00980997"/>
    <w:rsid w:val="00980A1E"/>
    <w:rsid w:val="00980ABD"/>
    <w:rsid w:val="00980EA7"/>
    <w:rsid w:val="00980EE9"/>
    <w:rsid w:val="00981061"/>
    <w:rsid w:val="009810FE"/>
    <w:rsid w:val="0098119F"/>
    <w:rsid w:val="009812DF"/>
    <w:rsid w:val="009812F2"/>
    <w:rsid w:val="00981349"/>
    <w:rsid w:val="0098164F"/>
    <w:rsid w:val="009817B3"/>
    <w:rsid w:val="009818DF"/>
    <w:rsid w:val="009818EA"/>
    <w:rsid w:val="00981905"/>
    <w:rsid w:val="0098190A"/>
    <w:rsid w:val="00981959"/>
    <w:rsid w:val="00981C09"/>
    <w:rsid w:val="00981C31"/>
    <w:rsid w:val="00981CE6"/>
    <w:rsid w:val="00981CF5"/>
    <w:rsid w:val="00981D20"/>
    <w:rsid w:val="00981ECA"/>
    <w:rsid w:val="009820BE"/>
    <w:rsid w:val="00982102"/>
    <w:rsid w:val="00982106"/>
    <w:rsid w:val="00982123"/>
    <w:rsid w:val="00982354"/>
    <w:rsid w:val="00982385"/>
    <w:rsid w:val="009823AF"/>
    <w:rsid w:val="009823E8"/>
    <w:rsid w:val="0098242E"/>
    <w:rsid w:val="00982636"/>
    <w:rsid w:val="00982B6D"/>
    <w:rsid w:val="00982C39"/>
    <w:rsid w:val="00982DB0"/>
    <w:rsid w:val="00982DD3"/>
    <w:rsid w:val="0098301D"/>
    <w:rsid w:val="00983080"/>
    <w:rsid w:val="00983084"/>
    <w:rsid w:val="00983096"/>
    <w:rsid w:val="009832C9"/>
    <w:rsid w:val="009833A1"/>
    <w:rsid w:val="0098353F"/>
    <w:rsid w:val="00983558"/>
    <w:rsid w:val="009836DF"/>
    <w:rsid w:val="00983963"/>
    <w:rsid w:val="00983A69"/>
    <w:rsid w:val="00983B94"/>
    <w:rsid w:val="00983B98"/>
    <w:rsid w:val="00983BFC"/>
    <w:rsid w:val="00983CA8"/>
    <w:rsid w:val="00983CC0"/>
    <w:rsid w:val="00983D1A"/>
    <w:rsid w:val="00983F2E"/>
    <w:rsid w:val="00984028"/>
    <w:rsid w:val="00984091"/>
    <w:rsid w:val="009840E4"/>
    <w:rsid w:val="009845A9"/>
    <w:rsid w:val="009845BA"/>
    <w:rsid w:val="00984737"/>
    <w:rsid w:val="00984A26"/>
    <w:rsid w:val="00984B42"/>
    <w:rsid w:val="00984BD8"/>
    <w:rsid w:val="00984C33"/>
    <w:rsid w:val="00984EF6"/>
    <w:rsid w:val="009853B5"/>
    <w:rsid w:val="00985681"/>
    <w:rsid w:val="009856FF"/>
    <w:rsid w:val="00985826"/>
    <w:rsid w:val="00985894"/>
    <w:rsid w:val="0098598A"/>
    <w:rsid w:val="00985B5E"/>
    <w:rsid w:val="00985BB3"/>
    <w:rsid w:val="00985C35"/>
    <w:rsid w:val="00985DC4"/>
    <w:rsid w:val="00985E0E"/>
    <w:rsid w:val="00985EE0"/>
    <w:rsid w:val="00986220"/>
    <w:rsid w:val="00986393"/>
    <w:rsid w:val="009864CD"/>
    <w:rsid w:val="00986564"/>
    <w:rsid w:val="009865D3"/>
    <w:rsid w:val="009866EE"/>
    <w:rsid w:val="0098678B"/>
    <w:rsid w:val="0098686C"/>
    <w:rsid w:val="00986A06"/>
    <w:rsid w:val="00986A3E"/>
    <w:rsid w:val="00986A7F"/>
    <w:rsid w:val="00986AA0"/>
    <w:rsid w:val="00986B20"/>
    <w:rsid w:val="00986CA0"/>
    <w:rsid w:val="00986D2E"/>
    <w:rsid w:val="00986E50"/>
    <w:rsid w:val="00986E93"/>
    <w:rsid w:val="00987108"/>
    <w:rsid w:val="009871BC"/>
    <w:rsid w:val="009871D2"/>
    <w:rsid w:val="00987325"/>
    <w:rsid w:val="0098748F"/>
    <w:rsid w:val="009875D9"/>
    <w:rsid w:val="009875F7"/>
    <w:rsid w:val="0098766D"/>
    <w:rsid w:val="009876E1"/>
    <w:rsid w:val="009877A4"/>
    <w:rsid w:val="0098790C"/>
    <w:rsid w:val="0098790F"/>
    <w:rsid w:val="009879C9"/>
    <w:rsid w:val="00987A4C"/>
    <w:rsid w:val="00987C62"/>
    <w:rsid w:val="00987C92"/>
    <w:rsid w:val="00990128"/>
    <w:rsid w:val="00990253"/>
    <w:rsid w:val="00990293"/>
    <w:rsid w:val="009902B8"/>
    <w:rsid w:val="0099033F"/>
    <w:rsid w:val="00990691"/>
    <w:rsid w:val="009907E5"/>
    <w:rsid w:val="0099081A"/>
    <w:rsid w:val="009908BB"/>
    <w:rsid w:val="00990A49"/>
    <w:rsid w:val="00990C31"/>
    <w:rsid w:val="00990C81"/>
    <w:rsid w:val="00990D13"/>
    <w:rsid w:val="00990DCE"/>
    <w:rsid w:val="00990EA7"/>
    <w:rsid w:val="00990FFF"/>
    <w:rsid w:val="009910C5"/>
    <w:rsid w:val="00991135"/>
    <w:rsid w:val="0099126A"/>
    <w:rsid w:val="00991394"/>
    <w:rsid w:val="009914CF"/>
    <w:rsid w:val="0099153F"/>
    <w:rsid w:val="009916C5"/>
    <w:rsid w:val="00991794"/>
    <w:rsid w:val="009917BD"/>
    <w:rsid w:val="009918B1"/>
    <w:rsid w:val="009919C9"/>
    <w:rsid w:val="00991A60"/>
    <w:rsid w:val="00991C92"/>
    <w:rsid w:val="00991CC1"/>
    <w:rsid w:val="00991D30"/>
    <w:rsid w:val="00991E60"/>
    <w:rsid w:val="00991E9D"/>
    <w:rsid w:val="00991EAB"/>
    <w:rsid w:val="00991F4D"/>
    <w:rsid w:val="0099240C"/>
    <w:rsid w:val="00992479"/>
    <w:rsid w:val="00992628"/>
    <w:rsid w:val="0099287E"/>
    <w:rsid w:val="009929A6"/>
    <w:rsid w:val="00992A90"/>
    <w:rsid w:val="00992D28"/>
    <w:rsid w:val="00992D88"/>
    <w:rsid w:val="00992E11"/>
    <w:rsid w:val="00992F28"/>
    <w:rsid w:val="00992F2A"/>
    <w:rsid w:val="0099315D"/>
    <w:rsid w:val="0099333C"/>
    <w:rsid w:val="00993422"/>
    <w:rsid w:val="00993448"/>
    <w:rsid w:val="00993520"/>
    <w:rsid w:val="00993558"/>
    <w:rsid w:val="00993624"/>
    <w:rsid w:val="0099362A"/>
    <w:rsid w:val="0099380F"/>
    <w:rsid w:val="009938AD"/>
    <w:rsid w:val="00993AFC"/>
    <w:rsid w:val="00993BBC"/>
    <w:rsid w:val="00993C22"/>
    <w:rsid w:val="00993DB3"/>
    <w:rsid w:val="00993E4C"/>
    <w:rsid w:val="00993EA2"/>
    <w:rsid w:val="00994365"/>
    <w:rsid w:val="0099436D"/>
    <w:rsid w:val="009943CA"/>
    <w:rsid w:val="0099443C"/>
    <w:rsid w:val="0099446D"/>
    <w:rsid w:val="00994495"/>
    <w:rsid w:val="009944D7"/>
    <w:rsid w:val="009944E6"/>
    <w:rsid w:val="00994661"/>
    <w:rsid w:val="0099482F"/>
    <w:rsid w:val="0099487F"/>
    <w:rsid w:val="009948B3"/>
    <w:rsid w:val="009948E7"/>
    <w:rsid w:val="00994A03"/>
    <w:rsid w:val="00994A86"/>
    <w:rsid w:val="00994B6C"/>
    <w:rsid w:val="00994B7D"/>
    <w:rsid w:val="00994BAF"/>
    <w:rsid w:val="00994E7F"/>
    <w:rsid w:val="0099512E"/>
    <w:rsid w:val="00995169"/>
    <w:rsid w:val="00995178"/>
    <w:rsid w:val="00995378"/>
    <w:rsid w:val="009954CC"/>
    <w:rsid w:val="0099562F"/>
    <w:rsid w:val="00995633"/>
    <w:rsid w:val="009957B4"/>
    <w:rsid w:val="0099582B"/>
    <w:rsid w:val="009958B7"/>
    <w:rsid w:val="00995978"/>
    <w:rsid w:val="00995B4A"/>
    <w:rsid w:val="00995B98"/>
    <w:rsid w:val="00995BB4"/>
    <w:rsid w:val="00995CAF"/>
    <w:rsid w:val="00995CB0"/>
    <w:rsid w:val="00995DCC"/>
    <w:rsid w:val="00995F15"/>
    <w:rsid w:val="00995F1C"/>
    <w:rsid w:val="00995FA8"/>
    <w:rsid w:val="00996121"/>
    <w:rsid w:val="00996239"/>
    <w:rsid w:val="00996244"/>
    <w:rsid w:val="0099636C"/>
    <w:rsid w:val="00996370"/>
    <w:rsid w:val="009963C2"/>
    <w:rsid w:val="0099660B"/>
    <w:rsid w:val="00996656"/>
    <w:rsid w:val="009967D5"/>
    <w:rsid w:val="00996898"/>
    <w:rsid w:val="00996A05"/>
    <w:rsid w:val="00996D81"/>
    <w:rsid w:val="00996FA9"/>
    <w:rsid w:val="0099703E"/>
    <w:rsid w:val="00997100"/>
    <w:rsid w:val="009971D7"/>
    <w:rsid w:val="009971F7"/>
    <w:rsid w:val="0099723E"/>
    <w:rsid w:val="009972A8"/>
    <w:rsid w:val="009973F3"/>
    <w:rsid w:val="00997416"/>
    <w:rsid w:val="009975EF"/>
    <w:rsid w:val="00997620"/>
    <w:rsid w:val="0099763C"/>
    <w:rsid w:val="00997774"/>
    <w:rsid w:val="00997783"/>
    <w:rsid w:val="00997A9A"/>
    <w:rsid w:val="00997BB1"/>
    <w:rsid w:val="00997CBA"/>
    <w:rsid w:val="00997D04"/>
    <w:rsid w:val="00997DE0"/>
    <w:rsid w:val="00997E21"/>
    <w:rsid w:val="00997EFB"/>
    <w:rsid w:val="00997F42"/>
    <w:rsid w:val="00997FC4"/>
    <w:rsid w:val="009A0179"/>
    <w:rsid w:val="009A02F0"/>
    <w:rsid w:val="009A03E0"/>
    <w:rsid w:val="009A03E2"/>
    <w:rsid w:val="009A03E4"/>
    <w:rsid w:val="009A0475"/>
    <w:rsid w:val="009A049B"/>
    <w:rsid w:val="009A049D"/>
    <w:rsid w:val="009A0553"/>
    <w:rsid w:val="009A05CF"/>
    <w:rsid w:val="009A0767"/>
    <w:rsid w:val="009A089E"/>
    <w:rsid w:val="009A095B"/>
    <w:rsid w:val="009A0A07"/>
    <w:rsid w:val="009A0A6B"/>
    <w:rsid w:val="009A0B18"/>
    <w:rsid w:val="009A0B55"/>
    <w:rsid w:val="009A0C02"/>
    <w:rsid w:val="009A0D1B"/>
    <w:rsid w:val="009A0D77"/>
    <w:rsid w:val="009A0E47"/>
    <w:rsid w:val="009A0E93"/>
    <w:rsid w:val="009A0EC8"/>
    <w:rsid w:val="009A1046"/>
    <w:rsid w:val="009A1665"/>
    <w:rsid w:val="009A1694"/>
    <w:rsid w:val="009A1838"/>
    <w:rsid w:val="009A18BE"/>
    <w:rsid w:val="009A1917"/>
    <w:rsid w:val="009A1980"/>
    <w:rsid w:val="009A1A41"/>
    <w:rsid w:val="009A1D6D"/>
    <w:rsid w:val="009A1DAD"/>
    <w:rsid w:val="009A1E2A"/>
    <w:rsid w:val="009A1E93"/>
    <w:rsid w:val="009A1F67"/>
    <w:rsid w:val="009A20B6"/>
    <w:rsid w:val="009A212D"/>
    <w:rsid w:val="009A2268"/>
    <w:rsid w:val="009A22F9"/>
    <w:rsid w:val="009A274C"/>
    <w:rsid w:val="009A2980"/>
    <w:rsid w:val="009A2AAD"/>
    <w:rsid w:val="009A2B41"/>
    <w:rsid w:val="009A2C59"/>
    <w:rsid w:val="009A2C88"/>
    <w:rsid w:val="009A2DAC"/>
    <w:rsid w:val="009A2DF5"/>
    <w:rsid w:val="009A2E5B"/>
    <w:rsid w:val="009A2EFA"/>
    <w:rsid w:val="009A2F34"/>
    <w:rsid w:val="009A2FD8"/>
    <w:rsid w:val="009A30CE"/>
    <w:rsid w:val="009A345A"/>
    <w:rsid w:val="009A3548"/>
    <w:rsid w:val="009A36DE"/>
    <w:rsid w:val="009A36ED"/>
    <w:rsid w:val="009A3939"/>
    <w:rsid w:val="009A3A09"/>
    <w:rsid w:val="009A3A51"/>
    <w:rsid w:val="009A3ABA"/>
    <w:rsid w:val="009A3CB6"/>
    <w:rsid w:val="009A3F8B"/>
    <w:rsid w:val="009A4031"/>
    <w:rsid w:val="009A406C"/>
    <w:rsid w:val="009A4110"/>
    <w:rsid w:val="009A4190"/>
    <w:rsid w:val="009A41CE"/>
    <w:rsid w:val="009A492A"/>
    <w:rsid w:val="009A4A47"/>
    <w:rsid w:val="009A4C1B"/>
    <w:rsid w:val="009A4F17"/>
    <w:rsid w:val="009A4F9E"/>
    <w:rsid w:val="009A5037"/>
    <w:rsid w:val="009A5168"/>
    <w:rsid w:val="009A525D"/>
    <w:rsid w:val="009A54F8"/>
    <w:rsid w:val="009A585A"/>
    <w:rsid w:val="009A58CD"/>
    <w:rsid w:val="009A5906"/>
    <w:rsid w:val="009A591D"/>
    <w:rsid w:val="009A5AFA"/>
    <w:rsid w:val="009A5B18"/>
    <w:rsid w:val="009A5C14"/>
    <w:rsid w:val="009A5E05"/>
    <w:rsid w:val="009A6629"/>
    <w:rsid w:val="009A6632"/>
    <w:rsid w:val="009A672D"/>
    <w:rsid w:val="009A674E"/>
    <w:rsid w:val="009A6867"/>
    <w:rsid w:val="009A688F"/>
    <w:rsid w:val="009A6A79"/>
    <w:rsid w:val="009A6CAE"/>
    <w:rsid w:val="009A6D0D"/>
    <w:rsid w:val="009A6D2F"/>
    <w:rsid w:val="009A6DB1"/>
    <w:rsid w:val="009A6DD9"/>
    <w:rsid w:val="009A6DFA"/>
    <w:rsid w:val="009A6DFC"/>
    <w:rsid w:val="009A6EF4"/>
    <w:rsid w:val="009A6F1F"/>
    <w:rsid w:val="009A706D"/>
    <w:rsid w:val="009A71BA"/>
    <w:rsid w:val="009A7528"/>
    <w:rsid w:val="009A7593"/>
    <w:rsid w:val="009A75E8"/>
    <w:rsid w:val="009A7755"/>
    <w:rsid w:val="009A7959"/>
    <w:rsid w:val="009A799D"/>
    <w:rsid w:val="009A79B8"/>
    <w:rsid w:val="009A7A5B"/>
    <w:rsid w:val="009A7B32"/>
    <w:rsid w:val="009A7CBB"/>
    <w:rsid w:val="009A7CD7"/>
    <w:rsid w:val="009A7CDB"/>
    <w:rsid w:val="009A7CF8"/>
    <w:rsid w:val="009A7D7A"/>
    <w:rsid w:val="009A7E9D"/>
    <w:rsid w:val="009B0011"/>
    <w:rsid w:val="009B017D"/>
    <w:rsid w:val="009B02B8"/>
    <w:rsid w:val="009B039A"/>
    <w:rsid w:val="009B07AC"/>
    <w:rsid w:val="009B082A"/>
    <w:rsid w:val="009B0A90"/>
    <w:rsid w:val="009B0AA8"/>
    <w:rsid w:val="009B0D95"/>
    <w:rsid w:val="009B0EB8"/>
    <w:rsid w:val="009B0F39"/>
    <w:rsid w:val="009B1009"/>
    <w:rsid w:val="009B11D0"/>
    <w:rsid w:val="009B1301"/>
    <w:rsid w:val="009B140B"/>
    <w:rsid w:val="009B141B"/>
    <w:rsid w:val="009B15AA"/>
    <w:rsid w:val="009B16A6"/>
    <w:rsid w:val="009B16BF"/>
    <w:rsid w:val="009B186A"/>
    <w:rsid w:val="009B1B30"/>
    <w:rsid w:val="009B1D27"/>
    <w:rsid w:val="009B1E02"/>
    <w:rsid w:val="009B1EC0"/>
    <w:rsid w:val="009B2190"/>
    <w:rsid w:val="009B228F"/>
    <w:rsid w:val="009B24D8"/>
    <w:rsid w:val="009B26F5"/>
    <w:rsid w:val="009B2973"/>
    <w:rsid w:val="009B2A24"/>
    <w:rsid w:val="009B2A43"/>
    <w:rsid w:val="009B2C6C"/>
    <w:rsid w:val="009B2F33"/>
    <w:rsid w:val="009B2FF4"/>
    <w:rsid w:val="009B30F8"/>
    <w:rsid w:val="009B326F"/>
    <w:rsid w:val="009B329B"/>
    <w:rsid w:val="009B32C2"/>
    <w:rsid w:val="009B32E8"/>
    <w:rsid w:val="009B32ED"/>
    <w:rsid w:val="009B32FE"/>
    <w:rsid w:val="009B3398"/>
    <w:rsid w:val="009B3519"/>
    <w:rsid w:val="009B358C"/>
    <w:rsid w:val="009B3630"/>
    <w:rsid w:val="009B376A"/>
    <w:rsid w:val="009B3AF5"/>
    <w:rsid w:val="009B3F12"/>
    <w:rsid w:val="009B3FED"/>
    <w:rsid w:val="009B4278"/>
    <w:rsid w:val="009B4584"/>
    <w:rsid w:val="009B45CA"/>
    <w:rsid w:val="009B462B"/>
    <w:rsid w:val="009B4877"/>
    <w:rsid w:val="009B4C7C"/>
    <w:rsid w:val="009B4E35"/>
    <w:rsid w:val="009B501C"/>
    <w:rsid w:val="009B501F"/>
    <w:rsid w:val="009B5092"/>
    <w:rsid w:val="009B50EE"/>
    <w:rsid w:val="009B51C9"/>
    <w:rsid w:val="009B5228"/>
    <w:rsid w:val="009B524F"/>
    <w:rsid w:val="009B530C"/>
    <w:rsid w:val="009B53DE"/>
    <w:rsid w:val="009B5484"/>
    <w:rsid w:val="009B5511"/>
    <w:rsid w:val="009B555D"/>
    <w:rsid w:val="009B558D"/>
    <w:rsid w:val="009B55AC"/>
    <w:rsid w:val="009B55F9"/>
    <w:rsid w:val="009B5682"/>
    <w:rsid w:val="009B569F"/>
    <w:rsid w:val="009B57AC"/>
    <w:rsid w:val="009B588B"/>
    <w:rsid w:val="009B5A73"/>
    <w:rsid w:val="009B5B9F"/>
    <w:rsid w:val="009B5BD0"/>
    <w:rsid w:val="009B5D27"/>
    <w:rsid w:val="009B5E84"/>
    <w:rsid w:val="009B5F5E"/>
    <w:rsid w:val="009B6154"/>
    <w:rsid w:val="009B61E6"/>
    <w:rsid w:val="009B63EE"/>
    <w:rsid w:val="009B64EB"/>
    <w:rsid w:val="009B657E"/>
    <w:rsid w:val="009B6754"/>
    <w:rsid w:val="009B67EB"/>
    <w:rsid w:val="009B6917"/>
    <w:rsid w:val="009B6A3F"/>
    <w:rsid w:val="009B6B44"/>
    <w:rsid w:val="009B6B54"/>
    <w:rsid w:val="009B6BEB"/>
    <w:rsid w:val="009B6C5E"/>
    <w:rsid w:val="009B6D33"/>
    <w:rsid w:val="009B6DB2"/>
    <w:rsid w:val="009B73F2"/>
    <w:rsid w:val="009B740D"/>
    <w:rsid w:val="009B74FB"/>
    <w:rsid w:val="009B7557"/>
    <w:rsid w:val="009B757A"/>
    <w:rsid w:val="009B757E"/>
    <w:rsid w:val="009B77DC"/>
    <w:rsid w:val="009B78AD"/>
    <w:rsid w:val="009B79AC"/>
    <w:rsid w:val="009B7AAF"/>
    <w:rsid w:val="009B7B83"/>
    <w:rsid w:val="009B7C59"/>
    <w:rsid w:val="009B7DE9"/>
    <w:rsid w:val="009B7F66"/>
    <w:rsid w:val="009C0027"/>
    <w:rsid w:val="009C0189"/>
    <w:rsid w:val="009C0461"/>
    <w:rsid w:val="009C067B"/>
    <w:rsid w:val="009C0776"/>
    <w:rsid w:val="009C0860"/>
    <w:rsid w:val="009C08C9"/>
    <w:rsid w:val="009C092B"/>
    <w:rsid w:val="009C09CC"/>
    <w:rsid w:val="009C0A35"/>
    <w:rsid w:val="009C0C4F"/>
    <w:rsid w:val="009C0D12"/>
    <w:rsid w:val="009C0D40"/>
    <w:rsid w:val="009C0E79"/>
    <w:rsid w:val="009C0EDA"/>
    <w:rsid w:val="009C0F4A"/>
    <w:rsid w:val="009C0F67"/>
    <w:rsid w:val="009C1021"/>
    <w:rsid w:val="009C1085"/>
    <w:rsid w:val="009C1525"/>
    <w:rsid w:val="009C156A"/>
    <w:rsid w:val="009C1768"/>
    <w:rsid w:val="009C1AC4"/>
    <w:rsid w:val="009C1B59"/>
    <w:rsid w:val="009C1B90"/>
    <w:rsid w:val="009C1BB9"/>
    <w:rsid w:val="009C1D55"/>
    <w:rsid w:val="009C1DA1"/>
    <w:rsid w:val="009C1EC3"/>
    <w:rsid w:val="009C1F3E"/>
    <w:rsid w:val="009C1F64"/>
    <w:rsid w:val="009C2071"/>
    <w:rsid w:val="009C21FF"/>
    <w:rsid w:val="009C2387"/>
    <w:rsid w:val="009C24FB"/>
    <w:rsid w:val="009C2537"/>
    <w:rsid w:val="009C25E5"/>
    <w:rsid w:val="009C25EE"/>
    <w:rsid w:val="009C2652"/>
    <w:rsid w:val="009C26FF"/>
    <w:rsid w:val="009C289B"/>
    <w:rsid w:val="009C2A63"/>
    <w:rsid w:val="009C2BF0"/>
    <w:rsid w:val="009C2D27"/>
    <w:rsid w:val="009C2D73"/>
    <w:rsid w:val="009C2DA5"/>
    <w:rsid w:val="009C2E41"/>
    <w:rsid w:val="009C30BC"/>
    <w:rsid w:val="009C317E"/>
    <w:rsid w:val="009C31D2"/>
    <w:rsid w:val="009C320C"/>
    <w:rsid w:val="009C33A0"/>
    <w:rsid w:val="009C33F1"/>
    <w:rsid w:val="009C3406"/>
    <w:rsid w:val="009C350A"/>
    <w:rsid w:val="009C3588"/>
    <w:rsid w:val="009C369B"/>
    <w:rsid w:val="009C3A8B"/>
    <w:rsid w:val="009C3B3C"/>
    <w:rsid w:val="009C3CBC"/>
    <w:rsid w:val="009C3D5B"/>
    <w:rsid w:val="009C40BA"/>
    <w:rsid w:val="009C40D4"/>
    <w:rsid w:val="009C411C"/>
    <w:rsid w:val="009C43F7"/>
    <w:rsid w:val="009C4643"/>
    <w:rsid w:val="009C4675"/>
    <w:rsid w:val="009C472B"/>
    <w:rsid w:val="009C4755"/>
    <w:rsid w:val="009C47C4"/>
    <w:rsid w:val="009C489C"/>
    <w:rsid w:val="009C48C2"/>
    <w:rsid w:val="009C48D9"/>
    <w:rsid w:val="009C494B"/>
    <w:rsid w:val="009C4955"/>
    <w:rsid w:val="009C49D9"/>
    <w:rsid w:val="009C4A66"/>
    <w:rsid w:val="009C4B64"/>
    <w:rsid w:val="009C4BF0"/>
    <w:rsid w:val="009C4BF1"/>
    <w:rsid w:val="009C4D30"/>
    <w:rsid w:val="009C5075"/>
    <w:rsid w:val="009C509D"/>
    <w:rsid w:val="009C516F"/>
    <w:rsid w:val="009C526D"/>
    <w:rsid w:val="009C5276"/>
    <w:rsid w:val="009C531B"/>
    <w:rsid w:val="009C53EB"/>
    <w:rsid w:val="009C5427"/>
    <w:rsid w:val="009C5429"/>
    <w:rsid w:val="009C54C7"/>
    <w:rsid w:val="009C553D"/>
    <w:rsid w:val="009C55DF"/>
    <w:rsid w:val="009C5615"/>
    <w:rsid w:val="009C56A9"/>
    <w:rsid w:val="009C579C"/>
    <w:rsid w:val="009C57AE"/>
    <w:rsid w:val="009C589D"/>
    <w:rsid w:val="009C5987"/>
    <w:rsid w:val="009C5BEA"/>
    <w:rsid w:val="009C5C83"/>
    <w:rsid w:val="009C5DD7"/>
    <w:rsid w:val="009C5EE7"/>
    <w:rsid w:val="009C5F19"/>
    <w:rsid w:val="009C5F59"/>
    <w:rsid w:val="009C5FED"/>
    <w:rsid w:val="009C6761"/>
    <w:rsid w:val="009C67BA"/>
    <w:rsid w:val="009C6823"/>
    <w:rsid w:val="009C68D0"/>
    <w:rsid w:val="009C6A02"/>
    <w:rsid w:val="009C6ACD"/>
    <w:rsid w:val="009C6B39"/>
    <w:rsid w:val="009C6BF6"/>
    <w:rsid w:val="009C6CC6"/>
    <w:rsid w:val="009C6F33"/>
    <w:rsid w:val="009C7332"/>
    <w:rsid w:val="009C73B7"/>
    <w:rsid w:val="009C73E8"/>
    <w:rsid w:val="009C75B9"/>
    <w:rsid w:val="009C76FA"/>
    <w:rsid w:val="009C78D0"/>
    <w:rsid w:val="009C7A44"/>
    <w:rsid w:val="009C7A5D"/>
    <w:rsid w:val="009C7AA5"/>
    <w:rsid w:val="009C7ACE"/>
    <w:rsid w:val="009C7DB9"/>
    <w:rsid w:val="009C7E89"/>
    <w:rsid w:val="009C7E8B"/>
    <w:rsid w:val="009D0008"/>
    <w:rsid w:val="009D0022"/>
    <w:rsid w:val="009D0198"/>
    <w:rsid w:val="009D01A2"/>
    <w:rsid w:val="009D0206"/>
    <w:rsid w:val="009D0217"/>
    <w:rsid w:val="009D0388"/>
    <w:rsid w:val="009D04AD"/>
    <w:rsid w:val="009D050A"/>
    <w:rsid w:val="009D060B"/>
    <w:rsid w:val="009D0646"/>
    <w:rsid w:val="009D066F"/>
    <w:rsid w:val="009D09EB"/>
    <w:rsid w:val="009D0C15"/>
    <w:rsid w:val="009D0C44"/>
    <w:rsid w:val="009D0DD4"/>
    <w:rsid w:val="009D0E2A"/>
    <w:rsid w:val="009D0F6E"/>
    <w:rsid w:val="009D0FA0"/>
    <w:rsid w:val="009D117E"/>
    <w:rsid w:val="009D120E"/>
    <w:rsid w:val="009D1233"/>
    <w:rsid w:val="009D1328"/>
    <w:rsid w:val="009D13BD"/>
    <w:rsid w:val="009D13EB"/>
    <w:rsid w:val="009D1772"/>
    <w:rsid w:val="009D1A14"/>
    <w:rsid w:val="009D1A4E"/>
    <w:rsid w:val="009D1A83"/>
    <w:rsid w:val="009D1B8A"/>
    <w:rsid w:val="009D1D48"/>
    <w:rsid w:val="009D1DAC"/>
    <w:rsid w:val="009D1E50"/>
    <w:rsid w:val="009D1F9B"/>
    <w:rsid w:val="009D2023"/>
    <w:rsid w:val="009D20AE"/>
    <w:rsid w:val="009D2190"/>
    <w:rsid w:val="009D21CE"/>
    <w:rsid w:val="009D23CB"/>
    <w:rsid w:val="009D24A4"/>
    <w:rsid w:val="009D25AB"/>
    <w:rsid w:val="009D2830"/>
    <w:rsid w:val="009D2B09"/>
    <w:rsid w:val="009D2B3E"/>
    <w:rsid w:val="009D2D7F"/>
    <w:rsid w:val="009D2E84"/>
    <w:rsid w:val="009D2EC6"/>
    <w:rsid w:val="009D2F2A"/>
    <w:rsid w:val="009D2FD7"/>
    <w:rsid w:val="009D3189"/>
    <w:rsid w:val="009D31AC"/>
    <w:rsid w:val="009D31CA"/>
    <w:rsid w:val="009D3205"/>
    <w:rsid w:val="009D32CA"/>
    <w:rsid w:val="009D32EB"/>
    <w:rsid w:val="009D3348"/>
    <w:rsid w:val="009D3403"/>
    <w:rsid w:val="009D3419"/>
    <w:rsid w:val="009D3470"/>
    <w:rsid w:val="009D34AB"/>
    <w:rsid w:val="009D359B"/>
    <w:rsid w:val="009D35E3"/>
    <w:rsid w:val="009D3613"/>
    <w:rsid w:val="009D374D"/>
    <w:rsid w:val="009D3764"/>
    <w:rsid w:val="009D378D"/>
    <w:rsid w:val="009D38CB"/>
    <w:rsid w:val="009D3A1E"/>
    <w:rsid w:val="009D3B9F"/>
    <w:rsid w:val="009D3C4E"/>
    <w:rsid w:val="009D3C8A"/>
    <w:rsid w:val="009D3CB7"/>
    <w:rsid w:val="009D3F55"/>
    <w:rsid w:val="009D400D"/>
    <w:rsid w:val="009D41B6"/>
    <w:rsid w:val="009D42D3"/>
    <w:rsid w:val="009D4306"/>
    <w:rsid w:val="009D430F"/>
    <w:rsid w:val="009D4652"/>
    <w:rsid w:val="009D469D"/>
    <w:rsid w:val="009D46AE"/>
    <w:rsid w:val="009D46C7"/>
    <w:rsid w:val="009D47C9"/>
    <w:rsid w:val="009D4850"/>
    <w:rsid w:val="009D48DE"/>
    <w:rsid w:val="009D495C"/>
    <w:rsid w:val="009D4997"/>
    <w:rsid w:val="009D4A68"/>
    <w:rsid w:val="009D4BD6"/>
    <w:rsid w:val="009D4F81"/>
    <w:rsid w:val="009D4FAC"/>
    <w:rsid w:val="009D5020"/>
    <w:rsid w:val="009D5108"/>
    <w:rsid w:val="009D5112"/>
    <w:rsid w:val="009D5371"/>
    <w:rsid w:val="009D53C0"/>
    <w:rsid w:val="009D5450"/>
    <w:rsid w:val="009D5597"/>
    <w:rsid w:val="009D56B7"/>
    <w:rsid w:val="009D56F6"/>
    <w:rsid w:val="009D5A5D"/>
    <w:rsid w:val="009D5A75"/>
    <w:rsid w:val="009D5C41"/>
    <w:rsid w:val="009D5C81"/>
    <w:rsid w:val="009D5C9F"/>
    <w:rsid w:val="009D5CAB"/>
    <w:rsid w:val="009D5CE1"/>
    <w:rsid w:val="009D5D06"/>
    <w:rsid w:val="009D5DBC"/>
    <w:rsid w:val="009D5ED9"/>
    <w:rsid w:val="009D5F04"/>
    <w:rsid w:val="009D5F7D"/>
    <w:rsid w:val="009D6189"/>
    <w:rsid w:val="009D6327"/>
    <w:rsid w:val="009D637B"/>
    <w:rsid w:val="009D63E5"/>
    <w:rsid w:val="009D63F8"/>
    <w:rsid w:val="009D644F"/>
    <w:rsid w:val="009D6542"/>
    <w:rsid w:val="009D6544"/>
    <w:rsid w:val="009D6551"/>
    <w:rsid w:val="009D657A"/>
    <w:rsid w:val="009D65FF"/>
    <w:rsid w:val="009D6614"/>
    <w:rsid w:val="009D67B1"/>
    <w:rsid w:val="009D67E7"/>
    <w:rsid w:val="009D682C"/>
    <w:rsid w:val="009D68E4"/>
    <w:rsid w:val="009D6A2D"/>
    <w:rsid w:val="009D6B6C"/>
    <w:rsid w:val="009D6CE0"/>
    <w:rsid w:val="009D6CFF"/>
    <w:rsid w:val="009D6DCF"/>
    <w:rsid w:val="009D6FE6"/>
    <w:rsid w:val="009D7449"/>
    <w:rsid w:val="009D7575"/>
    <w:rsid w:val="009D764D"/>
    <w:rsid w:val="009D77DC"/>
    <w:rsid w:val="009D78E5"/>
    <w:rsid w:val="009D7919"/>
    <w:rsid w:val="009D79E4"/>
    <w:rsid w:val="009D7B45"/>
    <w:rsid w:val="009D7BA4"/>
    <w:rsid w:val="009D7E95"/>
    <w:rsid w:val="009E0154"/>
    <w:rsid w:val="009E0394"/>
    <w:rsid w:val="009E0447"/>
    <w:rsid w:val="009E0487"/>
    <w:rsid w:val="009E059D"/>
    <w:rsid w:val="009E06E5"/>
    <w:rsid w:val="009E09BE"/>
    <w:rsid w:val="009E0A42"/>
    <w:rsid w:val="009E0A5C"/>
    <w:rsid w:val="009E0C5C"/>
    <w:rsid w:val="009E0D21"/>
    <w:rsid w:val="009E0D27"/>
    <w:rsid w:val="009E0E3B"/>
    <w:rsid w:val="009E0F15"/>
    <w:rsid w:val="009E1032"/>
    <w:rsid w:val="009E1142"/>
    <w:rsid w:val="009E1200"/>
    <w:rsid w:val="009E12D8"/>
    <w:rsid w:val="009E12EF"/>
    <w:rsid w:val="009E13DC"/>
    <w:rsid w:val="009E13F3"/>
    <w:rsid w:val="009E1444"/>
    <w:rsid w:val="009E1614"/>
    <w:rsid w:val="009E16AB"/>
    <w:rsid w:val="009E1722"/>
    <w:rsid w:val="009E178C"/>
    <w:rsid w:val="009E17F6"/>
    <w:rsid w:val="009E1B9F"/>
    <w:rsid w:val="009E1C24"/>
    <w:rsid w:val="009E1CDD"/>
    <w:rsid w:val="009E1D45"/>
    <w:rsid w:val="009E1E64"/>
    <w:rsid w:val="009E1E72"/>
    <w:rsid w:val="009E1F27"/>
    <w:rsid w:val="009E2270"/>
    <w:rsid w:val="009E22BB"/>
    <w:rsid w:val="009E24AD"/>
    <w:rsid w:val="009E2532"/>
    <w:rsid w:val="009E2564"/>
    <w:rsid w:val="009E2878"/>
    <w:rsid w:val="009E29F7"/>
    <w:rsid w:val="009E2AC9"/>
    <w:rsid w:val="009E2B00"/>
    <w:rsid w:val="009E2B54"/>
    <w:rsid w:val="009E2BC0"/>
    <w:rsid w:val="009E2F56"/>
    <w:rsid w:val="009E2FFB"/>
    <w:rsid w:val="009E304C"/>
    <w:rsid w:val="009E327F"/>
    <w:rsid w:val="009E33F3"/>
    <w:rsid w:val="009E348B"/>
    <w:rsid w:val="009E3551"/>
    <w:rsid w:val="009E3A00"/>
    <w:rsid w:val="009E3A19"/>
    <w:rsid w:val="009E3B82"/>
    <w:rsid w:val="009E3C0C"/>
    <w:rsid w:val="009E3C7E"/>
    <w:rsid w:val="009E3EB5"/>
    <w:rsid w:val="009E3F6E"/>
    <w:rsid w:val="009E3F8A"/>
    <w:rsid w:val="009E3FCD"/>
    <w:rsid w:val="009E40A2"/>
    <w:rsid w:val="009E41DE"/>
    <w:rsid w:val="009E426D"/>
    <w:rsid w:val="009E4368"/>
    <w:rsid w:val="009E443D"/>
    <w:rsid w:val="009E45D0"/>
    <w:rsid w:val="009E4716"/>
    <w:rsid w:val="009E4882"/>
    <w:rsid w:val="009E48CA"/>
    <w:rsid w:val="009E4910"/>
    <w:rsid w:val="009E495C"/>
    <w:rsid w:val="009E4AD1"/>
    <w:rsid w:val="009E4B18"/>
    <w:rsid w:val="009E4B31"/>
    <w:rsid w:val="009E4C28"/>
    <w:rsid w:val="009E4D3F"/>
    <w:rsid w:val="009E4EFE"/>
    <w:rsid w:val="009E4F04"/>
    <w:rsid w:val="009E4F15"/>
    <w:rsid w:val="009E4FCA"/>
    <w:rsid w:val="009E5091"/>
    <w:rsid w:val="009E5252"/>
    <w:rsid w:val="009E52AC"/>
    <w:rsid w:val="009E53AF"/>
    <w:rsid w:val="009E5414"/>
    <w:rsid w:val="009E558A"/>
    <w:rsid w:val="009E5A68"/>
    <w:rsid w:val="009E5A8B"/>
    <w:rsid w:val="009E5AFC"/>
    <w:rsid w:val="009E5BDC"/>
    <w:rsid w:val="009E5CDA"/>
    <w:rsid w:val="009E5DA8"/>
    <w:rsid w:val="009E5E5B"/>
    <w:rsid w:val="009E5EA7"/>
    <w:rsid w:val="009E6152"/>
    <w:rsid w:val="009E627E"/>
    <w:rsid w:val="009E62A1"/>
    <w:rsid w:val="009E6301"/>
    <w:rsid w:val="009E63F0"/>
    <w:rsid w:val="009E63F6"/>
    <w:rsid w:val="009E64CC"/>
    <w:rsid w:val="009E6643"/>
    <w:rsid w:val="009E670E"/>
    <w:rsid w:val="009E675A"/>
    <w:rsid w:val="009E686D"/>
    <w:rsid w:val="009E68D4"/>
    <w:rsid w:val="009E69B9"/>
    <w:rsid w:val="009E69D6"/>
    <w:rsid w:val="009E6A62"/>
    <w:rsid w:val="009E6B46"/>
    <w:rsid w:val="009E6D2F"/>
    <w:rsid w:val="009E6D96"/>
    <w:rsid w:val="009E6E52"/>
    <w:rsid w:val="009E6EF0"/>
    <w:rsid w:val="009E6F71"/>
    <w:rsid w:val="009E6FA8"/>
    <w:rsid w:val="009E6FF1"/>
    <w:rsid w:val="009E7003"/>
    <w:rsid w:val="009E7365"/>
    <w:rsid w:val="009E757F"/>
    <w:rsid w:val="009E765A"/>
    <w:rsid w:val="009E7715"/>
    <w:rsid w:val="009E7816"/>
    <w:rsid w:val="009E785D"/>
    <w:rsid w:val="009E78BC"/>
    <w:rsid w:val="009E78F1"/>
    <w:rsid w:val="009E79D6"/>
    <w:rsid w:val="009E7A2F"/>
    <w:rsid w:val="009E7AC3"/>
    <w:rsid w:val="009E7AC5"/>
    <w:rsid w:val="009E7DF6"/>
    <w:rsid w:val="009E7E2A"/>
    <w:rsid w:val="009E7E60"/>
    <w:rsid w:val="009E7ED3"/>
    <w:rsid w:val="009F00F1"/>
    <w:rsid w:val="009F020D"/>
    <w:rsid w:val="009F0461"/>
    <w:rsid w:val="009F0516"/>
    <w:rsid w:val="009F0563"/>
    <w:rsid w:val="009F0691"/>
    <w:rsid w:val="009F0793"/>
    <w:rsid w:val="009F090E"/>
    <w:rsid w:val="009F0A4D"/>
    <w:rsid w:val="009F0B50"/>
    <w:rsid w:val="009F0BA6"/>
    <w:rsid w:val="009F0BB2"/>
    <w:rsid w:val="009F0C3C"/>
    <w:rsid w:val="009F0E5F"/>
    <w:rsid w:val="009F0F36"/>
    <w:rsid w:val="009F1147"/>
    <w:rsid w:val="009F13AB"/>
    <w:rsid w:val="009F13F3"/>
    <w:rsid w:val="009F148A"/>
    <w:rsid w:val="009F1583"/>
    <w:rsid w:val="009F1608"/>
    <w:rsid w:val="009F16B4"/>
    <w:rsid w:val="009F174E"/>
    <w:rsid w:val="009F1800"/>
    <w:rsid w:val="009F1821"/>
    <w:rsid w:val="009F1A23"/>
    <w:rsid w:val="009F1B8C"/>
    <w:rsid w:val="009F1E9E"/>
    <w:rsid w:val="009F23A0"/>
    <w:rsid w:val="009F24E5"/>
    <w:rsid w:val="009F25AC"/>
    <w:rsid w:val="009F25B9"/>
    <w:rsid w:val="009F28DA"/>
    <w:rsid w:val="009F2943"/>
    <w:rsid w:val="009F2AD0"/>
    <w:rsid w:val="009F2D23"/>
    <w:rsid w:val="009F2FEA"/>
    <w:rsid w:val="009F31B4"/>
    <w:rsid w:val="009F3903"/>
    <w:rsid w:val="009F394A"/>
    <w:rsid w:val="009F3960"/>
    <w:rsid w:val="009F39F8"/>
    <w:rsid w:val="009F3A7A"/>
    <w:rsid w:val="009F3BC4"/>
    <w:rsid w:val="009F3BE6"/>
    <w:rsid w:val="009F3BF3"/>
    <w:rsid w:val="009F3F8C"/>
    <w:rsid w:val="009F3FD9"/>
    <w:rsid w:val="009F4081"/>
    <w:rsid w:val="009F4123"/>
    <w:rsid w:val="009F421B"/>
    <w:rsid w:val="009F424D"/>
    <w:rsid w:val="009F432A"/>
    <w:rsid w:val="009F43BB"/>
    <w:rsid w:val="009F43E5"/>
    <w:rsid w:val="009F45A4"/>
    <w:rsid w:val="009F4721"/>
    <w:rsid w:val="009F4915"/>
    <w:rsid w:val="009F4B77"/>
    <w:rsid w:val="009F4C36"/>
    <w:rsid w:val="009F4D79"/>
    <w:rsid w:val="009F4F30"/>
    <w:rsid w:val="009F4FE8"/>
    <w:rsid w:val="009F529A"/>
    <w:rsid w:val="009F54F8"/>
    <w:rsid w:val="009F558E"/>
    <w:rsid w:val="009F57F0"/>
    <w:rsid w:val="009F5905"/>
    <w:rsid w:val="009F59CC"/>
    <w:rsid w:val="009F5A4E"/>
    <w:rsid w:val="009F5B05"/>
    <w:rsid w:val="009F5B54"/>
    <w:rsid w:val="009F5F7F"/>
    <w:rsid w:val="009F6244"/>
    <w:rsid w:val="009F6281"/>
    <w:rsid w:val="009F63DA"/>
    <w:rsid w:val="009F66FE"/>
    <w:rsid w:val="009F69E7"/>
    <w:rsid w:val="009F6DB9"/>
    <w:rsid w:val="009F6EAB"/>
    <w:rsid w:val="009F6F0B"/>
    <w:rsid w:val="009F6FF2"/>
    <w:rsid w:val="009F709B"/>
    <w:rsid w:val="009F710F"/>
    <w:rsid w:val="009F71D8"/>
    <w:rsid w:val="009F7476"/>
    <w:rsid w:val="009F74CE"/>
    <w:rsid w:val="009F7568"/>
    <w:rsid w:val="009F7621"/>
    <w:rsid w:val="009F772C"/>
    <w:rsid w:val="009F7B43"/>
    <w:rsid w:val="009F7B51"/>
    <w:rsid w:val="009F7BF0"/>
    <w:rsid w:val="009F7D18"/>
    <w:rsid w:val="00A00008"/>
    <w:rsid w:val="00A00066"/>
    <w:rsid w:val="00A0014F"/>
    <w:rsid w:val="00A00172"/>
    <w:rsid w:val="00A00176"/>
    <w:rsid w:val="00A00216"/>
    <w:rsid w:val="00A002DF"/>
    <w:rsid w:val="00A00336"/>
    <w:rsid w:val="00A00496"/>
    <w:rsid w:val="00A00A1E"/>
    <w:rsid w:val="00A00A43"/>
    <w:rsid w:val="00A00A71"/>
    <w:rsid w:val="00A00C41"/>
    <w:rsid w:val="00A00D3C"/>
    <w:rsid w:val="00A00D70"/>
    <w:rsid w:val="00A00E3A"/>
    <w:rsid w:val="00A00F18"/>
    <w:rsid w:val="00A00F29"/>
    <w:rsid w:val="00A0101D"/>
    <w:rsid w:val="00A013F1"/>
    <w:rsid w:val="00A01692"/>
    <w:rsid w:val="00A01811"/>
    <w:rsid w:val="00A01927"/>
    <w:rsid w:val="00A01AD2"/>
    <w:rsid w:val="00A01B40"/>
    <w:rsid w:val="00A01C91"/>
    <w:rsid w:val="00A01CA0"/>
    <w:rsid w:val="00A01CEA"/>
    <w:rsid w:val="00A01DFD"/>
    <w:rsid w:val="00A01F29"/>
    <w:rsid w:val="00A02231"/>
    <w:rsid w:val="00A02276"/>
    <w:rsid w:val="00A0245F"/>
    <w:rsid w:val="00A028DF"/>
    <w:rsid w:val="00A02A75"/>
    <w:rsid w:val="00A02A7C"/>
    <w:rsid w:val="00A02AA7"/>
    <w:rsid w:val="00A02B1F"/>
    <w:rsid w:val="00A02B66"/>
    <w:rsid w:val="00A02F1F"/>
    <w:rsid w:val="00A02F59"/>
    <w:rsid w:val="00A0302D"/>
    <w:rsid w:val="00A03159"/>
    <w:rsid w:val="00A0322A"/>
    <w:rsid w:val="00A0333A"/>
    <w:rsid w:val="00A03488"/>
    <w:rsid w:val="00A0394D"/>
    <w:rsid w:val="00A03A42"/>
    <w:rsid w:val="00A03A99"/>
    <w:rsid w:val="00A03ACB"/>
    <w:rsid w:val="00A03D14"/>
    <w:rsid w:val="00A040B0"/>
    <w:rsid w:val="00A040F1"/>
    <w:rsid w:val="00A04130"/>
    <w:rsid w:val="00A04233"/>
    <w:rsid w:val="00A04256"/>
    <w:rsid w:val="00A043A2"/>
    <w:rsid w:val="00A043E3"/>
    <w:rsid w:val="00A04483"/>
    <w:rsid w:val="00A0448A"/>
    <w:rsid w:val="00A0457E"/>
    <w:rsid w:val="00A0490B"/>
    <w:rsid w:val="00A049EB"/>
    <w:rsid w:val="00A04A65"/>
    <w:rsid w:val="00A04C71"/>
    <w:rsid w:val="00A04E97"/>
    <w:rsid w:val="00A05002"/>
    <w:rsid w:val="00A0500B"/>
    <w:rsid w:val="00A0506D"/>
    <w:rsid w:val="00A050A2"/>
    <w:rsid w:val="00A05294"/>
    <w:rsid w:val="00A0532D"/>
    <w:rsid w:val="00A0560D"/>
    <w:rsid w:val="00A057FB"/>
    <w:rsid w:val="00A05934"/>
    <w:rsid w:val="00A05A7E"/>
    <w:rsid w:val="00A05AA4"/>
    <w:rsid w:val="00A05B7D"/>
    <w:rsid w:val="00A05D6B"/>
    <w:rsid w:val="00A05E25"/>
    <w:rsid w:val="00A05E2D"/>
    <w:rsid w:val="00A05FC4"/>
    <w:rsid w:val="00A060F7"/>
    <w:rsid w:val="00A06205"/>
    <w:rsid w:val="00A0630C"/>
    <w:rsid w:val="00A063F9"/>
    <w:rsid w:val="00A064AD"/>
    <w:rsid w:val="00A0655F"/>
    <w:rsid w:val="00A0656C"/>
    <w:rsid w:val="00A0682C"/>
    <w:rsid w:val="00A06964"/>
    <w:rsid w:val="00A06E80"/>
    <w:rsid w:val="00A06E97"/>
    <w:rsid w:val="00A07065"/>
    <w:rsid w:val="00A07086"/>
    <w:rsid w:val="00A071E5"/>
    <w:rsid w:val="00A07277"/>
    <w:rsid w:val="00A07285"/>
    <w:rsid w:val="00A072A7"/>
    <w:rsid w:val="00A072F5"/>
    <w:rsid w:val="00A07419"/>
    <w:rsid w:val="00A0748E"/>
    <w:rsid w:val="00A07637"/>
    <w:rsid w:val="00A0772F"/>
    <w:rsid w:val="00A0781F"/>
    <w:rsid w:val="00A079CE"/>
    <w:rsid w:val="00A07A4B"/>
    <w:rsid w:val="00A07B74"/>
    <w:rsid w:val="00A07E6A"/>
    <w:rsid w:val="00A07E74"/>
    <w:rsid w:val="00A07ED9"/>
    <w:rsid w:val="00A07EE8"/>
    <w:rsid w:val="00A07FD9"/>
    <w:rsid w:val="00A101B0"/>
    <w:rsid w:val="00A1026C"/>
    <w:rsid w:val="00A102EA"/>
    <w:rsid w:val="00A10554"/>
    <w:rsid w:val="00A1074C"/>
    <w:rsid w:val="00A1081E"/>
    <w:rsid w:val="00A10DF6"/>
    <w:rsid w:val="00A10DFF"/>
    <w:rsid w:val="00A10ED8"/>
    <w:rsid w:val="00A10F87"/>
    <w:rsid w:val="00A1116B"/>
    <w:rsid w:val="00A11217"/>
    <w:rsid w:val="00A1123B"/>
    <w:rsid w:val="00A11248"/>
    <w:rsid w:val="00A1137F"/>
    <w:rsid w:val="00A11420"/>
    <w:rsid w:val="00A116A6"/>
    <w:rsid w:val="00A117DD"/>
    <w:rsid w:val="00A119C5"/>
    <w:rsid w:val="00A11B72"/>
    <w:rsid w:val="00A11BE6"/>
    <w:rsid w:val="00A11D12"/>
    <w:rsid w:val="00A11D24"/>
    <w:rsid w:val="00A11D95"/>
    <w:rsid w:val="00A12043"/>
    <w:rsid w:val="00A120DA"/>
    <w:rsid w:val="00A12155"/>
    <w:rsid w:val="00A121BD"/>
    <w:rsid w:val="00A12361"/>
    <w:rsid w:val="00A124F6"/>
    <w:rsid w:val="00A1274C"/>
    <w:rsid w:val="00A1275A"/>
    <w:rsid w:val="00A128A9"/>
    <w:rsid w:val="00A128D7"/>
    <w:rsid w:val="00A128E8"/>
    <w:rsid w:val="00A12920"/>
    <w:rsid w:val="00A12B8F"/>
    <w:rsid w:val="00A12CF8"/>
    <w:rsid w:val="00A12D64"/>
    <w:rsid w:val="00A12D6C"/>
    <w:rsid w:val="00A1305F"/>
    <w:rsid w:val="00A1308F"/>
    <w:rsid w:val="00A1312D"/>
    <w:rsid w:val="00A13634"/>
    <w:rsid w:val="00A136A0"/>
    <w:rsid w:val="00A1380C"/>
    <w:rsid w:val="00A1382A"/>
    <w:rsid w:val="00A1388B"/>
    <w:rsid w:val="00A139C3"/>
    <w:rsid w:val="00A13B30"/>
    <w:rsid w:val="00A13BE6"/>
    <w:rsid w:val="00A13BE9"/>
    <w:rsid w:val="00A13CD9"/>
    <w:rsid w:val="00A13D38"/>
    <w:rsid w:val="00A13E21"/>
    <w:rsid w:val="00A13E54"/>
    <w:rsid w:val="00A13EC4"/>
    <w:rsid w:val="00A13EEC"/>
    <w:rsid w:val="00A140A2"/>
    <w:rsid w:val="00A14279"/>
    <w:rsid w:val="00A142C9"/>
    <w:rsid w:val="00A14343"/>
    <w:rsid w:val="00A1435E"/>
    <w:rsid w:val="00A14452"/>
    <w:rsid w:val="00A1470C"/>
    <w:rsid w:val="00A1489C"/>
    <w:rsid w:val="00A1490F"/>
    <w:rsid w:val="00A1494F"/>
    <w:rsid w:val="00A14992"/>
    <w:rsid w:val="00A14A30"/>
    <w:rsid w:val="00A14ADC"/>
    <w:rsid w:val="00A14AE1"/>
    <w:rsid w:val="00A14B09"/>
    <w:rsid w:val="00A14BF0"/>
    <w:rsid w:val="00A14C84"/>
    <w:rsid w:val="00A14E9C"/>
    <w:rsid w:val="00A14EAF"/>
    <w:rsid w:val="00A14F12"/>
    <w:rsid w:val="00A14F52"/>
    <w:rsid w:val="00A14FD1"/>
    <w:rsid w:val="00A14FEA"/>
    <w:rsid w:val="00A1505C"/>
    <w:rsid w:val="00A15470"/>
    <w:rsid w:val="00A1553E"/>
    <w:rsid w:val="00A156AA"/>
    <w:rsid w:val="00A1575D"/>
    <w:rsid w:val="00A157BC"/>
    <w:rsid w:val="00A15B28"/>
    <w:rsid w:val="00A15C03"/>
    <w:rsid w:val="00A15C11"/>
    <w:rsid w:val="00A15C14"/>
    <w:rsid w:val="00A15C51"/>
    <w:rsid w:val="00A15DF4"/>
    <w:rsid w:val="00A15E60"/>
    <w:rsid w:val="00A15E76"/>
    <w:rsid w:val="00A160B4"/>
    <w:rsid w:val="00A16135"/>
    <w:rsid w:val="00A161C7"/>
    <w:rsid w:val="00A16231"/>
    <w:rsid w:val="00A16341"/>
    <w:rsid w:val="00A163E9"/>
    <w:rsid w:val="00A1643F"/>
    <w:rsid w:val="00A16496"/>
    <w:rsid w:val="00A16618"/>
    <w:rsid w:val="00A16656"/>
    <w:rsid w:val="00A16805"/>
    <w:rsid w:val="00A16BF7"/>
    <w:rsid w:val="00A16C08"/>
    <w:rsid w:val="00A16C86"/>
    <w:rsid w:val="00A16D61"/>
    <w:rsid w:val="00A16DE4"/>
    <w:rsid w:val="00A16F5B"/>
    <w:rsid w:val="00A16F66"/>
    <w:rsid w:val="00A16FA1"/>
    <w:rsid w:val="00A17000"/>
    <w:rsid w:val="00A17013"/>
    <w:rsid w:val="00A1701F"/>
    <w:rsid w:val="00A1710F"/>
    <w:rsid w:val="00A1718F"/>
    <w:rsid w:val="00A1744F"/>
    <w:rsid w:val="00A174A1"/>
    <w:rsid w:val="00A175C6"/>
    <w:rsid w:val="00A17690"/>
    <w:rsid w:val="00A17725"/>
    <w:rsid w:val="00A17A6A"/>
    <w:rsid w:val="00A17B6E"/>
    <w:rsid w:val="00A17BD3"/>
    <w:rsid w:val="00A17D91"/>
    <w:rsid w:val="00A17F4A"/>
    <w:rsid w:val="00A17F55"/>
    <w:rsid w:val="00A17FD3"/>
    <w:rsid w:val="00A2000E"/>
    <w:rsid w:val="00A20022"/>
    <w:rsid w:val="00A200FD"/>
    <w:rsid w:val="00A203AB"/>
    <w:rsid w:val="00A2054B"/>
    <w:rsid w:val="00A205BA"/>
    <w:rsid w:val="00A206A3"/>
    <w:rsid w:val="00A206B5"/>
    <w:rsid w:val="00A20718"/>
    <w:rsid w:val="00A207C9"/>
    <w:rsid w:val="00A20879"/>
    <w:rsid w:val="00A20881"/>
    <w:rsid w:val="00A20A9C"/>
    <w:rsid w:val="00A20B57"/>
    <w:rsid w:val="00A20C65"/>
    <w:rsid w:val="00A20F9F"/>
    <w:rsid w:val="00A21092"/>
    <w:rsid w:val="00A213D6"/>
    <w:rsid w:val="00A215AF"/>
    <w:rsid w:val="00A215CE"/>
    <w:rsid w:val="00A21629"/>
    <w:rsid w:val="00A21DAF"/>
    <w:rsid w:val="00A21DC4"/>
    <w:rsid w:val="00A21EA2"/>
    <w:rsid w:val="00A22181"/>
    <w:rsid w:val="00A22237"/>
    <w:rsid w:val="00A22296"/>
    <w:rsid w:val="00A222DF"/>
    <w:rsid w:val="00A222F9"/>
    <w:rsid w:val="00A22346"/>
    <w:rsid w:val="00A22442"/>
    <w:rsid w:val="00A2266D"/>
    <w:rsid w:val="00A226D8"/>
    <w:rsid w:val="00A227E2"/>
    <w:rsid w:val="00A22835"/>
    <w:rsid w:val="00A228F6"/>
    <w:rsid w:val="00A22A77"/>
    <w:rsid w:val="00A22B42"/>
    <w:rsid w:val="00A22B99"/>
    <w:rsid w:val="00A22C69"/>
    <w:rsid w:val="00A22CED"/>
    <w:rsid w:val="00A22DB2"/>
    <w:rsid w:val="00A22E6F"/>
    <w:rsid w:val="00A2313B"/>
    <w:rsid w:val="00A231B8"/>
    <w:rsid w:val="00A2324A"/>
    <w:rsid w:val="00A23602"/>
    <w:rsid w:val="00A23626"/>
    <w:rsid w:val="00A2368F"/>
    <w:rsid w:val="00A23815"/>
    <w:rsid w:val="00A2390A"/>
    <w:rsid w:val="00A2390E"/>
    <w:rsid w:val="00A23A79"/>
    <w:rsid w:val="00A23ABA"/>
    <w:rsid w:val="00A23B46"/>
    <w:rsid w:val="00A23E57"/>
    <w:rsid w:val="00A2403B"/>
    <w:rsid w:val="00A240A0"/>
    <w:rsid w:val="00A245C5"/>
    <w:rsid w:val="00A2474A"/>
    <w:rsid w:val="00A24804"/>
    <w:rsid w:val="00A2499C"/>
    <w:rsid w:val="00A24AF7"/>
    <w:rsid w:val="00A24C24"/>
    <w:rsid w:val="00A24D4F"/>
    <w:rsid w:val="00A24DE0"/>
    <w:rsid w:val="00A24E12"/>
    <w:rsid w:val="00A24EF8"/>
    <w:rsid w:val="00A25088"/>
    <w:rsid w:val="00A25147"/>
    <w:rsid w:val="00A25306"/>
    <w:rsid w:val="00A253D0"/>
    <w:rsid w:val="00A2541B"/>
    <w:rsid w:val="00A25609"/>
    <w:rsid w:val="00A256D6"/>
    <w:rsid w:val="00A2570E"/>
    <w:rsid w:val="00A25A28"/>
    <w:rsid w:val="00A25B01"/>
    <w:rsid w:val="00A25D9B"/>
    <w:rsid w:val="00A2601A"/>
    <w:rsid w:val="00A2605F"/>
    <w:rsid w:val="00A260E8"/>
    <w:rsid w:val="00A263D2"/>
    <w:rsid w:val="00A264E4"/>
    <w:rsid w:val="00A26569"/>
    <w:rsid w:val="00A26786"/>
    <w:rsid w:val="00A2685B"/>
    <w:rsid w:val="00A26A8D"/>
    <w:rsid w:val="00A26C8A"/>
    <w:rsid w:val="00A26D1B"/>
    <w:rsid w:val="00A26D2A"/>
    <w:rsid w:val="00A26D9A"/>
    <w:rsid w:val="00A26E44"/>
    <w:rsid w:val="00A26E4E"/>
    <w:rsid w:val="00A26F0E"/>
    <w:rsid w:val="00A27116"/>
    <w:rsid w:val="00A27316"/>
    <w:rsid w:val="00A27473"/>
    <w:rsid w:val="00A27555"/>
    <w:rsid w:val="00A277F6"/>
    <w:rsid w:val="00A2794F"/>
    <w:rsid w:val="00A279BB"/>
    <w:rsid w:val="00A27AB4"/>
    <w:rsid w:val="00A27CAC"/>
    <w:rsid w:val="00A27CD6"/>
    <w:rsid w:val="00A27DCA"/>
    <w:rsid w:val="00A27EBF"/>
    <w:rsid w:val="00A3019D"/>
    <w:rsid w:val="00A30201"/>
    <w:rsid w:val="00A302C8"/>
    <w:rsid w:val="00A30380"/>
    <w:rsid w:val="00A30509"/>
    <w:rsid w:val="00A306FE"/>
    <w:rsid w:val="00A30832"/>
    <w:rsid w:val="00A30891"/>
    <w:rsid w:val="00A30A08"/>
    <w:rsid w:val="00A30A61"/>
    <w:rsid w:val="00A30B14"/>
    <w:rsid w:val="00A30BC2"/>
    <w:rsid w:val="00A30C14"/>
    <w:rsid w:val="00A30C24"/>
    <w:rsid w:val="00A30C4E"/>
    <w:rsid w:val="00A30CB5"/>
    <w:rsid w:val="00A30CED"/>
    <w:rsid w:val="00A30E9C"/>
    <w:rsid w:val="00A30F7E"/>
    <w:rsid w:val="00A30FA1"/>
    <w:rsid w:val="00A30FAA"/>
    <w:rsid w:val="00A31092"/>
    <w:rsid w:val="00A315BC"/>
    <w:rsid w:val="00A316F2"/>
    <w:rsid w:val="00A3184D"/>
    <w:rsid w:val="00A318D8"/>
    <w:rsid w:val="00A31A23"/>
    <w:rsid w:val="00A31CAE"/>
    <w:rsid w:val="00A31D4C"/>
    <w:rsid w:val="00A31DB4"/>
    <w:rsid w:val="00A31EEA"/>
    <w:rsid w:val="00A31F18"/>
    <w:rsid w:val="00A31FA3"/>
    <w:rsid w:val="00A3200D"/>
    <w:rsid w:val="00A3206E"/>
    <w:rsid w:val="00A321AE"/>
    <w:rsid w:val="00A32259"/>
    <w:rsid w:val="00A32348"/>
    <w:rsid w:val="00A3245B"/>
    <w:rsid w:val="00A32632"/>
    <w:rsid w:val="00A326B2"/>
    <w:rsid w:val="00A32771"/>
    <w:rsid w:val="00A3288D"/>
    <w:rsid w:val="00A32A7D"/>
    <w:rsid w:val="00A32ABF"/>
    <w:rsid w:val="00A32BBC"/>
    <w:rsid w:val="00A32C6D"/>
    <w:rsid w:val="00A32DEE"/>
    <w:rsid w:val="00A32DF5"/>
    <w:rsid w:val="00A33492"/>
    <w:rsid w:val="00A33810"/>
    <w:rsid w:val="00A33891"/>
    <w:rsid w:val="00A338FB"/>
    <w:rsid w:val="00A33902"/>
    <w:rsid w:val="00A33AD4"/>
    <w:rsid w:val="00A33C10"/>
    <w:rsid w:val="00A33E4C"/>
    <w:rsid w:val="00A33E66"/>
    <w:rsid w:val="00A33E79"/>
    <w:rsid w:val="00A33E95"/>
    <w:rsid w:val="00A33FD8"/>
    <w:rsid w:val="00A34022"/>
    <w:rsid w:val="00A3415E"/>
    <w:rsid w:val="00A3437D"/>
    <w:rsid w:val="00A343BD"/>
    <w:rsid w:val="00A344CC"/>
    <w:rsid w:val="00A34517"/>
    <w:rsid w:val="00A346A7"/>
    <w:rsid w:val="00A34757"/>
    <w:rsid w:val="00A34927"/>
    <w:rsid w:val="00A34966"/>
    <w:rsid w:val="00A349BA"/>
    <w:rsid w:val="00A349BE"/>
    <w:rsid w:val="00A34A8E"/>
    <w:rsid w:val="00A34AAB"/>
    <w:rsid w:val="00A34B36"/>
    <w:rsid w:val="00A34C77"/>
    <w:rsid w:val="00A34D05"/>
    <w:rsid w:val="00A34D0F"/>
    <w:rsid w:val="00A34DD3"/>
    <w:rsid w:val="00A3509A"/>
    <w:rsid w:val="00A350A8"/>
    <w:rsid w:val="00A352AE"/>
    <w:rsid w:val="00A353D0"/>
    <w:rsid w:val="00A357BC"/>
    <w:rsid w:val="00A359C3"/>
    <w:rsid w:val="00A35AB9"/>
    <w:rsid w:val="00A35ADE"/>
    <w:rsid w:val="00A35C11"/>
    <w:rsid w:val="00A35C72"/>
    <w:rsid w:val="00A35D03"/>
    <w:rsid w:val="00A35EF7"/>
    <w:rsid w:val="00A3604C"/>
    <w:rsid w:val="00A360FC"/>
    <w:rsid w:val="00A361FB"/>
    <w:rsid w:val="00A36353"/>
    <w:rsid w:val="00A36354"/>
    <w:rsid w:val="00A365D0"/>
    <w:rsid w:val="00A368C9"/>
    <w:rsid w:val="00A36A65"/>
    <w:rsid w:val="00A36A74"/>
    <w:rsid w:val="00A36C3F"/>
    <w:rsid w:val="00A36E7E"/>
    <w:rsid w:val="00A36EF6"/>
    <w:rsid w:val="00A36FAE"/>
    <w:rsid w:val="00A3702D"/>
    <w:rsid w:val="00A3714D"/>
    <w:rsid w:val="00A3726D"/>
    <w:rsid w:val="00A37349"/>
    <w:rsid w:val="00A37389"/>
    <w:rsid w:val="00A3760D"/>
    <w:rsid w:val="00A3764B"/>
    <w:rsid w:val="00A376D6"/>
    <w:rsid w:val="00A3784A"/>
    <w:rsid w:val="00A378FF"/>
    <w:rsid w:val="00A379D1"/>
    <w:rsid w:val="00A37B06"/>
    <w:rsid w:val="00A37B17"/>
    <w:rsid w:val="00A37E61"/>
    <w:rsid w:val="00A40225"/>
    <w:rsid w:val="00A40231"/>
    <w:rsid w:val="00A403B5"/>
    <w:rsid w:val="00A405A5"/>
    <w:rsid w:val="00A405ED"/>
    <w:rsid w:val="00A40832"/>
    <w:rsid w:val="00A40842"/>
    <w:rsid w:val="00A408B4"/>
    <w:rsid w:val="00A40957"/>
    <w:rsid w:val="00A40B01"/>
    <w:rsid w:val="00A40DFF"/>
    <w:rsid w:val="00A40E60"/>
    <w:rsid w:val="00A40FDD"/>
    <w:rsid w:val="00A41112"/>
    <w:rsid w:val="00A411F5"/>
    <w:rsid w:val="00A41379"/>
    <w:rsid w:val="00A41499"/>
    <w:rsid w:val="00A4160D"/>
    <w:rsid w:val="00A4174D"/>
    <w:rsid w:val="00A41750"/>
    <w:rsid w:val="00A41805"/>
    <w:rsid w:val="00A418C4"/>
    <w:rsid w:val="00A419E4"/>
    <w:rsid w:val="00A41BB9"/>
    <w:rsid w:val="00A41BD3"/>
    <w:rsid w:val="00A41C6A"/>
    <w:rsid w:val="00A41F9D"/>
    <w:rsid w:val="00A42026"/>
    <w:rsid w:val="00A4207A"/>
    <w:rsid w:val="00A421E6"/>
    <w:rsid w:val="00A422AE"/>
    <w:rsid w:val="00A422C3"/>
    <w:rsid w:val="00A424A8"/>
    <w:rsid w:val="00A424C6"/>
    <w:rsid w:val="00A424DA"/>
    <w:rsid w:val="00A42780"/>
    <w:rsid w:val="00A42944"/>
    <w:rsid w:val="00A429C2"/>
    <w:rsid w:val="00A42AC3"/>
    <w:rsid w:val="00A42ADE"/>
    <w:rsid w:val="00A42AE0"/>
    <w:rsid w:val="00A42CD8"/>
    <w:rsid w:val="00A42D5C"/>
    <w:rsid w:val="00A42DAE"/>
    <w:rsid w:val="00A42DF4"/>
    <w:rsid w:val="00A42E3E"/>
    <w:rsid w:val="00A42F74"/>
    <w:rsid w:val="00A4323F"/>
    <w:rsid w:val="00A432CB"/>
    <w:rsid w:val="00A4352F"/>
    <w:rsid w:val="00A438B0"/>
    <w:rsid w:val="00A438BE"/>
    <w:rsid w:val="00A438DA"/>
    <w:rsid w:val="00A43A5F"/>
    <w:rsid w:val="00A43A87"/>
    <w:rsid w:val="00A43B09"/>
    <w:rsid w:val="00A43C4A"/>
    <w:rsid w:val="00A43CD6"/>
    <w:rsid w:val="00A43EDB"/>
    <w:rsid w:val="00A43FB7"/>
    <w:rsid w:val="00A44411"/>
    <w:rsid w:val="00A44619"/>
    <w:rsid w:val="00A446EA"/>
    <w:rsid w:val="00A448DF"/>
    <w:rsid w:val="00A449CD"/>
    <w:rsid w:val="00A449DF"/>
    <w:rsid w:val="00A44A24"/>
    <w:rsid w:val="00A44B85"/>
    <w:rsid w:val="00A44D18"/>
    <w:rsid w:val="00A44E8B"/>
    <w:rsid w:val="00A44F40"/>
    <w:rsid w:val="00A4509A"/>
    <w:rsid w:val="00A45127"/>
    <w:rsid w:val="00A452BE"/>
    <w:rsid w:val="00A452E7"/>
    <w:rsid w:val="00A4533A"/>
    <w:rsid w:val="00A4534F"/>
    <w:rsid w:val="00A4541B"/>
    <w:rsid w:val="00A4548D"/>
    <w:rsid w:val="00A45512"/>
    <w:rsid w:val="00A455AC"/>
    <w:rsid w:val="00A45608"/>
    <w:rsid w:val="00A45677"/>
    <w:rsid w:val="00A457A1"/>
    <w:rsid w:val="00A4581A"/>
    <w:rsid w:val="00A45DF6"/>
    <w:rsid w:val="00A45F18"/>
    <w:rsid w:val="00A45FDD"/>
    <w:rsid w:val="00A4613D"/>
    <w:rsid w:val="00A4616F"/>
    <w:rsid w:val="00A469F3"/>
    <w:rsid w:val="00A46BA1"/>
    <w:rsid w:val="00A46CA6"/>
    <w:rsid w:val="00A46DD5"/>
    <w:rsid w:val="00A46E47"/>
    <w:rsid w:val="00A46E54"/>
    <w:rsid w:val="00A46ED7"/>
    <w:rsid w:val="00A47255"/>
    <w:rsid w:val="00A473B6"/>
    <w:rsid w:val="00A473D7"/>
    <w:rsid w:val="00A47409"/>
    <w:rsid w:val="00A4740C"/>
    <w:rsid w:val="00A4745E"/>
    <w:rsid w:val="00A4757E"/>
    <w:rsid w:val="00A4770E"/>
    <w:rsid w:val="00A47936"/>
    <w:rsid w:val="00A479EF"/>
    <w:rsid w:val="00A47C68"/>
    <w:rsid w:val="00A47C8A"/>
    <w:rsid w:val="00A47EB0"/>
    <w:rsid w:val="00A47F88"/>
    <w:rsid w:val="00A50122"/>
    <w:rsid w:val="00A50252"/>
    <w:rsid w:val="00A505A8"/>
    <w:rsid w:val="00A50B39"/>
    <w:rsid w:val="00A50DD4"/>
    <w:rsid w:val="00A5108F"/>
    <w:rsid w:val="00A51165"/>
    <w:rsid w:val="00A511AA"/>
    <w:rsid w:val="00A5122F"/>
    <w:rsid w:val="00A5131A"/>
    <w:rsid w:val="00A5143A"/>
    <w:rsid w:val="00A5158C"/>
    <w:rsid w:val="00A515E1"/>
    <w:rsid w:val="00A516C6"/>
    <w:rsid w:val="00A517A7"/>
    <w:rsid w:val="00A517FF"/>
    <w:rsid w:val="00A519D2"/>
    <w:rsid w:val="00A519D4"/>
    <w:rsid w:val="00A51B1D"/>
    <w:rsid w:val="00A51B55"/>
    <w:rsid w:val="00A51B7B"/>
    <w:rsid w:val="00A51BBC"/>
    <w:rsid w:val="00A51C20"/>
    <w:rsid w:val="00A51CA6"/>
    <w:rsid w:val="00A521AD"/>
    <w:rsid w:val="00A524BB"/>
    <w:rsid w:val="00A52505"/>
    <w:rsid w:val="00A52787"/>
    <w:rsid w:val="00A52794"/>
    <w:rsid w:val="00A527BE"/>
    <w:rsid w:val="00A52828"/>
    <w:rsid w:val="00A528E6"/>
    <w:rsid w:val="00A52902"/>
    <w:rsid w:val="00A5291E"/>
    <w:rsid w:val="00A52A27"/>
    <w:rsid w:val="00A52B9E"/>
    <w:rsid w:val="00A52D01"/>
    <w:rsid w:val="00A52DD3"/>
    <w:rsid w:val="00A5301A"/>
    <w:rsid w:val="00A530CB"/>
    <w:rsid w:val="00A53108"/>
    <w:rsid w:val="00A53157"/>
    <w:rsid w:val="00A531CF"/>
    <w:rsid w:val="00A53222"/>
    <w:rsid w:val="00A53235"/>
    <w:rsid w:val="00A5326B"/>
    <w:rsid w:val="00A53329"/>
    <w:rsid w:val="00A53364"/>
    <w:rsid w:val="00A534FE"/>
    <w:rsid w:val="00A53526"/>
    <w:rsid w:val="00A535E1"/>
    <w:rsid w:val="00A539B3"/>
    <w:rsid w:val="00A53A05"/>
    <w:rsid w:val="00A53A8E"/>
    <w:rsid w:val="00A53CEE"/>
    <w:rsid w:val="00A53E14"/>
    <w:rsid w:val="00A53E4D"/>
    <w:rsid w:val="00A53E98"/>
    <w:rsid w:val="00A54013"/>
    <w:rsid w:val="00A54015"/>
    <w:rsid w:val="00A540CD"/>
    <w:rsid w:val="00A5424C"/>
    <w:rsid w:val="00A542E0"/>
    <w:rsid w:val="00A545D4"/>
    <w:rsid w:val="00A54799"/>
    <w:rsid w:val="00A5489C"/>
    <w:rsid w:val="00A54987"/>
    <w:rsid w:val="00A54A18"/>
    <w:rsid w:val="00A54B2A"/>
    <w:rsid w:val="00A54C3B"/>
    <w:rsid w:val="00A54D93"/>
    <w:rsid w:val="00A54F54"/>
    <w:rsid w:val="00A550D1"/>
    <w:rsid w:val="00A553E7"/>
    <w:rsid w:val="00A554FE"/>
    <w:rsid w:val="00A557AC"/>
    <w:rsid w:val="00A558B2"/>
    <w:rsid w:val="00A558D8"/>
    <w:rsid w:val="00A559C5"/>
    <w:rsid w:val="00A55A95"/>
    <w:rsid w:val="00A55AEC"/>
    <w:rsid w:val="00A55C19"/>
    <w:rsid w:val="00A55C3A"/>
    <w:rsid w:val="00A55CE5"/>
    <w:rsid w:val="00A55D8D"/>
    <w:rsid w:val="00A561DE"/>
    <w:rsid w:val="00A563C4"/>
    <w:rsid w:val="00A565D7"/>
    <w:rsid w:val="00A566F4"/>
    <w:rsid w:val="00A56843"/>
    <w:rsid w:val="00A568FF"/>
    <w:rsid w:val="00A56A16"/>
    <w:rsid w:val="00A56A7C"/>
    <w:rsid w:val="00A56C43"/>
    <w:rsid w:val="00A56CB5"/>
    <w:rsid w:val="00A56CE2"/>
    <w:rsid w:val="00A56D2A"/>
    <w:rsid w:val="00A56D8F"/>
    <w:rsid w:val="00A56E1F"/>
    <w:rsid w:val="00A56F76"/>
    <w:rsid w:val="00A573C0"/>
    <w:rsid w:val="00A573C2"/>
    <w:rsid w:val="00A5752F"/>
    <w:rsid w:val="00A57ACD"/>
    <w:rsid w:val="00A57C77"/>
    <w:rsid w:val="00A57D83"/>
    <w:rsid w:val="00A57E11"/>
    <w:rsid w:val="00A57E5A"/>
    <w:rsid w:val="00A600E3"/>
    <w:rsid w:val="00A60216"/>
    <w:rsid w:val="00A6044D"/>
    <w:rsid w:val="00A6071B"/>
    <w:rsid w:val="00A607B2"/>
    <w:rsid w:val="00A608F7"/>
    <w:rsid w:val="00A60BFA"/>
    <w:rsid w:val="00A60C23"/>
    <w:rsid w:val="00A60CE6"/>
    <w:rsid w:val="00A60CED"/>
    <w:rsid w:val="00A60E42"/>
    <w:rsid w:val="00A60E5A"/>
    <w:rsid w:val="00A60F85"/>
    <w:rsid w:val="00A61070"/>
    <w:rsid w:val="00A610F7"/>
    <w:rsid w:val="00A611B7"/>
    <w:rsid w:val="00A612E3"/>
    <w:rsid w:val="00A61399"/>
    <w:rsid w:val="00A614EA"/>
    <w:rsid w:val="00A61970"/>
    <w:rsid w:val="00A6199E"/>
    <w:rsid w:val="00A619B9"/>
    <w:rsid w:val="00A61B6F"/>
    <w:rsid w:val="00A61B89"/>
    <w:rsid w:val="00A61E4D"/>
    <w:rsid w:val="00A61EAF"/>
    <w:rsid w:val="00A621E3"/>
    <w:rsid w:val="00A62250"/>
    <w:rsid w:val="00A62286"/>
    <w:rsid w:val="00A6229B"/>
    <w:rsid w:val="00A62686"/>
    <w:rsid w:val="00A62895"/>
    <w:rsid w:val="00A628EB"/>
    <w:rsid w:val="00A6297A"/>
    <w:rsid w:val="00A62A6B"/>
    <w:rsid w:val="00A62AF8"/>
    <w:rsid w:val="00A62B9E"/>
    <w:rsid w:val="00A62BCE"/>
    <w:rsid w:val="00A62C47"/>
    <w:rsid w:val="00A62FE4"/>
    <w:rsid w:val="00A63011"/>
    <w:rsid w:val="00A632A0"/>
    <w:rsid w:val="00A6332E"/>
    <w:rsid w:val="00A633AC"/>
    <w:rsid w:val="00A6359A"/>
    <w:rsid w:val="00A63752"/>
    <w:rsid w:val="00A6388E"/>
    <w:rsid w:val="00A6399A"/>
    <w:rsid w:val="00A63A23"/>
    <w:rsid w:val="00A63A5B"/>
    <w:rsid w:val="00A63C60"/>
    <w:rsid w:val="00A6426C"/>
    <w:rsid w:val="00A6427D"/>
    <w:rsid w:val="00A643D1"/>
    <w:rsid w:val="00A6450D"/>
    <w:rsid w:val="00A645C0"/>
    <w:rsid w:val="00A64765"/>
    <w:rsid w:val="00A6482B"/>
    <w:rsid w:val="00A6484C"/>
    <w:rsid w:val="00A649BC"/>
    <w:rsid w:val="00A64F5E"/>
    <w:rsid w:val="00A650DA"/>
    <w:rsid w:val="00A65186"/>
    <w:rsid w:val="00A65197"/>
    <w:rsid w:val="00A6528F"/>
    <w:rsid w:val="00A652A8"/>
    <w:rsid w:val="00A65553"/>
    <w:rsid w:val="00A656C6"/>
    <w:rsid w:val="00A65744"/>
    <w:rsid w:val="00A65748"/>
    <w:rsid w:val="00A65772"/>
    <w:rsid w:val="00A65E5B"/>
    <w:rsid w:val="00A66099"/>
    <w:rsid w:val="00A661A7"/>
    <w:rsid w:val="00A66232"/>
    <w:rsid w:val="00A6632F"/>
    <w:rsid w:val="00A6659A"/>
    <w:rsid w:val="00A66665"/>
    <w:rsid w:val="00A6668D"/>
    <w:rsid w:val="00A666F4"/>
    <w:rsid w:val="00A667A9"/>
    <w:rsid w:val="00A66A56"/>
    <w:rsid w:val="00A66C1B"/>
    <w:rsid w:val="00A66CBB"/>
    <w:rsid w:val="00A66D81"/>
    <w:rsid w:val="00A66E92"/>
    <w:rsid w:val="00A66F6B"/>
    <w:rsid w:val="00A66FA2"/>
    <w:rsid w:val="00A67042"/>
    <w:rsid w:val="00A670E3"/>
    <w:rsid w:val="00A67261"/>
    <w:rsid w:val="00A67581"/>
    <w:rsid w:val="00A67681"/>
    <w:rsid w:val="00A676A5"/>
    <w:rsid w:val="00A678DF"/>
    <w:rsid w:val="00A679AE"/>
    <w:rsid w:val="00A67E14"/>
    <w:rsid w:val="00A67E32"/>
    <w:rsid w:val="00A67F11"/>
    <w:rsid w:val="00A67F1C"/>
    <w:rsid w:val="00A67F27"/>
    <w:rsid w:val="00A70041"/>
    <w:rsid w:val="00A70150"/>
    <w:rsid w:val="00A701C1"/>
    <w:rsid w:val="00A702B9"/>
    <w:rsid w:val="00A706A0"/>
    <w:rsid w:val="00A70763"/>
    <w:rsid w:val="00A7090B"/>
    <w:rsid w:val="00A70A1C"/>
    <w:rsid w:val="00A70BCF"/>
    <w:rsid w:val="00A70C98"/>
    <w:rsid w:val="00A70CF2"/>
    <w:rsid w:val="00A70EBB"/>
    <w:rsid w:val="00A70EED"/>
    <w:rsid w:val="00A70FA0"/>
    <w:rsid w:val="00A71044"/>
    <w:rsid w:val="00A71285"/>
    <w:rsid w:val="00A713BC"/>
    <w:rsid w:val="00A714DD"/>
    <w:rsid w:val="00A7150E"/>
    <w:rsid w:val="00A7194F"/>
    <w:rsid w:val="00A719DF"/>
    <w:rsid w:val="00A71B57"/>
    <w:rsid w:val="00A71B86"/>
    <w:rsid w:val="00A71C28"/>
    <w:rsid w:val="00A71D26"/>
    <w:rsid w:val="00A72080"/>
    <w:rsid w:val="00A722B0"/>
    <w:rsid w:val="00A72303"/>
    <w:rsid w:val="00A72362"/>
    <w:rsid w:val="00A7240C"/>
    <w:rsid w:val="00A72431"/>
    <w:rsid w:val="00A7248E"/>
    <w:rsid w:val="00A7253E"/>
    <w:rsid w:val="00A726F7"/>
    <w:rsid w:val="00A72861"/>
    <w:rsid w:val="00A72A69"/>
    <w:rsid w:val="00A72AA9"/>
    <w:rsid w:val="00A72AF5"/>
    <w:rsid w:val="00A72CCF"/>
    <w:rsid w:val="00A72DDB"/>
    <w:rsid w:val="00A72DFD"/>
    <w:rsid w:val="00A72F2B"/>
    <w:rsid w:val="00A72F86"/>
    <w:rsid w:val="00A73636"/>
    <w:rsid w:val="00A73680"/>
    <w:rsid w:val="00A736BF"/>
    <w:rsid w:val="00A73888"/>
    <w:rsid w:val="00A738A0"/>
    <w:rsid w:val="00A738BD"/>
    <w:rsid w:val="00A73A98"/>
    <w:rsid w:val="00A73B06"/>
    <w:rsid w:val="00A73B5E"/>
    <w:rsid w:val="00A73C1D"/>
    <w:rsid w:val="00A73D50"/>
    <w:rsid w:val="00A73DA2"/>
    <w:rsid w:val="00A73DBC"/>
    <w:rsid w:val="00A73E0E"/>
    <w:rsid w:val="00A73E15"/>
    <w:rsid w:val="00A73E9D"/>
    <w:rsid w:val="00A73FAC"/>
    <w:rsid w:val="00A74050"/>
    <w:rsid w:val="00A7409F"/>
    <w:rsid w:val="00A7412F"/>
    <w:rsid w:val="00A74279"/>
    <w:rsid w:val="00A74364"/>
    <w:rsid w:val="00A74378"/>
    <w:rsid w:val="00A74537"/>
    <w:rsid w:val="00A74573"/>
    <w:rsid w:val="00A747B4"/>
    <w:rsid w:val="00A748DE"/>
    <w:rsid w:val="00A74907"/>
    <w:rsid w:val="00A74985"/>
    <w:rsid w:val="00A74A29"/>
    <w:rsid w:val="00A74B8B"/>
    <w:rsid w:val="00A74C87"/>
    <w:rsid w:val="00A74DC0"/>
    <w:rsid w:val="00A74DDD"/>
    <w:rsid w:val="00A74E65"/>
    <w:rsid w:val="00A74F13"/>
    <w:rsid w:val="00A752B6"/>
    <w:rsid w:val="00A753F9"/>
    <w:rsid w:val="00A75557"/>
    <w:rsid w:val="00A7577B"/>
    <w:rsid w:val="00A75826"/>
    <w:rsid w:val="00A75860"/>
    <w:rsid w:val="00A75AF2"/>
    <w:rsid w:val="00A75B00"/>
    <w:rsid w:val="00A75BFF"/>
    <w:rsid w:val="00A75E93"/>
    <w:rsid w:val="00A75F77"/>
    <w:rsid w:val="00A760BE"/>
    <w:rsid w:val="00A76249"/>
    <w:rsid w:val="00A763EB"/>
    <w:rsid w:val="00A763FC"/>
    <w:rsid w:val="00A76530"/>
    <w:rsid w:val="00A7659D"/>
    <w:rsid w:val="00A76867"/>
    <w:rsid w:val="00A7686D"/>
    <w:rsid w:val="00A768DC"/>
    <w:rsid w:val="00A7691D"/>
    <w:rsid w:val="00A7694C"/>
    <w:rsid w:val="00A76972"/>
    <w:rsid w:val="00A76A79"/>
    <w:rsid w:val="00A76A85"/>
    <w:rsid w:val="00A76D45"/>
    <w:rsid w:val="00A76E56"/>
    <w:rsid w:val="00A76E84"/>
    <w:rsid w:val="00A76F3D"/>
    <w:rsid w:val="00A770C4"/>
    <w:rsid w:val="00A77190"/>
    <w:rsid w:val="00A7722C"/>
    <w:rsid w:val="00A77246"/>
    <w:rsid w:val="00A772E6"/>
    <w:rsid w:val="00A773D3"/>
    <w:rsid w:val="00A77423"/>
    <w:rsid w:val="00A77494"/>
    <w:rsid w:val="00A774FF"/>
    <w:rsid w:val="00A775E4"/>
    <w:rsid w:val="00A77646"/>
    <w:rsid w:val="00A7767E"/>
    <w:rsid w:val="00A776A4"/>
    <w:rsid w:val="00A776E1"/>
    <w:rsid w:val="00A776F5"/>
    <w:rsid w:val="00A77805"/>
    <w:rsid w:val="00A77838"/>
    <w:rsid w:val="00A77936"/>
    <w:rsid w:val="00A77987"/>
    <w:rsid w:val="00A77A6E"/>
    <w:rsid w:val="00A77C7D"/>
    <w:rsid w:val="00A77DC0"/>
    <w:rsid w:val="00A800B2"/>
    <w:rsid w:val="00A800E4"/>
    <w:rsid w:val="00A802A9"/>
    <w:rsid w:val="00A802AF"/>
    <w:rsid w:val="00A80394"/>
    <w:rsid w:val="00A80512"/>
    <w:rsid w:val="00A8051C"/>
    <w:rsid w:val="00A80689"/>
    <w:rsid w:val="00A80772"/>
    <w:rsid w:val="00A80899"/>
    <w:rsid w:val="00A80B28"/>
    <w:rsid w:val="00A80C0A"/>
    <w:rsid w:val="00A80CD3"/>
    <w:rsid w:val="00A80E3B"/>
    <w:rsid w:val="00A812A1"/>
    <w:rsid w:val="00A81604"/>
    <w:rsid w:val="00A81705"/>
    <w:rsid w:val="00A81778"/>
    <w:rsid w:val="00A81818"/>
    <w:rsid w:val="00A81A01"/>
    <w:rsid w:val="00A81A2D"/>
    <w:rsid w:val="00A81C6D"/>
    <w:rsid w:val="00A81DA5"/>
    <w:rsid w:val="00A81E55"/>
    <w:rsid w:val="00A821D4"/>
    <w:rsid w:val="00A823EB"/>
    <w:rsid w:val="00A82508"/>
    <w:rsid w:val="00A826D4"/>
    <w:rsid w:val="00A82752"/>
    <w:rsid w:val="00A82866"/>
    <w:rsid w:val="00A828E4"/>
    <w:rsid w:val="00A82CF7"/>
    <w:rsid w:val="00A82CFC"/>
    <w:rsid w:val="00A82D40"/>
    <w:rsid w:val="00A82D93"/>
    <w:rsid w:val="00A82F49"/>
    <w:rsid w:val="00A83215"/>
    <w:rsid w:val="00A8332D"/>
    <w:rsid w:val="00A8345A"/>
    <w:rsid w:val="00A8346E"/>
    <w:rsid w:val="00A83486"/>
    <w:rsid w:val="00A8354A"/>
    <w:rsid w:val="00A8364B"/>
    <w:rsid w:val="00A83726"/>
    <w:rsid w:val="00A83774"/>
    <w:rsid w:val="00A83784"/>
    <w:rsid w:val="00A838A6"/>
    <w:rsid w:val="00A839BF"/>
    <w:rsid w:val="00A83B1F"/>
    <w:rsid w:val="00A83D07"/>
    <w:rsid w:val="00A83F20"/>
    <w:rsid w:val="00A841AD"/>
    <w:rsid w:val="00A84243"/>
    <w:rsid w:val="00A8428A"/>
    <w:rsid w:val="00A842B4"/>
    <w:rsid w:val="00A84350"/>
    <w:rsid w:val="00A84469"/>
    <w:rsid w:val="00A8463A"/>
    <w:rsid w:val="00A84669"/>
    <w:rsid w:val="00A8467F"/>
    <w:rsid w:val="00A846C4"/>
    <w:rsid w:val="00A8473A"/>
    <w:rsid w:val="00A84778"/>
    <w:rsid w:val="00A8480C"/>
    <w:rsid w:val="00A84BAC"/>
    <w:rsid w:val="00A84C46"/>
    <w:rsid w:val="00A84E82"/>
    <w:rsid w:val="00A84EAD"/>
    <w:rsid w:val="00A84ECD"/>
    <w:rsid w:val="00A85040"/>
    <w:rsid w:val="00A85112"/>
    <w:rsid w:val="00A8511C"/>
    <w:rsid w:val="00A8512E"/>
    <w:rsid w:val="00A85189"/>
    <w:rsid w:val="00A852D0"/>
    <w:rsid w:val="00A855F7"/>
    <w:rsid w:val="00A857B5"/>
    <w:rsid w:val="00A857B7"/>
    <w:rsid w:val="00A859BA"/>
    <w:rsid w:val="00A85B78"/>
    <w:rsid w:val="00A85B8E"/>
    <w:rsid w:val="00A85C20"/>
    <w:rsid w:val="00A85C25"/>
    <w:rsid w:val="00A85C78"/>
    <w:rsid w:val="00A85D0B"/>
    <w:rsid w:val="00A8602E"/>
    <w:rsid w:val="00A862E4"/>
    <w:rsid w:val="00A862F3"/>
    <w:rsid w:val="00A8638C"/>
    <w:rsid w:val="00A8654F"/>
    <w:rsid w:val="00A86626"/>
    <w:rsid w:val="00A86850"/>
    <w:rsid w:val="00A8688F"/>
    <w:rsid w:val="00A868CD"/>
    <w:rsid w:val="00A86AB9"/>
    <w:rsid w:val="00A86BFA"/>
    <w:rsid w:val="00A86C8C"/>
    <w:rsid w:val="00A86E89"/>
    <w:rsid w:val="00A8713D"/>
    <w:rsid w:val="00A872A7"/>
    <w:rsid w:val="00A873C1"/>
    <w:rsid w:val="00A873DC"/>
    <w:rsid w:val="00A8744B"/>
    <w:rsid w:val="00A874F2"/>
    <w:rsid w:val="00A87553"/>
    <w:rsid w:val="00A87576"/>
    <w:rsid w:val="00A876F7"/>
    <w:rsid w:val="00A87779"/>
    <w:rsid w:val="00A877AE"/>
    <w:rsid w:val="00A87881"/>
    <w:rsid w:val="00A87984"/>
    <w:rsid w:val="00A87A54"/>
    <w:rsid w:val="00A87AE5"/>
    <w:rsid w:val="00A87B59"/>
    <w:rsid w:val="00A87D5E"/>
    <w:rsid w:val="00A87E6F"/>
    <w:rsid w:val="00A87EE0"/>
    <w:rsid w:val="00A9016B"/>
    <w:rsid w:val="00A90232"/>
    <w:rsid w:val="00A90382"/>
    <w:rsid w:val="00A903C9"/>
    <w:rsid w:val="00A90408"/>
    <w:rsid w:val="00A90907"/>
    <w:rsid w:val="00A90964"/>
    <w:rsid w:val="00A90C8E"/>
    <w:rsid w:val="00A90CD7"/>
    <w:rsid w:val="00A90D91"/>
    <w:rsid w:val="00A90DA5"/>
    <w:rsid w:val="00A90EB2"/>
    <w:rsid w:val="00A90ECA"/>
    <w:rsid w:val="00A90F58"/>
    <w:rsid w:val="00A911ED"/>
    <w:rsid w:val="00A912B9"/>
    <w:rsid w:val="00A9136D"/>
    <w:rsid w:val="00A91386"/>
    <w:rsid w:val="00A914A2"/>
    <w:rsid w:val="00A91656"/>
    <w:rsid w:val="00A91C16"/>
    <w:rsid w:val="00A91CF2"/>
    <w:rsid w:val="00A91D52"/>
    <w:rsid w:val="00A91D91"/>
    <w:rsid w:val="00A91E27"/>
    <w:rsid w:val="00A920D0"/>
    <w:rsid w:val="00A92122"/>
    <w:rsid w:val="00A92226"/>
    <w:rsid w:val="00A92230"/>
    <w:rsid w:val="00A923BD"/>
    <w:rsid w:val="00A92449"/>
    <w:rsid w:val="00A9244E"/>
    <w:rsid w:val="00A926FB"/>
    <w:rsid w:val="00A92753"/>
    <w:rsid w:val="00A928A8"/>
    <w:rsid w:val="00A9298B"/>
    <w:rsid w:val="00A92A95"/>
    <w:rsid w:val="00A92B1D"/>
    <w:rsid w:val="00A92DAF"/>
    <w:rsid w:val="00A93280"/>
    <w:rsid w:val="00A9344E"/>
    <w:rsid w:val="00A93490"/>
    <w:rsid w:val="00A934FA"/>
    <w:rsid w:val="00A9365C"/>
    <w:rsid w:val="00A936BC"/>
    <w:rsid w:val="00A936EB"/>
    <w:rsid w:val="00A9376F"/>
    <w:rsid w:val="00A937D0"/>
    <w:rsid w:val="00A93996"/>
    <w:rsid w:val="00A939D7"/>
    <w:rsid w:val="00A939DB"/>
    <w:rsid w:val="00A93AEC"/>
    <w:rsid w:val="00A93B60"/>
    <w:rsid w:val="00A93CE6"/>
    <w:rsid w:val="00A93E3E"/>
    <w:rsid w:val="00A93E43"/>
    <w:rsid w:val="00A93E75"/>
    <w:rsid w:val="00A93E8E"/>
    <w:rsid w:val="00A93EDF"/>
    <w:rsid w:val="00A94097"/>
    <w:rsid w:val="00A9416B"/>
    <w:rsid w:val="00A9416E"/>
    <w:rsid w:val="00A942C9"/>
    <w:rsid w:val="00A943B5"/>
    <w:rsid w:val="00A94ABF"/>
    <w:rsid w:val="00A94D4F"/>
    <w:rsid w:val="00A94EE2"/>
    <w:rsid w:val="00A94F24"/>
    <w:rsid w:val="00A9509E"/>
    <w:rsid w:val="00A95128"/>
    <w:rsid w:val="00A951CF"/>
    <w:rsid w:val="00A954DF"/>
    <w:rsid w:val="00A954F5"/>
    <w:rsid w:val="00A957EC"/>
    <w:rsid w:val="00A95978"/>
    <w:rsid w:val="00A959F3"/>
    <w:rsid w:val="00A95A26"/>
    <w:rsid w:val="00A95CCE"/>
    <w:rsid w:val="00A95D66"/>
    <w:rsid w:val="00A95E74"/>
    <w:rsid w:val="00A95EE8"/>
    <w:rsid w:val="00A95EF2"/>
    <w:rsid w:val="00A96034"/>
    <w:rsid w:val="00A96496"/>
    <w:rsid w:val="00A9662B"/>
    <w:rsid w:val="00A9668F"/>
    <w:rsid w:val="00A96781"/>
    <w:rsid w:val="00A967D0"/>
    <w:rsid w:val="00A968F8"/>
    <w:rsid w:val="00A969DC"/>
    <w:rsid w:val="00A96A2D"/>
    <w:rsid w:val="00A96B69"/>
    <w:rsid w:val="00A96B79"/>
    <w:rsid w:val="00A96C3C"/>
    <w:rsid w:val="00A96CD2"/>
    <w:rsid w:val="00A96D14"/>
    <w:rsid w:val="00A96D29"/>
    <w:rsid w:val="00A96D73"/>
    <w:rsid w:val="00A96D82"/>
    <w:rsid w:val="00A96DFC"/>
    <w:rsid w:val="00A96FA3"/>
    <w:rsid w:val="00A96FD6"/>
    <w:rsid w:val="00A97194"/>
    <w:rsid w:val="00A9721A"/>
    <w:rsid w:val="00A973DA"/>
    <w:rsid w:val="00A975A6"/>
    <w:rsid w:val="00A9772F"/>
    <w:rsid w:val="00A978AB"/>
    <w:rsid w:val="00A979B4"/>
    <w:rsid w:val="00A979B5"/>
    <w:rsid w:val="00A979B9"/>
    <w:rsid w:val="00A979CF"/>
    <w:rsid w:val="00A97B7D"/>
    <w:rsid w:val="00A97C8F"/>
    <w:rsid w:val="00A97D4E"/>
    <w:rsid w:val="00A97E46"/>
    <w:rsid w:val="00A97F4A"/>
    <w:rsid w:val="00A97F6B"/>
    <w:rsid w:val="00A97FE3"/>
    <w:rsid w:val="00AA010C"/>
    <w:rsid w:val="00AA018C"/>
    <w:rsid w:val="00AA0317"/>
    <w:rsid w:val="00AA0399"/>
    <w:rsid w:val="00AA041B"/>
    <w:rsid w:val="00AA0484"/>
    <w:rsid w:val="00AA056B"/>
    <w:rsid w:val="00AA0627"/>
    <w:rsid w:val="00AA0928"/>
    <w:rsid w:val="00AA0A6D"/>
    <w:rsid w:val="00AA0D17"/>
    <w:rsid w:val="00AA0E48"/>
    <w:rsid w:val="00AA0FDC"/>
    <w:rsid w:val="00AA1007"/>
    <w:rsid w:val="00AA11BD"/>
    <w:rsid w:val="00AA120E"/>
    <w:rsid w:val="00AA123C"/>
    <w:rsid w:val="00AA12DC"/>
    <w:rsid w:val="00AA13B3"/>
    <w:rsid w:val="00AA155B"/>
    <w:rsid w:val="00AA159F"/>
    <w:rsid w:val="00AA166E"/>
    <w:rsid w:val="00AA16F0"/>
    <w:rsid w:val="00AA16FB"/>
    <w:rsid w:val="00AA172C"/>
    <w:rsid w:val="00AA1833"/>
    <w:rsid w:val="00AA1987"/>
    <w:rsid w:val="00AA19B4"/>
    <w:rsid w:val="00AA1C5A"/>
    <w:rsid w:val="00AA1E66"/>
    <w:rsid w:val="00AA1F9F"/>
    <w:rsid w:val="00AA21D1"/>
    <w:rsid w:val="00AA222B"/>
    <w:rsid w:val="00AA2243"/>
    <w:rsid w:val="00AA224F"/>
    <w:rsid w:val="00AA23CE"/>
    <w:rsid w:val="00AA2882"/>
    <w:rsid w:val="00AA29B0"/>
    <w:rsid w:val="00AA2A48"/>
    <w:rsid w:val="00AA2E1A"/>
    <w:rsid w:val="00AA2E8A"/>
    <w:rsid w:val="00AA2F25"/>
    <w:rsid w:val="00AA2F70"/>
    <w:rsid w:val="00AA2F99"/>
    <w:rsid w:val="00AA31C5"/>
    <w:rsid w:val="00AA32CE"/>
    <w:rsid w:val="00AA3385"/>
    <w:rsid w:val="00AA348C"/>
    <w:rsid w:val="00AA35EA"/>
    <w:rsid w:val="00AA39CE"/>
    <w:rsid w:val="00AA3C3C"/>
    <w:rsid w:val="00AA3C90"/>
    <w:rsid w:val="00AA3DE2"/>
    <w:rsid w:val="00AA3E53"/>
    <w:rsid w:val="00AA3E93"/>
    <w:rsid w:val="00AA3ED8"/>
    <w:rsid w:val="00AA3F4D"/>
    <w:rsid w:val="00AA3F5D"/>
    <w:rsid w:val="00AA3FC4"/>
    <w:rsid w:val="00AA4013"/>
    <w:rsid w:val="00AA40BC"/>
    <w:rsid w:val="00AA40D0"/>
    <w:rsid w:val="00AA41CD"/>
    <w:rsid w:val="00AA42AA"/>
    <w:rsid w:val="00AA432B"/>
    <w:rsid w:val="00AA44EA"/>
    <w:rsid w:val="00AA45E4"/>
    <w:rsid w:val="00AA4690"/>
    <w:rsid w:val="00AA47AD"/>
    <w:rsid w:val="00AA48A5"/>
    <w:rsid w:val="00AA49B4"/>
    <w:rsid w:val="00AA4A42"/>
    <w:rsid w:val="00AA4C5A"/>
    <w:rsid w:val="00AA5097"/>
    <w:rsid w:val="00AA5165"/>
    <w:rsid w:val="00AA52ED"/>
    <w:rsid w:val="00AA5319"/>
    <w:rsid w:val="00AA531F"/>
    <w:rsid w:val="00AA541B"/>
    <w:rsid w:val="00AA5447"/>
    <w:rsid w:val="00AA5471"/>
    <w:rsid w:val="00AA5496"/>
    <w:rsid w:val="00AA56AE"/>
    <w:rsid w:val="00AA5811"/>
    <w:rsid w:val="00AA592F"/>
    <w:rsid w:val="00AA5A06"/>
    <w:rsid w:val="00AA5BB4"/>
    <w:rsid w:val="00AA5CE5"/>
    <w:rsid w:val="00AA5D01"/>
    <w:rsid w:val="00AA5DA4"/>
    <w:rsid w:val="00AA5F4B"/>
    <w:rsid w:val="00AA5F5D"/>
    <w:rsid w:val="00AA5FCB"/>
    <w:rsid w:val="00AA601D"/>
    <w:rsid w:val="00AA6056"/>
    <w:rsid w:val="00AA609A"/>
    <w:rsid w:val="00AA6159"/>
    <w:rsid w:val="00AA619C"/>
    <w:rsid w:val="00AA623A"/>
    <w:rsid w:val="00AA6344"/>
    <w:rsid w:val="00AA63F1"/>
    <w:rsid w:val="00AA64AB"/>
    <w:rsid w:val="00AA656B"/>
    <w:rsid w:val="00AA6591"/>
    <w:rsid w:val="00AA66A2"/>
    <w:rsid w:val="00AA673A"/>
    <w:rsid w:val="00AA68A1"/>
    <w:rsid w:val="00AA698D"/>
    <w:rsid w:val="00AA6A9E"/>
    <w:rsid w:val="00AA6ACB"/>
    <w:rsid w:val="00AA6B40"/>
    <w:rsid w:val="00AA6C5A"/>
    <w:rsid w:val="00AA6D60"/>
    <w:rsid w:val="00AA6E06"/>
    <w:rsid w:val="00AA711B"/>
    <w:rsid w:val="00AA71D2"/>
    <w:rsid w:val="00AA720A"/>
    <w:rsid w:val="00AA7256"/>
    <w:rsid w:val="00AA725D"/>
    <w:rsid w:val="00AA7269"/>
    <w:rsid w:val="00AA739C"/>
    <w:rsid w:val="00AA767D"/>
    <w:rsid w:val="00AA778E"/>
    <w:rsid w:val="00AA781A"/>
    <w:rsid w:val="00AA789F"/>
    <w:rsid w:val="00AA7A25"/>
    <w:rsid w:val="00AA7AD1"/>
    <w:rsid w:val="00AA7AD5"/>
    <w:rsid w:val="00AA7B3A"/>
    <w:rsid w:val="00AA7B5A"/>
    <w:rsid w:val="00AA7BD7"/>
    <w:rsid w:val="00AA7C85"/>
    <w:rsid w:val="00AA7C99"/>
    <w:rsid w:val="00AA7CE9"/>
    <w:rsid w:val="00AA7E74"/>
    <w:rsid w:val="00AA7F0A"/>
    <w:rsid w:val="00AB013E"/>
    <w:rsid w:val="00AB0341"/>
    <w:rsid w:val="00AB03A1"/>
    <w:rsid w:val="00AB041A"/>
    <w:rsid w:val="00AB04C8"/>
    <w:rsid w:val="00AB04F3"/>
    <w:rsid w:val="00AB088F"/>
    <w:rsid w:val="00AB0A1F"/>
    <w:rsid w:val="00AB0B05"/>
    <w:rsid w:val="00AB0B21"/>
    <w:rsid w:val="00AB0BD2"/>
    <w:rsid w:val="00AB0DA1"/>
    <w:rsid w:val="00AB0E38"/>
    <w:rsid w:val="00AB0EEE"/>
    <w:rsid w:val="00AB10E6"/>
    <w:rsid w:val="00AB1203"/>
    <w:rsid w:val="00AB1288"/>
    <w:rsid w:val="00AB1354"/>
    <w:rsid w:val="00AB1372"/>
    <w:rsid w:val="00AB138E"/>
    <w:rsid w:val="00AB14DF"/>
    <w:rsid w:val="00AB15D4"/>
    <w:rsid w:val="00AB1633"/>
    <w:rsid w:val="00AB1860"/>
    <w:rsid w:val="00AB1A3E"/>
    <w:rsid w:val="00AB1A64"/>
    <w:rsid w:val="00AB1B90"/>
    <w:rsid w:val="00AB1CC1"/>
    <w:rsid w:val="00AB1D08"/>
    <w:rsid w:val="00AB1E54"/>
    <w:rsid w:val="00AB1F15"/>
    <w:rsid w:val="00AB2035"/>
    <w:rsid w:val="00AB2156"/>
    <w:rsid w:val="00AB23D3"/>
    <w:rsid w:val="00AB23F3"/>
    <w:rsid w:val="00AB256D"/>
    <w:rsid w:val="00AB25E7"/>
    <w:rsid w:val="00AB278F"/>
    <w:rsid w:val="00AB2815"/>
    <w:rsid w:val="00AB2968"/>
    <w:rsid w:val="00AB2979"/>
    <w:rsid w:val="00AB2AD5"/>
    <w:rsid w:val="00AB2ADE"/>
    <w:rsid w:val="00AB2B82"/>
    <w:rsid w:val="00AB2D9A"/>
    <w:rsid w:val="00AB2E87"/>
    <w:rsid w:val="00AB2F2C"/>
    <w:rsid w:val="00AB3035"/>
    <w:rsid w:val="00AB318B"/>
    <w:rsid w:val="00AB31C5"/>
    <w:rsid w:val="00AB3202"/>
    <w:rsid w:val="00AB32D5"/>
    <w:rsid w:val="00AB32DA"/>
    <w:rsid w:val="00AB33B1"/>
    <w:rsid w:val="00AB343C"/>
    <w:rsid w:val="00AB34FD"/>
    <w:rsid w:val="00AB365A"/>
    <w:rsid w:val="00AB3684"/>
    <w:rsid w:val="00AB375B"/>
    <w:rsid w:val="00AB378E"/>
    <w:rsid w:val="00AB38BF"/>
    <w:rsid w:val="00AB39A1"/>
    <w:rsid w:val="00AB3AED"/>
    <w:rsid w:val="00AB3AF0"/>
    <w:rsid w:val="00AB3B01"/>
    <w:rsid w:val="00AB3B2E"/>
    <w:rsid w:val="00AB3B48"/>
    <w:rsid w:val="00AB3C37"/>
    <w:rsid w:val="00AB3E88"/>
    <w:rsid w:val="00AB4053"/>
    <w:rsid w:val="00AB4251"/>
    <w:rsid w:val="00AB43C0"/>
    <w:rsid w:val="00AB4418"/>
    <w:rsid w:val="00AB441F"/>
    <w:rsid w:val="00AB44AB"/>
    <w:rsid w:val="00AB4610"/>
    <w:rsid w:val="00AB4647"/>
    <w:rsid w:val="00AB4716"/>
    <w:rsid w:val="00AB4A19"/>
    <w:rsid w:val="00AB4A2B"/>
    <w:rsid w:val="00AB4A63"/>
    <w:rsid w:val="00AB4BDC"/>
    <w:rsid w:val="00AB4C14"/>
    <w:rsid w:val="00AB4CD5"/>
    <w:rsid w:val="00AB4D51"/>
    <w:rsid w:val="00AB4DBF"/>
    <w:rsid w:val="00AB510D"/>
    <w:rsid w:val="00AB5355"/>
    <w:rsid w:val="00AB5414"/>
    <w:rsid w:val="00AB54E8"/>
    <w:rsid w:val="00AB5579"/>
    <w:rsid w:val="00AB55C5"/>
    <w:rsid w:val="00AB5627"/>
    <w:rsid w:val="00AB56F8"/>
    <w:rsid w:val="00AB5716"/>
    <w:rsid w:val="00AB5789"/>
    <w:rsid w:val="00AB5923"/>
    <w:rsid w:val="00AB59D8"/>
    <w:rsid w:val="00AB5B0A"/>
    <w:rsid w:val="00AB5B2F"/>
    <w:rsid w:val="00AB5B7F"/>
    <w:rsid w:val="00AB5C9C"/>
    <w:rsid w:val="00AB620A"/>
    <w:rsid w:val="00AB620B"/>
    <w:rsid w:val="00AB624E"/>
    <w:rsid w:val="00AB6306"/>
    <w:rsid w:val="00AB6374"/>
    <w:rsid w:val="00AB665C"/>
    <w:rsid w:val="00AB6920"/>
    <w:rsid w:val="00AB69BA"/>
    <w:rsid w:val="00AB6D02"/>
    <w:rsid w:val="00AB6EC0"/>
    <w:rsid w:val="00AB6EFC"/>
    <w:rsid w:val="00AB702A"/>
    <w:rsid w:val="00AB7139"/>
    <w:rsid w:val="00AB71A2"/>
    <w:rsid w:val="00AB723C"/>
    <w:rsid w:val="00AB758E"/>
    <w:rsid w:val="00AB7685"/>
    <w:rsid w:val="00AB76E4"/>
    <w:rsid w:val="00AB77D7"/>
    <w:rsid w:val="00AB79EE"/>
    <w:rsid w:val="00AB7B9B"/>
    <w:rsid w:val="00AB7C02"/>
    <w:rsid w:val="00AB7DFF"/>
    <w:rsid w:val="00AB7E37"/>
    <w:rsid w:val="00AB7E7E"/>
    <w:rsid w:val="00AC0056"/>
    <w:rsid w:val="00AC02D6"/>
    <w:rsid w:val="00AC039B"/>
    <w:rsid w:val="00AC03A0"/>
    <w:rsid w:val="00AC03D4"/>
    <w:rsid w:val="00AC03E0"/>
    <w:rsid w:val="00AC03FA"/>
    <w:rsid w:val="00AC0463"/>
    <w:rsid w:val="00AC04A7"/>
    <w:rsid w:val="00AC04A9"/>
    <w:rsid w:val="00AC060E"/>
    <w:rsid w:val="00AC060F"/>
    <w:rsid w:val="00AC069E"/>
    <w:rsid w:val="00AC07CA"/>
    <w:rsid w:val="00AC07F6"/>
    <w:rsid w:val="00AC090A"/>
    <w:rsid w:val="00AC0935"/>
    <w:rsid w:val="00AC0A9D"/>
    <w:rsid w:val="00AC0AAD"/>
    <w:rsid w:val="00AC0FCA"/>
    <w:rsid w:val="00AC100C"/>
    <w:rsid w:val="00AC1026"/>
    <w:rsid w:val="00AC12FE"/>
    <w:rsid w:val="00AC137F"/>
    <w:rsid w:val="00AC16DB"/>
    <w:rsid w:val="00AC170C"/>
    <w:rsid w:val="00AC186E"/>
    <w:rsid w:val="00AC1985"/>
    <w:rsid w:val="00AC1A5D"/>
    <w:rsid w:val="00AC1E06"/>
    <w:rsid w:val="00AC1E17"/>
    <w:rsid w:val="00AC224C"/>
    <w:rsid w:val="00AC2276"/>
    <w:rsid w:val="00AC22B6"/>
    <w:rsid w:val="00AC240D"/>
    <w:rsid w:val="00AC25AB"/>
    <w:rsid w:val="00AC2709"/>
    <w:rsid w:val="00AC28BF"/>
    <w:rsid w:val="00AC293C"/>
    <w:rsid w:val="00AC29DB"/>
    <w:rsid w:val="00AC2B7E"/>
    <w:rsid w:val="00AC2BAA"/>
    <w:rsid w:val="00AC2EF1"/>
    <w:rsid w:val="00AC2F0D"/>
    <w:rsid w:val="00AC300D"/>
    <w:rsid w:val="00AC34C9"/>
    <w:rsid w:val="00AC34CB"/>
    <w:rsid w:val="00AC35CE"/>
    <w:rsid w:val="00AC3614"/>
    <w:rsid w:val="00AC3771"/>
    <w:rsid w:val="00AC37E4"/>
    <w:rsid w:val="00AC38F0"/>
    <w:rsid w:val="00AC3948"/>
    <w:rsid w:val="00AC3B19"/>
    <w:rsid w:val="00AC3E7C"/>
    <w:rsid w:val="00AC3F7A"/>
    <w:rsid w:val="00AC3FBF"/>
    <w:rsid w:val="00AC4065"/>
    <w:rsid w:val="00AC4128"/>
    <w:rsid w:val="00AC4193"/>
    <w:rsid w:val="00AC43C4"/>
    <w:rsid w:val="00AC43C5"/>
    <w:rsid w:val="00AC44E3"/>
    <w:rsid w:val="00AC4500"/>
    <w:rsid w:val="00AC46CA"/>
    <w:rsid w:val="00AC4702"/>
    <w:rsid w:val="00AC4760"/>
    <w:rsid w:val="00AC489A"/>
    <w:rsid w:val="00AC49C7"/>
    <w:rsid w:val="00AC4B58"/>
    <w:rsid w:val="00AC4C7A"/>
    <w:rsid w:val="00AC4EA5"/>
    <w:rsid w:val="00AC5053"/>
    <w:rsid w:val="00AC505C"/>
    <w:rsid w:val="00AC523E"/>
    <w:rsid w:val="00AC5291"/>
    <w:rsid w:val="00AC53A3"/>
    <w:rsid w:val="00AC5609"/>
    <w:rsid w:val="00AC5737"/>
    <w:rsid w:val="00AC5914"/>
    <w:rsid w:val="00AC5BCA"/>
    <w:rsid w:val="00AC5C83"/>
    <w:rsid w:val="00AC5DA2"/>
    <w:rsid w:val="00AC5F2B"/>
    <w:rsid w:val="00AC5F85"/>
    <w:rsid w:val="00AC605F"/>
    <w:rsid w:val="00AC60B3"/>
    <w:rsid w:val="00AC60BD"/>
    <w:rsid w:val="00AC6110"/>
    <w:rsid w:val="00AC6117"/>
    <w:rsid w:val="00AC61CE"/>
    <w:rsid w:val="00AC63D9"/>
    <w:rsid w:val="00AC64C1"/>
    <w:rsid w:val="00AC6543"/>
    <w:rsid w:val="00AC660D"/>
    <w:rsid w:val="00AC662E"/>
    <w:rsid w:val="00AC669C"/>
    <w:rsid w:val="00AC698B"/>
    <w:rsid w:val="00AC6B15"/>
    <w:rsid w:val="00AC6BF8"/>
    <w:rsid w:val="00AC6C3F"/>
    <w:rsid w:val="00AC6D74"/>
    <w:rsid w:val="00AC6E2C"/>
    <w:rsid w:val="00AC6E3F"/>
    <w:rsid w:val="00AC6EE1"/>
    <w:rsid w:val="00AC716E"/>
    <w:rsid w:val="00AC72C3"/>
    <w:rsid w:val="00AC73CE"/>
    <w:rsid w:val="00AC7658"/>
    <w:rsid w:val="00AC76D2"/>
    <w:rsid w:val="00AC7733"/>
    <w:rsid w:val="00AC7A28"/>
    <w:rsid w:val="00AC7AAC"/>
    <w:rsid w:val="00AC7BC0"/>
    <w:rsid w:val="00AC7CC3"/>
    <w:rsid w:val="00AD00E5"/>
    <w:rsid w:val="00AD0181"/>
    <w:rsid w:val="00AD01EE"/>
    <w:rsid w:val="00AD03C4"/>
    <w:rsid w:val="00AD047E"/>
    <w:rsid w:val="00AD04A6"/>
    <w:rsid w:val="00AD04BB"/>
    <w:rsid w:val="00AD04F3"/>
    <w:rsid w:val="00AD05CC"/>
    <w:rsid w:val="00AD061B"/>
    <w:rsid w:val="00AD0982"/>
    <w:rsid w:val="00AD0A46"/>
    <w:rsid w:val="00AD1035"/>
    <w:rsid w:val="00AD165F"/>
    <w:rsid w:val="00AD1736"/>
    <w:rsid w:val="00AD176F"/>
    <w:rsid w:val="00AD180B"/>
    <w:rsid w:val="00AD185B"/>
    <w:rsid w:val="00AD1897"/>
    <w:rsid w:val="00AD18BC"/>
    <w:rsid w:val="00AD1A0C"/>
    <w:rsid w:val="00AD1ADD"/>
    <w:rsid w:val="00AD1C5B"/>
    <w:rsid w:val="00AD1E84"/>
    <w:rsid w:val="00AD1EC6"/>
    <w:rsid w:val="00AD1FFF"/>
    <w:rsid w:val="00AD2006"/>
    <w:rsid w:val="00AD23BF"/>
    <w:rsid w:val="00AD24C0"/>
    <w:rsid w:val="00AD27BB"/>
    <w:rsid w:val="00AD286B"/>
    <w:rsid w:val="00AD2A6A"/>
    <w:rsid w:val="00AD2A71"/>
    <w:rsid w:val="00AD2D47"/>
    <w:rsid w:val="00AD2E4A"/>
    <w:rsid w:val="00AD2E87"/>
    <w:rsid w:val="00AD2F77"/>
    <w:rsid w:val="00AD302E"/>
    <w:rsid w:val="00AD3140"/>
    <w:rsid w:val="00AD31ED"/>
    <w:rsid w:val="00AD33F6"/>
    <w:rsid w:val="00AD3513"/>
    <w:rsid w:val="00AD370B"/>
    <w:rsid w:val="00AD374F"/>
    <w:rsid w:val="00AD38B7"/>
    <w:rsid w:val="00AD38B8"/>
    <w:rsid w:val="00AD38BE"/>
    <w:rsid w:val="00AD3B9F"/>
    <w:rsid w:val="00AD3CCD"/>
    <w:rsid w:val="00AD3EE9"/>
    <w:rsid w:val="00AD3F7A"/>
    <w:rsid w:val="00AD4045"/>
    <w:rsid w:val="00AD40D1"/>
    <w:rsid w:val="00AD41A8"/>
    <w:rsid w:val="00AD4384"/>
    <w:rsid w:val="00AD460D"/>
    <w:rsid w:val="00AD4649"/>
    <w:rsid w:val="00AD46E5"/>
    <w:rsid w:val="00AD4A9D"/>
    <w:rsid w:val="00AD4B1D"/>
    <w:rsid w:val="00AD4B24"/>
    <w:rsid w:val="00AD4C24"/>
    <w:rsid w:val="00AD4C42"/>
    <w:rsid w:val="00AD4EF8"/>
    <w:rsid w:val="00AD502D"/>
    <w:rsid w:val="00AD52F1"/>
    <w:rsid w:val="00AD55B2"/>
    <w:rsid w:val="00AD56BF"/>
    <w:rsid w:val="00AD57C3"/>
    <w:rsid w:val="00AD57D4"/>
    <w:rsid w:val="00AD5841"/>
    <w:rsid w:val="00AD5865"/>
    <w:rsid w:val="00AD58C0"/>
    <w:rsid w:val="00AD58D5"/>
    <w:rsid w:val="00AD5A5B"/>
    <w:rsid w:val="00AD5BBF"/>
    <w:rsid w:val="00AD5D43"/>
    <w:rsid w:val="00AD5E20"/>
    <w:rsid w:val="00AD5E83"/>
    <w:rsid w:val="00AD5F11"/>
    <w:rsid w:val="00AD60F8"/>
    <w:rsid w:val="00AD619A"/>
    <w:rsid w:val="00AD61D4"/>
    <w:rsid w:val="00AD6239"/>
    <w:rsid w:val="00AD6525"/>
    <w:rsid w:val="00AD652E"/>
    <w:rsid w:val="00AD669A"/>
    <w:rsid w:val="00AD6777"/>
    <w:rsid w:val="00AD6B11"/>
    <w:rsid w:val="00AD6B16"/>
    <w:rsid w:val="00AD6CAF"/>
    <w:rsid w:val="00AD6D35"/>
    <w:rsid w:val="00AD6D48"/>
    <w:rsid w:val="00AD6DCD"/>
    <w:rsid w:val="00AD7177"/>
    <w:rsid w:val="00AD72C4"/>
    <w:rsid w:val="00AD73E3"/>
    <w:rsid w:val="00AD7490"/>
    <w:rsid w:val="00AD7515"/>
    <w:rsid w:val="00AD7659"/>
    <w:rsid w:val="00AD767E"/>
    <w:rsid w:val="00AD76E4"/>
    <w:rsid w:val="00AD77A8"/>
    <w:rsid w:val="00AD79DC"/>
    <w:rsid w:val="00AD7B15"/>
    <w:rsid w:val="00AD7D7D"/>
    <w:rsid w:val="00AD7E67"/>
    <w:rsid w:val="00AD7EEE"/>
    <w:rsid w:val="00AD7F52"/>
    <w:rsid w:val="00AD7F6C"/>
    <w:rsid w:val="00AE0161"/>
    <w:rsid w:val="00AE01AF"/>
    <w:rsid w:val="00AE033D"/>
    <w:rsid w:val="00AE05F5"/>
    <w:rsid w:val="00AE074A"/>
    <w:rsid w:val="00AE08F7"/>
    <w:rsid w:val="00AE0971"/>
    <w:rsid w:val="00AE0ACB"/>
    <w:rsid w:val="00AE0C03"/>
    <w:rsid w:val="00AE0ECD"/>
    <w:rsid w:val="00AE10D0"/>
    <w:rsid w:val="00AE10E4"/>
    <w:rsid w:val="00AE1169"/>
    <w:rsid w:val="00AE11EB"/>
    <w:rsid w:val="00AE1362"/>
    <w:rsid w:val="00AE1381"/>
    <w:rsid w:val="00AE1397"/>
    <w:rsid w:val="00AE13D6"/>
    <w:rsid w:val="00AE1419"/>
    <w:rsid w:val="00AE1555"/>
    <w:rsid w:val="00AE1790"/>
    <w:rsid w:val="00AE1A1B"/>
    <w:rsid w:val="00AE1AF1"/>
    <w:rsid w:val="00AE1BB4"/>
    <w:rsid w:val="00AE1D53"/>
    <w:rsid w:val="00AE1D7D"/>
    <w:rsid w:val="00AE1E05"/>
    <w:rsid w:val="00AE1E0A"/>
    <w:rsid w:val="00AE1F63"/>
    <w:rsid w:val="00AE215A"/>
    <w:rsid w:val="00AE21AD"/>
    <w:rsid w:val="00AE2444"/>
    <w:rsid w:val="00AE25A4"/>
    <w:rsid w:val="00AE2704"/>
    <w:rsid w:val="00AE274A"/>
    <w:rsid w:val="00AE2762"/>
    <w:rsid w:val="00AE2855"/>
    <w:rsid w:val="00AE28C2"/>
    <w:rsid w:val="00AE2B7F"/>
    <w:rsid w:val="00AE2BC3"/>
    <w:rsid w:val="00AE2DDF"/>
    <w:rsid w:val="00AE3283"/>
    <w:rsid w:val="00AE3293"/>
    <w:rsid w:val="00AE347E"/>
    <w:rsid w:val="00AE34A7"/>
    <w:rsid w:val="00AE34E6"/>
    <w:rsid w:val="00AE358A"/>
    <w:rsid w:val="00AE36DE"/>
    <w:rsid w:val="00AE37B6"/>
    <w:rsid w:val="00AE3869"/>
    <w:rsid w:val="00AE38BF"/>
    <w:rsid w:val="00AE38F7"/>
    <w:rsid w:val="00AE398C"/>
    <w:rsid w:val="00AE39B0"/>
    <w:rsid w:val="00AE39F3"/>
    <w:rsid w:val="00AE3A67"/>
    <w:rsid w:val="00AE3B33"/>
    <w:rsid w:val="00AE3D6E"/>
    <w:rsid w:val="00AE3F87"/>
    <w:rsid w:val="00AE41E0"/>
    <w:rsid w:val="00AE432B"/>
    <w:rsid w:val="00AE4437"/>
    <w:rsid w:val="00AE44D0"/>
    <w:rsid w:val="00AE4547"/>
    <w:rsid w:val="00AE4565"/>
    <w:rsid w:val="00AE457E"/>
    <w:rsid w:val="00AE4664"/>
    <w:rsid w:val="00AE4871"/>
    <w:rsid w:val="00AE4998"/>
    <w:rsid w:val="00AE4B53"/>
    <w:rsid w:val="00AE4D67"/>
    <w:rsid w:val="00AE524F"/>
    <w:rsid w:val="00AE534E"/>
    <w:rsid w:val="00AE5633"/>
    <w:rsid w:val="00AE5698"/>
    <w:rsid w:val="00AE56C8"/>
    <w:rsid w:val="00AE571F"/>
    <w:rsid w:val="00AE572A"/>
    <w:rsid w:val="00AE5782"/>
    <w:rsid w:val="00AE5AD4"/>
    <w:rsid w:val="00AE5C1A"/>
    <w:rsid w:val="00AE5C7F"/>
    <w:rsid w:val="00AE5D3A"/>
    <w:rsid w:val="00AE5D55"/>
    <w:rsid w:val="00AE5DAD"/>
    <w:rsid w:val="00AE5EBB"/>
    <w:rsid w:val="00AE6185"/>
    <w:rsid w:val="00AE65FC"/>
    <w:rsid w:val="00AE6675"/>
    <w:rsid w:val="00AE66B8"/>
    <w:rsid w:val="00AE6796"/>
    <w:rsid w:val="00AE67F4"/>
    <w:rsid w:val="00AE68CF"/>
    <w:rsid w:val="00AE69DC"/>
    <w:rsid w:val="00AE6A6B"/>
    <w:rsid w:val="00AE6C7A"/>
    <w:rsid w:val="00AE71D1"/>
    <w:rsid w:val="00AE72C1"/>
    <w:rsid w:val="00AE73A5"/>
    <w:rsid w:val="00AE7440"/>
    <w:rsid w:val="00AE7485"/>
    <w:rsid w:val="00AE751C"/>
    <w:rsid w:val="00AE7552"/>
    <w:rsid w:val="00AE7567"/>
    <w:rsid w:val="00AE76A6"/>
    <w:rsid w:val="00AE76C4"/>
    <w:rsid w:val="00AE77D5"/>
    <w:rsid w:val="00AE77DD"/>
    <w:rsid w:val="00AE7815"/>
    <w:rsid w:val="00AE792D"/>
    <w:rsid w:val="00AE7A42"/>
    <w:rsid w:val="00AE7BA7"/>
    <w:rsid w:val="00AE7BDE"/>
    <w:rsid w:val="00AE7C9D"/>
    <w:rsid w:val="00AE7E10"/>
    <w:rsid w:val="00AE7E53"/>
    <w:rsid w:val="00AE7F08"/>
    <w:rsid w:val="00AE7F46"/>
    <w:rsid w:val="00AF013E"/>
    <w:rsid w:val="00AF01A2"/>
    <w:rsid w:val="00AF036A"/>
    <w:rsid w:val="00AF0508"/>
    <w:rsid w:val="00AF070C"/>
    <w:rsid w:val="00AF079E"/>
    <w:rsid w:val="00AF07B0"/>
    <w:rsid w:val="00AF07F3"/>
    <w:rsid w:val="00AF083F"/>
    <w:rsid w:val="00AF0A24"/>
    <w:rsid w:val="00AF0A93"/>
    <w:rsid w:val="00AF0B19"/>
    <w:rsid w:val="00AF0B92"/>
    <w:rsid w:val="00AF0D04"/>
    <w:rsid w:val="00AF0D9D"/>
    <w:rsid w:val="00AF10DC"/>
    <w:rsid w:val="00AF1294"/>
    <w:rsid w:val="00AF12ED"/>
    <w:rsid w:val="00AF130E"/>
    <w:rsid w:val="00AF1822"/>
    <w:rsid w:val="00AF187E"/>
    <w:rsid w:val="00AF1B9C"/>
    <w:rsid w:val="00AF1BEE"/>
    <w:rsid w:val="00AF1FCE"/>
    <w:rsid w:val="00AF2018"/>
    <w:rsid w:val="00AF222E"/>
    <w:rsid w:val="00AF235A"/>
    <w:rsid w:val="00AF23AA"/>
    <w:rsid w:val="00AF276B"/>
    <w:rsid w:val="00AF27E7"/>
    <w:rsid w:val="00AF2924"/>
    <w:rsid w:val="00AF2A29"/>
    <w:rsid w:val="00AF2AD3"/>
    <w:rsid w:val="00AF2AFE"/>
    <w:rsid w:val="00AF2B04"/>
    <w:rsid w:val="00AF2D56"/>
    <w:rsid w:val="00AF2DF2"/>
    <w:rsid w:val="00AF2F2D"/>
    <w:rsid w:val="00AF2FB6"/>
    <w:rsid w:val="00AF329D"/>
    <w:rsid w:val="00AF3304"/>
    <w:rsid w:val="00AF336D"/>
    <w:rsid w:val="00AF33A8"/>
    <w:rsid w:val="00AF363A"/>
    <w:rsid w:val="00AF366B"/>
    <w:rsid w:val="00AF369A"/>
    <w:rsid w:val="00AF3843"/>
    <w:rsid w:val="00AF3A2E"/>
    <w:rsid w:val="00AF3C43"/>
    <w:rsid w:val="00AF3D9C"/>
    <w:rsid w:val="00AF3E3A"/>
    <w:rsid w:val="00AF3FC4"/>
    <w:rsid w:val="00AF3FEE"/>
    <w:rsid w:val="00AF4009"/>
    <w:rsid w:val="00AF4040"/>
    <w:rsid w:val="00AF411F"/>
    <w:rsid w:val="00AF422D"/>
    <w:rsid w:val="00AF425C"/>
    <w:rsid w:val="00AF435A"/>
    <w:rsid w:val="00AF44BD"/>
    <w:rsid w:val="00AF45EE"/>
    <w:rsid w:val="00AF4762"/>
    <w:rsid w:val="00AF4895"/>
    <w:rsid w:val="00AF49F1"/>
    <w:rsid w:val="00AF49FD"/>
    <w:rsid w:val="00AF4B07"/>
    <w:rsid w:val="00AF4B43"/>
    <w:rsid w:val="00AF4C58"/>
    <w:rsid w:val="00AF4DA7"/>
    <w:rsid w:val="00AF4E77"/>
    <w:rsid w:val="00AF50F8"/>
    <w:rsid w:val="00AF518A"/>
    <w:rsid w:val="00AF5300"/>
    <w:rsid w:val="00AF54D3"/>
    <w:rsid w:val="00AF5525"/>
    <w:rsid w:val="00AF5721"/>
    <w:rsid w:val="00AF5723"/>
    <w:rsid w:val="00AF583F"/>
    <w:rsid w:val="00AF58D0"/>
    <w:rsid w:val="00AF59BC"/>
    <w:rsid w:val="00AF5A7B"/>
    <w:rsid w:val="00AF5AD4"/>
    <w:rsid w:val="00AF5BEC"/>
    <w:rsid w:val="00AF5F4B"/>
    <w:rsid w:val="00AF61E0"/>
    <w:rsid w:val="00AF6277"/>
    <w:rsid w:val="00AF637B"/>
    <w:rsid w:val="00AF64D5"/>
    <w:rsid w:val="00AF64E2"/>
    <w:rsid w:val="00AF6582"/>
    <w:rsid w:val="00AF65A9"/>
    <w:rsid w:val="00AF65F6"/>
    <w:rsid w:val="00AF67CE"/>
    <w:rsid w:val="00AF68E9"/>
    <w:rsid w:val="00AF69B4"/>
    <w:rsid w:val="00AF6B04"/>
    <w:rsid w:val="00AF6BC9"/>
    <w:rsid w:val="00AF6C2D"/>
    <w:rsid w:val="00AF6D5A"/>
    <w:rsid w:val="00AF6E94"/>
    <w:rsid w:val="00AF70B7"/>
    <w:rsid w:val="00AF769C"/>
    <w:rsid w:val="00AF76B8"/>
    <w:rsid w:val="00AF7832"/>
    <w:rsid w:val="00AF791E"/>
    <w:rsid w:val="00AF79BF"/>
    <w:rsid w:val="00AF7E6F"/>
    <w:rsid w:val="00AF7E7D"/>
    <w:rsid w:val="00AF7EFF"/>
    <w:rsid w:val="00B0012C"/>
    <w:rsid w:val="00B00176"/>
    <w:rsid w:val="00B001DD"/>
    <w:rsid w:val="00B003DB"/>
    <w:rsid w:val="00B003EC"/>
    <w:rsid w:val="00B004E5"/>
    <w:rsid w:val="00B004E7"/>
    <w:rsid w:val="00B005BD"/>
    <w:rsid w:val="00B005F9"/>
    <w:rsid w:val="00B0074A"/>
    <w:rsid w:val="00B008D9"/>
    <w:rsid w:val="00B00B79"/>
    <w:rsid w:val="00B00CCD"/>
    <w:rsid w:val="00B00E3E"/>
    <w:rsid w:val="00B00F39"/>
    <w:rsid w:val="00B00F84"/>
    <w:rsid w:val="00B01161"/>
    <w:rsid w:val="00B012B8"/>
    <w:rsid w:val="00B012E9"/>
    <w:rsid w:val="00B01304"/>
    <w:rsid w:val="00B0132C"/>
    <w:rsid w:val="00B01374"/>
    <w:rsid w:val="00B014AB"/>
    <w:rsid w:val="00B01678"/>
    <w:rsid w:val="00B0170F"/>
    <w:rsid w:val="00B01838"/>
    <w:rsid w:val="00B01B2B"/>
    <w:rsid w:val="00B01C2D"/>
    <w:rsid w:val="00B01C4E"/>
    <w:rsid w:val="00B01E19"/>
    <w:rsid w:val="00B01F3E"/>
    <w:rsid w:val="00B0202C"/>
    <w:rsid w:val="00B020CF"/>
    <w:rsid w:val="00B02233"/>
    <w:rsid w:val="00B0223E"/>
    <w:rsid w:val="00B0232F"/>
    <w:rsid w:val="00B025FD"/>
    <w:rsid w:val="00B026BB"/>
    <w:rsid w:val="00B02797"/>
    <w:rsid w:val="00B0281B"/>
    <w:rsid w:val="00B028D9"/>
    <w:rsid w:val="00B029AD"/>
    <w:rsid w:val="00B02E6E"/>
    <w:rsid w:val="00B030AE"/>
    <w:rsid w:val="00B03198"/>
    <w:rsid w:val="00B03548"/>
    <w:rsid w:val="00B03754"/>
    <w:rsid w:val="00B03ACE"/>
    <w:rsid w:val="00B03AD3"/>
    <w:rsid w:val="00B03AD5"/>
    <w:rsid w:val="00B03B0E"/>
    <w:rsid w:val="00B03B23"/>
    <w:rsid w:val="00B03B5D"/>
    <w:rsid w:val="00B03C3B"/>
    <w:rsid w:val="00B03C75"/>
    <w:rsid w:val="00B03F6F"/>
    <w:rsid w:val="00B04043"/>
    <w:rsid w:val="00B0408E"/>
    <w:rsid w:val="00B04160"/>
    <w:rsid w:val="00B0443D"/>
    <w:rsid w:val="00B045F5"/>
    <w:rsid w:val="00B04609"/>
    <w:rsid w:val="00B04882"/>
    <w:rsid w:val="00B04995"/>
    <w:rsid w:val="00B04B47"/>
    <w:rsid w:val="00B04B72"/>
    <w:rsid w:val="00B04E58"/>
    <w:rsid w:val="00B04E83"/>
    <w:rsid w:val="00B04F2D"/>
    <w:rsid w:val="00B050CF"/>
    <w:rsid w:val="00B0513C"/>
    <w:rsid w:val="00B05184"/>
    <w:rsid w:val="00B05245"/>
    <w:rsid w:val="00B052FD"/>
    <w:rsid w:val="00B05378"/>
    <w:rsid w:val="00B0570C"/>
    <w:rsid w:val="00B0578F"/>
    <w:rsid w:val="00B0594C"/>
    <w:rsid w:val="00B05C59"/>
    <w:rsid w:val="00B05C61"/>
    <w:rsid w:val="00B05CC1"/>
    <w:rsid w:val="00B05CEB"/>
    <w:rsid w:val="00B05D16"/>
    <w:rsid w:val="00B05D54"/>
    <w:rsid w:val="00B05F86"/>
    <w:rsid w:val="00B06100"/>
    <w:rsid w:val="00B06136"/>
    <w:rsid w:val="00B0619E"/>
    <w:rsid w:val="00B061C7"/>
    <w:rsid w:val="00B0638E"/>
    <w:rsid w:val="00B06479"/>
    <w:rsid w:val="00B06495"/>
    <w:rsid w:val="00B066E4"/>
    <w:rsid w:val="00B0679A"/>
    <w:rsid w:val="00B068B4"/>
    <w:rsid w:val="00B068C2"/>
    <w:rsid w:val="00B068C5"/>
    <w:rsid w:val="00B069A9"/>
    <w:rsid w:val="00B069B4"/>
    <w:rsid w:val="00B06BC3"/>
    <w:rsid w:val="00B06D85"/>
    <w:rsid w:val="00B06DA2"/>
    <w:rsid w:val="00B06DDD"/>
    <w:rsid w:val="00B06FC5"/>
    <w:rsid w:val="00B07081"/>
    <w:rsid w:val="00B07109"/>
    <w:rsid w:val="00B071FB"/>
    <w:rsid w:val="00B073C0"/>
    <w:rsid w:val="00B07422"/>
    <w:rsid w:val="00B076EF"/>
    <w:rsid w:val="00B077A9"/>
    <w:rsid w:val="00B078D2"/>
    <w:rsid w:val="00B07954"/>
    <w:rsid w:val="00B07D01"/>
    <w:rsid w:val="00B07DB3"/>
    <w:rsid w:val="00B07E4D"/>
    <w:rsid w:val="00B07ED0"/>
    <w:rsid w:val="00B07F8E"/>
    <w:rsid w:val="00B1008A"/>
    <w:rsid w:val="00B100EF"/>
    <w:rsid w:val="00B10251"/>
    <w:rsid w:val="00B1027B"/>
    <w:rsid w:val="00B102A0"/>
    <w:rsid w:val="00B10427"/>
    <w:rsid w:val="00B104C9"/>
    <w:rsid w:val="00B1052B"/>
    <w:rsid w:val="00B10582"/>
    <w:rsid w:val="00B1066E"/>
    <w:rsid w:val="00B10670"/>
    <w:rsid w:val="00B106F4"/>
    <w:rsid w:val="00B10705"/>
    <w:rsid w:val="00B107AD"/>
    <w:rsid w:val="00B107C8"/>
    <w:rsid w:val="00B10828"/>
    <w:rsid w:val="00B1089A"/>
    <w:rsid w:val="00B109EA"/>
    <w:rsid w:val="00B10AC5"/>
    <w:rsid w:val="00B10B54"/>
    <w:rsid w:val="00B10B59"/>
    <w:rsid w:val="00B10BBE"/>
    <w:rsid w:val="00B10D61"/>
    <w:rsid w:val="00B10DBC"/>
    <w:rsid w:val="00B10E15"/>
    <w:rsid w:val="00B10EBC"/>
    <w:rsid w:val="00B112B5"/>
    <w:rsid w:val="00B1140B"/>
    <w:rsid w:val="00B11415"/>
    <w:rsid w:val="00B11515"/>
    <w:rsid w:val="00B119CD"/>
    <w:rsid w:val="00B11A77"/>
    <w:rsid w:val="00B11AC5"/>
    <w:rsid w:val="00B11B5A"/>
    <w:rsid w:val="00B11C1C"/>
    <w:rsid w:val="00B11C5C"/>
    <w:rsid w:val="00B11CEA"/>
    <w:rsid w:val="00B11D44"/>
    <w:rsid w:val="00B12093"/>
    <w:rsid w:val="00B12409"/>
    <w:rsid w:val="00B12501"/>
    <w:rsid w:val="00B125AE"/>
    <w:rsid w:val="00B128C2"/>
    <w:rsid w:val="00B12A22"/>
    <w:rsid w:val="00B12A83"/>
    <w:rsid w:val="00B12DAE"/>
    <w:rsid w:val="00B12F6F"/>
    <w:rsid w:val="00B12F96"/>
    <w:rsid w:val="00B133A6"/>
    <w:rsid w:val="00B13615"/>
    <w:rsid w:val="00B13699"/>
    <w:rsid w:val="00B137AA"/>
    <w:rsid w:val="00B13830"/>
    <w:rsid w:val="00B13ACB"/>
    <w:rsid w:val="00B13B57"/>
    <w:rsid w:val="00B13D52"/>
    <w:rsid w:val="00B13E12"/>
    <w:rsid w:val="00B13E71"/>
    <w:rsid w:val="00B13EFB"/>
    <w:rsid w:val="00B13FE3"/>
    <w:rsid w:val="00B1418D"/>
    <w:rsid w:val="00B14205"/>
    <w:rsid w:val="00B1428E"/>
    <w:rsid w:val="00B1438D"/>
    <w:rsid w:val="00B14550"/>
    <w:rsid w:val="00B14684"/>
    <w:rsid w:val="00B14768"/>
    <w:rsid w:val="00B1494A"/>
    <w:rsid w:val="00B149BA"/>
    <w:rsid w:val="00B149DC"/>
    <w:rsid w:val="00B14A4C"/>
    <w:rsid w:val="00B14B41"/>
    <w:rsid w:val="00B14D09"/>
    <w:rsid w:val="00B14D9E"/>
    <w:rsid w:val="00B14E83"/>
    <w:rsid w:val="00B14F6E"/>
    <w:rsid w:val="00B14FED"/>
    <w:rsid w:val="00B1504D"/>
    <w:rsid w:val="00B150F5"/>
    <w:rsid w:val="00B1526D"/>
    <w:rsid w:val="00B152A4"/>
    <w:rsid w:val="00B153F5"/>
    <w:rsid w:val="00B15420"/>
    <w:rsid w:val="00B1547E"/>
    <w:rsid w:val="00B154AB"/>
    <w:rsid w:val="00B154DF"/>
    <w:rsid w:val="00B157B4"/>
    <w:rsid w:val="00B157F8"/>
    <w:rsid w:val="00B15899"/>
    <w:rsid w:val="00B15A22"/>
    <w:rsid w:val="00B15C63"/>
    <w:rsid w:val="00B15F9D"/>
    <w:rsid w:val="00B1604E"/>
    <w:rsid w:val="00B16176"/>
    <w:rsid w:val="00B161A4"/>
    <w:rsid w:val="00B161ED"/>
    <w:rsid w:val="00B16375"/>
    <w:rsid w:val="00B16530"/>
    <w:rsid w:val="00B16555"/>
    <w:rsid w:val="00B16583"/>
    <w:rsid w:val="00B166DE"/>
    <w:rsid w:val="00B16745"/>
    <w:rsid w:val="00B167C2"/>
    <w:rsid w:val="00B16A17"/>
    <w:rsid w:val="00B16BE9"/>
    <w:rsid w:val="00B16C05"/>
    <w:rsid w:val="00B16D83"/>
    <w:rsid w:val="00B17185"/>
    <w:rsid w:val="00B171C2"/>
    <w:rsid w:val="00B172D9"/>
    <w:rsid w:val="00B17446"/>
    <w:rsid w:val="00B174DF"/>
    <w:rsid w:val="00B1760C"/>
    <w:rsid w:val="00B178A1"/>
    <w:rsid w:val="00B1794B"/>
    <w:rsid w:val="00B179AA"/>
    <w:rsid w:val="00B17AFC"/>
    <w:rsid w:val="00B17D05"/>
    <w:rsid w:val="00B17DEA"/>
    <w:rsid w:val="00B2022A"/>
    <w:rsid w:val="00B20257"/>
    <w:rsid w:val="00B20274"/>
    <w:rsid w:val="00B20298"/>
    <w:rsid w:val="00B203CB"/>
    <w:rsid w:val="00B20442"/>
    <w:rsid w:val="00B20957"/>
    <w:rsid w:val="00B209C0"/>
    <w:rsid w:val="00B20A66"/>
    <w:rsid w:val="00B20A82"/>
    <w:rsid w:val="00B20B20"/>
    <w:rsid w:val="00B20DC4"/>
    <w:rsid w:val="00B20E94"/>
    <w:rsid w:val="00B20EE9"/>
    <w:rsid w:val="00B20EF8"/>
    <w:rsid w:val="00B20F70"/>
    <w:rsid w:val="00B20FB3"/>
    <w:rsid w:val="00B21221"/>
    <w:rsid w:val="00B21308"/>
    <w:rsid w:val="00B2131D"/>
    <w:rsid w:val="00B21473"/>
    <w:rsid w:val="00B215FA"/>
    <w:rsid w:val="00B2161E"/>
    <w:rsid w:val="00B21624"/>
    <w:rsid w:val="00B216F1"/>
    <w:rsid w:val="00B21840"/>
    <w:rsid w:val="00B219BC"/>
    <w:rsid w:val="00B21B33"/>
    <w:rsid w:val="00B21B4F"/>
    <w:rsid w:val="00B21C65"/>
    <w:rsid w:val="00B21F92"/>
    <w:rsid w:val="00B2203F"/>
    <w:rsid w:val="00B220E0"/>
    <w:rsid w:val="00B221ED"/>
    <w:rsid w:val="00B22277"/>
    <w:rsid w:val="00B22331"/>
    <w:rsid w:val="00B2237A"/>
    <w:rsid w:val="00B22568"/>
    <w:rsid w:val="00B225DE"/>
    <w:rsid w:val="00B22662"/>
    <w:rsid w:val="00B226CF"/>
    <w:rsid w:val="00B2291C"/>
    <w:rsid w:val="00B229D5"/>
    <w:rsid w:val="00B22F80"/>
    <w:rsid w:val="00B23053"/>
    <w:rsid w:val="00B23345"/>
    <w:rsid w:val="00B2345E"/>
    <w:rsid w:val="00B2346A"/>
    <w:rsid w:val="00B23B40"/>
    <w:rsid w:val="00B23D63"/>
    <w:rsid w:val="00B23DBC"/>
    <w:rsid w:val="00B24154"/>
    <w:rsid w:val="00B241A4"/>
    <w:rsid w:val="00B24275"/>
    <w:rsid w:val="00B24290"/>
    <w:rsid w:val="00B242A3"/>
    <w:rsid w:val="00B2443A"/>
    <w:rsid w:val="00B24607"/>
    <w:rsid w:val="00B2499C"/>
    <w:rsid w:val="00B249E4"/>
    <w:rsid w:val="00B24D17"/>
    <w:rsid w:val="00B25036"/>
    <w:rsid w:val="00B2507D"/>
    <w:rsid w:val="00B250A0"/>
    <w:rsid w:val="00B25171"/>
    <w:rsid w:val="00B25189"/>
    <w:rsid w:val="00B252A6"/>
    <w:rsid w:val="00B25324"/>
    <w:rsid w:val="00B253C2"/>
    <w:rsid w:val="00B25868"/>
    <w:rsid w:val="00B258D6"/>
    <w:rsid w:val="00B25940"/>
    <w:rsid w:val="00B25AC1"/>
    <w:rsid w:val="00B25B38"/>
    <w:rsid w:val="00B25B93"/>
    <w:rsid w:val="00B25CA2"/>
    <w:rsid w:val="00B25E9B"/>
    <w:rsid w:val="00B25EFF"/>
    <w:rsid w:val="00B26157"/>
    <w:rsid w:val="00B26178"/>
    <w:rsid w:val="00B2632D"/>
    <w:rsid w:val="00B26381"/>
    <w:rsid w:val="00B2651F"/>
    <w:rsid w:val="00B266F0"/>
    <w:rsid w:val="00B26864"/>
    <w:rsid w:val="00B26923"/>
    <w:rsid w:val="00B26A5E"/>
    <w:rsid w:val="00B26B6F"/>
    <w:rsid w:val="00B26BBE"/>
    <w:rsid w:val="00B26C5F"/>
    <w:rsid w:val="00B26E6B"/>
    <w:rsid w:val="00B26E93"/>
    <w:rsid w:val="00B270AC"/>
    <w:rsid w:val="00B27119"/>
    <w:rsid w:val="00B27135"/>
    <w:rsid w:val="00B272DD"/>
    <w:rsid w:val="00B2731A"/>
    <w:rsid w:val="00B27373"/>
    <w:rsid w:val="00B276AA"/>
    <w:rsid w:val="00B276D0"/>
    <w:rsid w:val="00B2783D"/>
    <w:rsid w:val="00B279D8"/>
    <w:rsid w:val="00B27A1E"/>
    <w:rsid w:val="00B27A6E"/>
    <w:rsid w:val="00B27C9B"/>
    <w:rsid w:val="00B27CEF"/>
    <w:rsid w:val="00B27D32"/>
    <w:rsid w:val="00B302F2"/>
    <w:rsid w:val="00B30428"/>
    <w:rsid w:val="00B30451"/>
    <w:rsid w:val="00B304B3"/>
    <w:rsid w:val="00B30767"/>
    <w:rsid w:val="00B3083D"/>
    <w:rsid w:val="00B309DC"/>
    <w:rsid w:val="00B30A48"/>
    <w:rsid w:val="00B30D61"/>
    <w:rsid w:val="00B311D4"/>
    <w:rsid w:val="00B31447"/>
    <w:rsid w:val="00B314BA"/>
    <w:rsid w:val="00B314D9"/>
    <w:rsid w:val="00B3151C"/>
    <w:rsid w:val="00B31594"/>
    <w:rsid w:val="00B315C4"/>
    <w:rsid w:val="00B31663"/>
    <w:rsid w:val="00B3166E"/>
    <w:rsid w:val="00B316F6"/>
    <w:rsid w:val="00B31993"/>
    <w:rsid w:val="00B31B49"/>
    <w:rsid w:val="00B31CC1"/>
    <w:rsid w:val="00B31E13"/>
    <w:rsid w:val="00B31EAA"/>
    <w:rsid w:val="00B3204F"/>
    <w:rsid w:val="00B32119"/>
    <w:rsid w:val="00B32410"/>
    <w:rsid w:val="00B327D0"/>
    <w:rsid w:val="00B3292E"/>
    <w:rsid w:val="00B32AC2"/>
    <w:rsid w:val="00B32AEF"/>
    <w:rsid w:val="00B32B65"/>
    <w:rsid w:val="00B32E50"/>
    <w:rsid w:val="00B32FEA"/>
    <w:rsid w:val="00B32FF0"/>
    <w:rsid w:val="00B33027"/>
    <w:rsid w:val="00B330B9"/>
    <w:rsid w:val="00B33267"/>
    <w:rsid w:val="00B33619"/>
    <w:rsid w:val="00B3385A"/>
    <w:rsid w:val="00B33A34"/>
    <w:rsid w:val="00B33CA2"/>
    <w:rsid w:val="00B340D9"/>
    <w:rsid w:val="00B3414D"/>
    <w:rsid w:val="00B34209"/>
    <w:rsid w:val="00B342EB"/>
    <w:rsid w:val="00B342F7"/>
    <w:rsid w:val="00B343A1"/>
    <w:rsid w:val="00B343DB"/>
    <w:rsid w:val="00B346A8"/>
    <w:rsid w:val="00B34733"/>
    <w:rsid w:val="00B34AB6"/>
    <w:rsid w:val="00B34BA2"/>
    <w:rsid w:val="00B34D3A"/>
    <w:rsid w:val="00B34D52"/>
    <w:rsid w:val="00B34E2B"/>
    <w:rsid w:val="00B34EA4"/>
    <w:rsid w:val="00B34F89"/>
    <w:rsid w:val="00B3507E"/>
    <w:rsid w:val="00B353D0"/>
    <w:rsid w:val="00B3549B"/>
    <w:rsid w:val="00B35623"/>
    <w:rsid w:val="00B356FD"/>
    <w:rsid w:val="00B357BB"/>
    <w:rsid w:val="00B359BB"/>
    <w:rsid w:val="00B35A36"/>
    <w:rsid w:val="00B35D5F"/>
    <w:rsid w:val="00B35DC5"/>
    <w:rsid w:val="00B35DDA"/>
    <w:rsid w:val="00B35F46"/>
    <w:rsid w:val="00B36484"/>
    <w:rsid w:val="00B364AD"/>
    <w:rsid w:val="00B364BD"/>
    <w:rsid w:val="00B364C0"/>
    <w:rsid w:val="00B3669D"/>
    <w:rsid w:val="00B36826"/>
    <w:rsid w:val="00B36885"/>
    <w:rsid w:val="00B368C6"/>
    <w:rsid w:val="00B36A72"/>
    <w:rsid w:val="00B36A94"/>
    <w:rsid w:val="00B36AEA"/>
    <w:rsid w:val="00B36AF4"/>
    <w:rsid w:val="00B36B85"/>
    <w:rsid w:val="00B37122"/>
    <w:rsid w:val="00B3716D"/>
    <w:rsid w:val="00B37280"/>
    <w:rsid w:val="00B3742F"/>
    <w:rsid w:val="00B3745D"/>
    <w:rsid w:val="00B375A0"/>
    <w:rsid w:val="00B375E7"/>
    <w:rsid w:val="00B37610"/>
    <w:rsid w:val="00B37666"/>
    <w:rsid w:val="00B3782F"/>
    <w:rsid w:val="00B37B07"/>
    <w:rsid w:val="00B37B16"/>
    <w:rsid w:val="00B37F4D"/>
    <w:rsid w:val="00B400CC"/>
    <w:rsid w:val="00B40196"/>
    <w:rsid w:val="00B4026B"/>
    <w:rsid w:val="00B4053E"/>
    <w:rsid w:val="00B40566"/>
    <w:rsid w:val="00B406B1"/>
    <w:rsid w:val="00B40969"/>
    <w:rsid w:val="00B409C1"/>
    <w:rsid w:val="00B40A82"/>
    <w:rsid w:val="00B40C9A"/>
    <w:rsid w:val="00B40DE8"/>
    <w:rsid w:val="00B40E23"/>
    <w:rsid w:val="00B411F2"/>
    <w:rsid w:val="00B4131A"/>
    <w:rsid w:val="00B41356"/>
    <w:rsid w:val="00B416B2"/>
    <w:rsid w:val="00B4185B"/>
    <w:rsid w:val="00B41A0E"/>
    <w:rsid w:val="00B41A33"/>
    <w:rsid w:val="00B41A50"/>
    <w:rsid w:val="00B41D11"/>
    <w:rsid w:val="00B41D62"/>
    <w:rsid w:val="00B41E05"/>
    <w:rsid w:val="00B41FA5"/>
    <w:rsid w:val="00B42051"/>
    <w:rsid w:val="00B42066"/>
    <w:rsid w:val="00B423C4"/>
    <w:rsid w:val="00B4242B"/>
    <w:rsid w:val="00B425DC"/>
    <w:rsid w:val="00B426C7"/>
    <w:rsid w:val="00B42959"/>
    <w:rsid w:val="00B42A4C"/>
    <w:rsid w:val="00B42AF4"/>
    <w:rsid w:val="00B42C6C"/>
    <w:rsid w:val="00B42DAC"/>
    <w:rsid w:val="00B42E26"/>
    <w:rsid w:val="00B42E7B"/>
    <w:rsid w:val="00B42E95"/>
    <w:rsid w:val="00B42ED4"/>
    <w:rsid w:val="00B42F02"/>
    <w:rsid w:val="00B43010"/>
    <w:rsid w:val="00B4305C"/>
    <w:rsid w:val="00B430F0"/>
    <w:rsid w:val="00B43102"/>
    <w:rsid w:val="00B4323D"/>
    <w:rsid w:val="00B43278"/>
    <w:rsid w:val="00B432CC"/>
    <w:rsid w:val="00B4330E"/>
    <w:rsid w:val="00B435AA"/>
    <w:rsid w:val="00B435D9"/>
    <w:rsid w:val="00B4379D"/>
    <w:rsid w:val="00B437FD"/>
    <w:rsid w:val="00B4382E"/>
    <w:rsid w:val="00B438DF"/>
    <w:rsid w:val="00B43976"/>
    <w:rsid w:val="00B439FB"/>
    <w:rsid w:val="00B43B10"/>
    <w:rsid w:val="00B43D39"/>
    <w:rsid w:val="00B43DE3"/>
    <w:rsid w:val="00B43DF7"/>
    <w:rsid w:val="00B43E91"/>
    <w:rsid w:val="00B43EBA"/>
    <w:rsid w:val="00B43EBF"/>
    <w:rsid w:val="00B43F71"/>
    <w:rsid w:val="00B43F85"/>
    <w:rsid w:val="00B43FE5"/>
    <w:rsid w:val="00B440F0"/>
    <w:rsid w:val="00B4425A"/>
    <w:rsid w:val="00B44292"/>
    <w:rsid w:val="00B443F0"/>
    <w:rsid w:val="00B4452F"/>
    <w:rsid w:val="00B445E5"/>
    <w:rsid w:val="00B4475E"/>
    <w:rsid w:val="00B448FA"/>
    <w:rsid w:val="00B449EF"/>
    <w:rsid w:val="00B44AE6"/>
    <w:rsid w:val="00B44AED"/>
    <w:rsid w:val="00B44C14"/>
    <w:rsid w:val="00B44D2C"/>
    <w:rsid w:val="00B45473"/>
    <w:rsid w:val="00B45977"/>
    <w:rsid w:val="00B45C01"/>
    <w:rsid w:val="00B45D52"/>
    <w:rsid w:val="00B45E7C"/>
    <w:rsid w:val="00B45F15"/>
    <w:rsid w:val="00B45F21"/>
    <w:rsid w:val="00B4610E"/>
    <w:rsid w:val="00B46416"/>
    <w:rsid w:val="00B46595"/>
    <w:rsid w:val="00B46605"/>
    <w:rsid w:val="00B4661C"/>
    <w:rsid w:val="00B466CA"/>
    <w:rsid w:val="00B4679E"/>
    <w:rsid w:val="00B467BE"/>
    <w:rsid w:val="00B46972"/>
    <w:rsid w:val="00B4699B"/>
    <w:rsid w:val="00B469E0"/>
    <w:rsid w:val="00B46AB8"/>
    <w:rsid w:val="00B46AEA"/>
    <w:rsid w:val="00B46FF7"/>
    <w:rsid w:val="00B470E7"/>
    <w:rsid w:val="00B475D2"/>
    <w:rsid w:val="00B476BE"/>
    <w:rsid w:val="00B476E0"/>
    <w:rsid w:val="00B476FF"/>
    <w:rsid w:val="00B47707"/>
    <w:rsid w:val="00B47725"/>
    <w:rsid w:val="00B47769"/>
    <w:rsid w:val="00B4781E"/>
    <w:rsid w:val="00B4794A"/>
    <w:rsid w:val="00B479F9"/>
    <w:rsid w:val="00B47C33"/>
    <w:rsid w:val="00B47C91"/>
    <w:rsid w:val="00B47DEC"/>
    <w:rsid w:val="00B47DED"/>
    <w:rsid w:val="00B500C2"/>
    <w:rsid w:val="00B500E5"/>
    <w:rsid w:val="00B5030F"/>
    <w:rsid w:val="00B50474"/>
    <w:rsid w:val="00B50561"/>
    <w:rsid w:val="00B5063D"/>
    <w:rsid w:val="00B50802"/>
    <w:rsid w:val="00B508FF"/>
    <w:rsid w:val="00B50B28"/>
    <w:rsid w:val="00B50B9D"/>
    <w:rsid w:val="00B50CCC"/>
    <w:rsid w:val="00B50CE8"/>
    <w:rsid w:val="00B50CF4"/>
    <w:rsid w:val="00B50DB7"/>
    <w:rsid w:val="00B50E91"/>
    <w:rsid w:val="00B511CA"/>
    <w:rsid w:val="00B5127F"/>
    <w:rsid w:val="00B51292"/>
    <w:rsid w:val="00B5139C"/>
    <w:rsid w:val="00B513D3"/>
    <w:rsid w:val="00B5146D"/>
    <w:rsid w:val="00B51615"/>
    <w:rsid w:val="00B51678"/>
    <w:rsid w:val="00B5168A"/>
    <w:rsid w:val="00B5177F"/>
    <w:rsid w:val="00B5181F"/>
    <w:rsid w:val="00B5189D"/>
    <w:rsid w:val="00B519C3"/>
    <w:rsid w:val="00B519F8"/>
    <w:rsid w:val="00B51BFF"/>
    <w:rsid w:val="00B51CF1"/>
    <w:rsid w:val="00B51D15"/>
    <w:rsid w:val="00B51D82"/>
    <w:rsid w:val="00B51DAB"/>
    <w:rsid w:val="00B51EA1"/>
    <w:rsid w:val="00B51FFC"/>
    <w:rsid w:val="00B5205D"/>
    <w:rsid w:val="00B52250"/>
    <w:rsid w:val="00B522C3"/>
    <w:rsid w:val="00B522CB"/>
    <w:rsid w:val="00B526FB"/>
    <w:rsid w:val="00B52933"/>
    <w:rsid w:val="00B5293C"/>
    <w:rsid w:val="00B529F6"/>
    <w:rsid w:val="00B52AFA"/>
    <w:rsid w:val="00B530CB"/>
    <w:rsid w:val="00B5317B"/>
    <w:rsid w:val="00B53311"/>
    <w:rsid w:val="00B533FE"/>
    <w:rsid w:val="00B5345E"/>
    <w:rsid w:val="00B5348B"/>
    <w:rsid w:val="00B534AD"/>
    <w:rsid w:val="00B53544"/>
    <w:rsid w:val="00B5359D"/>
    <w:rsid w:val="00B5359E"/>
    <w:rsid w:val="00B5364E"/>
    <w:rsid w:val="00B539F4"/>
    <w:rsid w:val="00B53BCB"/>
    <w:rsid w:val="00B53C4E"/>
    <w:rsid w:val="00B53CA3"/>
    <w:rsid w:val="00B53D29"/>
    <w:rsid w:val="00B53D84"/>
    <w:rsid w:val="00B53F23"/>
    <w:rsid w:val="00B540B2"/>
    <w:rsid w:val="00B540DB"/>
    <w:rsid w:val="00B543C4"/>
    <w:rsid w:val="00B544DE"/>
    <w:rsid w:val="00B545B1"/>
    <w:rsid w:val="00B54632"/>
    <w:rsid w:val="00B5478A"/>
    <w:rsid w:val="00B54828"/>
    <w:rsid w:val="00B54845"/>
    <w:rsid w:val="00B5499B"/>
    <w:rsid w:val="00B549DC"/>
    <w:rsid w:val="00B54A07"/>
    <w:rsid w:val="00B54A0A"/>
    <w:rsid w:val="00B54B53"/>
    <w:rsid w:val="00B54D7D"/>
    <w:rsid w:val="00B54DD5"/>
    <w:rsid w:val="00B54E0C"/>
    <w:rsid w:val="00B54E60"/>
    <w:rsid w:val="00B54EF9"/>
    <w:rsid w:val="00B54F39"/>
    <w:rsid w:val="00B54FB8"/>
    <w:rsid w:val="00B54FF1"/>
    <w:rsid w:val="00B55068"/>
    <w:rsid w:val="00B550F7"/>
    <w:rsid w:val="00B55196"/>
    <w:rsid w:val="00B5538C"/>
    <w:rsid w:val="00B555B7"/>
    <w:rsid w:val="00B556B6"/>
    <w:rsid w:val="00B5573C"/>
    <w:rsid w:val="00B55838"/>
    <w:rsid w:val="00B55A5D"/>
    <w:rsid w:val="00B55C80"/>
    <w:rsid w:val="00B55D00"/>
    <w:rsid w:val="00B55E4F"/>
    <w:rsid w:val="00B55FBB"/>
    <w:rsid w:val="00B55FF0"/>
    <w:rsid w:val="00B56065"/>
    <w:rsid w:val="00B5610B"/>
    <w:rsid w:val="00B565AD"/>
    <w:rsid w:val="00B567A1"/>
    <w:rsid w:val="00B567C4"/>
    <w:rsid w:val="00B568E7"/>
    <w:rsid w:val="00B56B5C"/>
    <w:rsid w:val="00B56B81"/>
    <w:rsid w:val="00B56BAC"/>
    <w:rsid w:val="00B56BD1"/>
    <w:rsid w:val="00B56E3C"/>
    <w:rsid w:val="00B56E95"/>
    <w:rsid w:val="00B56FFE"/>
    <w:rsid w:val="00B5710A"/>
    <w:rsid w:val="00B57375"/>
    <w:rsid w:val="00B57387"/>
    <w:rsid w:val="00B57402"/>
    <w:rsid w:val="00B5743A"/>
    <w:rsid w:val="00B57490"/>
    <w:rsid w:val="00B57677"/>
    <w:rsid w:val="00B57821"/>
    <w:rsid w:val="00B57987"/>
    <w:rsid w:val="00B57A42"/>
    <w:rsid w:val="00B57DC2"/>
    <w:rsid w:val="00B57E69"/>
    <w:rsid w:val="00B6005D"/>
    <w:rsid w:val="00B6014A"/>
    <w:rsid w:val="00B603B1"/>
    <w:rsid w:val="00B6046A"/>
    <w:rsid w:val="00B605BC"/>
    <w:rsid w:val="00B605F3"/>
    <w:rsid w:val="00B6067D"/>
    <w:rsid w:val="00B606E7"/>
    <w:rsid w:val="00B6090F"/>
    <w:rsid w:val="00B60930"/>
    <w:rsid w:val="00B60A26"/>
    <w:rsid w:val="00B60EFA"/>
    <w:rsid w:val="00B6107D"/>
    <w:rsid w:val="00B6115B"/>
    <w:rsid w:val="00B61201"/>
    <w:rsid w:val="00B61425"/>
    <w:rsid w:val="00B61446"/>
    <w:rsid w:val="00B6154F"/>
    <w:rsid w:val="00B61563"/>
    <w:rsid w:val="00B617C2"/>
    <w:rsid w:val="00B6181B"/>
    <w:rsid w:val="00B61843"/>
    <w:rsid w:val="00B618AA"/>
    <w:rsid w:val="00B61A3C"/>
    <w:rsid w:val="00B61A64"/>
    <w:rsid w:val="00B61C20"/>
    <w:rsid w:val="00B61CA9"/>
    <w:rsid w:val="00B620AC"/>
    <w:rsid w:val="00B62121"/>
    <w:rsid w:val="00B6227E"/>
    <w:rsid w:val="00B622CB"/>
    <w:rsid w:val="00B6237A"/>
    <w:rsid w:val="00B62393"/>
    <w:rsid w:val="00B623FB"/>
    <w:rsid w:val="00B6242B"/>
    <w:rsid w:val="00B62747"/>
    <w:rsid w:val="00B628B6"/>
    <w:rsid w:val="00B62A3F"/>
    <w:rsid w:val="00B62BC8"/>
    <w:rsid w:val="00B62D03"/>
    <w:rsid w:val="00B62D27"/>
    <w:rsid w:val="00B62D2C"/>
    <w:rsid w:val="00B62D4A"/>
    <w:rsid w:val="00B62D8F"/>
    <w:rsid w:val="00B62E4E"/>
    <w:rsid w:val="00B62F9D"/>
    <w:rsid w:val="00B62FD9"/>
    <w:rsid w:val="00B6302C"/>
    <w:rsid w:val="00B6309F"/>
    <w:rsid w:val="00B631BA"/>
    <w:rsid w:val="00B631ED"/>
    <w:rsid w:val="00B6325F"/>
    <w:rsid w:val="00B632B7"/>
    <w:rsid w:val="00B63441"/>
    <w:rsid w:val="00B6386C"/>
    <w:rsid w:val="00B63896"/>
    <w:rsid w:val="00B63A8E"/>
    <w:rsid w:val="00B63B92"/>
    <w:rsid w:val="00B63D4E"/>
    <w:rsid w:val="00B63D85"/>
    <w:rsid w:val="00B63EBF"/>
    <w:rsid w:val="00B63F91"/>
    <w:rsid w:val="00B6429E"/>
    <w:rsid w:val="00B64384"/>
    <w:rsid w:val="00B6458D"/>
    <w:rsid w:val="00B6464A"/>
    <w:rsid w:val="00B647CC"/>
    <w:rsid w:val="00B64882"/>
    <w:rsid w:val="00B64897"/>
    <w:rsid w:val="00B648A2"/>
    <w:rsid w:val="00B64940"/>
    <w:rsid w:val="00B6495B"/>
    <w:rsid w:val="00B649A1"/>
    <w:rsid w:val="00B649D3"/>
    <w:rsid w:val="00B64AAA"/>
    <w:rsid w:val="00B64AAE"/>
    <w:rsid w:val="00B64BFC"/>
    <w:rsid w:val="00B64C7E"/>
    <w:rsid w:val="00B64E73"/>
    <w:rsid w:val="00B64ED4"/>
    <w:rsid w:val="00B64F90"/>
    <w:rsid w:val="00B64FA3"/>
    <w:rsid w:val="00B64FC2"/>
    <w:rsid w:val="00B65066"/>
    <w:rsid w:val="00B65098"/>
    <w:rsid w:val="00B6515B"/>
    <w:rsid w:val="00B65166"/>
    <w:rsid w:val="00B651C1"/>
    <w:rsid w:val="00B651CE"/>
    <w:rsid w:val="00B652C5"/>
    <w:rsid w:val="00B6530D"/>
    <w:rsid w:val="00B65340"/>
    <w:rsid w:val="00B65359"/>
    <w:rsid w:val="00B653DA"/>
    <w:rsid w:val="00B655C3"/>
    <w:rsid w:val="00B65609"/>
    <w:rsid w:val="00B65802"/>
    <w:rsid w:val="00B6585A"/>
    <w:rsid w:val="00B658D6"/>
    <w:rsid w:val="00B65941"/>
    <w:rsid w:val="00B65BB8"/>
    <w:rsid w:val="00B65C74"/>
    <w:rsid w:val="00B65D4D"/>
    <w:rsid w:val="00B65EEA"/>
    <w:rsid w:val="00B65F03"/>
    <w:rsid w:val="00B66179"/>
    <w:rsid w:val="00B66398"/>
    <w:rsid w:val="00B664EA"/>
    <w:rsid w:val="00B66501"/>
    <w:rsid w:val="00B665BC"/>
    <w:rsid w:val="00B666D9"/>
    <w:rsid w:val="00B668DF"/>
    <w:rsid w:val="00B66A53"/>
    <w:rsid w:val="00B66C06"/>
    <w:rsid w:val="00B66CE2"/>
    <w:rsid w:val="00B66D9D"/>
    <w:rsid w:val="00B66E32"/>
    <w:rsid w:val="00B66EFF"/>
    <w:rsid w:val="00B67099"/>
    <w:rsid w:val="00B670A2"/>
    <w:rsid w:val="00B675E0"/>
    <w:rsid w:val="00B67636"/>
    <w:rsid w:val="00B67A58"/>
    <w:rsid w:val="00B67AD8"/>
    <w:rsid w:val="00B67BBD"/>
    <w:rsid w:val="00B67D33"/>
    <w:rsid w:val="00B70066"/>
    <w:rsid w:val="00B701B1"/>
    <w:rsid w:val="00B701EF"/>
    <w:rsid w:val="00B7028B"/>
    <w:rsid w:val="00B7029C"/>
    <w:rsid w:val="00B70342"/>
    <w:rsid w:val="00B7050E"/>
    <w:rsid w:val="00B70726"/>
    <w:rsid w:val="00B70B1E"/>
    <w:rsid w:val="00B70B2F"/>
    <w:rsid w:val="00B70DE7"/>
    <w:rsid w:val="00B70E06"/>
    <w:rsid w:val="00B70E20"/>
    <w:rsid w:val="00B70E4B"/>
    <w:rsid w:val="00B70FEB"/>
    <w:rsid w:val="00B71086"/>
    <w:rsid w:val="00B710FE"/>
    <w:rsid w:val="00B71209"/>
    <w:rsid w:val="00B71220"/>
    <w:rsid w:val="00B71537"/>
    <w:rsid w:val="00B7157E"/>
    <w:rsid w:val="00B71631"/>
    <w:rsid w:val="00B71730"/>
    <w:rsid w:val="00B71875"/>
    <w:rsid w:val="00B7193A"/>
    <w:rsid w:val="00B71D2C"/>
    <w:rsid w:val="00B71EDC"/>
    <w:rsid w:val="00B71F7F"/>
    <w:rsid w:val="00B71F8E"/>
    <w:rsid w:val="00B7211B"/>
    <w:rsid w:val="00B72158"/>
    <w:rsid w:val="00B72293"/>
    <w:rsid w:val="00B722BE"/>
    <w:rsid w:val="00B722F2"/>
    <w:rsid w:val="00B723FC"/>
    <w:rsid w:val="00B72514"/>
    <w:rsid w:val="00B72528"/>
    <w:rsid w:val="00B72953"/>
    <w:rsid w:val="00B72A52"/>
    <w:rsid w:val="00B72A7C"/>
    <w:rsid w:val="00B72D82"/>
    <w:rsid w:val="00B72F29"/>
    <w:rsid w:val="00B730DB"/>
    <w:rsid w:val="00B73408"/>
    <w:rsid w:val="00B73446"/>
    <w:rsid w:val="00B7355D"/>
    <w:rsid w:val="00B7364B"/>
    <w:rsid w:val="00B7376F"/>
    <w:rsid w:val="00B73951"/>
    <w:rsid w:val="00B73D99"/>
    <w:rsid w:val="00B74164"/>
    <w:rsid w:val="00B74253"/>
    <w:rsid w:val="00B7440E"/>
    <w:rsid w:val="00B745F3"/>
    <w:rsid w:val="00B74665"/>
    <w:rsid w:val="00B74774"/>
    <w:rsid w:val="00B747E1"/>
    <w:rsid w:val="00B748BD"/>
    <w:rsid w:val="00B748D3"/>
    <w:rsid w:val="00B74BD0"/>
    <w:rsid w:val="00B74F06"/>
    <w:rsid w:val="00B74FFA"/>
    <w:rsid w:val="00B750D0"/>
    <w:rsid w:val="00B75177"/>
    <w:rsid w:val="00B75242"/>
    <w:rsid w:val="00B7560B"/>
    <w:rsid w:val="00B75776"/>
    <w:rsid w:val="00B75986"/>
    <w:rsid w:val="00B75994"/>
    <w:rsid w:val="00B75B1F"/>
    <w:rsid w:val="00B75BE5"/>
    <w:rsid w:val="00B75DC2"/>
    <w:rsid w:val="00B75E31"/>
    <w:rsid w:val="00B75F19"/>
    <w:rsid w:val="00B7604B"/>
    <w:rsid w:val="00B7609D"/>
    <w:rsid w:val="00B76373"/>
    <w:rsid w:val="00B7652C"/>
    <w:rsid w:val="00B7665C"/>
    <w:rsid w:val="00B7684A"/>
    <w:rsid w:val="00B7690E"/>
    <w:rsid w:val="00B7692A"/>
    <w:rsid w:val="00B769ED"/>
    <w:rsid w:val="00B769F0"/>
    <w:rsid w:val="00B76BDA"/>
    <w:rsid w:val="00B76BFA"/>
    <w:rsid w:val="00B76EB7"/>
    <w:rsid w:val="00B76F06"/>
    <w:rsid w:val="00B7708E"/>
    <w:rsid w:val="00B773EA"/>
    <w:rsid w:val="00B7748E"/>
    <w:rsid w:val="00B77513"/>
    <w:rsid w:val="00B77544"/>
    <w:rsid w:val="00B77963"/>
    <w:rsid w:val="00B77B5E"/>
    <w:rsid w:val="00B77BEB"/>
    <w:rsid w:val="00B77C95"/>
    <w:rsid w:val="00B77CA0"/>
    <w:rsid w:val="00B77E95"/>
    <w:rsid w:val="00B77EF7"/>
    <w:rsid w:val="00B801FB"/>
    <w:rsid w:val="00B802D9"/>
    <w:rsid w:val="00B803C0"/>
    <w:rsid w:val="00B80418"/>
    <w:rsid w:val="00B80474"/>
    <w:rsid w:val="00B80AC6"/>
    <w:rsid w:val="00B80B15"/>
    <w:rsid w:val="00B80B55"/>
    <w:rsid w:val="00B80BB1"/>
    <w:rsid w:val="00B80CF7"/>
    <w:rsid w:val="00B80DD7"/>
    <w:rsid w:val="00B80EC6"/>
    <w:rsid w:val="00B80F10"/>
    <w:rsid w:val="00B80F68"/>
    <w:rsid w:val="00B810E2"/>
    <w:rsid w:val="00B812D6"/>
    <w:rsid w:val="00B8130D"/>
    <w:rsid w:val="00B8147A"/>
    <w:rsid w:val="00B8162F"/>
    <w:rsid w:val="00B817D5"/>
    <w:rsid w:val="00B8180E"/>
    <w:rsid w:val="00B81826"/>
    <w:rsid w:val="00B81847"/>
    <w:rsid w:val="00B81952"/>
    <w:rsid w:val="00B81E6E"/>
    <w:rsid w:val="00B82195"/>
    <w:rsid w:val="00B8254B"/>
    <w:rsid w:val="00B825CD"/>
    <w:rsid w:val="00B82648"/>
    <w:rsid w:val="00B82843"/>
    <w:rsid w:val="00B8292C"/>
    <w:rsid w:val="00B82B38"/>
    <w:rsid w:val="00B82E76"/>
    <w:rsid w:val="00B82EEB"/>
    <w:rsid w:val="00B82F4C"/>
    <w:rsid w:val="00B830C2"/>
    <w:rsid w:val="00B83240"/>
    <w:rsid w:val="00B832E0"/>
    <w:rsid w:val="00B83432"/>
    <w:rsid w:val="00B8345D"/>
    <w:rsid w:val="00B83502"/>
    <w:rsid w:val="00B8350A"/>
    <w:rsid w:val="00B8354D"/>
    <w:rsid w:val="00B83747"/>
    <w:rsid w:val="00B837D0"/>
    <w:rsid w:val="00B838B0"/>
    <w:rsid w:val="00B83A04"/>
    <w:rsid w:val="00B83A61"/>
    <w:rsid w:val="00B83A7E"/>
    <w:rsid w:val="00B83AD7"/>
    <w:rsid w:val="00B83C41"/>
    <w:rsid w:val="00B83C76"/>
    <w:rsid w:val="00B83D18"/>
    <w:rsid w:val="00B83E0E"/>
    <w:rsid w:val="00B83F59"/>
    <w:rsid w:val="00B83F7A"/>
    <w:rsid w:val="00B83F7E"/>
    <w:rsid w:val="00B83FEC"/>
    <w:rsid w:val="00B84025"/>
    <w:rsid w:val="00B840B1"/>
    <w:rsid w:val="00B84142"/>
    <w:rsid w:val="00B843C8"/>
    <w:rsid w:val="00B84596"/>
    <w:rsid w:val="00B84643"/>
    <w:rsid w:val="00B8478F"/>
    <w:rsid w:val="00B8481D"/>
    <w:rsid w:val="00B8483F"/>
    <w:rsid w:val="00B84A59"/>
    <w:rsid w:val="00B84B41"/>
    <w:rsid w:val="00B84BA0"/>
    <w:rsid w:val="00B84C8E"/>
    <w:rsid w:val="00B85042"/>
    <w:rsid w:val="00B8504B"/>
    <w:rsid w:val="00B851DB"/>
    <w:rsid w:val="00B85445"/>
    <w:rsid w:val="00B8567E"/>
    <w:rsid w:val="00B8571B"/>
    <w:rsid w:val="00B85756"/>
    <w:rsid w:val="00B8575B"/>
    <w:rsid w:val="00B8584A"/>
    <w:rsid w:val="00B858DA"/>
    <w:rsid w:val="00B85B96"/>
    <w:rsid w:val="00B85C2B"/>
    <w:rsid w:val="00B85D9B"/>
    <w:rsid w:val="00B85DC0"/>
    <w:rsid w:val="00B85E2F"/>
    <w:rsid w:val="00B85EEE"/>
    <w:rsid w:val="00B85F38"/>
    <w:rsid w:val="00B85FE8"/>
    <w:rsid w:val="00B86311"/>
    <w:rsid w:val="00B86384"/>
    <w:rsid w:val="00B86429"/>
    <w:rsid w:val="00B864FB"/>
    <w:rsid w:val="00B86634"/>
    <w:rsid w:val="00B86642"/>
    <w:rsid w:val="00B866DB"/>
    <w:rsid w:val="00B8694C"/>
    <w:rsid w:val="00B86974"/>
    <w:rsid w:val="00B86ACF"/>
    <w:rsid w:val="00B86B94"/>
    <w:rsid w:val="00B86DB2"/>
    <w:rsid w:val="00B86FED"/>
    <w:rsid w:val="00B8700F"/>
    <w:rsid w:val="00B8712F"/>
    <w:rsid w:val="00B871D2"/>
    <w:rsid w:val="00B87357"/>
    <w:rsid w:val="00B873AB"/>
    <w:rsid w:val="00B873C6"/>
    <w:rsid w:val="00B87494"/>
    <w:rsid w:val="00B874C7"/>
    <w:rsid w:val="00B8755C"/>
    <w:rsid w:val="00B87582"/>
    <w:rsid w:val="00B8760D"/>
    <w:rsid w:val="00B8768D"/>
    <w:rsid w:val="00B876AB"/>
    <w:rsid w:val="00B87C85"/>
    <w:rsid w:val="00B87D19"/>
    <w:rsid w:val="00B87E03"/>
    <w:rsid w:val="00B9011C"/>
    <w:rsid w:val="00B9013F"/>
    <w:rsid w:val="00B90188"/>
    <w:rsid w:val="00B90189"/>
    <w:rsid w:val="00B90631"/>
    <w:rsid w:val="00B907A8"/>
    <w:rsid w:val="00B90833"/>
    <w:rsid w:val="00B909C6"/>
    <w:rsid w:val="00B90C83"/>
    <w:rsid w:val="00B90D7A"/>
    <w:rsid w:val="00B90EC0"/>
    <w:rsid w:val="00B90FE1"/>
    <w:rsid w:val="00B9110D"/>
    <w:rsid w:val="00B91149"/>
    <w:rsid w:val="00B911C2"/>
    <w:rsid w:val="00B91302"/>
    <w:rsid w:val="00B91470"/>
    <w:rsid w:val="00B91599"/>
    <w:rsid w:val="00B91619"/>
    <w:rsid w:val="00B91683"/>
    <w:rsid w:val="00B916BE"/>
    <w:rsid w:val="00B9175A"/>
    <w:rsid w:val="00B917EF"/>
    <w:rsid w:val="00B91921"/>
    <w:rsid w:val="00B919E5"/>
    <w:rsid w:val="00B91AD3"/>
    <w:rsid w:val="00B91ADB"/>
    <w:rsid w:val="00B91D45"/>
    <w:rsid w:val="00B91E2E"/>
    <w:rsid w:val="00B92012"/>
    <w:rsid w:val="00B920D5"/>
    <w:rsid w:val="00B92279"/>
    <w:rsid w:val="00B92331"/>
    <w:rsid w:val="00B92466"/>
    <w:rsid w:val="00B92589"/>
    <w:rsid w:val="00B92889"/>
    <w:rsid w:val="00B92906"/>
    <w:rsid w:val="00B92AE3"/>
    <w:rsid w:val="00B92E4D"/>
    <w:rsid w:val="00B92E73"/>
    <w:rsid w:val="00B9308B"/>
    <w:rsid w:val="00B93265"/>
    <w:rsid w:val="00B933BF"/>
    <w:rsid w:val="00B9365D"/>
    <w:rsid w:val="00B93665"/>
    <w:rsid w:val="00B9389E"/>
    <w:rsid w:val="00B93F51"/>
    <w:rsid w:val="00B94035"/>
    <w:rsid w:val="00B943BD"/>
    <w:rsid w:val="00B94605"/>
    <w:rsid w:val="00B94811"/>
    <w:rsid w:val="00B94A3F"/>
    <w:rsid w:val="00B94C23"/>
    <w:rsid w:val="00B94C50"/>
    <w:rsid w:val="00B94E62"/>
    <w:rsid w:val="00B94F86"/>
    <w:rsid w:val="00B94FB4"/>
    <w:rsid w:val="00B94FE1"/>
    <w:rsid w:val="00B950BD"/>
    <w:rsid w:val="00B951C8"/>
    <w:rsid w:val="00B9538E"/>
    <w:rsid w:val="00B956B9"/>
    <w:rsid w:val="00B95841"/>
    <w:rsid w:val="00B958AD"/>
    <w:rsid w:val="00B95A48"/>
    <w:rsid w:val="00B95BD8"/>
    <w:rsid w:val="00B95C45"/>
    <w:rsid w:val="00B95D4A"/>
    <w:rsid w:val="00B95DB6"/>
    <w:rsid w:val="00B95E10"/>
    <w:rsid w:val="00B95F26"/>
    <w:rsid w:val="00B95F51"/>
    <w:rsid w:val="00B95F68"/>
    <w:rsid w:val="00B96091"/>
    <w:rsid w:val="00B960DB"/>
    <w:rsid w:val="00B96103"/>
    <w:rsid w:val="00B96116"/>
    <w:rsid w:val="00B9617E"/>
    <w:rsid w:val="00B9624D"/>
    <w:rsid w:val="00B96279"/>
    <w:rsid w:val="00B96284"/>
    <w:rsid w:val="00B96386"/>
    <w:rsid w:val="00B96448"/>
    <w:rsid w:val="00B964CE"/>
    <w:rsid w:val="00B964DE"/>
    <w:rsid w:val="00B964E4"/>
    <w:rsid w:val="00B966DF"/>
    <w:rsid w:val="00B969AC"/>
    <w:rsid w:val="00B96B68"/>
    <w:rsid w:val="00B96DDC"/>
    <w:rsid w:val="00B96EA2"/>
    <w:rsid w:val="00B96EC9"/>
    <w:rsid w:val="00B9706F"/>
    <w:rsid w:val="00B9709E"/>
    <w:rsid w:val="00B972E0"/>
    <w:rsid w:val="00B97387"/>
    <w:rsid w:val="00B9747A"/>
    <w:rsid w:val="00B974BC"/>
    <w:rsid w:val="00B974D4"/>
    <w:rsid w:val="00B97533"/>
    <w:rsid w:val="00B9774B"/>
    <w:rsid w:val="00B9784D"/>
    <w:rsid w:val="00B97AFC"/>
    <w:rsid w:val="00B97B61"/>
    <w:rsid w:val="00B97B86"/>
    <w:rsid w:val="00B97BD8"/>
    <w:rsid w:val="00B97CE9"/>
    <w:rsid w:val="00B97F06"/>
    <w:rsid w:val="00BA01EB"/>
    <w:rsid w:val="00BA0380"/>
    <w:rsid w:val="00BA040A"/>
    <w:rsid w:val="00BA05D2"/>
    <w:rsid w:val="00BA0743"/>
    <w:rsid w:val="00BA07DA"/>
    <w:rsid w:val="00BA0846"/>
    <w:rsid w:val="00BA0B8B"/>
    <w:rsid w:val="00BA0C9F"/>
    <w:rsid w:val="00BA0FF5"/>
    <w:rsid w:val="00BA1001"/>
    <w:rsid w:val="00BA1005"/>
    <w:rsid w:val="00BA11F3"/>
    <w:rsid w:val="00BA1264"/>
    <w:rsid w:val="00BA1388"/>
    <w:rsid w:val="00BA149B"/>
    <w:rsid w:val="00BA1686"/>
    <w:rsid w:val="00BA1696"/>
    <w:rsid w:val="00BA1842"/>
    <w:rsid w:val="00BA18D4"/>
    <w:rsid w:val="00BA19F3"/>
    <w:rsid w:val="00BA1A08"/>
    <w:rsid w:val="00BA1AEC"/>
    <w:rsid w:val="00BA1B73"/>
    <w:rsid w:val="00BA1D08"/>
    <w:rsid w:val="00BA1D0C"/>
    <w:rsid w:val="00BA1DA8"/>
    <w:rsid w:val="00BA1DD2"/>
    <w:rsid w:val="00BA1E1C"/>
    <w:rsid w:val="00BA1EFE"/>
    <w:rsid w:val="00BA2090"/>
    <w:rsid w:val="00BA220A"/>
    <w:rsid w:val="00BA2392"/>
    <w:rsid w:val="00BA26D9"/>
    <w:rsid w:val="00BA2786"/>
    <w:rsid w:val="00BA28AB"/>
    <w:rsid w:val="00BA29B6"/>
    <w:rsid w:val="00BA2B2F"/>
    <w:rsid w:val="00BA2FA6"/>
    <w:rsid w:val="00BA313F"/>
    <w:rsid w:val="00BA32C4"/>
    <w:rsid w:val="00BA32E1"/>
    <w:rsid w:val="00BA3467"/>
    <w:rsid w:val="00BA352C"/>
    <w:rsid w:val="00BA36F2"/>
    <w:rsid w:val="00BA39E8"/>
    <w:rsid w:val="00BA3D54"/>
    <w:rsid w:val="00BA3FC0"/>
    <w:rsid w:val="00BA4019"/>
    <w:rsid w:val="00BA40D8"/>
    <w:rsid w:val="00BA42ED"/>
    <w:rsid w:val="00BA449D"/>
    <w:rsid w:val="00BA4800"/>
    <w:rsid w:val="00BA48C6"/>
    <w:rsid w:val="00BA492B"/>
    <w:rsid w:val="00BA4AA7"/>
    <w:rsid w:val="00BA4D19"/>
    <w:rsid w:val="00BA4D74"/>
    <w:rsid w:val="00BA4F13"/>
    <w:rsid w:val="00BA5052"/>
    <w:rsid w:val="00BA5073"/>
    <w:rsid w:val="00BA53AC"/>
    <w:rsid w:val="00BA546E"/>
    <w:rsid w:val="00BA54E8"/>
    <w:rsid w:val="00BA55E8"/>
    <w:rsid w:val="00BA5639"/>
    <w:rsid w:val="00BA5722"/>
    <w:rsid w:val="00BA57B0"/>
    <w:rsid w:val="00BA597E"/>
    <w:rsid w:val="00BA59F4"/>
    <w:rsid w:val="00BA5A50"/>
    <w:rsid w:val="00BA5BAA"/>
    <w:rsid w:val="00BA5BD8"/>
    <w:rsid w:val="00BA5CFD"/>
    <w:rsid w:val="00BA5DC7"/>
    <w:rsid w:val="00BA5E8F"/>
    <w:rsid w:val="00BA5F3C"/>
    <w:rsid w:val="00BA6142"/>
    <w:rsid w:val="00BA6172"/>
    <w:rsid w:val="00BA61F6"/>
    <w:rsid w:val="00BA623D"/>
    <w:rsid w:val="00BA6445"/>
    <w:rsid w:val="00BA64AF"/>
    <w:rsid w:val="00BA6507"/>
    <w:rsid w:val="00BA6518"/>
    <w:rsid w:val="00BA6973"/>
    <w:rsid w:val="00BA69D6"/>
    <w:rsid w:val="00BA6B68"/>
    <w:rsid w:val="00BA6C51"/>
    <w:rsid w:val="00BA6C56"/>
    <w:rsid w:val="00BA6D85"/>
    <w:rsid w:val="00BA6E0A"/>
    <w:rsid w:val="00BA6E62"/>
    <w:rsid w:val="00BA6E79"/>
    <w:rsid w:val="00BA7136"/>
    <w:rsid w:val="00BA72B9"/>
    <w:rsid w:val="00BA7397"/>
    <w:rsid w:val="00BA74DD"/>
    <w:rsid w:val="00BA773C"/>
    <w:rsid w:val="00BA79BB"/>
    <w:rsid w:val="00BA7A63"/>
    <w:rsid w:val="00BA7C89"/>
    <w:rsid w:val="00BA7D1A"/>
    <w:rsid w:val="00BA7DD4"/>
    <w:rsid w:val="00BA7EFD"/>
    <w:rsid w:val="00BA7F64"/>
    <w:rsid w:val="00BB0023"/>
    <w:rsid w:val="00BB007A"/>
    <w:rsid w:val="00BB00BB"/>
    <w:rsid w:val="00BB0135"/>
    <w:rsid w:val="00BB0362"/>
    <w:rsid w:val="00BB056F"/>
    <w:rsid w:val="00BB06C0"/>
    <w:rsid w:val="00BB06F6"/>
    <w:rsid w:val="00BB07DE"/>
    <w:rsid w:val="00BB08D2"/>
    <w:rsid w:val="00BB0976"/>
    <w:rsid w:val="00BB0A39"/>
    <w:rsid w:val="00BB0B37"/>
    <w:rsid w:val="00BB0C4A"/>
    <w:rsid w:val="00BB0CB1"/>
    <w:rsid w:val="00BB0EA1"/>
    <w:rsid w:val="00BB104C"/>
    <w:rsid w:val="00BB10CB"/>
    <w:rsid w:val="00BB1109"/>
    <w:rsid w:val="00BB1121"/>
    <w:rsid w:val="00BB1183"/>
    <w:rsid w:val="00BB11D1"/>
    <w:rsid w:val="00BB1206"/>
    <w:rsid w:val="00BB1235"/>
    <w:rsid w:val="00BB1248"/>
    <w:rsid w:val="00BB1262"/>
    <w:rsid w:val="00BB154C"/>
    <w:rsid w:val="00BB1844"/>
    <w:rsid w:val="00BB1A59"/>
    <w:rsid w:val="00BB1AC2"/>
    <w:rsid w:val="00BB1CF3"/>
    <w:rsid w:val="00BB1D19"/>
    <w:rsid w:val="00BB1DB6"/>
    <w:rsid w:val="00BB1EBD"/>
    <w:rsid w:val="00BB20B3"/>
    <w:rsid w:val="00BB2179"/>
    <w:rsid w:val="00BB21D7"/>
    <w:rsid w:val="00BB2475"/>
    <w:rsid w:val="00BB2589"/>
    <w:rsid w:val="00BB25A3"/>
    <w:rsid w:val="00BB25B3"/>
    <w:rsid w:val="00BB280F"/>
    <w:rsid w:val="00BB2CC4"/>
    <w:rsid w:val="00BB2D84"/>
    <w:rsid w:val="00BB3090"/>
    <w:rsid w:val="00BB326B"/>
    <w:rsid w:val="00BB3278"/>
    <w:rsid w:val="00BB36FD"/>
    <w:rsid w:val="00BB37BF"/>
    <w:rsid w:val="00BB391C"/>
    <w:rsid w:val="00BB39F4"/>
    <w:rsid w:val="00BB3B44"/>
    <w:rsid w:val="00BB3BF7"/>
    <w:rsid w:val="00BB3E6A"/>
    <w:rsid w:val="00BB3FD1"/>
    <w:rsid w:val="00BB4019"/>
    <w:rsid w:val="00BB40FD"/>
    <w:rsid w:val="00BB4249"/>
    <w:rsid w:val="00BB45D4"/>
    <w:rsid w:val="00BB4652"/>
    <w:rsid w:val="00BB47A4"/>
    <w:rsid w:val="00BB48FE"/>
    <w:rsid w:val="00BB493A"/>
    <w:rsid w:val="00BB4F6B"/>
    <w:rsid w:val="00BB50A0"/>
    <w:rsid w:val="00BB50CD"/>
    <w:rsid w:val="00BB5382"/>
    <w:rsid w:val="00BB57C9"/>
    <w:rsid w:val="00BB57CC"/>
    <w:rsid w:val="00BB586B"/>
    <w:rsid w:val="00BB5A3D"/>
    <w:rsid w:val="00BB5B85"/>
    <w:rsid w:val="00BB5CB4"/>
    <w:rsid w:val="00BB5F40"/>
    <w:rsid w:val="00BB6011"/>
    <w:rsid w:val="00BB6126"/>
    <w:rsid w:val="00BB6563"/>
    <w:rsid w:val="00BB679F"/>
    <w:rsid w:val="00BB689D"/>
    <w:rsid w:val="00BB6A73"/>
    <w:rsid w:val="00BB6AC9"/>
    <w:rsid w:val="00BB6B53"/>
    <w:rsid w:val="00BB6BD3"/>
    <w:rsid w:val="00BB6C81"/>
    <w:rsid w:val="00BB6C8E"/>
    <w:rsid w:val="00BB6CC0"/>
    <w:rsid w:val="00BB6D3B"/>
    <w:rsid w:val="00BB6EFF"/>
    <w:rsid w:val="00BB6F44"/>
    <w:rsid w:val="00BB6F85"/>
    <w:rsid w:val="00BB6FAB"/>
    <w:rsid w:val="00BB708C"/>
    <w:rsid w:val="00BB718D"/>
    <w:rsid w:val="00BB7416"/>
    <w:rsid w:val="00BB7672"/>
    <w:rsid w:val="00BB76AC"/>
    <w:rsid w:val="00BB7724"/>
    <w:rsid w:val="00BB779F"/>
    <w:rsid w:val="00BB786C"/>
    <w:rsid w:val="00BB78B8"/>
    <w:rsid w:val="00BB798B"/>
    <w:rsid w:val="00BB7B49"/>
    <w:rsid w:val="00BB7DEB"/>
    <w:rsid w:val="00BB7E05"/>
    <w:rsid w:val="00BB7E25"/>
    <w:rsid w:val="00BB7F1E"/>
    <w:rsid w:val="00BB7F85"/>
    <w:rsid w:val="00BB7F8E"/>
    <w:rsid w:val="00BB7FF8"/>
    <w:rsid w:val="00BC00D1"/>
    <w:rsid w:val="00BC0107"/>
    <w:rsid w:val="00BC018A"/>
    <w:rsid w:val="00BC0420"/>
    <w:rsid w:val="00BC04D4"/>
    <w:rsid w:val="00BC05D5"/>
    <w:rsid w:val="00BC0E7C"/>
    <w:rsid w:val="00BC0F54"/>
    <w:rsid w:val="00BC1236"/>
    <w:rsid w:val="00BC12A0"/>
    <w:rsid w:val="00BC13E0"/>
    <w:rsid w:val="00BC157D"/>
    <w:rsid w:val="00BC161E"/>
    <w:rsid w:val="00BC16BF"/>
    <w:rsid w:val="00BC16E2"/>
    <w:rsid w:val="00BC1B1E"/>
    <w:rsid w:val="00BC1B3B"/>
    <w:rsid w:val="00BC1B45"/>
    <w:rsid w:val="00BC1BFE"/>
    <w:rsid w:val="00BC1C38"/>
    <w:rsid w:val="00BC1D0A"/>
    <w:rsid w:val="00BC1D29"/>
    <w:rsid w:val="00BC1D34"/>
    <w:rsid w:val="00BC1D78"/>
    <w:rsid w:val="00BC1DE6"/>
    <w:rsid w:val="00BC1FFD"/>
    <w:rsid w:val="00BC207A"/>
    <w:rsid w:val="00BC228A"/>
    <w:rsid w:val="00BC229B"/>
    <w:rsid w:val="00BC252D"/>
    <w:rsid w:val="00BC2593"/>
    <w:rsid w:val="00BC2623"/>
    <w:rsid w:val="00BC276E"/>
    <w:rsid w:val="00BC2983"/>
    <w:rsid w:val="00BC29D3"/>
    <w:rsid w:val="00BC2A14"/>
    <w:rsid w:val="00BC2A45"/>
    <w:rsid w:val="00BC2AA2"/>
    <w:rsid w:val="00BC2AF1"/>
    <w:rsid w:val="00BC2B45"/>
    <w:rsid w:val="00BC2B8C"/>
    <w:rsid w:val="00BC2B99"/>
    <w:rsid w:val="00BC2E73"/>
    <w:rsid w:val="00BC2EB5"/>
    <w:rsid w:val="00BC2FDA"/>
    <w:rsid w:val="00BC3001"/>
    <w:rsid w:val="00BC30FB"/>
    <w:rsid w:val="00BC3127"/>
    <w:rsid w:val="00BC32F8"/>
    <w:rsid w:val="00BC3500"/>
    <w:rsid w:val="00BC37A3"/>
    <w:rsid w:val="00BC37CA"/>
    <w:rsid w:val="00BC3806"/>
    <w:rsid w:val="00BC387A"/>
    <w:rsid w:val="00BC39F0"/>
    <w:rsid w:val="00BC3B38"/>
    <w:rsid w:val="00BC3E75"/>
    <w:rsid w:val="00BC3E7E"/>
    <w:rsid w:val="00BC3FDA"/>
    <w:rsid w:val="00BC40F2"/>
    <w:rsid w:val="00BC4230"/>
    <w:rsid w:val="00BC436A"/>
    <w:rsid w:val="00BC437A"/>
    <w:rsid w:val="00BC447A"/>
    <w:rsid w:val="00BC45DD"/>
    <w:rsid w:val="00BC46C6"/>
    <w:rsid w:val="00BC475A"/>
    <w:rsid w:val="00BC4765"/>
    <w:rsid w:val="00BC4AEC"/>
    <w:rsid w:val="00BC4C54"/>
    <w:rsid w:val="00BC4D0D"/>
    <w:rsid w:val="00BC4F44"/>
    <w:rsid w:val="00BC4FBA"/>
    <w:rsid w:val="00BC5065"/>
    <w:rsid w:val="00BC51C3"/>
    <w:rsid w:val="00BC51EE"/>
    <w:rsid w:val="00BC547E"/>
    <w:rsid w:val="00BC556A"/>
    <w:rsid w:val="00BC55FF"/>
    <w:rsid w:val="00BC572B"/>
    <w:rsid w:val="00BC5AA5"/>
    <w:rsid w:val="00BC5E23"/>
    <w:rsid w:val="00BC5E3F"/>
    <w:rsid w:val="00BC603D"/>
    <w:rsid w:val="00BC63A9"/>
    <w:rsid w:val="00BC640C"/>
    <w:rsid w:val="00BC66DC"/>
    <w:rsid w:val="00BC6A7E"/>
    <w:rsid w:val="00BC6BBA"/>
    <w:rsid w:val="00BC6BF7"/>
    <w:rsid w:val="00BC6CBD"/>
    <w:rsid w:val="00BC6F13"/>
    <w:rsid w:val="00BC7020"/>
    <w:rsid w:val="00BC705B"/>
    <w:rsid w:val="00BC7195"/>
    <w:rsid w:val="00BC724C"/>
    <w:rsid w:val="00BC74DE"/>
    <w:rsid w:val="00BC7558"/>
    <w:rsid w:val="00BC757B"/>
    <w:rsid w:val="00BC75D5"/>
    <w:rsid w:val="00BC75E4"/>
    <w:rsid w:val="00BC7606"/>
    <w:rsid w:val="00BC7821"/>
    <w:rsid w:val="00BC7B15"/>
    <w:rsid w:val="00BC7D0E"/>
    <w:rsid w:val="00BC7D60"/>
    <w:rsid w:val="00BC7E4C"/>
    <w:rsid w:val="00BC7F1B"/>
    <w:rsid w:val="00BC7F2F"/>
    <w:rsid w:val="00BD001E"/>
    <w:rsid w:val="00BD003D"/>
    <w:rsid w:val="00BD0180"/>
    <w:rsid w:val="00BD01FC"/>
    <w:rsid w:val="00BD025A"/>
    <w:rsid w:val="00BD0358"/>
    <w:rsid w:val="00BD0377"/>
    <w:rsid w:val="00BD03A6"/>
    <w:rsid w:val="00BD0595"/>
    <w:rsid w:val="00BD05D3"/>
    <w:rsid w:val="00BD05EE"/>
    <w:rsid w:val="00BD06B6"/>
    <w:rsid w:val="00BD0911"/>
    <w:rsid w:val="00BD0965"/>
    <w:rsid w:val="00BD0990"/>
    <w:rsid w:val="00BD09D7"/>
    <w:rsid w:val="00BD0A11"/>
    <w:rsid w:val="00BD0A8A"/>
    <w:rsid w:val="00BD0B18"/>
    <w:rsid w:val="00BD0C48"/>
    <w:rsid w:val="00BD0DFF"/>
    <w:rsid w:val="00BD0EA3"/>
    <w:rsid w:val="00BD0FE4"/>
    <w:rsid w:val="00BD1085"/>
    <w:rsid w:val="00BD10AC"/>
    <w:rsid w:val="00BD10FE"/>
    <w:rsid w:val="00BD12BA"/>
    <w:rsid w:val="00BD138D"/>
    <w:rsid w:val="00BD15F3"/>
    <w:rsid w:val="00BD1659"/>
    <w:rsid w:val="00BD1691"/>
    <w:rsid w:val="00BD1998"/>
    <w:rsid w:val="00BD1C03"/>
    <w:rsid w:val="00BD1C66"/>
    <w:rsid w:val="00BD1C75"/>
    <w:rsid w:val="00BD1CDE"/>
    <w:rsid w:val="00BD1ECF"/>
    <w:rsid w:val="00BD2062"/>
    <w:rsid w:val="00BD20D9"/>
    <w:rsid w:val="00BD22A8"/>
    <w:rsid w:val="00BD2371"/>
    <w:rsid w:val="00BD2425"/>
    <w:rsid w:val="00BD2503"/>
    <w:rsid w:val="00BD28C5"/>
    <w:rsid w:val="00BD2CA7"/>
    <w:rsid w:val="00BD2CFF"/>
    <w:rsid w:val="00BD2D13"/>
    <w:rsid w:val="00BD2ED2"/>
    <w:rsid w:val="00BD2F0C"/>
    <w:rsid w:val="00BD2F8B"/>
    <w:rsid w:val="00BD302C"/>
    <w:rsid w:val="00BD304D"/>
    <w:rsid w:val="00BD30BF"/>
    <w:rsid w:val="00BD3297"/>
    <w:rsid w:val="00BD32BB"/>
    <w:rsid w:val="00BD32D1"/>
    <w:rsid w:val="00BD334B"/>
    <w:rsid w:val="00BD3407"/>
    <w:rsid w:val="00BD3588"/>
    <w:rsid w:val="00BD39EE"/>
    <w:rsid w:val="00BD39F1"/>
    <w:rsid w:val="00BD3A4B"/>
    <w:rsid w:val="00BD3A7E"/>
    <w:rsid w:val="00BD3D44"/>
    <w:rsid w:val="00BD3EA9"/>
    <w:rsid w:val="00BD3FAA"/>
    <w:rsid w:val="00BD40B9"/>
    <w:rsid w:val="00BD40BD"/>
    <w:rsid w:val="00BD41C0"/>
    <w:rsid w:val="00BD41C6"/>
    <w:rsid w:val="00BD423B"/>
    <w:rsid w:val="00BD425D"/>
    <w:rsid w:val="00BD44CB"/>
    <w:rsid w:val="00BD490A"/>
    <w:rsid w:val="00BD499C"/>
    <w:rsid w:val="00BD4A5D"/>
    <w:rsid w:val="00BD4AE7"/>
    <w:rsid w:val="00BD4B4A"/>
    <w:rsid w:val="00BD4B5F"/>
    <w:rsid w:val="00BD4D59"/>
    <w:rsid w:val="00BD4D64"/>
    <w:rsid w:val="00BD4DA2"/>
    <w:rsid w:val="00BD4FD0"/>
    <w:rsid w:val="00BD5007"/>
    <w:rsid w:val="00BD511F"/>
    <w:rsid w:val="00BD51B7"/>
    <w:rsid w:val="00BD5466"/>
    <w:rsid w:val="00BD54DD"/>
    <w:rsid w:val="00BD562E"/>
    <w:rsid w:val="00BD56CC"/>
    <w:rsid w:val="00BD5712"/>
    <w:rsid w:val="00BD5713"/>
    <w:rsid w:val="00BD57C9"/>
    <w:rsid w:val="00BD58CF"/>
    <w:rsid w:val="00BD59C7"/>
    <w:rsid w:val="00BD5CD4"/>
    <w:rsid w:val="00BD5D45"/>
    <w:rsid w:val="00BD618C"/>
    <w:rsid w:val="00BD6195"/>
    <w:rsid w:val="00BD6313"/>
    <w:rsid w:val="00BD63AE"/>
    <w:rsid w:val="00BD63C9"/>
    <w:rsid w:val="00BD64D6"/>
    <w:rsid w:val="00BD64D9"/>
    <w:rsid w:val="00BD66CD"/>
    <w:rsid w:val="00BD6731"/>
    <w:rsid w:val="00BD67E2"/>
    <w:rsid w:val="00BD68BA"/>
    <w:rsid w:val="00BD6908"/>
    <w:rsid w:val="00BD6991"/>
    <w:rsid w:val="00BD6A2B"/>
    <w:rsid w:val="00BD6BC4"/>
    <w:rsid w:val="00BD6D88"/>
    <w:rsid w:val="00BD6D95"/>
    <w:rsid w:val="00BD6E34"/>
    <w:rsid w:val="00BD7544"/>
    <w:rsid w:val="00BD75AD"/>
    <w:rsid w:val="00BD78CE"/>
    <w:rsid w:val="00BD7962"/>
    <w:rsid w:val="00BD7A03"/>
    <w:rsid w:val="00BD7A07"/>
    <w:rsid w:val="00BD7A25"/>
    <w:rsid w:val="00BD7C39"/>
    <w:rsid w:val="00BD7E5A"/>
    <w:rsid w:val="00BD7EEA"/>
    <w:rsid w:val="00BD7FA6"/>
    <w:rsid w:val="00BE0115"/>
    <w:rsid w:val="00BE02CB"/>
    <w:rsid w:val="00BE032C"/>
    <w:rsid w:val="00BE036C"/>
    <w:rsid w:val="00BE0964"/>
    <w:rsid w:val="00BE0AFA"/>
    <w:rsid w:val="00BE0CB2"/>
    <w:rsid w:val="00BE0CE9"/>
    <w:rsid w:val="00BE0D2D"/>
    <w:rsid w:val="00BE0D33"/>
    <w:rsid w:val="00BE11E1"/>
    <w:rsid w:val="00BE120B"/>
    <w:rsid w:val="00BE136F"/>
    <w:rsid w:val="00BE13B1"/>
    <w:rsid w:val="00BE1516"/>
    <w:rsid w:val="00BE161B"/>
    <w:rsid w:val="00BE165D"/>
    <w:rsid w:val="00BE16C8"/>
    <w:rsid w:val="00BE178A"/>
    <w:rsid w:val="00BE188D"/>
    <w:rsid w:val="00BE1AD4"/>
    <w:rsid w:val="00BE1BA4"/>
    <w:rsid w:val="00BE1C3A"/>
    <w:rsid w:val="00BE206D"/>
    <w:rsid w:val="00BE20DC"/>
    <w:rsid w:val="00BE20F3"/>
    <w:rsid w:val="00BE2138"/>
    <w:rsid w:val="00BE2262"/>
    <w:rsid w:val="00BE2266"/>
    <w:rsid w:val="00BE22CE"/>
    <w:rsid w:val="00BE23C6"/>
    <w:rsid w:val="00BE2528"/>
    <w:rsid w:val="00BE2764"/>
    <w:rsid w:val="00BE2A32"/>
    <w:rsid w:val="00BE2AF6"/>
    <w:rsid w:val="00BE2BC3"/>
    <w:rsid w:val="00BE2BDE"/>
    <w:rsid w:val="00BE2C4C"/>
    <w:rsid w:val="00BE2CA2"/>
    <w:rsid w:val="00BE2E78"/>
    <w:rsid w:val="00BE2E89"/>
    <w:rsid w:val="00BE2FDD"/>
    <w:rsid w:val="00BE300B"/>
    <w:rsid w:val="00BE33B0"/>
    <w:rsid w:val="00BE34D8"/>
    <w:rsid w:val="00BE352D"/>
    <w:rsid w:val="00BE3601"/>
    <w:rsid w:val="00BE3641"/>
    <w:rsid w:val="00BE379B"/>
    <w:rsid w:val="00BE3819"/>
    <w:rsid w:val="00BE3853"/>
    <w:rsid w:val="00BE3928"/>
    <w:rsid w:val="00BE3E51"/>
    <w:rsid w:val="00BE3E9C"/>
    <w:rsid w:val="00BE3FDB"/>
    <w:rsid w:val="00BE42FD"/>
    <w:rsid w:val="00BE4493"/>
    <w:rsid w:val="00BE4514"/>
    <w:rsid w:val="00BE493E"/>
    <w:rsid w:val="00BE49A1"/>
    <w:rsid w:val="00BE49C4"/>
    <w:rsid w:val="00BE4A27"/>
    <w:rsid w:val="00BE4AA9"/>
    <w:rsid w:val="00BE4AD0"/>
    <w:rsid w:val="00BE4ADF"/>
    <w:rsid w:val="00BE4B26"/>
    <w:rsid w:val="00BE4B2B"/>
    <w:rsid w:val="00BE4D81"/>
    <w:rsid w:val="00BE4E03"/>
    <w:rsid w:val="00BE4E04"/>
    <w:rsid w:val="00BE4F3D"/>
    <w:rsid w:val="00BE50BF"/>
    <w:rsid w:val="00BE50D3"/>
    <w:rsid w:val="00BE5387"/>
    <w:rsid w:val="00BE54A4"/>
    <w:rsid w:val="00BE58F5"/>
    <w:rsid w:val="00BE5DAC"/>
    <w:rsid w:val="00BE5E78"/>
    <w:rsid w:val="00BE5E99"/>
    <w:rsid w:val="00BE603E"/>
    <w:rsid w:val="00BE609B"/>
    <w:rsid w:val="00BE60C2"/>
    <w:rsid w:val="00BE615B"/>
    <w:rsid w:val="00BE615E"/>
    <w:rsid w:val="00BE6638"/>
    <w:rsid w:val="00BE6C98"/>
    <w:rsid w:val="00BE6D12"/>
    <w:rsid w:val="00BE6DB3"/>
    <w:rsid w:val="00BE6E94"/>
    <w:rsid w:val="00BE6F02"/>
    <w:rsid w:val="00BE7155"/>
    <w:rsid w:val="00BE7364"/>
    <w:rsid w:val="00BE736F"/>
    <w:rsid w:val="00BE7491"/>
    <w:rsid w:val="00BE765C"/>
    <w:rsid w:val="00BE7707"/>
    <w:rsid w:val="00BE799B"/>
    <w:rsid w:val="00BE7B6B"/>
    <w:rsid w:val="00BE7E38"/>
    <w:rsid w:val="00BE7E65"/>
    <w:rsid w:val="00BE7F43"/>
    <w:rsid w:val="00BE7F4C"/>
    <w:rsid w:val="00BE7F78"/>
    <w:rsid w:val="00BF00AA"/>
    <w:rsid w:val="00BF0249"/>
    <w:rsid w:val="00BF0391"/>
    <w:rsid w:val="00BF040A"/>
    <w:rsid w:val="00BF0497"/>
    <w:rsid w:val="00BF0518"/>
    <w:rsid w:val="00BF059C"/>
    <w:rsid w:val="00BF05B1"/>
    <w:rsid w:val="00BF0780"/>
    <w:rsid w:val="00BF0A15"/>
    <w:rsid w:val="00BF0A4C"/>
    <w:rsid w:val="00BF0C65"/>
    <w:rsid w:val="00BF0DC5"/>
    <w:rsid w:val="00BF0E77"/>
    <w:rsid w:val="00BF108F"/>
    <w:rsid w:val="00BF1151"/>
    <w:rsid w:val="00BF1315"/>
    <w:rsid w:val="00BF1391"/>
    <w:rsid w:val="00BF141B"/>
    <w:rsid w:val="00BF1439"/>
    <w:rsid w:val="00BF14A9"/>
    <w:rsid w:val="00BF14BB"/>
    <w:rsid w:val="00BF1571"/>
    <w:rsid w:val="00BF1576"/>
    <w:rsid w:val="00BF17A2"/>
    <w:rsid w:val="00BF180F"/>
    <w:rsid w:val="00BF18AC"/>
    <w:rsid w:val="00BF19B1"/>
    <w:rsid w:val="00BF19EF"/>
    <w:rsid w:val="00BF1CBB"/>
    <w:rsid w:val="00BF1DE8"/>
    <w:rsid w:val="00BF201F"/>
    <w:rsid w:val="00BF20D9"/>
    <w:rsid w:val="00BF2168"/>
    <w:rsid w:val="00BF21B6"/>
    <w:rsid w:val="00BF22AB"/>
    <w:rsid w:val="00BF24DB"/>
    <w:rsid w:val="00BF278D"/>
    <w:rsid w:val="00BF27CA"/>
    <w:rsid w:val="00BF2800"/>
    <w:rsid w:val="00BF291C"/>
    <w:rsid w:val="00BF2A4A"/>
    <w:rsid w:val="00BF2A53"/>
    <w:rsid w:val="00BF2A98"/>
    <w:rsid w:val="00BF2BBE"/>
    <w:rsid w:val="00BF2BDE"/>
    <w:rsid w:val="00BF2C93"/>
    <w:rsid w:val="00BF2D05"/>
    <w:rsid w:val="00BF2D8C"/>
    <w:rsid w:val="00BF32A8"/>
    <w:rsid w:val="00BF32DD"/>
    <w:rsid w:val="00BF3436"/>
    <w:rsid w:val="00BF3489"/>
    <w:rsid w:val="00BF3683"/>
    <w:rsid w:val="00BF36CD"/>
    <w:rsid w:val="00BF375E"/>
    <w:rsid w:val="00BF3816"/>
    <w:rsid w:val="00BF3847"/>
    <w:rsid w:val="00BF3B8F"/>
    <w:rsid w:val="00BF3E1D"/>
    <w:rsid w:val="00BF3E71"/>
    <w:rsid w:val="00BF3E84"/>
    <w:rsid w:val="00BF3E9C"/>
    <w:rsid w:val="00BF3F3E"/>
    <w:rsid w:val="00BF3F80"/>
    <w:rsid w:val="00BF408E"/>
    <w:rsid w:val="00BF4123"/>
    <w:rsid w:val="00BF417E"/>
    <w:rsid w:val="00BF441F"/>
    <w:rsid w:val="00BF44D2"/>
    <w:rsid w:val="00BF4577"/>
    <w:rsid w:val="00BF45A8"/>
    <w:rsid w:val="00BF47F1"/>
    <w:rsid w:val="00BF48FB"/>
    <w:rsid w:val="00BF4B1B"/>
    <w:rsid w:val="00BF4E84"/>
    <w:rsid w:val="00BF4EC3"/>
    <w:rsid w:val="00BF4EDF"/>
    <w:rsid w:val="00BF4F96"/>
    <w:rsid w:val="00BF4FEF"/>
    <w:rsid w:val="00BF529A"/>
    <w:rsid w:val="00BF530B"/>
    <w:rsid w:val="00BF5418"/>
    <w:rsid w:val="00BF57BA"/>
    <w:rsid w:val="00BF5865"/>
    <w:rsid w:val="00BF5AEB"/>
    <w:rsid w:val="00BF5B2F"/>
    <w:rsid w:val="00BF5CD4"/>
    <w:rsid w:val="00BF5DA7"/>
    <w:rsid w:val="00BF5E1D"/>
    <w:rsid w:val="00BF60C5"/>
    <w:rsid w:val="00BF623C"/>
    <w:rsid w:val="00BF63B8"/>
    <w:rsid w:val="00BF64CF"/>
    <w:rsid w:val="00BF6692"/>
    <w:rsid w:val="00BF67A3"/>
    <w:rsid w:val="00BF67C9"/>
    <w:rsid w:val="00BF69A9"/>
    <w:rsid w:val="00BF6A99"/>
    <w:rsid w:val="00BF6B46"/>
    <w:rsid w:val="00BF6B6E"/>
    <w:rsid w:val="00BF6D03"/>
    <w:rsid w:val="00BF6D4F"/>
    <w:rsid w:val="00BF6EBA"/>
    <w:rsid w:val="00BF70BF"/>
    <w:rsid w:val="00BF741F"/>
    <w:rsid w:val="00BF753F"/>
    <w:rsid w:val="00BF7609"/>
    <w:rsid w:val="00BF7724"/>
    <w:rsid w:val="00BF7791"/>
    <w:rsid w:val="00BF77B6"/>
    <w:rsid w:val="00BF7890"/>
    <w:rsid w:val="00BF7B09"/>
    <w:rsid w:val="00BF7B35"/>
    <w:rsid w:val="00BF7B60"/>
    <w:rsid w:val="00BF7BBD"/>
    <w:rsid w:val="00BF7D0B"/>
    <w:rsid w:val="00BF7D0D"/>
    <w:rsid w:val="00BF7D17"/>
    <w:rsid w:val="00BF7D29"/>
    <w:rsid w:val="00BF7D85"/>
    <w:rsid w:val="00BF7E13"/>
    <w:rsid w:val="00BF7F37"/>
    <w:rsid w:val="00C0002D"/>
    <w:rsid w:val="00C003EF"/>
    <w:rsid w:val="00C00445"/>
    <w:rsid w:val="00C00494"/>
    <w:rsid w:val="00C004BF"/>
    <w:rsid w:val="00C0050C"/>
    <w:rsid w:val="00C0059D"/>
    <w:rsid w:val="00C00615"/>
    <w:rsid w:val="00C00671"/>
    <w:rsid w:val="00C006FA"/>
    <w:rsid w:val="00C00715"/>
    <w:rsid w:val="00C00747"/>
    <w:rsid w:val="00C00810"/>
    <w:rsid w:val="00C00826"/>
    <w:rsid w:val="00C0084B"/>
    <w:rsid w:val="00C008F7"/>
    <w:rsid w:val="00C00975"/>
    <w:rsid w:val="00C00D2F"/>
    <w:rsid w:val="00C00DCA"/>
    <w:rsid w:val="00C00F45"/>
    <w:rsid w:val="00C00F53"/>
    <w:rsid w:val="00C00F72"/>
    <w:rsid w:val="00C00FBC"/>
    <w:rsid w:val="00C013F0"/>
    <w:rsid w:val="00C015FF"/>
    <w:rsid w:val="00C01623"/>
    <w:rsid w:val="00C01661"/>
    <w:rsid w:val="00C01723"/>
    <w:rsid w:val="00C01880"/>
    <w:rsid w:val="00C01899"/>
    <w:rsid w:val="00C018DE"/>
    <w:rsid w:val="00C019E5"/>
    <w:rsid w:val="00C01A60"/>
    <w:rsid w:val="00C01B26"/>
    <w:rsid w:val="00C01C0C"/>
    <w:rsid w:val="00C01CB9"/>
    <w:rsid w:val="00C01D40"/>
    <w:rsid w:val="00C01E30"/>
    <w:rsid w:val="00C01F70"/>
    <w:rsid w:val="00C01FE3"/>
    <w:rsid w:val="00C02185"/>
    <w:rsid w:val="00C02229"/>
    <w:rsid w:val="00C0262E"/>
    <w:rsid w:val="00C02797"/>
    <w:rsid w:val="00C027A7"/>
    <w:rsid w:val="00C02986"/>
    <w:rsid w:val="00C02A07"/>
    <w:rsid w:val="00C02A0A"/>
    <w:rsid w:val="00C02BA5"/>
    <w:rsid w:val="00C02C6C"/>
    <w:rsid w:val="00C02D13"/>
    <w:rsid w:val="00C02DB0"/>
    <w:rsid w:val="00C03108"/>
    <w:rsid w:val="00C0320D"/>
    <w:rsid w:val="00C032B4"/>
    <w:rsid w:val="00C032CC"/>
    <w:rsid w:val="00C03413"/>
    <w:rsid w:val="00C0352E"/>
    <w:rsid w:val="00C036D7"/>
    <w:rsid w:val="00C03764"/>
    <w:rsid w:val="00C03855"/>
    <w:rsid w:val="00C03A2B"/>
    <w:rsid w:val="00C03BBE"/>
    <w:rsid w:val="00C03C0E"/>
    <w:rsid w:val="00C03D96"/>
    <w:rsid w:val="00C03DC8"/>
    <w:rsid w:val="00C041C3"/>
    <w:rsid w:val="00C04233"/>
    <w:rsid w:val="00C043B4"/>
    <w:rsid w:val="00C0447F"/>
    <w:rsid w:val="00C045BF"/>
    <w:rsid w:val="00C045FA"/>
    <w:rsid w:val="00C04830"/>
    <w:rsid w:val="00C04852"/>
    <w:rsid w:val="00C0497B"/>
    <w:rsid w:val="00C04B7D"/>
    <w:rsid w:val="00C04CD2"/>
    <w:rsid w:val="00C04DB0"/>
    <w:rsid w:val="00C04E53"/>
    <w:rsid w:val="00C04F20"/>
    <w:rsid w:val="00C04F3D"/>
    <w:rsid w:val="00C04F9F"/>
    <w:rsid w:val="00C05028"/>
    <w:rsid w:val="00C050AF"/>
    <w:rsid w:val="00C050DC"/>
    <w:rsid w:val="00C05119"/>
    <w:rsid w:val="00C05357"/>
    <w:rsid w:val="00C0544C"/>
    <w:rsid w:val="00C0544E"/>
    <w:rsid w:val="00C05732"/>
    <w:rsid w:val="00C057AE"/>
    <w:rsid w:val="00C05838"/>
    <w:rsid w:val="00C058B0"/>
    <w:rsid w:val="00C05994"/>
    <w:rsid w:val="00C05A0F"/>
    <w:rsid w:val="00C05A72"/>
    <w:rsid w:val="00C05B1B"/>
    <w:rsid w:val="00C05F96"/>
    <w:rsid w:val="00C06047"/>
    <w:rsid w:val="00C06275"/>
    <w:rsid w:val="00C062E9"/>
    <w:rsid w:val="00C06610"/>
    <w:rsid w:val="00C06971"/>
    <w:rsid w:val="00C069EE"/>
    <w:rsid w:val="00C06B8C"/>
    <w:rsid w:val="00C06BB5"/>
    <w:rsid w:val="00C06EA8"/>
    <w:rsid w:val="00C07006"/>
    <w:rsid w:val="00C070F0"/>
    <w:rsid w:val="00C0738E"/>
    <w:rsid w:val="00C0752E"/>
    <w:rsid w:val="00C075AB"/>
    <w:rsid w:val="00C0774F"/>
    <w:rsid w:val="00C0784C"/>
    <w:rsid w:val="00C07876"/>
    <w:rsid w:val="00C078EB"/>
    <w:rsid w:val="00C07997"/>
    <w:rsid w:val="00C07C51"/>
    <w:rsid w:val="00C07EBD"/>
    <w:rsid w:val="00C07F50"/>
    <w:rsid w:val="00C07FDC"/>
    <w:rsid w:val="00C10148"/>
    <w:rsid w:val="00C101F7"/>
    <w:rsid w:val="00C10307"/>
    <w:rsid w:val="00C10310"/>
    <w:rsid w:val="00C1038B"/>
    <w:rsid w:val="00C105A8"/>
    <w:rsid w:val="00C1063E"/>
    <w:rsid w:val="00C107ED"/>
    <w:rsid w:val="00C10AEC"/>
    <w:rsid w:val="00C10AF2"/>
    <w:rsid w:val="00C10C66"/>
    <w:rsid w:val="00C10D93"/>
    <w:rsid w:val="00C10F6C"/>
    <w:rsid w:val="00C11163"/>
    <w:rsid w:val="00C111D2"/>
    <w:rsid w:val="00C112D0"/>
    <w:rsid w:val="00C1133E"/>
    <w:rsid w:val="00C11357"/>
    <w:rsid w:val="00C11436"/>
    <w:rsid w:val="00C11603"/>
    <w:rsid w:val="00C11646"/>
    <w:rsid w:val="00C116E8"/>
    <w:rsid w:val="00C117F3"/>
    <w:rsid w:val="00C1186F"/>
    <w:rsid w:val="00C1195B"/>
    <w:rsid w:val="00C119A7"/>
    <w:rsid w:val="00C119BE"/>
    <w:rsid w:val="00C11AFF"/>
    <w:rsid w:val="00C11DBB"/>
    <w:rsid w:val="00C11E19"/>
    <w:rsid w:val="00C1214B"/>
    <w:rsid w:val="00C1220B"/>
    <w:rsid w:val="00C12382"/>
    <w:rsid w:val="00C1249A"/>
    <w:rsid w:val="00C12589"/>
    <w:rsid w:val="00C12619"/>
    <w:rsid w:val="00C126EF"/>
    <w:rsid w:val="00C12744"/>
    <w:rsid w:val="00C127BD"/>
    <w:rsid w:val="00C128E5"/>
    <w:rsid w:val="00C129CA"/>
    <w:rsid w:val="00C12B5E"/>
    <w:rsid w:val="00C12B76"/>
    <w:rsid w:val="00C12BBC"/>
    <w:rsid w:val="00C12BBD"/>
    <w:rsid w:val="00C12E88"/>
    <w:rsid w:val="00C1315B"/>
    <w:rsid w:val="00C13231"/>
    <w:rsid w:val="00C13384"/>
    <w:rsid w:val="00C13407"/>
    <w:rsid w:val="00C1347E"/>
    <w:rsid w:val="00C1352B"/>
    <w:rsid w:val="00C13666"/>
    <w:rsid w:val="00C13701"/>
    <w:rsid w:val="00C13816"/>
    <w:rsid w:val="00C139B7"/>
    <w:rsid w:val="00C13B54"/>
    <w:rsid w:val="00C13BDE"/>
    <w:rsid w:val="00C13D5D"/>
    <w:rsid w:val="00C13DB4"/>
    <w:rsid w:val="00C13E7D"/>
    <w:rsid w:val="00C13F01"/>
    <w:rsid w:val="00C141ED"/>
    <w:rsid w:val="00C14215"/>
    <w:rsid w:val="00C1437A"/>
    <w:rsid w:val="00C14572"/>
    <w:rsid w:val="00C14877"/>
    <w:rsid w:val="00C1493F"/>
    <w:rsid w:val="00C14A05"/>
    <w:rsid w:val="00C14ACF"/>
    <w:rsid w:val="00C14BA3"/>
    <w:rsid w:val="00C14C0C"/>
    <w:rsid w:val="00C14D76"/>
    <w:rsid w:val="00C14D85"/>
    <w:rsid w:val="00C14DEF"/>
    <w:rsid w:val="00C14EE4"/>
    <w:rsid w:val="00C14EF0"/>
    <w:rsid w:val="00C1518D"/>
    <w:rsid w:val="00C1523C"/>
    <w:rsid w:val="00C1525A"/>
    <w:rsid w:val="00C15289"/>
    <w:rsid w:val="00C155D5"/>
    <w:rsid w:val="00C15717"/>
    <w:rsid w:val="00C15750"/>
    <w:rsid w:val="00C1582F"/>
    <w:rsid w:val="00C15B06"/>
    <w:rsid w:val="00C15B49"/>
    <w:rsid w:val="00C15C41"/>
    <w:rsid w:val="00C15FAA"/>
    <w:rsid w:val="00C1611C"/>
    <w:rsid w:val="00C16188"/>
    <w:rsid w:val="00C161F6"/>
    <w:rsid w:val="00C16466"/>
    <w:rsid w:val="00C164EE"/>
    <w:rsid w:val="00C165BF"/>
    <w:rsid w:val="00C1671F"/>
    <w:rsid w:val="00C168C9"/>
    <w:rsid w:val="00C16CE5"/>
    <w:rsid w:val="00C16FE2"/>
    <w:rsid w:val="00C17018"/>
    <w:rsid w:val="00C17076"/>
    <w:rsid w:val="00C17212"/>
    <w:rsid w:val="00C1760D"/>
    <w:rsid w:val="00C176D3"/>
    <w:rsid w:val="00C176D8"/>
    <w:rsid w:val="00C17712"/>
    <w:rsid w:val="00C17737"/>
    <w:rsid w:val="00C179BD"/>
    <w:rsid w:val="00C179C8"/>
    <w:rsid w:val="00C17B9C"/>
    <w:rsid w:val="00C17F82"/>
    <w:rsid w:val="00C20060"/>
    <w:rsid w:val="00C20094"/>
    <w:rsid w:val="00C2014B"/>
    <w:rsid w:val="00C202B6"/>
    <w:rsid w:val="00C205EB"/>
    <w:rsid w:val="00C207F4"/>
    <w:rsid w:val="00C208DD"/>
    <w:rsid w:val="00C209C5"/>
    <w:rsid w:val="00C20AC3"/>
    <w:rsid w:val="00C20B0F"/>
    <w:rsid w:val="00C20B23"/>
    <w:rsid w:val="00C20B27"/>
    <w:rsid w:val="00C20B8B"/>
    <w:rsid w:val="00C20C67"/>
    <w:rsid w:val="00C20C86"/>
    <w:rsid w:val="00C20E70"/>
    <w:rsid w:val="00C20FBC"/>
    <w:rsid w:val="00C20FD1"/>
    <w:rsid w:val="00C21003"/>
    <w:rsid w:val="00C2105F"/>
    <w:rsid w:val="00C211B5"/>
    <w:rsid w:val="00C212BC"/>
    <w:rsid w:val="00C214C3"/>
    <w:rsid w:val="00C21797"/>
    <w:rsid w:val="00C2187E"/>
    <w:rsid w:val="00C21930"/>
    <w:rsid w:val="00C21A02"/>
    <w:rsid w:val="00C21CB4"/>
    <w:rsid w:val="00C21CDF"/>
    <w:rsid w:val="00C21D40"/>
    <w:rsid w:val="00C21D7E"/>
    <w:rsid w:val="00C21DB7"/>
    <w:rsid w:val="00C21E2B"/>
    <w:rsid w:val="00C21F49"/>
    <w:rsid w:val="00C22021"/>
    <w:rsid w:val="00C22061"/>
    <w:rsid w:val="00C22088"/>
    <w:rsid w:val="00C2234D"/>
    <w:rsid w:val="00C22366"/>
    <w:rsid w:val="00C22391"/>
    <w:rsid w:val="00C225FB"/>
    <w:rsid w:val="00C2284C"/>
    <w:rsid w:val="00C228F2"/>
    <w:rsid w:val="00C2299A"/>
    <w:rsid w:val="00C22A36"/>
    <w:rsid w:val="00C22B15"/>
    <w:rsid w:val="00C22D78"/>
    <w:rsid w:val="00C230BE"/>
    <w:rsid w:val="00C23119"/>
    <w:rsid w:val="00C23133"/>
    <w:rsid w:val="00C231F1"/>
    <w:rsid w:val="00C231F9"/>
    <w:rsid w:val="00C234A3"/>
    <w:rsid w:val="00C23691"/>
    <w:rsid w:val="00C23A92"/>
    <w:rsid w:val="00C23AB8"/>
    <w:rsid w:val="00C23C9D"/>
    <w:rsid w:val="00C23C9E"/>
    <w:rsid w:val="00C23D13"/>
    <w:rsid w:val="00C23DC3"/>
    <w:rsid w:val="00C23EC3"/>
    <w:rsid w:val="00C24214"/>
    <w:rsid w:val="00C2444F"/>
    <w:rsid w:val="00C24460"/>
    <w:rsid w:val="00C24518"/>
    <w:rsid w:val="00C2458E"/>
    <w:rsid w:val="00C24A95"/>
    <w:rsid w:val="00C24B0F"/>
    <w:rsid w:val="00C24D11"/>
    <w:rsid w:val="00C24E48"/>
    <w:rsid w:val="00C24E81"/>
    <w:rsid w:val="00C24EA7"/>
    <w:rsid w:val="00C24F37"/>
    <w:rsid w:val="00C251D2"/>
    <w:rsid w:val="00C251E8"/>
    <w:rsid w:val="00C2525C"/>
    <w:rsid w:val="00C255B3"/>
    <w:rsid w:val="00C25663"/>
    <w:rsid w:val="00C257AD"/>
    <w:rsid w:val="00C257F6"/>
    <w:rsid w:val="00C25C48"/>
    <w:rsid w:val="00C25CDE"/>
    <w:rsid w:val="00C25DCF"/>
    <w:rsid w:val="00C25FC1"/>
    <w:rsid w:val="00C2602E"/>
    <w:rsid w:val="00C26039"/>
    <w:rsid w:val="00C260AA"/>
    <w:rsid w:val="00C2613D"/>
    <w:rsid w:val="00C261C5"/>
    <w:rsid w:val="00C262B1"/>
    <w:rsid w:val="00C262ED"/>
    <w:rsid w:val="00C26402"/>
    <w:rsid w:val="00C2642C"/>
    <w:rsid w:val="00C2645A"/>
    <w:rsid w:val="00C2648A"/>
    <w:rsid w:val="00C26535"/>
    <w:rsid w:val="00C26635"/>
    <w:rsid w:val="00C26AD0"/>
    <w:rsid w:val="00C26B6B"/>
    <w:rsid w:val="00C26CD1"/>
    <w:rsid w:val="00C26CDC"/>
    <w:rsid w:val="00C26E57"/>
    <w:rsid w:val="00C27073"/>
    <w:rsid w:val="00C2714F"/>
    <w:rsid w:val="00C2743C"/>
    <w:rsid w:val="00C2760D"/>
    <w:rsid w:val="00C27ACD"/>
    <w:rsid w:val="00C27AF9"/>
    <w:rsid w:val="00C27B8A"/>
    <w:rsid w:val="00C27B8D"/>
    <w:rsid w:val="00C27D4D"/>
    <w:rsid w:val="00C27E4A"/>
    <w:rsid w:val="00C27FAE"/>
    <w:rsid w:val="00C30021"/>
    <w:rsid w:val="00C300E0"/>
    <w:rsid w:val="00C3031D"/>
    <w:rsid w:val="00C3036F"/>
    <w:rsid w:val="00C30391"/>
    <w:rsid w:val="00C30429"/>
    <w:rsid w:val="00C30430"/>
    <w:rsid w:val="00C304E1"/>
    <w:rsid w:val="00C30508"/>
    <w:rsid w:val="00C3069E"/>
    <w:rsid w:val="00C30726"/>
    <w:rsid w:val="00C307D3"/>
    <w:rsid w:val="00C30853"/>
    <w:rsid w:val="00C30889"/>
    <w:rsid w:val="00C30C48"/>
    <w:rsid w:val="00C30CA3"/>
    <w:rsid w:val="00C31323"/>
    <w:rsid w:val="00C31337"/>
    <w:rsid w:val="00C315C1"/>
    <w:rsid w:val="00C31714"/>
    <w:rsid w:val="00C31734"/>
    <w:rsid w:val="00C318B4"/>
    <w:rsid w:val="00C3191F"/>
    <w:rsid w:val="00C31996"/>
    <w:rsid w:val="00C31999"/>
    <w:rsid w:val="00C31A29"/>
    <w:rsid w:val="00C31C1E"/>
    <w:rsid w:val="00C31D69"/>
    <w:rsid w:val="00C31EDF"/>
    <w:rsid w:val="00C32083"/>
    <w:rsid w:val="00C3225C"/>
    <w:rsid w:val="00C32422"/>
    <w:rsid w:val="00C32534"/>
    <w:rsid w:val="00C32603"/>
    <w:rsid w:val="00C32650"/>
    <w:rsid w:val="00C327CE"/>
    <w:rsid w:val="00C3281F"/>
    <w:rsid w:val="00C3288F"/>
    <w:rsid w:val="00C328BD"/>
    <w:rsid w:val="00C328C8"/>
    <w:rsid w:val="00C32946"/>
    <w:rsid w:val="00C3294A"/>
    <w:rsid w:val="00C32A7B"/>
    <w:rsid w:val="00C32B8A"/>
    <w:rsid w:val="00C32C40"/>
    <w:rsid w:val="00C32DC1"/>
    <w:rsid w:val="00C33071"/>
    <w:rsid w:val="00C33167"/>
    <w:rsid w:val="00C331A9"/>
    <w:rsid w:val="00C334C3"/>
    <w:rsid w:val="00C33DB5"/>
    <w:rsid w:val="00C33E9E"/>
    <w:rsid w:val="00C33EAF"/>
    <w:rsid w:val="00C33FB2"/>
    <w:rsid w:val="00C3416F"/>
    <w:rsid w:val="00C342D9"/>
    <w:rsid w:val="00C3430C"/>
    <w:rsid w:val="00C3459F"/>
    <w:rsid w:val="00C3471F"/>
    <w:rsid w:val="00C3478D"/>
    <w:rsid w:val="00C34838"/>
    <w:rsid w:val="00C349E3"/>
    <w:rsid w:val="00C34BE2"/>
    <w:rsid w:val="00C34E4F"/>
    <w:rsid w:val="00C34FE4"/>
    <w:rsid w:val="00C351EA"/>
    <w:rsid w:val="00C3520A"/>
    <w:rsid w:val="00C35801"/>
    <w:rsid w:val="00C35931"/>
    <w:rsid w:val="00C359C0"/>
    <w:rsid w:val="00C35BF9"/>
    <w:rsid w:val="00C35D67"/>
    <w:rsid w:val="00C35E51"/>
    <w:rsid w:val="00C35EEC"/>
    <w:rsid w:val="00C35EF3"/>
    <w:rsid w:val="00C35F16"/>
    <w:rsid w:val="00C35F2A"/>
    <w:rsid w:val="00C35F37"/>
    <w:rsid w:val="00C35F67"/>
    <w:rsid w:val="00C35FCC"/>
    <w:rsid w:val="00C36047"/>
    <w:rsid w:val="00C360DC"/>
    <w:rsid w:val="00C36112"/>
    <w:rsid w:val="00C36123"/>
    <w:rsid w:val="00C36159"/>
    <w:rsid w:val="00C36219"/>
    <w:rsid w:val="00C362CB"/>
    <w:rsid w:val="00C362D7"/>
    <w:rsid w:val="00C3630D"/>
    <w:rsid w:val="00C3633B"/>
    <w:rsid w:val="00C36652"/>
    <w:rsid w:val="00C366C9"/>
    <w:rsid w:val="00C366DB"/>
    <w:rsid w:val="00C36765"/>
    <w:rsid w:val="00C36B05"/>
    <w:rsid w:val="00C36B76"/>
    <w:rsid w:val="00C36C99"/>
    <w:rsid w:val="00C36F58"/>
    <w:rsid w:val="00C36F64"/>
    <w:rsid w:val="00C36F73"/>
    <w:rsid w:val="00C370D4"/>
    <w:rsid w:val="00C370E6"/>
    <w:rsid w:val="00C3715D"/>
    <w:rsid w:val="00C372BF"/>
    <w:rsid w:val="00C37352"/>
    <w:rsid w:val="00C3741E"/>
    <w:rsid w:val="00C3761E"/>
    <w:rsid w:val="00C376C8"/>
    <w:rsid w:val="00C37734"/>
    <w:rsid w:val="00C37976"/>
    <w:rsid w:val="00C3799B"/>
    <w:rsid w:val="00C37AE0"/>
    <w:rsid w:val="00C37B41"/>
    <w:rsid w:val="00C37B90"/>
    <w:rsid w:val="00C37BAE"/>
    <w:rsid w:val="00C37E00"/>
    <w:rsid w:val="00C37E09"/>
    <w:rsid w:val="00C37E2B"/>
    <w:rsid w:val="00C37F09"/>
    <w:rsid w:val="00C4006A"/>
    <w:rsid w:val="00C400E3"/>
    <w:rsid w:val="00C40278"/>
    <w:rsid w:val="00C40444"/>
    <w:rsid w:val="00C40545"/>
    <w:rsid w:val="00C405F2"/>
    <w:rsid w:val="00C405FC"/>
    <w:rsid w:val="00C40749"/>
    <w:rsid w:val="00C40790"/>
    <w:rsid w:val="00C407B6"/>
    <w:rsid w:val="00C4090C"/>
    <w:rsid w:val="00C40B17"/>
    <w:rsid w:val="00C40C03"/>
    <w:rsid w:val="00C40D25"/>
    <w:rsid w:val="00C40D8A"/>
    <w:rsid w:val="00C40DD5"/>
    <w:rsid w:val="00C40EFF"/>
    <w:rsid w:val="00C40F90"/>
    <w:rsid w:val="00C40FC5"/>
    <w:rsid w:val="00C40FE4"/>
    <w:rsid w:val="00C41037"/>
    <w:rsid w:val="00C41043"/>
    <w:rsid w:val="00C410BF"/>
    <w:rsid w:val="00C410DF"/>
    <w:rsid w:val="00C41342"/>
    <w:rsid w:val="00C4142F"/>
    <w:rsid w:val="00C4147B"/>
    <w:rsid w:val="00C41498"/>
    <w:rsid w:val="00C416AB"/>
    <w:rsid w:val="00C4182A"/>
    <w:rsid w:val="00C41861"/>
    <w:rsid w:val="00C41C46"/>
    <w:rsid w:val="00C41C4E"/>
    <w:rsid w:val="00C41D3F"/>
    <w:rsid w:val="00C41DBF"/>
    <w:rsid w:val="00C41ED6"/>
    <w:rsid w:val="00C41FC9"/>
    <w:rsid w:val="00C42060"/>
    <w:rsid w:val="00C4208C"/>
    <w:rsid w:val="00C42097"/>
    <w:rsid w:val="00C4254B"/>
    <w:rsid w:val="00C42582"/>
    <w:rsid w:val="00C42759"/>
    <w:rsid w:val="00C4276C"/>
    <w:rsid w:val="00C4283E"/>
    <w:rsid w:val="00C4286D"/>
    <w:rsid w:val="00C42B04"/>
    <w:rsid w:val="00C42B98"/>
    <w:rsid w:val="00C42E14"/>
    <w:rsid w:val="00C42E6D"/>
    <w:rsid w:val="00C4304B"/>
    <w:rsid w:val="00C43058"/>
    <w:rsid w:val="00C432A8"/>
    <w:rsid w:val="00C433A7"/>
    <w:rsid w:val="00C4348E"/>
    <w:rsid w:val="00C435A5"/>
    <w:rsid w:val="00C436BD"/>
    <w:rsid w:val="00C436D0"/>
    <w:rsid w:val="00C43850"/>
    <w:rsid w:val="00C4385C"/>
    <w:rsid w:val="00C439B8"/>
    <w:rsid w:val="00C43A50"/>
    <w:rsid w:val="00C43B50"/>
    <w:rsid w:val="00C43C21"/>
    <w:rsid w:val="00C43C4C"/>
    <w:rsid w:val="00C43C8D"/>
    <w:rsid w:val="00C43CD2"/>
    <w:rsid w:val="00C43D5B"/>
    <w:rsid w:val="00C43D6D"/>
    <w:rsid w:val="00C43E60"/>
    <w:rsid w:val="00C43FEA"/>
    <w:rsid w:val="00C43FF7"/>
    <w:rsid w:val="00C44070"/>
    <w:rsid w:val="00C441FD"/>
    <w:rsid w:val="00C4427B"/>
    <w:rsid w:val="00C4464C"/>
    <w:rsid w:val="00C44759"/>
    <w:rsid w:val="00C4482B"/>
    <w:rsid w:val="00C44B9E"/>
    <w:rsid w:val="00C44C54"/>
    <w:rsid w:val="00C44D24"/>
    <w:rsid w:val="00C44E12"/>
    <w:rsid w:val="00C44E75"/>
    <w:rsid w:val="00C44EA1"/>
    <w:rsid w:val="00C44ED2"/>
    <w:rsid w:val="00C44F91"/>
    <w:rsid w:val="00C450CD"/>
    <w:rsid w:val="00C45121"/>
    <w:rsid w:val="00C4513A"/>
    <w:rsid w:val="00C45185"/>
    <w:rsid w:val="00C4527B"/>
    <w:rsid w:val="00C457C1"/>
    <w:rsid w:val="00C45897"/>
    <w:rsid w:val="00C45923"/>
    <w:rsid w:val="00C4593A"/>
    <w:rsid w:val="00C45983"/>
    <w:rsid w:val="00C45B1D"/>
    <w:rsid w:val="00C45B91"/>
    <w:rsid w:val="00C45C6F"/>
    <w:rsid w:val="00C45CF9"/>
    <w:rsid w:val="00C45D32"/>
    <w:rsid w:val="00C45EA4"/>
    <w:rsid w:val="00C45F05"/>
    <w:rsid w:val="00C45FE5"/>
    <w:rsid w:val="00C4614E"/>
    <w:rsid w:val="00C462E5"/>
    <w:rsid w:val="00C462EB"/>
    <w:rsid w:val="00C462FD"/>
    <w:rsid w:val="00C46361"/>
    <w:rsid w:val="00C46449"/>
    <w:rsid w:val="00C464BC"/>
    <w:rsid w:val="00C46574"/>
    <w:rsid w:val="00C4674D"/>
    <w:rsid w:val="00C467A0"/>
    <w:rsid w:val="00C4691F"/>
    <w:rsid w:val="00C469CE"/>
    <w:rsid w:val="00C46CE2"/>
    <w:rsid w:val="00C46D51"/>
    <w:rsid w:val="00C46E17"/>
    <w:rsid w:val="00C46FA8"/>
    <w:rsid w:val="00C4700E"/>
    <w:rsid w:val="00C47024"/>
    <w:rsid w:val="00C471A6"/>
    <w:rsid w:val="00C471C0"/>
    <w:rsid w:val="00C47213"/>
    <w:rsid w:val="00C472A8"/>
    <w:rsid w:val="00C475C5"/>
    <w:rsid w:val="00C47627"/>
    <w:rsid w:val="00C47844"/>
    <w:rsid w:val="00C47C59"/>
    <w:rsid w:val="00C47C81"/>
    <w:rsid w:val="00C47D27"/>
    <w:rsid w:val="00C47DBA"/>
    <w:rsid w:val="00C47EDF"/>
    <w:rsid w:val="00C47F07"/>
    <w:rsid w:val="00C47F89"/>
    <w:rsid w:val="00C50104"/>
    <w:rsid w:val="00C502EF"/>
    <w:rsid w:val="00C50335"/>
    <w:rsid w:val="00C503A4"/>
    <w:rsid w:val="00C506A7"/>
    <w:rsid w:val="00C507C1"/>
    <w:rsid w:val="00C507E6"/>
    <w:rsid w:val="00C50A0F"/>
    <w:rsid w:val="00C50ACD"/>
    <w:rsid w:val="00C50B20"/>
    <w:rsid w:val="00C50BC7"/>
    <w:rsid w:val="00C50E3A"/>
    <w:rsid w:val="00C50F0A"/>
    <w:rsid w:val="00C51101"/>
    <w:rsid w:val="00C51221"/>
    <w:rsid w:val="00C51272"/>
    <w:rsid w:val="00C5127A"/>
    <w:rsid w:val="00C513EC"/>
    <w:rsid w:val="00C5174B"/>
    <w:rsid w:val="00C5175B"/>
    <w:rsid w:val="00C517B6"/>
    <w:rsid w:val="00C5183C"/>
    <w:rsid w:val="00C5184E"/>
    <w:rsid w:val="00C51909"/>
    <w:rsid w:val="00C519F9"/>
    <w:rsid w:val="00C51DD1"/>
    <w:rsid w:val="00C51DE9"/>
    <w:rsid w:val="00C51FF5"/>
    <w:rsid w:val="00C52609"/>
    <w:rsid w:val="00C5261E"/>
    <w:rsid w:val="00C52631"/>
    <w:rsid w:val="00C526EE"/>
    <w:rsid w:val="00C52774"/>
    <w:rsid w:val="00C529F7"/>
    <w:rsid w:val="00C52A5D"/>
    <w:rsid w:val="00C52CDA"/>
    <w:rsid w:val="00C52DFA"/>
    <w:rsid w:val="00C52EA2"/>
    <w:rsid w:val="00C52FA5"/>
    <w:rsid w:val="00C53249"/>
    <w:rsid w:val="00C532F6"/>
    <w:rsid w:val="00C5347F"/>
    <w:rsid w:val="00C534DB"/>
    <w:rsid w:val="00C538D1"/>
    <w:rsid w:val="00C53C36"/>
    <w:rsid w:val="00C53F15"/>
    <w:rsid w:val="00C53FAC"/>
    <w:rsid w:val="00C5410D"/>
    <w:rsid w:val="00C54619"/>
    <w:rsid w:val="00C5468F"/>
    <w:rsid w:val="00C54746"/>
    <w:rsid w:val="00C54863"/>
    <w:rsid w:val="00C5498A"/>
    <w:rsid w:val="00C54A49"/>
    <w:rsid w:val="00C54AE1"/>
    <w:rsid w:val="00C54B26"/>
    <w:rsid w:val="00C54C0B"/>
    <w:rsid w:val="00C54C81"/>
    <w:rsid w:val="00C55620"/>
    <w:rsid w:val="00C556A2"/>
    <w:rsid w:val="00C55895"/>
    <w:rsid w:val="00C55C76"/>
    <w:rsid w:val="00C55CB0"/>
    <w:rsid w:val="00C5609F"/>
    <w:rsid w:val="00C561A3"/>
    <w:rsid w:val="00C561C6"/>
    <w:rsid w:val="00C5659C"/>
    <w:rsid w:val="00C56618"/>
    <w:rsid w:val="00C56710"/>
    <w:rsid w:val="00C56885"/>
    <w:rsid w:val="00C56A85"/>
    <w:rsid w:val="00C56C79"/>
    <w:rsid w:val="00C56CB6"/>
    <w:rsid w:val="00C56CF8"/>
    <w:rsid w:val="00C56EFE"/>
    <w:rsid w:val="00C57054"/>
    <w:rsid w:val="00C571C5"/>
    <w:rsid w:val="00C5725B"/>
    <w:rsid w:val="00C57344"/>
    <w:rsid w:val="00C573D2"/>
    <w:rsid w:val="00C57413"/>
    <w:rsid w:val="00C574FD"/>
    <w:rsid w:val="00C576BC"/>
    <w:rsid w:val="00C57777"/>
    <w:rsid w:val="00C578A4"/>
    <w:rsid w:val="00C57AFE"/>
    <w:rsid w:val="00C57BDA"/>
    <w:rsid w:val="00C57C00"/>
    <w:rsid w:val="00C57C56"/>
    <w:rsid w:val="00C57EEB"/>
    <w:rsid w:val="00C57EF7"/>
    <w:rsid w:val="00C6005A"/>
    <w:rsid w:val="00C600A4"/>
    <w:rsid w:val="00C600F1"/>
    <w:rsid w:val="00C60181"/>
    <w:rsid w:val="00C601E9"/>
    <w:rsid w:val="00C601ED"/>
    <w:rsid w:val="00C6073A"/>
    <w:rsid w:val="00C607AE"/>
    <w:rsid w:val="00C60846"/>
    <w:rsid w:val="00C608F3"/>
    <w:rsid w:val="00C60AE8"/>
    <w:rsid w:val="00C60B5B"/>
    <w:rsid w:val="00C60B6D"/>
    <w:rsid w:val="00C60CD1"/>
    <w:rsid w:val="00C60D22"/>
    <w:rsid w:val="00C60D50"/>
    <w:rsid w:val="00C60DF1"/>
    <w:rsid w:val="00C60F63"/>
    <w:rsid w:val="00C61064"/>
    <w:rsid w:val="00C6120A"/>
    <w:rsid w:val="00C61357"/>
    <w:rsid w:val="00C613DC"/>
    <w:rsid w:val="00C61737"/>
    <w:rsid w:val="00C6177A"/>
    <w:rsid w:val="00C61977"/>
    <w:rsid w:val="00C61A1C"/>
    <w:rsid w:val="00C61B02"/>
    <w:rsid w:val="00C61B04"/>
    <w:rsid w:val="00C61B21"/>
    <w:rsid w:val="00C61C23"/>
    <w:rsid w:val="00C61DFF"/>
    <w:rsid w:val="00C61E35"/>
    <w:rsid w:val="00C62015"/>
    <w:rsid w:val="00C620AE"/>
    <w:rsid w:val="00C621A5"/>
    <w:rsid w:val="00C621F9"/>
    <w:rsid w:val="00C62252"/>
    <w:rsid w:val="00C6226A"/>
    <w:rsid w:val="00C622C4"/>
    <w:rsid w:val="00C62362"/>
    <w:rsid w:val="00C626A4"/>
    <w:rsid w:val="00C626ED"/>
    <w:rsid w:val="00C6278D"/>
    <w:rsid w:val="00C62986"/>
    <w:rsid w:val="00C62AF4"/>
    <w:rsid w:val="00C62C7C"/>
    <w:rsid w:val="00C62DB2"/>
    <w:rsid w:val="00C62E2F"/>
    <w:rsid w:val="00C62EFB"/>
    <w:rsid w:val="00C62F2E"/>
    <w:rsid w:val="00C63126"/>
    <w:rsid w:val="00C63536"/>
    <w:rsid w:val="00C63623"/>
    <w:rsid w:val="00C636FB"/>
    <w:rsid w:val="00C6387D"/>
    <w:rsid w:val="00C638DF"/>
    <w:rsid w:val="00C63973"/>
    <w:rsid w:val="00C63A91"/>
    <w:rsid w:val="00C63C89"/>
    <w:rsid w:val="00C63D9B"/>
    <w:rsid w:val="00C64031"/>
    <w:rsid w:val="00C641FE"/>
    <w:rsid w:val="00C64234"/>
    <w:rsid w:val="00C642B3"/>
    <w:rsid w:val="00C642C6"/>
    <w:rsid w:val="00C6448C"/>
    <w:rsid w:val="00C64559"/>
    <w:rsid w:val="00C6456D"/>
    <w:rsid w:val="00C64657"/>
    <w:rsid w:val="00C647E7"/>
    <w:rsid w:val="00C64800"/>
    <w:rsid w:val="00C650E7"/>
    <w:rsid w:val="00C6510D"/>
    <w:rsid w:val="00C651D8"/>
    <w:rsid w:val="00C6522E"/>
    <w:rsid w:val="00C653C5"/>
    <w:rsid w:val="00C654C6"/>
    <w:rsid w:val="00C654C8"/>
    <w:rsid w:val="00C65668"/>
    <w:rsid w:val="00C657B3"/>
    <w:rsid w:val="00C657B4"/>
    <w:rsid w:val="00C65830"/>
    <w:rsid w:val="00C659EB"/>
    <w:rsid w:val="00C65AB0"/>
    <w:rsid w:val="00C65C41"/>
    <w:rsid w:val="00C65CD2"/>
    <w:rsid w:val="00C65D72"/>
    <w:rsid w:val="00C65DD0"/>
    <w:rsid w:val="00C65E55"/>
    <w:rsid w:val="00C6617A"/>
    <w:rsid w:val="00C66229"/>
    <w:rsid w:val="00C662F8"/>
    <w:rsid w:val="00C663FD"/>
    <w:rsid w:val="00C664B2"/>
    <w:rsid w:val="00C66562"/>
    <w:rsid w:val="00C66596"/>
    <w:rsid w:val="00C66790"/>
    <w:rsid w:val="00C66AC3"/>
    <w:rsid w:val="00C66B33"/>
    <w:rsid w:val="00C66B5E"/>
    <w:rsid w:val="00C66CF9"/>
    <w:rsid w:val="00C66D09"/>
    <w:rsid w:val="00C66E46"/>
    <w:rsid w:val="00C67284"/>
    <w:rsid w:val="00C6739E"/>
    <w:rsid w:val="00C6754F"/>
    <w:rsid w:val="00C6774A"/>
    <w:rsid w:val="00C67760"/>
    <w:rsid w:val="00C67A26"/>
    <w:rsid w:val="00C67C5E"/>
    <w:rsid w:val="00C67D54"/>
    <w:rsid w:val="00C67DB1"/>
    <w:rsid w:val="00C67E1A"/>
    <w:rsid w:val="00C70159"/>
    <w:rsid w:val="00C701C1"/>
    <w:rsid w:val="00C70213"/>
    <w:rsid w:val="00C702B5"/>
    <w:rsid w:val="00C70741"/>
    <w:rsid w:val="00C70F2E"/>
    <w:rsid w:val="00C71037"/>
    <w:rsid w:val="00C710D0"/>
    <w:rsid w:val="00C710D1"/>
    <w:rsid w:val="00C7111E"/>
    <w:rsid w:val="00C711EB"/>
    <w:rsid w:val="00C713D6"/>
    <w:rsid w:val="00C71446"/>
    <w:rsid w:val="00C71788"/>
    <w:rsid w:val="00C71869"/>
    <w:rsid w:val="00C71C3F"/>
    <w:rsid w:val="00C71C57"/>
    <w:rsid w:val="00C71C94"/>
    <w:rsid w:val="00C71DC9"/>
    <w:rsid w:val="00C71DCB"/>
    <w:rsid w:val="00C7205D"/>
    <w:rsid w:val="00C72158"/>
    <w:rsid w:val="00C7238A"/>
    <w:rsid w:val="00C725AF"/>
    <w:rsid w:val="00C725C8"/>
    <w:rsid w:val="00C7270C"/>
    <w:rsid w:val="00C728DC"/>
    <w:rsid w:val="00C72974"/>
    <w:rsid w:val="00C729F9"/>
    <w:rsid w:val="00C72AB5"/>
    <w:rsid w:val="00C72BA4"/>
    <w:rsid w:val="00C72ED8"/>
    <w:rsid w:val="00C73045"/>
    <w:rsid w:val="00C730A4"/>
    <w:rsid w:val="00C73422"/>
    <w:rsid w:val="00C73694"/>
    <w:rsid w:val="00C73817"/>
    <w:rsid w:val="00C73ACB"/>
    <w:rsid w:val="00C73B1B"/>
    <w:rsid w:val="00C73D20"/>
    <w:rsid w:val="00C73DFA"/>
    <w:rsid w:val="00C73E39"/>
    <w:rsid w:val="00C73F59"/>
    <w:rsid w:val="00C73FD5"/>
    <w:rsid w:val="00C74033"/>
    <w:rsid w:val="00C7406A"/>
    <w:rsid w:val="00C741CB"/>
    <w:rsid w:val="00C743CD"/>
    <w:rsid w:val="00C743E0"/>
    <w:rsid w:val="00C74585"/>
    <w:rsid w:val="00C746DF"/>
    <w:rsid w:val="00C74711"/>
    <w:rsid w:val="00C74761"/>
    <w:rsid w:val="00C7482F"/>
    <w:rsid w:val="00C7484A"/>
    <w:rsid w:val="00C74B63"/>
    <w:rsid w:val="00C74B9B"/>
    <w:rsid w:val="00C74E94"/>
    <w:rsid w:val="00C74E96"/>
    <w:rsid w:val="00C752B6"/>
    <w:rsid w:val="00C75383"/>
    <w:rsid w:val="00C754E6"/>
    <w:rsid w:val="00C7557F"/>
    <w:rsid w:val="00C755E5"/>
    <w:rsid w:val="00C758A6"/>
    <w:rsid w:val="00C75C78"/>
    <w:rsid w:val="00C75D28"/>
    <w:rsid w:val="00C7644E"/>
    <w:rsid w:val="00C7649A"/>
    <w:rsid w:val="00C7689D"/>
    <w:rsid w:val="00C76B9D"/>
    <w:rsid w:val="00C76C02"/>
    <w:rsid w:val="00C76D06"/>
    <w:rsid w:val="00C76DB0"/>
    <w:rsid w:val="00C76E30"/>
    <w:rsid w:val="00C76E88"/>
    <w:rsid w:val="00C76F4B"/>
    <w:rsid w:val="00C76FBC"/>
    <w:rsid w:val="00C77183"/>
    <w:rsid w:val="00C7741C"/>
    <w:rsid w:val="00C77571"/>
    <w:rsid w:val="00C77595"/>
    <w:rsid w:val="00C77640"/>
    <w:rsid w:val="00C7782E"/>
    <w:rsid w:val="00C7796F"/>
    <w:rsid w:val="00C77A03"/>
    <w:rsid w:val="00C77D9A"/>
    <w:rsid w:val="00C77EEF"/>
    <w:rsid w:val="00C77FE5"/>
    <w:rsid w:val="00C801B1"/>
    <w:rsid w:val="00C80367"/>
    <w:rsid w:val="00C803E2"/>
    <w:rsid w:val="00C804BE"/>
    <w:rsid w:val="00C80573"/>
    <w:rsid w:val="00C80650"/>
    <w:rsid w:val="00C80888"/>
    <w:rsid w:val="00C80899"/>
    <w:rsid w:val="00C80982"/>
    <w:rsid w:val="00C809D8"/>
    <w:rsid w:val="00C80B5B"/>
    <w:rsid w:val="00C80C3C"/>
    <w:rsid w:val="00C80E9C"/>
    <w:rsid w:val="00C80F09"/>
    <w:rsid w:val="00C81170"/>
    <w:rsid w:val="00C811C8"/>
    <w:rsid w:val="00C812E6"/>
    <w:rsid w:val="00C813EA"/>
    <w:rsid w:val="00C81501"/>
    <w:rsid w:val="00C815FD"/>
    <w:rsid w:val="00C816CE"/>
    <w:rsid w:val="00C81BB5"/>
    <w:rsid w:val="00C81C83"/>
    <w:rsid w:val="00C81CDA"/>
    <w:rsid w:val="00C81D41"/>
    <w:rsid w:val="00C81E91"/>
    <w:rsid w:val="00C81ECE"/>
    <w:rsid w:val="00C81EE2"/>
    <w:rsid w:val="00C820BB"/>
    <w:rsid w:val="00C820EF"/>
    <w:rsid w:val="00C82214"/>
    <w:rsid w:val="00C82324"/>
    <w:rsid w:val="00C82353"/>
    <w:rsid w:val="00C8242F"/>
    <w:rsid w:val="00C82476"/>
    <w:rsid w:val="00C82690"/>
    <w:rsid w:val="00C828AD"/>
    <w:rsid w:val="00C828C1"/>
    <w:rsid w:val="00C829D2"/>
    <w:rsid w:val="00C82A5B"/>
    <w:rsid w:val="00C82AAC"/>
    <w:rsid w:val="00C82B04"/>
    <w:rsid w:val="00C82BF5"/>
    <w:rsid w:val="00C82C41"/>
    <w:rsid w:val="00C82C8A"/>
    <w:rsid w:val="00C82D5C"/>
    <w:rsid w:val="00C82F7A"/>
    <w:rsid w:val="00C82FAF"/>
    <w:rsid w:val="00C8306B"/>
    <w:rsid w:val="00C8314C"/>
    <w:rsid w:val="00C831C7"/>
    <w:rsid w:val="00C8329F"/>
    <w:rsid w:val="00C83357"/>
    <w:rsid w:val="00C8347D"/>
    <w:rsid w:val="00C836FF"/>
    <w:rsid w:val="00C83792"/>
    <w:rsid w:val="00C838E3"/>
    <w:rsid w:val="00C838F3"/>
    <w:rsid w:val="00C838FD"/>
    <w:rsid w:val="00C8395B"/>
    <w:rsid w:val="00C83998"/>
    <w:rsid w:val="00C839D5"/>
    <w:rsid w:val="00C83B21"/>
    <w:rsid w:val="00C83CA4"/>
    <w:rsid w:val="00C83DF7"/>
    <w:rsid w:val="00C83E1B"/>
    <w:rsid w:val="00C83FB1"/>
    <w:rsid w:val="00C841CC"/>
    <w:rsid w:val="00C84382"/>
    <w:rsid w:val="00C844CF"/>
    <w:rsid w:val="00C84559"/>
    <w:rsid w:val="00C846DA"/>
    <w:rsid w:val="00C846FB"/>
    <w:rsid w:val="00C84A0D"/>
    <w:rsid w:val="00C84A0F"/>
    <w:rsid w:val="00C84ACC"/>
    <w:rsid w:val="00C84DEE"/>
    <w:rsid w:val="00C84E43"/>
    <w:rsid w:val="00C84E5B"/>
    <w:rsid w:val="00C85057"/>
    <w:rsid w:val="00C850D9"/>
    <w:rsid w:val="00C851D0"/>
    <w:rsid w:val="00C853D1"/>
    <w:rsid w:val="00C854A8"/>
    <w:rsid w:val="00C85599"/>
    <w:rsid w:val="00C85675"/>
    <w:rsid w:val="00C8571E"/>
    <w:rsid w:val="00C858F0"/>
    <w:rsid w:val="00C8599F"/>
    <w:rsid w:val="00C859A6"/>
    <w:rsid w:val="00C859EC"/>
    <w:rsid w:val="00C85A3C"/>
    <w:rsid w:val="00C85C45"/>
    <w:rsid w:val="00C85E33"/>
    <w:rsid w:val="00C85E91"/>
    <w:rsid w:val="00C85F7D"/>
    <w:rsid w:val="00C85FD2"/>
    <w:rsid w:val="00C863D3"/>
    <w:rsid w:val="00C863E9"/>
    <w:rsid w:val="00C8642C"/>
    <w:rsid w:val="00C864E5"/>
    <w:rsid w:val="00C865B5"/>
    <w:rsid w:val="00C866E1"/>
    <w:rsid w:val="00C86735"/>
    <w:rsid w:val="00C8684E"/>
    <w:rsid w:val="00C868EF"/>
    <w:rsid w:val="00C86931"/>
    <w:rsid w:val="00C86957"/>
    <w:rsid w:val="00C869F8"/>
    <w:rsid w:val="00C86AE9"/>
    <w:rsid w:val="00C86DDB"/>
    <w:rsid w:val="00C8709C"/>
    <w:rsid w:val="00C87224"/>
    <w:rsid w:val="00C873C6"/>
    <w:rsid w:val="00C874D6"/>
    <w:rsid w:val="00C8761B"/>
    <w:rsid w:val="00C8768E"/>
    <w:rsid w:val="00C87743"/>
    <w:rsid w:val="00C87745"/>
    <w:rsid w:val="00C87853"/>
    <w:rsid w:val="00C8791C"/>
    <w:rsid w:val="00C87BE0"/>
    <w:rsid w:val="00C87CB3"/>
    <w:rsid w:val="00C87DDD"/>
    <w:rsid w:val="00C87DED"/>
    <w:rsid w:val="00C87E09"/>
    <w:rsid w:val="00C87EE0"/>
    <w:rsid w:val="00C87F9D"/>
    <w:rsid w:val="00C90055"/>
    <w:rsid w:val="00C90379"/>
    <w:rsid w:val="00C903BE"/>
    <w:rsid w:val="00C904A1"/>
    <w:rsid w:val="00C9059E"/>
    <w:rsid w:val="00C905E3"/>
    <w:rsid w:val="00C907AD"/>
    <w:rsid w:val="00C9086F"/>
    <w:rsid w:val="00C908B0"/>
    <w:rsid w:val="00C9093F"/>
    <w:rsid w:val="00C90965"/>
    <w:rsid w:val="00C909A3"/>
    <w:rsid w:val="00C90A13"/>
    <w:rsid w:val="00C90B9F"/>
    <w:rsid w:val="00C90C21"/>
    <w:rsid w:val="00C90DF5"/>
    <w:rsid w:val="00C90E7E"/>
    <w:rsid w:val="00C9101A"/>
    <w:rsid w:val="00C9106C"/>
    <w:rsid w:val="00C910F8"/>
    <w:rsid w:val="00C911DC"/>
    <w:rsid w:val="00C912E0"/>
    <w:rsid w:val="00C9142A"/>
    <w:rsid w:val="00C9162E"/>
    <w:rsid w:val="00C917DC"/>
    <w:rsid w:val="00C91911"/>
    <w:rsid w:val="00C91BD4"/>
    <w:rsid w:val="00C91F39"/>
    <w:rsid w:val="00C91F53"/>
    <w:rsid w:val="00C91FC1"/>
    <w:rsid w:val="00C91FF4"/>
    <w:rsid w:val="00C9224B"/>
    <w:rsid w:val="00C92275"/>
    <w:rsid w:val="00C92362"/>
    <w:rsid w:val="00C923EF"/>
    <w:rsid w:val="00C9243F"/>
    <w:rsid w:val="00C925F7"/>
    <w:rsid w:val="00C9278B"/>
    <w:rsid w:val="00C9288F"/>
    <w:rsid w:val="00C92D55"/>
    <w:rsid w:val="00C92DB7"/>
    <w:rsid w:val="00C92DEF"/>
    <w:rsid w:val="00C92ECD"/>
    <w:rsid w:val="00C92EE6"/>
    <w:rsid w:val="00C92F4D"/>
    <w:rsid w:val="00C93040"/>
    <w:rsid w:val="00C930A0"/>
    <w:rsid w:val="00C931D1"/>
    <w:rsid w:val="00C93342"/>
    <w:rsid w:val="00C933A6"/>
    <w:rsid w:val="00C93664"/>
    <w:rsid w:val="00C93861"/>
    <w:rsid w:val="00C9388B"/>
    <w:rsid w:val="00C93954"/>
    <w:rsid w:val="00C93A85"/>
    <w:rsid w:val="00C93AEB"/>
    <w:rsid w:val="00C93D22"/>
    <w:rsid w:val="00C93E01"/>
    <w:rsid w:val="00C93E25"/>
    <w:rsid w:val="00C93E30"/>
    <w:rsid w:val="00C93F73"/>
    <w:rsid w:val="00C94164"/>
    <w:rsid w:val="00C941AA"/>
    <w:rsid w:val="00C9421D"/>
    <w:rsid w:val="00C94297"/>
    <w:rsid w:val="00C942CF"/>
    <w:rsid w:val="00C9436C"/>
    <w:rsid w:val="00C94727"/>
    <w:rsid w:val="00C947C2"/>
    <w:rsid w:val="00C9481F"/>
    <w:rsid w:val="00C94878"/>
    <w:rsid w:val="00C948C9"/>
    <w:rsid w:val="00C94CEB"/>
    <w:rsid w:val="00C94D09"/>
    <w:rsid w:val="00C94D9A"/>
    <w:rsid w:val="00C94E44"/>
    <w:rsid w:val="00C9507A"/>
    <w:rsid w:val="00C95202"/>
    <w:rsid w:val="00C952C7"/>
    <w:rsid w:val="00C95472"/>
    <w:rsid w:val="00C9555B"/>
    <w:rsid w:val="00C9593D"/>
    <w:rsid w:val="00C959F2"/>
    <w:rsid w:val="00C95A95"/>
    <w:rsid w:val="00C95AE3"/>
    <w:rsid w:val="00C95B5C"/>
    <w:rsid w:val="00C95C8F"/>
    <w:rsid w:val="00C95E90"/>
    <w:rsid w:val="00C95EE1"/>
    <w:rsid w:val="00C960E7"/>
    <w:rsid w:val="00C96194"/>
    <w:rsid w:val="00C962C2"/>
    <w:rsid w:val="00C9657D"/>
    <w:rsid w:val="00C965BB"/>
    <w:rsid w:val="00C9661C"/>
    <w:rsid w:val="00C96627"/>
    <w:rsid w:val="00C9668C"/>
    <w:rsid w:val="00C966B5"/>
    <w:rsid w:val="00C9678F"/>
    <w:rsid w:val="00C96793"/>
    <w:rsid w:val="00C968D9"/>
    <w:rsid w:val="00C96909"/>
    <w:rsid w:val="00C96911"/>
    <w:rsid w:val="00C9693C"/>
    <w:rsid w:val="00C96B40"/>
    <w:rsid w:val="00C96BB3"/>
    <w:rsid w:val="00C96C45"/>
    <w:rsid w:val="00C96CD0"/>
    <w:rsid w:val="00C96E00"/>
    <w:rsid w:val="00C96E9D"/>
    <w:rsid w:val="00C96ECB"/>
    <w:rsid w:val="00C96F73"/>
    <w:rsid w:val="00C9730A"/>
    <w:rsid w:val="00C97323"/>
    <w:rsid w:val="00C97387"/>
    <w:rsid w:val="00C97521"/>
    <w:rsid w:val="00C97630"/>
    <w:rsid w:val="00C976C0"/>
    <w:rsid w:val="00C9777D"/>
    <w:rsid w:val="00C97797"/>
    <w:rsid w:val="00C977C1"/>
    <w:rsid w:val="00C9783D"/>
    <w:rsid w:val="00C97851"/>
    <w:rsid w:val="00C97AB0"/>
    <w:rsid w:val="00C97BE0"/>
    <w:rsid w:val="00C97DA9"/>
    <w:rsid w:val="00C97DDD"/>
    <w:rsid w:val="00C97E13"/>
    <w:rsid w:val="00C97EB6"/>
    <w:rsid w:val="00C9B37C"/>
    <w:rsid w:val="00CA00A2"/>
    <w:rsid w:val="00CA00D8"/>
    <w:rsid w:val="00CA04D3"/>
    <w:rsid w:val="00CA0555"/>
    <w:rsid w:val="00CA0561"/>
    <w:rsid w:val="00CA0662"/>
    <w:rsid w:val="00CA0699"/>
    <w:rsid w:val="00CA0743"/>
    <w:rsid w:val="00CA0782"/>
    <w:rsid w:val="00CA0A8E"/>
    <w:rsid w:val="00CA0EE2"/>
    <w:rsid w:val="00CA0FEA"/>
    <w:rsid w:val="00CA1212"/>
    <w:rsid w:val="00CA1297"/>
    <w:rsid w:val="00CA1393"/>
    <w:rsid w:val="00CA162B"/>
    <w:rsid w:val="00CA1776"/>
    <w:rsid w:val="00CA1897"/>
    <w:rsid w:val="00CA190F"/>
    <w:rsid w:val="00CA1947"/>
    <w:rsid w:val="00CA19C6"/>
    <w:rsid w:val="00CA1ABE"/>
    <w:rsid w:val="00CA1E62"/>
    <w:rsid w:val="00CA1F4F"/>
    <w:rsid w:val="00CA1F8F"/>
    <w:rsid w:val="00CA201F"/>
    <w:rsid w:val="00CA2095"/>
    <w:rsid w:val="00CA222D"/>
    <w:rsid w:val="00CA2243"/>
    <w:rsid w:val="00CA22E7"/>
    <w:rsid w:val="00CA2550"/>
    <w:rsid w:val="00CA2720"/>
    <w:rsid w:val="00CA272C"/>
    <w:rsid w:val="00CA2758"/>
    <w:rsid w:val="00CA275B"/>
    <w:rsid w:val="00CA280C"/>
    <w:rsid w:val="00CA2A70"/>
    <w:rsid w:val="00CA2B85"/>
    <w:rsid w:val="00CA2C7E"/>
    <w:rsid w:val="00CA2CFD"/>
    <w:rsid w:val="00CA2E9A"/>
    <w:rsid w:val="00CA2EC1"/>
    <w:rsid w:val="00CA32BF"/>
    <w:rsid w:val="00CA32D4"/>
    <w:rsid w:val="00CA3324"/>
    <w:rsid w:val="00CA3419"/>
    <w:rsid w:val="00CA3485"/>
    <w:rsid w:val="00CA35FC"/>
    <w:rsid w:val="00CA3698"/>
    <w:rsid w:val="00CA388D"/>
    <w:rsid w:val="00CA39B4"/>
    <w:rsid w:val="00CA39C0"/>
    <w:rsid w:val="00CA3C27"/>
    <w:rsid w:val="00CA3D49"/>
    <w:rsid w:val="00CA3E56"/>
    <w:rsid w:val="00CA3E61"/>
    <w:rsid w:val="00CA3FB4"/>
    <w:rsid w:val="00CA3FDA"/>
    <w:rsid w:val="00CA3FF8"/>
    <w:rsid w:val="00CA4105"/>
    <w:rsid w:val="00CA4137"/>
    <w:rsid w:val="00CA41F5"/>
    <w:rsid w:val="00CA43EC"/>
    <w:rsid w:val="00CA462B"/>
    <w:rsid w:val="00CA4668"/>
    <w:rsid w:val="00CA46AF"/>
    <w:rsid w:val="00CA46FB"/>
    <w:rsid w:val="00CA4A96"/>
    <w:rsid w:val="00CA4BEB"/>
    <w:rsid w:val="00CA4D87"/>
    <w:rsid w:val="00CA4F13"/>
    <w:rsid w:val="00CA5341"/>
    <w:rsid w:val="00CA53CE"/>
    <w:rsid w:val="00CA5484"/>
    <w:rsid w:val="00CA58B3"/>
    <w:rsid w:val="00CA5ADC"/>
    <w:rsid w:val="00CA5BC9"/>
    <w:rsid w:val="00CA5D8B"/>
    <w:rsid w:val="00CA5E91"/>
    <w:rsid w:val="00CA5FC2"/>
    <w:rsid w:val="00CA606C"/>
    <w:rsid w:val="00CA60D6"/>
    <w:rsid w:val="00CA60DB"/>
    <w:rsid w:val="00CA647D"/>
    <w:rsid w:val="00CA6520"/>
    <w:rsid w:val="00CA655D"/>
    <w:rsid w:val="00CA65A2"/>
    <w:rsid w:val="00CA65B7"/>
    <w:rsid w:val="00CA660F"/>
    <w:rsid w:val="00CA6734"/>
    <w:rsid w:val="00CA67E4"/>
    <w:rsid w:val="00CA67FC"/>
    <w:rsid w:val="00CA68D3"/>
    <w:rsid w:val="00CA68D8"/>
    <w:rsid w:val="00CA68E9"/>
    <w:rsid w:val="00CA6993"/>
    <w:rsid w:val="00CA6F2B"/>
    <w:rsid w:val="00CA6F6F"/>
    <w:rsid w:val="00CA7027"/>
    <w:rsid w:val="00CA7089"/>
    <w:rsid w:val="00CA70F3"/>
    <w:rsid w:val="00CA7113"/>
    <w:rsid w:val="00CA73AE"/>
    <w:rsid w:val="00CA74A5"/>
    <w:rsid w:val="00CA7555"/>
    <w:rsid w:val="00CA75E3"/>
    <w:rsid w:val="00CA76CF"/>
    <w:rsid w:val="00CA7703"/>
    <w:rsid w:val="00CA770F"/>
    <w:rsid w:val="00CA77BA"/>
    <w:rsid w:val="00CA7913"/>
    <w:rsid w:val="00CA7972"/>
    <w:rsid w:val="00CA7A48"/>
    <w:rsid w:val="00CA7A62"/>
    <w:rsid w:val="00CA7B51"/>
    <w:rsid w:val="00CA7BA8"/>
    <w:rsid w:val="00CA7EA4"/>
    <w:rsid w:val="00CAE5B1"/>
    <w:rsid w:val="00CB0101"/>
    <w:rsid w:val="00CB0361"/>
    <w:rsid w:val="00CB03E0"/>
    <w:rsid w:val="00CB04AF"/>
    <w:rsid w:val="00CB04F7"/>
    <w:rsid w:val="00CB0615"/>
    <w:rsid w:val="00CB07E0"/>
    <w:rsid w:val="00CB08C2"/>
    <w:rsid w:val="00CB08C7"/>
    <w:rsid w:val="00CB0922"/>
    <w:rsid w:val="00CB0954"/>
    <w:rsid w:val="00CB09CE"/>
    <w:rsid w:val="00CB0A9E"/>
    <w:rsid w:val="00CB0B52"/>
    <w:rsid w:val="00CB0B76"/>
    <w:rsid w:val="00CB0CBE"/>
    <w:rsid w:val="00CB0EA3"/>
    <w:rsid w:val="00CB0F2A"/>
    <w:rsid w:val="00CB0F37"/>
    <w:rsid w:val="00CB0FE9"/>
    <w:rsid w:val="00CB11A7"/>
    <w:rsid w:val="00CB1296"/>
    <w:rsid w:val="00CB132B"/>
    <w:rsid w:val="00CB170C"/>
    <w:rsid w:val="00CB17E8"/>
    <w:rsid w:val="00CB1974"/>
    <w:rsid w:val="00CB1A33"/>
    <w:rsid w:val="00CB1A4C"/>
    <w:rsid w:val="00CB1C4C"/>
    <w:rsid w:val="00CB1D47"/>
    <w:rsid w:val="00CB1E30"/>
    <w:rsid w:val="00CB1F03"/>
    <w:rsid w:val="00CB2215"/>
    <w:rsid w:val="00CB2258"/>
    <w:rsid w:val="00CB226F"/>
    <w:rsid w:val="00CB2270"/>
    <w:rsid w:val="00CB23CD"/>
    <w:rsid w:val="00CB2478"/>
    <w:rsid w:val="00CB24B2"/>
    <w:rsid w:val="00CB25A8"/>
    <w:rsid w:val="00CB2619"/>
    <w:rsid w:val="00CB2686"/>
    <w:rsid w:val="00CB2923"/>
    <w:rsid w:val="00CB2A71"/>
    <w:rsid w:val="00CB2AC9"/>
    <w:rsid w:val="00CB2B5A"/>
    <w:rsid w:val="00CB2CBD"/>
    <w:rsid w:val="00CB2CC7"/>
    <w:rsid w:val="00CB2D73"/>
    <w:rsid w:val="00CB2E5D"/>
    <w:rsid w:val="00CB2FC0"/>
    <w:rsid w:val="00CB2FE9"/>
    <w:rsid w:val="00CB3069"/>
    <w:rsid w:val="00CB3077"/>
    <w:rsid w:val="00CB3221"/>
    <w:rsid w:val="00CB3503"/>
    <w:rsid w:val="00CB35C3"/>
    <w:rsid w:val="00CB368A"/>
    <w:rsid w:val="00CB37C4"/>
    <w:rsid w:val="00CB392C"/>
    <w:rsid w:val="00CB3D75"/>
    <w:rsid w:val="00CB3DE5"/>
    <w:rsid w:val="00CB3E37"/>
    <w:rsid w:val="00CB4066"/>
    <w:rsid w:val="00CB409A"/>
    <w:rsid w:val="00CB40AB"/>
    <w:rsid w:val="00CB414C"/>
    <w:rsid w:val="00CB41E1"/>
    <w:rsid w:val="00CB45D0"/>
    <w:rsid w:val="00CB45F4"/>
    <w:rsid w:val="00CB4703"/>
    <w:rsid w:val="00CB4838"/>
    <w:rsid w:val="00CB48C9"/>
    <w:rsid w:val="00CB4906"/>
    <w:rsid w:val="00CB4985"/>
    <w:rsid w:val="00CB4C87"/>
    <w:rsid w:val="00CB4D08"/>
    <w:rsid w:val="00CB4E0B"/>
    <w:rsid w:val="00CB4E27"/>
    <w:rsid w:val="00CB4E92"/>
    <w:rsid w:val="00CB50A6"/>
    <w:rsid w:val="00CB50D7"/>
    <w:rsid w:val="00CB51C4"/>
    <w:rsid w:val="00CB5200"/>
    <w:rsid w:val="00CB5337"/>
    <w:rsid w:val="00CB5370"/>
    <w:rsid w:val="00CB5394"/>
    <w:rsid w:val="00CB560F"/>
    <w:rsid w:val="00CB571D"/>
    <w:rsid w:val="00CB57CC"/>
    <w:rsid w:val="00CB5A5C"/>
    <w:rsid w:val="00CB5B19"/>
    <w:rsid w:val="00CB5BE0"/>
    <w:rsid w:val="00CB5C1F"/>
    <w:rsid w:val="00CB5DBD"/>
    <w:rsid w:val="00CB5F67"/>
    <w:rsid w:val="00CB631B"/>
    <w:rsid w:val="00CB63AC"/>
    <w:rsid w:val="00CB646B"/>
    <w:rsid w:val="00CB668D"/>
    <w:rsid w:val="00CB66DD"/>
    <w:rsid w:val="00CB66F7"/>
    <w:rsid w:val="00CB6718"/>
    <w:rsid w:val="00CB6868"/>
    <w:rsid w:val="00CB6923"/>
    <w:rsid w:val="00CB6978"/>
    <w:rsid w:val="00CB6A67"/>
    <w:rsid w:val="00CB6AA5"/>
    <w:rsid w:val="00CB6ABD"/>
    <w:rsid w:val="00CB6C7F"/>
    <w:rsid w:val="00CB6D25"/>
    <w:rsid w:val="00CB6D51"/>
    <w:rsid w:val="00CB6F96"/>
    <w:rsid w:val="00CB700C"/>
    <w:rsid w:val="00CB734D"/>
    <w:rsid w:val="00CB7425"/>
    <w:rsid w:val="00CB7570"/>
    <w:rsid w:val="00CB76BB"/>
    <w:rsid w:val="00CB770D"/>
    <w:rsid w:val="00CB7846"/>
    <w:rsid w:val="00CB79DE"/>
    <w:rsid w:val="00CB7A1C"/>
    <w:rsid w:val="00CB7A20"/>
    <w:rsid w:val="00CB7B50"/>
    <w:rsid w:val="00CB7B7D"/>
    <w:rsid w:val="00CB7C71"/>
    <w:rsid w:val="00CC004B"/>
    <w:rsid w:val="00CC007A"/>
    <w:rsid w:val="00CC00E6"/>
    <w:rsid w:val="00CC026B"/>
    <w:rsid w:val="00CC02A0"/>
    <w:rsid w:val="00CC031B"/>
    <w:rsid w:val="00CC04FE"/>
    <w:rsid w:val="00CC054D"/>
    <w:rsid w:val="00CC0643"/>
    <w:rsid w:val="00CC0697"/>
    <w:rsid w:val="00CC06E7"/>
    <w:rsid w:val="00CC06F0"/>
    <w:rsid w:val="00CC07BD"/>
    <w:rsid w:val="00CC0889"/>
    <w:rsid w:val="00CC0948"/>
    <w:rsid w:val="00CC09B7"/>
    <w:rsid w:val="00CC0A3A"/>
    <w:rsid w:val="00CC0AE3"/>
    <w:rsid w:val="00CC0FBF"/>
    <w:rsid w:val="00CC0FF0"/>
    <w:rsid w:val="00CC11C6"/>
    <w:rsid w:val="00CC12BB"/>
    <w:rsid w:val="00CC13BE"/>
    <w:rsid w:val="00CC14BB"/>
    <w:rsid w:val="00CC1998"/>
    <w:rsid w:val="00CC19B4"/>
    <w:rsid w:val="00CC19C9"/>
    <w:rsid w:val="00CC1CD1"/>
    <w:rsid w:val="00CC1DAE"/>
    <w:rsid w:val="00CC1DD9"/>
    <w:rsid w:val="00CC1F6C"/>
    <w:rsid w:val="00CC1F95"/>
    <w:rsid w:val="00CC21DB"/>
    <w:rsid w:val="00CC239C"/>
    <w:rsid w:val="00CC25B6"/>
    <w:rsid w:val="00CC2643"/>
    <w:rsid w:val="00CC2671"/>
    <w:rsid w:val="00CC2674"/>
    <w:rsid w:val="00CC26B2"/>
    <w:rsid w:val="00CC26F1"/>
    <w:rsid w:val="00CC2A7C"/>
    <w:rsid w:val="00CC2A82"/>
    <w:rsid w:val="00CC2AEC"/>
    <w:rsid w:val="00CC2B0B"/>
    <w:rsid w:val="00CC2D77"/>
    <w:rsid w:val="00CC2DA2"/>
    <w:rsid w:val="00CC2FF3"/>
    <w:rsid w:val="00CC31AF"/>
    <w:rsid w:val="00CC31CC"/>
    <w:rsid w:val="00CC3254"/>
    <w:rsid w:val="00CC32C5"/>
    <w:rsid w:val="00CC34A7"/>
    <w:rsid w:val="00CC35EA"/>
    <w:rsid w:val="00CC37A8"/>
    <w:rsid w:val="00CC3C98"/>
    <w:rsid w:val="00CC3FF6"/>
    <w:rsid w:val="00CC40B6"/>
    <w:rsid w:val="00CC428C"/>
    <w:rsid w:val="00CC436A"/>
    <w:rsid w:val="00CC4464"/>
    <w:rsid w:val="00CC44CC"/>
    <w:rsid w:val="00CC455F"/>
    <w:rsid w:val="00CC480F"/>
    <w:rsid w:val="00CC4997"/>
    <w:rsid w:val="00CC49BE"/>
    <w:rsid w:val="00CC4C41"/>
    <w:rsid w:val="00CC4FDF"/>
    <w:rsid w:val="00CC5045"/>
    <w:rsid w:val="00CC5073"/>
    <w:rsid w:val="00CC512A"/>
    <w:rsid w:val="00CC52EE"/>
    <w:rsid w:val="00CC52F2"/>
    <w:rsid w:val="00CC5357"/>
    <w:rsid w:val="00CC55BA"/>
    <w:rsid w:val="00CC58D4"/>
    <w:rsid w:val="00CC5A15"/>
    <w:rsid w:val="00CC5A87"/>
    <w:rsid w:val="00CC5B7E"/>
    <w:rsid w:val="00CC5CA6"/>
    <w:rsid w:val="00CC5CE2"/>
    <w:rsid w:val="00CC5D12"/>
    <w:rsid w:val="00CC5F0E"/>
    <w:rsid w:val="00CC60A5"/>
    <w:rsid w:val="00CC6239"/>
    <w:rsid w:val="00CC62CF"/>
    <w:rsid w:val="00CC63AA"/>
    <w:rsid w:val="00CC63B9"/>
    <w:rsid w:val="00CC6430"/>
    <w:rsid w:val="00CC6779"/>
    <w:rsid w:val="00CC6859"/>
    <w:rsid w:val="00CC69F4"/>
    <w:rsid w:val="00CC6BD3"/>
    <w:rsid w:val="00CC6CBA"/>
    <w:rsid w:val="00CC6CC9"/>
    <w:rsid w:val="00CC6D72"/>
    <w:rsid w:val="00CC6DF1"/>
    <w:rsid w:val="00CC6E27"/>
    <w:rsid w:val="00CC6E2F"/>
    <w:rsid w:val="00CC6F63"/>
    <w:rsid w:val="00CC7073"/>
    <w:rsid w:val="00CC7089"/>
    <w:rsid w:val="00CC70F1"/>
    <w:rsid w:val="00CC7321"/>
    <w:rsid w:val="00CC7413"/>
    <w:rsid w:val="00CC7472"/>
    <w:rsid w:val="00CC748F"/>
    <w:rsid w:val="00CC74F1"/>
    <w:rsid w:val="00CC75E8"/>
    <w:rsid w:val="00CC75F8"/>
    <w:rsid w:val="00CC7656"/>
    <w:rsid w:val="00CC77C7"/>
    <w:rsid w:val="00CC77DA"/>
    <w:rsid w:val="00CC78EB"/>
    <w:rsid w:val="00CC7BAA"/>
    <w:rsid w:val="00CC7C49"/>
    <w:rsid w:val="00CC7CAB"/>
    <w:rsid w:val="00CC7D6E"/>
    <w:rsid w:val="00CC7D78"/>
    <w:rsid w:val="00CC7DF8"/>
    <w:rsid w:val="00CC7F4A"/>
    <w:rsid w:val="00CC7FFD"/>
    <w:rsid w:val="00CD01D8"/>
    <w:rsid w:val="00CD02CE"/>
    <w:rsid w:val="00CD034D"/>
    <w:rsid w:val="00CD0383"/>
    <w:rsid w:val="00CD043E"/>
    <w:rsid w:val="00CD04BD"/>
    <w:rsid w:val="00CD055E"/>
    <w:rsid w:val="00CD07E2"/>
    <w:rsid w:val="00CD0842"/>
    <w:rsid w:val="00CD087C"/>
    <w:rsid w:val="00CD0C6E"/>
    <w:rsid w:val="00CD0D0F"/>
    <w:rsid w:val="00CD0EAD"/>
    <w:rsid w:val="00CD1090"/>
    <w:rsid w:val="00CD10B6"/>
    <w:rsid w:val="00CD10C3"/>
    <w:rsid w:val="00CD11F1"/>
    <w:rsid w:val="00CD1219"/>
    <w:rsid w:val="00CD126B"/>
    <w:rsid w:val="00CD1433"/>
    <w:rsid w:val="00CD155E"/>
    <w:rsid w:val="00CD158B"/>
    <w:rsid w:val="00CD1738"/>
    <w:rsid w:val="00CD181E"/>
    <w:rsid w:val="00CD18A3"/>
    <w:rsid w:val="00CD1902"/>
    <w:rsid w:val="00CD1944"/>
    <w:rsid w:val="00CD1B67"/>
    <w:rsid w:val="00CD1BFE"/>
    <w:rsid w:val="00CD1CAD"/>
    <w:rsid w:val="00CD1DD1"/>
    <w:rsid w:val="00CD204A"/>
    <w:rsid w:val="00CD23F2"/>
    <w:rsid w:val="00CD2741"/>
    <w:rsid w:val="00CD2746"/>
    <w:rsid w:val="00CD28FD"/>
    <w:rsid w:val="00CD2A57"/>
    <w:rsid w:val="00CD2A78"/>
    <w:rsid w:val="00CD2B3D"/>
    <w:rsid w:val="00CD2C19"/>
    <w:rsid w:val="00CD2FAA"/>
    <w:rsid w:val="00CD30A2"/>
    <w:rsid w:val="00CD30DC"/>
    <w:rsid w:val="00CD31F6"/>
    <w:rsid w:val="00CD3225"/>
    <w:rsid w:val="00CD3269"/>
    <w:rsid w:val="00CD32EF"/>
    <w:rsid w:val="00CD330E"/>
    <w:rsid w:val="00CD3357"/>
    <w:rsid w:val="00CD335D"/>
    <w:rsid w:val="00CD34F4"/>
    <w:rsid w:val="00CD3537"/>
    <w:rsid w:val="00CD3554"/>
    <w:rsid w:val="00CD3615"/>
    <w:rsid w:val="00CD363F"/>
    <w:rsid w:val="00CD36DB"/>
    <w:rsid w:val="00CD3876"/>
    <w:rsid w:val="00CD38D8"/>
    <w:rsid w:val="00CD396B"/>
    <w:rsid w:val="00CD3A13"/>
    <w:rsid w:val="00CD3A3D"/>
    <w:rsid w:val="00CD3B3A"/>
    <w:rsid w:val="00CD3BD5"/>
    <w:rsid w:val="00CD3DDE"/>
    <w:rsid w:val="00CD40E5"/>
    <w:rsid w:val="00CD4146"/>
    <w:rsid w:val="00CD462F"/>
    <w:rsid w:val="00CD473F"/>
    <w:rsid w:val="00CD47D1"/>
    <w:rsid w:val="00CD49D3"/>
    <w:rsid w:val="00CD4FD3"/>
    <w:rsid w:val="00CD5191"/>
    <w:rsid w:val="00CD55D9"/>
    <w:rsid w:val="00CD55DF"/>
    <w:rsid w:val="00CD5915"/>
    <w:rsid w:val="00CD59C6"/>
    <w:rsid w:val="00CD5F5D"/>
    <w:rsid w:val="00CD6448"/>
    <w:rsid w:val="00CD6528"/>
    <w:rsid w:val="00CD653E"/>
    <w:rsid w:val="00CD6542"/>
    <w:rsid w:val="00CD660D"/>
    <w:rsid w:val="00CD6873"/>
    <w:rsid w:val="00CD69D3"/>
    <w:rsid w:val="00CD6A80"/>
    <w:rsid w:val="00CD6B2F"/>
    <w:rsid w:val="00CD6B92"/>
    <w:rsid w:val="00CD6D00"/>
    <w:rsid w:val="00CD6D47"/>
    <w:rsid w:val="00CD6D7F"/>
    <w:rsid w:val="00CD6DB2"/>
    <w:rsid w:val="00CD6E73"/>
    <w:rsid w:val="00CD7056"/>
    <w:rsid w:val="00CD7153"/>
    <w:rsid w:val="00CD7189"/>
    <w:rsid w:val="00CD71E1"/>
    <w:rsid w:val="00CD722E"/>
    <w:rsid w:val="00CD72F9"/>
    <w:rsid w:val="00CD7374"/>
    <w:rsid w:val="00CD73C2"/>
    <w:rsid w:val="00CD73F0"/>
    <w:rsid w:val="00CD7406"/>
    <w:rsid w:val="00CD7659"/>
    <w:rsid w:val="00CD76AF"/>
    <w:rsid w:val="00CD7780"/>
    <w:rsid w:val="00CD77AD"/>
    <w:rsid w:val="00CD7839"/>
    <w:rsid w:val="00CD79E4"/>
    <w:rsid w:val="00CD7AED"/>
    <w:rsid w:val="00CD7BBA"/>
    <w:rsid w:val="00CD7F97"/>
    <w:rsid w:val="00CE00B0"/>
    <w:rsid w:val="00CE0189"/>
    <w:rsid w:val="00CE01E5"/>
    <w:rsid w:val="00CE040C"/>
    <w:rsid w:val="00CE04CE"/>
    <w:rsid w:val="00CE05C6"/>
    <w:rsid w:val="00CE0703"/>
    <w:rsid w:val="00CE0720"/>
    <w:rsid w:val="00CE0753"/>
    <w:rsid w:val="00CE076D"/>
    <w:rsid w:val="00CE07E8"/>
    <w:rsid w:val="00CE0816"/>
    <w:rsid w:val="00CE0885"/>
    <w:rsid w:val="00CE0C04"/>
    <w:rsid w:val="00CE0CCA"/>
    <w:rsid w:val="00CE0D7F"/>
    <w:rsid w:val="00CE0E21"/>
    <w:rsid w:val="00CE0E88"/>
    <w:rsid w:val="00CE0F01"/>
    <w:rsid w:val="00CE1081"/>
    <w:rsid w:val="00CE10C4"/>
    <w:rsid w:val="00CE1170"/>
    <w:rsid w:val="00CE121D"/>
    <w:rsid w:val="00CE1287"/>
    <w:rsid w:val="00CE137B"/>
    <w:rsid w:val="00CE1B64"/>
    <w:rsid w:val="00CE1C90"/>
    <w:rsid w:val="00CE1DBA"/>
    <w:rsid w:val="00CE1DC6"/>
    <w:rsid w:val="00CE1F03"/>
    <w:rsid w:val="00CE1F44"/>
    <w:rsid w:val="00CE1FA9"/>
    <w:rsid w:val="00CE2029"/>
    <w:rsid w:val="00CE21AA"/>
    <w:rsid w:val="00CE2667"/>
    <w:rsid w:val="00CE268A"/>
    <w:rsid w:val="00CE2967"/>
    <w:rsid w:val="00CE2AAB"/>
    <w:rsid w:val="00CE2ABC"/>
    <w:rsid w:val="00CE2D53"/>
    <w:rsid w:val="00CE2DDE"/>
    <w:rsid w:val="00CE2E84"/>
    <w:rsid w:val="00CE2EDD"/>
    <w:rsid w:val="00CE2F1A"/>
    <w:rsid w:val="00CE2F59"/>
    <w:rsid w:val="00CE2F61"/>
    <w:rsid w:val="00CE3031"/>
    <w:rsid w:val="00CE3154"/>
    <w:rsid w:val="00CE324F"/>
    <w:rsid w:val="00CE32AB"/>
    <w:rsid w:val="00CE32C6"/>
    <w:rsid w:val="00CE341B"/>
    <w:rsid w:val="00CE3517"/>
    <w:rsid w:val="00CE3595"/>
    <w:rsid w:val="00CE3623"/>
    <w:rsid w:val="00CE3986"/>
    <w:rsid w:val="00CE3A20"/>
    <w:rsid w:val="00CE3E51"/>
    <w:rsid w:val="00CE3FE9"/>
    <w:rsid w:val="00CE40D0"/>
    <w:rsid w:val="00CE420A"/>
    <w:rsid w:val="00CE445C"/>
    <w:rsid w:val="00CE447E"/>
    <w:rsid w:val="00CE477B"/>
    <w:rsid w:val="00CE4A1F"/>
    <w:rsid w:val="00CE4A61"/>
    <w:rsid w:val="00CE4B7F"/>
    <w:rsid w:val="00CE4DD1"/>
    <w:rsid w:val="00CE4E02"/>
    <w:rsid w:val="00CE5055"/>
    <w:rsid w:val="00CE510B"/>
    <w:rsid w:val="00CE5172"/>
    <w:rsid w:val="00CE51CA"/>
    <w:rsid w:val="00CE5248"/>
    <w:rsid w:val="00CE53CF"/>
    <w:rsid w:val="00CE5418"/>
    <w:rsid w:val="00CE55B7"/>
    <w:rsid w:val="00CE59A3"/>
    <w:rsid w:val="00CE59F3"/>
    <w:rsid w:val="00CE5AF9"/>
    <w:rsid w:val="00CE5BBC"/>
    <w:rsid w:val="00CE5D17"/>
    <w:rsid w:val="00CE5D49"/>
    <w:rsid w:val="00CE5D58"/>
    <w:rsid w:val="00CE5F29"/>
    <w:rsid w:val="00CE605E"/>
    <w:rsid w:val="00CE6069"/>
    <w:rsid w:val="00CE60A6"/>
    <w:rsid w:val="00CE612E"/>
    <w:rsid w:val="00CE648D"/>
    <w:rsid w:val="00CE64D8"/>
    <w:rsid w:val="00CE65B8"/>
    <w:rsid w:val="00CE65D7"/>
    <w:rsid w:val="00CE66F2"/>
    <w:rsid w:val="00CE6769"/>
    <w:rsid w:val="00CE681C"/>
    <w:rsid w:val="00CE6834"/>
    <w:rsid w:val="00CE689D"/>
    <w:rsid w:val="00CE68C3"/>
    <w:rsid w:val="00CE696E"/>
    <w:rsid w:val="00CE69C9"/>
    <w:rsid w:val="00CE6AD0"/>
    <w:rsid w:val="00CE6B04"/>
    <w:rsid w:val="00CE6BA5"/>
    <w:rsid w:val="00CE6C08"/>
    <w:rsid w:val="00CE6C45"/>
    <w:rsid w:val="00CE6C70"/>
    <w:rsid w:val="00CE6E84"/>
    <w:rsid w:val="00CE70D6"/>
    <w:rsid w:val="00CE72C8"/>
    <w:rsid w:val="00CE7305"/>
    <w:rsid w:val="00CE7698"/>
    <w:rsid w:val="00CE7852"/>
    <w:rsid w:val="00CE789D"/>
    <w:rsid w:val="00CE791B"/>
    <w:rsid w:val="00CE797A"/>
    <w:rsid w:val="00CE79F0"/>
    <w:rsid w:val="00CE7AC0"/>
    <w:rsid w:val="00CE7AC8"/>
    <w:rsid w:val="00CE7C89"/>
    <w:rsid w:val="00CE7C93"/>
    <w:rsid w:val="00CE7E69"/>
    <w:rsid w:val="00CE7F41"/>
    <w:rsid w:val="00CF02B0"/>
    <w:rsid w:val="00CF0387"/>
    <w:rsid w:val="00CF03E6"/>
    <w:rsid w:val="00CF046F"/>
    <w:rsid w:val="00CF0A4F"/>
    <w:rsid w:val="00CF0A7E"/>
    <w:rsid w:val="00CF0CCB"/>
    <w:rsid w:val="00CF0D24"/>
    <w:rsid w:val="00CF0DA1"/>
    <w:rsid w:val="00CF0E18"/>
    <w:rsid w:val="00CF0E94"/>
    <w:rsid w:val="00CF0EE9"/>
    <w:rsid w:val="00CF106E"/>
    <w:rsid w:val="00CF110D"/>
    <w:rsid w:val="00CF112F"/>
    <w:rsid w:val="00CF125A"/>
    <w:rsid w:val="00CF138D"/>
    <w:rsid w:val="00CF150E"/>
    <w:rsid w:val="00CF1552"/>
    <w:rsid w:val="00CF161A"/>
    <w:rsid w:val="00CF1863"/>
    <w:rsid w:val="00CF1A7B"/>
    <w:rsid w:val="00CF1BD0"/>
    <w:rsid w:val="00CF1C05"/>
    <w:rsid w:val="00CF1CE9"/>
    <w:rsid w:val="00CF243D"/>
    <w:rsid w:val="00CF2444"/>
    <w:rsid w:val="00CF290A"/>
    <w:rsid w:val="00CF29C6"/>
    <w:rsid w:val="00CF29D9"/>
    <w:rsid w:val="00CF2B19"/>
    <w:rsid w:val="00CF2C29"/>
    <w:rsid w:val="00CF2F7E"/>
    <w:rsid w:val="00CF30A1"/>
    <w:rsid w:val="00CF30D3"/>
    <w:rsid w:val="00CF34A7"/>
    <w:rsid w:val="00CF34D1"/>
    <w:rsid w:val="00CF3516"/>
    <w:rsid w:val="00CF3610"/>
    <w:rsid w:val="00CF36B9"/>
    <w:rsid w:val="00CF374E"/>
    <w:rsid w:val="00CF384F"/>
    <w:rsid w:val="00CF38A1"/>
    <w:rsid w:val="00CF39B4"/>
    <w:rsid w:val="00CF3A8A"/>
    <w:rsid w:val="00CF3AB1"/>
    <w:rsid w:val="00CF3AC7"/>
    <w:rsid w:val="00CF401D"/>
    <w:rsid w:val="00CF4087"/>
    <w:rsid w:val="00CF44B5"/>
    <w:rsid w:val="00CF451F"/>
    <w:rsid w:val="00CF4523"/>
    <w:rsid w:val="00CF45BC"/>
    <w:rsid w:val="00CF4874"/>
    <w:rsid w:val="00CF49AD"/>
    <w:rsid w:val="00CF4A29"/>
    <w:rsid w:val="00CF4AD0"/>
    <w:rsid w:val="00CF4D4F"/>
    <w:rsid w:val="00CF4D8F"/>
    <w:rsid w:val="00CF5001"/>
    <w:rsid w:val="00CF505F"/>
    <w:rsid w:val="00CF5303"/>
    <w:rsid w:val="00CF55B4"/>
    <w:rsid w:val="00CF56B2"/>
    <w:rsid w:val="00CF5A63"/>
    <w:rsid w:val="00CF5BC3"/>
    <w:rsid w:val="00CF5C48"/>
    <w:rsid w:val="00CF5D0A"/>
    <w:rsid w:val="00CF5E4D"/>
    <w:rsid w:val="00CF5F1A"/>
    <w:rsid w:val="00CF6279"/>
    <w:rsid w:val="00CF628B"/>
    <w:rsid w:val="00CF631A"/>
    <w:rsid w:val="00CF6453"/>
    <w:rsid w:val="00CF6481"/>
    <w:rsid w:val="00CF64B7"/>
    <w:rsid w:val="00CF6594"/>
    <w:rsid w:val="00CF6599"/>
    <w:rsid w:val="00CF65FA"/>
    <w:rsid w:val="00CF6673"/>
    <w:rsid w:val="00CF67E0"/>
    <w:rsid w:val="00CF6929"/>
    <w:rsid w:val="00CF6971"/>
    <w:rsid w:val="00CF6AC8"/>
    <w:rsid w:val="00CF6B79"/>
    <w:rsid w:val="00CF6C74"/>
    <w:rsid w:val="00CF6CA1"/>
    <w:rsid w:val="00CF718F"/>
    <w:rsid w:val="00CF7218"/>
    <w:rsid w:val="00CF72CE"/>
    <w:rsid w:val="00CF7443"/>
    <w:rsid w:val="00CF7579"/>
    <w:rsid w:val="00CF7591"/>
    <w:rsid w:val="00CF759C"/>
    <w:rsid w:val="00CF763A"/>
    <w:rsid w:val="00CF7700"/>
    <w:rsid w:val="00CF770E"/>
    <w:rsid w:val="00CF777F"/>
    <w:rsid w:val="00CF7835"/>
    <w:rsid w:val="00CF783C"/>
    <w:rsid w:val="00CF79CF"/>
    <w:rsid w:val="00CF7A3D"/>
    <w:rsid w:val="00CF7AB3"/>
    <w:rsid w:val="00CF7AB7"/>
    <w:rsid w:val="00CF7B15"/>
    <w:rsid w:val="00CF7D82"/>
    <w:rsid w:val="00D00048"/>
    <w:rsid w:val="00D00107"/>
    <w:rsid w:val="00D001C3"/>
    <w:rsid w:val="00D00270"/>
    <w:rsid w:val="00D002EB"/>
    <w:rsid w:val="00D003F8"/>
    <w:rsid w:val="00D0050D"/>
    <w:rsid w:val="00D0055E"/>
    <w:rsid w:val="00D00694"/>
    <w:rsid w:val="00D0092A"/>
    <w:rsid w:val="00D0094E"/>
    <w:rsid w:val="00D00A91"/>
    <w:rsid w:val="00D00AD4"/>
    <w:rsid w:val="00D00BAC"/>
    <w:rsid w:val="00D00BBA"/>
    <w:rsid w:val="00D00E17"/>
    <w:rsid w:val="00D01068"/>
    <w:rsid w:val="00D01069"/>
    <w:rsid w:val="00D010AE"/>
    <w:rsid w:val="00D010C9"/>
    <w:rsid w:val="00D0121F"/>
    <w:rsid w:val="00D0124F"/>
    <w:rsid w:val="00D0158A"/>
    <w:rsid w:val="00D01598"/>
    <w:rsid w:val="00D01626"/>
    <w:rsid w:val="00D01852"/>
    <w:rsid w:val="00D018E4"/>
    <w:rsid w:val="00D01A41"/>
    <w:rsid w:val="00D01D53"/>
    <w:rsid w:val="00D01D62"/>
    <w:rsid w:val="00D01F0A"/>
    <w:rsid w:val="00D01F52"/>
    <w:rsid w:val="00D01FBE"/>
    <w:rsid w:val="00D020AD"/>
    <w:rsid w:val="00D02454"/>
    <w:rsid w:val="00D024AD"/>
    <w:rsid w:val="00D0265D"/>
    <w:rsid w:val="00D026B3"/>
    <w:rsid w:val="00D028A4"/>
    <w:rsid w:val="00D028AB"/>
    <w:rsid w:val="00D028F8"/>
    <w:rsid w:val="00D02949"/>
    <w:rsid w:val="00D02961"/>
    <w:rsid w:val="00D02AB8"/>
    <w:rsid w:val="00D02B3A"/>
    <w:rsid w:val="00D02B45"/>
    <w:rsid w:val="00D02C0C"/>
    <w:rsid w:val="00D02D06"/>
    <w:rsid w:val="00D02E2B"/>
    <w:rsid w:val="00D02E79"/>
    <w:rsid w:val="00D02FA5"/>
    <w:rsid w:val="00D030C4"/>
    <w:rsid w:val="00D030DE"/>
    <w:rsid w:val="00D0319A"/>
    <w:rsid w:val="00D03269"/>
    <w:rsid w:val="00D032D9"/>
    <w:rsid w:val="00D03352"/>
    <w:rsid w:val="00D033AD"/>
    <w:rsid w:val="00D03587"/>
    <w:rsid w:val="00D035F8"/>
    <w:rsid w:val="00D03645"/>
    <w:rsid w:val="00D03A7D"/>
    <w:rsid w:val="00D03AD9"/>
    <w:rsid w:val="00D03C3D"/>
    <w:rsid w:val="00D04054"/>
    <w:rsid w:val="00D0405A"/>
    <w:rsid w:val="00D044BC"/>
    <w:rsid w:val="00D04551"/>
    <w:rsid w:val="00D045FE"/>
    <w:rsid w:val="00D0491D"/>
    <w:rsid w:val="00D04931"/>
    <w:rsid w:val="00D0495E"/>
    <w:rsid w:val="00D04A8A"/>
    <w:rsid w:val="00D04BC6"/>
    <w:rsid w:val="00D04C1A"/>
    <w:rsid w:val="00D04C43"/>
    <w:rsid w:val="00D04CEF"/>
    <w:rsid w:val="00D04D5F"/>
    <w:rsid w:val="00D04E16"/>
    <w:rsid w:val="00D04E7F"/>
    <w:rsid w:val="00D051B6"/>
    <w:rsid w:val="00D054BD"/>
    <w:rsid w:val="00D055DF"/>
    <w:rsid w:val="00D057C8"/>
    <w:rsid w:val="00D058FF"/>
    <w:rsid w:val="00D05A84"/>
    <w:rsid w:val="00D05ADD"/>
    <w:rsid w:val="00D05BED"/>
    <w:rsid w:val="00D05D4B"/>
    <w:rsid w:val="00D061E5"/>
    <w:rsid w:val="00D061F9"/>
    <w:rsid w:val="00D06436"/>
    <w:rsid w:val="00D065E6"/>
    <w:rsid w:val="00D06640"/>
    <w:rsid w:val="00D06693"/>
    <w:rsid w:val="00D06935"/>
    <w:rsid w:val="00D06A65"/>
    <w:rsid w:val="00D06A6F"/>
    <w:rsid w:val="00D06B1D"/>
    <w:rsid w:val="00D06B54"/>
    <w:rsid w:val="00D06C10"/>
    <w:rsid w:val="00D06E00"/>
    <w:rsid w:val="00D0700E"/>
    <w:rsid w:val="00D0706E"/>
    <w:rsid w:val="00D0747A"/>
    <w:rsid w:val="00D07579"/>
    <w:rsid w:val="00D075A1"/>
    <w:rsid w:val="00D07609"/>
    <w:rsid w:val="00D07620"/>
    <w:rsid w:val="00D07711"/>
    <w:rsid w:val="00D07746"/>
    <w:rsid w:val="00D07944"/>
    <w:rsid w:val="00D07A4E"/>
    <w:rsid w:val="00D07ACD"/>
    <w:rsid w:val="00D07C44"/>
    <w:rsid w:val="00D07FE4"/>
    <w:rsid w:val="00D1019E"/>
    <w:rsid w:val="00D102D2"/>
    <w:rsid w:val="00D103A2"/>
    <w:rsid w:val="00D104C0"/>
    <w:rsid w:val="00D1052B"/>
    <w:rsid w:val="00D105A6"/>
    <w:rsid w:val="00D10682"/>
    <w:rsid w:val="00D10887"/>
    <w:rsid w:val="00D10D3A"/>
    <w:rsid w:val="00D10EEB"/>
    <w:rsid w:val="00D10F4D"/>
    <w:rsid w:val="00D1104E"/>
    <w:rsid w:val="00D1113D"/>
    <w:rsid w:val="00D11331"/>
    <w:rsid w:val="00D11439"/>
    <w:rsid w:val="00D114E8"/>
    <w:rsid w:val="00D1150E"/>
    <w:rsid w:val="00D116BE"/>
    <w:rsid w:val="00D11868"/>
    <w:rsid w:val="00D11B7C"/>
    <w:rsid w:val="00D11EAE"/>
    <w:rsid w:val="00D12022"/>
    <w:rsid w:val="00D12032"/>
    <w:rsid w:val="00D12260"/>
    <w:rsid w:val="00D124E9"/>
    <w:rsid w:val="00D12584"/>
    <w:rsid w:val="00D125C2"/>
    <w:rsid w:val="00D12632"/>
    <w:rsid w:val="00D12867"/>
    <w:rsid w:val="00D128E7"/>
    <w:rsid w:val="00D12B25"/>
    <w:rsid w:val="00D12D55"/>
    <w:rsid w:val="00D13110"/>
    <w:rsid w:val="00D1348D"/>
    <w:rsid w:val="00D135C5"/>
    <w:rsid w:val="00D135D3"/>
    <w:rsid w:val="00D13660"/>
    <w:rsid w:val="00D1373E"/>
    <w:rsid w:val="00D13821"/>
    <w:rsid w:val="00D13824"/>
    <w:rsid w:val="00D13D3E"/>
    <w:rsid w:val="00D13EDD"/>
    <w:rsid w:val="00D14184"/>
    <w:rsid w:val="00D14213"/>
    <w:rsid w:val="00D1428B"/>
    <w:rsid w:val="00D144C3"/>
    <w:rsid w:val="00D1451A"/>
    <w:rsid w:val="00D14590"/>
    <w:rsid w:val="00D14706"/>
    <w:rsid w:val="00D14898"/>
    <w:rsid w:val="00D14AB6"/>
    <w:rsid w:val="00D14B39"/>
    <w:rsid w:val="00D14C1A"/>
    <w:rsid w:val="00D14DFB"/>
    <w:rsid w:val="00D14EBD"/>
    <w:rsid w:val="00D14F3F"/>
    <w:rsid w:val="00D1504B"/>
    <w:rsid w:val="00D15189"/>
    <w:rsid w:val="00D15257"/>
    <w:rsid w:val="00D152A3"/>
    <w:rsid w:val="00D1543D"/>
    <w:rsid w:val="00D156D2"/>
    <w:rsid w:val="00D15802"/>
    <w:rsid w:val="00D15C24"/>
    <w:rsid w:val="00D15CDD"/>
    <w:rsid w:val="00D15DDB"/>
    <w:rsid w:val="00D15E21"/>
    <w:rsid w:val="00D160BE"/>
    <w:rsid w:val="00D16183"/>
    <w:rsid w:val="00D162C4"/>
    <w:rsid w:val="00D16312"/>
    <w:rsid w:val="00D16323"/>
    <w:rsid w:val="00D163C5"/>
    <w:rsid w:val="00D1645D"/>
    <w:rsid w:val="00D164C8"/>
    <w:rsid w:val="00D166D6"/>
    <w:rsid w:val="00D167A6"/>
    <w:rsid w:val="00D167E0"/>
    <w:rsid w:val="00D167EB"/>
    <w:rsid w:val="00D1681E"/>
    <w:rsid w:val="00D1685D"/>
    <w:rsid w:val="00D16942"/>
    <w:rsid w:val="00D16B0A"/>
    <w:rsid w:val="00D16B31"/>
    <w:rsid w:val="00D16B47"/>
    <w:rsid w:val="00D16BE0"/>
    <w:rsid w:val="00D16DA0"/>
    <w:rsid w:val="00D16F13"/>
    <w:rsid w:val="00D17046"/>
    <w:rsid w:val="00D172E7"/>
    <w:rsid w:val="00D17660"/>
    <w:rsid w:val="00D17709"/>
    <w:rsid w:val="00D1776E"/>
    <w:rsid w:val="00D17ABE"/>
    <w:rsid w:val="00D17CDE"/>
    <w:rsid w:val="00D17E77"/>
    <w:rsid w:val="00D17EA5"/>
    <w:rsid w:val="00D17F54"/>
    <w:rsid w:val="00D17F8A"/>
    <w:rsid w:val="00D200E6"/>
    <w:rsid w:val="00D20106"/>
    <w:rsid w:val="00D2010B"/>
    <w:rsid w:val="00D20120"/>
    <w:rsid w:val="00D201B8"/>
    <w:rsid w:val="00D20292"/>
    <w:rsid w:val="00D20321"/>
    <w:rsid w:val="00D2094E"/>
    <w:rsid w:val="00D20B1E"/>
    <w:rsid w:val="00D20B54"/>
    <w:rsid w:val="00D20C6B"/>
    <w:rsid w:val="00D20C84"/>
    <w:rsid w:val="00D20EB3"/>
    <w:rsid w:val="00D20F74"/>
    <w:rsid w:val="00D20FE6"/>
    <w:rsid w:val="00D20FFC"/>
    <w:rsid w:val="00D2109E"/>
    <w:rsid w:val="00D21237"/>
    <w:rsid w:val="00D2154C"/>
    <w:rsid w:val="00D2158C"/>
    <w:rsid w:val="00D21621"/>
    <w:rsid w:val="00D21734"/>
    <w:rsid w:val="00D2179F"/>
    <w:rsid w:val="00D2182B"/>
    <w:rsid w:val="00D21837"/>
    <w:rsid w:val="00D218AA"/>
    <w:rsid w:val="00D21910"/>
    <w:rsid w:val="00D2192B"/>
    <w:rsid w:val="00D21C58"/>
    <w:rsid w:val="00D21FD2"/>
    <w:rsid w:val="00D21FEA"/>
    <w:rsid w:val="00D2202F"/>
    <w:rsid w:val="00D22243"/>
    <w:rsid w:val="00D222C5"/>
    <w:rsid w:val="00D222F6"/>
    <w:rsid w:val="00D22469"/>
    <w:rsid w:val="00D22908"/>
    <w:rsid w:val="00D22949"/>
    <w:rsid w:val="00D22973"/>
    <w:rsid w:val="00D22AB9"/>
    <w:rsid w:val="00D22C79"/>
    <w:rsid w:val="00D22CB5"/>
    <w:rsid w:val="00D22CFC"/>
    <w:rsid w:val="00D23162"/>
    <w:rsid w:val="00D2325B"/>
    <w:rsid w:val="00D232F1"/>
    <w:rsid w:val="00D2356D"/>
    <w:rsid w:val="00D23AA4"/>
    <w:rsid w:val="00D23B00"/>
    <w:rsid w:val="00D23BDB"/>
    <w:rsid w:val="00D23C73"/>
    <w:rsid w:val="00D23D31"/>
    <w:rsid w:val="00D23EB2"/>
    <w:rsid w:val="00D23F88"/>
    <w:rsid w:val="00D240F5"/>
    <w:rsid w:val="00D241A4"/>
    <w:rsid w:val="00D2436A"/>
    <w:rsid w:val="00D24626"/>
    <w:rsid w:val="00D248BE"/>
    <w:rsid w:val="00D249E0"/>
    <w:rsid w:val="00D249EF"/>
    <w:rsid w:val="00D24A85"/>
    <w:rsid w:val="00D24AA5"/>
    <w:rsid w:val="00D24EF4"/>
    <w:rsid w:val="00D24F9E"/>
    <w:rsid w:val="00D250C9"/>
    <w:rsid w:val="00D251F2"/>
    <w:rsid w:val="00D25276"/>
    <w:rsid w:val="00D2566D"/>
    <w:rsid w:val="00D2574A"/>
    <w:rsid w:val="00D2596E"/>
    <w:rsid w:val="00D25A1C"/>
    <w:rsid w:val="00D25B14"/>
    <w:rsid w:val="00D25B43"/>
    <w:rsid w:val="00D25D27"/>
    <w:rsid w:val="00D25D45"/>
    <w:rsid w:val="00D25D5A"/>
    <w:rsid w:val="00D25E2E"/>
    <w:rsid w:val="00D25E42"/>
    <w:rsid w:val="00D25E68"/>
    <w:rsid w:val="00D25F48"/>
    <w:rsid w:val="00D261C2"/>
    <w:rsid w:val="00D261CC"/>
    <w:rsid w:val="00D263EF"/>
    <w:rsid w:val="00D2647E"/>
    <w:rsid w:val="00D26498"/>
    <w:rsid w:val="00D26533"/>
    <w:rsid w:val="00D2654C"/>
    <w:rsid w:val="00D26833"/>
    <w:rsid w:val="00D269D0"/>
    <w:rsid w:val="00D26DC2"/>
    <w:rsid w:val="00D26DF3"/>
    <w:rsid w:val="00D26E43"/>
    <w:rsid w:val="00D26FFA"/>
    <w:rsid w:val="00D271D0"/>
    <w:rsid w:val="00D271DA"/>
    <w:rsid w:val="00D272FE"/>
    <w:rsid w:val="00D27341"/>
    <w:rsid w:val="00D273B5"/>
    <w:rsid w:val="00D273EA"/>
    <w:rsid w:val="00D27424"/>
    <w:rsid w:val="00D27434"/>
    <w:rsid w:val="00D274FE"/>
    <w:rsid w:val="00D276F5"/>
    <w:rsid w:val="00D277B3"/>
    <w:rsid w:val="00D277EF"/>
    <w:rsid w:val="00D2785A"/>
    <w:rsid w:val="00D27924"/>
    <w:rsid w:val="00D2794A"/>
    <w:rsid w:val="00D27A32"/>
    <w:rsid w:val="00D27C62"/>
    <w:rsid w:val="00D3019D"/>
    <w:rsid w:val="00D30280"/>
    <w:rsid w:val="00D30706"/>
    <w:rsid w:val="00D30A2C"/>
    <w:rsid w:val="00D30C31"/>
    <w:rsid w:val="00D30CEF"/>
    <w:rsid w:val="00D30DBB"/>
    <w:rsid w:val="00D30E47"/>
    <w:rsid w:val="00D30E57"/>
    <w:rsid w:val="00D3106C"/>
    <w:rsid w:val="00D31157"/>
    <w:rsid w:val="00D3169B"/>
    <w:rsid w:val="00D317A4"/>
    <w:rsid w:val="00D31853"/>
    <w:rsid w:val="00D3190F"/>
    <w:rsid w:val="00D31A71"/>
    <w:rsid w:val="00D31B0D"/>
    <w:rsid w:val="00D31B42"/>
    <w:rsid w:val="00D31D3B"/>
    <w:rsid w:val="00D31F0B"/>
    <w:rsid w:val="00D320D9"/>
    <w:rsid w:val="00D3214F"/>
    <w:rsid w:val="00D32304"/>
    <w:rsid w:val="00D32310"/>
    <w:rsid w:val="00D32459"/>
    <w:rsid w:val="00D325F2"/>
    <w:rsid w:val="00D32665"/>
    <w:rsid w:val="00D32727"/>
    <w:rsid w:val="00D32837"/>
    <w:rsid w:val="00D32A62"/>
    <w:rsid w:val="00D32AAC"/>
    <w:rsid w:val="00D32BFA"/>
    <w:rsid w:val="00D32C16"/>
    <w:rsid w:val="00D32C91"/>
    <w:rsid w:val="00D32E35"/>
    <w:rsid w:val="00D32F1A"/>
    <w:rsid w:val="00D32F81"/>
    <w:rsid w:val="00D32FA0"/>
    <w:rsid w:val="00D32FEC"/>
    <w:rsid w:val="00D33010"/>
    <w:rsid w:val="00D33157"/>
    <w:rsid w:val="00D33237"/>
    <w:rsid w:val="00D332CF"/>
    <w:rsid w:val="00D33388"/>
    <w:rsid w:val="00D33421"/>
    <w:rsid w:val="00D33492"/>
    <w:rsid w:val="00D334AE"/>
    <w:rsid w:val="00D336E4"/>
    <w:rsid w:val="00D33A27"/>
    <w:rsid w:val="00D33A85"/>
    <w:rsid w:val="00D33C4A"/>
    <w:rsid w:val="00D33CF2"/>
    <w:rsid w:val="00D33E4F"/>
    <w:rsid w:val="00D33ECE"/>
    <w:rsid w:val="00D33EE1"/>
    <w:rsid w:val="00D33F7F"/>
    <w:rsid w:val="00D33FBE"/>
    <w:rsid w:val="00D342FF"/>
    <w:rsid w:val="00D34445"/>
    <w:rsid w:val="00D3451A"/>
    <w:rsid w:val="00D348E1"/>
    <w:rsid w:val="00D3498D"/>
    <w:rsid w:val="00D34B7B"/>
    <w:rsid w:val="00D34BC7"/>
    <w:rsid w:val="00D34C86"/>
    <w:rsid w:val="00D34F0D"/>
    <w:rsid w:val="00D3512E"/>
    <w:rsid w:val="00D35490"/>
    <w:rsid w:val="00D35635"/>
    <w:rsid w:val="00D35698"/>
    <w:rsid w:val="00D3575B"/>
    <w:rsid w:val="00D357B0"/>
    <w:rsid w:val="00D35904"/>
    <w:rsid w:val="00D3593E"/>
    <w:rsid w:val="00D35B0A"/>
    <w:rsid w:val="00D35BC9"/>
    <w:rsid w:val="00D35E61"/>
    <w:rsid w:val="00D35FD7"/>
    <w:rsid w:val="00D361C4"/>
    <w:rsid w:val="00D361F3"/>
    <w:rsid w:val="00D36238"/>
    <w:rsid w:val="00D36346"/>
    <w:rsid w:val="00D36380"/>
    <w:rsid w:val="00D363ED"/>
    <w:rsid w:val="00D36408"/>
    <w:rsid w:val="00D36560"/>
    <w:rsid w:val="00D36617"/>
    <w:rsid w:val="00D3673A"/>
    <w:rsid w:val="00D36790"/>
    <w:rsid w:val="00D3686B"/>
    <w:rsid w:val="00D36998"/>
    <w:rsid w:val="00D369B3"/>
    <w:rsid w:val="00D36B30"/>
    <w:rsid w:val="00D36C22"/>
    <w:rsid w:val="00D36CA3"/>
    <w:rsid w:val="00D36CCF"/>
    <w:rsid w:val="00D36DC4"/>
    <w:rsid w:val="00D36DD0"/>
    <w:rsid w:val="00D36EE2"/>
    <w:rsid w:val="00D36F9A"/>
    <w:rsid w:val="00D37012"/>
    <w:rsid w:val="00D3701D"/>
    <w:rsid w:val="00D370A3"/>
    <w:rsid w:val="00D372FE"/>
    <w:rsid w:val="00D3730D"/>
    <w:rsid w:val="00D37350"/>
    <w:rsid w:val="00D37559"/>
    <w:rsid w:val="00D3767E"/>
    <w:rsid w:val="00D376A5"/>
    <w:rsid w:val="00D37866"/>
    <w:rsid w:val="00D37A70"/>
    <w:rsid w:val="00D37AC0"/>
    <w:rsid w:val="00D37EC2"/>
    <w:rsid w:val="00D400BF"/>
    <w:rsid w:val="00D400EF"/>
    <w:rsid w:val="00D403CD"/>
    <w:rsid w:val="00D4046C"/>
    <w:rsid w:val="00D40541"/>
    <w:rsid w:val="00D406C9"/>
    <w:rsid w:val="00D40710"/>
    <w:rsid w:val="00D408C1"/>
    <w:rsid w:val="00D408EF"/>
    <w:rsid w:val="00D40AF7"/>
    <w:rsid w:val="00D40D28"/>
    <w:rsid w:val="00D40D51"/>
    <w:rsid w:val="00D40D61"/>
    <w:rsid w:val="00D40D9B"/>
    <w:rsid w:val="00D41182"/>
    <w:rsid w:val="00D41223"/>
    <w:rsid w:val="00D412E3"/>
    <w:rsid w:val="00D41762"/>
    <w:rsid w:val="00D41A3D"/>
    <w:rsid w:val="00D41C2E"/>
    <w:rsid w:val="00D41C42"/>
    <w:rsid w:val="00D41C66"/>
    <w:rsid w:val="00D41E93"/>
    <w:rsid w:val="00D41E9B"/>
    <w:rsid w:val="00D423D8"/>
    <w:rsid w:val="00D42532"/>
    <w:rsid w:val="00D42AAA"/>
    <w:rsid w:val="00D42B2B"/>
    <w:rsid w:val="00D42C9F"/>
    <w:rsid w:val="00D42CF8"/>
    <w:rsid w:val="00D42EE5"/>
    <w:rsid w:val="00D43264"/>
    <w:rsid w:val="00D433A7"/>
    <w:rsid w:val="00D4343F"/>
    <w:rsid w:val="00D43477"/>
    <w:rsid w:val="00D43525"/>
    <w:rsid w:val="00D43879"/>
    <w:rsid w:val="00D438E5"/>
    <w:rsid w:val="00D43993"/>
    <w:rsid w:val="00D439BC"/>
    <w:rsid w:val="00D43B2C"/>
    <w:rsid w:val="00D43C31"/>
    <w:rsid w:val="00D43CE2"/>
    <w:rsid w:val="00D43EB2"/>
    <w:rsid w:val="00D44157"/>
    <w:rsid w:val="00D4435A"/>
    <w:rsid w:val="00D443C7"/>
    <w:rsid w:val="00D4468E"/>
    <w:rsid w:val="00D446D7"/>
    <w:rsid w:val="00D44819"/>
    <w:rsid w:val="00D44989"/>
    <w:rsid w:val="00D449D8"/>
    <w:rsid w:val="00D44A5F"/>
    <w:rsid w:val="00D44A78"/>
    <w:rsid w:val="00D44AD3"/>
    <w:rsid w:val="00D44B24"/>
    <w:rsid w:val="00D44B9F"/>
    <w:rsid w:val="00D44D0C"/>
    <w:rsid w:val="00D44E2F"/>
    <w:rsid w:val="00D44E38"/>
    <w:rsid w:val="00D44EE2"/>
    <w:rsid w:val="00D44F02"/>
    <w:rsid w:val="00D44FD3"/>
    <w:rsid w:val="00D453ED"/>
    <w:rsid w:val="00D454CC"/>
    <w:rsid w:val="00D4569B"/>
    <w:rsid w:val="00D45737"/>
    <w:rsid w:val="00D45744"/>
    <w:rsid w:val="00D457F3"/>
    <w:rsid w:val="00D4582C"/>
    <w:rsid w:val="00D458DF"/>
    <w:rsid w:val="00D45D7D"/>
    <w:rsid w:val="00D45DDF"/>
    <w:rsid w:val="00D45F9E"/>
    <w:rsid w:val="00D45FF7"/>
    <w:rsid w:val="00D4601E"/>
    <w:rsid w:val="00D460B0"/>
    <w:rsid w:val="00D4623C"/>
    <w:rsid w:val="00D462A2"/>
    <w:rsid w:val="00D46458"/>
    <w:rsid w:val="00D464D4"/>
    <w:rsid w:val="00D46835"/>
    <w:rsid w:val="00D46928"/>
    <w:rsid w:val="00D46930"/>
    <w:rsid w:val="00D46A13"/>
    <w:rsid w:val="00D46A1B"/>
    <w:rsid w:val="00D46ADF"/>
    <w:rsid w:val="00D46C3A"/>
    <w:rsid w:val="00D46E61"/>
    <w:rsid w:val="00D4705F"/>
    <w:rsid w:val="00D474A9"/>
    <w:rsid w:val="00D47713"/>
    <w:rsid w:val="00D477B9"/>
    <w:rsid w:val="00D47BA3"/>
    <w:rsid w:val="00D47CA9"/>
    <w:rsid w:val="00D47CE2"/>
    <w:rsid w:val="00D47DF1"/>
    <w:rsid w:val="00D47E32"/>
    <w:rsid w:val="00D47EE6"/>
    <w:rsid w:val="00D50025"/>
    <w:rsid w:val="00D50342"/>
    <w:rsid w:val="00D50524"/>
    <w:rsid w:val="00D50556"/>
    <w:rsid w:val="00D5079E"/>
    <w:rsid w:val="00D507BB"/>
    <w:rsid w:val="00D50846"/>
    <w:rsid w:val="00D50867"/>
    <w:rsid w:val="00D5093C"/>
    <w:rsid w:val="00D50C29"/>
    <w:rsid w:val="00D50CC9"/>
    <w:rsid w:val="00D50D49"/>
    <w:rsid w:val="00D50DD0"/>
    <w:rsid w:val="00D50DFF"/>
    <w:rsid w:val="00D50FF3"/>
    <w:rsid w:val="00D511A6"/>
    <w:rsid w:val="00D51361"/>
    <w:rsid w:val="00D515BE"/>
    <w:rsid w:val="00D51753"/>
    <w:rsid w:val="00D517D1"/>
    <w:rsid w:val="00D51800"/>
    <w:rsid w:val="00D518BF"/>
    <w:rsid w:val="00D51C18"/>
    <w:rsid w:val="00D52191"/>
    <w:rsid w:val="00D521F0"/>
    <w:rsid w:val="00D52226"/>
    <w:rsid w:val="00D52261"/>
    <w:rsid w:val="00D523D8"/>
    <w:rsid w:val="00D524B7"/>
    <w:rsid w:val="00D525E8"/>
    <w:rsid w:val="00D52698"/>
    <w:rsid w:val="00D52788"/>
    <w:rsid w:val="00D528AB"/>
    <w:rsid w:val="00D52940"/>
    <w:rsid w:val="00D529BA"/>
    <w:rsid w:val="00D52AFA"/>
    <w:rsid w:val="00D52E69"/>
    <w:rsid w:val="00D52F7A"/>
    <w:rsid w:val="00D530C3"/>
    <w:rsid w:val="00D532B7"/>
    <w:rsid w:val="00D532EE"/>
    <w:rsid w:val="00D532F8"/>
    <w:rsid w:val="00D5344E"/>
    <w:rsid w:val="00D5365F"/>
    <w:rsid w:val="00D53BD1"/>
    <w:rsid w:val="00D53C43"/>
    <w:rsid w:val="00D53D62"/>
    <w:rsid w:val="00D53F02"/>
    <w:rsid w:val="00D542E5"/>
    <w:rsid w:val="00D5434C"/>
    <w:rsid w:val="00D5443A"/>
    <w:rsid w:val="00D544EA"/>
    <w:rsid w:val="00D5455C"/>
    <w:rsid w:val="00D5473A"/>
    <w:rsid w:val="00D54884"/>
    <w:rsid w:val="00D54920"/>
    <w:rsid w:val="00D549A8"/>
    <w:rsid w:val="00D54C4F"/>
    <w:rsid w:val="00D55174"/>
    <w:rsid w:val="00D551AD"/>
    <w:rsid w:val="00D551CF"/>
    <w:rsid w:val="00D555C4"/>
    <w:rsid w:val="00D555DD"/>
    <w:rsid w:val="00D55602"/>
    <w:rsid w:val="00D5561C"/>
    <w:rsid w:val="00D556A2"/>
    <w:rsid w:val="00D55752"/>
    <w:rsid w:val="00D55787"/>
    <w:rsid w:val="00D5588A"/>
    <w:rsid w:val="00D55ABF"/>
    <w:rsid w:val="00D55C70"/>
    <w:rsid w:val="00D55C7D"/>
    <w:rsid w:val="00D55D3B"/>
    <w:rsid w:val="00D55DDB"/>
    <w:rsid w:val="00D55F35"/>
    <w:rsid w:val="00D55F82"/>
    <w:rsid w:val="00D56046"/>
    <w:rsid w:val="00D560E7"/>
    <w:rsid w:val="00D5622F"/>
    <w:rsid w:val="00D563E7"/>
    <w:rsid w:val="00D563F9"/>
    <w:rsid w:val="00D568B2"/>
    <w:rsid w:val="00D569B7"/>
    <w:rsid w:val="00D56AD3"/>
    <w:rsid w:val="00D56BE1"/>
    <w:rsid w:val="00D56C0A"/>
    <w:rsid w:val="00D56CB8"/>
    <w:rsid w:val="00D56D01"/>
    <w:rsid w:val="00D56DF6"/>
    <w:rsid w:val="00D56E1F"/>
    <w:rsid w:val="00D57173"/>
    <w:rsid w:val="00D57502"/>
    <w:rsid w:val="00D576C3"/>
    <w:rsid w:val="00D57732"/>
    <w:rsid w:val="00D57A50"/>
    <w:rsid w:val="00D57C27"/>
    <w:rsid w:val="00D57C28"/>
    <w:rsid w:val="00D57D28"/>
    <w:rsid w:val="00D57DD5"/>
    <w:rsid w:val="00D57E21"/>
    <w:rsid w:val="00D57F29"/>
    <w:rsid w:val="00D57F79"/>
    <w:rsid w:val="00D60146"/>
    <w:rsid w:val="00D602C2"/>
    <w:rsid w:val="00D604D1"/>
    <w:rsid w:val="00D607C4"/>
    <w:rsid w:val="00D60A0A"/>
    <w:rsid w:val="00D60A50"/>
    <w:rsid w:val="00D60C8F"/>
    <w:rsid w:val="00D60D4E"/>
    <w:rsid w:val="00D60DAB"/>
    <w:rsid w:val="00D60E56"/>
    <w:rsid w:val="00D612CD"/>
    <w:rsid w:val="00D613EE"/>
    <w:rsid w:val="00D6151A"/>
    <w:rsid w:val="00D61620"/>
    <w:rsid w:val="00D616F5"/>
    <w:rsid w:val="00D61A85"/>
    <w:rsid w:val="00D61C08"/>
    <w:rsid w:val="00D61CB4"/>
    <w:rsid w:val="00D61FF3"/>
    <w:rsid w:val="00D62006"/>
    <w:rsid w:val="00D62175"/>
    <w:rsid w:val="00D6227D"/>
    <w:rsid w:val="00D62284"/>
    <w:rsid w:val="00D62441"/>
    <w:rsid w:val="00D62627"/>
    <w:rsid w:val="00D626AE"/>
    <w:rsid w:val="00D6270B"/>
    <w:rsid w:val="00D627B2"/>
    <w:rsid w:val="00D62BF2"/>
    <w:rsid w:val="00D62C38"/>
    <w:rsid w:val="00D62E1C"/>
    <w:rsid w:val="00D62F76"/>
    <w:rsid w:val="00D62FA6"/>
    <w:rsid w:val="00D63160"/>
    <w:rsid w:val="00D631AA"/>
    <w:rsid w:val="00D6321B"/>
    <w:rsid w:val="00D632AF"/>
    <w:rsid w:val="00D63833"/>
    <w:rsid w:val="00D63A1E"/>
    <w:rsid w:val="00D63BE7"/>
    <w:rsid w:val="00D63C68"/>
    <w:rsid w:val="00D63C85"/>
    <w:rsid w:val="00D64072"/>
    <w:rsid w:val="00D64282"/>
    <w:rsid w:val="00D642D8"/>
    <w:rsid w:val="00D6478C"/>
    <w:rsid w:val="00D647A6"/>
    <w:rsid w:val="00D6480D"/>
    <w:rsid w:val="00D64935"/>
    <w:rsid w:val="00D64AE4"/>
    <w:rsid w:val="00D64B5F"/>
    <w:rsid w:val="00D64E9C"/>
    <w:rsid w:val="00D64F17"/>
    <w:rsid w:val="00D64F57"/>
    <w:rsid w:val="00D650CE"/>
    <w:rsid w:val="00D650F0"/>
    <w:rsid w:val="00D65193"/>
    <w:rsid w:val="00D65256"/>
    <w:rsid w:val="00D6539B"/>
    <w:rsid w:val="00D6546A"/>
    <w:rsid w:val="00D654AC"/>
    <w:rsid w:val="00D65618"/>
    <w:rsid w:val="00D65641"/>
    <w:rsid w:val="00D6564F"/>
    <w:rsid w:val="00D65799"/>
    <w:rsid w:val="00D657FA"/>
    <w:rsid w:val="00D65868"/>
    <w:rsid w:val="00D65898"/>
    <w:rsid w:val="00D65982"/>
    <w:rsid w:val="00D65A54"/>
    <w:rsid w:val="00D65BE8"/>
    <w:rsid w:val="00D65C89"/>
    <w:rsid w:val="00D660EB"/>
    <w:rsid w:val="00D662EF"/>
    <w:rsid w:val="00D66334"/>
    <w:rsid w:val="00D66643"/>
    <w:rsid w:val="00D667B1"/>
    <w:rsid w:val="00D66980"/>
    <w:rsid w:val="00D669B1"/>
    <w:rsid w:val="00D66DF8"/>
    <w:rsid w:val="00D66F75"/>
    <w:rsid w:val="00D6703E"/>
    <w:rsid w:val="00D67119"/>
    <w:rsid w:val="00D671D6"/>
    <w:rsid w:val="00D67406"/>
    <w:rsid w:val="00D6740A"/>
    <w:rsid w:val="00D674FD"/>
    <w:rsid w:val="00D6756D"/>
    <w:rsid w:val="00D67592"/>
    <w:rsid w:val="00D677FE"/>
    <w:rsid w:val="00D67811"/>
    <w:rsid w:val="00D67CC8"/>
    <w:rsid w:val="00D67F10"/>
    <w:rsid w:val="00D67F21"/>
    <w:rsid w:val="00D70187"/>
    <w:rsid w:val="00D70212"/>
    <w:rsid w:val="00D7070B"/>
    <w:rsid w:val="00D70773"/>
    <w:rsid w:val="00D7082D"/>
    <w:rsid w:val="00D70926"/>
    <w:rsid w:val="00D70AD9"/>
    <w:rsid w:val="00D70C29"/>
    <w:rsid w:val="00D70C49"/>
    <w:rsid w:val="00D70C4D"/>
    <w:rsid w:val="00D70CB1"/>
    <w:rsid w:val="00D70CDA"/>
    <w:rsid w:val="00D70D62"/>
    <w:rsid w:val="00D71135"/>
    <w:rsid w:val="00D7117F"/>
    <w:rsid w:val="00D7142C"/>
    <w:rsid w:val="00D7147E"/>
    <w:rsid w:val="00D714D1"/>
    <w:rsid w:val="00D7171C"/>
    <w:rsid w:val="00D71763"/>
    <w:rsid w:val="00D717F4"/>
    <w:rsid w:val="00D719C4"/>
    <w:rsid w:val="00D71B65"/>
    <w:rsid w:val="00D71EF6"/>
    <w:rsid w:val="00D71F12"/>
    <w:rsid w:val="00D7220A"/>
    <w:rsid w:val="00D7232F"/>
    <w:rsid w:val="00D72397"/>
    <w:rsid w:val="00D723C2"/>
    <w:rsid w:val="00D723D1"/>
    <w:rsid w:val="00D72633"/>
    <w:rsid w:val="00D726CF"/>
    <w:rsid w:val="00D72807"/>
    <w:rsid w:val="00D72818"/>
    <w:rsid w:val="00D728A6"/>
    <w:rsid w:val="00D728DF"/>
    <w:rsid w:val="00D72C0F"/>
    <w:rsid w:val="00D7319C"/>
    <w:rsid w:val="00D732AF"/>
    <w:rsid w:val="00D7330E"/>
    <w:rsid w:val="00D7348F"/>
    <w:rsid w:val="00D73502"/>
    <w:rsid w:val="00D7355A"/>
    <w:rsid w:val="00D73810"/>
    <w:rsid w:val="00D73879"/>
    <w:rsid w:val="00D73A12"/>
    <w:rsid w:val="00D73B68"/>
    <w:rsid w:val="00D73D73"/>
    <w:rsid w:val="00D73EA0"/>
    <w:rsid w:val="00D73F72"/>
    <w:rsid w:val="00D740DA"/>
    <w:rsid w:val="00D74410"/>
    <w:rsid w:val="00D744AB"/>
    <w:rsid w:val="00D744DD"/>
    <w:rsid w:val="00D745B2"/>
    <w:rsid w:val="00D745EA"/>
    <w:rsid w:val="00D74606"/>
    <w:rsid w:val="00D747AA"/>
    <w:rsid w:val="00D74814"/>
    <w:rsid w:val="00D748D6"/>
    <w:rsid w:val="00D7497D"/>
    <w:rsid w:val="00D74BAC"/>
    <w:rsid w:val="00D74CD1"/>
    <w:rsid w:val="00D74EA0"/>
    <w:rsid w:val="00D74EEA"/>
    <w:rsid w:val="00D74F43"/>
    <w:rsid w:val="00D74F75"/>
    <w:rsid w:val="00D75084"/>
    <w:rsid w:val="00D7508A"/>
    <w:rsid w:val="00D7511D"/>
    <w:rsid w:val="00D7533A"/>
    <w:rsid w:val="00D7538B"/>
    <w:rsid w:val="00D75542"/>
    <w:rsid w:val="00D756A4"/>
    <w:rsid w:val="00D756A5"/>
    <w:rsid w:val="00D75809"/>
    <w:rsid w:val="00D758D6"/>
    <w:rsid w:val="00D75910"/>
    <w:rsid w:val="00D75957"/>
    <w:rsid w:val="00D75DA9"/>
    <w:rsid w:val="00D75E1A"/>
    <w:rsid w:val="00D75F1A"/>
    <w:rsid w:val="00D76123"/>
    <w:rsid w:val="00D7615F"/>
    <w:rsid w:val="00D761CB"/>
    <w:rsid w:val="00D761EF"/>
    <w:rsid w:val="00D762AC"/>
    <w:rsid w:val="00D763EA"/>
    <w:rsid w:val="00D76485"/>
    <w:rsid w:val="00D7665D"/>
    <w:rsid w:val="00D767F0"/>
    <w:rsid w:val="00D768EE"/>
    <w:rsid w:val="00D76A8C"/>
    <w:rsid w:val="00D76A97"/>
    <w:rsid w:val="00D76AF3"/>
    <w:rsid w:val="00D76B26"/>
    <w:rsid w:val="00D76C0E"/>
    <w:rsid w:val="00D76DBC"/>
    <w:rsid w:val="00D76E2E"/>
    <w:rsid w:val="00D76E9B"/>
    <w:rsid w:val="00D76F00"/>
    <w:rsid w:val="00D77113"/>
    <w:rsid w:val="00D77261"/>
    <w:rsid w:val="00D774A6"/>
    <w:rsid w:val="00D77513"/>
    <w:rsid w:val="00D777E1"/>
    <w:rsid w:val="00D777F4"/>
    <w:rsid w:val="00D77829"/>
    <w:rsid w:val="00D77899"/>
    <w:rsid w:val="00D77AB4"/>
    <w:rsid w:val="00D77B44"/>
    <w:rsid w:val="00D77B49"/>
    <w:rsid w:val="00D77C0A"/>
    <w:rsid w:val="00D77DF4"/>
    <w:rsid w:val="00D77E27"/>
    <w:rsid w:val="00D77E4E"/>
    <w:rsid w:val="00D80204"/>
    <w:rsid w:val="00D8039C"/>
    <w:rsid w:val="00D80457"/>
    <w:rsid w:val="00D8057F"/>
    <w:rsid w:val="00D805B3"/>
    <w:rsid w:val="00D806C9"/>
    <w:rsid w:val="00D8081E"/>
    <w:rsid w:val="00D8082F"/>
    <w:rsid w:val="00D80B0F"/>
    <w:rsid w:val="00D80DD0"/>
    <w:rsid w:val="00D80E42"/>
    <w:rsid w:val="00D8134B"/>
    <w:rsid w:val="00D81442"/>
    <w:rsid w:val="00D81597"/>
    <w:rsid w:val="00D81607"/>
    <w:rsid w:val="00D81801"/>
    <w:rsid w:val="00D81B14"/>
    <w:rsid w:val="00D81C2C"/>
    <w:rsid w:val="00D81F1C"/>
    <w:rsid w:val="00D81F2E"/>
    <w:rsid w:val="00D82019"/>
    <w:rsid w:val="00D82084"/>
    <w:rsid w:val="00D8210C"/>
    <w:rsid w:val="00D821B4"/>
    <w:rsid w:val="00D822D1"/>
    <w:rsid w:val="00D824F9"/>
    <w:rsid w:val="00D82707"/>
    <w:rsid w:val="00D8281D"/>
    <w:rsid w:val="00D828ED"/>
    <w:rsid w:val="00D828FC"/>
    <w:rsid w:val="00D82A2D"/>
    <w:rsid w:val="00D82A85"/>
    <w:rsid w:val="00D82B4B"/>
    <w:rsid w:val="00D82BAC"/>
    <w:rsid w:val="00D82C50"/>
    <w:rsid w:val="00D82CEF"/>
    <w:rsid w:val="00D82E39"/>
    <w:rsid w:val="00D82E66"/>
    <w:rsid w:val="00D82F65"/>
    <w:rsid w:val="00D833E7"/>
    <w:rsid w:val="00D83431"/>
    <w:rsid w:val="00D8345B"/>
    <w:rsid w:val="00D8349F"/>
    <w:rsid w:val="00D8352C"/>
    <w:rsid w:val="00D835AC"/>
    <w:rsid w:val="00D836F7"/>
    <w:rsid w:val="00D836FC"/>
    <w:rsid w:val="00D837D3"/>
    <w:rsid w:val="00D83ABC"/>
    <w:rsid w:val="00D83B81"/>
    <w:rsid w:val="00D83DCB"/>
    <w:rsid w:val="00D83E54"/>
    <w:rsid w:val="00D840E6"/>
    <w:rsid w:val="00D841A5"/>
    <w:rsid w:val="00D841EC"/>
    <w:rsid w:val="00D8448F"/>
    <w:rsid w:val="00D84554"/>
    <w:rsid w:val="00D84758"/>
    <w:rsid w:val="00D84A0F"/>
    <w:rsid w:val="00D84B46"/>
    <w:rsid w:val="00D84C4C"/>
    <w:rsid w:val="00D84D61"/>
    <w:rsid w:val="00D84EE6"/>
    <w:rsid w:val="00D84F8A"/>
    <w:rsid w:val="00D85312"/>
    <w:rsid w:val="00D8535F"/>
    <w:rsid w:val="00D854CE"/>
    <w:rsid w:val="00D85520"/>
    <w:rsid w:val="00D85558"/>
    <w:rsid w:val="00D855A1"/>
    <w:rsid w:val="00D85B68"/>
    <w:rsid w:val="00D85C05"/>
    <w:rsid w:val="00D85DC7"/>
    <w:rsid w:val="00D85FA9"/>
    <w:rsid w:val="00D8621C"/>
    <w:rsid w:val="00D863B2"/>
    <w:rsid w:val="00D86418"/>
    <w:rsid w:val="00D8641D"/>
    <w:rsid w:val="00D86551"/>
    <w:rsid w:val="00D8659D"/>
    <w:rsid w:val="00D86663"/>
    <w:rsid w:val="00D866F5"/>
    <w:rsid w:val="00D86A5A"/>
    <w:rsid w:val="00D86BAB"/>
    <w:rsid w:val="00D86C89"/>
    <w:rsid w:val="00D86D32"/>
    <w:rsid w:val="00D86D4A"/>
    <w:rsid w:val="00D86D9E"/>
    <w:rsid w:val="00D86E2B"/>
    <w:rsid w:val="00D86E57"/>
    <w:rsid w:val="00D86F16"/>
    <w:rsid w:val="00D87846"/>
    <w:rsid w:val="00D87863"/>
    <w:rsid w:val="00D87888"/>
    <w:rsid w:val="00D87A3F"/>
    <w:rsid w:val="00D87A4D"/>
    <w:rsid w:val="00D87AB7"/>
    <w:rsid w:val="00D87B30"/>
    <w:rsid w:val="00D87BA3"/>
    <w:rsid w:val="00D87C8C"/>
    <w:rsid w:val="00D87E54"/>
    <w:rsid w:val="00D87E88"/>
    <w:rsid w:val="00D87EA1"/>
    <w:rsid w:val="00D87F69"/>
    <w:rsid w:val="00D90161"/>
    <w:rsid w:val="00D9020D"/>
    <w:rsid w:val="00D9030C"/>
    <w:rsid w:val="00D903F2"/>
    <w:rsid w:val="00D9041A"/>
    <w:rsid w:val="00D905F4"/>
    <w:rsid w:val="00D90671"/>
    <w:rsid w:val="00D908CB"/>
    <w:rsid w:val="00D908D0"/>
    <w:rsid w:val="00D90997"/>
    <w:rsid w:val="00D90A01"/>
    <w:rsid w:val="00D90A99"/>
    <w:rsid w:val="00D90B01"/>
    <w:rsid w:val="00D90B4D"/>
    <w:rsid w:val="00D90BC3"/>
    <w:rsid w:val="00D90BF2"/>
    <w:rsid w:val="00D90C5A"/>
    <w:rsid w:val="00D90FC1"/>
    <w:rsid w:val="00D90FE4"/>
    <w:rsid w:val="00D91064"/>
    <w:rsid w:val="00D913D5"/>
    <w:rsid w:val="00D91562"/>
    <w:rsid w:val="00D915A9"/>
    <w:rsid w:val="00D91703"/>
    <w:rsid w:val="00D9171D"/>
    <w:rsid w:val="00D91777"/>
    <w:rsid w:val="00D9185E"/>
    <w:rsid w:val="00D91949"/>
    <w:rsid w:val="00D919DA"/>
    <w:rsid w:val="00D919FC"/>
    <w:rsid w:val="00D91BED"/>
    <w:rsid w:val="00D91CD7"/>
    <w:rsid w:val="00D91CE3"/>
    <w:rsid w:val="00D92072"/>
    <w:rsid w:val="00D92251"/>
    <w:rsid w:val="00D924B3"/>
    <w:rsid w:val="00D92542"/>
    <w:rsid w:val="00D92843"/>
    <w:rsid w:val="00D92A06"/>
    <w:rsid w:val="00D92CD2"/>
    <w:rsid w:val="00D92D88"/>
    <w:rsid w:val="00D93056"/>
    <w:rsid w:val="00D9318E"/>
    <w:rsid w:val="00D933BB"/>
    <w:rsid w:val="00D933D7"/>
    <w:rsid w:val="00D9350A"/>
    <w:rsid w:val="00D935FA"/>
    <w:rsid w:val="00D93707"/>
    <w:rsid w:val="00D937B9"/>
    <w:rsid w:val="00D93809"/>
    <w:rsid w:val="00D93935"/>
    <w:rsid w:val="00D93A3B"/>
    <w:rsid w:val="00D93A8B"/>
    <w:rsid w:val="00D93B90"/>
    <w:rsid w:val="00D93D06"/>
    <w:rsid w:val="00D93E57"/>
    <w:rsid w:val="00D9401E"/>
    <w:rsid w:val="00D940FE"/>
    <w:rsid w:val="00D94106"/>
    <w:rsid w:val="00D94123"/>
    <w:rsid w:val="00D941EF"/>
    <w:rsid w:val="00D9438F"/>
    <w:rsid w:val="00D943D5"/>
    <w:rsid w:val="00D94429"/>
    <w:rsid w:val="00D946C8"/>
    <w:rsid w:val="00D94729"/>
    <w:rsid w:val="00D94825"/>
    <w:rsid w:val="00D9487C"/>
    <w:rsid w:val="00D948D3"/>
    <w:rsid w:val="00D94992"/>
    <w:rsid w:val="00D949C9"/>
    <w:rsid w:val="00D94C45"/>
    <w:rsid w:val="00D94C58"/>
    <w:rsid w:val="00D94D1B"/>
    <w:rsid w:val="00D94DAA"/>
    <w:rsid w:val="00D94EA8"/>
    <w:rsid w:val="00D94ED9"/>
    <w:rsid w:val="00D94F95"/>
    <w:rsid w:val="00D94FD8"/>
    <w:rsid w:val="00D95078"/>
    <w:rsid w:val="00D95181"/>
    <w:rsid w:val="00D9519B"/>
    <w:rsid w:val="00D952B5"/>
    <w:rsid w:val="00D952F8"/>
    <w:rsid w:val="00D955A9"/>
    <w:rsid w:val="00D95607"/>
    <w:rsid w:val="00D9576C"/>
    <w:rsid w:val="00D958CC"/>
    <w:rsid w:val="00D95930"/>
    <w:rsid w:val="00D95C23"/>
    <w:rsid w:val="00D95E93"/>
    <w:rsid w:val="00D95F4D"/>
    <w:rsid w:val="00D95FC0"/>
    <w:rsid w:val="00D960DF"/>
    <w:rsid w:val="00D961A9"/>
    <w:rsid w:val="00D961F9"/>
    <w:rsid w:val="00D9636C"/>
    <w:rsid w:val="00D96703"/>
    <w:rsid w:val="00D96858"/>
    <w:rsid w:val="00D968E0"/>
    <w:rsid w:val="00D9690D"/>
    <w:rsid w:val="00D96A2D"/>
    <w:rsid w:val="00D96D4E"/>
    <w:rsid w:val="00D96EFE"/>
    <w:rsid w:val="00D96FFB"/>
    <w:rsid w:val="00D9703C"/>
    <w:rsid w:val="00D975A8"/>
    <w:rsid w:val="00D97962"/>
    <w:rsid w:val="00D97A2A"/>
    <w:rsid w:val="00D97CD3"/>
    <w:rsid w:val="00D97D57"/>
    <w:rsid w:val="00D97DEB"/>
    <w:rsid w:val="00D97E14"/>
    <w:rsid w:val="00DA002D"/>
    <w:rsid w:val="00DA0034"/>
    <w:rsid w:val="00DA003C"/>
    <w:rsid w:val="00DA0162"/>
    <w:rsid w:val="00DA032A"/>
    <w:rsid w:val="00DA05A4"/>
    <w:rsid w:val="00DA0701"/>
    <w:rsid w:val="00DA0786"/>
    <w:rsid w:val="00DA0795"/>
    <w:rsid w:val="00DA0B7E"/>
    <w:rsid w:val="00DA0CD2"/>
    <w:rsid w:val="00DA0D42"/>
    <w:rsid w:val="00DA0E3B"/>
    <w:rsid w:val="00DA0FBB"/>
    <w:rsid w:val="00DA12DF"/>
    <w:rsid w:val="00DA12E7"/>
    <w:rsid w:val="00DA12FE"/>
    <w:rsid w:val="00DA1340"/>
    <w:rsid w:val="00DA14C7"/>
    <w:rsid w:val="00DA15D8"/>
    <w:rsid w:val="00DA1AE5"/>
    <w:rsid w:val="00DA1B24"/>
    <w:rsid w:val="00DA1B83"/>
    <w:rsid w:val="00DA1BE8"/>
    <w:rsid w:val="00DA1CB9"/>
    <w:rsid w:val="00DA1D49"/>
    <w:rsid w:val="00DA1D5C"/>
    <w:rsid w:val="00DA1D61"/>
    <w:rsid w:val="00DA1F71"/>
    <w:rsid w:val="00DA204A"/>
    <w:rsid w:val="00DA2081"/>
    <w:rsid w:val="00DA2506"/>
    <w:rsid w:val="00DA2519"/>
    <w:rsid w:val="00DA2588"/>
    <w:rsid w:val="00DA2688"/>
    <w:rsid w:val="00DA2707"/>
    <w:rsid w:val="00DA27A1"/>
    <w:rsid w:val="00DA2892"/>
    <w:rsid w:val="00DA2A85"/>
    <w:rsid w:val="00DA2B7A"/>
    <w:rsid w:val="00DA2CFB"/>
    <w:rsid w:val="00DA2E9A"/>
    <w:rsid w:val="00DA301A"/>
    <w:rsid w:val="00DA316E"/>
    <w:rsid w:val="00DA338C"/>
    <w:rsid w:val="00DA3397"/>
    <w:rsid w:val="00DA3415"/>
    <w:rsid w:val="00DA341F"/>
    <w:rsid w:val="00DA3531"/>
    <w:rsid w:val="00DA36D0"/>
    <w:rsid w:val="00DA385B"/>
    <w:rsid w:val="00DA39B0"/>
    <w:rsid w:val="00DA3D0C"/>
    <w:rsid w:val="00DA3DBA"/>
    <w:rsid w:val="00DA41DE"/>
    <w:rsid w:val="00DA425E"/>
    <w:rsid w:val="00DA427C"/>
    <w:rsid w:val="00DA42A9"/>
    <w:rsid w:val="00DA42EF"/>
    <w:rsid w:val="00DA4423"/>
    <w:rsid w:val="00DA4481"/>
    <w:rsid w:val="00DA48E8"/>
    <w:rsid w:val="00DA48F0"/>
    <w:rsid w:val="00DA4936"/>
    <w:rsid w:val="00DA49A0"/>
    <w:rsid w:val="00DA4A74"/>
    <w:rsid w:val="00DA4BAD"/>
    <w:rsid w:val="00DA4DCC"/>
    <w:rsid w:val="00DA4E18"/>
    <w:rsid w:val="00DA4EA4"/>
    <w:rsid w:val="00DA51B4"/>
    <w:rsid w:val="00DA5217"/>
    <w:rsid w:val="00DA52B6"/>
    <w:rsid w:val="00DA5610"/>
    <w:rsid w:val="00DA576E"/>
    <w:rsid w:val="00DA581A"/>
    <w:rsid w:val="00DA584E"/>
    <w:rsid w:val="00DA5858"/>
    <w:rsid w:val="00DA58B8"/>
    <w:rsid w:val="00DA5945"/>
    <w:rsid w:val="00DA5AB2"/>
    <w:rsid w:val="00DA5C42"/>
    <w:rsid w:val="00DA5C52"/>
    <w:rsid w:val="00DA5F36"/>
    <w:rsid w:val="00DA5FAD"/>
    <w:rsid w:val="00DA6121"/>
    <w:rsid w:val="00DA64CE"/>
    <w:rsid w:val="00DA658C"/>
    <w:rsid w:val="00DA6718"/>
    <w:rsid w:val="00DA67D9"/>
    <w:rsid w:val="00DA6813"/>
    <w:rsid w:val="00DA685A"/>
    <w:rsid w:val="00DA6860"/>
    <w:rsid w:val="00DA6932"/>
    <w:rsid w:val="00DA6A31"/>
    <w:rsid w:val="00DA6AEE"/>
    <w:rsid w:val="00DA6B39"/>
    <w:rsid w:val="00DA6BE8"/>
    <w:rsid w:val="00DA6ED3"/>
    <w:rsid w:val="00DA7138"/>
    <w:rsid w:val="00DA7155"/>
    <w:rsid w:val="00DA7343"/>
    <w:rsid w:val="00DA765F"/>
    <w:rsid w:val="00DA76F8"/>
    <w:rsid w:val="00DA78B4"/>
    <w:rsid w:val="00DA78B5"/>
    <w:rsid w:val="00DA7923"/>
    <w:rsid w:val="00DA7A90"/>
    <w:rsid w:val="00DA7AC3"/>
    <w:rsid w:val="00DA7C05"/>
    <w:rsid w:val="00DA7C1D"/>
    <w:rsid w:val="00DA7C87"/>
    <w:rsid w:val="00DB0097"/>
    <w:rsid w:val="00DB02DB"/>
    <w:rsid w:val="00DB03A7"/>
    <w:rsid w:val="00DB0422"/>
    <w:rsid w:val="00DB0525"/>
    <w:rsid w:val="00DB05ED"/>
    <w:rsid w:val="00DB0680"/>
    <w:rsid w:val="00DB094C"/>
    <w:rsid w:val="00DB0B13"/>
    <w:rsid w:val="00DB0C7B"/>
    <w:rsid w:val="00DB0D97"/>
    <w:rsid w:val="00DB0DA7"/>
    <w:rsid w:val="00DB0F40"/>
    <w:rsid w:val="00DB10C5"/>
    <w:rsid w:val="00DB1492"/>
    <w:rsid w:val="00DB15C9"/>
    <w:rsid w:val="00DB1874"/>
    <w:rsid w:val="00DB193C"/>
    <w:rsid w:val="00DB1C09"/>
    <w:rsid w:val="00DB1C92"/>
    <w:rsid w:val="00DB1D8D"/>
    <w:rsid w:val="00DB1E56"/>
    <w:rsid w:val="00DB1F2D"/>
    <w:rsid w:val="00DB2044"/>
    <w:rsid w:val="00DB241C"/>
    <w:rsid w:val="00DB2469"/>
    <w:rsid w:val="00DB251D"/>
    <w:rsid w:val="00DB255F"/>
    <w:rsid w:val="00DB25B1"/>
    <w:rsid w:val="00DB2612"/>
    <w:rsid w:val="00DB2693"/>
    <w:rsid w:val="00DB27D7"/>
    <w:rsid w:val="00DB29C7"/>
    <w:rsid w:val="00DB2B86"/>
    <w:rsid w:val="00DB2C56"/>
    <w:rsid w:val="00DB2D5F"/>
    <w:rsid w:val="00DB2DC9"/>
    <w:rsid w:val="00DB2E22"/>
    <w:rsid w:val="00DB2E30"/>
    <w:rsid w:val="00DB2E4E"/>
    <w:rsid w:val="00DB2EDC"/>
    <w:rsid w:val="00DB2F89"/>
    <w:rsid w:val="00DB2FE8"/>
    <w:rsid w:val="00DB31E7"/>
    <w:rsid w:val="00DB35A1"/>
    <w:rsid w:val="00DB3654"/>
    <w:rsid w:val="00DB367E"/>
    <w:rsid w:val="00DB379A"/>
    <w:rsid w:val="00DB3A15"/>
    <w:rsid w:val="00DB3F9E"/>
    <w:rsid w:val="00DB4346"/>
    <w:rsid w:val="00DB434E"/>
    <w:rsid w:val="00DB4391"/>
    <w:rsid w:val="00DB44FC"/>
    <w:rsid w:val="00DB4608"/>
    <w:rsid w:val="00DB48B4"/>
    <w:rsid w:val="00DB49B6"/>
    <w:rsid w:val="00DB4C82"/>
    <w:rsid w:val="00DB4D57"/>
    <w:rsid w:val="00DB512D"/>
    <w:rsid w:val="00DB514C"/>
    <w:rsid w:val="00DB52B6"/>
    <w:rsid w:val="00DB52DA"/>
    <w:rsid w:val="00DB5523"/>
    <w:rsid w:val="00DB589E"/>
    <w:rsid w:val="00DB5B2D"/>
    <w:rsid w:val="00DB5BE6"/>
    <w:rsid w:val="00DB5F1F"/>
    <w:rsid w:val="00DB5FE7"/>
    <w:rsid w:val="00DB6114"/>
    <w:rsid w:val="00DB6226"/>
    <w:rsid w:val="00DB624C"/>
    <w:rsid w:val="00DB63B4"/>
    <w:rsid w:val="00DB640E"/>
    <w:rsid w:val="00DB6535"/>
    <w:rsid w:val="00DB65D2"/>
    <w:rsid w:val="00DB66F4"/>
    <w:rsid w:val="00DB6708"/>
    <w:rsid w:val="00DB6D90"/>
    <w:rsid w:val="00DB6F64"/>
    <w:rsid w:val="00DB7024"/>
    <w:rsid w:val="00DB73A2"/>
    <w:rsid w:val="00DB75D1"/>
    <w:rsid w:val="00DB78EA"/>
    <w:rsid w:val="00DB7978"/>
    <w:rsid w:val="00DB79C1"/>
    <w:rsid w:val="00DB7BC1"/>
    <w:rsid w:val="00DB7C1E"/>
    <w:rsid w:val="00DC00D6"/>
    <w:rsid w:val="00DC058D"/>
    <w:rsid w:val="00DC05B7"/>
    <w:rsid w:val="00DC0608"/>
    <w:rsid w:val="00DC06CB"/>
    <w:rsid w:val="00DC0829"/>
    <w:rsid w:val="00DC096A"/>
    <w:rsid w:val="00DC09D4"/>
    <w:rsid w:val="00DC09E4"/>
    <w:rsid w:val="00DC0A9C"/>
    <w:rsid w:val="00DC0B63"/>
    <w:rsid w:val="00DC0D0B"/>
    <w:rsid w:val="00DC0F4B"/>
    <w:rsid w:val="00DC125D"/>
    <w:rsid w:val="00DC13C5"/>
    <w:rsid w:val="00DC14EF"/>
    <w:rsid w:val="00DC15A0"/>
    <w:rsid w:val="00DC1691"/>
    <w:rsid w:val="00DC187F"/>
    <w:rsid w:val="00DC1B0C"/>
    <w:rsid w:val="00DC1B75"/>
    <w:rsid w:val="00DC1B92"/>
    <w:rsid w:val="00DC1BA5"/>
    <w:rsid w:val="00DC1BD7"/>
    <w:rsid w:val="00DC1D16"/>
    <w:rsid w:val="00DC1EB7"/>
    <w:rsid w:val="00DC1EE2"/>
    <w:rsid w:val="00DC1F8A"/>
    <w:rsid w:val="00DC2038"/>
    <w:rsid w:val="00DC20F2"/>
    <w:rsid w:val="00DC2412"/>
    <w:rsid w:val="00DC246C"/>
    <w:rsid w:val="00DC25AE"/>
    <w:rsid w:val="00DC25DE"/>
    <w:rsid w:val="00DC270C"/>
    <w:rsid w:val="00DC276D"/>
    <w:rsid w:val="00DC2830"/>
    <w:rsid w:val="00DC2897"/>
    <w:rsid w:val="00DC2AC5"/>
    <w:rsid w:val="00DC2B07"/>
    <w:rsid w:val="00DC2B66"/>
    <w:rsid w:val="00DC2E46"/>
    <w:rsid w:val="00DC31D7"/>
    <w:rsid w:val="00DC32C4"/>
    <w:rsid w:val="00DC3917"/>
    <w:rsid w:val="00DC393C"/>
    <w:rsid w:val="00DC3A28"/>
    <w:rsid w:val="00DC3CD1"/>
    <w:rsid w:val="00DC3E31"/>
    <w:rsid w:val="00DC3EF2"/>
    <w:rsid w:val="00DC3FBC"/>
    <w:rsid w:val="00DC420F"/>
    <w:rsid w:val="00DC4225"/>
    <w:rsid w:val="00DC4295"/>
    <w:rsid w:val="00DC42DC"/>
    <w:rsid w:val="00DC4371"/>
    <w:rsid w:val="00DC43FF"/>
    <w:rsid w:val="00DC44E3"/>
    <w:rsid w:val="00DC45B1"/>
    <w:rsid w:val="00DC48C8"/>
    <w:rsid w:val="00DC4905"/>
    <w:rsid w:val="00DC4A4F"/>
    <w:rsid w:val="00DC4AF8"/>
    <w:rsid w:val="00DC4E43"/>
    <w:rsid w:val="00DC4E97"/>
    <w:rsid w:val="00DC4FF6"/>
    <w:rsid w:val="00DC505F"/>
    <w:rsid w:val="00DC525E"/>
    <w:rsid w:val="00DC529E"/>
    <w:rsid w:val="00DC53A8"/>
    <w:rsid w:val="00DC5447"/>
    <w:rsid w:val="00DC5674"/>
    <w:rsid w:val="00DC5A5B"/>
    <w:rsid w:val="00DC5AB9"/>
    <w:rsid w:val="00DC5E32"/>
    <w:rsid w:val="00DC5E5C"/>
    <w:rsid w:val="00DC5FB3"/>
    <w:rsid w:val="00DC6113"/>
    <w:rsid w:val="00DC637E"/>
    <w:rsid w:val="00DC63DA"/>
    <w:rsid w:val="00DC6441"/>
    <w:rsid w:val="00DC6525"/>
    <w:rsid w:val="00DC6897"/>
    <w:rsid w:val="00DC6AF6"/>
    <w:rsid w:val="00DC6BD3"/>
    <w:rsid w:val="00DC6C1F"/>
    <w:rsid w:val="00DC729A"/>
    <w:rsid w:val="00DC72BA"/>
    <w:rsid w:val="00DC72F3"/>
    <w:rsid w:val="00DC7516"/>
    <w:rsid w:val="00DC75CA"/>
    <w:rsid w:val="00DC7606"/>
    <w:rsid w:val="00DC7716"/>
    <w:rsid w:val="00DC7864"/>
    <w:rsid w:val="00DC78F0"/>
    <w:rsid w:val="00DC7AE0"/>
    <w:rsid w:val="00DC7B1B"/>
    <w:rsid w:val="00DC7B38"/>
    <w:rsid w:val="00DC7E37"/>
    <w:rsid w:val="00DC7F09"/>
    <w:rsid w:val="00DD0097"/>
    <w:rsid w:val="00DD0288"/>
    <w:rsid w:val="00DD0314"/>
    <w:rsid w:val="00DD040F"/>
    <w:rsid w:val="00DD0B61"/>
    <w:rsid w:val="00DD0B86"/>
    <w:rsid w:val="00DD0C22"/>
    <w:rsid w:val="00DD0C57"/>
    <w:rsid w:val="00DD0CFC"/>
    <w:rsid w:val="00DD0E1F"/>
    <w:rsid w:val="00DD0EB8"/>
    <w:rsid w:val="00DD0FC0"/>
    <w:rsid w:val="00DD0FC7"/>
    <w:rsid w:val="00DD1209"/>
    <w:rsid w:val="00DD14D2"/>
    <w:rsid w:val="00DD15E8"/>
    <w:rsid w:val="00DD162C"/>
    <w:rsid w:val="00DD1632"/>
    <w:rsid w:val="00DD168C"/>
    <w:rsid w:val="00DD17F6"/>
    <w:rsid w:val="00DD18AD"/>
    <w:rsid w:val="00DD18B6"/>
    <w:rsid w:val="00DD19D4"/>
    <w:rsid w:val="00DD19F7"/>
    <w:rsid w:val="00DD19FE"/>
    <w:rsid w:val="00DD1A44"/>
    <w:rsid w:val="00DD1A54"/>
    <w:rsid w:val="00DD1AE9"/>
    <w:rsid w:val="00DD1B68"/>
    <w:rsid w:val="00DD1D18"/>
    <w:rsid w:val="00DD1D2A"/>
    <w:rsid w:val="00DD1DCF"/>
    <w:rsid w:val="00DD2037"/>
    <w:rsid w:val="00DD22DC"/>
    <w:rsid w:val="00DD24F2"/>
    <w:rsid w:val="00DD2606"/>
    <w:rsid w:val="00DD2617"/>
    <w:rsid w:val="00DD27B5"/>
    <w:rsid w:val="00DD2828"/>
    <w:rsid w:val="00DD29A3"/>
    <w:rsid w:val="00DD2A8C"/>
    <w:rsid w:val="00DD2B40"/>
    <w:rsid w:val="00DD2C2E"/>
    <w:rsid w:val="00DD2DFB"/>
    <w:rsid w:val="00DD2EE1"/>
    <w:rsid w:val="00DD2F29"/>
    <w:rsid w:val="00DD2F3D"/>
    <w:rsid w:val="00DD2F84"/>
    <w:rsid w:val="00DD2FA4"/>
    <w:rsid w:val="00DD3094"/>
    <w:rsid w:val="00DD323B"/>
    <w:rsid w:val="00DD3546"/>
    <w:rsid w:val="00DD354D"/>
    <w:rsid w:val="00DD3837"/>
    <w:rsid w:val="00DD3DEE"/>
    <w:rsid w:val="00DD3E44"/>
    <w:rsid w:val="00DD3F14"/>
    <w:rsid w:val="00DD4288"/>
    <w:rsid w:val="00DD442C"/>
    <w:rsid w:val="00DD44BC"/>
    <w:rsid w:val="00DD458C"/>
    <w:rsid w:val="00DD4795"/>
    <w:rsid w:val="00DD4820"/>
    <w:rsid w:val="00DD48B8"/>
    <w:rsid w:val="00DD4B24"/>
    <w:rsid w:val="00DD4C6B"/>
    <w:rsid w:val="00DD4C79"/>
    <w:rsid w:val="00DD4D98"/>
    <w:rsid w:val="00DD4F6C"/>
    <w:rsid w:val="00DD51B1"/>
    <w:rsid w:val="00DD51E4"/>
    <w:rsid w:val="00DD54D4"/>
    <w:rsid w:val="00DD55F0"/>
    <w:rsid w:val="00DD5741"/>
    <w:rsid w:val="00DD574B"/>
    <w:rsid w:val="00DD57F5"/>
    <w:rsid w:val="00DD5818"/>
    <w:rsid w:val="00DD586A"/>
    <w:rsid w:val="00DD5A55"/>
    <w:rsid w:val="00DD5BA3"/>
    <w:rsid w:val="00DD5BB5"/>
    <w:rsid w:val="00DD5CA5"/>
    <w:rsid w:val="00DD5D31"/>
    <w:rsid w:val="00DD5E6C"/>
    <w:rsid w:val="00DD60B9"/>
    <w:rsid w:val="00DD6235"/>
    <w:rsid w:val="00DD63E6"/>
    <w:rsid w:val="00DD66EE"/>
    <w:rsid w:val="00DD6C0A"/>
    <w:rsid w:val="00DD6CC9"/>
    <w:rsid w:val="00DD705D"/>
    <w:rsid w:val="00DD784E"/>
    <w:rsid w:val="00DD788F"/>
    <w:rsid w:val="00DD7901"/>
    <w:rsid w:val="00DD79B4"/>
    <w:rsid w:val="00DD79DE"/>
    <w:rsid w:val="00DD7A93"/>
    <w:rsid w:val="00DD7D7A"/>
    <w:rsid w:val="00DD7E54"/>
    <w:rsid w:val="00DD7F8E"/>
    <w:rsid w:val="00DE010C"/>
    <w:rsid w:val="00DE01B5"/>
    <w:rsid w:val="00DE03C9"/>
    <w:rsid w:val="00DE0481"/>
    <w:rsid w:val="00DE05B3"/>
    <w:rsid w:val="00DE0768"/>
    <w:rsid w:val="00DE0887"/>
    <w:rsid w:val="00DE0AE4"/>
    <w:rsid w:val="00DE0B90"/>
    <w:rsid w:val="00DE0C31"/>
    <w:rsid w:val="00DE0ECB"/>
    <w:rsid w:val="00DE11E2"/>
    <w:rsid w:val="00DE1203"/>
    <w:rsid w:val="00DE1337"/>
    <w:rsid w:val="00DE14A2"/>
    <w:rsid w:val="00DE1572"/>
    <w:rsid w:val="00DE15AC"/>
    <w:rsid w:val="00DE16DA"/>
    <w:rsid w:val="00DE1884"/>
    <w:rsid w:val="00DE18A8"/>
    <w:rsid w:val="00DE196E"/>
    <w:rsid w:val="00DE1A5B"/>
    <w:rsid w:val="00DE1AAD"/>
    <w:rsid w:val="00DE1B06"/>
    <w:rsid w:val="00DE1BB5"/>
    <w:rsid w:val="00DE1BBC"/>
    <w:rsid w:val="00DE1BCD"/>
    <w:rsid w:val="00DE1EB0"/>
    <w:rsid w:val="00DE1EE5"/>
    <w:rsid w:val="00DE1F92"/>
    <w:rsid w:val="00DE1F9D"/>
    <w:rsid w:val="00DE216F"/>
    <w:rsid w:val="00DE21CB"/>
    <w:rsid w:val="00DE238F"/>
    <w:rsid w:val="00DE24C5"/>
    <w:rsid w:val="00DE2541"/>
    <w:rsid w:val="00DE2692"/>
    <w:rsid w:val="00DE2992"/>
    <w:rsid w:val="00DE2A2E"/>
    <w:rsid w:val="00DE2B0B"/>
    <w:rsid w:val="00DE2B4E"/>
    <w:rsid w:val="00DE2D1D"/>
    <w:rsid w:val="00DE2EBA"/>
    <w:rsid w:val="00DE2F88"/>
    <w:rsid w:val="00DE2F93"/>
    <w:rsid w:val="00DE326D"/>
    <w:rsid w:val="00DE3420"/>
    <w:rsid w:val="00DE3463"/>
    <w:rsid w:val="00DE351E"/>
    <w:rsid w:val="00DE3811"/>
    <w:rsid w:val="00DE3819"/>
    <w:rsid w:val="00DE38C3"/>
    <w:rsid w:val="00DE38E9"/>
    <w:rsid w:val="00DE3A36"/>
    <w:rsid w:val="00DE3B57"/>
    <w:rsid w:val="00DE3CAD"/>
    <w:rsid w:val="00DE3CEF"/>
    <w:rsid w:val="00DE3DFD"/>
    <w:rsid w:val="00DE3E06"/>
    <w:rsid w:val="00DE3E34"/>
    <w:rsid w:val="00DE3E60"/>
    <w:rsid w:val="00DE3FB1"/>
    <w:rsid w:val="00DE3FB4"/>
    <w:rsid w:val="00DE405C"/>
    <w:rsid w:val="00DE41D2"/>
    <w:rsid w:val="00DE42E9"/>
    <w:rsid w:val="00DE4482"/>
    <w:rsid w:val="00DE45BB"/>
    <w:rsid w:val="00DE45D6"/>
    <w:rsid w:val="00DE499A"/>
    <w:rsid w:val="00DE499E"/>
    <w:rsid w:val="00DE4C1D"/>
    <w:rsid w:val="00DE4DA0"/>
    <w:rsid w:val="00DE4DD4"/>
    <w:rsid w:val="00DE5027"/>
    <w:rsid w:val="00DE5170"/>
    <w:rsid w:val="00DE52CB"/>
    <w:rsid w:val="00DE54FF"/>
    <w:rsid w:val="00DE55CF"/>
    <w:rsid w:val="00DE55D0"/>
    <w:rsid w:val="00DE55D4"/>
    <w:rsid w:val="00DE5648"/>
    <w:rsid w:val="00DE567F"/>
    <w:rsid w:val="00DE584A"/>
    <w:rsid w:val="00DE59F8"/>
    <w:rsid w:val="00DE5AE2"/>
    <w:rsid w:val="00DE5AE6"/>
    <w:rsid w:val="00DE5B2E"/>
    <w:rsid w:val="00DE5C4D"/>
    <w:rsid w:val="00DE5C6A"/>
    <w:rsid w:val="00DE5DFB"/>
    <w:rsid w:val="00DE5FCD"/>
    <w:rsid w:val="00DE6008"/>
    <w:rsid w:val="00DE6075"/>
    <w:rsid w:val="00DE6088"/>
    <w:rsid w:val="00DE6119"/>
    <w:rsid w:val="00DE637D"/>
    <w:rsid w:val="00DE6579"/>
    <w:rsid w:val="00DE65C3"/>
    <w:rsid w:val="00DE65E0"/>
    <w:rsid w:val="00DE660B"/>
    <w:rsid w:val="00DE669F"/>
    <w:rsid w:val="00DE66FB"/>
    <w:rsid w:val="00DE68F4"/>
    <w:rsid w:val="00DE6928"/>
    <w:rsid w:val="00DE6BD3"/>
    <w:rsid w:val="00DE6D38"/>
    <w:rsid w:val="00DE6E80"/>
    <w:rsid w:val="00DE6EE1"/>
    <w:rsid w:val="00DE6F47"/>
    <w:rsid w:val="00DE6F71"/>
    <w:rsid w:val="00DE6FCC"/>
    <w:rsid w:val="00DE7043"/>
    <w:rsid w:val="00DE73F6"/>
    <w:rsid w:val="00DE7532"/>
    <w:rsid w:val="00DE7C42"/>
    <w:rsid w:val="00DE7C8F"/>
    <w:rsid w:val="00DE7CFB"/>
    <w:rsid w:val="00DE7D7C"/>
    <w:rsid w:val="00DE7F26"/>
    <w:rsid w:val="00DE7FBE"/>
    <w:rsid w:val="00DE7FC2"/>
    <w:rsid w:val="00DE7FCE"/>
    <w:rsid w:val="00DF000D"/>
    <w:rsid w:val="00DF0276"/>
    <w:rsid w:val="00DF0284"/>
    <w:rsid w:val="00DF05BD"/>
    <w:rsid w:val="00DF06AA"/>
    <w:rsid w:val="00DF07B6"/>
    <w:rsid w:val="00DF07CB"/>
    <w:rsid w:val="00DF0844"/>
    <w:rsid w:val="00DF086B"/>
    <w:rsid w:val="00DF094B"/>
    <w:rsid w:val="00DF09B1"/>
    <w:rsid w:val="00DF0A97"/>
    <w:rsid w:val="00DF0C0F"/>
    <w:rsid w:val="00DF0DC1"/>
    <w:rsid w:val="00DF0FCF"/>
    <w:rsid w:val="00DF0FD1"/>
    <w:rsid w:val="00DF1007"/>
    <w:rsid w:val="00DF1267"/>
    <w:rsid w:val="00DF14B7"/>
    <w:rsid w:val="00DF14EB"/>
    <w:rsid w:val="00DF17F9"/>
    <w:rsid w:val="00DF189D"/>
    <w:rsid w:val="00DF18D8"/>
    <w:rsid w:val="00DF1960"/>
    <w:rsid w:val="00DF1BAF"/>
    <w:rsid w:val="00DF1BF6"/>
    <w:rsid w:val="00DF1EA0"/>
    <w:rsid w:val="00DF1F3A"/>
    <w:rsid w:val="00DF204B"/>
    <w:rsid w:val="00DF2052"/>
    <w:rsid w:val="00DF224E"/>
    <w:rsid w:val="00DF22C3"/>
    <w:rsid w:val="00DF245C"/>
    <w:rsid w:val="00DF2673"/>
    <w:rsid w:val="00DF287C"/>
    <w:rsid w:val="00DF2C15"/>
    <w:rsid w:val="00DF2D2C"/>
    <w:rsid w:val="00DF2D71"/>
    <w:rsid w:val="00DF2F79"/>
    <w:rsid w:val="00DF30BC"/>
    <w:rsid w:val="00DF31E8"/>
    <w:rsid w:val="00DF32A1"/>
    <w:rsid w:val="00DF34F8"/>
    <w:rsid w:val="00DF3638"/>
    <w:rsid w:val="00DF36AA"/>
    <w:rsid w:val="00DF37EE"/>
    <w:rsid w:val="00DF38A5"/>
    <w:rsid w:val="00DF39A8"/>
    <w:rsid w:val="00DF3C60"/>
    <w:rsid w:val="00DF3CBE"/>
    <w:rsid w:val="00DF3CF5"/>
    <w:rsid w:val="00DF4127"/>
    <w:rsid w:val="00DF43D5"/>
    <w:rsid w:val="00DF440A"/>
    <w:rsid w:val="00DF44F9"/>
    <w:rsid w:val="00DF4539"/>
    <w:rsid w:val="00DF4550"/>
    <w:rsid w:val="00DF4578"/>
    <w:rsid w:val="00DF46E7"/>
    <w:rsid w:val="00DF46FD"/>
    <w:rsid w:val="00DF4848"/>
    <w:rsid w:val="00DF4A10"/>
    <w:rsid w:val="00DF4D14"/>
    <w:rsid w:val="00DF4E7B"/>
    <w:rsid w:val="00DF4F35"/>
    <w:rsid w:val="00DF4F58"/>
    <w:rsid w:val="00DF4FAC"/>
    <w:rsid w:val="00DF5430"/>
    <w:rsid w:val="00DF5562"/>
    <w:rsid w:val="00DF58EA"/>
    <w:rsid w:val="00DF590B"/>
    <w:rsid w:val="00DF5A5F"/>
    <w:rsid w:val="00DF5B79"/>
    <w:rsid w:val="00DF5C70"/>
    <w:rsid w:val="00DF5C8B"/>
    <w:rsid w:val="00DF5E60"/>
    <w:rsid w:val="00DF5EB3"/>
    <w:rsid w:val="00DF5EC2"/>
    <w:rsid w:val="00DF5FF4"/>
    <w:rsid w:val="00DF5FFE"/>
    <w:rsid w:val="00DF6049"/>
    <w:rsid w:val="00DF6176"/>
    <w:rsid w:val="00DF6289"/>
    <w:rsid w:val="00DF6292"/>
    <w:rsid w:val="00DF650D"/>
    <w:rsid w:val="00DF652C"/>
    <w:rsid w:val="00DF658C"/>
    <w:rsid w:val="00DF67C5"/>
    <w:rsid w:val="00DF682F"/>
    <w:rsid w:val="00DF69C4"/>
    <w:rsid w:val="00DF69CE"/>
    <w:rsid w:val="00DF6A51"/>
    <w:rsid w:val="00DF6F34"/>
    <w:rsid w:val="00DF70FA"/>
    <w:rsid w:val="00DF71F2"/>
    <w:rsid w:val="00DF7353"/>
    <w:rsid w:val="00DF7673"/>
    <w:rsid w:val="00DF7693"/>
    <w:rsid w:val="00DF76AF"/>
    <w:rsid w:val="00DF7745"/>
    <w:rsid w:val="00DF7B8E"/>
    <w:rsid w:val="00DF7B9F"/>
    <w:rsid w:val="00DF7EFF"/>
    <w:rsid w:val="00DF7F12"/>
    <w:rsid w:val="00E00044"/>
    <w:rsid w:val="00E000E9"/>
    <w:rsid w:val="00E004DA"/>
    <w:rsid w:val="00E005EF"/>
    <w:rsid w:val="00E007CC"/>
    <w:rsid w:val="00E00904"/>
    <w:rsid w:val="00E00942"/>
    <w:rsid w:val="00E0095D"/>
    <w:rsid w:val="00E00A2D"/>
    <w:rsid w:val="00E00BE2"/>
    <w:rsid w:val="00E00C5D"/>
    <w:rsid w:val="00E00D7B"/>
    <w:rsid w:val="00E00E39"/>
    <w:rsid w:val="00E00EA9"/>
    <w:rsid w:val="00E00FD6"/>
    <w:rsid w:val="00E00FEC"/>
    <w:rsid w:val="00E010B0"/>
    <w:rsid w:val="00E01230"/>
    <w:rsid w:val="00E01485"/>
    <w:rsid w:val="00E0151E"/>
    <w:rsid w:val="00E0157E"/>
    <w:rsid w:val="00E016B2"/>
    <w:rsid w:val="00E01770"/>
    <w:rsid w:val="00E017F7"/>
    <w:rsid w:val="00E01801"/>
    <w:rsid w:val="00E018A4"/>
    <w:rsid w:val="00E019DF"/>
    <w:rsid w:val="00E01B36"/>
    <w:rsid w:val="00E01B65"/>
    <w:rsid w:val="00E01B8A"/>
    <w:rsid w:val="00E01DB7"/>
    <w:rsid w:val="00E01E96"/>
    <w:rsid w:val="00E01F4A"/>
    <w:rsid w:val="00E01FAA"/>
    <w:rsid w:val="00E01FDB"/>
    <w:rsid w:val="00E021F7"/>
    <w:rsid w:val="00E021FA"/>
    <w:rsid w:val="00E02375"/>
    <w:rsid w:val="00E024F8"/>
    <w:rsid w:val="00E02507"/>
    <w:rsid w:val="00E02523"/>
    <w:rsid w:val="00E026AF"/>
    <w:rsid w:val="00E0298D"/>
    <w:rsid w:val="00E02AA9"/>
    <w:rsid w:val="00E02B5D"/>
    <w:rsid w:val="00E02CA4"/>
    <w:rsid w:val="00E02CCA"/>
    <w:rsid w:val="00E02CFB"/>
    <w:rsid w:val="00E02D93"/>
    <w:rsid w:val="00E02EF8"/>
    <w:rsid w:val="00E0301F"/>
    <w:rsid w:val="00E0330D"/>
    <w:rsid w:val="00E03676"/>
    <w:rsid w:val="00E036E3"/>
    <w:rsid w:val="00E0381C"/>
    <w:rsid w:val="00E03840"/>
    <w:rsid w:val="00E0386A"/>
    <w:rsid w:val="00E039E2"/>
    <w:rsid w:val="00E03C54"/>
    <w:rsid w:val="00E03D3E"/>
    <w:rsid w:val="00E03D7E"/>
    <w:rsid w:val="00E03DEA"/>
    <w:rsid w:val="00E03DFF"/>
    <w:rsid w:val="00E03F25"/>
    <w:rsid w:val="00E0420A"/>
    <w:rsid w:val="00E04767"/>
    <w:rsid w:val="00E0476F"/>
    <w:rsid w:val="00E047E1"/>
    <w:rsid w:val="00E0483A"/>
    <w:rsid w:val="00E0490F"/>
    <w:rsid w:val="00E04A64"/>
    <w:rsid w:val="00E04A86"/>
    <w:rsid w:val="00E04CE7"/>
    <w:rsid w:val="00E04DFB"/>
    <w:rsid w:val="00E04E29"/>
    <w:rsid w:val="00E04E4B"/>
    <w:rsid w:val="00E04EA8"/>
    <w:rsid w:val="00E04EE4"/>
    <w:rsid w:val="00E04FCD"/>
    <w:rsid w:val="00E05396"/>
    <w:rsid w:val="00E05537"/>
    <w:rsid w:val="00E05690"/>
    <w:rsid w:val="00E05712"/>
    <w:rsid w:val="00E057B1"/>
    <w:rsid w:val="00E0583C"/>
    <w:rsid w:val="00E05853"/>
    <w:rsid w:val="00E059F7"/>
    <w:rsid w:val="00E05A1C"/>
    <w:rsid w:val="00E05B44"/>
    <w:rsid w:val="00E05CBD"/>
    <w:rsid w:val="00E05CE9"/>
    <w:rsid w:val="00E05F6A"/>
    <w:rsid w:val="00E06007"/>
    <w:rsid w:val="00E06015"/>
    <w:rsid w:val="00E060B6"/>
    <w:rsid w:val="00E060DC"/>
    <w:rsid w:val="00E06100"/>
    <w:rsid w:val="00E06205"/>
    <w:rsid w:val="00E06329"/>
    <w:rsid w:val="00E06381"/>
    <w:rsid w:val="00E063BB"/>
    <w:rsid w:val="00E06417"/>
    <w:rsid w:val="00E06666"/>
    <w:rsid w:val="00E066D3"/>
    <w:rsid w:val="00E0678C"/>
    <w:rsid w:val="00E067E7"/>
    <w:rsid w:val="00E06A41"/>
    <w:rsid w:val="00E06B5B"/>
    <w:rsid w:val="00E06BCB"/>
    <w:rsid w:val="00E06BF4"/>
    <w:rsid w:val="00E06CB3"/>
    <w:rsid w:val="00E06D1A"/>
    <w:rsid w:val="00E06DA6"/>
    <w:rsid w:val="00E06E0F"/>
    <w:rsid w:val="00E06F67"/>
    <w:rsid w:val="00E07099"/>
    <w:rsid w:val="00E07204"/>
    <w:rsid w:val="00E07555"/>
    <w:rsid w:val="00E07744"/>
    <w:rsid w:val="00E07A52"/>
    <w:rsid w:val="00E07A67"/>
    <w:rsid w:val="00E07A91"/>
    <w:rsid w:val="00E07B60"/>
    <w:rsid w:val="00E07C83"/>
    <w:rsid w:val="00E07E93"/>
    <w:rsid w:val="00E07F9E"/>
    <w:rsid w:val="00E07FBA"/>
    <w:rsid w:val="00E1001A"/>
    <w:rsid w:val="00E10044"/>
    <w:rsid w:val="00E10193"/>
    <w:rsid w:val="00E10346"/>
    <w:rsid w:val="00E103B2"/>
    <w:rsid w:val="00E10497"/>
    <w:rsid w:val="00E104C5"/>
    <w:rsid w:val="00E107E9"/>
    <w:rsid w:val="00E10809"/>
    <w:rsid w:val="00E10865"/>
    <w:rsid w:val="00E10882"/>
    <w:rsid w:val="00E10A50"/>
    <w:rsid w:val="00E10A8C"/>
    <w:rsid w:val="00E10ECE"/>
    <w:rsid w:val="00E10F2F"/>
    <w:rsid w:val="00E111D4"/>
    <w:rsid w:val="00E111DD"/>
    <w:rsid w:val="00E1120C"/>
    <w:rsid w:val="00E1132C"/>
    <w:rsid w:val="00E113CA"/>
    <w:rsid w:val="00E113DD"/>
    <w:rsid w:val="00E114C6"/>
    <w:rsid w:val="00E114D2"/>
    <w:rsid w:val="00E11648"/>
    <w:rsid w:val="00E116E1"/>
    <w:rsid w:val="00E116EC"/>
    <w:rsid w:val="00E11A11"/>
    <w:rsid w:val="00E11C17"/>
    <w:rsid w:val="00E11D03"/>
    <w:rsid w:val="00E11D40"/>
    <w:rsid w:val="00E11F25"/>
    <w:rsid w:val="00E11F34"/>
    <w:rsid w:val="00E11FC5"/>
    <w:rsid w:val="00E11FCE"/>
    <w:rsid w:val="00E11FD9"/>
    <w:rsid w:val="00E121E7"/>
    <w:rsid w:val="00E124CF"/>
    <w:rsid w:val="00E12562"/>
    <w:rsid w:val="00E125F9"/>
    <w:rsid w:val="00E128EB"/>
    <w:rsid w:val="00E12B1E"/>
    <w:rsid w:val="00E12C1B"/>
    <w:rsid w:val="00E12C7D"/>
    <w:rsid w:val="00E12CE0"/>
    <w:rsid w:val="00E12E06"/>
    <w:rsid w:val="00E12EA9"/>
    <w:rsid w:val="00E12F32"/>
    <w:rsid w:val="00E12F36"/>
    <w:rsid w:val="00E12F83"/>
    <w:rsid w:val="00E12FCD"/>
    <w:rsid w:val="00E13005"/>
    <w:rsid w:val="00E1307A"/>
    <w:rsid w:val="00E1307D"/>
    <w:rsid w:val="00E13175"/>
    <w:rsid w:val="00E1327F"/>
    <w:rsid w:val="00E132E9"/>
    <w:rsid w:val="00E13388"/>
    <w:rsid w:val="00E135B3"/>
    <w:rsid w:val="00E13730"/>
    <w:rsid w:val="00E137FB"/>
    <w:rsid w:val="00E13AB2"/>
    <w:rsid w:val="00E13BAD"/>
    <w:rsid w:val="00E13BFE"/>
    <w:rsid w:val="00E13CAC"/>
    <w:rsid w:val="00E13D88"/>
    <w:rsid w:val="00E13E74"/>
    <w:rsid w:val="00E140A6"/>
    <w:rsid w:val="00E1420C"/>
    <w:rsid w:val="00E142A4"/>
    <w:rsid w:val="00E1449A"/>
    <w:rsid w:val="00E14551"/>
    <w:rsid w:val="00E1469A"/>
    <w:rsid w:val="00E146F8"/>
    <w:rsid w:val="00E1482E"/>
    <w:rsid w:val="00E1482F"/>
    <w:rsid w:val="00E14888"/>
    <w:rsid w:val="00E14AA2"/>
    <w:rsid w:val="00E14B66"/>
    <w:rsid w:val="00E14C00"/>
    <w:rsid w:val="00E14CD0"/>
    <w:rsid w:val="00E14D33"/>
    <w:rsid w:val="00E14E4E"/>
    <w:rsid w:val="00E155A0"/>
    <w:rsid w:val="00E15678"/>
    <w:rsid w:val="00E15732"/>
    <w:rsid w:val="00E1596A"/>
    <w:rsid w:val="00E15A29"/>
    <w:rsid w:val="00E15B91"/>
    <w:rsid w:val="00E15C31"/>
    <w:rsid w:val="00E15C56"/>
    <w:rsid w:val="00E15E9D"/>
    <w:rsid w:val="00E15EBF"/>
    <w:rsid w:val="00E15EEE"/>
    <w:rsid w:val="00E15FF9"/>
    <w:rsid w:val="00E16161"/>
    <w:rsid w:val="00E1624E"/>
    <w:rsid w:val="00E163AD"/>
    <w:rsid w:val="00E163B9"/>
    <w:rsid w:val="00E16416"/>
    <w:rsid w:val="00E1641E"/>
    <w:rsid w:val="00E1641F"/>
    <w:rsid w:val="00E16451"/>
    <w:rsid w:val="00E16470"/>
    <w:rsid w:val="00E164B5"/>
    <w:rsid w:val="00E1658A"/>
    <w:rsid w:val="00E16592"/>
    <w:rsid w:val="00E16611"/>
    <w:rsid w:val="00E16713"/>
    <w:rsid w:val="00E167B7"/>
    <w:rsid w:val="00E168AD"/>
    <w:rsid w:val="00E16B8B"/>
    <w:rsid w:val="00E16BB2"/>
    <w:rsid w:val="00E16D35"/>
    <w:rsid w:val="00E16EFD"/>
    <w:rsid w:val="00E16F64"/>
    <w:rsid w:val="00E16F79"/>
    <w:rsid w:val="00E170AE"/>
    <w:rsid w:val="00E170B2"/>
    <w:rsid w:val="00E17235"/>
    <w:rsid w:val="00E174D7"/>
    <w:rsid w:val="00E17605"/>
    <w:rsid w:val="00E17916"/>
    <w:rsid w:val="00E17941"/>
    <w:rsid w:val="00E17B0C"/>
    <w:rsid w:val="00E17BDA"/>
    <w:rsid w:val="00E17E16"/>
    <w:rsid w:val="00E17F76"/>
    <w:rsid w:val="00E201EF"/>
    <w:rsid w:val="00E2027A"/>
    <w:rsid w:val="00E202D7"/>
    <w:rsid w:val="00E204B9"/>
    <w:rsid w:val="00E2052B"/>
    <w:rsid w:val="00E20551"/>
    <w:rsid w:val="00E205AE"/>
    <w:rsid w:val="00E2084B"/>
    <w:rsid w:val="00E20AEF"/>
    <w:rsid w:val="00E20B34"/>
    <w:rsid w:val="00E20B9B"/>
    <w:rsid w:val="00E20C49"/>
    <w:rsid w:val="00E20E20"/>
    <w:rsid w:val="00E20EF6"/>
    <w:rsid w:val="00E20FB0"/>
    <w:rsid w:val="00E210E0"/>
    <w:rsid w:val="00E21198"/>
    <w:rsid w:val="00E2125F"/>
    <w:rsid w:val="00E213CE"/>
    <w:rsid w:val="00E2141E"/>
    <w:rsid w:val="00E214AC"/>
    <w:rsid w:val="00E216F7"/>
    <w:rsid w:val="00E21768"/>
    <w:rsid w:val="00E21A99"/>
    <w:rsid w:val="00E21BA0"/>
    <w:rsid w:val="00E21C89"/>
    <w:rsid w:val="00E21D7D"/>
    <w:rsid w:val="00E21DE7"/>
    <w:rsid w:val="00E21F74"/>
    <w:rsid w:val="00E21FD5"/>
    <w:rsid w:val="00E22052"/>
    <w:rsid w:val="00E221CC"/>
    <w:rsid w:val="00E22251"/>
    <w:rsid w:val="00E2257B"/>
    <w:rsid w:val="00E226C4"/>
    <w:rsid w:val="00E22733"/>
    <w:rsid w:val="00E22830"/>
    <w:rsid w:val="00E2283A"/>
    <w:rsid w:val="00E2288F"/>
    <w:rsid w:val="00E2291F"/>
    <w:rsid w:val="00E229DC"/>
    <w:rsid w:val="00E22A4E"/>
    <w:rsid w:val="00E22ADC"/>
    <w:rsid w:val="00E22B78"/>
    <w:rsid w:val="00E22BC5"/>
    <w:rsid w:val="00E22C07"/>
    <w:rsid w:val="00E22C20"/>
    <w:rsid w:val="00E22CE1"/>
    <w:rsid w:val="00E22ED3"/>
    <w:rsid w:val="00E22FBF"/>
    <w:rsid w:val="00E22FCF"/>
    <w:rsid w:val="00E23037"/>
    <w:rsid w:val="00E230BC"/>
    <w:rsid w:val="00E23121"/>
    <w:rsid w:val="00E234EF"/>
    <w:rsid w:val="00E2350C"/>
    <w:rsid w:val="00E2380D"/>
    <w:rsid w:val="00E23A7C"/>
    <w:rsid w:val="00E23AFF"/>
    <w:rsid w:val="00E23B62"/>
    <w:rsid w:val="00E241C4"/>
    <w:rsid w:val="00E2450D"/>
    <w:rsid w:val="00E24889"/>
    <w:rsid w:val="00E24B2A"/>
    <w:rsid w:val="00E24CCF"/>
    <w:rsid w:val="00E24E43"/>
    <w:rsid w:val="00E250B0"/>
    <w:rsid w:val="00E25233"/>
    <w:rsid w:val="00E2535F"/>
    <w:rsid w:val="00E25465"/>
    <w:rsid w:val="00E25487"/>
    <w:rsid w:val="00E254C0"/>
    <w:rsid w:val="00E255AB"/>
    <w:rsid w:val="00E255C8"/>
    <w:rsid w:val="00E2586D"/>
    <w:rsid w:val="00E2588C"/>
    <w:rsid w:val="00E2593D"/>
    <w:rsid w:val="00E25984"/>
    <w:rsid w:val="00E25A23"/>
    <w:rsid w:val="00E25A62"/>
    <w:rsid w:val="00E25AC2"/>
    <w:rsid w:val="00E25C77"/>
    <w:rsid w:val="00E26032"/>
    <w:rsid w:val="00E26531"/>
    <w:rsid w:val="00E2657C"/>
    <w:rsid w:val="00E265A4"/>
    <w:rsid w:val="00E265F2"/>
    <w:rsid w:val="00E26A57"/>
    <w:rsid w:val="00E26A75"/>
    <w:rsid w:val="00E26BCA"/>
    <w:rsid w:val="00E26C4C"/>
    <w:rsid w:val="00E26C9C"/>
    <w:rsid w:val="00E26D06"/>
    <w:rsid w:val="00E26D34"/>
    <w:rsid w:val="00E26D73"/>
    <w:rsid w:val="00E26E1F"/>
    <w:rsid w:val="00E2754E"/>
    <w:rsid w:val="00E27659"/>
    <w:rsid w:val="00E276EE"/>
    <w:rsid w:val="00E2773E"/>
    <w:rsid w:val="00E2790A"/>
    <w:rsid w:val="00E27932"/>
    <w:rsid w:val="00E2795D"/>
    <w:rsid w:val="00E27A2C"/>
    <w:rsid w:val="00E27C41"/>
    <w:rsid w:val="00E27E42"/>
    <w:rsid w:val="00E27E7D"/>
    <w:rsid w:val="00E27F9B"/>
    <w:rsid w:val="00E27FDA"/>
    <w:rsid w:val="00E30063"/>
    <w:rsid w:val="00E301E6"/>
    <w:rsid w:val="00E301F3"/>
    <w:rsid w:val="00E30333"/>
    <w:rsid w:val="00E30348"/>
    <w:rsid w:val="00E30368"/>
    <w:rsid w:val="00E304A6"/>
    <w:rsid w:val="00E306B2"/>
    <w:rsid w:val="00E306C2"/>
    <w:rsid w:val="00E30870"/>
    <w:rsid w:val="00E30873"/>
    <w:rsid w:val="00E30881"/>
    <w:rsid w:val="00E3088A"/>
    <w:rsid w:val="00E30948"/>
    <w:rsid w:val="00E30B2F"/>
    <w:rsid w:val="00E30B8C"/>
    <w:rsid w:val="00E30C83"/>
    <w:rsid w:val="00E30E27"/>
    <w:rsid w:val="00E30E89"/>
    <w:rsid w:val="00E30EA2"/>
    <w:rsid w:val="00E310C6"/>
    <w:rsid w:val="00E311E8"/>
    <w:rsid w:val="00E312E7"/>
    <w:rsid w:val="00E314FB"/>
    <w:rsid w:val="00E31527"/>
    <w:rsid w:val="00E317E9"/>
    <w:rsid w:val="00E3199D"/>
    <w:rsid w:val="00E31B4B"/>
    <w:rsid w:val="00E31B91"/>
    <w:rsid w:val="00E31E0E"/>
    <w:rsid w:val="00E31F91"/>
    <w:rsid w:val="00E32148"/>
    <w:rsid w:val="00E3214C"/>
    <w:rsid w:val="00E32283"/>
    <w:rsid w:val="00E3232F"/>
    <w:rsid w:val="00E3251E"/>
    <w:rsid w:val="00E32799"/>
    <w:rsid w:val="00E32977"/>
    <w:rsid w:val="00E329AF"/>
    <w:rsid w:val="00E329D2"/>
    <w:rsid w:val="00E32AA8"/>
    <w:rsid w:val="00E32AD6"/>
    <w:rsid w:val="00E32D54"/>
    <w:rsid w:val="00E32DB6"/>
    <w:rsid w:val="00E32E7C"/>
    <w:rsid w:val="00E32ED3"/>
    <w:rsid w:val="00E33248"/>
    <w:rsid w:val="00E3339F"/>
    <w:rsid w:val="00E33446"/>
    <w:rsid w:val="00E33470"/>
    <w:rsid w:val="00E334EA"/>
    <w:rsid w:val="00E3373C"/>
    <w:rsid w:val="00E33C4B"/>
    <w:rsid w:val="00E33CCA"/>
    <w:rsid w:val="00E33D9A"/>
    <w:rsid w:val="00E340C6"/>
    <w:rsid w:val="00E3411E"/>
    <w:rsid w:val="00E342EE"/>
    <w:rsid w:val="00E34416"/>
    <w:rsid w:val="00E34497"/>
    <w:rsid w:val="00E3451A"/>
    <w:rsid w:val="00E346CD"/>
    <w:rsid w:val="00E3489F"/>
    <w:rsid w:val="00E3490B"/>
    <w:rsid w:val="00E34B62"/>
    <w:rsid w:val="00E34C6B"/>
    <w:rsid w:val="00E34EFD"/>
    <w:rsid w:val="00E3506B"/>
    <w:rsid w:val="00E3507B"/>
    <w:rsid w:val="00E35114"/>
    <w:rsid w:val="00E35290"/>
    <w:rsid w:val="00E35327"/>
    <w:rsid w:val="00E3533E"/>
    <w:rsid w:val="00E3537D"/>
    <w:rsid w:val="00E353A8"/>
    <w:rsid w:val="00E353BD"/>
    <w:rsid w:val="00E35489"/>
    <w:rsid w:val="00E3567A"/>
    <w:rsid w:val="00E356E5"/>
    <w:rsid w:val="00E359D0"/>
    <w:rsid w:val="00E35A6B"/>
    <w:rsid w:val="00E35AB7"/>
    <w:rsid w:val="00E35B21"/>
    <w:rsid w:val="00E35CA1"/>
    <w:rsid w:val="00E360F1"/>
    <w:rsid w:val="00E36155"/>
    <w:rsid w:val="00E3639A"/>
    <w:rsid w:val="00E368E5"/>
    <w:rsid w:val="00E36AFE"/>
    <w:rsid w:val="00E36B0F"/>
    <w:rsid w:val="00E36CCF"/>
    <w:rsid w:val="00E36D6F"/>
    <w:rsid w:val="00E36F9E"/>
    <w:rsid w:val="00E36FE3"/>
    <w:rsid w:val="00E3726B"/>
    <w:rsid w:val="00E373F3"/>
    <w:rsid w:val="00E376FA"/>
    <w:rsid w:val="00E3776E"/>
    <w:rsid w:val="00E377C4"/>
    <w:rsid w:val="00E3790A"/>
    <w:rsid w:val="00E37938"/>
    <w:rsid w:val="00E37A91"/>
    <w:rsid w:val="00E37B21"/>
    <w:rsid w:val="00E37BE8"/>
    <w:rsid w:val="00E37F8B"/>
    <w:rsid w:val="00E37FDC"/>
    <w:rsid w:val="00E400E6"/>
    <w:rsid w:val="00E401FA"/>
    <w:rsid w:val="00E4026A"/>
    <w:rsid w:val="00E403C3"/>
    <w:rsid w:val="00E40467"/>
    <w:rsid w:val="00E405D4"/>
    <w:rsid w:val="00E406D8"/>
    <w:rsid w:val="00E407E7"/>
    <w:rsid w:val="00E4088F"/>
    <w:rsid w:val="00E4089B"/>
    <w:rsid w:val="00E408CC"/>
    <w:rsid w:val="00E4091C"/>
    <w:rsid w:val="00E40A71"/>
    <w:rsid w:val="00E40A82"/>
    <w:rsid w:val="00E40B4C"/>
    <w:rsid w:val="00E40C5D"/>
    <w:rsid w:val="00E40D1D"/>
    <w:rsid w:val="00E40E91"/>
    <w:rsid w:val="00E40F63"/>
    <w:rsid w:val="00E411FA"/>
    <w:rsid w:val="00E413FB"/>
    <w:rsid w:val="00E414F1"/>
    <w:rsid w:val="00E415C5"/>
    <w:rsid w:val="00E4170E"/>
    <w:rsid w:val="00E417D6"/>
    <w:rsid w:val="00E41A2B"/>
    <w:rsid w:val="00E41A40"/>
    <w:rsid w:val="00E41B3C"/>
    <w:rsid w:val="00E41CD1"/>
    <w:rsid w:val="00E41D7D"/>
    <w:rsid w:val="00E41E21"/>
    <w:rsid w:val="00E41F6B"/>
    <w:rsid w:val="00E421A5"/>
    <w:rsid w:val="00E421FE"/>
    <w:rsid w:val="00E42213"/>
    <w:rsid w:val="00E42391"/>
    <w:rsid w:val="00E42421"/>
    <w:rsid w:val="00E4248F"/>
    <w:rsid w:val="00E42851"/>
    <w:rsid w:val="00E42B87"/>
    <w:rsid w:val="00E42BA8"/>
    <w:rsid w:val="00E42DE8"/>
    <w:rsid w:val="00E42EA9"/>
    <w:rsid w:val="00E42F82"/>
    <w:rsid w:val="00E43282"/>
    <w:rsid w:val="00E4341E"/>
    <w:rsid w:val="00E435DE"/>
    <w:rsid w:val="00E436DC"/>
    <w:rsid w:val="00E437A8"/>
    <w:rsid w:val="00E437E5"/>
    <w:rsid w:val="00E437ED"/>
    <w:rsid w:val="00E4397E"/>
    <w:rsid w:val="00E439F9"/>
    <w:rsid w:val="00E43A66"/>
    <w:rsid w:val="00E43A67"/>
    <w:rsid w:val="00E43B4B"/>
    <w:rsid w:val="00E43BF9"/>
    <w:rsid w:val="00E43F57"/>
    <w:rsid w:val="00E44318"/>
    <w:rsid w:val="00E446E0"/>
    <w:rsid w:val="00E4473D"/>
    <w:rsid w:val="00E447AF"/>
    <w:rsid w:val="00E4487F"/>
    <w:rsid w:val="00E44915"/>
    <w:rsid w:val="00E44965"/>
    <w:rsid w:val="00E449FE"/>
    <w:rsid w:val="00E44A68"/>
    <w:rsid w:val="00E44B99"/>
    <w:rsid w:val="00E44BE8"/>
    <w:rsid w:val="00E44C6F"/>
    <w:rsid w:val="00E44DB0"/>
    <w:rsid w:val="00E44DC8"/>
    <w:rsid w:val="00E44DEA"/>
    <w:rsid w:val="00E44F53"/>
    <w:rsid w:val="00E44FEF"/>
    <w:rsid w:val="00E45103"/>
    <w:rsid w:val="00E45169"/>
    <w:rsid w:val="00E451AE"/>
    <w:rsid w:val="00E45332"/>
    <w:rsid w:val="00E45566"/>
    <w:rsid w:val="00E45577"/>
    <w:rsid w:val="00E4558E"/>
    <w:rsid w:val="00E455D8"/>
    <w:rsid w:val="00E4592E"/>
    <w:rsid w:val="00E459A7"/>
    <w:rsid w:val="00E45ABC"/>
    <w:rsid w:val="00E45C75"/>
    <w:rsid w:val="00E45C7F"/>
    <w:rsid w:val="00E45D18"/>
    <w:rsid w:val="00E45E38"/>
    <w:rsid w:val="00E45E82"/>
    <w:rsid w:val="00E45F3E"/>
    <w:rsid w:val="00E45F4E"/>
    <w:rsid w:val="00E45FEE"/>
    <w:rsid w:val="00E45FF9"/>
    <w:rsid w:val="00E4600B"/>
    <w:rsid w:val="00E461B7"/>
    <w:rsid w:val="00E46304"/>
    <w:rsid w:val="00E463CF"/>
    <w:rsid w:val="00E463F7"/>
    <w:rsid w:val="00E464E6"/>
    <w:rsid w:val="00E467D8"/>
    <w:rsid w:val="00E468E0"/>
    <w:rsid w:val="00E4695F"/>
    <w:rsid w:val="00E46975"/>
    <w:rsid w:val="00E46A47"/>
    <w:rsid w:val="00E46A88"/>
    <w:rsid w:val="00E46CB7"/>
    <w:rsid w:val="00E46D47"/>
    <w:rsid w:val="00E46EE4"/>
    <w:rsid w:val="00E47015"/>
    <w:rsid w:val="00E47056"/>
    <w:rsid w:val="00E4724B"/>
    <w:rsid w:val="00E4738B"/>
    <w:rsid w:val="00E47405"/>
    <w:rsid w:val="00E47619"/>
    <w:rsid w:val="00E47622"/>
    <w:rsid w:val="00E477D8"/>
    <w:rsid w:val="00E477E6"/>
    <w:rsid w:val="00E4797F"/>
    <w:rsid w:val="00E47CB1"/>
    <w:rsid w:val="00E47F89"/>
    <w:rsid w:val="00E500A6"/>
    <w:rsid w:val="00E500A7"/>
    <w:rsid w:val="00E500FF"/>
    <w:rsid w:val="00E5011E"/>
    <w:rsid w:val="00E50335"/>
    <w:rsid w:val="00E5083A"/>
    <w:rsid w:val="00E508E2"/>
    <w:rsid w:val="00E5095A"/>
    <w:rsid w:val="00E509F3"/>
    <w:rsid w:val="00E50A9B"/>
    <w:rsid w:val="00E50B3A"/>
    <w:rsid w:val="00E50D9B"/>
    <w:rsid w:val="00E50E25"/>
    <w:rsid w:val="00E50E4F"/>
    <w:rsid w:val="00E50FA9"/>
    <w:rsid w:val="00E51253"/>
    <w:rsid w:val="00E5127C"/>
    <w:rsid w:val="00E513E5"/>
    <w:rsid w:val="00E5141A"/>
    <w:rsid w:val="00E514E8"/>
    <w:rsid w:val="00E5152F"/>
    <w:rsid w:val="00E51647"/>
    <w:rsid w:val="00E5165F"/>
    <w:rsid w:val="00E51704"/>
    <w:rsid w:val="00E51785"/>
    <w:rsid w:val="00E517D2"/>
    <w:rsid w:val="00E5182F"/>
    <w:rsid w:val="00E5184A"/>
    <w:rsid w:val="00E519BC"/>
    <w:rsid w:val="00E51AD6"/>
    <w:rsid w:val="00E51C04"/>
    <w:rsid w:val="00E51C50"/>
    <w:rsid w:val="00E51D18"/>
    <w:rsid w:val="00E51D90"/>
    <w:rsid w:val="00E51E89"/>
    <w:rsid w:val="00E51E91"/>
    <w:rsid w:val="00E51EAC"/>
    <w:rsid w:val="00E51EE0"/>
    <w:rsid w:val="00E52071"/>
    <w:rsid w:val="00E523D3"/>
    <w:rsid w:val="00E523EC"/>
    <w:rsid w:val="00E5251F"/>
    <w:rsid w:val="00E52593"/>
    <w:rsid w:val="00E5272E"/>
    <w:rsid w:val="00E5280E"/>
    <w:rsid w:val="00E52878"/>
    <w:rsid w:val="00E52940"/>
    <w:rsid w:val="00E5296F"/>
    <w:rsid w:val="00E52C8B"/>
    <w:rsid w:val="00E52CE4"/>
    <w:rsid w:val="00E52D7F"/>
    <w:rsid w:val="00E52E11"/>
    <w:rsid w:val="00E52E2C"/>
    <w:rsid w:val="00E52F6E"/>
    <w:rsid w:val="00E53013"/>
    <w:rsid w:val="00E5309D"/>
    <w:rsid w:val="00E530B5"/>
    <w:rsid w:val="00E532ED"/>
    <w:rsid w:val="00E5330F"/>
    <w:rsid w:val="00E533CD"/>
    <w:rsid w:val="00E5348F"/>
    <w:rsid w:val="00E53688"/>
    <w:rsid w:val="00E5371C"/>
    <w:rsid w:val="00E53786"/>
    <w:rsid w:val="00E5381A"/>
    <w:rsid w:val="00E53875"/>
    <w:rsid w:val="00E53AA8"/>
    <w:rsid w:val="00E53FB1"/>
    <w:rsid w:val="00E540D5"/>
    <w:rsid w:val="00E540E0"/>
    <w:rsid w:val="00E54153"/>
    <w:rsid w:val="00E54348"/>
    <w:rsid w:val="00E543E5"/>
    <w:rsid w:val="00E545B6"/>
    <w:rsid w:val="00E546F0"/>
    <w:rsid w:val="00E5476B"/>
    <w:rsid w:val="00E54A31"/>
    <w:rsid w:val="00E54CDB"/>
    <w:rsid w:val="00E54E1B"/>
    <w:rsid w:val="00E54F10"/>
    <w:rsid w:val="00E54F15"/>
    <w:rsid w:val="00E54FB6"/>
    <w:rsid w:val="00E552ED"/>
    <w:rsid w:val="00E555EF"/>
    <w:rsid w:val="00E5560E"/>
    <w:rsid w:val="00E55636"/>
    <w:rsid w:val="00E556BB"/>
    <w:rsid w:val="00E556C9"/>
    <w:rsid w:val="00E556DC"/>
    <w:rsid w:val="00E55746"/>
    <w:rsid w:val="00E557E9"/>
    <w:rsid w:val="00E5593E"/>
    <w:rsid w:val="00E55B1C"/>
    <w:rsid w:val="00E55B1E"/>
    <w:rsid w:val="00E55C70"/>
    <w:rsid w:val="00E55CFD"/>
    <w:rsid w:val="00E55D07"/>
    <w:rsid w:val="00E55D4D"/>
    <w:rsid w:val="00E55E36"/>
    <w:rsid w:val="00E55F3D"/>
    <w:rsid w:val="00E560B7"/>
    <w:rsid w:val="00E56205"/>
    <w:rsid w:val="00E562A0"/>
    <w:rsid w:val="00E562F1"/>
    <w:rsid w:val="00E56441"/>
    <w:rsid w:val="00E56616"/>
    <w:rsid w:val="00E56653"/>
    <w:rsid w:val="00E56967"/>
    <w:rsid w:val="00E5698D"/>
    <w:rsid w:val="00E569AA"/>
    <w:rsid w:val="00E56A44"/>
    <w:rsid w:val="00E56B1A"/>
    <w:rsid w:val="00E56B5E"/>
    <w:rsid w:val="00E56C35"/>
    <w:rsid w:val="00E56CF8"/>
    <w:rsid w:val="00E56D5E"/>
    <w:rsid w:val="00E56E34"/>
    <w:rsid w:val="00E56EED"/>
    <w:rsid w:val="00E56FC9"/>
    <w:rsid w:val="00E5713F"/>
    <w:rsid w:val="00E57273"/>
    <w:rsid w:val="00E5746F"/>
    <w:rsid w:val="00E574E0"/>
    <w:rsid w:val="00E57910"/>
    <w:rsid w:val="00E5797E"/>
    <w:rsid w:val="00E579C0"/>
    <w:rsid w:val="00E57A8A"/>
    <w:rsid w:val="00E57A98"/>
    <w:rsid w:val="00E57AAB"/>
    <w:rsid w:val="00E57D26"/>
    <w:rsid w:val="00E57E15"/>
    <w:rsid w:val="00E57ECC"/>
    <w:rsid w:val="00E57EE7"/>
    <w:rsid w:val="00E57F2F"/>
    <w:rsid w:val="00E57FF3"/>
    <w:rsid w:val="00E60086"/>
    <w:rsid w:val="00E60139"/>
    <w:rsid w:val="00E60315"/>
    <w:rsid w:val="00E603E9"/>
    <w:rsid w:val="00E6042D"/>
    <w:rsid w:val="00E60522"/>
    <w:rsid w:val="00E60709"/>
    <w:rsid w:val="00E607D5"/>
    <w:rsid w:val="00E607D8"/>
    <w:rsid w:val="00E60884"/>
    <w:rsid w:val="00E609A8"/>
    <w:rsid w:val="00E60AB2"/>
    <w:rsid w:val="00E60B4C"/>
    <w:rsid w:val="00E611B1"/>
    <w:rsid w:val="00E611C5"/>
    <w:rsid w:val="00E6138A"/>
    <w:rsid w:val="00E61481"/>
    <w:rsid w:val="00E61488"/>
    <w:rsid w:val="00E61551"/>
    <w:rsid w:val="00E61583"/>
    <w:rsid w:val="00E615E3"/>
    <w:rsid w:val="00E6168E"/>
    <w:rsid w:val="00E61850"/>
    <w:rsid w:val="00E61A4B"/>
    <w:rsid w:val="00E61ACA"/>
    <w:rsid w:val="00E61D7D"/>
    <w:rsid w:val="00E61E8C"/>
    <w:rsid w:val="00E6220D"/>
    <w:rsid w:val="00E622B2"/>
    <w:rsid w:val="00E62424"/>
    <w:rsid w:val="00E6243C"/>
    <w:rsid w:val="00E624E9"/>
    <w:rsid w:val="00E62645"/>
    <w:rsid w:val="00E62690"/>
    <w:rsid w:val="00E6269F"/>
    <w:rsid w:val="00E62825"/>
    <w:rsid w:val="00E62C05"/>
    <w:rsid w:val="00E62D18"/>
    <w:rsid w:val="00E62E96"/>
    <w:rsid w:val="00E62FA4"/>
    <w:rsid w:val="00E630D6"/>
    <w:rsid w:val="00E63383"/>
    <w:rsid w:val="00E6347C"/>
    <w:rsid w:val="00E634AC"/>
    <w:rsid w:val="00E634D4"/>
    <w:rsid w:val="00E635A0"/>
    <w:rsid w:val="00E63647"/>
    <w:rsid w:val="00E6367C"/>
    <w:rsid w:val="00E6378A"/>
    <w:rsid w:val="00E637F4"/>
    <w:rsid w:val="00E63A1D"/>
    <w:rsid w:val="00E63C2B"/>
    <w:rsid w:val="00E63CFE"/>
    <w:rsid w:val="00E63D5A"/>
    <w:rsid w:val="00E63EC3"/>
    <w:rsid w:val="00E642E4"/>
    <w:rsid w:val="00E64423"/>
    <w:rsid w:val="00E6443E"/>
    <w:rsid w:val="00E644DB"/>
    <w:rsid w:val="00E644F8"/>
    <w:rsid w:val="00E64876"/>
    <w:rsid w:val="00E64AEE"/>
    <w:rsid w:val="00E64D71"/>
    <w:rsid w:val="00E64E06"/>
    <w:rsid w:val="00E64E95"/>
    <w:rsid w:val="00E64FCB"/>
    <w:rsid w:val="00E65003"/>
    <w:rsid w:val="00E6508D"/>
    <w:rsid w:val="00E6519B"/>
    <w:rsid w:val="00E6536A"/>
    <w:rsid w:val="00E6537D"/>
    <w:rsid w:val="00E65714"/>
    <w:rsid w:val="00E65861"/>
    <w:rsid w:val="00E65B97"/>
    <w:rsid w:val="00E65BF7"/>
    <w:rsid w:val="00E65CEB"/>
    <w:rsid w:val="00E65F9E"/>
    <w:rsid w:val="00E66067"/>
    <w:rsid w:val="00E6610C"/>
    <w:rsid w:val="00E66408"/>
    <w:rsid w:val="00E6640B"/>
    <w:rsid w:val="00E664A9"/>
    <w:rsid w:val="00E665CC"/>
    <w:rsid w:val="00E667FE"/>
    <w:rsid w:val="00E669CB"/>
    <w:rsid w:val="00E66AAC"/>
    <w:rsid w:val="00E66C49"/>
    <w:rsid w:val="00E66D65"/>
    <w:rsid w:val="00E67045"/>
    <w:rsid w:val="00E670A5"/>
    <w:rsid w:val="00E6724C"/>
    <w:rsid w:val="00E67262"/>
    <w:rsid w:val="00E67381"/>
    <w:rsid w:val="00E673ED"/>
    <w:rsid w:val="00E6765E"/>
    <w:rsid w:val="00E67707"/>
    <w:rsid w:val="00E678A6"/>
    <w:rsid w:val="00E67C75"/>
    <w:rsid w:val="00E67CB0"/>
    <w:rsid w:val="00E67F27"/>
    <w:rsid w:val="00E67FA1"/>
    <w:rsid w:val="00E701EE"/>
    <w:rsid w:val="00E70255"/>
    <w:rsid w:val="00E70310"/>
    <w:rsid w:val="00E70337"/>
    <w:rsid w:val="00E7046B"/>
    <w:rsid w:val="00E7046E"/>
    <w:rsid w:val="00E70741"/>
    <w:rsid w:val="00E7075B"/>
    <w:rsid w:val="00E70817"/>
    <w:rsid w:val="00E70CD3"/>
    <w:rsid w:val="00E70E00"/>
    <w:rsid w:val="00E70E90"/>
    <w:rsid w:val="00E70F87"/>
    <w:rsid w:val="00E70F9C"/>
    <w:rsid w:val="00E710C4"/>
    <w:rsid w:val="00E7115C"/>
    <w:rsid w:val="00E7151A"/>
    <w:rsid w:val="00E715F5"/>
    <w:rsid w:val="00E71876"/>
    <w:rsid w:val="00E719CE"/>
    <w:rsid w:val="00E71C80"/>
    <w:rsid w:val="00E71CA2"/>
    <w:rsid w:val="00E71E82"/>
    <w:rsid w:val="00E7206B"/>
    <w:rsid w:val="00E72137"/>
    <w:rsid w:val="00E72195"/>
    <w:rsid w:val="00E72263"/>
    <w:rsid w:val="00E72302"/>
    <w:rsid w:val="00E7235D"/>
    <w:rsid w:val="00E72446"/>
    <w:rsid w:val="00E72507"/>
    <w:rsid w:val="00E7262F"/>
    <w:rsid w:val="00E72751"/>
    <w:rsid w:val="00E72761"/>
    <w:rsid w:val="00E727FE"/>
    <w:rsid w:val="00E72A09"/>
    <w:rsid w:val="00E72B81"/>
    <w:rsid w:val="00E72EF4"/>
    <w:rsid w:val="00E7328A"/>
    <w:rsid w:val="00E732A2"/>
    <w:rsid w:val="00E73586"/>
    <w:rsid w:val="00E735DA"/>
    <w:rsid w:val="00E735ED"/>
    <w:rsid w:val="00E738F8"/>
    <w:rsid w:val="00E73A28"/>
    <w:rsid w:val="00E73BCA"/>
    <w:rsid w:val="00E73D23"/>
    <w:rsid w:val="00E73DA6"/>
    <w:rsid w:val="00E73DD3"/>
    <w:rsid w:val="00E73DDE"/>
    <w:rsid w:val="00E73E20"/>
    <w:rsid w:val="00E74048"/>
    <w:rsid w:val="00E741C0"/>
    <w:rsid w:val="00E744EE"/>
    <w:rsid w:val="00E746FC"/>
    <w:rsid w:val="00E74799"/>
    <w:rsid w:val="00E748D1"/>
    <w:rsid w:val="00E74A5E"/>
    <w:rsid w:val="00E74B1D"/>
    <w:rsid w:val="00E74C96"/>
    <w:rsid w:val="00E74DD2"/>
    <w:rsid w:val="00E74EFF"/>
    <w:rsid w:val="00E7505A"/>
    <w:rsid w:val="00E750BB"/>
    <w:rsid w:val="00E75192"/>
    <w:rsid w:val="00E75666"/>
    <w:rsid w:val="00E75804"/>
    <w:rsid w:val="00E75811"/>
    <w:rsid w:val="00E7593D"/>
    <w:rsid w:val="00E759BB"/>
    <w:rsid w:val="00E759DC"/>
    <w:rsid w:val="00E75AAD"/>
    <w:rsid w:val="00E75ADB"/>
    <w:rsid w:val="00E75B2A"/>
    <w:rsid w:val="00E75CE5"/>
    <w:rsid w:val="00E75FB0"/>
    <w:rsid w:val="00E76289"/>
    <w:rsid w:val="00E7629A"/>
    <w:rsid w:val="00E76460"/>
    <w:rsid w:val="00E7652F"/>
    <w:rsid w:val="00E765E0"/>
    <w:rsid w:val="00E767AD"/>
    <w:rsid w:val="00E7684A"/>
    <w:rsid w:val="00E7687A"/>
    <w:rsid w:val="00E768B6"/>
    <w:rsid w:val="00E7691C"/>
    <w:rsid w:val="00E76B9E"/>
    <w:rsid w:val="00E76BC6"/>
    <w:rsid w:val="00E76D82"/>
    <w:rsid w:val="00E76DB3"/>
    <w:rsid w:val="00E77134"/>
    <w:rsid w:val="00E771C0"/>
    <w:rsid w:val="00E77459"/>
    <w:rsid w:val="00E775FB"/>
    <w:rsid w:val="00E7766B"/>
    <w:rsid w:val="00E77772"/>
    <w:rsid w:val="00E7777E"/>
    <w:rsid w:val="00E77E0D"/>
    <w:rsid w:val="00E77F0A"/>
    <w:rsid w:val="00E80012"/>
    <w:rsid w:val="00E800C1"/>
    <w:rsid w:val="00E80191"/>
    <w:rsid w:val="00E80307"/>
    <w:rsid w:val="00E8041A"/>
    <w:rsid w:val="00E80428"/>
    <w:rsid w:val="00E80654"/>
    <w:rsid w:val="00E80689"/>
    <w:rsid w:val="00E80B80"/>
    <w:rsid w:val="00E80BD9"/>
    <w:rsid w:val="00E80BEA"/>
    <w:rsid w:val="00E80CDA"/>
    <w:rsid w:val="00E80EC2"/>
    <w:rsid w:val="00E8106A"/>
    <w:rsid w:val="00E8128C"/>
    <w:rsid w:val="00E813E8"/>
    <w:rsid w:val="00E816FA"/>
    <w:rsid w:val="00E81990"/>
    <w:rsid w:val="00E81A6B"/>
    <w:rsid w:val="00E81B18"/>
    <w:rsid w:val="00E81C21"/>
    <w:rsid w:val="00E81C4E"/>
    <w:rsid w:val="00E81D04"/>
    <w:rsid w:val="00E81E2A"/>
    <w:rsid w:val="00E81FF1"/>
    <w:rsid w:val="00E82048"/>
    <w:rsid w:val="00E820B7"/>
    <w:rsid w:val="00E821B0"/>
    <w:rsid w:val="00E82231"/>
    <w:rsid w:val="00E8243A"/>
    <w:rsid w:val="00E8253B"/>
    <w:rsid w:val="00E82691"/>
    <w:rsid w:val="00E826DB"/>
    <w:rsid w:val="00E827BF"/>
    <w:rsid w:val="00E82909"/>
    <w:rsid w:val="00E829A8"/>
    <w:rsid w:val="00E82A49"/>
    <w:rsid w:val="00E82BC4"/>
    <w:rsid w:val="00E82BDD"/>
    <w:rsid w:val="00E82C51"/>
    <w:rsid w:val="00E82C84"/>
    <w:rsid w:val="00E82EA5"/>
    <w:rsid w:val="00E8306C"/>
    <w:rsid w:val="00E830A0"/>
    <w:rsid w:val="00E831A5"/>
    <w:rsid w:val="00E832F3"/>
    <w:rsid w:val="00E835E0"/>
    <w:rsid w:val="00E83616"/>
    <w:rsid w:val="00E83653"/>
    <w:rsid w:val="00E836A8"/>
    <w:rsid w:val="00E836D9"/>
    <w:rsid w:val="00E837C4"/>
    <w:rsid w:val="00E837CD"/>
    <w:rsid w:val="00E83907"/>
    <w:rsid w:val="00E83C97"/>
    <w:rsid w:val="00E83CC7"/>
    <w:rsid w:val="00E83D23"/>
    <w:rsid w:val="00E83EA2"/>
    <w:rsid w:val="00E83EC7"/>
    <w:rsid w:val="00E83F7F"/>
    <w:rsid w:val="00E8413E"/>
    <w:rsid w:val="00E841FA"/>
    <w:rsid w:val="00E843F8"/>
    <w:rsid w:val="00E846EF"/>
    <w:rsid w:val="00E84A29"/>
    <w:rsid w:val="00E84AB5"/>
    <w:rsid w:val="00E84AFA"/>
    <w:rsid w:val="00E84C98"/>
    <w:rsid w:val="00E84DD7"/>
    <w:rsid w:val="00E84EA4"/>
    <w:rsid w:val="00E84FAA"/>
    <w:rsid w:val="00E8503C"/>
    <w:rsid w:val="00E85061"/>
    <w:rsid w:val="00E851AB"/>
    <w:rsid w:val="00E85379"/>
    <w:rsid w:val="00E8578E"/>
    <w:rsid w:val="00E8582D"/>
    <w:rsid w:val="00E858A8"/>
    <w:rsid w:val="00E85A82"/>
    <w:rsid w:val="00E85A8E"/>
    <w:rsid w:val="00E85B18"/>
    <w:rsid w:val="00E85B7D"/>
    <w:rsid w:val="00E85BBF"/>
    <w:rsid w:val="00E85E25"/>
    <w:rsid w:val="00E8603A"/>
    <w:rsid w:val="00E86099"/>
    <w:rsid w:val="00E86107"/>
    <w:rsid w:val="00E86134"/>
    <w:rsid w:val="00E8648C"/>
    <w:rsid w:val="00E864F1"/>
    <w:rsid w:val="00E8652E"/>
    <w:rsid w:val="00E867BB"/>
    <w:rsid w:val="00E86B67"/>
    <w:rsid w:val="00E86B86"/>
    <w:rsid w:val="00E86D52"/>
    <w:rsid w:val="00E86DD5"/>
    <w:rsid w:val="00E86DFD"/>
    <w:rsid w:val="00E86F67"/>
    <w:rsid w:val="00E8705C"/>
    <w:rsid w:val="00E87188"/>
    <w:rsid w:val="00E871C1"/>
    <w:rsid w:val="00E87310"/>
    <w:rsid w:val="00E8732B"/>
    <w:rsid w:val="00E873E0"/>
    <w:rsid w:val="00E8751A"/>
    <w:rsid w:val="00E8779C"/>
    <w:rsid w:val="00E878E7"/>
    <w:rsid w:val="00E87D67"/>
    <w:rsid w:val="00E900A2"/>
    <w:rsid w:val="00E9017D"/>
    <w:rsid w:val="00E901E4"/>
    <w:rsid w:val="00E90420"/>
    <w:rsid w:val="00E9045B"/>
    <w:rsid w:val="00E9053B"/>
    <w:rsid w:val="00E905ED"/>
    <w:rsid w:val="00E9062B"/>
    <w:rsid w:val="00E90742"/>
    <w:rsid w:val="00E907F4"/>
    <w:rsid w:val="00E909DF"/>
    <w:rsid w:val="00E90A3F"/>
    <w:rsid w:val="00E90AEE"/>
    <w:rsid w:val="00E90D28"/>
    <w:rsid w:val="00E90E5B"/>
    <w:rsid w:val="00E90E7E"/>
    <w:rsid w:val="00E90EEC"/>
    <w:rsid w:val="00E9101C"/>
    <w:rsid w:val="00E91099"/>
    <w:rsid w:val="00E91102"/>
    <w:rsid w:val="00E91238"/>
    <w:rsid w:val="00E91604"/>
    <w:rsid w:val="00E91779"/>
    <w:rsid w:val="00E91A26"/>
    <w:rsid w:val="00E91AAA"/>
    <w:rsid w:val="00E91B56"/>
    <w:rsid w:val="00E91C1E"/>
    <w:rsid w:val="00E91C49"/>
    <w:rsid w:val="00E91CF6"/>
    <w:rsid w:val="00E91D73"/>
    <w:rsid w:val="00E91F45"/>
    <w:rsid w:val="00E92172"/>
    <w:rsid w:val="00E92208"/>
    <w:rsid w:val="00E92256"/>
    <w:rsid w:val="00E92364"/>
    <w:rsid w:val="00E924EE"/>
    <w:rsid w:val="00E924FA"/>
    <w:rsid w:val="00E92571"/>
    <w:rsid w:val="00E9268B"/>
    <w:rsid w:val="00E926F5"/>
    <w:rsid w:val="00E92812"/>
    <w:rsid w:val="00E92A77"/>
    <w:rsid w:val="00E92CA3"/>
    <w:rsid w:val="00E92E88"/>
    <w:rsid w:val="00E92EDD"/>
    <w:rsid w:val="00E92EEA"/>
    <w:rsid w:val="00E92F23"/>
    <w:rsid w:val="00E93075"/>
    <w:rsid w:val="00E931CD"/>
    <w:rsid w:val="00E9331A"/>
    <w:rsid w:val="00E93562"/>
    <w:rsid w:val="00E93594"/>
    <w:rsid w:val="00E936B0"/>
    <w:rsid w:val="00E9378F"/>
    <w:rsid w:val="00E93A24"/>
    <w:rsid w:val="00E93BB9"/>
    <w:rsid w:val="00E93BCF"/>
    <w:rsid w:val="00E94257"/>
    <w:rsid w:val="00E943A2"/>
    <w:rsid w:val="00E943AB"/>
    <w:rsid w:val="00E9462A"/>
    <w:rsid w:val="00E9489D"/>
    <w:rsid w:val="00E949BF"/>
    <w:rsid w:val="00E94AFA"/>
    <w:rsid w:val="00E94C58"/>
    <w:rsid w:val="00E94C90"/>
    <w:rsid w:val="00E94E07"/>
    <w:rsid w:val="00E94E36"/>
    <w:rsid w:val="00E94FFC"/>
    <w:rsid w:val="00E95015"/>
    <w:rsid w:val="00E95075"/>
    <w:rsid w:val="00E950B1"/>
    <w:rsid w:val="00E950FA"/>
    <w:rsid w:val="00E95252"/>
    <w:rsid w:val="00E95433"/>
    <w:rsid w:val="00E9583C"/>
    <w:rsid w:val="00E95E28"/>
    <w:rsid w:val="00E95E39"/>
    <w:rsid w:val="00E95EF5"/>
    <w:rsid w:val="00E95F2C"/>
    <w:rsid w:val="00E95F91"/>
    <w:rsid w:val="00E9600D"/>
    <w:rsid w:val="00E96094"/>
    <w:rsid w:val="00E9613C"/>
    <w:rsid w:val="00E961D4"/>
    <w:rsid w:val="00E9632D"/>
    <w:rsid w:val="00E963B3"/>
    <w:rsid w:val="00E963BD"/>
    <w:rsid w:val="00E9654D"/>
    <w:rsid w:val="00E9672C"/>
    <w:rsid w:val="00E9679F"/>
    <w:rsid w:val="00E96805"/>
    <w:rsid w:val="00E969D8"/>
    <w:rsid w:val="00E96DBB"/>
    <w:rsid w:val="00E9714A"/>
    <w:rsid w:val="00E9726E"/>
    <w:rsid w:val="00E9729B"/>
    <w:rsid w:val="00E97300"/>
    <w:rsid w:val="00E9731A"/>
    <w:rsid w:val="00E975D7"/>
    <w:rsid w:val="00E978D9"/>
    <w:rsid w:val="00E97A6D"/>
    <w:rsid w:val="00E97C7D"/>
    <w:rsid w:val="00E97D47"/>
    <w:rsid w:val="00E97EC5"/>
    <w:rsid w:val="00E97EE0"/>
    <w:rsid w:val="00E97F7E"/>
    <w:rsid w:val="00EA006F"/>
    <w:rsid w:val="00EA018C"/>
    <w:rsid w:val="00EA01B6"/>
    <w:rsid w:val="00EA0258"/>
    <w:rsid w:val="00EA03FB"/>
    <w:rsid w:val="00EA0438"/>
    <w:rsid w:val="00EA0565"/>
    <w:rsid w:val="00EA068A"/>
    <w:rsid w:val="00EA076E"/>
    <w:rsid w:val="00EA09EB"/>
    <w:rsid w:val="00EA0A52"/>
    <w:rsid w:val="00EA0AB8"/>
    <w:rsid w:val="00EA0BE4"/>
    <w:rsid w:val="00EA0C48"/>
    <w:rsid w:val="00EA0CA7"/>
    <w:rsid w:val="00EA0DE5"/>
    <w:rsid w:val="00EA0EEF"/>
    <w:rsid w:val="00EA1244"/>
    <w:rsid w:val="00EA1277"/>
    <w:rsid w:val="00EA127C"/>
    <w:rsid w:val="00EA1559"/>
    <w:rsid w:val="00EA15BB"/>
    <w:rsid w:val="00EA172C"/>
    <w:rsid w:val="00EA1929"/>
    <w:rsid w:val="00EA1C2F"/>
    <w:rsid w:val="00EA1FA9"/>
    <w:rsid w:val="00EA2091"/>
    <w:rsid w:val="00EA2223"/>
    <w:rsid w:val="00EA23F8"/>
    <w:rsid w:val="00EA2410"/>
    <w:rsid w:val="00EA24EE"/>
    <w:rsid w:val="00EA25D6"/>
    <w:rsid w:val="00EA2690"/>
    <w:rsid w:val="00EA284F"/>
    <w:rsid w:val="00EA28BC"/>
    <w:rsid w:val="00EA291B"/>
    <w:rsid w:val="00EA2B67"/>
    <w:rsid w:val="00EA2BB7"/>
    <w:rsid w:val="00EA2CCC"/>
    <w:rsid w:val="00EA2E5C"/>
    <w:rsid w:val="00EA2F17"/>
    <w:rsid w:val="00EA302C"/>
    <w:rsid w:val="00EA321E"/>
    <w:rsid w:val="00EA32AC"/>
    <w:rsid w:val="00EA32D4"/>
    <w:rsid w:val="00EA3369"/>
    <w:rsid w:val="00EA339B"/>
    <w:rsid w:val="00EA3460"/>
    <w:rsid w:val="00EA35B6"/>
    <w:rsid w:val="00EA3689"/>
    <w:rsid w:val="00EA3717"/>
    <w:rsid w:val="00EA3817"/>
    <w:rsid w:val="00EA3B67"/>
    <w:rsid w:val="00EA3BCE"/>
    <w:rsid w:val="00EA3E6D"/>
    <w:rsid w:val="00EA4064"/>
    <w:rsid w:val="00EA41D9"/>
    <w:rsid w:val="00EA423E"/>
    <w:rsid w:val="00EA442E"/>
    <w:rsid w:val="00EA44A7"/>
    <w:rsid w:val="00EA44AE"/>
    <w:rsid w:val="00EA4513"/>
    <w:rsid w:val="00EA45C2"/>
    <w:rsid w:val="00EA45F9"/>
    <w:rsid w:val="00EA46BE"/>
    <w:rsid w:val="00EA4953"/>
    <w:rsid w:val="00EA4AEE"/>
    <w:rsid w:val="00EA4B53"/>
    <w:rsid w:val="00EA4C68"/>
    <w:rsid w:val="00EA4CDF"/>
    <w:rsid w:val="00EA4D68"/>
    <w:rsid w:val="00EA4EFD"/>
    <w:rsid w:val="00EA4F6E"/>
    <w:rsid w:val="00EA51E9"/>
    <w:rsid w:val="00EA53DF"/>
    <w:rsid w:val="00EA542D"/>
    <w:rsid w:val="00EA5535"/>
    <w:rsid w:val="00EA5546"/>
    <w:rsid w:val="00EA561F"/>
    <w:rsid w:val="00EA5662"/>
    <w:rsid w:val="00EA5777"/>
    <w:rsid w:val="00EA5929"/>
    <w:rsid w:val="00EA5994"/>
    <w:rsid w:val="00EA5A26"/>
    <w:rsid w:val="00EA5A2E"/>
    <w:rsid w:val="00EA5A91"/>
    <w:rsid w:val="00EA5AFC"/>
    <w:rsid w:val="00EA5BD3"/>
    <w:rsid w:val="00EA5C05"/>
    <w:rsid w:val="00EA5DD4"/>
    <w:rsid w:val="00EA5FEF"/>
    <w:rsid w:val="00EA618C"/>
    <w:rsid w:val="00EA61FD"/>
    <w:rsid w:val="00EA6284"/>
    <w:rsid w:val="00EA656F"/>
    <w:rsid w:val="00EA669D"/>
    <w:rsid w:val="00EA66EB"/>
    <w:rsid w:val="00EA676E"/>
    <w:rsid w:val="00EA6D40"/>
    <w:rsid w:val="00EA6E33"/>
    <w:rsid w:val="00EA741A"/>
    <w:rsid w:val="00EA748A"/>
    <w:rsid w:val="00EA787C"/>
    <w:rsid w:val="00EA7912"/>
    <w:rsid w:val="00EA7A4F"/>
    <w:rsid w:val="00EA7A6B"/>
    <w:rsid w:val="00EA7AF5"/>
    <w:rsid w:val="00EA7BEE"/>
    <w:rsid w:val="00EA7BFF"/>
    <w:rsid w:val="00EA7CF1"/>
    <w:rsid w:val="00EA7F71"/>
    <w:rsid w:val="00EB003C"/>
    <w:rsid w:val="00EB01AE"/>
    <w:rsid w:val="00EB064A"/>
    <w:rsid w:val="00EB077B"/>
    <w:rsid w:val="00EB084D"/>
    <w:rsid w:val="00EB086B"/>
    <w:rsid w:val="00EB0ACD"/>
    <w:rsid w:val="00EB0B04"/>
    <w:rsid w:val="00EB0C59"/>
    <w:rsid w:val="00EB0CA2"/>
    <w:rsid w:val="00EB0D69"/>
    <w:rsid w:val="00EB0DBB"/>
    <w:rsid w:val="00EB0FF4"/>
    <w:rsid w:val="00EB1168"/>
    <w:rsid w:val="00EB1361"/>
    <w:rsid w:val="00EB1382"/>
    <w:rsid w:val="00EB1471"/>
    <w:rsid w:val="00EB174C"/>
    <w:rsid w:val="00EB1904"/>
    <w:rsid w:val="00EB19BB"/>
    <w:rsid w:val="00EB19CA"/>
    <w:rsid w:val="00EB1A1A"/>
    <w:rsid w:val="00EB233D"/>
    <w:rsid w:val="00EB238E"/>
    <w:rsid w:val="00EB261B"/>
    <w:rsid w:val="00EB27FF"/>
    <w:rsid w:val="00EB2C33"/>
    <w:rsid w:val="00EB2EE3"/>
    <w:rsid w:val="00EB2F63"/>
    <w:rsid w:val="00EB3063"/>
    <w:rsid w:val="00EB309C"/>
    <w:rsid w:val="00EB31EC"/>
    <w:rsid w:val="00EB31EF"/>
    <w:rsid w:val="00EB31FF"/>
    <w:rsid w:val="00EB3366"/>
    <w:rsid w:val="00EB339A"/>
    <w:rsid w:val="00EB3468"/>
    <w:rsid w:val="00EB34E4"/>
    <w:rsid w:val="00EB35BD"/>
    <w:rsid w:val="00EB364F"/>
    <w:rsid w:val="00EB3653"/>
    <w:rsid w:val="00EB367F"/>
    <w:rsid w:val="00EB369C"/>
    <w:rsid w:val="00EB3ADB"/>
    <w:rsid w:val="00EB3BD4"/>
    <w:rsid w:val="00EB3C13"/>
    <w:rsid w:val="00EB3C61"/>
    <w:rsid w:val="00EB3CE5"/>
    <w:rsid w:val="00EB3D1F"/>
    <w:rsid w:val="00EB3D63"/>
    <w:rsid w:val="00EB3D99"/>
    <w:rsid w:val="00EB3F95"/>
    <w:rsid w:val="00EB415A"/>
    <w:rsid w:val="00EB41D9"/>
    <w:rsid w:val="00EB4373"/>
    <w:rsid w:val="00EB43A0"/>
    <w:rsid w:val="00EB43A2"/>
    <w:rsid w:val="00EB470D"/>
    <w:rsid w:val="00EB472C"/>
    <w:rsid w:val="00EB4AA0"/>
    <w:rsid w:val="00EB4AAC"/>
    <w:rsid w:val="00EB4BBA"/>
    <w:rsid w:val="00EB4E13"/>
    <w:rsid w:val="00EB4E4B"/>
    <w:rsid w:val="00EB4ED4"/>
    <w:rsid w:val="00EB5045"/>
    <w:rsid w:val="00EB5090"/>
    <w:rsid w:val="00EB5149"/>
    <w:rsid w:val="00EB51FF"/>
    <w:rsid w:val="00EB52D6"/>
    <w:rsid w:val="00EB54D2"/>
    <w:rsid w:val="00EB560F"/>
    <w:rsid w:val="00EB593A"/>
    <w:rsid w:val="00EB5A04"/>
    <w:rsid w:val="00EB5A41"/>
    <w:rsid w:val="00EB5DB2"/>
    <w:rsid w:val="00EB617F"/>
    <w:rsid w:val="00EB6691"/>
    <w:rsid w:val="00EB66A2"/>
    <w:rsid w:val="00EB680C"/>
    <w:rsid w:val="00EB6846"/>
    <w:rsid w:val="00EB6E52"/>
    <w:rsid w:val="00EB6E62"/>
    <w:rsid w:val="00EB6EED"/>
    <w:rsid w:val="00EB7345"/>
    <w:rsid w:val="00EB74BE"/>
    <w:rsid w:val="00EB7500"/>
    <w:rsid w:val="00EB761D"/>
    <w:rsid w:val="00EB7753"/>
    <w:rsid w:val="00EB7802"/>
    <w:rsid w:val="00EB7C37"/>
    <w:rsid w:val="00EB7D34"/>
    <w:rsid w:val="00EB7D5B"/>
    <w:rsid w:val="00EB7DDB"/>
    <w:rsid w:val="00EB7F9A"/>
    <w:rsid w:val="00EC0099"/>
    <w:rsid w:val="00EC0146"/>
    <w:rsid w:val="00EC0157"/>
    <w:rsid w:val="00EC034D"/>
    <w:rsid w:val="00EC0350"/>
    <w:rsid w:val="00EC03BB"/>
    <w:rsid w:val="00EC0997"/>
    <w:rsid w:val="00EC09CF"/>
    <w:rsid w:val="00EC0AB0"/>
    <w:rsid w:val="00EC0D61"/>
    <w:rsid w:val="00EC0DD8"/>
    <w:rsid w:val="00EC0F28"/>
    <w:rsid w:val="00EC110B"/>
    <w:rsid w:val="00EC1150"/>
    <w:rsid w:val="00EC11CF"/>
    <w:rsid w:val="00EC11D6"/>
    <w:rsid w:val="00EC124B"/>
    <w:rsid w:val="00EC12FB"/>
    <w:rsid w:val="00EC131B"/>
    <w:rsid w:val="00EC132D"/>
    <w:rsid w:val="00EC14AC"/>
    <w:rsid w:val="00EC1808"/>
    <w:rsid w:val="00EC1872"/>
    <w:rsid w:val="00EC192B"/>
    <w:rsid w:val="00EC1A38"/>
    <w:rsid w:val="00EC1A3B"/>
    <w:rsid w:val="00EC1B68"/>
    <w:rsid w:val="00EC1BA0"/>
    <w:rsid w:val="00EC1C09"/>
    <w:rsid w:val="00EC1DCB"/>
    <w:rsid w:val="00EC1E27"/>
    <w:rsid w:val="00EC1E72"/>
    <w:rsid w:val="00EC1F86"/>
    <w:rsid w:val="00EC2010"/>
    <w:rsid w:val="00EC20D0"/>
    <w:rsid w:val="00EC215C"/>
    <w:rsid w:val="00EC2182"/>
    <w:rsid w:val="00EC2305"/>
    <w:rsid w:val="00EC23D2"/>
    <w:rsid w:val="00EC2443"/>
    <w:rsid w:val="00EC249B"/>
    <w:rsid w:val="00EC2814"/>
    <w:rsid w:val="00EC2818"/>
    <w:rsid w:val="00EC2AED"/>
    <w:rsid w:val="00EC2B34"/>
    <w:rsid w:val="00EC2F27"/>
    <w:rsid w:val="00EC3151"/>
    <w:rsid w:val="00EC334C"/>
    <w:rsid w:val="00EC33A1"/>
    <w:rsid w:val="00EC3468"/>
    <w:rsid w:val="00EC3481"/>
    <w:rsid w:val="00EC35FC"/>
    <w:rsid w:val="00EC363E"/>
    <w:rsid w:val="00EC39EC"/>
    <w:rsid w:val="00EC3D30"/>
    <w:rsid w:val="00EC3D7D"/>
    <w:rsid w:val="00EC3F31"/>
    <w:rsid w:val="00EC3FB8"/>
    <w:rsid w:val="00EC45AD"/>
    <w:rsid w:val="00EC45E4"/>
    <w:rsid w:val="00EC461B"/>
    <w:rsid w:val="00EC46BC"/>
    <w:rsid w:val="00EC46D7"/>
    <w:rsid w:val="00EC48B6"/>
    <w:rsid w:val="00EC4E04"/>
    <w:rsid w:val="00EC4E1D"/>
    <w:rsid w:val="00EC50CA"/>
    <w:rsid w:val="00EC545C"/>
    <w:rsid w:val="00EC548F"/>
    <w:rsid w:val="00EC55FF"/>
    <w:rsid w:val="00EC562B"/>
    <w:rsid w:val="00EC56D3"/>
    <w:rsid w:val="00EC5816"/>
    <w:rsid w:val="00EC5852"/>
    <w:rsid w:val="00EC59CF"/>
    <w:rsid w:val="00EC5A02"/>
    <w:rsid w:val="00EC5A34"/>
    <w:rsid w:val="00EC5A38"/>
    <w:rsid w:val="00EC5A44"/>
    <w:rsid w:val="00EC5BAE"/>
    <w:rsid w:val="00EC5BBA"/>
    <w:rsid w:val="00EC5E6D"/>
    <w:rsid w:val="00EC5FB0"/>
    <w:rsid w:val="00EC631B"/>
    <w:rsid w:val="00EC63F5"/>
    <w:rsid w:val="00EC642F"/>
    <w:rsid w:val="00EC65A7"/>
    <w:rsid w:val="00EC6618"/>
    <w:rsid w:val="00EC6685"/>
    <w:rsid w:val="00EC6849"/>
    <w:rsid w:val="00EC69D1"/>
    <w:rsid w:val="00EC6A65"/>
    <w:rsid w:val="00EC6A6E"/>
    <w:rsid w:val="00EC6ADB"/>
    <w:rsid w:val="00EC6FAA"/>
    <w:rsid w:val="00EC7023"/>
    <w:rsid w:val="00EC70A9"/>
    <w:rsid w:val="00EC71AE"/>
    <w:rsid w:val="00EC72ED"/>
    <w:rsid w:val="00EC72F2"/>
    <w:rsid w:val="00EC7356"/>
    <w:rsid w:val="00EC75CB"/>
    <w:rsid w:val="00EC7681"/>
    <w:rsid w:val="00EC7790"/>
    <w:rsid w:val="00EC7815"/>
    <w:rsid w:val="00EC7A2B"/>
    <w:rsid w:val="00EC7A45"/>
    <w:rsid w:val="00EC7A70"/>
    <w:rsid w:val="00EC7B05"/>
    <w:rsid w:val="00EC7D19"/>
    <w:rsid w:val="00EC7FD3"/>
    <w:rsid w:val="00ED004D"/>
    <w:rsid w:val="00ED017C"/>
    <w:rsid w:val="00ED01CC"/>
    <w:rsid w:val="00ED04A9"/>
    <w:rsid w:val="00ED04FD"/>
    <w:rsid w:val="00ED0796"/>
    <w:rsid w:val="00ED0986"/>
    <w:rsid w:val="00ED0ABA"/>
    <w:rsid w:val="00ED0ABF"/>
    <w:rsid w:val="00ED0B6A"/>
    <w:rsid w:val="00ED0BDA"/>
    <w:rsid w:val="00ED0C7A"/>
    <w:rsid w:val="00ED0D98"/>
    <w:rsid w:val="00ED0DDC"/>
    <w:rsid w:val="00ED0DEE"/>
    <w:rsid w:val="00ED0EE9"/>
    <w:rsid w:val="00ED0F2E"/>
    <w:rsid w:val="00ED119E"/>
    <w:rsid w:val="00ED13D5"/>
    <w:rsid w:val="00ED1489"/>
    <w:rsid w:val="00ED1648"/>
    <w:rsid w:val="00ED1674"/>
    <w:rsid w:val="00ED17A3"/>
    <w:rsid w:val="00ED19D5"/>
    <w:rsid w:val="00ED1BF8"/>
    <w:rsid w:val="00ED1C82"/>
    <w:rsid w:val="00ED1CF8"/>
    <w:rsid w:val="00ED1D58"/>
    <w:rsid w:val="00ED1D9A"/>
    <w:rsid w:val="00ED1E64"/>
    <w:rsid w:val="00ED1E6D"/>
    <w:rsid w:val="00ED20D0"/>
    <w:rsid w:val="00ED2177"/>
    <w:rsid w:val="00ED2257"/>
    <w:rsid w:val="00ED2283"/>
    <w:rsid w:val="00ED2392"/>
    <w:rsid w:val="00ED23FA"/>
    <w:rsid w:val="00ED24D5"/>
    <w:rsid w:val="00ED2698"/>
    <w:rsid w:val="00ED286B"/>
    <w:rsid w:val="00ED28FE"/>
    <w:rsid w:val="00ED2902"/>
    <w:rsid w:val="00ED2993"/>
    <w:rsid w:val="00ED2AE5"/>
    <w:rsid w:val="00ED2BBC"/>
    <w:rsid w:val="00ED2C05"/>
    <w:rsid w:val="00ED2CB1"/>
    <w:rsid w:val="00ED2D76"/>
    <w:rsid w:val="00ED2DE4"/>
    <w:rsid w:val="00ED2F64"/>
    <w:rsid w:val="00ED3122"/>
    <w:rsid w:val="00ED312F"/>
    <w:rsid w:val="00ED33A6"/>
    <w:rsid w:val="00ED3437"/>
    <w:rsid w:val="00ED3452"/>
    <w:rsid w:val="00ED390E"/>
    <w:rsid w:val="00ED3AEB"/>
    <w:rsid w:val="00ED3AF0"/>
    <w:rsid w:val="00ED3CC5"/>
    <w:rsid w:val="00ED3DA5"/>
    <w:rsid w:val="00ED3EF6"/>
    <w:rsid w:val="00ED415A"/>
    <w:rsid w:val="00ED4211"/>
    <w:rsid w:val="00ED427A"/>
    <w:rsid w:val="00ED4446"/>
    <w:rsid w:val="00ED44C9"/>
    <w:rsid w:val="00ED451D"/>
    <w:rsid w:val="00ED46BE"/>
    <w:rsid w:val="00ED46C7"/>
    <w:rsid w:val="00ED4727"/>
    <w:rsid w:val="00ED47AA"/>
    <w:rsid w:val="00ED49A4"/>
    <w:rsid w:val="00ED4AAB"/>
    <w:rsid w:val="00ED4BFF"/>
    <w:rsid w:val="00ED4C2E"/>
    <w:rsid w:val="00ED4C37"/>
    <w:rsid w:val="00ED521A"/>
    <w:rsid w:val="00ED52EC"/>
    <w:rsid w:val="00ED5376"/>
    <w:rsid w:val="00ED54CE"/>
    <w:rsid w:val="00ED55E3"/>
    <w:rsid w:val="00ED568D"/>
    <w:rsid w:val="00ED584F"/>
    <w:rsid w:val="00ED59DE"/>
    <w:rsid w:val="00ED5AB0"/>
    <w:rsid w:val="00ED5B63"/>
    <w:rsid w:val="00ED5BC5"/>
    <w:rsid w:val="00ED5C12"/>
    <w:rsid w:val="00ED5D50"/>
    <w:rsid w:val="00ED5ECD"/>
    <w:rsid w:val="00ED5F84"/>
    <w:rsid w:val="00ED6077"/>
    <w:rsid w:val="00ED62C7"/>
    <w:rsid w:val="00ED62D2"/>
    <w:rsid w:val="00ED634F"/>
    <w:rsid w:val="00ED635D"/>
    <w:rsid w:val="00ED6423"/>
    <w:rsid w:val="00ED6542"/>
    <w:rsid w:val="00ED6594"/>
    <w:rsid w:val="00ED676F"/>
    <w:rsid w:val="00ED67BF"/>
    <w:rsid w:val="00ED67EF"/>
    <w:rsid w:val="00ED687D"/>
    <w:rsid w:val="00ED692A"/>
    <w:rsid w:val="00ED6A62"/>
    <w:rsid w:val="00ED6CF7"/>
    <w:rsid w:val="00ED6F0A"/>
    <w:rsid w:val="00ED7152"/>
    <w:rsid w:val="00ED7271"/>
    <w:rsid w:val="00ED740F"/>
    <w:rsid w:val="00ED7565"/>
    <w:rsid w:val="00ED7819"/>
    <w:rsid w:val="00ED7A26"/>
    <w:rsid w:val="00ED7A77"/>
    <w:rsid w:val="00ED7C84"/>
    <w:rsid w:val="00ED7DAB"/>
    <w:rsid w:val="00EE011F"/>
    <w:rsid w:val="00EE0512"/>
    <w:rsid w:val="00EE0720"/>
    <w:rsid w:val="00EE0999"/>
    <w:rsid w:val="00EE099D"/>
    <w:rsid w:val="00EE0A6F"/>
    <w:rsid w:val="00EE0BE4"/>
    <w:rsid w:val="00EE0BF5"/>
    <w:rsid w:val="00EE0DE3"/>
    <w:rsid w:val="00EE0E33"/>
    <w:rsid w:val="00EE0EBA"/>
    <w:rsid w:val="00EE0EC1"/>
    <w:rsid w:val="00EE0EE7"/>
    <w:rsid w:val="00EE0F01"/>
    <w:rsid w:val="00EE15BD"/>
    <w:rsid w:val="00EE15FD"/>
    <w:rsid w:val="00EE17FF"/>
    <w:rsid w:val="00EE1855"/>
    <w:rsid w:val="00EE19D7"/>
    <w:rsid w:val="00EE1DA9"/>
    <w:rsid w:val="00EE1DC2"/>
    <w:rsid w:val="00EE1FA1"/>
    <w:rsid w:val="00EE2053"/>
    <w:rsid w:val="00EE210A"/>
    <w:rsid w:val="00EE216D"/>
    <w:rsid w:val="00EE24C6"/>
    <w:rsid w:val="00EE2503"/>
    <w:rsid w:val="00EE2575"/>
    <w:rsid w:val="00EE2676"/>
    <w:rsid w:val="00EE2757"/>
    <w:rsid w:val="00EE27D3"/>
    <w:rsid w:val="00EE2837"/>
    <w:rsid w:val="00EE2935"/>
    <w:rsid w:val="00EE297F"/>
    <w:rsid w:val="00EE2A07"/>
    <w:rsid w:val="00EE2A95"/>
    <w:rsid w:val="00EE2B1F"/>
    <w:rsid w:val="00EE2B62"/>
    <w:rsid w:val="00EE2D91"/>
    <w:rsid w:val="00EE3128"/>
    <w:rsid w:val="00EE3138"/>
    <w:rsid w:val="00EE32D6"/>
    <w:rsid w:val="00EE336A"/>
    <w:rsid w:val="00EE341E"/>
    <w:rsid w:val="00EE34D9"/>
    <w:rsid w:val="00EE35B5"/>
    <w:rsid w:val="00EE3AA2"/>
    <w:rsid w:val="00EE3BB2"/>
    <w:rsid w:val="00EE3C2D"/>
    <w:rsid w:val="00EE3C59"/>
    <w:rsid w:val="00EE3C9F"/>
    <w:rsid w:val="00EE3D9A"/>
    <w:rsid w:val="00EE3E10"/>
    <w:rsid w:val="00EE3E29"/>
    <w:rsid w:val="00EE3F46"/>
    <w:rsid w:val="00EE3F78"/>
    <w:rsid w:val="00EE402D"/>
    <w:rsid w:val="00EE420C"/>
    <w:rsid w:val="00EE421D"/>
    <w:rsid w:val="00EE425B"/>
    <w:rsid w:val="00EE431B"/>
    <w:rsid w:val="00EE437D"/>
    <w:rsid w:val="00EE46CF"/>
    <w:rsid w:val="00EE4802"/>
    <w:rsid w:val="00EE4ABE"/>
    <w:rsid w:val="00EE4AFE"/>
    <w:rsid w:val="00EE4C53"/>
    <w:rsid w:val="00EE4D9A"/>
    <w:rsid w:val="00EE4E44"/>
    <w:rsid w:val="00EE4EF1"/>
    <w:rsid w:val="00EE4F7F"/>
    <w:rsid w:val="00EE507C"/>
    <w:rsid w:val="00EE517B"/>
    <w:rsid w:val="00EE5450"/>
    <w:rsid w:val="00EE550A"/>
    <w:rsid w:val="00EE569F"/>
    <w:rsid w:val="00EE56D1"/>
    <w:rsid w:val="00EE5726"/>
    <w:rsid w:val="00EE5778"/>
    <w:rsid w:val="00EE57EC"/>
    <w:rsid w:val="00EE5913"/>
    <w:rsid w:val="00EE5A53"/>
    <w:rsid w:val="00EE5A96"/>
    <w:rsid w:val="00EE5A9E"/>
    <w:rsid w:val="00EE5BF6"/>
    <w:rsid w:val="00EE5E1B"/>
    <w:rsid w:val="00EE5E5C"/>
    <w:rsid w:val="00EE5F59"/>
    <w:rsid w:val="00EE6013"/>
    <w:rsid w:val="00EE6205"/>
    <w:rsid w:val="00EE6549"/>
    <w:rsid w:val="00EE66F5"/>
    <w:rsid w:val="00EE6763"/>
    <w:rsid w:val="00EE6766"/>
    <w:rsid w:val="00EE6800"/>
    <w:rsid w:val="00EE6946"/>
    <w:rsid w:val="00EE6948"/>
    <w:rsid w:val="00EE6A80"/>
    <w:rsid w:val="00EE6BDC"/>
    <w:rsid w:val="00EE6DA5"/>
    <w:rsid w:val="00EE6DB6"/>
    <w:rsid w:val="00EE6DC8"/>
    <w:rsid w:val="00EE6FBD"/>
    <w:rsid w:val="00EE6FDD"/>
    <w:rsid w:val="00EE70C6"/>
    <w:rsid w:val="00EE70DD"/>
    <w:rsid w:val="00EE7440"/>
    <w:rsid w:val="00EE74F5"/>
    <w:rsid w:val="00EE75EE"/>
    <w:rsid w:val="00EE761C"/>
    <w:rsid w:val="00EE7701"/>
    <w:rsid w:val="00EE786F"/>
    <w:rsid w:val="00EE7A20"/>
    <w:rsid w:val="00EE7DE0"/>
    <w:rsid w:val="00EE7E64"/>
    <w:rsid w:val="00EE7E91"/>
    <w:rsid w:val="00EE7FB6"/>
    <w:rsid w:val="00EF00FB"/>
    <w:rsid w:val="00EF0201"/>
    <w:rsid w:val="00EF027F"/>
    <w:rsid w:val="00EF047F"/>
    <w:rsid w:val="00EF04E0"/>
    <w:rsid w:val="00EF0526"/>
    <w:rsid w:val="00EF068C"/>
    <w:rsid w:val="00EF070E"/>
    <w:rsid w:val="00EF0795"/>
    <w:rsid w:val="00EF08C1"/>
    <w:rsid w:val="00EF08FD"/>
    <w:rsid w:val="00EF0A18"/>
    <w:rsid w:val="00EF0A46"/>
    <w:rsid w:val="00EF0FCB"/>
    <w:rsid w:val="00EF1021"/>
    <w:rsid w:val="00EF1037"/>
    <w:rsid w:val="00EF12F8"/>
    <w:rsid w:val="00EF14BA"/>
    <w:rsid w:val="00EF16D2"/>
    <w:rsid w:val="00EF16E3"/>
    <w:rsid w:val="00EF1A7C"/>
    <w:rsid w:val="00EF1AC5"/>
    <w:rsid w:val="00EF1BB1"/>
    <w:rsid w:val="00EF1E93"/>
    <w:rsid w:val="00EF1FEB"/>
    <w:rsid w:val="00EF1FF8"/>
    <w:rsid w:val="00EF205B"/>
    <w:rsid w:val="00EF208A"/>
    <w:rsid w:val="00EF21C6"/>
    <w:rsid w:val="00EF25D9"/>
    <w:rsid w:val="00EF26F4"/>
    <w:rsid w:val="00EF298B"/>
    <w:rsid w:val="00EF2995"/>
    <w:rsid w:val="00EF29E4"/>
    <w:rsid w:val="00EF2AC4"/>
    <w:rsid w:val="00EF2CA4"/>
    <w:rsid w:val="00EF2FB4"/>
    <w:rsid w:val="00EF3016"/>
    <w:rsid w:val="00EF30AE"/>
    <w:rsid w:val="00EF32CB"/>
    <w:rsid w:val="00EF3312"/>
    <w:rsid w:val="00EF34C1"/>
    <w:rsid w:val="00EF35CA"/>
    <w:rsid w:val="00EF37C8"/>
    <w:rsid w:val="00EF39C4"/>
    <w:rsid w:val="00EF39DF"/>
    <w:rsid w:val="00EF3B77"/>
    <w:rsid w:val="00EF3C52"/>
    <w:rsid w:val="00EF3C99"/>
    <w:rsid w:val="00EF3CA1"/>
    <w:rsid w:val="00EF3DBA"/>
    <w:rsid w:val="00EF3F44"/>
    <w:rsid w:val="00EF404A"/>
    <w:rsid w:val="00EF40CC"/>
    <w:rsid w:val="00EF4215"/>
    <w:rsid w:val="00EF4228"/>
    <w:rsid w:val="00EF4320"/>
    <w:rsid w:val="00EF43FC"/>
    <w:rsid w:val="00EF4453"/>
    <w:rsid w:val="00EF454A"/>
    <w:rsid w:val="00EF4771"/>
    <w:rsid w:val="00EF48B4"/>
    <w:rsid w:val="00EF492D"/>
    <w:rsid w:val="00EF4B3B"/>
    <w:rsid w:val="00EF4C65"/>
    <w:rsid w:val="00EF4E8A"/>
    <w:rsid w:val="00EF4ED1"/>
    <w:rsid w:val="00EF4ED5"/>
    <w:rsid w:val="00EF4F3E"/>
    <w:rsid w:val="00EF5152"/>
    <w:rsid w:val="00EF5595"/>
    <w:rsid w:val="00EF55E3"/>
    <w:rsid w:val="00EF55F4"/>
    <w:rsid w:val="00EF5678"/>
    <w:rsid w:val="00EF570A"/>
    <w:rsid w:val="00EF5A76"/>
    <w:rsid w:val="00EF5B17"/>
    <w:rsid w:val="00EF5C18"/>
    <w:rsid w:val="00EF5C25"/>
    <w:rsid w:val="00EF5D7D"/>
    <w:rsid w:val="00EF5DC0"/>
    <w:rsid w:val="00EF5ECC"/>
    <w:rsid w:val="00EF5F6E"/>
    <w:rsid w:val="00EF60EC"/>
    <w:rsid w:val="00EF64D1"/>
    <w:rsid w:val="00EF676C"/>
    <w:rsid w:val="00EF68E9"/>
    <w:rsid w:val="00EF691E"/>
    <w:rsid w:val="00EF6A95"/>
    <w:rsid w:val="00EF6B35"/>
    <w:rsid w:val="00EF6DB0"/>
    <w:rsid w:val="00EF6E80"/>
    <w:rsid w:val="00EF71EC"/>
    <w:rsid w:val="00EF7494"/>
    <w:rsid w:val="00EF74A1"/>
    <w:rsid w:val="00EF74AB"/>
    <w:rsid w:val="00EF74B4"/>
    <w:rsid w:val="00EF7678"/>
    <w:rsid w:val="00EF7762"/>
    <w:rsid w:val="00EF7795"/>
    <w:rsid w:val="00EF7B34"/>
    <w:rsid w:val="00EF7EED"/>
    <w:rsid w:val="00EF7EF0"/>
    <w:rsid w:val="00EF7F2C"/>
    <w:rsid w:val="00EF7F7A"/>
    <w:rsid w:val="00F00061"/>
    <w:rsid w:val="00F00065"/>
    <w:rsid w:val="00F001DE"/>
    <w:rsid w:val="00F002BC"/>
    <w:rsid w:val="00F002BD"/>
    <w:rsid w:val="00F0031A"/>
    <w:rsid w:val="00F00334"/>
    <w:rsid w:val="00F003C2"/>
    <w:rsid w:val="00F00509"/>
    <w:rsid w:val="00F0056F"/>
    <w:rsid w:val="00F0063F"/>
    <w:rsid w:val="00F00678"/>
    <w:rsid w:val="00F00807"/>
    <w:rsid w:val="00F009A6"/>
    <w:rsid w:val="00F00A0F"/>
    <w:rsid w:val="00F00AA4"/>
    <w:rsid w:val="00F00CF6"/>
    <w:rsid w:val="00F00D07"/>
    <w:rsid w:val="00F00D83"/>
    <w:rsid w:val="00F01123"/>
    <w:rsid w:val="00F013F8"/>
    <w:rsid w:val="00F01480"/>
    <w:rsid w:val="00F01552"/>
    <w:rsid w:val="00F01577"/>
    <w:rsid w:val="00F0193C"/>
    <w:rsid w:val="00F01BF7"/>
    <w:rsid w:val="00F01C3E"/>
    <w:rsid w:val="00F01D18"/>
    <w:rsid w:val="00F01DD0"/>
    <w:rsid w:val="00F01F10"/>
    <w:rsid w:val="00F01F43"/>
    <w:rsid w:val="00F01F8E"/>
    <w:rsid w:val="00F01FB2"/>
    <w:rsid w:val="00F022CD"/>
    <w:rsid w:val="00F022E8"/>
    <w:rsid w:val="00F02334"/>
    <w:rsid w:val="00F024A1"/>
    <w:rsid w:val="00F025BD"/>
    <w:rsid w:val="00F02714"/>
    <w:rsid w:val="00F02833"/>
    <w:rsid w:val="00F02876"/>
    <w:rsid w:val="00F02914"/>
    <w:rsid w:val="00F0298C"/>
    <w:rsid w:val="00F02C92"/>
    <w:rsid w:val="00F02CAC"/>
    <w:rsid w:val="00F02E4A"/>
    <w:rsid w:val="00F02ED7"/>
    <w:rsid w:val="00F02FEE"/>
    <w:rsid w:val="00F0307B"/>
    <w:rsid w:val="00F03098"/>
    <w:rsid w:val="00F03328"/>
    <w:rsid w:val="00F033D3"/>
    <w:rsid w:val="00F0356B"/>
    <w:rsid w:val="00F03578"/>
    <w:rsid w:val="00F035A6"/>
    <w:rsid w:val="00F03798"/>
    <w:rsid w:val="00F03919"/>
    <w:rsid w:val="00F0397C"/>
    <w:rsid w:val="00F03A3C"/>
    <w:rsid w:val="00F03AF1"/>
    <w:rsid w:val="00F03DB8"/>
    <w:rsid w:val="00F03F23"/>
    <w:rsid w:val="00F044CB"/>
    <w:rsid w:val="00F045B0"/>
    <w:rsid w:val="00F048D7"/>
    <w:rsid w:val="00F04945"/>
    <w:rsid w:val="00F049C5"/>
    <w:rsid w:val="00F04A2A"/>
    <w:rsid w:val="00F04C54"/>
    <w:rsid w:val="00F04C8D"/>
    <w:rsid w:val="00F0503A"/>
    <w:rsid w:val="00F05091"/>
    <w:rsid w:val="00F050FC"/>
    <w:rsid w:val="00F05106"/>
    <w:rsid w:val="00F054AF"/>
    <w:rsid w:val="00F054D1"/>
    <w:rsid w:val="00F0556B"/>
    <w:rsid w:val="00F05733"/>
    <w:rsid w:val="00F05B60"/>
    <w:rsid w:val="00F05BEF"/>
    <w:rsid w:val="00F05C55"/>
    <w:rsid w:val="00F05C98"/>
    <w:rsid w:val="00F05CC5"/>
    <w:rsid w:val="00F05DC1"/>
    <w:rsid w:val="00F05E4B"/>
    <w:rsid w:val="00F060C2"/>
    <w:rsid w:val="00F06141"/>
    <w:rsid w:val="00F063B1"/>
    <w:rsid w:val="00F063D8"/>
    <w:rsid w:val="00F06722"/>
    <w:rsid w:val="00F0672D"/>
    <w:rsid w:val="00F06791"/>
    <w:rsid w:val="00F067FF"/>
    <w:rsid w:val="00F06995"/>
    <w:rsid w:val="00F06AEA"/>
    <w:rsid w:val="00F06C6A"/>
    <w:rsid w:val="00F06D04"/>
    <w:rsid w:val="00F06D2E"/>
    <w:rsid w:val="00F06F5C"/>
    <w:rsid w:val="00F070A8"/>
    <w:rsid w:val="00F07600"/>
    <w:rsid w:val="00F07712"/>
    <w:rsid w:val="00F07908"/>
    <w:rsid w:val="00F07B65"/>
    <w:rsid w:val="00F07BA0"/>
    <w:rsid w:val="00F07C31"/>
    <w:rsid w:val="00F07D55"/>
    <w:rsid w:val="00F07D6E"/>
    <w:rsid w:val="00F07E2D"/>
    <w:rsid w:val="00F07E40"/>
    <w:rsid w:val="00F10263"/>
    <w:rsid w:val="00F103CB"/>
    <w:rsid w:val="00F10483"/>
    <w:rsid w:val="00F105FB"/>
    <w:rsid w:val="00F10691"/>
    <w:rsid w:val="00F10841"/>
    <w:rsid w:val="00F10AF5"/>
    <w:rsid w:val="00F10C70"/>
    <w:rsid w:val="00F10CBA"/>
    <w:rsid w:val="00F10DE2"/>
    <w:rsid w:val="00F111DB"/>
    <w:rsid w:val="00F11233"/>
    <w:rsid w:val="00F11280"/>
    <w:rsid w:val="00F112E0"/>
    <w:rsid w:val="00F11386"/>
    <w:rsid w:val="00F115B4"/>
    <w:rsid w:val="00F11603"/>
    <w:rsid w:val="00F11615"/>
    <w:rsid w:val="00F11633"/>
    <w:rsid w:val="00F117C3"/>
    <w:rsid w:val="00F1183D"/>
    <w:rsid w:val="00F1190E"/>
    <w:rsid w:val="00F1193D"/>
    <w:rsid w:val="00F11A19"/>
    <w:rsid w:val="00F11A78"/>
    <w:rsid w:val="00F11C36"/>
    <w:rsid w:val="00F11D08"/>
    <w:rsid w:val="00F11D9D"/>
    <w:rsid w:val="00F11F6C"/>
    <w:rsid w:val="00F123C7"/>
    <w:rsid w:val="00F1241F"/>
    <w:rsid w:val="00F12429"/>
    <w:rsid w:val="00F1298F"/>
    <w:rsid w:val="00F12D4E"/>
    <w:rsid w:val="00F12DCC"/>
    <w:rsid w:val="00F13207"/>
    <w:rsid w:val="00F1325F"/>
    <w:rsid w:val="00F13427"/>
    <w:rsid w:val="00F13AC1"/>
    <w:rsid w:val="00F13C4C"/>
    <w:rsid w:val="00F13DE6"/>
    <w:rsid w:val="00F13F01"/>
    <w:rsid w:val="00F14182"/>
    <w:rsid w:val="00F144AE"/>
    <w:rsid w:val="00F14569"/>
    <w:rsid w:val="00F145ED"/>
    <w:rsid w:val="00F14893"/>
    <w:rsid w:val="00F1491D"/>
    <w:rsid w:val="00F14A87"/>
    <w:rsid w:val="00F14C0A"/>
    <w:rsid w:val="00F14CE6"/>
    <w:rsid w:val="00F14D31"/>
    <w:rsid w:val="00F14DF6"/>
    <w:rsid w:val="00F14E3D"/>
    <w:rsid w:val="00F1501C"/>
    <w:rsid w:val="00F15058"/>
    <w:rsid w:val="00F15109"/>
    <w:rsid w:val="00F1512E"/>
    <w:rsid w:val="00F15189"/>
    <w:rsid w:val="00F1525D"/>
    <w:rsid w:val="00F154D7"/>
    <w:rsid w:val="00F1556E"/>
    <w:rsid w:val="00F155D3"/>
    <w:rsid w:val="00F15823"/>
    <w:rsid w:val="00F15BC4"/>
    <w:rsid w:val="00F15CC2"/>
    <w:rsid w:val="00F15DA0"/>
    <w:rsid w:val="00F15EBF"/>
    <w:rsid w:val="00F15F5A"/>
    <w:rsid w:val="00F15F68"/>
    <w:rsid w:val="00F15FF9"/>
    <w:rsid w:val="00F16073"/>
    <w:rsid w:val="00F161D6"/>
    <w:rsid w:val="00F161DB"/>
    <w:rsid w:val="00F162A6"/>
    <w:rsid w:val="00F162EF"/>
    <w:rsid w:val="00F162F7"/>
    <w:rsid w:val="00F1641E"/>
    <w:rsid w:val="00F16950"/>
    <w:rsid w:val="00F16AF5"/>
    <w:rsid w:val="00F16B66"/>
    <w:rsid w:val="00F16BD2"/>
    <w:rsid w:val="00F16BE2"/>
    <w:rsid w:val="00F16BE3"/>
    <w:rsid w:val="00F170E9"/>
    <w:rsid w:val="00F171D2"/>
    <w:rsid w:val="00F17638"/>
    <w:rsid w:val="00F17947"/>
    <w:rsid w:val="00F179C5"/>
    <w:rsid w:val="00F179F5"/>
    <w:rsid w:val="00F17A8C"/>
    <w:rsid w:val="00F17ABD"/>
    <w:rsid w:val="00F17ECF"/>
    <w:rsid w:val="00F20010"/>
    <w:rsid w:val="00F20689"/>
    <w:rsid w:val="00F20695"/>
    <w:rsid w:val="00F2070A"/>
    <w:rsid w:val="00F20710"/>
    <w:rsid w:val="00F20A07"/>
    <w:rsid w:val="00F20A71"/>
    <w:rsid w:val="00F20A8E"/>
    <w:rsid w:val="00F20F0F"/>
    <w:rsid w:val="00F2109D"/>
    <w:rsid w:val="00F211AA"/>
    <w:rsid w:val="00F2148D"/>
    <w:rsid w:val="00F216B6"/>
    <w:rsid w:val="00F21763"/>
    <w:rsid w:val="00F21886"/>
    <w:rsid w:val="00F2189A"/>
    <w:rsid w:val="00F21969"/>
    <w:rsid w:val="00F2199F"/>
    <w:rsid w:val="00F21B6A"/>
    <w:rsid w:val="00F21D21"/>
    <w:rsid w:val="00F21D3A"/>
    <w:rsid w:val="00F21F55"/>
    <w:rsid w:val="00F221CC"/>
    <w:rsid w:val="00F22384"/>
    <w:rsid w:val="00F223A4"/>
    <w:rsid w:val="00F22503"/>
    <w:rsid w:val="00F22798"/>
    <w:rsid w:val="00F22898"/>
    <w:rsid w:val="00F22910"/>
    <w:rsid w:val="00F229B2"/>
    <w:rsid w:val="00F22A9F"/>
    <w:rsid w:val="00F22D30"/>
    <w:rsid w:val="00F22E81"/>
    <w:rsid w:val="00F22F88"/>
    <w:rsid w:val="00F23099"/>
    <w:rsid w:val="00F2314B"/>
    <w:rsid w:val="00F23197"/>
    <w:rsid w:val="00F231E0"/>
    <w:rsid w:val="00F231E2"/>
    <w:rsid w:val="00F231F0"/>
    <w:rsid w:val="00F2328A"/>
    <w:rsid w:val="00F235EA"/>
    <w:rsid w:val="00F2363C"/>
    <w:rsid w:val="00F23666"/>
    <w:rsid w:val="00F237E9"/>
    <w:rsid w:val="00F23811"/>
    <w:rsid w:val="00F2383D"/>
    <w:rsid w:val="00F2391C"/>
    <w:rsid w:val="00F23B25"/>
    <w:rsid w:val="00F23B49"/>
    <w:rsid w:val="00F23C32"/>
    <w:rsid w:val="00F23E39"/>
    <w:rsid w:val="00F24119"/>
    <w:rsid w:val="00F2437E"/>
    <w:rsid w:val="00F24591"/>
    <w:rsid w:val="00F2470F"/>
    <w:rsid w:val="00F2471A"/>
    <w:rsid w:val="00F2477A"/>
    <w:rsid w:val="00F24A94"/>
    <w:rsid w:val="00F24B43"/>
    <w:rsid w:val="00F24C3B"/>
    <w:rsid w:val="00F24C55"/>
    <w:rsid w:val="00F24CC0"/>
    <w:rsid w:val="00F24DEF"/>
    <w:rsid w:val="00F24DFB"/>
    <w:rsid w:val="00F250C2"/>
    <w:rsid w:val="00F250DF"/>
    <w:rsid w:val="00F255DF"/>
    <w:rsid w:val="00F25653"/>
    <w:rsid w:val="00F25760"/>
    <w:rsid w:val="00F257C4"/>
    <w:rsid w:val="00F25821"/>
    <w:rsid w:val="00F259D8"/>
    <w:rsid w:val="00F25C6A"/>
    <w:rsid w:val="00F25E35"/>
    <w:rsid w:val="00F25E74"/>
    <w:rsid w:val="00F25FF9"/>
    <w:rsid w:val="00F26159"/>
    <w:rsid w:val="00F261AC"/>
    <w:rsid w:val="00F261C3"/>
    <w:rsid w:val="00F262E4"/>
    <w:rsid w:val="00F264CF"/>
    <w:rsid w:val="00F26610"/>
    <w:rsid w:val="00F2661B"/>
    <w:rsid w:val="00F26676"/>
    <w:rsid w:val="00F26A6C"/>
    <w:rsid w:val="00F26CCC"/>
    <w:rsid w:val="00F26CFA"/>
    <w:rsid w:val="00F26D1F"/>
    <w:rsid w:val="00F26DEE"/>
    <w:rsid w:val="00F26F7A"/>
    <w:rsid w:val="00F2714C"/>
    <w:rsid w:val="00F27261"/>
    <w:rsid w:val="00F27477"/>
    <w:rsid w:val="00F2749A"/>
    <w:rsid w:val="00F2771E"/>
    <w:rsid w:val="00F2777F"/>
    <w:rsid w:val="00F27A26"/>
    <w:rsid w:val="00F27AB4"/>
    <w:rsid w:val="00F27AEF"/>
    <w:rsid w:val="00F27BB4"/>
    <w:rsid w:val="00F27C12"/>
    <w:rsid w:val="00F27E9C"/>
    <w:rsid w:val="00F27F4B"/>
    <w:rsid w:val="00F27F65"/>
    <w:rsid w:val="00F30164"/>
    <w:rsid w:val="00F30217"/>
    <w:rsid w:val="00F30241"/>
    <w:rsid w:val="00F30330"/>
    <w:rsid w:val="00F3049C"/>
    <w:rsid w:val="00F30507"/>
    <w:rsid w:val="00F30649"/>
    <w:rsid w:val="00F306FE"/>
    <w:rsid w:val="00F30838"/>
    <w:rsid w:val="00F30A4D"/>
    <w:rsid w:val="00F30AA6"/>
    <w:rsid w:val="00F30E40"/>
    <w:rsid w:val="00F30E4C"/>
    <w:rsid w:val="00F3118E"/>
    <w:rsid w:val="00F311F2"/>
    <w:rsid w:val="00F31221"/>
    <w:rsid w:val="00F31378"/>
    <w:rsid w:val="00F313A1"/>
    <w:rsid w:val="00F313E6"/>
    <w:rsid w:val="00F314EB"/>
    <w:rsid w:val="00F31561"/>
    <w:rsid w:val="00F31817"/>
    <w:rsid w:val="00F31847"/>
    <w:rsid w:val="00F3185C"/>
    <w:rsid w:val="00F318DF"/>
    <w:rsid w:val="00F3191B"/>
    <w:rsid w:val="00F31985"/>
    <w:rsid w:val="00F319EB"/>
    <w:rsid w:val="00F31A6F"/>
    <w:rsid w:val="00F31A87"/>
    <w:rsid w:val="00F31AAB"/>
    <w:rsid w:val="00F31C1F"/>
    <w:rsid w:val="00F31C40"/>
    <w:rsid w:val="00F31F4C"/>
    <w:rsid w:val="00F31F6D"/>
    <w:rsid w:val="00F31F96"/>
    <w:rsid w:val="00F320BF"/>
    <w:rsid w:val="00F32171"/>
    <w:rsid w:val="00F3219A"/>
    <w:rsid w:val="00F3240A"/>
    <w:rsid w:val="00F3254A"/>
    <w:rsid w:val="00F3255D"/>
    <w:rsid w:val="00F327CE"/>
    <w:rsid w:val="00F32916"/>
    <w:rsid w:val="00F32923"/>
    <w:rsid w:val="00F329FB"/>
    <w:rsid w:val="00F32A1D"/>
    <w:rsid w:val="00F32A64"/>
    <w:rsid w:val="00F32B01"/>
    <w:rsid w:val="00F32C18"/>
    <w:rsid w:val="00F32C34"/>
    <w:rsid w:val="00F32C4A"/>
    <w:rsid w:val="00F32D9A"/>
    <w:rsid w:val="00F32E49"/>
    <w:rsid w:val="00F32E5D"/>
    <w:rsid w:val="00F3308F"/>
    <w:rsid w:val="00F330A6"/>
    <w:rsid w:val="00F331CB"/>
    <w:rsid w:val="00F332EE"/>
    <w:rsid w:val="00F333DA"/>
    <w:rsid w:val="00F333E0"/>
    <w:rsid w:val="00F33486"/>
    <w:rsid w:val="00F3353A"/>
    <w:rsid w:val="00F33606"/>
    <w:rsid w:val="00F337C2"/>
    <w:rsid w:val="00F337FA"/>
    <w:rsid w:val="00F3387B"/>
    <w:rsid w:val="00F339A6"/>
    <w:rsid w:val="00F33C67"/>
    <w:rsid w:val="00F33E3D"/>
    <w:rsid w:val="00F33E98"/>
    <w:rsid w:val="00F34048"/>
    <w:rsid w:val="00F34188"/>
    <w:rsid w:val="00F341AC"/>
    <w:rsid w:val="00F34459"/>
    <w:rsid w:val="00F344EF"/>
    <w:rsid w:val="00F34566"/>
    <w:rsid w:val="00F34622"/>
    <w:rsid w:val="00F34633"/>
    <w:rsid w:val="00F347CA"/>
    <w:rsid w:val="00F347EB"/>
    <w:rsid w:val="00F34A3E"/>
    <w:rsid w:val="00F34A85"/>
    <w:rsid w:val="00F34BE4"/>
    <w:rsid w:val="00F34E71"/>
    <w:rsid w:val="00F34EAD"/>
    <w:rsid w:val="00F34F34"/>
    <w:rsid w:val="00F34FB4"/>
    <w:rsid w:val="00F34FB6"/>
    <w:rsid w:val="00F351D4"/>
    <w:rsid w:val="00F351F4"/>
    <w:rsid w:val="00F35291"/>
    <w:rsid w:val="00F35293"/>
    <w:rsid w:val="00F3529D"/>
    <w:rsid w:val="00F352D5"/>
    <w:rsid w:val="00F35890"/>
    <w:rsid w:val="00F358F7"/>
    <w:rsid w:val="00F35967"/>
    <w:rsid w:val="00F35C88"/>
    <w:rsid w:val="00F35CFD"/>
    <w:rsid w:val="00F361BD"/>
    <w:rsid w:val="00F361F9"/>
    <w:rsid w:val="00F366E6"/>
    <w:rsid w:val="00F36789"/>
    <w:rsid w:val="00F3678F"/>
    <w:rsid w:val="00F367AB"/>
    <w:rsid w:val="00F367E8"/>
    <w:rsid w:val="00F36A57"/>
    <w:rsid w:val="00F36DD7"/>
    <w:rsid w:val="00F36EF4"/>
    <w:rsid w:val="00F36F01"/>
    <w:rsid w:val="00F36F6B"/>
    <w:rsid w:val="00F3727D"/>
    <w:rsid w:val="00F37979"/>
    <w:rsid w:val="00F37A0B"/>
    <w:rsid w:val="00F37B19"/>
    <w:rsid w:val="00F37E42"/>
    <w:rsid w:val="00F37EB7"/>
    <w:rsid w:val="00F37EF3"/>
    <w:rsid w:val="00F37FA9"/>
    <w:rsid w:val="00F40231"/>
    <w:rsid w:val="00F402CF"/>
    <w:rsid w:val="00F402DD"/>
    <w:rsid w:val="00F4034B"/>
    <w:rsid w:val="00F40381"/>
    <w:rsid w:val="00F40404"/>
    <w:rsid w:val="00F407EA"/>
    <w:rsid w:val="00F407FD"/>
    <w:rsid w:val="00F40844"/>
    <w:rsid w:val="00F40971"/>
    <w:rsid w:val="00F40B2B"/>
    <w:rsid w:val="00F40E44"/>
    <w:rsid w:val="00F40E85"/>
    <w:rsid w:val="00F40E92"/>
    <w:rsid w:val="00F40EFF"/>
    <w:rsid w:val="00F40F9F"/>
    <w:rsid w:val="00F40FAD"/>
    <w:rsid w:val="00F40FBE"/>
    <w:rsid w:val="00F41206"/>
    <w:rsid w:val="00F413AE"/>
    <w:rsid w:val="00F41407"/>
    <w:rsid w:val="00F41478"/>
    <w:rsid w:val="00F4149B"/>
    <w:rsid w:val="00F4157C"/>
    <w:rsid w:val="00F4168D"/>
    <w:rsid w:val="00F41797"/>
    <w:rsid w:val="00F418A5"/>
    <w:rsid w:val="00F418C7"/>
    <w:rsid w:val="00F4194B"/>
    <w:rsid w:val="00F41996"/>
    <w:rsid w:val="00F419AF"/>
    <w:rsid w:val="00F41A01"/>
    <w:rsid w:val="00F41B1D"/>
    <w:rsid w:val="00F41C21"/>
    <w:rsid w:val="00F41D42"/>
    <w:rsid w:val="00F420C3"/>
    <w:rsid w:val="00F420EB"/>
    <w:rsid w:val="00F42430"/>
    <w:rsid w:val="00F427DD"/>
    <w:rsid w:val="00F428EE"/>
    <w:rsid w:val="00F42A0A"/>
    <w:rsid w:val="00F42B61"/>
    <w:rsid w:val="00F42BCF"/>
    <w:rsid w:val="00F42CD5"/>
    <w:rsid w:val="00F42DCA"/>
    <w:rsid w:val="00F42DFD"/>
    <w:rsid w:val="00F42E20"/>
    <w:rsid w:val="00F42FA5"/>
    <w:rsid w:val="00F43188"/>
    <w:rsid w:val="00F431E8"/>
    <w:rsid w:val="00F431F3"/>
    <w:rsid w:val="00F431F6"/>
    <w:rsid w:val="00F43223"/>
    <w:rsid w:val="00F4323F"/>
    <w:rsid w:val="00F4324E"/>
    <w:rsid w:val="00F433C7"/>
    <w:rsid w:val="00F43655"/>
    <w:rsid w:val="00F436C1"/>
    <w:rsid w:val="00F4372C"/>
    <w:rsid w:val="00F43A7F"/>
    <w:rsid w:val="00F43B8A"/>
    <w:rsid w:val="00F43E4D"/>
    <w:rsid w:val="00F43F9F"/>
    <w:rsid w:val="00F442DC"/>
    <w:rsid w:val="00F443C0"/>
    <w:rsid w:val="00F4458D"/>
    <w:rsid w:val="00F4486C"/>
    <w:rsid w:val="00F44899"/>
    <w:rsid w:val="00F4490F"/>
    <w:rsid w:val="00F449C0"/>
    <w:rsid w:val="00F44BCF"/>
    <w:rsid w:val="00F44CBF"/>
    <w:rsid w:val="00F44CD1"/>
    <w:rsid w:val="00F45111"/>
    <w:rsid w:val="00F45207"/>
    <w:rsid w:val="00F45471"/>
    <w:rsid w:val="00F454AB"/>
    <w:rsid w:val="00F454DD"/>
    <w:rsid w:val="00F4559B"/>
    <w:rsid w:val="00F455A1"/>
    <w:rsid w:val="00F4566C"/>
    <w:rsid w:val="00F456E7"/>
    <w:rsid w:val="00F45832"/>
    <w:rsid w:val="00F45910"/>
    <w:rsid w:val="00F45961"/>
    <w:rsid w:val="00F45B2F"/>
    <w:rsid w:val="00F45B36"/>
    <w:rsid w:val="00F45CB9"/>
    <w:rsid w:val="00F45DCC"/>
    <w:rsid w:val="00F45E37"/>
    <w:rsid w:val="00F45F00"/>
    <w:rsid w:val="00F461B6"/>
    <w:rsid w:val="00F461FA"/>
    <w:rsid w:val="00F462D9"/>
    <w:rsid w:val="00F4630A"/>
    <w:rsid w:val="00F465DE"/>
    <w:rsid w:val="00F46604"/>
    <w:rsid w:val="00F46752"/>
    <w:rsid w:val="00F46762"/>
    <w:rsid w:val="00F46986"/>
    <w:rsid w:val="00F46BC6"/>
    <w:rsid w:val="00F46D42"/>
    <w:rsid w:val="00F46EB2"/>
    <w:rsid w:val="00F46FBF"/>
    <w:rsid w:val="00F4707A"/>
    <w:rsid w:val="00F470F3"/>
    <w:rsid w:val="00F47141"/>
    <w:rsid w:val="00F47226"/>
    <w:rsid w:val="00F47391"/>
    <w:rsid w:val="00F473C5"/>
    <w:rsid w:val="00F47400"/>
    <w:rsid w:val="00F47673"/>
    <w:rsid w:val="00F4784E"/>
    <w:rsid w:val="00F47954"/>
    <w:rsid w:val="00F479D8"/>
    <w:rsid w:val="00F47B38"/>
    <w:rsid w:val="00F47C96"/>
    <w:rsid w:val="00F47CA8"/>
    <w:rsid w:val="00F47D06"/>
    <w:rsid w:val="00F47E47"/>
    <w:rsid w:val="00F47EB0"/>
    <w:rsid w:val="00F47FF2"/>
    <w:rsid w:val="00F50003"/>
    <w:rsid w:val="00F501D3"/>
    <w:rsid w:val="00F50344"/>
    <w:rsid w:val="00F503D7"/>
    <w:rsid w:val="00F503E9"/>
    <w:rsid w:val="00F50459"/>
    <w:rsid w:val="00F50478"/>
    <w:rsid w:val="00F5064D"/>
    <w:rsid w:val="00F506A8"/>
    <w:rsid w:val="00F507A0"/>
    <w:rsid w:val="00F507C3"/>
    <w:rsid w:val="00F50B7F"/>
    <w:rsid w:val="00F50C1A"/>
    <w:rsid w:val="00F50CCA"/>
    <w:rsid w:val="00F50D07"/>
    <w:rsid w:val="00F50DD2"/>
    <w:rsid w:val="00F50E49"/>
    <w:rsid w:val="00F5107E"/>
    <w:rsid w:val="00F51147"/>
    <w:rsid w:val="00F511C9"/>
    <w:rsid w:val="00F511D6"/>
    <w:rsid w:val="00F511E2"/>
    <w:rsid w:val="00F51499"/>
    <w:rsid w:val="00F514A0"/>
    <w:rsid w:val="00F514E1"/>
    <w:rsid w:val="00F515DC"/>
    <w:rsid w:val="00F5176A"/>
    <w:rsid w:val="00F5177A"/>
    <w:rsid w:val="00F51B19"/>
    <w:rsid w:val="00F51B3C"/>
    <w:rsid w:val="00F51D5A"/>
    <w:rsid w:val="00F51E64"/>
    <w:rsid w:val="00F521A6"/>
    <w:rsid w:val="00F522C6"/>
    <w:rsid w:val="00F52426"/>
    <w:rsid w:val="00F5247E"/>
    <w:rsid w:val="00F528B8"/>
    <w:rsid w:val="00F52919"/>
    <w:rsid w:val="00F52BA5"/>
    <w:rsid w:val="00F52BE7"/>
    <w:rsid w:val="00F52C5D"/>
    <w:rsid w:val="00F52C9F"/>
    <w:rsid w:val="00F52CAE"/>
    <w:rsid w:val="00F52EA5"/>
    <w:rsid w:val="00F530B5"/>
    <w:rsid w:val="00F532E5"/>
    <w:rsid w:val="00F5337A"/>
    <w:rsid w:val="00F535B5"/>
    <w:rsid w:val="00F5374D"/>
    <w:rsid w:val="00F538E8"/>
    <w:rsid w:val="00F53924"/>
    <w:rsid w:val="00F53AAF"/>
    <w:rsid w:val="00F53CB0"/>
    <w:rsid w:val="00F53CC0"/>
    <w:rsid w:val="00F53CD2"/>
    <w:rsid w:val="00F53D8D"/>
    <w:rsid w:val="00F53EA4"/>
    <w:rsid w:val="00F54079"/>
    <w:rsid w:val="00F54194"/>
    <w:rsid w:val="00F541FA"/>
    <w:rsid w:val="00F54380"/>
    <w:rsid w:val="00F543B6"/>
    <w:rsid w:val="00F5448C"/>
    <w:rsid w:val="00F545D7"/>
    <w:rsid w:val="00F5473A"/>
    <w:rsid w:val="00F5475B"/>
    <w:rsid w:val="00F54857"/>
    <w:rsid w:val="00F548FB"/>
    <w:rsid w:val="00F549A1"/>
    <w:rsid w:val="00F54BE6"/>
    <w:rsid w:val="00F54CAA"/>
    <w:rsid w:val="00F54E28"/>
    <w:rsid w:val="00F54E89"/>
    <w:rsid w:val="00F54F7E"/>
    <w:rsid w:val="00F55266"/>
    <w:rsid w:val="00F5527A"/>
    <w:rsid w:val="00F55355"/>
    <w:rsid w:val="00F55370"/>
    <w:rsid w:val="00F553BD"/>
    <w:rsid w:val="00F553D3"/>
    <w:rsid w:val="00F5549F"/>
    <w:rsid w:val="00F554B2"/>
    <w:rsid w:val="00F55511"/>
    <w:rsid w:val="00F555D9"/>
    <w:rsid w:val="00F556A6"/>
    <w:rsid w:val="00F556EC"/>
    <w:rsid w:val="00F5586A"/>
    <w:rsid w:val="00F55872"/>
    <w:rsid w:val="00F55B29"/>
    <w:rsid w:val="00F55BD6"/>
    <w:rsid w:val="00F55C14"/>
    <w:rsid w:val="00F55C68"/>
    <w:rsid w:val="00F55DA5"/>
    <w:rsid w:val="00F55F96"/>
    <w:rsid w:val="00F55F97"/>
    <w:rsid w:val="00F55FA0"/>
    <w:rsid w:val="00F560EE"/>
    <w:rsid w:val="00F56193"/>
    <w:rsid w:val="00F56375"/>
    <w:rsid w:val="00F563E3"/>
    <w:rsid w:val="00F56661"/>
    <w:rsid w:val="00F56798"/>
    <w:rsid w:val="00F56AD8"/>
    <w:rsid w:val="00F56BFC"/>
    <w:rsid w:val="00F56E41"/>
    <w:rsid w:val="00F57210"/>
    <w:rsid w:val="00F57230"/>
    <w:rsid w:val="00F577F9"/>
    <w:rsid w:val="00F5794D"/>
    <w:rsid w:val="00F57974"/>
    <w:rsid w:val="00F57B5B"/>
    <w:rsid w:val="00F57CC8"/>
    <w:rsid w:val="00F57CF5"/>
    <w:rsid w:val="00F57F6D"/>
    <w:rsid w:val="00F6012D"/>
    <w:rsid w:val="00F6013F"/>
    <w:rsid w:val="00F602C6"/>
    <w:rsid w:val="00F60434"/>
    <w:rsid w:val="00F60577"/>
    <w:rsid w:val="00F605DE"/>
    <w:rsid w:val="00F60609"/>
    <w:rsid w:val="00F60636"/>
    <w:rsid w:val="00F606F2"/>
    <w:rsid w:val="00F6070A"/>
    <w:rsid w:val="00F608EF"/>
    <w:rsid w:val="00F609AB"/>
    <w:rsid w:val="00F60A4B"/>
    <w:rsid w:val="00F60DE7"/>
    <w:rsid w:val="00F60EBD"/>
    <w:rsid w:val="00F6105D"/>
    <w:rsid w:val="00F61121"/>
    <w:rsid w:val="00F611E3"/>
    <w:rsid w:val="00F6129F"/>
    <w:rsid w:val="00F61541"/>
    <w:rsid w:val="00F61547"/>
    <w:rsid w:val="00F6157E"/>
    <w:rsid w:val="00F61722"/>
    <w:rsid w:val="00F618AB"/>
    <w:rsid w:val="00F6194F"/>
    <w:rsid w:val="00F61EFD"/>
    <w:rsid w:val="00F62039"/>
    <w:rsid w:val="00F620B2"/>
    <w:rsid w:val="00F62391"/>
    <w:rsid w:val="00F624FD"/>
    <w:rsid w:val="00F6259B"/>
    <w:rsid w:val="00F627F6"/>
    <w:rsid w:val="00F629D2"/>
    <w:rsid w:val="00F62B68"/>
    <w:rsid w:val="00F62D82"/>
    <w:rsid w:val="00F62E15"/>
    <w:rsid w:val="00F6304C"/>
    <w:rsid w:val="00F63090"/>
    <w:rsid w:val="00F632C0"/>
    <w:rsid w:val="00F632EF"/>
    <w:rsid w:val="00F635BD"/>
    <w:rsid w:val="00F6373F"/>
    <w:rsid w:val="00F63792"/>
    <w:rsid w:val="00F63C90"/>
    <w:rsid w:val="00F63CD1"/>
    <w:rsid w:val="00F63D3E"/>
    <w:rsid w:val="00F63DE2"/>
    <w:rsid w:val="00F64150"/>
    <w:rsid w:val="00F641CF"/>
    <w:rsid w:val="00F644EE"/>
    <w:rsid w:val="00F6453B"/>
    <w:rsid w:val="00F64670"/>
    <w:rsid w:val="00F647C5"/>
    <w:rsid w:val="00F64872"/>
    <w:rsid w:val="00F64918"/>
    <w:rsid w:val="00F64A4B"/>
    <w:rsid w:val="00F64FCC"/>
    <w:rsid w:val="00F6504B"/>
    <w:rsid w:val="00F6516B"/>
    <w:rsid w:val="00F65269"/>
    <w:rsid w:val="00F652E6"/>
    <w:rsid w:val="00F653F2"/>
    <w:rsid w:val="00F6542D"/>
    <w:rsid w:val="00F657E5"/>
    <w:rsid w:val="00F658B4"/>
    <w:rsid w:val="00F659B0"/>
    <w:rsid w:val="00F65D65"/>
    <w:rsid w:val="00F65D7D"/>
    <w:rsid w:val="00F65D8D"/>
    <w:rsid w:val="00F65F99"/>
    <w:rsid w:val="00F65FF6"/>
    <w:rsid w:val="00F66006"/>
    <w:rsid w:val="00F66048"/>
    <w:rsid w:val="00F660BF"/>
    <w:rsid w:val="00F66301"/>
    <w:rsid w:val="00F66311"/>
    <w:rsid w:val="00F6648D"/>
    <w:rsid w:val="00F6657C"/>
    <w:rsid w:val="00F667BE"/>
    <w:rsid w:val="00F668DC"/>
    <w:rsid w:val="00F668EF"/>
    <w:rsid w:val="00F66B6A"/>
    <w:rsid w:val="00F66D91"/>
    <w:rsid w:val="00F66DA0"/>
    <w:rsid w:val="00F671A7"/>
    <w:rsid w:val="00F672BF"/>
    <w:rsid w:val="00F6731E"/>
    <w:rsid w:val="00F673FC"/>
    <w:rsid w:val="00F674F1"/>
    <w:rsid w:val="00F675C4"/>
    <w:rsid w:val="00F67711"/>
    <w:rsid w:val="00F67726"/>
    <w:rsid w:val="00F6783D"/>
    <w:rsid w:val="00F67942"/>
    <w:rsid w:val="00F67B67"/>
    <w:rsid w:val="00F67C21"/>
    <w:rsid w:val="00F67C30"/>
    <w:rsid w:val="00F67F06"/>
    <w:rsid w:val="00F67F27"/>
    <w:rsid w:val="00F70169"/>
    <w:rsid w:val="00F70286"/>
    <w:rsid w:val="00F70309"/>
    <w:rsid w:val="00F703E1"/>
    <w:rsid w:val="00F70469"/>
    <w:rsid w:val="00F704A2"/>
    <w:rsid w:val="00F70697"/>
    <w:rsid w:val="00F707AE"/>
    <w:rsid w:val="00F70819"/>
    <w:rsid w:val="00F708F1"/>
    <w:rsid w:val="00F70BB2"/>
    <w:rsid w:val="00F70D8B"/>
    <w:rsid w:val="00F70EB0"/>
    <w:rsid w:val="00F71121"/>
    <w:rsid w:val="00F7116B"/>
    <w:rsid w:val="00F711DF"/>
    <w:rsid w:val="00F711EC"/>
    <w:rsid w:val="00F71415"/>
    <w:rsid w:val="00F71419"/>
    <w:rsid w:val="00F7144E"/>
    <w:rsid w:val="00F71509"/>
    <w:rsid w:val="00F71577"/>
    <w:rsid w:val="00F715F6"/>
    <w:rsid w:val="00F7166E"/>
    <w:rsid w:val="00F717CE"/>
    <w:rsid w:val="00F71863"/>
    <w:rsid w:val="00F718E5"/>
    <w:rsid w:val="00F718F3"/>
    <w:rsid w:val="00F719D4"/>
    <w:rsid w:val="00F71B7B"/>
    <w:rsid w:val="00F71C4F"/>
    <w:rsid w:val="00F71D0A"/>
    <w:rsid w:val="00F71F3B"/>
    <w:rsid w:val="00F71FE8"/>
    <w:rsid w:val="00F7202D"/>
    <w:rsid w:val="00F72313"/>
    <w:rsid w:val="00F72420"/>
    <w:rsid w:val="00F72436"/>
    <w:rsid w:val="00F72475"/>
    <w:rsid w:val="00F72785"/>
    <w:rsid w:val="00F7293A"/>
    <w:rsid w:val="00F729AC"/>
    <w:rsid w:val="00F72A12"/>
    <w:rsid w:val="00F72A43"/>
    <w:rsid w:val="00F72B83"/>
    <w:rsid w:val="00F72BE6"/>
    <w:rsid w:val="00F72C9B"/>
    <w:rsid w:val="00F72D6A"/>
    <w:rsid w:val="00F73008"/>
    <w:rsid w:val="00F7335B"/>
    <w:rsid w:val="00F734AE"/>
    <w:rsid w:val="00F73620"/>
    <w:rsid w:val="00F736A1"/>
    <w:rsid w:val="00F737DF"/>
    <w:rsid w:val="00F737F2"/>
    <w:rsid w:val="00F73898"/>
    <w:rsid w:val="00F73938"/>
    <w:rsid w:val="00F73AC2"/>
    <w:rsid w:val="00F73B7F"/>
    <w:rsid w:val="00F73B97"/>
    <w:rsid w:val="00F73CB7"/>
    <w:rsid w:val="00F73E8F"/>
    <w:rsid w:val="00F73FC3"/>
    <w:rsid w:val="00F7421C"/>
    <w:rsid w:val="00F7449F"/>
    <w:rsid w:val="00F7455F"/>
    <w:rsid w:val="00F74675"/>
    <w:rsid w:val="00F74867"/>
    <w:rsid w:val="00F7489C"/>
    <w:rsid w:val="00F74918"/>
    <w:rsid w:val="00F7497C"/>
    <w:rsid w:val="00F74A37"/>
    <w:rsid w:val="00F74A63"/>
    <w:rsid w:val="00F74D0E"/>
    <w:rsid w:val="00F74DFD"/>
    <w:rsid w:val="00F74F5F"/>
    <w:rsid w:val="00F75004"/>
    <w:rsid w:val="00F750B0"/>
    <w:rsid w:val="00F750C6"/>
    <w:rsid w:val="00F75279"/>
    <w:rsid w:val="00F753BA"/>
    <w:rsid w:val="00F75590"/>
    <w:rsid w:val="00F75AD3"/>
    <w:rsid w:val="00F75CA3"/>
    <w:rsid w:val="00F75D36"/>
    <w:rsid w:val="00F75FB6"/>
    <w:rsid w:val="00F76031"/>
    <w:rsid w:val="00F76103"/>
    <w:rsid w:val="00F76180"/>
    <w:rsid w:val="00F762AC"/>
    <w:rsid w:val="00F762F1"/>
    <w:rsid w:val="00F76549"/>
    <w:rsid w:val="00F765F7"/>
    <w:rsid w:val="00F766AB"/>
    <w:rsid w:val="00F76797"/>
    <w:rsid w:val="00F76896"/>
    <w:rsid w:val="00F769AA"/>
    <w:rsid w:val="00F76B33"/>
    <w:rsid w:val="00F76BFB"/>
    <w:rsid w:val="00F76CB0"/>
    <w:rsid w:val="00F76CC4"/>
    <w:rsid w:val="00F76D04"/>
    <w:rsid w:val="00F76DC0"/>
    <w:rsid w:val="00F76E17"/>
    <w:rsid w:val="00F76EA4"/>
    <w:rsid w:val="00F76F82"/>
    <w:rsid w:val="00F76F86"/>
    <w:rsid w:val="00F7700C"/>
    <w:rsid w:val="00F77041"/>
    <w:rsid w:val="00F7719F"/>
    <w:rsid w:val="00F7732E"/>
    <w:rsid w:val="00F776C0"/>
    <w:rsid w:val="00F777DC"/>
    <w:rsid w:val="00F778AF"/>
    <w:rsid w:val="00F77A45"/>
    <w:rsid w:val="00F77ABC"/>
    <w:rsid w:val="00F77D6C"/>
    <w:rsid w:val="00F77E87"/>
    <w:rsid w:val="00F77ECF"/>
    <w:rsid w:val="00F77F1D"/>
    <w:rsid w:val="00F77F6F"/>
    <w:rsid w:val="00F77FB1"/>
    <w:rsid w:val="00F8000C"/>
    <w:rsid w:val="00F8000D"/>
    <w:rsid w:val="00F80197"/>
    <w:rsid w:val="00F80248"/>
    <w:rsid w:val="00F803BD"/>
    <w:rsid w:val="00F8056D"/>
    <w:rsid w:val="00F8062A"/>
    <w:rsid w:val="00F806B4"/>
    <w:rsid w:val="00F806DA"/>
    <w:rsid w:val="00F80830"/>
    <w:rsid w:val="00F809CD"/>
    <w:rsid w:val="00F80ABD"/>
    <w:rsid w:val="00F80AE9"/>
    <w:rsid w:val="00F80BAF"/>
    <w:rsid w:val="00F80CB4"/>
    <w:rsid w:val="00F80CD0"/>
    <w:rsid w:val="00F810BE"/>
    <w:rsid w:val="00F8120D"/>
    <w:rsid w:val="00F81483"/>
    <w:rsid w:val="00F814A0"/>
    <w:rsid w:val="00F81500"/>
    <w:rsid w:val="00F816BA"/>
    <w:rsid w:val="00F81756"/>
    <w:rsid w:val="00F818D7"/>
    <w:rsid w:val="00F81925"/>
    <w:rsid w:val="00F81B5E"/>
    <w:rsid w:val="00F81C2E"/>
    <w:rsid w:val="00F81C42"/>
    <w:rsid w:val="00F81D7B"/>
    <w:rsid w:val="00F81D9A"/>
    <w:rsid w:val="00F81E55"/>
    <w:rsid w:val="00F8216C"/>
    <w:rsid w:val="00F82228"/>
    <w:rsid w:val="00F825D2"/>
    <w:rsid w:val="00F827B8"/>
    <w:rsid w:val="00F8295A"/>
    <w:rsid w:val="00F8296D"/>
    <w:rsid w:val="00F829C3"/>
    <w:rsid w:val="00F82A4F"/>
    <w:rsid w:val="00F82BE2"/>
    <w:rsid w:val="00F82C41"/>
    <w:rsid w:val="00F82D10"/>
    <w:rsid w:val="00F82E3F"/>
    <w:rsid w:val="00F82F5B"/>
    <w:rsid w:val="00F82F69"/>
    <w:rsid w:val="00F82FF1"/>
    <w:rsid w:val="00F8303E"/>
    <w:rsid w:val="00F830F2"/>
    <w:rsid w:val="00F833C3"/>
    <w:rsid w:val="00F8347C"/>
    <w:rsid w:val="00F834C8"/>
    <w:rsid w:val="00F83730"/>
    <w:rsid w:val="00F837D4"/>
    <w:rsid w:val="00F83A50"/>
    <w:rsid w:val="00F83A5D"/>
    <w:rsid w:val="00F83C82"/>
    <w:rsid w:val="00F83DAD"/>
    <w:rsid w:val="00F83DC0"/>
    <w:rsid w:val="00F83E13"/>
    <w:rsid w:val="00F840D7"/>
    <w:rsid w:val="00F841CA"/>
    <w:rsid w:val="00F84210"/>
    <w:rsid w:val="00F843F8"/>
    <w:rsid w:val="00F84583"/>
    <w:rsid w:val="00F8463C"/>
    <w:rsid w:val="00F8482A"/>
    <w:rsid w:val="00F8487D"/>
    <w:rsid w:val="00F84896"/>
    <w:rsid w:val="00F84A9B"/>
    <w:rsid w:val="00F84BBE"/>
    <w:rsid w:val="00F84C5F"/>
    <w:rsid w:val="00F84D67"/>
    <w:rsid w:val="00F84D68"/>
    <w:rsid w:val="00F84D7B"/>
    <w:rsid w:val="00F84E7D"/>
    <w:rsid w:val="00F84EBB"/>
    <w:rsid w:val="00F84F35"/>
    <w:rsid w:val="00F85012"/>
    <w:rsid w:val="00F85212"/>
    <w:rsid w:val="00F85254"/>
    <w:rsid w:val="00F85329"/>
    <w:rsid w:val="00F85407"/>
    <w:rsid w:val="00F85793"/>
    <w:rsid w:val="00F857B5"/>
    <w:rsid w:val="00F857F7"/>
    <w:rsid w:val="00F85961"/>
    <w:rsid w:val="00F859A4"/>
    <w:rsid w:val="00F85AB2"/>
    <w:rsid w:val="00F85C4C"/>
    <w:rsid w:val="00F85CB8"/>
    <w:rsid w:val="00F85CDB"/>
    <w:rsid w:val="00F85DE0"/>
    <w:rsid w:val="00F85E3F"/>
    <w:rsid w:val="00F85F19"/>
    <w:rsid w:val="00F86006"/>
    <w:rsid w:val="00F86041"/>
    <w:rsid w:val="00F860E8"/>
    <w:rsid w:val="00F86269"/>
    <w:rsid w:val="00F863AA"/>
    <w:rsid w:val="00F86460"/>
    <w:rsid w:val="00F8670F"/>
    <w:rsid w:val="00F867BB"/>
    <w:rsid w:val="00F86A60"/>
    <w:rsid w:val="00F86AC8"/>
    <w:rsid w:val="00F86B0B"/>
    <w:rsid w:val="00F86B2F"/>
    <w:rsid w:val="00F86B6D"/>
    <w:rsid w:val="00F86B7E"/>
    <w:rsid w:val="00F86B9E"/>
    <w:rsid w:val="00F86C11"/>
    <w:rsid w:val="00F86CCC"/>
    <w:rsid w:val="00F87113"/>
    <w:rsid w:val="00F8729D"/>
    <w:rsid w:val="00F87634"/>
    <w:rsid w:val="00F8767B"/>
    <w:rsid w:val="00F87702"/>
    <w:rsid w:val="00F877D8"/>
    <w:rsid w:val="00F87802"/>
    <w:rsid w:val="00F87880"/>
    <w:rsid w:val="00F87A27"/>
    <w:rsid w:val="00F87A68"/>
    <w:rsid w:val="00F87A79"/>
    <w:rsid w:val="00F87AA4"/>
    <w:rsid w:val="00F87B17"/>
    <w:rsid w:val="00F87BBF"/>
    <w:rsid w:val="00F87D1B"/>
    <w:rsid w:val="00F87E5C"/>
    <w:rsid w:val="00F87EBE"/>
    <w:rsid w:val="00F87F1D"/>
    <w:rsid w:val="00F87F8C"/>
    <w:rsid w:val="00F87F99"/>
    <w:rsid w:val="00F9002F"/>
    <w:rsid w:val="00F90210"/>
    <w:rsid w:val="00F902EC"/>
    <w:rsid w:val="00F9036C"/>
    <w:rsid w:val="00F90389"/>
    <w:rsid w:val="00F905D7"/>
    <w:rsid w:val="00F905E4"/>
    <w:rsid w:val="00F9064D"/>
    <w:rsid w:val="00F906C2"/>
    <w:rsid w:val="00F9078C"/>
    <w:rsid w:val="00F907CE"/>
    <w:rsid w:val="00F908E0"/>
    <w:rsid w:val="00F90AD5"/>
    <w:rsid w:val="00F90EFE"/>
    <w:rsid w:val="00F90FB8"/>
    <w:rsid w:val="00F91119"/>
    <w:rsid w:val="00F917B3"/>
    <w:rsid w:val="00F9184C"/>
    <w:rsid w:val="00F918A8"/>
    <w:rsid w:val="00F918F0"/>
    <w:rsid w:val="00F91949"/>
    <w:rsid w:val="00F91A4A"/>
    <w:rsid w:val="00F91B6B"/>
    <w:rsid w:val="00F91D9B"/>
    <w:rsid w:val="00F91F13"/>
    <w:rsid w:val="00F92028"/>
    <w:rsid w:val="00F9204E"/>
    <w:rsid w:val="00F92236"/>
    <w:rsid w:val="00F92292"/>
    <w:rsid w:val="00F923B0"/>
    <w:rsid w:val="00F92688"/>
    <w:rsid w:val="00F92710"/>
    <w:rsid w:val="00F92754"/>
    <w:rsid w:val="00F92806"/>
    <w:rsid w:val="00F92882"/>
    <w:rsid w:val="00F928DB"/>
    <w:rsid w:val="00F92C1E"/>
    <w:rsid w:val="00F92DE3"/>
    <w:rsid w:val="00F92EB8"/>
    <w:rsid w:val="00F92EC3"/>
    <w:rsid w:val="00F930C8"/>
    <w:rsid w:val="00F931E3"/>
    <w:rsid w:val="00F93251"/>
    <w:rsid w:val="00F93310"/>
    <w:rsid w:val="00F9331C"/>
    <w:rsid w:val="00F933F2"/>
    <w:rsid w:val="00F93475"/>
    <w:rsid w:val="00F9349B"/>
    <w:rsid w:val="00F93537"/>
    <w:rsid w:val="00F93576"/>
    <w:rsid w:val="00F93977"/>
    <w:rsid w:val="00F939DE"/>
    <w:rsid w:val="00F93A56"/>
    <w:rsid w:val="00F93ACF"/>
    <w:rsid w:val="00F93ADC"/>
    <w:rsid w:val="00F93E2F"/>
    <w:rsid w:val="00F9404C"/>
    <w:rsid w:val="00F94091"/>
    <w:rsid w:val="00F942A9"/>
    <w:rsid w:val="00F942BF"/>
    <w:rsid w:val="00F94592"/>
    <w:rsid w:val="00F94A22"/>
    <w:rsid w:val="00F94A73"/>
    <w:rsid w:val="00F94C8B"/>
    <w:rsid w:val="00F94ED1"/>
    <w:rsid w:val="00F94F17"/>
    <w:rsid w:val="00F94FD6"/>
    <w:rsid w:val="00F9501B"/>
    <w:rsid w:val="00F95302"/>
    <w:rsid w:val="00F953AD"/>
    <w:rsid w:val="00F953C5"/>
    <w:rsid w:val="00F9544E"/>
    <w:rsid w:val="00F9547C"/>
    <w:rsid w:val="00F95658"/>
    <w:rsid w:val="00F95808"/>
    <w:rsid w:val="00F95ACE"/>
    <w:rsid w:val="00F95C7D"/>
    <w:rsid w:val="00F95F3F"/>
    <w:rsid w:val="00F96010"/>
    <w:rsid w:val="00F96249"/>
    <w:rsid w:val="00F96310"/>
    <w:rsid w:val="00F9653D"/>
    <w:rsid w:val="00F9662D"/>
    <w:rsid w:val="00F966A0"/>
    <w:rsid w:val="00F9674B"/>
    <w:rsid w:val="00F967DA"/>
    <w:rsid w:val="00F96919"/>
    <w:rsid w:val="00F969AA"/>
    <w:rsid w:val="00F96B35"/>
    <w:rsid w:val="00F96B5E"/>
    <w:rsid w:val="00F96B75"/>
    <w:rsid w:val="00F96B85"/>
    <w:rsid w:val="00F96B8C"/>
    <w:rsid w:val="00F96B94"/>
    <w:rsid w:val="00F96C78"/>
    <w:rsid w:val="00F96D3A"/>
    <w:rsid w:val="00F96EA8"/>
    <w:rsid w:val="00F96FCC"/>
    <w:rsid w:val="00F970F6"/>
    <w:rsid w:val="00F9727B"/>
    <w:rsid w:val="00F9756F"/>
    <w:rsid w:val="00F975D1"/>
    <w:rsid w:val="00F97750"/>
    <w:rsid w:val="00F977CF"/>
    <w:rsid w:val="00F977DD"/>
    <w:rsid w:val="00F97818"/>
    <w:rsid w:val="00F978A0"/>
    <w:rsid w:val="00F97D75"/>
    <w:rsid w:val="00F97DB3"/>
    <w:rsid w:val="00F97DE4"/>
    <w:rsid w:val="00F97FF1"/>
    <w:rsid w:val="00FA0269"/>
    <w:rsid w:val="00FA033B"/>
    <w:rsid w:val="00FA0353"/>
    <w:rsid w:val="00FA045E"/>
    <w:rsid w:val="00FA0565"/>
    <w:rsid w:val="00FA056C"/>
    <w:rsid w:val="00FA068A"/>
    <w:rsid w:val="00FA0B74"/>
    <w:rsid w:val="00FA11BF"/>
    <w:rsid w:val="00FA14AE"/>
    <w:rsid w:val="00FA1691"/>
    <w:rsid w:val="00FA173E"/>
    <w:rsid w:val="00FA17C9"/>
    <w:rsid w:val="00FA186F"/>
    <w:rsid w:val="00FA1891"/>
    <w:rsid w:val="00FA18B7"/>
    <w:rsid w:val="00FA19AF"/>
    <w:rsid w:val="00FA19F3"/>
    <w:rsid w:val="00FA1A91"/>
    <w:rsid w:val="00FA1AA1"/>
    <w:rsid w:val="00FA1B01"/>
    <w:rsid w:val="00FA1BF2"/>
    <w:rsid w:val="00FA1C54"/>
    <w:rsid w:val="00FA20C4"/>
    <w:rsid w:val="00FA2311"/>
    <w:rsid w:val="00FA232E"/>
    <w:rsid w:val="00FA236F"/>
    <w:rsid w:val="00FA23E6"/>
    <w:rsid w:val="00FA248F"/>
    <w:rsid w:val="00FA27AA"/>
    <w:rsid w:val="00FA28D7"/>
    <w:rsid w:val="00FA28E4"/>
    <w:rsid w:val="00FA2A32"/>
    <w:rsid w:val="00FA2ADA"/>
    <w:rsid w:val="00FA2C03"/>
    <w:rsid w:val="00FA2D01"/>
    <w:rsid w:val="00FA2DF2"/>
    <w:rsid w:val="00FA34D5"/>
    <w:rsid w:val="00FA356C"/>
    <w:rsid w:val="00FA35E3"/>
    <w:rsid w:val="00FA3604"/>
    <w:rsid w:val="00FA373D"/>
    <w:rsid w:val="00FA37D7"/>
    <w:rsid w:val="00FA3A7E"/>
    <w:rsid w:val="00FA3A85"/>
    <w:rsid w:val="00FA3B43"/>
    <w:rsid w:val="00FA3BD9"/>
    <w:rsid w:val="00FA3D82"/>
    <w:rsid w:val="00FA3DD6"/>
    <w:rsid w:val="00FA3ECC"/>
    <w:rsid w:val="00FA3F65"/>
    <w:rsid w:val="00FA4077"/>
    <w:rsid w:val="00FA4096"/>
    <w:rsid w:val="00FA40C7"/>
    <w:rsid w:val="00FA410C"/>
    <w:rsid w:val="00FA425C"/>
    <w:rsid w:val="00FA429F"/>
    <w:rsid w:val="00FA42B0"/>
    <w:rsid w:val="00FA42EF"/>
    <w:rsid w:val="00FA4308"/>
    <w:rsid w:val="00FA4446"/>
    <w:rsid w:val="00FA449C"/>
    <w:rsid w:val="00FA45C5"/>
    <w:rsid w:val="00FA4606"/>
    <w:rsid w:val="00FA46B9"/>
    <w:rsid w:val="00FA46E8"/>
    <w:rsid w:val="00FA498E"/>
    <w:rsid w:val="00FA4A95"/>
    <w:rsid w:val="00FA4ADA"/>
    <w:rsid w:val="00FA4D11"/>
    <w:rsid w:val="00FA4E8A"/>
    <w:rsid w:val="00FA4EB7"/>
    <w:rsid w:val="00FA4F97"/>
    <w:rsid w:val="00FA5029"/>
    <w:rsid w:val="00FA5166"/>
    <w:rsid w:val="00FA5171"/>
    <w:rsid w:val="00FA53E7"/>
    <w:rsid w:val="00FA5513"/>
    <w:rsid w:val="00FA5624"/>
    <w:rsid w:val="00FA57FF"/>
    <w:rsid w:val="00FA599B"/>
    <w:rsid w:val="00FA5D31"/>
    <w:rsid w:val="00FA5D94"/>
    <w:rsid w:val="00FA5DF7"/>
    <w:rsid w:val="00FA5E46"/>
    <w:rsid w:val="00FA5FF5"/>
    <w:rsid w:val="00FA60F5"/>
    <w:rsid w:val="00FA61EF"/>
    <w:rsid w:val="00FA6252"/>
    <w:rsid w:val="00FA633C"/>
    <w:rsid w:val="00FA6357"/>
    <w:rsid w:val="00FA6424"/>
    <w:rsid w:val="00FA645E"/>
    <w:rsid w:val="00FA6587"/>
    <w:rsid w:val="00FA66E6"/>
    <w:rsid w:val="00FA6708"/>
    <w:rsid w:val="00FA68D9"/>
    <w:rsid w:val="00FA695C"/>
    <w:rsid w:val="00FA6A1D"/>
    <w:rsid w:val="00FA7054"/>
    <w:rsid w:val="00FA7237"/>
    <w:rsid w:val="00FA735B"/>
    <w:rsid w:val="00FA7464"/>
    <w:rsid w:val="00FA754F"/>
    <w:rsid w:val="00FA76F7"/>
    <w:rsid w:val="00FA778A"/>
    <w:rsid w:val="00FA7C52"/>
    <w:rsid w:val="00FA7D52"/>
    <w:rsid w:val="00FB0169"/>
    <w:rsid w:val="00FB01B0"/>
    <w:rsid w:val="00FB0394"/>
    <w:rsid w:val="00FB0519"/>
    <w:rsid w:val="00FB0521"/>
    <w:rsid w:val="00FB05FA"/>
    <w:rsid w:val="00FB06D1"/>
    <w:rsid w:val="00FB0787"/>
    <w:rsid w:val="00FB079E"/>
    <w:rsid w:val="00FB0828"/>
    <w:rsid w:val="00FB0976"/>
    <w:rsid w:val="00FB09DE"/>
    <w:rsid w:val="00FB09EE"/>
    <w:rsid w:val="00FB0C4E"/>
    <w:rsid w:val="00FB0E31"/>
    <w:rsid w:val="00FB0E6E"/>
    <w:rsid w:val="00FB0F41"/>
    <w:rsid w:val="00FB1191"/>
    <w:rsid w:val="00FB122A"/>
    <w:rsid w:val="00FB1286"/>
    <w:rsid w:val="00FB154F"/>
    <w:rsid w:val="00FB1685"/>
    <w:rsid w:val="00FB1851"/>
    <w:rsid w:val="00FB1954"/>
    <w:rsid w:val="00FB1D12"/>
    <w:rsid w:val="00FB1DA7"/>
    <w:rsid w:val="00FB1DD3"/>
    <w:rsid w:val="00FB1FBA"/>
    <w:rsid w:val="00FB1FE1"/>
    <w:rsid w:val="00FB2029"/>
    <w:rsid w:val="00FB213A"/>
    <w:rsid w:val="00FB22B1"/>
    <w:rsid w:val="00FB2357"/>
    <w:rsid w:val="00FB2362"/>
    <w:rsid w:val="00FB24BA"/>
    <w:rsid w:val="00FB260D"/>
    <w:rsid w:val="00FB2654"/>
    <w:rsid w:val="00FB27C7"/>
    <w:rsid w:val="00FB27CA"/>
    <w:rsid w:val="00FB28ED"/>
    <w:rsid w:val="00FB2BCD"/>
    <w:rsid w:val="00FB2C68"/>
    <w:rsid w:val="00FB2EAC"/>
    <w:rsid w:val="00FB2F62"/>
    <w:rsid w:val="00FB2FF8"/>
    <w:rsid w:val="00FB32DF"/>
    <w:rsid w:val="00FB34DE"/>
    <w:rsid w:val="00FB3522"/>
    <w:rsid w:val="00FB357C"/>
    <w:rsid w:val="00FB35B4"/>
    <w:rsid w:val="00FB3908"/>
    <w:rsid w:val="00FB3D84"/>
    <w:rsid w:val="00FB3ECB"/>
    <w:rsid w:val="00FB3F46"/>
    <w:rsid w:val="00FB4178"/>
    <w:rsid w:val="00FB437F"/>
    <w:rsid w:val="00FB4560"/>
    <w:rsid w:val="00FB4584"/>
    <w:rsid w:val="00FB4593"/>
    <w:rsid w:val="00FB48AE"/>
    <w:rsid w:val="00FB4921"/>
    <w:rsid w:val="00FB4925"/>
    <w:rsid w:val="00FB49A4"/>
    <w:rsid w:val="00FB4CC5"/>
    <w:rsid w:val="00FB4D1A"/>
    <w:rsid w:val="00FB4DB9"/>
    <w:rsid w:val="00FB4F14"/>
    <w:rsid w:val="00FB4FDB"/>
    <w:rsid w:val="00FB510B"/>
    <w:rsid w:val="00FB5121"/>
    <w:rsid w:val="00FB5230"/>
    <w:rsid w:val="00FB53E2"/>
    <w:rsid w:val="00FB5413"/>
    <w:rsid w:val="00FB57B1"/>
    <w:rsid w:val="00FB57BB"/>
    <w:rsid w:val="00FB5F21"/>
    <w:rsid w:val="00FB5FA8"/>
    <w:rsid w:val="00FB61BF"/>
    <w:rsid w:val="00FB61D5"/>
    <w:rsid w:val="00FB6217"/>
    <w:rsid w:val="00FB6261"/>
    <w:rsid w:val="00FB62FA"/>
    <w:rsid w:val="00FB64A3"/>
    <w:rsid w:val="00FB6684"/>
    <w:rsid w:val="00FB677B"/>
    <w:rsid w:val="00FB679B"/>
    <w:rsid w:val="00FB68BC"/>
    <w:rsid w:val="00FB6B1E"/>
    <w:rsid w:val="00FB6BC9"/>
    <w:rsid w:val="00FB6D07"/>
    <w:rsid w:val="00FB6D9A"/>
    <w:rsid w:val="00FB6E6C"/>
    <w:rsid w:val="00FB6E81"/>
    <w:rsid w:val="00FB734A"/>
    <w:rsid w:val="00FB7426"/>
    <w:rsid w:val="00FB7752"/>
    <w:rsid w:val="00FB779D"/>
    <w:rsid w:val="00FB780B"/>
    <w:rsid w:val="00FB7852"/>
    <w:rsid w:val="00FB79B1"/>
    <w:rsid w:val="00FB7B19"/>
    <w:rsid w:val="00FB7DB0"/>
    <w:rsid w:val="00FC0050"/>
    <w:rsid w:val="00FC02F9"/>
    <w:rsid w:val="00FC041C"/>
    <w:rsid w:val="00FC0844"/>
    <w:rsid w:val="00FC0852"/>
    <w:rsid w:val="00FC0914"/>
    <w:rsid w:val="00FC0A32"/>
    <w:rsid w:val="00FC0A40"/>
    <w:rsid w:val="00FC0CA4"/>
    <w:rsid w:val="00FC0E08"/>
    <w:rsid w:val="00FC10EE"/>
    <w:rsid w:val="00FC1142"/>
    <w:rsid w:val="00FC14F4"/>
    <w:rsid w:val="00FC1504"/>
    <w:rsid w:val="00FC166B"/>
    <w:rsid w:val="00FC168B"/>
    <w:rsid w:val="00FC174E"/>
    <w:rsid w:val="00FC17C7"/>
    <w:rsid w:val="00FC180A"/>
    <w:rsid w:val="00FC181B"/>
    <w:rsid w:val="00FC1923"/>
    <w:rsid w:val="00FC1968"/>
    <w:rsid w:val="00FC1A7B"/>
    <w:rsid w:val="00FC1B4F"/>
    <w:rsid w:val="00FC1B78"/>
    <w:rsid w:val="00FC1B84"/>
    <w:rsid w:val="00FC1EE3"/>
    <w:rsid w:val="00FC1F06"/>
    <w:rsid w:val="00FC1F0B"/>
    <w:rsid w:val="00FC2092"/>
    <w:rsid w:val="00FC20F2"/>
    <w:rsid w:val="00FC21F9"/>
    <w:rsid w:val="00FC22CF"/>
    <w:rsid w:val="00FC22D4"/>
    <w:rsid w:val="00FC239E"/>
    <w:rsid w:val="00FC2420"/>
    <w:rsid w:val="00FC24A9"/>
    <w:rsid w:val="00FC2682"/>
    <w:rsid w:val="00FC270A"/>
    <w:rsid w:val="00FC292B"/>
    <w:rsid w:val="00FC295D"/>
    <w:rsid w:val="00FC2B22"/>
    <w:rsid w:val="00FC2B59"/>
    <w:rsid w:val="00FC2C34"/>
    <w:rsid w:val="00FC2C5E"/>
    <w:rsid w:val="00FC2E20"/>
    <w:rsid w:val="00FC2FDC"/>
    <w:rsid w:val="00FC2FDF"/>
    <w:rsid w:val="00FC300C"/>
    <w:rsid w:val="00FC322E"/>
    <w:rsid w:val="00FC346E"/>
    <w:rsid w:val="00FC3657"/>
    <w:rsid w:val="00FC3830"/>
    <w:rsid w:val="00FC3900"/>
    <w:rsid w:val="00FC3A0D"/>
    <w:rsid w:val="00FC3A38"/>
    <w:rsid w:val="00FC3AEF"/>
    <w:rsid w:val="00FC3B0B"/>
    <w:rsid w:val="00FC3BE5"/>
    <w:rsid w:val="00FC3CF3"/>
    <w:rsid w:val="00FC3F1C"/>
    <w:rsid w:val="00FC3FC3"/>
    <w:rsid w:val="00FC4039"/>
    <w:rsid w:val="00FC4218"/>
    <w:rsid w:val="00FC4284"/>
    <w:rsid w:val="00FC43A1"/>
    <w:rsid w:val="00FC443F"/>
    <w:rsid w:val="00FC448F"/>
    <w:rsid w:val="00FC4556"/>
    <w:rsid w:val="00FC4670"/>
    <w:rsid w:val="00FC4721"/>
    <w:rsid w:val="00FC473F"/>
    <w:rsid w:val="00FC4818"/>
    <w:rsid w:val="00FC48F1"/>
    <w:rsid w:val="00FC4AA9"/>
    <w:rsid w:val="00FC4BC8"/>
    <w:rsid w:val="00FC4CD7"/>
    <w:rsid w:val="00FC4D1A"/>
    <w:rsid w:val="00FC4DB2"/>
    <w:rsid w:val="00FC4F4F"/>
    <w:rsid w:val="00FC525E"/>
    <w:rsid w:val="00FC53AB"/>
    <w:rsid w:val="00FC554B"/>
    <w:rsid w:val="00FC5561"/>
    <w:rsid w:val="00FC5699"/>
    <w:rsid w:val="00FC5861"/>
    <w:rsid w:val="00FC59A1"/>
    <w:rsid w:val="00FC5AD1"/>
    <w:rsid w:val="00FC5C3C"/>
    <w:rsid w:val="00FC5CBA"/>
    <w:rsid w:val="00FC5F67"/>
    <w:rsid w:val="00FC5FE9"/>
    <w:rsid w:val="00FC6098"/>
    <w:rsid w:val="00FC6170"/>
    <w:rsid w:val="00FC635C"/>
    <w:rsid w:val="00FC64BB"/>
    <w:rsid w:val="00FC65D8"/>
    <w:rsid w:val="00FC6629"/>
    <w:rsid w:val="00FC6779"/>
    <w:rsid w:val="00FC6878"/>
    <w:rsid w:val="00FC6959"/>
    <w:rsid w:val="00FC69E7"/>
    <w:rsid w:val="00FC6A41"/>
    <w:rsid w:val="00FC6A43"/>
    <w:rsid w:val="00FC6D45"/>
    <w:rsid w:val="00FC6D8F"/>
    <w:rsid w:val="00FC6E0D"/>
    <w:rsid w:val="00FC6F78"/>
    <w:rsid w:val="00FC70E5"/>
    <w:rsid w:val="00FC71D8"/>
    <w:rsid w:val="00FC72E8"/>
    <w:rsid w:val="00FC7434"/>
    <w:rsid w:val="00FC74B6"/>
    <w:rsid w:val="00FC74D1"/>
    <w:rsid w:val="00FC7684"/>
    <w:rsid w:val="00FC7A8E"/>
    <w:rsid w:val="00FC7AC3"/>
    <w:rsid w:val="00FC7B8D"/>
    <w:rsid w:val="00FC7C13"/>
    <w:rsid w:val="00FC7F32"/>
    <w:rsid w:val="00FC7F80"/>
    <w:rsid w:val="00FC7FA9"/>
    <w:rsid w:val="00FD006B"/>
    <w:rsid w:val="00FD0085"/>
    <w:rsid w:val="00FD00A3"/>
    <w:rsid w:val="00FD0179"/>
    <w:rsid w:val="00FD0236"/>
    <w:rsid w:val="00FD0639"/>
    <w:rsid w:val="00FD063B"/>
    <w:rsid w:val="00FD0769"/>
    <w:rsid w:val="00FD094A"/>
    <w:rsid w:val="00FD0ABF"/>
    <w:rsid w:val="00FD0ADC"/>
    <w:rsid w:val="00FD0BEB"/>
    <w:rsid w:val="00FD0C3F"/>
    <w:rsid w:val="00FD0CBE"/>
    <w:rsid w:val="00FD1158"/>
    <w:rsid w:val="00FD11A4"/>
    <w:rsid w:val="00FD124F"/>
    <w:rsid w:val="00FD1306"/>
    <w:rsid w:val="00FD1338"/>
    <w:rsid w:val="00FD137A"/>
    <w:rsid w:val="00FD16B3"/>
    <w:rsid w:val="00FD177A"/>
    <w:rsid w:val="00FD1844"/>
    <w:rsid w:val="00FD190F"/>
    <w:rsid w:val="00FD1A4E"/>
    <w:rsid w:val="00FD1AD8"/>
    <w:rsid w:val="00FD1B98"/>
    <w:rsid w:val="00FD1BF6"/>
    <w:rsid w:val="00FD1CA8"/>
    <w:rsid w:val="00FD1E07"/>
    <w:rsid w:val="00FD201C"/>
    <w:rsid w:val="00FD20AF"/>
    <w:rsid w:val="00FD230A"/>
    <w:rsid w:val="00FD230C"/>
    <w:rsid w:val="00FD233D"/>
    <w:rsid w:val="00FD2387"/>
    <w:rsid w:val="00FD243D"/>
    <w:rsid w:val="00FD25A3"/>
    <w:rsid w:val="00FD269D"/>
    <w:rsid w:val="00FD279B"/>
    <w:rsid w:val="00FD2912"/>
    <w:rsid w:val="00FD2952"/>
    <w:rsid w:val="00FD2A3E"/>
    <w:rsid w:val="00FD2B4B"/>
    <w:rsid w:val="00FD2C17"/>
    <w:rsid w:val="00FD2C77"/>
    <w:rsid w:val="00FD2CEC"/>
    <w:rsid w:val="00FD2F5B"/>
    <w:rsid w:val="00FD2FC8"/>
    <w:rsid w:val="00FD305E"/>
    <w:rsid w:val="00FD3222"/>
    <w:rsid w:val="00FD327E"/>
    <w:rsid w:val="00FD333C"/>
    <w:rsid w:val="00FD33AB"/>
    <w:rsid w:val="00FD3429"/>
    <w:rsid w:val="00FD345C"/>
    <w:rsid w:val="00FD351C"/>
    <w:rsid w:val="00FD356E"/>
    <w:rsid w:val="00FD36F8"/>
    <w:rsid w:val="00FD3703"/>
    <w:rsid w:val="00FD3742"/>
    <w:rsid w:val="00FD3791"/>
    <w:rsid w:val="00FD37FA"/>
    <w:rsid w:val="00FD387A"/>
    <w:rsid w:val="00FD38E7"/>
    <w:rsid w:val="00FD3A4B"/>
    <w:rsid w:val="00FD3A8C"/>
    <w:rsid w:val="00FD3AC6"/>
    <w:rsid w:val="00FD3D3B"/>
    <w:rsid w:val="00FD3D67"/>
    <w:rsid w:val="00FD3F22"/>
    <w:rsid w:val="00FD4047"/>
    <w:rsid w:val="00FD4123"/>
    <w:rsid w:val="00FD427E"/>
    <w:rsid w:val="00FD42A8"/>
    <w:rsid w:val="00FD44BA"/>
    <w:rsid w:val="00FD44FD"/>
    <w:rsid w:val="00FD4608"/>
    <w:rsid w:val="00FD47FC"/>
    <w:rsid w:val="00FD4843"/>
    <w:rsid w:val="00FD4A47"/>
    <w:rsid w:val="00FD4ACC"/>
    <w:rsid w:val="00FD4C37"/>
    <w:rsid w:val="00FD4D1B"/>
    <w:rsid w:val="00FD4D34"/>
    <w:rsid w:val="00FD4DAD"/>
    <w:rsid w:val="00FD4FDB"/>
    <w:rsid w:val="00FD505A"/>
    <w:rsid w:val="00FD515D"/>
    <w:rsid w:val="00FD516D"/>
    <w:rsid w:val="00FD5358"/>
    <w:rsid w:val="00FD55A6"/>
    <w:rsid w:val="00FD56C3"/>
    <w:rsid w:val="00FD56F6"/>
    <w:rsid w:val="00FD586E"/>
    <w:rsid w:val="00FD59C9"/>
    <w:rsid w:val="00FD59D8"/>
    <w:rsid w:val="00FD5B57"/>
    <w:rsid w:val="00FD5BDA"/>
    <w:rsid w:val="00FD5BE7"/>
    <w:rsid w:val="00FD5C6F"/>
    <w:rsid w:val="00FD5CE1"/>
    <w:rsid w:val="00FD5E45"/>
    <w:rsid w:val="00FD5E92"/>
    <w:rsid w:val="00FD6003"/>
    <w:rsid w:val="00FD6022"/>
    <w:rsid w:val="00FD6143"/>
    <w:rsid w:val="00FD6411"/>
    <w:rsid w:val="00FD64E2"/>
    <w:rsid w:val="00FD658A"/>
    <w:rsid w:val="00FD6630"/>
    <w:rsid w:val="00FD68B1"/>
    <w:rsid w:val="00FD68B6"/>
    <w:rsid w:val="00FD68C1"/>
    <w:rsid w:val="00FD6BF0"/>
    <w:rsid w:val="00FD6C4F"/>
    <w:rsid w:val="00FD6D35"/>
    <w:rsid w:val="00FD6EFB"/>
    <w:rsid w:val="00FD6F04"/>
    <w:rsid w:val="00FD70A3"/>
    <w:rsid w:val="00FD70A4"/>
    <w:rsid w:val="00FD70B5"/>
    <w:rsid w:val="00FD716A"/>
    <w:rsid w:val="00FD7260"/>
    <w:rsid w:val="00FD7275"/>
    <w:rsid w:val="00FD7286"/>
    <w:rsid w:val="00FD737B"/>
    <w:rsid w:val="00FD7386"/>
    <w:rsid w:val="00FD73AB"/>
    <w:rsid w:val="00FD741A"/>
    <w:rsid w:val="00FD74F7"/>
    <w:rsid w:val="00FD7545"/>
    <w:rsid w:val="00FD75AD"/>
    <w:rsid w:val="00FD75B5"/>
    <w:rsid w:val="00FD75EC"/>
    <w:rsid w:val="00FD75F6"/>
    <w:rsid w:val="00FD7710"/>
    <w:rsid w:val="00FD772A"/>
    <w:rsid w:val="00FD78C4"/>
    <w:rsid w:val="00FD7A3F"/>
    <w:rsid w:val="00FD7BAF"/>
    <w:rsid w:val="00FD7BC6"/>
    <w:rsid w:val="00FD7CE3"/>
    <w:rsid w:val="00FD7D8C"/>
    <w:rsid w:val="00FE00C1"/>
    <w:rsid w:val="00FE00C5"/>
    <w:rsid w:val="00FE0136"/>
    <w:rsid w:val="00FE0316"/>
    <w:rsid w:val="00FE0452"/>
    <w:rsid w:val="00FE046A"/>
    <w:rsid w:val="00FE047D"/>
    <w:rsid w:val="00FE0480"/>
    <w:rsid w:val="00FE04EA"/>
    <w:rsid w:val="00FE0502"/>
    <w:rsid w:val="00FE08FC"/>
    <w:rsid w:val="00FE092F"/>
    <w:rsid w:val="00FE0AAA"/>
    <w:rsid w:val="00FE0AD0"/>
    <w:rsid w:val="00FE0D15"/>
    <w:rsid w:val="00FE0DF5"/>
    <w:rsid w:val="00FE0E24"/>
    <w:rsid w:val="00FE0E91"/>
    <w:rsid w:val="00FE0EAB"/>
    <w:rsid w:val="00FE11BB"/>
    <w:rsid w:val="00FE1223"/>
    <w:rsid w:val="00FE1228"/>
    <w:rsid w:val="00FE1240"/>
    <w:rsid w:val="00FE1394"/>
    <w:rsid w:val="00FE13BB"/>
    <w:rsid w:val="00FE1493"/>
    <w:rsid w:val="00FE1511"/>
    <w:rsid w:val="00FE1603"/>
    <w:rsid w:val="00FE1634"/>
    <w:rsid w:val="00FE16C1"/>
    <w:rsid w:val="00FE1718"/>
    <w:rsid w:val="00FE176F"/>
    <w:rsid w:val="00FE1841"/>
    <w:rsid w:val="00FE1A38"/>
    <w:rsid w:val="00FE1A99"/>
    <w:rsid w:val="00FE1B28"/>
    <w:rsid w:val="00FE1CE8"/>
    <w:rsid w:val="00FE20D1"/>
    <w:rsid w:val="00FE2323"/>
    <w:rsid w:val="00FE2359"/>
    <w:rsid w:val="00FE2487"/>
    <w:rsid w:val="00FE26D0"/>
    <w:rsid w:val="00FE26F3"/>
    <w:rsid w:val="00FE26FA"/>
    <w:rsid w:val="00FE28CD"/>
    <w:rsid w:val="00FE297F"/>
    <w:rsid w:val="00FE2A6A"/>
    <w:rsid w:val="00FE2A9D"/>
    <w:rsid w:val="00FE2AED"/>
    <w:rsid w:val="00FE2B4A"/>
    <w:rsid w:val="00FE2B9A"/>
    <w:rsid w:val="00FE2BC9"/>
    <w:rsid w:val="00FE2EC7"/>
    <w:rsid w:val="00FE300E"/>
    <w:rsid w:val="00FE3055"/>
    <w:rsid w:val="00FE30C0"/>
    <w:rsid w:val="00FE3198"/>
    <w:rsid w:val="00FE32ED"/>
    <w:rsid w:val="00FE33B7"/>
    <w:rsid w:val="00FE3670"/>
    <w:rsid w:val="00FE3724"/>
    <w:rsid w:val="00FE3A7F"/>
    <w:rsid w:val="00FE3A83"/>
    <w:rsid w:val="00FE3AD2"/>
    <w:rsid w:val="00FE3F6A"/>
    <w:rsid w:val="00FE479A"/>
    <w:rsid w:val="00FE4809"/>
    <w:rsid w:val="00FE4932"/>
    <w:rsid w:val="00FE49AE"/>
    <w:rsid w:val="00FE49D1"/>
    <w:rsid w:val="00FE4B98"/>
    <w:rsid w:val="00FE4CBB"/>
    <w:rsid w:val="00FE4EA3"/>
    <w:rsid w:val="00FE511F"/>
    <w:rsid w:val="00FE5305"/>
    <w:rsid w:val="00FE542F"/>
    <w:rsid w:val="00FE5434"/>
    <w:rsid w:val="00FE55A2"/>
    <w:rsid w:val="00FE5986"/>
    <w:rsid w:val="00FE598F"/>
    <w:rsid w:val="00FE59D5"/>
    <w:rsid w:val="00FE5AEF"/>
    <w:rsid w:val="00FE5B5A"/>
    <w:rsid w:val="00FE5CCA"/>
    <w:rsid w:val="00FE5F54"/>
    <w:rsid w:val="00FE6070"/>
    <w:rsid w:val="00FE608D"/>
    <w:rsid w:val="00FE6199"/>
    <w:rsid w:val="00FE6473"/>
    <w:rsid w:val="00FE663A"/>
    <w:rsid w:val="00FE6791"/>
    <w:rsid w:val="00FE6846"/>
    <w:rsid w:val="00FE6A91"/>
    <w:rsid w:val="00FE6B0A"/>
    <w:rsid w:val="00FE6C3E"/>
    <w:rsid w:val="00FE6C82"/>
    <w:rsid w:val="00FE6C83"/>
    <w:rsid w:val="00FE6D54"/>
    <w:rsid w:val="00FE6DA3"/>
    <w:rsid w:val="00FE70B3"/>
    <w:rsid w:val="00FE71B4"/>
    <w:rsid w:val="00FE72B9"/>
    <w:rsid w:val="00FE73F7"/>
    <w:rsid w:val="00FE770A"/>
    <w:rsid w:val="00FE77EE"/>
    <w:rsid w:val="00FE79EB"/>
    <w:rsid w:val="00FE7BB7"/>
    <w:rsid w:val="00FE7E01"/>
    <w:rsid w:val="00FE7E58"/>
    <w:rsid w:val="00FEC214"/>
    <w:rsid w:val="00FF00C4"/>
    <w:rsid w:val="00FF02B2"/>
    <w:rsid w:val="00FF0391"/>
    <w:rsid w:val="00FF03AC"/>
    <w:rsid w:val="00FF04EF"/>
    <w:rsid w:val="00FF05AB"/>
    <w:rsid w:val="00FF05B1"/>
    <w:rsid w:val="00FF0939"/>
    <w:rsid w:val="00FF0A7E"/>
    <w:rsid w:val="00FF0A8C"/>
    <w:rsid w:val="00FF0AD4"/>
    <w:rsid w:val="00FF0C30"/>
    <w:rsid w:val="00FF0C61"/>
    <w:rsid w:val="00FF0EC2"/>
    <w:rsid w:val="00FF0F31"/>
    <w:rsid w:val="00FF10CB"/>
    <w:rsid w:val="00FF1152"/>
    <w:rsid w:val="00FF1197"/>
    <w:rsid w:val="00FF1274"/>
    <w:rsid w:val="00FF14BE"/>
    <w:rsid w:val="00FF1705"/>
    <w:rsid w:val="00FF1793"/>
    <w:rsid w:val="00FF19F8"/>
    <w:rsid w:val="00FF1A73"/>
    <w:rsid w:val="00FF1CCF"/>
    <w:rsid w:val="00FF20DC"/>
    <w:rsid w:val="00FF21E2"/>
    <w:rsid w:val="00FF221A"/>
    <w:rsid w:val="00FF223C"/>
    <w:rsid w:val="00FF22B6"/>
    <w:rsid w:val="00FF25F8"/>
    <w:rsid w:val="00FF262D"/>
    <w:rsid w:val="00FF2C46"/>
    <w:rsid w:val="00FF305E"/>
    <w:rsid w:val="00FF321C"/>
    <w:rsid w:val="00FF33C4"/>
    <w:rsid w:val="00FF33F3"/>
    <w:rsid w:val="00FF3449"/>
    <w:rsid w:val="00FF34F4"/>
    <w:rsid w:val="00FF35A9"/>
    <w:rsid w:val="00FF3787"/>
    <w:rsid w:val="00FF3AFD"/>
    <w:rsid w:val="00FF3B61"/>
    <w:rsid w:val="00FF3C13"/>
    <w:rsid w:val="00FF4008"/>
    <w:rsid w:val="00FF41B6"/>
    <w:rsid w:val="00FF42F3"/>
    <w:rsid w:val="00FF4325"/>
    <w:rsid w:val="00FF4355"/>
    <w:rsid w:val="00FF43BD"/>
    <w:rsid w:val="00FF440F"/>
    <w:rsid w:val="00FF44BA"/>
    <w:rsid w:val="00FF458F"/>
    <w:rsid w:val="00FF459F"/>
    <w:rsid w:val="00FF4749"/>
    <w:rsid w:val="00FF480C"/>
    <w:rsid w:val="00FF4824"/>
    <w:rsid w:val="00FF48F3"/>
    <w:rsid w:val="00FF49F0"/>
    <w:rsid w:val="00FF4A60"/>
    <w:rsid w:val="00FF4D56"/>
    <w:rsid w:val="00FF50A5"/>
    <w:rsid w:val="00FF51DB"/>
    <w:rsid w:val="00FF5228"/>
    <w:rsid w:val="00FF5229"/>
    <w:rsid w:val="00FF524E"/>
    <w:rsid w:val="00FF5317"/>
    <w:rsid w:val="00FF5398"/>
    <w:rsid w:val="00FF54BB"/>
    <w:rsid w:val="00FF54F5"/>
    <w:rsid w:val="00FF559E"/>
    <w:rsid w:val="00FF55DD"/>
    <w:rsid w:val="00FF56E2"/>
    <w:rsid w:val="00FF58B1"/>
    <w:rsid w:val="00FF594B"/>
    <w:rsid w:val="00FF59CE"/>
    <w:rsid w:val="00FF5A7F"/>
    <w:rsid w:val="00FF5E8A"/>
    <w:rsid w:val="00FF5E9E"/>
    <w:rsid w:val="00FF5ED3"/>
    <w:rsid w:val="00FF6077"/>
    <w:rsid w:val="00FF6183"/>
    <w:rsid w:val="00FF61C1"/>
    <w:rsid w:val="00FF62D3"/>
    <w:rsid w:val="00FF63A2"/>
    <w:rsid w:val="00FF63C3"/>
    <w:rsid w:val="00FF6455"/>
    <w:rsid w:val="00FF64CB"/>
    <w:rsid w:val="00FF6585"/>
    <w:rsid w:val="00FF6590"/>
    <w:rsid w:val="00FF65CE"/>
    <w:rsid w:val="00FF65FF"/>
    <w:rsid w:val="00FF6815"/>
    <w:rsid w:val="00FF6B69"/>
    <w:rsid w:val="00FF6EE5"/>
    <w:rsid w:val="00FF6EFD"/>
    <w:rsid w:val="00FF6F5C"/>
    <w:rsid w:val="00FF7529"/>
    <w:rsid w:val="00FF7728"/>
    <w:rsid w:val="00FF776B"/>
    <w:rsid w:val="00FF776F"/>
    <w:rsid w:val="00FF77F6"/>
    <w:rsid w:val="00FF7806"/>
    <w:rsid w:val="00FF78EA"/>
    <w:rsid w:val="00FF7951"/>
    <w:rsid w:val="00FF7B24"/>
    <w:rsid w:val="00FF7CE0"/>
    <w:rsid w:val="00FF7D91"/>
    <w:rsid w:val="00FF7ED9"/>
    <w:rsid w:val="010104BE"/>
    <w:rsid w:val="010AB971"/>
    <w:rsid w:val="01110CAD"/>
    <w:rsid w:val="01190028"/>
    <w:rsid w:val="011D6168"/>
    <w:rsid w:val="012DD93F"/>
    <w:rsid w:val="013CD5F9"/>
    <w:rsid w:val="013DE996"/>
    <w:rsid w:val="014DB345"/>
    <w:rsid w:val="015F9008"/>
    <w:rsid w:val="01719AA0"/>
    <w:rsid w:val="017DA8E2"/>
    <w:rsid w:val="01831F52"/>
    <w:rsid w:val="01859E60"/>
    <w:rsid w:val="018EDC7C"/>
    <w:rsid w:val="01A1B546"/>
    <w:rsid w:val="01A6CA8D"/>
    <w:rsid w:val="01AF8364"/>
    <w:rsid w:val="01B53BCA"/>
    <w:rsid w:val="01C16724"/>
    <w:rsid w:val="01C7A8B0"/>
    <w:rsid w:val="01CAD764"/>
    <w:rsid w:val="01D9A1E9"/>
    <w:rsid w:val="01DADE82"/>
    <w:rsid w:val="01EA65EB"/>
    <w:rsid w:val="01ED44BF"/>
    <w:rsid w:val="01F93044"/>
    <w:rsid w:val="0200EBF3"/>
    <w:rsid w:val="02174BF0"/>
    <w:rsid w:val="02364B99"/>
    <w:rsid w:val="02476331"/>
    <w:rsid w:val="02552CC8"/>
    <w:rsid w:val="0255A4D4"/>
    <w:rsid w:val="025B6EE0"/>
    <w:rsid w:val="025B8E3B"/>
    <w:rsid w:val="0260B83E"/>
    <w:rsid w:val="026325B6"/>
    <w:rsid w:val="026371FA"/>
    <w:rsid w:val="0264E70F"/>
    <w:rsid w:val="0270FA1E"/>
    <w:rsid w:val="0276406C"/>
    <w:rsid w:val="0277DE20"/>
    <w:rsid w:val="02814025"/>
    <w:rsid w:val="029693D2"/>
    <w:rsid w:val="029B0E56"/>
    <w:rsid w:val="02A0CF53"/>
    <w:rsid w:val="02B1C206"/>
    <w:rsid w:val="02B456E6"/>
    <w:rsid w:val="02B9ACDE"/>
    <w:rsid w:val="02C3EA45"/>
    <w:rsid w:val="02DAE9E2"/>
    <w:rsid w:val="02E77AE9"/>
    <w:rsid w:val="02EB8D2B"/>
    <w:rsid w:val="02ED1CC3"/>
    <w:rsid w:val="03073B9B"/>
    <w:rsid w:val="03083B97"/>
    <w:rsid w:val="030CABB7"/>
    <w:rsid w:val="031AEDF0"/>
    <w:rsid w:val="0322505A"/>
    <w:rsid w:val="0325825F"/>
    <w:rsid w:val="032C86CA"/>
    <w:rsid w:val="0342F445"/>
    <w:rsid w:val="035D54B1"/>
    <w:rsid w:val="03708432"/>
    <w:rsid w:val="0375355B"/>
    <w:rsid w:val="0379A4FF"/>
    <w:rsid w:val="0382709B"/>
    <w:rsid w:val="039C0B94"/>
    <w:rsid w:val="03A0C76F"/>
    <w:rsid w:val="03AB0E5C"/>
    <w:rsid w:val="03BCAD63"/>
    <w:rsid w:val="03C1FE49"/>
    <w:rsid w:val="03C2D4D1"/>
    <w:rsid w:val="03CEC0C6"/>
    <w:rsid w:val="03DF29ED"/>
    <w:rsid w:val="03F27A0B"/>
    <w:rsid w:val="03F76C80"/>
    <w:rsid w:val="03F80899"/>
    <w:rsid w:val="03FC7988"/>
    <w:rsid w:val="03FE4C38"/>
    <w:rsid w:val="0419B539"/>
    <w:rsid w:val="041A7C0E"/>
    <w:rsid w:val="041D29C1"/>
    <w:rsid w:val="042593E7"/>
    <w:rsid w:val="0425E6F5"/>
    <w:rsid w:val="042B8DA3"/>
    <w:rsid w:val="04392267"/>
    <w:rsid w:val="0439A5D3"/>
    <w:rsid w:val="044BEDD1"/>
    <w:rsid w:val="044CC4DB"/>
    <w:rsid w:val="0450449D"/>
    <w:rsid w:val="04761BE7"/>
    <w:rsid w:val="0477FD0D"/>
    <w:rsid w:val="0488CFB5"/>
    <w:rsid w:val="0492DA63"/>
    <w:rsid w:val="049339C4"/>
    <w:rsid w:val="04A59C2D"/>
    <w:rsid w:val="04A90607"/>
    <w:rsid w:val="04CCB674"/>
    <w:rsid w:val="04E5424C"/>
    <w:rsid w:val="04EC1082"/>
    <w:rsid w:val="04EF41FE"/>
    <w:rsid w:val="04F2CC11"/>
    <w:rsid w:val="04F3662D"/>
    <w:rsid w:val="04F480B1"/>
    <w:rsid w:val="0503D45E"/>
    <w:rsid w:val="050736B7"/>
    <w:rsid w:val="051FCB4C"/>
    <w:rsid w:val="05420565"/>
    <w:rsid w:val="054461D8"/>
    <w:rsid w:val="054A3E88"/>
    <w:rsid w:val="054B6B52"/>
    <w:rsid w:val="054CC749"/>
    <w:rsid w:val="0555AF4B"/>
    <w:rsid w:val="056F5839"/>
    <w:rsid w:val="0574AE74"/>
    <w:rsid w:val="0575370A"/>
    <w:rsid w:val="057BAFCD"/>
    <w:rsid w:val="057E7D8D"/>
    <w:rsid w:val="05823330"/>
    <w:rsid w:val="0584C4E7"/>
    <w:rsid w:val="0585A8CC"/>
    <w:rsid w:val="05903271"/>
    <w:rsid w:val="05992316"/>
    <w:rsid w:val="05A94BDD"/>
    <w:rsid w:val="05A9EC9A"/>
    <w:rsid w:val="05AB5765"/>
    <w:rsid w:val="05C097C0"/>
    <w:rsid w:val="05C58F6A"/>
    <w:rsid w:val="05C65F32"/>
    <w:rsid w:val="05D3505C"/>
    <w:rsid w:val="05E16DCB"/>
    <w:rsid w:val="05E1B4D3"/>
    <w:rsid w:val="05E5EE3A"/>
    <w:rsid w:val="05EFEF42"/>
    <w:rsid w:val="062CD765"/>
    <w:rsid w:val="06315837"/>
    <w:rsid w:val="0631903E"/>
    <w:rsid w:val="063868A5"/>
    <w:rsid w:val="063983D5"/>
    <w:rsid w:val="063DEC3B"/>
    <w:rsid w:val="063DFDF9"/>
    <w:rsid w:val="0656A80C"/>
    <w:rsid w:val="0657EA7C"/>
    <w:rsid w:val="065A4E61"/>
    <w:rsid w:val="0664BDEE"/>
    <w:rsid w:val="0672030E"/>
    <w:rsid w:val="06729164"/>
    <w:rsid w:val="06967047"/>
    <w:rsid w:val="06A399DA"/>
    <w:rsid w:val="06AE241E"/>
    <w:rsid w:val="06AFA25D"/>
    <w:rsid w:val="06B3A72C"/>
    <w:rsid w:val="06C07D38"/>
    <w:rsid w:val="06DC84A7"/>
    <w:rsid w:val="06E07A73"/>
    <w:rsid w:val="06E653B1"/>
    <w:rsid w:val="06EC58BE"/>
    <w:rsid w:val="07032566"/>
    <w:rsid w:val="070701C8"/>
    <w:rsid w:val="071688DA"/>
    <w:rsid w:val="07198E37"/>
    <w:rsid w:val="0727C5BE"/>
    <w:rsid w:val="0730A5E0"/>
    <w:rsid w:val="07316AED"/>
    <w:rsid w:val="07511DD0"/>
    <w:rsid w:val="0751823F"/>
    <w:rsid w:val="07606397"/>
    <w:rsid w:val="0768837E"/>
    <w:rsid w:val="077D5F4F"/>
    <w:rsid w:val="077D99E4"/>
    <w:rsid w:val="07875599"/>
    <w:rsid w:val="078BEB5A"/>
    <w:rsid w:val="07BDBBD2"/>
    <w:rsid w:val="07CF8960"/>
    <w:rsid w:val="07DA7AD4"/>
    <w:rsid w:val="07E14627"/>
    <w:rsid w:val="07E2F3DD"/>
    <w:rsid w:val="07EF0DFB"/>
    <w:rsid w:val="07F51038"/>
    <w:rsid w:val="07F5BE0E"/>
    <w:rsid w:val="07F9C5BE"/>
    <w:rsid w:val="0800DEBA"/>
    <w:rsid w:val="0801A8B9"/>
    <w:rsid w:val="080BC585"/>
    <w:rsid w:val="080C2FAD"/>
    <w:rsid w:val="080FC021"/>
    <w:rsid w:val="08163849"/>
    <w:rsid w:val="0828A7EB"/>
    <w:rsid w:val="08343029"/>
    <w:rsid w:val="08441F0D"/>
    <w:rsid w:val="084B1687"/>
    <w:rsid w:val="0859C100"/>
    <w:rsid w:val="085DABC8"/>
    <w:rsid w:val="086BB8B8"/>
    <w:rsid w:val="0875497B"/>
    <w:rsid w:val="087EEF93"/>
    <w:rsid w:val="088D38FA"/>
    <w:rsid w:val="08912794"/>
    <w:rsid w:val="0891411D"/>
    <w:rsid w:val="08AC9DB7"/>
    <w:rsid w:val="08B11184"/>
    <w:rsid w:val="08B37E9D"/>
    <w:rsid w:val="08B5B415"/>
    <w:rsid w:val="08BBB7A9"/>
    <w:rsid w:val="08C3E13E"/>
    <w:rsid w:val="08D2BDE1"/>
    <w:rsid w:val="08DD67B7"/>
    <w:rsid w:val="08ECA407"/>
    <w:rsid w:val="08F560D1"/>
    <w:rsid w:val="09248D32"/>
    <w:rsid w:val="0940ED28"/>
    <w:rsid w:val="0945E7D3"/>
    <w:rsid w:val="0948ADCA"/>
    <w:rsid w:val="094D92A1"/>
    <w:rsid w:val="0950F42E"/>
    <w:rsid w:val="09512F52"/>
    <w:rsid w:val="0968FE05"/>
    <w:rsid w:val="097A499C"/>
    <w:rsid w:val="0980A4A0"/>
    <w:rsid w:val="098797B4"/>
    <w:rsid w:val="098A5995"/>
    <w:rsid w:val="098C8070"/>
    <w:rsid w:val="0997F739"/>
    <w:rsid w:val="099DA99E"/>
    <w:rsid w:val="09A2155A"/>
    <w:rsid w:val="09A28E5B"/>
    <w:rsid w:val="09A9275E"/>
    <w:rsid w:val="09ABE502"/>
    <w:rsid w:val="09AE36D2"/>
    <w:rsid w:val="09C10ACB"/>
    <w:rsid w:val="09C9DBDD"/>
    <w:rsid w:val="09E38543"/>
    <w:rsid w:val="09E950D0"/>
    <w:rsid w:val="09E9E9AD"/>
    <w:rsid w:val="09EA46AE"/>
    <w:rsid w:val="09ED7F08"/>
    <w:rsid w:val="09F1585D"/>
    <w:rsid w:val="0A16874C"/>
    <w:rsid w:val="0A1ADB8D"/>
    <w:rsid w:val="0A1D8F71"/>
    <w:rsid w:val="0A250728"/>
    <w:rsid w:val="0A35EF79"/>
    <w:rsid w:val="0A5118B3"/>
    <w:rsid w:val="0A51C865"/>
    <w:rsid w:val="0A597951"/>
    <w:rsid w:val="0A5BD6C5"/>
    <w:rsid w:val="0A7A1A1E"/>
    <w:rsid w:val="0A81E67F"/>
    <w:rsid w:val="0A8C4A67"/>
    <w:rsid w:val="0A8D3DC4"/>
    <w:rsid w:val="0A956CE3"/>
    <w:rsid w:val="0A99D07A"/>
    <w:rsid w:val="0AA30275"/>
    <w:rsid w:val="0AAE1371"/>
    <w:rsid w:val="0ABA219B"/>
    <w:rsid w:val="0ABCD164"/>
    <w:rsid w:val="0ABEA571"/>
    <w:rsid w:val="0AD1909D"/>
    <w:rsid w:val="0ADF220C"/>
    <w:rsid w:val="0AE36022"/>
    <w:rsid w:val="0AEB0B55"/>
    <w:rsid w:val="0AEBBD89"/>
    <w:rsid w:val="0AEC4183"/>
    <w:rsid w:val="0AEE7324"/>
    <w:rsid w:val="0AF33E60"/>
    <w:rsid w:val="0B00B332"/>
    <w:rsid w:val="0B07E86E"/>
    <w:rsid w:val="0B2D1BAA"/>
    <w:rsid w:val="0B4CAB76"/>
    <w:rsid w:val="0B5766A4"/>
    <w:rsid w:val="0B5C49A3"/>
    <w:rsid w:val="0B719A8B"/>
    <w:rsid w:val="0B723742"/>
    <w:rsid w:val="0B724533"/>
    <w:rsid w:val="0B77CCF0"/>
    <w:rsid w:val="0B7AE6B8"/>
    <w:rsid w:val="0B905F55"/>
    <w:rsid w:val="0BA16C55"/>
    <w:rsid w:val="0BA52A70"/>
    <w:rsid w:val="0BAF5835"/>
    <w:rsid w:val="0BB587CF"/>
    <w:rsid w:val="0BC0D28C"/>
    <w:rsid w:val="0BE30D3F"/>
    <w:rsid w:val="0BE4C2E0"/>
    <w:rsid w:val="0C083FC1"/>
    <w:rsid w:val="0C1768E9"/>
    <w:rsid w:val="0C21D2B9"/>
    <w:rsid w:val="0C2F441C"/>
    <w:rsid w:val="0C4291E0"/>
    <w:rsid w:val="0C454998"/>
    <w:rsid w:val="0C4D3864"/>
    <w:rsid w:val="0C50438F"/>
    <w:rsid w:val="0C520BC6"/>
    <w:rsid w:val="0C53FFB1"/>
    <w:rsid w:val="0C5B3D9D"/>
    <w:rsid w:val="0C95428B"/>
    <w:rsid w:val="0C9621E5"/>
    <w:rsid w:val="0CA92C41"/>
    <w:rsid w:val="0CAED74E"/>
    <w:rsid w:val="0CAF9328"/>
    <w:rsid w:val="0CB40177"/>
    <w:rsid w:val="0CB6DF74"/>
    <w:rsid w:val="0CC89708"/>
    <w:rsid w:val="0CDDDAA1"/>
    <w:rsid w:val="0CE280CF"/>
    <w:rsid w:val="0CE84FCC"/>
    <w:rsid w:val="0CE9219E"/>
    <w:rsid w:val="0CF2D6A8"/>
    <w:rsid w:val="0CF43639"/>
    <w:rsid w:val="0CF5356B"/>
    <w:rsid w:val="0CF924EB"/>
    <w:rsid w:val="0D02B716"/>
    <w:rsid w:val="0D03B69A"/>
    <w:rsid w:val="0D09777D"/>
    <w:rsid w:val="0D145BB7"/>
    <w:rsid w:val="0D17F034"/>
    <w:rsid w:val="0D230943"/>
    <w:rsid w:val="0D267323"/>
    <w:rsid w:val="0D2DB18C"/>
    <w:rsid w:val="0D38AC16"/>
    <w:rsid w:val="0D449058"/>
    <w:rsid w:val="0D47EEDF"/>
    <w:rsid w:val="0D5FBCF0"/>
    <w:rsid w:val="0D63B84D"/>
    <w:rsid w:val="0D6BA250"/>
    <w:rsid w:val="0D7FA0E0"/>
    <w:rsid w:val="0D8AEE24"/>
    <w:rsid w:val="0D9025DC"/>
    <w:rsid w:val="0D994686"/>
    <w:rsid w:val="0D99EEB4"/>
    <w:rsid w:val="0DB10CB2"/>
    <w:rsid w:val="0DB41DCB"/>
    <w:rsid w:val="0DC03DB4"/>
    <w:rsid w:val="0DE403DD"/>
    <w:rsid w:val="0DF2311C"/>
    <w:rsid w:val="0DF8157F"/>
    <w:rsid w:val="0E0DB508"/>
    <w:rsid w:val="0E165FB8"/>
    <w:rsid w:val="0E1CF513"/>
    <w:rsid w:val="0E386CF0"/>
    <w:rsid w:val="0E39D856"/>
    <w:rsid w:val="0E3CAE4C"/>
    <w:rsid w:val="0E4BDEAB"/>
    <w:rsid w:val="0E549178"/>
    <w:rsid w:val="0E57F055"/>
    <w:rsid w:val="0E6DE90B"/>
    <w:rsid w:val="0E79D2C1"/>
    <w:rsid w:val="0E848BCC"/>
    <w:rsid w:val="0E86D0D8"/>
    <w:rsid w:val="0E89F55B"/>
    <w:rsid w:val="0E918ECB"/>
    <w:rsid w:val="0E96A758"/>
    <w:rsid w:val="0EA9E5F5"/>
    <w:rsid w:val="0EAE3E20"/>
    <w:rsid w:val="0EB36D31"/>
    <w:rsid w:val="0EC84C45"/>
    <w:rsid w:val="0EC9EC63"/>
    <w:rsid w:val="0EDDD328"/>
    <w:rsid w:val="0EE07B76"/>
    <w:rsid w:val="0EE5F918"/>
    <w:rsid w:val="0EEE6946"/>
    <w:rsid w:val="0F07F0D9"/>
    <w:rsid w:val="0F12AFC1"/>
    <w:rsid w:val="0F1A3BE2"/>
    <w:rsid w:val="0F1DF7B6"/>
    <w:rsid w:val="0F2B4AE2"/>
    <w:rsid w:val="0F2E3A05"/>
    <w:rsid w:val="0F433725"/>
    <w:rsid w:val="0F4C0A3B"/>
    <w:rsid w:val="0F5B662F"/>
    <w:rsid w:val="0F600598"/>
    <w:rsid w:val="0F69BDC2"/>
    <w:rsid w:val="0F6BB724"/>
    <w:rsid w:val="0F6F7F8D"/>
    <w:rsid w:val="0F77F884"/>
    <w:rsid w:val="0F868618"/>
    <w:rsid w:val="0F86986A"/>
    <w:rsid w:val="0F8A88C2"/>
    <w:rsid w:val="0F8D714A"/>
    <w:rsid w:val="0FA8C65B"/>
    <w:rsid w:val="0FB04463"/>
    <w:rsid w:val="0FB3BAC4"/>
    <w:rsid w:val="0FB68BFA"/>
    <w:rsid w:val="0FB75F44"/>
    <w:rsid w:val="0FBB679F"/>
    <w:rsid w:val="0FBFAD1C"/>
    <w:rsid w:val="0FC7E5E8"/>
    <w:rsid w:val="0FCB59D5"/>
    <w:rsid w:val="0FEBEDC9"/>
    <w:rsid w:val="0FF25675"/>
    <w:rsid w:val="0FFAFC55"/>
    <w:rsid w:val="1004913D"/>
    <w:rsid w:val="101C9CBE"/>
    <w:rsid w:val="101CE258"/>
    <w:rsid w:val="1023FBC7"/>
    <w:rsid w:val="1048B357"/>
    <w:rsid w:val="1052A9E4"/>
    <w:rsid w:val="105AF012"/>
    <w:rsid w:val="1068D636"/>
    <w:rsid w:val="107AFBFD"/>
    <w:rsid w:val="1086E78D"/>
    <w:rsid w:val="1087B0D5"/>
    <w:rsid w:val="10882A2D"/>
    <w:rsid w:val="10921613"/>
    <w:rsid w:val="10957F61"/>
    <w:rsid w:val="10B0F74F"/>
    <w:rsid w:val="10B30E52"/>
    <w:rsid w:val="10B69B11"/>
    <w:rsid w:val="10C58E60"/>
    <w:rsid w:val="10DEF3E1"/>
    <w:rsid w:val="10E7EEA2"/>
    <w:rsid w:val="10EEC3E7"/>
    <w:rsid w:val="10FE0D3F"/>
    <w:rsid w:val="10FFC9CB"/>
    <w:rsid w:val="1104F7F0"/>
    <w:rsid w:val="111716EF"/>
    <w:rsid w:val="11187985"/>
    <w:rsid w:val="1121E183"/>
    <w:rsid w:val="1128C4DC"/>
    <w:rsid w:val="112941AB"/>
    <w:rsid w:val="112F4518"/>
    <w:rsid w:val="11362D3B"/>
    <w:rsid w:val="113C2B7B"/>
    <w:rsid w:val="113CA21F"/>
    <w:rsid w:val="113EF4AD"/>
    <w:rsid w:val="11453E40"/>
    <w:rsid w:val="114609D0"/>
    <w:rsid w:val="1156CE62"/>
    <w:rsid w:val="1159CF6C"/>
    <w:rsid w:val="116EAB9F"/>
    <w:rsid w:val="116FB8CF"/>
    <w:rsid w:val="11744F08"/>
    <w:rsid w:val="118999CA"/>
    <w:rsid w:val="118F97D1"/>
    <w:rsid w:val="11AC4B04"/>
    <w:rsid w:val="11B341DA"/>
    <w:rsid w:val="11B5DFF6"/>
    <w:rsid w:val="11BC9FB6"/>
    <w:rsid w:val="11BE41A2"/>
    <w:rsid w:val="11C52F32"/>
    <w:rsid w:val="11D6236B"/>
    <w:rsid w:val="11E5CDB9"/>
    <w:rsid w:val="11F09D99"/>
    <w:rsid w:val="11F86452"/>
    <w:rsid w:val="11FB5934"/>
    <w:rsid w:val="11FBFAE7"/>
    <w:rsid w:val="12017321"/>
    <w:rsid w:val="120FDE7A"/>
    <w:rsid w:val="1212213A"/>
    <w:rsid w:val="1224F523"/>
    <w:rsid w:val="1233BEBB"/>
    <w:rsid w:val="123BA175"/>
    <w:rsid w:val="123F9A0A"/>
    <w:rsid w:val="125B8B8C"/>
    <w:rsid w:val="1260C3D5"/>
    <w:rsid w:val="12662E8E"/>
    <w:rsid w:val="126699FA"/>
    <w:rsid w:val="12780A63"/>
    <w:rsid w:val="127BF006"/>
    <w:rsid w:val="127DD26A"/>
    <w:rsid w:val="1292806B"/>
    <w:rsid w:val="12A08C1D"/>
    <w:rsid w:val="12A33ACE"/>
    <w:rsid w:val="12C016F8"/>
    <w:rsid w:val="12C3252F"/>
    <w:rsid w:val="12C43FA6"/>
    <w:rsid w:val="12C71235"/>
    <w:rsid w:val="12CC0F6C"/>
    <w:rsid w:val="12D11CF6"/>
    <w:rsid w:val="12E3CE79"/>
    <w:rsid w:val="12E4FE50"/>
    <w:rsid w:val="12F87713"/>
    <w:rsid w:val="12FB2C0A"/>
    <w:rsid w:val="1302D5D0"/>
    <w:rsid w:val="130A89E7"/>
    <w:rsid w:val="1323E0B3"/>
    <w:rsid w:val="132789B8"/>
    <w:rsid w:val="1340C5D0"/>
    <w:rsid w:val="134A1830"/>
    <w:rsid w:val="13533198"/>
    <w:rsid w:val="137A49BD"/>
    <w:rsid w:val="138D0434"/>
    <w:rsid w:val="138FAE7E"/>
    <w:rsid w:val="13A27BDB"/>
    <w:rsid w:val="13A3168D"/>
    <w:rsid w:val="13C59798"/>
    <w:rsid w:val="13CC7524"/>
    <w:rsid w:val="13CFD035"/>
    <w:rsid w:val="13E0F6F2"/>
    <w:rsid w:val="13E3C985"/>
    <w:rsid w:val="13E72360"/>
    <w:rsid w:val="13E8899D"/>
    <w:rsid w:val="13EA6DD1"/>
    <w:rsid w:val="13ED3186"/>
    <w:rsid w:val="13EF63A8"/>
    <w:rsid w:val="14006431"/>
    <w:rsid w:val="140947F5"/>
    <w:rsid w:val="142137C1"/>
    <w:rsid w:val="1423159F"/>
    <w:rsid w:val="14275F58"/>
    <w:rsid w:val="1447992A"/>
    <w:rsid w:val="144EAEF0"/>
    <w:rsid w:val="14617CF5"/>
    <w:rsid w:val="148B7273"/>
    <w:rsid w:val="148CAC31"/>
    <w:rsid w:val="148E0D16"/>
    <w:rsid w:val="149DD45F"/>
    <w:rsid w:val="14A2C86F"/>
    <w:rsid w:val="14AC641A"/>
    <w:rsid w:val="14AD9822"/>
    <w:rsid w:val="14B8B262"/>
    <w:rsid w:val="14BB9FE4"/>
    <w:rsid w:val="14BEBE74"/>
    <w:rsid w:val="14BF59DB"/>
    <w:rsid w:val="14C217E2"/>
    <w:rsid w:val="14C90B55"/>
    <w:rsid w:val="14D571C8"/>
    <w:rsid w:val="14D9D14B"/>
    <w:rsid w:val="150219A9"/>
    <w:rsid w:val="150603F0"/>
    <w:rsid w:val="1519EAFF"/>
    <w:rsid w:val="151FF375"/>
    <w:rsid w:val="152D1D02"/>
    <w:rsid w:val="1533C7BF"/>
    <w:rsid w:val="153609B0"/>
    <w:rsid w:val="153AE332"/>
    <w:rsid w:val="153C48A7"/>
    <w:rsid w:val="153D67B6"/>
    <w:rsid w:val="153E5999"/>
    <w:rsid w:val="15550B26"/>
    <w:rsid w:val="15593188"/>
    <w:rsid w:val="156A70CE"/>
    <w:rsid w:val="156F8C65"/>
    <w:rsid w:val="157D19F0"/>
    <w:rsid w:val="15841551"/>
    <w:rsid w:val="1587DD44"/>
    <w:rsid w:val="1591ECDE"/>
    <w:rsid w:val="1595D0B3"/>
    <w:rsid w:val="15960655"/>
    <w:rsid w:val="1599F68C"/>
    <w:rsid w:val="159B30DE"/>
    <w:rsid w:val="159F3B9A"/>
    <w:rsid w:val="15AFD695"/>
    <w:rsid w:val="15B19A31"/>
    <w:rsid w:val="15B5A687"/>
    <w:rsid w:val="15B8C7BA"/>
    <w:rsid w:val="15BD6349"/>
    <w:rsid w:val="15C6DA9E"/>
    <w:rsid w:val="15CE6C11"/>
    <w:rsid w:val="15D845BF"/>
    <w:rsid w:val="16042EAA"/>
    <w:rsid w:val="160F46DA"/>
    <w:rsid w:val="16113FCC"/>
    <w:rsid w:val="161AFC1E"/>
    <w:rsid w:val="16263CC7"/>
    <w:rsid w:val="163E792F"/>
    <w:rsid w:val="164C67CB"/>
    <w:rsid w:val="1653141A"/>
    <w:rsid w:val="166FDFB4"/>
    <w:rsid w:val="1670241F"/>
    <w:rsid w:val="1671A8D7"/>
    <w:rsid w:val="1679A612"/>
    <w:rsid w:val="167BCE3F"/>
    <w:rsid w:val="1693ED8E"/>
    <w:rsid w:val="16947371"/>
    <w:rsid w:val="16969B91"/>
    <w:rsid w:val="16980D6C"/>
    <w:rsid w:val="16984082"/>
    <w:rsid w:val="16BE106D"/>
    <w:rsid w:val="16C4FF27"/>
    <w:rsid w:val="16C70EFB"/>
    <w:rsid w:val="16CB1CAB"/>
    <w:rsid w:val="16CBFC42"/>
    <w:rsid w:val="16D0D729"/>
    <w:rsid w:val="16D6CADF"/>
    <w:rsid w:val="16D8C0EE"/>
    <w:rsid w:val="16E02375"/>
    <w:rsid w:val="16F3E97D"/>
    <w:rsid w:val="16FBCEBF"/>
    <w:rsid w:val="16FDC92D"/>
    <w:rsid w:val="1705B924"/>
    <w:rsid w:val="170C861A"/>
    <w:rsid w:val="171B5098"/>
    <w:rsid w:val="171CA2EB"/>
    <w:rsid w:val="172484E1"/>
    <w:rsid w:val="172EDA1A"/>
    <w:rsid w:val="173E19D3"/>
    <w:rsid w:val="17402428"/>
    <w:rsid w:val="17478EC8"/>
    <w:rsid w:val="1747F7E2"/>
    <w:rsid w:val="174CD0D3"/>
    <w:rsid w:val="1756E0F2"/>
    <w:rsid w:val="175DDA10"/>
    <w:rsid w:val="17634EAB"/>
    <w:rsid w:val="177189B1"/>
    <w:rsid w:val="1776F16E"/>
    <w:rsid w:val="177BC512"/>
    <w:rsid w:val="17988E27"/>
    <w:rsid w:val="179C26DB"/>
    <w:rsid w:val="17A08AB8"/>
    <w:rsid w:val="17ABD6CA"/>
    <w:rsid w:val="17B2CD41"/>
    <w:rsid w:val="17BB3A73"/>
    <w:rsid w:val="17BB6E8D"/>
    <w:rsid w:val="17D746F1"/>
    <w:rsid w:val="17DDAA96"/>
    <w:rsid w:val="17ECF62C"/>
    <w:rsid w:val="17F4F687"/>
    <w:rsid w:val="17F5C204"/>
    <w:rsid w:val="180E46E3"/>
    <w:rsid w:val="18109838"/>
    <w:rsid w:val="1816E994"/>
    <w:rsid w:val="18359181"/>
    <w:rsid w:val="1839B8CB"/>
    <w:rsid w:val="1851F0C0"/>
    <w:rsid w:val="1853B6D7"/>
    <w:rsid w:val="1855404F"/>
    <w:rsid w:val="185FDF1D"/>
    <w:rsid w:val="186CC578"/>
    <w:rsid w:val="18728FA1"/>
    <w:rsid w:val="18795E10"/>
    <w:rsid w:val="18865157"/>
    <w:rsid w:val="1899584E"/>
    <w:rsid w:val="18AE1D3E"/>
    <w:rsid w:val="18C07ADA"/>
    <w:rsid w:val="18C6CF38"/>
    <w:rsid w:val="18CC3328"/>
    <w:rsid w:val="18CF0CF8"/>
    <w:rsid w:val="18D48A49"/>
    <w:rsid w:val="18F2F902"/>
    <w:rsid w:val="18F85C5E"/>
    <w:rsid w:val="1902CB0A"/>
    <w:rsid w:val="1917FFA1"/>
    <w:rsid w:val="191C94C2"/>
    <w:rsid w:val="19234989"/>
    <w:rsid w:val="19279F60"/>
    <w:rsid w:val="192E8BA7"/>
    <w:rsid w:val="19429C49"/>
    <w:rsid w:val="195DF2DE"/>
    <w:rsid w:val="1973D659"/>
    <w:rsid w:val="19958403"/>
    <w:rsid w:val="19AC5158"/>
    <w:rsid w:val="19AF28D9"/>
    <w:rsid w:val="19B18959"/>
    <w:rsid w:val="19B26675"/>
    <w:rsid w:val="19B370C9"/>
    <w:rsid w:val="19B5CEEF"/>
    <w:rsid w:val="19B8E5EE"/>
    <w:rsid w:val="19C170CC"/>
    <w:rsid w:val="19C94142"/>
    <w:rsid w:val="19D0E9A3"/>
    <w:rsid w:val="19D4224C"/>
    <w:rsid w:val="19D620D7"/>
    <w:rsid w:val="19DC18E6"/>
    <w:rsid w:val="19DD731D"/>
    <w:rsid w:val="19E0E6E8"/>
    <w:rsid w:val="19E10C7A"/>
    <w:rsid w:val="1A056105"/>
    <w:rsid w:val="1A0CADAF"/>
    <w:rsid w:val="1A100E04"/>
    <w:rsid w:val="1A1A8ECB"/>
    <w:rsid w:val="1A26E2AD"/>
    <w:rsid w:val="1A2DED94"/>
    <w:rsid w:val="1A44DFE9"/>
    <w:rsid w:val="1A56C055"/>
    <w:rsid w:val="1A5AFF84"/>
    <w:rsid w:val="1A648C60"/>
    <w:rsid w:val="1A66B845"/>
    <w:rsid w:val="1A6E444E"/>
    <w:rsid w:val="1A6F9F15"/>
    <w:rsid w:val="1A78D98B"/>
    <w:rsid w:val="1A914DE3"/>
    <w:rsid w:val="1A977D40"/>
    <w:rsid w:val="1A9FFB73"/>
    <w:rsid w:val="1AA36299"/>
    <w:rsid w:val="1AA6FDF6"/>
    <w:rsid w:val="1AAE2436"/>
    <w:rsid w:val="1AB906AF"/>
    <w:rsid w:val="1ABD0518"/>
    <w:rsid w:val="1AC817E7"/>
    <w:rsid w:val="1AD0B4C9"/>
    <w:rsid w:val="1AD21C58"/>
    <w:rsid w:val="1AF1F5B7"/>
    <w:rsid w:val="1AF51E2A"/>
    <w:rsid w:val="1B001F31"/>
    <w:rsid w:val="1B0066C8"/>
    <w:rsid w:val="1B0E5D07"/>
    <w:rsid w:val="1B1391C8"/>
    <w:rsid w:val="1B280E5C"/>
    <w:rsid w:val="1B2FEBDD"/>
    <w:rsid w:val="1B30093E"/>
    <w:rsid w:val="1B37BA47"/>
    <w:rsid w:val="1B5755BA"/>
    <w:rsid w:val="1B6B2532"/>
    <w:rsid w:val="1B6ECE97"/>
    <w:rsid w:val="1B71E9B4"/>
    <w:rsid w:val="1B7D113C"/>
    <w:rsid w:val="1B833511"/>
    <w:rsid w:val="1B9A0234"/>
    <w:rsid w:val="1B9E9774"/>
    <w:rsid w:val="1BA0A2A9"/>
    <w:rsid w:val="1BB62F56"/>
    <w:rsid w:val="1BBEC592"/>
    <w:rsid w:val="1BC4CB7A"/>
    <w:rsid w:val="1BC7D11C"/>
    <w:rsid w:val="1BD29B55"/>
    <w:rsid w:val="1BDE15F4"/>
    <w:rsid w:val="1BE8BCC5"/>
    <w:rsid w:val="1BF423C6"/>
    <w:rsid w:val="1BFA454B"/>
    <w:rsid w:val="1C0015FA"/>
    <w:rsid w:val="1C00CA50"/>
    <w:rsid w:val="1C11EAEE"/>
    <w:rsid w:val="1C131736"/>
    <w:rsid w:val="1C2866B7"/>
    <w:rsid w:val="1C334DA1"/>
    <w:rsid w:val="1C454C7D"/>
    <w:rsid w:val="1C49A4B0"/>
    <w:rsid w:val="1C549FAF"/>
    <w:rsid w:val="1C5AB95C"/>
    <w:rsid w:val="1C5D15E9"/>
    <w:rsid w:val="1C7263B0"/>
    <w:rsid w:val="1C7C24B6"/>
    <w:rsid w:val="1C8329B1"/>
    <w:rsid w:val="1C871D54"/>
    <w:rsid w:val="1C9491F8"/>
    <w:rsid w:val="1CA1BD90"/>
    <w:rsid w:val="1CA42494"/>
    <w:rsid w:val="1CAA9FCF"/>
    <w:rsid w:val="1CC9A941"/>
    <w:rsid w:val="1CCE6527"/>
    <w:rsid w:val="1CDD07A9"/>
    <w:rsid w:val="1CDE4ACA"/>
    <w:rsid w:val="1CDFB89A"/>
    <w:rsid w:val="1CE0A286"/>
    <w:rsid w:val="1CEE2A7C"/>
    <w:rsid w:val="1CF8AEC9"/>
    <w:rsid w:val="1CFA9B88"/>
    <w:rsid w:val="1CFB72FA"/>
    <w:rsid w:val="1D05DD15"/>
    <w:rsid w:val="1D0CF5F2"/>
    <w:rsid w:val="1D130F5C"/>
    <w:rsid w:val="1D1A2323"/>
    <w:rsid w:val="1D1BA0DD"/>
    <w:rsid w:val="1D2543D4"/>
    <w:rsid w:val="1D266935"/>
    <w:rsid w:val="1D34D6BA"/>
    <w:rsid w:val="1D34D8D3"/>
    <w:rsid w:val="1D37872F"/>
    <w:rsid w:val="1D3B3DC6"/>
    <w:rsid w:val="1D3C0097"/>
    <w:rsid w:val="1D53C6C5"/>
    <w:rsid w:val="1D643E67"/>
    <w:rsid w:val="1D72F32B"/>
    <w:rsid w:val="1D74378F"/>
    <w:rsid w:val="1D75DAA7"/>
    <w:rsid w:val="1D7B69F3"/>
    <w:rsid w:val="1D86BB40"/>
    <w:rsid w:val="1D988908"/>
    <w:rsid w:val="1DA185C6"/>
    <w:rsid w:val="1DAE294A"/>
    <w:rsid w:val="1DB02E9B"/>
    <w:rsid w:val="1DB5FAEF"/>
    <w:rsid w:val="1DC87ED5"/>
    <w:rsid w:val="1DDA3054"/>
    <w:rsid w:val="1DDB7BE6"/>
    <w:rsid w:val="1DFEE2E0"/>
    <w:rsid w:val="1E071C81"/>
    <w:rsid w:val="1E1ED038"/>
    <w:rsid w:val="1E216FD6"/>
    <w:rsid w:val="1E340D1E"/>
    <w:rsid w:val="1E48E455"/>
    <w:rsid w:val="1E49BB73"/>
    <w:rsid w:val="1E505C2D"/>
    <w:rsid w:val="1E514BC2"/>
    <w:rsid w:val="1E52ACCC"/>
    <w:rsid w:val="1E5F6142"/>
    <w:rsid w:val="1E6D9E29"/>
    <w:rsid w:val="1E795D25"/>
    <w:rsid w:val="1E7EE9FF"/>
    <w:rsid w:val="1E96FE61"/>
    <w:rsid w:val="1EC6E945"/>
    <w:rsid w:val="1EEC64AB"/>
    <w:rsid w:val="1EF00E5E"/>
    <w:rsid w:val="1EF628C1"/>
    <w:rsid w:val="1F05CBA4"/>
    <w:rsid w:val="1F175CC7"/>
    <w:rsid w:val="1F2743C2"/>
    <w:rsid w:val="1F29BC7D"/>
    <w:rsid w:val="1F2F664D"/>
    <w:rsid w:val="1F3BFFC8"/>
    <w:rsid w:val="1F4457FC"/>
    <w:rsid w:val="1F52DEA5"/>
    <w:rsid w:val="1F594064"/>
    <w:rsid w:val="1F5A6497"/>
    <w:rsid w:val="1F5AB0EC"/>
    <w:rsid w:val="1F5D412D"/>
    <w:rsid w:val="1F635732"/>
    <w:rsid w:val="1F84464B"/>
    <w:rsid w:val="1F876FCF"/>
    <w:rsid w:val="1F9A6596"/>
    <w:rsid w:val="1FA62374"/>
    <w:rsid w:val="1FA9D4EE"/>
    <w:rsid w:val="1FA9EFDA"/>
    <w:rsid w:val="1FB36479"/>
    <w:rsid w:val="1FB5098A"/>
    <w:rsid w:val="1FD7C754"/>
    <w:rsid w:val="1FEF4176"/>
    <w:rsid w:val="1FF4E56D"/>
    <w:rsid w:val="1FFBE599"/>
    <w:rsid w:val="200E361C"/>
    <w:rsid w:val="200EBFE7"/>
    <w:rsid w:val="201CC75F"/>
    <w:rsid w:val="201D9002"/>
    <w:rsid w:val="201F4D12"/>
    <w:rsid w:val="20240C16"/>
    <w:rsid w:val="203DDF06"/>
    <w:rsid w:val="20437366"/>
    <w:rsid w:val="2043E035"/>
    <w:rsid w:val="20488046"/>
    <w:rsid w:val="204CF8B7"/>
    <w:rsid w:val="2074BDC0"/>
    <w:rsid w:val="20A19C05"/>
    <w:rsid w:val="20AD7D9C"/>
    <w:rsid w:val="20B197F1"/>
    <w:rsid w:val="20BD56B9"/>
    <w:rsid w:val="20BF9042"/>
    <w:rsid w:val="20C15648"/>
    <w:rsid w:val="20CB060B"/>
    <w:rsid w:val="20CE47F6"/>
    <w:rsid w:val="20D023DD"/>
    <w:rsid w:val="20D4BE8B"/>
    <w:rsid w:val="20E07DE4"/>
    <w:rsid w:val="20EF2365"/>
    <w:rsid w:val="20FAC70F"/>
    <w:rsid w:val="20FB0C49"/>
    <w:rsid w:val="21017CED"/>
    <w:rsid w:val="210EF1A1"/>
    <w:rsid w:val="211A32AC"/>
    <w:rsid w:val="2138542C"/>
    <w:rsid w:val="213BD5A4"/>
    <w:rsid w:val="213C0DC3"/>
    <w:rsid w:val="2144F669"/>
    <w:rsid w:val="21454DEC"/>
    <w:rsid w:val="214589A1"/>
    <w:rsid w:val="214FC9B3"/>
    <w:rsid w:val="215BAE93"/>
    <w:rsid w:val="217118AD"/>
    <w:rsid w:val="218CB914"/>
    <w:rsid w:val="2190AB28"/>
    <w:rsid w:val="21A7A4F2"/>
    <w:rsid w:val="21AAC1CC"/>
    <w:rsid w:val="21CD81A6"/>
    <w:rsid w:val="21CE9F23"/>
    <w:rsid w:val="21D7B0AF"/>
    <w:rsid w:val="21D7F65B"/>
    <w:rsid w:val="21F37B86"/>
    <w:rsid w:val="21F41308"/>
    <w:rsid w:val="2201EF51"/>
    <w:rsid w:val="22074452"/>
    <w:rsid w:val="22097F76"/>
    <w:rsid w:val="220EAEE9"/>
    <w:rsid w:val="22189F22"/>
    <w:rsid w:val="2218A6D2"/>
    <w:rsid w:val="2220AC9A"/>
    <w:rsid w:val="22286603"/>
    <w:rsid w:val="2234BD72"/>
    <w:rsid w:val="22532784"/>
    <w:rsid w:val="225D711C"/>
    <w:rsid w:val="22657177"/>
    <w:rsid w:val="226DD71C"/>
    <w:rsid w:val="22706AA8"/>
    <w:rsid w:val="227E4CF4"/>
    <w:rsid w:val="2286333C"/>
    <w:rsid w:val="22901857"/>
    <w:rsid w:val="22912F60"/>
    <w:rsid w:val="22AB2905"/>
    <w:rsid w:val="22C67F87"/>
    <w:rsid w:val="22CA3599"/>
    <w:rsid w:val="22CC0F57"/>
    <w:rsid w:val="22D5C504"/>
    <w:rsid w:val="22DD732D"/>
    <w:rsid w:val="22E058C1"/>
    <w:rsid w:val="22E0DA62"/>
    <w:rsid w:val="22E7E876"/>
    <w:rsid w:val="22EB7008"/>
    <w:rsid w:val="22EF5A34"/>
    <w:rsid w:val="22F6D9D0"/>
    <w:rsid w:val="22F7A58D"/>
    <w:rsid w:val="22FE67CD"/>
    <w:rsid w:val="230870A1"/>
    <w:rsid w:val="230F38A9"/>
    <w:rsid w:val="2310BA00"/>
    <w:rsid w:val="23163DF0"/>
    <w:rsid w:val="231BE86D"/>
    <w:rsid w:val="231FD363"/>
    <w:rsid w:val="2330E94C"/>
    <w:rsid w:val="233E7916"/>
    <w:rsid w:val="23446555"/>
    <w:rsid w:val="234F91F9"/>
    <w:rsid w:val="2351D178"/>
    <w:rsid w:val="2359C93C"/>
    <w:rsid w:val="235C83F3"/>
    <w:rsid w:val="2374A544"/>
    <w:rsid w:val="2376CDCA"/>
    <w:rsid w:val="23775441"/>
    <w:rsid w:val="238680A7"/>
    <w:rsid w:val="238FBF39"/>
    <w:rsid w:val="2397D9D7"/>
    <w:rsid w:val="239BB25D"/>
    <w:rsid w:val="239F1341"/>
    <w:rsid w:val="23A13294"/>
    <w:rsid w:val="23A7D1F2"/>
    <w:rsid w:val="23AA7F4A"/>
    <w:rsid w:val="23B558E9"/>
    <w:rsid w:val="23B78FB1"/>
    <w:rsid w:val="23C27C92"/>
    <w:rsid w:val="23CBADB1"/>
    <w:rsid w:val="23D2D27F"/>
    <w:rsid w:val="23EB1FC0"/>
    <w:rsid w:val="23F4283C"/>
    <w:rsid w:val="23FBD021"/>
    <w:rsid w:val="240BA74B"/>
    <w:rsid w:val="24187574"/>
    <w:rsid w:val="241F6AB6"/>
    <w:rsid w:val="24285010"/>
    <w:rsid w:val="2452076F"/>
    <w:rsid w:val="24608DB5"/>
    <w:rsid w:val="246D7059"/>
    <w:rsid w:val="24702256"/>
    <w:rsid w:val="24703440"/>
    <w:rsid w:val="2488CA8E"/>
    <w:rsid w:val="248E3C61"/>
    <w:rsid w:val="249BFED0"/>
    <w:rsid w:val="24A0917A"/>
    <w:rsid w:val="24B35F4B"/>
    <w:rsid w:val="24D118AA"/>
    <w:rsid w:val="24D8E7E9"/>
    <w:rsid w:val="24DE303B"/>
    <w:rsid w:val="24E2D636"/>
    <w:rsid w:val="25040A30"/>
    <w:rsid w:val="2505C2E5"/>
    <w:rsid w:val="25168C80"/>
    <w:rsid w:val="2521AF4C"/>
    <w:rsid w:val="253775BA"/>
    <w:rsid w:val="254DB98B"/>
    <w:rsid w:val="25568E06"/>
    <w:rsid w:val="2566993A"/>
    <w:rsid w:val="256EDE15"/>
    <w:rsid w:val="2571E912"/>
    <w:rsid w:val="25752844"/>
    <w:rsid w:val="2578374C"/>
    <w:rsid w:val="2578E38D"/>
    <w:rsid w:val="2586AEB2"/>
    <w:rsid w:val="258CADC9"/>
    <w:rsid w:val="25A19F79"/>
    <w:rsid w:val="25A2A8AE"/>
    <w:rsid w:val="25A3B2FA"/>
    <w:rsid w:val="25A4CFA9"/>
    <w:rsid w:val="25A6EB18"/>
    <w:rsid w:val="25A99ED7"/>
    <w:rsid w:val="25AEC8E4"/>
    <w:rsid w:val="25B4DFF9"/>
    <w:rsid w:val="25BEFFF8"/>
    <w:rsid w:val="25C075DC"/>
    <w:rsid w:val="25E4F508"/>
    <w:rsid w:val="25F27C15"/>
    <w:rsid w:val="25FC2999"/>
    <w:rsid w:val="25FF553D"/>
    <w:rsid w:val="260E98D5"/>
    <w:rsid w:val="260FD6C0"/>
    <w:rsid w:val="26178CC6"/>
    <w:rsid w:val="2619B683"/>
    <w:rsid w:val="2628A376"/>
    <w:rsid w:val="26314ED4"/>
    <w:rsid w:val="263D763A"/>
    <w:rsid w:val="263E6F8B"/>
    <w:rsid w:val="2641929E"/>
    <w:rsid w:val="264F43BA"/>
    <w:rsid w:val="264F8418"/>
    <w:rsid w:val="264FA9F1"/>
    <w:rsid w:val="26646624"/>
    <w:rsid w:val="2682495E"/>
    <w:rsid w:val="26874736"/>
    <w:rsid w:val="268BFA46"/>
    <w:rsid w:val="268CA696"/>
    <w:rsid w:val="269D582A"/>
    <w:rsid w:val="26A2E184"/>
    <w:rsid w:val="26A3700E"/>
    <w:rsid w:val="26B38542"/>
    <w:rsid w:val="26B39876"/>
    <w:rsid w:val="26C2FC48"/>
    <w:rsid w:val="26C83D97"/>
    <w:rsid w:val="26C93B0D"/>
    <w:rsid w:val="26D94F4D"/>
    <w:rsid w:val="26E75F69"/>
    <w:rsid w:val="26FFE1B0"/>
    <w:rsid w:val="271E0346"/>
    <w:rsid w:val="27225876"/>
    <w:rsid w:val="272C97FC"/>
    <w:rsid w:val="273966FD"/>
    <w:rsid w:val="27421EF8"/>
    <w:rsid w:val="274920FE"/>
    <w:rsid w:val="2755D4BA"/>
    <w:rsid w:val="27627156"/>
    <w:rsid w:val="276A1255"/>
    <w:rsid w:val="277B2BFB"/>
    <w:rsid w:val="277E45A4"/>
    <w:rsid w:val="27829C93"/>
    <w:rsid w:val="2788E6AE"/>
    <w:rsid w:val="279D6C22"/>
    <w:rsid w:val="27A2AAC1"/>
    <w:rsid w:val="27A2C28E"/>
    <w:rsid w:val="27A5A6F6"/>
    <w:rsid w:val="27AB90DB"/>
    <w:rsid w:val="27B5824B"/>
    <w:rsid w:val="27B890F4"/>
    <w:rsid w:val="27D265DE"/>
    <w:rsid w:val="27D68FA4"/>
    <w:rsid w:val="27E27D46"/>
    <w:rsid w:val="27EE3011"/>
    <w:rsid w:val="27F05913"/>
    <w:rsid w:val="27F3212E"/>
    <w:rsid w:val="27F6A229"/>
    <w:rsid w:val="27F7A6C3"/>
    <w:rsid w:val="27FA4F17"/>
    <w:rsid w:val="27FB98D0"/>
    <w:rsid w:val="2802F5B4"/>
    <w:rsid w:val="280EA2A8"/>
    <w:rsid w:val="281FB338"/>
    <w:rsid w:val="2824AEA6"/>
    <w:rsid w:val="2834B32E"/>
    <w:rsid w:val="2836A0BB"/>
    <w:rsid w:val="2837961E"/>
    <w:rsid w:val="283AFB52"/>
    <w:rsid w:val="283D2BA5"/>
    <w:rsid w:val="2851D183"/>
    <w:rsid w:val="285B8BCF"/>
    <w:rsid w:val="2863E529"/>
    <w:rsid w:val="28715F50"/>
    <w:rsid w:val="287806B8"/>
    <w:rsid w:val="287DD118"/>
    <w:rsid w:val="28872115"/>
    <w:rsid w:val="288D866F"/>
    <w:rsid w:val="288E875C"/>
    <w:rsid w:val="288FF8D2"/>
    <w:rsid w:val="289DD76E"/>
    <w:rsid w:val="289E0295"/>
    <w:rsid w:val="28B16E87"/>
    <w:rsid w:val="28B979BD"/>
    <w:rsid w:val="28CA9AC1"/>
    <w:rsid w:val="28D423B9"/>
    <w:rsid w:val="28E2571D"/>
    <w:rsid w:val="28E90C37"/>
    <w:rsid w:val="29100433"/>
    <w:rsid w:val="29141BA8"/>
    <w:rsid w:val="2920BA04"/>
    <w:rsid w:val="29227CD1"/>
    <w:rsid w:val="292313A0"/>
    <w:rsid w:val="29239685"/>
    <w:rsid w:val="2937AB35"/>
    <w:rsid w:val="29395CD6"/>
    <w:rsid w:val="2949AE13"/>
    <w:rsid w:val="294A4010"/>
    <w:rsid w:val="29629C7E"/>
    <w:rsid w:val="29691CE5"/>
    <w:rsid w:val="296D86A5"/>
    <w:rsid w:val="29720451"/>
    <w:rsid w:val="2984CC86"/>
    <w:rsid w:val="298EBA83"/>
    <w:rsid w:val="29A3FB2A"/>
    <w:rsid w:val="29A43B4A"/>
    <w:rsid w:val="29AEA189"/>
    <w:rsid w:val="29D86EF7"/>
    <w:rsid w:val="29E769DB"/>
    <w:rsid w:val="29E792DB"/>
    <w:rsid w:val="29F67C0E"/>
    <w:rsid w:val="29FACE9C"/>
    <w:rsid w:val="29FDFA0A"/>
    <w:rsid w:val="2A083293"/>
    <w:rsid w:val="2A0E1031"/>
    <w:rsid w:val="2A233092"/>
    <w:rsid w:val="2A274899"/>
    <w:rsid w:val="2A2EFA20"/>
    <w:rsid w:val="2A31D07C"/>
    <w:rsid w:val="2A421100"/>
    <w:rsid w:val="2A446DE1"/>
    <w:rsid w:val="2A470109"/>
    <w:rsid w:val="2A861C19"/>
    <w:rsid w:val="2AA7C9ED"/>
    <w:rsid w:val="2AA88F07"/>
    <w:rsid w:val="2AC94D6F"/>
    <w:rsid w:val="2ACC608F"/>
    <w:rsid w:val="2AD05ABD"/>
    <w:rsid w:val="2AD44E77"/>
    <w:rsid w:val="2AD4D900"/>
    <w:rsid w:val="2ADC6756"/>
    <w:rsid w:val="2AE9F139"/>
    <w:rsid w:val="2AEE2DA9"/>
    <w:rsid w:val="2B04928A"/>
    <w:rsid w:val="2B0A216E"/>
    <w:rsid w:val="2B31681F"/>
    <w:rsid w:val="2B3278B9"/>
    <w:rsid w:val="2B369111"/>
    <w:rsid w:val="2B39EF81"/>
    <w:rsid w:val="2B3F9E6B"/>
    <w:rsid w:val="2B42DA72"/>
    <w:rsid w:val="2B434EA2"/>
    <w:rsid w:val="2B5A4CAD"/>
    <w:rsid w:val="2B600A92"/>
    <w:rsid w:val="2B6320AA"/>
    <w:rsid w:val="2B677A2B"/>
    <w:rsid w:val="2B6F2B00"/>
    <w:rsid w:val="2B76944A"/>
    <w:rsid w:val="2B932C91"/>
    <w:rsid w:val="2B99C2BC"/>
    <w:rsid w:val="2B99F337"/>
    <w:rsid w:val="2B9BEDB8"/>
    <w:rsid w:val="2B9C338A"/>
    <w:rsid w:val="2BC4A574"/>
    <w:rsid w:val="2BC93DC4"/>
    <w:rsid w:val="2BCC06D7"/>
    <w:rsid w:val="2BD13BC0"/>
    <w:rsid w:val="2BD19F15"/>
    <w:rsid w:val="2BD6978A"/>
    <w:rsid w:val="2BD93D97"/>
    <w:rsid w:val="2BD94F17"/>
    <w:rsid w:val="2BD9CF77"/>
    <w:rsid w:val="2BDFABE1"/>
    <w:rsid w:val="2BF3B8E8"/>
    <w:rsid w:val="2BF5775B"/>
    <w:rsid w:val="2BFA58F3"/>
    <w:rsid w:val="2BFC1815"/>
    <w:rsid w:val="2BFFA182"/>
    <w:rsid w:val="2C0AE31D"/>
    <w:rsid w:val="2C0C6509"/>
    <w:rsid w:val="2C29494A"/>
    <w:rsid w:val="2C2A0ABB"/>
    <w:rsid w:val="2C326F47"/>
    <w:rsid w:val="2C342453"/>
    <w:rsid w:val="2C3C49C8"/>
    <w:rsid w:val="2C445363"/>
    <w:rsid w:val="2C4552D0"/>
    <w:rsid w:val="2C4F140F"/>
    <w:rsid w:val="2C4FE9A8"/>
    <w:rsid w:val="2C507524"/>
    <w:rsid w:val="2C647AE1"/>
    <w:rsid w:val="2C66152E"/>
    <w:rsid w:val="2C67A459"/>
    <w:rsid w:val="2C6AB037"/>
    <w:rsid w:val="2C6C13F4"/>
    <w:rsid w:val="2C6E6F04"/>
    <w:rsid w:val="2CA47090"/>
    <w:rsid w:val="2CA490CA"/>
    <w:rsid w:val="2CA61A59"/>
    <w:rsid w:val="2CAD4B75"/>
    <w:rsid w:val="2CB6A7C0"/>
    <w:rsid w:val="2CC8B675"/>
    <w:rsid w:val="2CCDD343"/>
    <w:rsid w:val="2CD59FEC"/>
    <w:rsid w:val="2CD818AF"/>
    <w:rsid w:val="2CDA0F84"/>
    <w:rsid w:val="2CE80BE6"/>
    <w:rsid w:val="2CEACA77"/>
    <w:rsid w:val="2CEC4D7A"/>
    <w:rsid w:val="2CFF48A3"/>
    <w:rsid w:val="2D0FB570"/>
    <w:rsid w:val="2D1C6972"/>
    <w:rsid w:val="2D1F9D68"/>
    <w:rsid w:val="2D224F69"/>
    <w:rsid w:val="2D328877"/>
    <w:rsid w:val="2D4866B9"/>
    <w:rsid w:val="2D56707F"/>
    <w:rsid w:val="2D5CD35F"/>
    <w:rsid w:val="2D6E5AA1"/>
    <w:rsid w:val="2D787989"/>
    <w:rsid w:val="2D7C0132"/>
    <w:rsid w:val="2D8637CD"/>
    <w:rsid w:val="2DA47569"/>
    <w:rsid w:val="2DAB85A3"/>
    <w:rsid w:val="2DAEBC52"/>
    <w:rsid w:val="2DC01AFE"/>
    <w:rsid w:val="2DC0414A"/>
    <w:rsid w:val="2DC702B3"/>
    <w:rsid w:val="2DDE839C"/>
    <w:rsid w:val="2DF3A9FF"/>
    <w:rsid w:val="2DF64F27"/>
    <w:rsid w:val="2E056BF5"/>
    <w:rsid w:val="2E0626DE"/>
    <w:rsid w:val="2E06C353"/>
    <w:rsid w:val="2E28DA33"/>
    <w:rsid w:val="2E3406A8"/>
    <w:rsid w:val="2E3868EA"/>
    <w:rsid w:val="2E3885D1"/>
    <w:rsid w:val="2E3B3F64"/>
    <w:rsid w:val="2E40ABD2"/>
    <w:rsid w:val="2E50E0AC"/>
    <w:rsid w:val="2E597188"/>
    <w:rsid w:val="2E618EA1"/>
    <w:rsid w:val="2E90C3FC"/>
    <w:rsid w:val="2E92B4FB"/>
    <w:rsid w:val="2E932B80"/>
    <w:rsid w:val="2E9BF4F8"/>
    <w:rsid w:val="2EC13461"/>
    <w:rsid w:val="2EC2AB74"/>
    <w:rsid w:val="2EE5BE4E"/>
    <w:rsid w:val="2EEA349F"/>
    <w:rsid w:val="2EEC8083"/>
    <w:rsid w:val="2F00CE08"/>
    <w:rsid w:val="2F035129"/>
    <w:rsid w:val="2F05A025"/>
    <w:rsid w:val="2F20AD4F"/>
    <w:rsid w:val="2F23A5C1"/>
    <w:rsid w:val="2F3B0A86"/>
    <w:rsid w:val="2F3ECE02"/>
    <w:rsid w:val="2F52C2D3"/>
    <w:rsid w:val="2F53F4B1"/>
    <w:rsid w:val="2F5C3B0B"/>
    <w:rsid w:val="2F5E7423"/>
    <w:rsid w:val="2F61B0B6"/>
    <w:rsid w:val="2F73A00A"/>
    <w:rsid w:val="2F76819A"/>
    <w:rsid w:val="2F79C774"/>
    <w:rsid w:val="2F7BAEDB"/>
    <w:rsid w:val="2F7E0921"/>
    <w:rsid w:val="2FA73F0D"/>
    <w:rsid w:val="2FA73FCC"/>
    <w:rsid w:val="2FA7B6EA"/>
    <w:rsid w:val="2FA98DF0"/>
    <w:rsid w:val="2FB8AB56"/>
    <w:rsid w:val="2FBA4424"/>
    <w:rsid w:val="2FDAE39B"/>
    <w:rsid w:val="2FE1045C"/>
    <w:rsid w:val="2FE2F867"/>
    <w:rsid w:val="2FE8887B"/>
    <w:rsid w:val="2FEA1B3D"/>
    <w:rsid w:val="2FF41AE4"/>
    <w:rsid w:val="2FF96F96"/>
    <w:rsid w:val="3005044C"/>
    <w:rsid w:val="300EFAF2"/>
    <w:rsid w:val="30275C80"/>
    <w:rsid w:val="3034BE45"/>
    <w:rsid w:val="303B69CB"/>
    <w:rsid w:val="303FACCB"/>
    <w:rsid w:val="3044BA63"/>
    <w:rsid w:val="304B9237"/>
    <w:rsid w:val="304EA9CD"/>
    <w:rsid w:val="30517619"/>
    <w:rsid w:val="30522D24"/>
    <w:rsid w:val="305EA02A"/>
    <w:rsid w:val="306C0709"/>
    <w:rsid w:val="3072DF34"/>
    <w:rsid w:val="307E825D"/>
    <w:rsid w:val="30813C48"/>
    <w:rsid w:val="3084B70C"/>
    <w:rsid w:val="3084E3DE"/>
    <w:rsid w:val="3089E6EE"/>
    <w:rsid w:val="3090C3AC"/>
    <w:rsid w:val="309B267C"/>
    <w:rsid w:val="309C5D31"/>
    <w:rsid w:val="30A4CC0A"/>
    <w:rsid w:val="30A52793"/>
    <w:rsid w:val="30AC6B8B"/>
    <w:rsid w:val="30AFA96A"/>
    <w:rsid w:val="30B14FEB"/>
    <w:rsid w:val="30B41C7B"/>
    <w:rsid w:val="30B52868"/>
    <w:rsid w:val="30B84DE7"/>
    <w:rsid w:val="30C2DDD5"/>
    <w:rsid w:val="30C345DA"/>
    <w:rsid w:val="30C9C4EF"/>
    <w:rsid w:val="30CB5D9F"/>
    <w:rsid w:val="30DF8599"/>
    <w:rsid w:val="30E0ABAF"/>
    <w:rsid w:val="30F82A32"/>
    <w:rsid w:val="30FBD08A"/>
    <w:rsid w:val="30FF8D34"/>
    <w:rsid w:val="310F2921"/>
    <w:rsid w:val="3112E545"/>
    <w:rsid w:val="3119D6B3"/>
    <w:rsid w:val="31267390"/>
    <w:rsid w:val="312B4021"/>
    <w:rsid w:val="31302686"/>
    <w:rsid w:val="3138908A"/>
    <w:rsid w:val="313A9FC0"/>
    <w:rsid w:val="31523791"/>
    <w:rsid w:val="3152D139"/>
    <w:rsid w:val="3155AE39"/>
    <w:rsid w:val="3156FAFB"/>
    <w:rsid w:val="315DC0E0"/>
    <w:rsid w:val="31675921"/>
    <w:rsid w:val="3168779A"/>
    <w:rsid w:val="3176FD29"/>
    <w:rsid w:val="317C8223"/>
    <w:rsid w:val="31848390"/>
    <w:rsid w:val="319302C8"/>
    <w:rsid w:val="319BEF03"/>
    <w:rsid w:val="319F3E71"/>
    <w:rsid w:val="31AC6848"/>
    <w:rsid w:val="31D0321F"/>
    <w:rsid w:val="31E00FF8"/>
    <w:rsid w:val="31ECDF6E"/>
    <w:rsid w:val="31F25DB3"/>
    <w:rsid w:val="31F87E33"/>
    <w:rsid w:val="31FB9AEA"/>
    <w:rsid w:val="320C36D3"/>
    <w:rsid w:val="320C9E7B"/>
    <w:rsid w:val="321B062B"/>
    <w:rsid w:val="322084E0"/>
    <w:rsid w:val="3220D9F0"/>
    <w:rsid w:val="322EF318"/>
    <w:rsid w:val="324D721D"/>
    <w:rsid w:val="32544D74"/>
    <w:rsid w:val="3254AFA0"/>
    <w:rsid w:val="325BA58C"/>
    <w:rsid w:val="325F1984"/>
    <w:rsid w:val="32610790"/>
    <w:rsid w:val="3268031B"/>
    <w:rsid w:val="3272BC99"/>
    <w:rsid w:val="327B316E"/>
    <w:rsid w:val="32947946"/>
    <w:rsid w:val="32A184FD"/>
    <w:rsid w:val="32B3E294"/>
    <w:rsid w:val="32BAFA86"/>
    <w:rsid w:val="32C6ECD4"/>
    <w:rsid w:val="32D29283"/>
    <w:rsid w:val="32DF0D45"/>
    <w:rsid w:val="32E35AA1"/>
    <w:rsid w:val="32E9A5C5"/>
    <w:rsid w:val="330B1A68"/>
    <w:rsid w:val="331C0106"/>
    <w:rsid w:val="331E8D15"/>
    <w:rsid w:val="333434EA"/>
    <w:rsid w:val="3335CE63"/>
    <w:rsid w:val="333EB461"/>
    <w:rsid w:val="33406866"/>
    <w:rsid w:val="3347F15B"/>
    <w:rsid w:val="3358AADA"/>
    <w:rsid w:val="335C67AE"/>
    <w:rsid w:val="33601220"/>
    <w:rsid w:val="3365DF07"/>
    <w:rsid w:val="33686C30"/>
    <w:rsid w:val="3384BEEB"/>
    <w:rsid w:val="33943AA9"/>
    <w:rsid w:val="339AB305"/>
    <w:rsid w:val="339F22AB"/>
    <w:rsid w:val="33BF8AC2"/>
    <w:rsid w:val="33C5D759"/>
    <w:rsid w:val="33CC220E"/>
    <w:rsid w:val="33E3D775"/>
    <w:rsid w:val="33F86EC2"/>
    <w:rsid w:val="33FFFC53"/>
    <w:rsid w:val="3404C8DA"/>
    <w:rsid w:val="34068216"/>
    <w:rsid w:val="34088D29"/>
    <w:rsid w:val="3429F185"/>
    <w:rsid w:val="342E8C02"/>
    <w:rsid w:val="3436F842"/>
    <w:rsid w:val="34375131"/>
    <w:rsid w:val="34398C55"/>
    <w:rsid w:val="3443292B"/>
    <w:rsid w:val="344646BD"/>
    <w:rsid w:val="344ABB37"/>
    <w:rsid w:val="344DAE9F"/>
    <w:rsid w:val="34506C15"/>
    <w:rsid w:val="3452BBD6"/>
    <w:rsid w:val="345969AC"/>
    <w:rsid w:val="345AFBD6"/>
    <w:rsid w:val="346C1470"/>
    <w:rsid w:val="34798EB4"/>
    <w:rsid w:val="347C8025"/>
    <w:rsid w:val="347D1816"/>
    <w:rsid w:val="347FDA34"/>
    <w:rsid w:val="349728E5"/>
    <w:rsid w:val="34A0DBC2"/>
    <w:rsid w:val="34A285BE"/>
    <w:rsid w:val="34A4D354"/>
    <w:rsid w:val="34ADED7D"/>
    <w:rsid w:val="34B12A74"/>
    <w:rsid w:val="34B160A5"/>
    <w:rsid w:val="34B5C536"/>
    <w:rsid w:val="34B8DF51"/>
    <w:rsid w:val="34BD62BD"/>
    <w:rsid w:val="34C1C1A7"/>
    <w:rsid w:val="34E0211A"/>
    <w:rsid w:val="34E0A6AB"/>
    <w:rsid w:val="34E19349"/>
    <w:rsid w:val="34FBF517"/>
    <w:rsid w:val="3500FDEC"/>
    <w:rsid w:val="350DC593"/>
    <w:rsid w:val="351D6CDD"/>
    <w:rsid w:val="35245135"/>
    <w:rsid w:val="3527B113"/>
    <w:rsid w:val="353EAE61"/>
    <w:rsid w:val="353EDD40"/>
    <w:rsid w:val="353F4DE6"/>
    <w:rsid w:val="354DB8EE"/>
    <w:rsid w:val="354EEDA0"/>
    <w:rsid w:val="354FE918"/>
    <w:rsid w:val="3555CE55"/>
    <w:rsid w:val="355E6386"/>
    <w:rsid w:val="35682D88"/>
    <w:rsid w:val="35720426"/>
    <w:rsid w:val="3577F25E"/>
    <w:rsid w:val="3581E684"/>
    <w:rsid w:val="35899A46"/>
    <w:rsid w:val="3589CF20"/>
    <w:rsid w:val="35914966"/>
    <w:rsid w:val="3594B7C3"/>
    <w:rsid w:val="3596D0AF"/>
    <w:rsid w:val="359BBB73"/>
    <w:rsid w:val="359E6070"/>
    <w:rsid w:val="359FB1C3"/>
    <w:rsid w:val="35ADDAF3"/>
    <w:rsid w:val="35AE2A2F"/>
    <w:rsid w:val="35AF0233"/>
    <w:rsid w:val="35B71FE4"/>
    <w:rsid w:val="35BC8D53"/>
    <w:rsid w:val="35BF224C"/>
    <w:rsid w:val="35CA4AAD"/>
    <w:rsid w:val="35D0D77E"/>
    <w:rsid w:val="35ED0E08"/>
    <w:rsid w:val="3604F1DB"/>
    <w:rsid w:val="36072E95"/>
    <w:rsid w:val="3618F2C7"/>
    <w:rsid w:val="361EFDA5"/>
    <w:rsid w:val="36214B2A"/>
    <w:rsid w:val="362F5334"/>
    <w:rsid w:val="363356E9"/>
    <w:rsid w:val="363E3B10"/>
    <w:rsid w:val="3652C2D2"/>
    <w:rsid w:val="36583D31"/>
    <w:rsid w:val="365A0563"/>
    <w:rsid w:val="366D18DB"/>
    <w:rsid w:val="366EDA7E"/>
    <w:rsid w:val="3679D44F"/>
    <w:rsid w:val="367EDEAC"/>
    <w:rsid w:val="368338CD"/>
    <w:rsid w:val="368C4109"/>
    <w:rsid w:val="36A3C6ED"/>
    <w:rsid w:val="36AAE0E0"/>
    <w:rsid w:val="36B2E089"/>
    <w:rsid w:val="36BDAAE9"/>
    <w:rsid w:val="36C62FD2"/>
    <w:rsid w:val="36C8C200"/>
    <w:rsid w:val="36D8D4FD"/>
    <w:rsid w:val="36DC5057"/>
    <w:rsid w:val="36EA1E62"/>
    <w:rsid w:val="36EA8FDA"/>
    <w:rsid w:val="36EFB456"/>
    <w:rsid w:val="36F580FE"/>
    <w:rsid w:val="37021872"/>
    <w:rsid w:val="3708E54E"/>
    <w:rsid w:val="3710BB0A"/>
    <w:rsid w:val="3712586B"/>
    <w:rsid w:val="3713CC96"/>
    <w:rsid w:val="3729CB21"/>
    <w:rsid w:val="3733F277"/>
    <w:rsid w:val="37365179"/>
    <w:rsid w:val="373C23CE"/>
    <w:rsid w:val="373D157D"/>
    <w:rsid w:val="374768E8"/>
    <w:rsid w:val="374ED05C"/>
    <w:rsid w:val="375323E8"/>
    <w:rsid w:val="3759F9EB"/>
    <w:rsid w:val="37640BB7"/>
    <w:rsid w:val="376815FE"/>
    <w:rsid w:val="3774B845"/>
    <w:rsid w:val="377E8140"/>
    <w:rsid w:val="377EEB61"/>
    <w:rsid w:val="37822C23"/>
    <w:rsid w:val="3788E9DD"/>
    <w:rsid w:val="37AB2079"/>
    <w:rsid w:val="37B38FEC"/>
    <w:rsid w:val="37B8C998"/>
    <w:rsid w:val="37CFAA00"/>
    <w:rsid w:val="37DBF0CF"/>
    <w:rsid w:val="37DF54D3"/>
    <w:rsid w:val="37E3824E"/>
    <w:rsid w:val="37EA33F1"/>
    <w:rsid w:val="3802E0D6"/>
    <w:rsid w:val="380A4153"/>
    <w:rsid w:val="38191229"/>
    <w:rsid w:val="3825C370"/>
    <w:rsid w:val="38353EED"/>
    <w:rsid w:val="38354076"/>
    <w:rsid w:val="3843F4A8"/>
    <w:rsid w:val="384E181F"/>
    <w:rsid w:val="386BFFAB"/>
    <w:rsid w:val="387096F2"/>
    <w:rsid w:val="38715B35"/>
    <w:rsid w:val="3878436B"/>
    <w:rsid w:val="387B1E09"/>
    <w:rsid w:val="387F6FA1"/>
    <w:rsid w:val="3884A9C4"/>
    <w:rsid w:val="388BB74E"/>
    <w:rsid w:val="388C2DF1"/>
    <w:rsid w:val="389631C6"/>
    <w:rsid w:val="38A2481C"/>
    <w:rsid w:val="38A38684"/>
    <w:rsid w:val="38A74E20"/>
    <w:rsid w:val="38AA86A7"/>
    <w:rsid w:val="38AC9D9B"/>
    <w:rsid w:val="38B6DEB9"/>
    <w:rsid w:val="38C3AA56"/>
    <w:rsid w:val="38C6ED78"/>
    <w:rsid w:val="38CAE9C0"/>
    <w:rsid w:val="38CC61CB"/>
    <w:rsid w:val="38DB58AF"/>
    <w:rsid w:val="38DB88F0"/>
    <w:rsid w:val="38E4C078"/>
    <w:rsid w:val="38E7BE72"/>
    <w:rsid w:val="38FEE0AD"/>
    <w:rsid w:val="390197DC"/>
    <w:rsid w:val="39127B04"/>
    <w:rsid w:val="3913206C"/>
    <w:rsid w:val="391C067A"/>
    <w:rsid w:val="3926ED1D"/>
    <w:rsid w:val="39350722"/>
    <w:rsid w:val="393D8AD6"/>
    <w:rsid w:val="394F37BA"/>
    <w:rsid w:val="39525856"/>
    <w:rsid w:val="39560F45"/>
    <w:rsid w:val="396A60D2"/>
    <w:rsid w:val="396C3905"/>
    <w:rsid w:val="396EAECD"/>
    <w:rsid w:val="3989EFB5"/>
    <w:rsid w:val="399D4B09"/>
    <w:rsid w:val="39A88C77"/>
    <w:rsid w:val="39A88E3E"/>
    <w:rsid w:val="39C82753"/>
    <w:rsid w:val="3A158550"/>
    <w:rsid w:val="3A1CED57"/>
    <w:rsid w:val="3A38E137"/>
    <w:rsid w:val="3A3AB319"/>
    <w:rsid w:val="3A3B51A1"/>
    <w:rsid w:val="3A3F465F"/>
    <w:rsid w:val="3A427FC8"/>
    <w:rsid w:val="3A48966C"/>
    <w:rsid w:val="3A64C182"/>
    <w:rsid w:val="3A66DF45"/>
    <w:rsid w:val="3A6BC385"/>
    <w:rsid w:val="3A719BC8"/>
    <w:rsid w:val="3A766218"/>
    <w:rsid w:val="3A93A5BD"/>
    <w:rsid w:val="3A9D7B6C"/>
    <w:rsid w:val="3AB65224"/>
    <w:rsid w:val="3ABCA613"/>
    <w:rsid w:val="3AD057FE"/>
    <w:rsid w:val="3AD95026"/>
    <w:rsid w:val="3AEAAC56"/>
    <w:rsid w:val="3AF50C27"/>
    <w:rsid w:val="3AFBD729"/>
    <w:rsid w:val="3AFDA786"/>
    <w:rsid w:val="3B058FBB"/>
    <w:rsid w:val="3B0C257F"/>
    <w:rsid w:val="3B1BE225"/>
    <w:rsid w:val="3B2A4291"/>
    <w:rsid w:val="3B2BB407"/>
    <w:rsid w:val="3B347102"/>
    <w:rsid w:val="3B4DB0FA"/>
    <w:rsid w:val="3B53D1DA"/>
    <w:rsid w:val="3B62478C"/>
    <w:rsid w:val="3B63493E"/>
    <w:rsid w:val="3B654FFE"/>
    <w:rsid w:val="3B68BA92"/>
    <w:rsid w:val="3B7442F5"/>
    <w:rsid w:val="3B78BA4A"/>
    <w:rsid w:val="3BAA7682"/>
    <w:rsid w:val="3BABD391"/>
    <w:rsid w:val="3BAD88BA"/>
    <w:rsid w:val="3BC524D4"/>
    <w:rsid w:val="3BC5EE92"/>
    <w:rsid w:val="3BEC63EC"/>
    <w:rsid w:val="3BF3486F"/>
    <w:rsid w:val="3BFB8F19"/>
    <w:rsid w:val="3BFE1ED4"/>
    <w:rsid w:val="3C096337"/>
    <w:rsid w:val="3C0BB72A"/>
    <w:rsid w:val="3C0E02EE"/>
    <w:rsid w:val="3C0E9A38"/>
    <w:rsid w:val="3C1035B8"/>
    <w:rsid w:val="3C24DF38"/>
    <w:rsid w:val="3C284E3D"/>
    <w:rsid w:val="3C28E329"/>
    <w:rsid w:val="3C310421"/>
    <w:rsid w:val="3C32B159"/>
    <w:rsid w:val="3C32FD74"/>
    <w:rsid w:val="3C3ABC22"/>
    <w:rsid w:val="3C561D40"/>
    <w:rsid w:val="3C567A82"/>
    <w:rsid w:val="3C65E684"/>
    <w:rsid w:val="3C75210C"/>
    <w:rsid w:val="3C7B67FA"/>
    <w:rsid w:val="3C814433"/>
    <w:rsid w:val="3C8E25B7"/>
    <w:rsid w:val="3C9C4DC0"/>
    <w:rsid w:val="3C9E2BEB"/>
    <w:rsid w:val="3CBB8C48"/>
    <w:rsid w:val="3CC1E555"/>
    <w:rsid w:val="3CC5E10E"/>
    <w:rsid w:val="3CE87FD2"/>
    <w:rsid w:val="3D20D0B5"/>
    <w:rsid w:val="3D2C148B"/>
    <w:rsid w:val="3D386B64"/>
    <w:rsid w:val="3D3D1A88"/>
    <w:rsid w:val="3D4B5A51"/>
    <w:rsid w:val="3D4E5CFD"/>
    <w:rsid w:val="3D58434A"/>
    <w:rsid w:val="3D5D1D97"/>
    <w:rsid w:val="3D71AE24"/>
    <w:rsid w:val="3D7AFCA7"/>
    <w:rsid w:val="3D8B3ABF"/>
    <w:rsid w:val="3D934A73"/>
    <w:rsid w:val="3D9AA844"/>
    <w:rsid w:val="3DA92379"/>
    <w:rsid w:val="3DAC0D44"/>
    <w:rsid w:val="3DB03BD7"/>
    <w:rsid w:val="3DE613B7"/>
    <w:rsid w:val="3DF22BA2"/>
    <w:rsid w:val="3E11C8F4"/>
    <w:rsid w:val="3E1302B0"/>
    <w:rsid w:val="3E2C24A3"/>
    <w:rsid w:val="3E45228C"/>
    <w:rsid w:val="3E54BA75"/>
    <w:rsid w:val="3E581DE4"/>
    <w:rsid w:val="3E5F66D5"/>
    <w:rsid w:val="3E63A682"/>
    <w:rsid w:val="3E65F46C"/>
    <w:rsid w:val="3E84212F"/>
    <w:rsid w:val="3EACE4B4"/>
    <w:rsid w:val="3EC0BBF4"/>
    <w:rsid w:val="3ECF4E21"/>
    <w:rsid w:val="3EEB72A4"/>
    <w:rsid w:val="3EED87C5"/>
    <w:rsid w:val="3EF0549C"/>
    <w:rsid w:val="3EF8783A"/>
    <w:rsid w:val="3EFA8D4B"/>
    <w:rsid w:val="3F0280BA"/>
    <w:rsid w:val="3F06F3F4"/>
    <w:rsid w:val="3F0D1A56"/>
    <w:rsid w:val="3F2596C0"/>
    <w:rsid w:val="3F32C83C"/>
    <w:rsid w:val="3F3E9E16"/>
    <w:rsid w:val="3F45B4FE"/>
    <w:rsid w:val="3F4AD263"/>
    <w:rsid w:val="3F4FFC38"/>
    <w:rsid w:val="3F56CF1D"/>
    <w:rsid w:val="3F5D01F7"/>
    <w:rsid w:val="3F5D4981"/>
    <w:rsid w:val="3F61900B"/>
    <w:rsid w:val="3F656208"/>
    <w:rsid w:val="3F6A2A6A"/>
    <w:rsid w:val="3F83B5BC"/>
    <w:rsid w:val="3F9D6722"/>
    <w:rsid w:val="3FB22C57"/>
    <w:rsid w:val="3FCD26B0"/>
    <w:rsid w:val="3FCE7DE6"/>
    <w:rsid w:val="3FD098D3"/>
    <w:rsid w:val="3FDB32ED"/>
    <w:rsid w:val="3FDFDC1F"/>
    <w:rsid w:val="3FE38E76"/>
    <w:rsid w:val="3FEEFE24"/>
    <w:rsid w:val="3FFEC419"/>
    <w:rsid w:val="4014691A"/>
    <w:rsid w:val="401A4D0F"/>
    <w:rsid w:val="40213D0D"/>
    <w:rsid w:val="4022BD10"/>
    <w:rsid w:val="40430FD1"/>
    <w:rsid w:val="406A7E37"/>
    <w:rsid w:val="40732599"/>
    <w:rsid w:val="4074A923"/>
    <w:rsid w:val="407D9EE2"/>
    <w:rsid w:val="4088DB19"/>
    <w:rsid w:val="40909CCB"/>
    <w:rsid w:val="40B72F43"/>
    <w:rsid w:val="40B80A9F"/>
    <w:rsid w:val="40BAE39C"/>
    <w:rsid w:val="40BAEB06"/>
    <w:rsid w:val="40BD89E1"/>
    <w:rsid w:val="40C92EC5"/>
    <w:rsid w:val="40DB4391"/>
    <w:rsid w:val="40DFF700"/>
    <w:rsid w:val="40E1B3E8"/>
    <w:rsid w:val="40E6F845"/>
    <w:rsid w:val="40EA1C55"/>
    <w:rsid w:val="40F15948"/>
    <w:rsid w:val="40FEB0E9"/>
    <w:rsid w:val="410E18C5"/>
    <w:rsid w:val="4111418E"/>
    <w:rsid w:val="4117BE73"/>
    <w:rsid w:val="41207104"/>
    <w:rsid w:val="41305380"/>
    <w:rsid w:val="4142FCED"/>
    <w:rsid w:val="414D775B"/>
    <w:rsid w:val="41522A0E"/>
    <w:rsid w:val="415B8D82"/>
    <w:rsid w:val="415F6F33"/>
    <w:rsid w:val="41614297"/>
    <w:rsid w:val="416A3B8F"/>
    <w:rsid w:val="416A72F4"/>
    <w:rsid w:val="417EF6E0"/>
    <w:rsid w:val="41835C5A"/>
    <w:rsid w:val="418537E2"/>
    <w:rsid w:val="418EF0A1"/>
    <w:rsid w:val="4193073F"/>
    <w:rsid w:val="41933404"/>
    <w:rsid w:val="41A0D168"/>
    <w:rsid w:val="41A6B52D"/>
    <w:rsid w:val="41E5C5F5"/>
    <w:rsid w:val="41FE9BBD"/>
    <w:rsid w:val="42005D0B"/>
    <w:rsid w:val="420BB3A5"/>
    <w:rsid w:val="4212DA7E"/>
    <w:rsid w:val="421446D4"/>
    <w:rsid w:val="42164AA2"/>
    <w:rsid w:val="421F6F7D"/>
    <w:rsid w:val="4221CE20"/>
    <w:rsid w:val="422AA0FA"/>
    <w:rsid w:val="423E7F11"/>
    <w:rsid w:val="42559EB0"/>
    <w:rsid w:val="425725A4"/>
    <w:rsid w:val="4263CCC0"/>
    <w:rsid w:val="427A2196"/>
    <w:rsid w:val="42836FC2"/>
    <w:rsid w:val="42861C64"/>
    <w:rsid w:val="42873854"/>
    <w:rsid w:val="42878A5E"/>
    <w:rsid w:val="4287C1B7"/>
    <w:rsid w:val="429EB3B6"/>
    <w:rsid w:val="42A8DD88"/>
    <w:rsid w:val="42AA4339"/>
    <w:rsid w:val="42B23627"/>
    <w:rsid w:val="42B32421"/>
    <w:rsid w:val="42B9779F"/>
    <w:rsid w:val="42C04250"/>
    <w:rsid w:val="42CE69D7"/>
    <w:rsid w:val="42D78C41"/>
    <w:rsid w:val="42EE0683"/>
    <w:rsid w:val="42F29CCA"/>
    <w:rsid w:val="42F8D5BB"/>
    <w:rsid w:val="43043001"/>
    <w:rsid w:val="43133B6F"/>
    <w:rsid w:val="431450EC"/>
    <w:rsid w:val="43159B2D"/>
    <w:rsid w:val="4324B265"/>
    <w:rsid w:val="43269BC0"/>
    <w:rsid w:val="432F863F"/>
    <w:rsid w:val="433B5EB5"/>
    <w:rsid w:val="433B7599"/>
    <w:rsid w:val="4345E0E9"/>
    <w:rsid w:val="434672A1"/>
    <w:rsid w:val="43485D14"/>
    <w:rsid w:val="434B5501"/>
    <w:rsid w:val="4352FBA5"/>
    <w:rsid w:val="4357A47A"/>
    <w:rsid w:val="436E42C2"/>
    <w:rsid w:val="4374B7B7"/>
    <w:rsid w:val="4374F4BF"/>
    <w:rsid w:val="437941AC"/>
    <w:rsid w:val="437F57E6"/>
    <w:rsid w:val="43937F0F"/>
    <w:rsid w:val="43A187A8"/>
    <w:rsid w:val="43BD9E81"/>
    <w:rsid w:val="43BF9341"/>
    <w:rsid w:val="43C8E6B3"/>
    <w:rsid w:val="43D31CBA"/>
    <w:rsid w:val="43DA366F"/>
    <w:rsid w:val="43E1BBC4"/>
    <w:rsid w:val="43ECA485"/>
    <w:rsid w:val="43EF77F6"/>
    <w:rsid w:val="43F075CB"/>
    <w:rsid w:val="43FC5EE2"/>
    <w:rsid w:val="44024AAC"/>
    <w:rsid w:val="44214A0B"/>
    <w:rsid w:val="44277051"/>
    <w:rsid w:val="442E6AE4"/>
    <w:rsid w:val="44320CF5"/>
    <w:rsid w:val="443E48D6"/>
    <w:rsid w:val="4451E817"/>
    <w:rsid w:val="445411A3"/>
    <w:rsid w:val="4460B977"/>
    <w:rsid w:val="44654577"/>
    <w:rsid w:val="4466E99A"/>
    <w:rsid w:val="4471FF1A"/>
    <w:rsid w:val="4479E36C"/>
    <w:rsid w:val="447F2A37"/>
    <w:rsid w:val="4480676C"/>
    <w:rsid w:val="449BFFF9"/>
    <w:rsid w:val="44A441BF"/>
    <w:rsid w:val="44A6298B"/>
    <w:rsid w:val="44A93813"/>
    <w:rsid w:val="44A98E2A"/>
    <w:rsid w:val="44AD1DF1"/>
    <w:rsid w:val="44B551BB"/>
    <w:rsid w:val="44D1DCF4"/>
    <w:rsid w:val="44F034DB"/>
    <w:rsid w:val="44F67C3D"/>
    <w:rsid w:val="45030B46"/>
    <w:rsid w:val="45038D96"/>
    <w:rsid w:val="450F779D"/>
    <w:rsid w:val="450FFB92"/>
    <w:rsid w:val="45141489"/>
    <w:rsid w:val="451F4F36"/>
    <w:rsid w:val="4523E3BA"/>
    <w:rsid w:val="4549E9C3"/>
    <w:rsid w:val="45615810"/>
    <w:rsid w:val="45668E19"/>
    <w:rsid w:val="4566C1FA"/>
    <w:rsid w:val="4568BE39"/>
    <w:rsid w:val="4571F071"/>
    <w:rsid w:val="457525A7"/>
    <w:rsid w:val="457619FC"/>
    <w:rsid w:val="457A373C"/>
    <w:rsid w:val="458460A5"/>
    <w:rsid w:val="459113E1"/>
    <w:rsid w:val="45A7935B"/>
    <w:rsid w:val="45A96787"/>
    <w:rsid w:val="45B6A1D1"/>
    <w:rsid w:val="45CB358E"/>
    <w:rsid w:val="45CCFFCF"/>
    <w:rsid w:val="45CEDAD1"/>
    <w:rsid w:val="45D554B6"/>
    <w:rsid w:val="45E01C37"/>
    <w:rsid w:val="45E2F0FF"/>
    <w:rsid w:val="45E53559"/>
    <w:rsid w:val="45E6485E"/>
    <w:rsid w:val="45F5C632"/>
    <w:rsid w:val="45FB0832"/>
    <w:rsid w:val="45FFE927"/>
    <w:rsid w:val="462153C5"/>
    <w:rsid w:val="46274ED6"/>
    <w:rsid w:val="462810A5"/>
    <w:rsid w:val="462DA17B"/>
    <w:rsid w:val="46333350"/>
    <w:rsid w:val="46350344"/>
    <w:rsid w:val="46460018"/>
    <w:rsid w:val="464B2340"/>
    <w:rsid w:val="46708371"/>
    <w:rsid w:val="467BF18C"/>
    <w:rsid w:val="467D83F6"/>
    <w:rsid w:val="468784E0"/>
    <w:rsid w:val="4687EC77"/>
    <w:rsid w:val="4692B1F6"/>
    <w:rsid w:val="46974959"/>
    <w:rsid w:val="469C4DDA"/>
    <w:rsid w:val="469C6EA8"/>
    <w:rsid w:val="469D6F33"/>
    <w:rsid w:val="46B3899D"/>
    <w:rsid w:val="46D7D39C"/>
    <w:rsid w:val="46DED99F"/>
    <w:rsid w:val="46E06272"/>
    <w:rsid w:val="46EEDEE0"/>
    <w:rsid w:val="46F06437"/>
    <w:rsid w:val="471259E0"/>
    <w:rsid w:val="47133DD9"/>
    <w:rsid w:val="4732F76C"/>
    <w:rsid w:val="473512BB"/>
    <w:rsid w:val="47382E86"/>
    <w:rsid w:val="47390B79"/>
    <w:rsid w:val="473FF6E0"/>
    <w:rsid w:val="47582D4C"/>
    <w:rsid w:val="47628B08"/>
    <w:rsid w:val="476C82B9"/>
    <w:rsid w:val="476E140C"/>
    <w:rsid w:val="477D0575"/>
    <w:rsid w:val="478994EA"/>
    <w:rsid w:val="478A9126"/>
    <w:rsid w:val="478DCBD2"/>
    <w:rsid w:val="47AD49D6"/>
    <w:rsid w:val="47B2F972"/>
    <w:rsid w:val="47BB4D8E"/>
    <w:rsid w:val="47BCD216"/>
    <w:rsid w:val="47C2EF5D"/>
    <w:rsid w:val="47CF3C74"/>
    <w:rsid w:val="47E69D37"/>
    <w:rsid w:val="47E91BAA"/>
    <w:rsid w:val="47F2686F"/>
    <w:rsid w:val="480ABCDA"/>
    <w:rsid w:val="48113F19"/>
    <w:rsid w:val="482353B7"/>
    <w:rsid w:val="482CCA35"/>
    <w:rsid w:val="4833101B"/>
    <w:rsid w:val="48370B10"/>
    <w:rsid w:val="4841599C"/>
    <w:rsid w:val="4847F010"/>
    <w:rsid w:val="4850A4FE"/>
    <w:rsid w:val="48594FA8"/>
    <w:rsid w:val="4881A195"/>
    <w:rsid w:val="4896B9F3"/>
    <w:rsid w:val="4898514D"/>
    <w:rsid w:val="489F2293"/>
    <w:rsid w:val="48A18FBF"/>
    <w:rsid w:val="48A47334"/>
    <w:rsid w:val="48A538E6"/>
    <w:rsid w:val="48A65033"/>
    <w:rsid w:val="48A9D6AB"/>
    <w:rsid w:val="48AAFBCB"/>
    <w:rsid w:val="48BD539E"/>
    <w:rsid w:val="48C3FBDF"/>
    <w:rsid w:val="48D01621"/>
    <w:rsid w:val="48D86E97"/>
    <w:rsid w:val="48E19024"/>
    <w:rsid w:val="48E2723B"/>
    <w:rsid w:val="48F4E431"/>
    <w:rsid w:val="4916808B"/>
    <w:rsid w:val="491AE8E5"/>
    <w:rsid w:val="491BCBA5"/>
    <w:rsid w:val="492CF62A"/>
    <w:rsid w:val="492DECBD"/>
    <w:rsid w:val="49363219"/>
    <w:rsid w:val="49415712"/>
    <w:rsid w:val="49616627"/>
    <w:rsid w:val="496EF069"/>
    <w:rsid w:val="49759C7B"/>
    <w:rsid w:val="4976ECFC"/>
    <w:rsid w:val="49822DAA"/>
    <w:rsid w:val="4992923E"/>
    <w:rsid w:val="49A43934"/>
    <w:rsid w:val="49A6DDCA"/>
    <w:rsid w:val="49ADBA14"/>
    <w:rsid w:val="49B4EF5A"/>
    <w:rsid w:val="49C28D39"/>
    <w:rsid w:val="49C44E9C"/>
    <w:rsid w:val="49CC9B0D"/>
    <w:rsid w:val="49E0FD8C"/>
    <w:rsid w:val="49E55F27"/>
    <w:rsid w:val="49E8D8CF"/>
    <w:rsid w:val="49EFA050"/>
    <w:rsid w:val="4A140BAE"/>
    <w:rsid w:val="4A174B72"/>
    <w:rsid w:val="4A20B1A6"/>
    <w:rsid w:val="4A244618"/>
    <w:rsid w:val="4A2D62CF"/>
    <w:rsid w:val="4A2DC674"/>
    <w:rsid w:val="4A59A586"/>
    <w:rsid w:val="4A63C6D7"/>
    <w:rsid w:val="4A6F23BA"/>
    <w:rsid w:val="4A6F9E13"/>
    <w:rsid w:val="4A744018"/>
    <w:rsid w:val="4A78D596"/>
    <w:rsid w:val="4A811437"/>
    <w:rsid w:val="4A9C8ECE"/>
    <w:rsid w:val="4AA016AC"/>
    <w:rsid w:val="4AA9D588"/>
    <w:rsid w:val="4AC2D566"/>
    <w:rsid w:val="4AD360A1"/>
    <w:rsid w:val="4AD3D62F"/>
    <w:rsid w:val="4AD73FE1"/>
    <w:rsid w:val="4AE2066C"/>
    <w:rsid w:val="4B06D432"/>
    <w:rsid w:val="4B08A512"/>
    <w:rsid w:val="4B0C582A"/>
    <w:rsid w:val="4B4048BE"/>
    <w:rsid w:val="4B4AE54A"/>
    <w:rsid w:val="4B4C4F5B"/>
    <w:rsid w:val="4B4CB35E"/>
    <w:rsid w:val="4B4CFC92"/>
    <w:rsid w:val="4B586905"/>
    <w:rsid w:val="4B6A5A19"/>
    <w:rsid w:val="4B7AEB6A"/>
    <w:rsid w:val="4B9CEC6C"/>
    <w:rsid w:val="4BB17A28"/>
    <w:rsid w:val="4BB5F614"/>
    <w:rsid w:val="4BBE879A"/>
    <w:rsid w:val="4BC21BC7"/>
    <w:rsid w:val="4BC9E31E"/>
    <w:rsid w:val="4BCBE2DD"/>
    <w:rsid w:val="4BDB8710"/>
    <w:rsid w:val="4BDFD0E5"/>
    <w:rsid w:val="4BFB95C5"/>
    <w:rsid w:val="4BFFE9FC"/>
    <w:rsid w:val="4C022FFF"/>
    <w:rsid w:val="4C19D799"/>
    <w:rsid w:val="4C1EAB39"/>
    <w:rsid w:val="4C2421B1"/>
    <w:rsid w:val="4C429B01"/>
    <w:rsid w:val="4C4796C2"/>
    <w:rsid w:val="4C4BBA1D"/>
    <w:rsid w:val="4C4D863E"/>
    <w:rsid w:val="4C4EA88F"/>
    <w:rsid w:val="4C4EB603"/>
    <w:rsid w:val="4C619B9C"/>
    <w:rsid w:val="4C689208"/>
    <w:rsid w:val="4C73F28D"/>
    <w:rsid w:val="4C7E8348"/>
    <w:rsid w:val="4C84C539"/>
    <w:rsid w:val="4C84C834"/>
    <w:rsid w:val="4C85DF8A"/>
    <w:rsid w:val="4C8AE40D"/>
    <w:rsid w:val="4C922B61"/>
    <w:rsid w:val="4C987B90"/>
    <w:rsid w:val="4CC5FD03"/>
    <w:rsid w:val="4CD524E1"/>
    <w:rsid w:val="4CE67CC8"/>
    <w:rsid w:val="4CE9126B"/>
    <w:rsid w:val="4CF5612B"/>
    <w:rsid w:val="4CF888BE"/>
    <w:rsid w:val="4D19C0F8"/>
    <w:rsid w:val="4D27F2DA"/>
    <w:rsid w:val="4D2AE812"/>
    <w:rsid w:val="4D302AFF"/>
    <w:rsid w:val="4D365721"/>
    <w:rsid w:val="4D3F81CA"/>
    <w:rsid w:val="4D56DFF1"/>
    <w:rsid w:val="4D58462C"/>
    <w:rsid w:val="4D5B4A75"/>
    <w:rsid w:val="4D7084FA"/>
    <w:rsid w:val="4D73C98D"/>
    <w:rsid w:val="4D7C9392"/>
    <w:rsid w:val="4D82C321"/>
    <w:rsid w:val="4D9491C7"/>
    <w:rsid w:val="4D94B119"/>
    <w:rsid w:val="4D97F921"/>
    <w:rsid w:val="4D9BC7E5"/>
    <w:rsid w:val="4D9DF46F"/>
    <w:rsid w:val="4D9F2E7A"/>
    <w:rsid w:val="4DACD60A"/>
    <w:rsid w:val="4DAF200F"/>
    <w:rsid w:val="4DB1D0D8"/>
    <w:rsid w:val="4DBD406B"/>
    <w:rsid w:val="4DC2C021"/>
    <w:rsid w:val="4DD3312B"/>
    <w:rsid w:val="4DDA4CEF"/>
    <w:rsid w:val="4DE82A18"/>
    <w:rsid w:val="4E0B1669"/>
    <w:rsid w:val="4E2A2285"/>
    <w:rsid w:val="4E3139ED"/>
    <w:rsid w:val="4E44B50B"/>
    <w:rsid w:val="4E4D7245"/>
    <w:rsid w:val="4E687251"/>
    <w:rsid w:val="4E6BA739"/>
    <w:rsid w:val="4E8B4DD1"/>
    <w:rsid w:val="4E9445EA"/>
    <w:rsid w:val="4E98FCB7"/>
    <w:rsid w:val="4EAFF7A4"/>
    <w:rsid w:val="4EB36AC7"/>
    <w:rsid w:val="4EB4E6B4"/>
    <w:rsid w:val="4EB5A96F"/>
    <w:rsid w:val="4EB5F3C1"/>
    <w:rsid w:val="4EBA08FC"/>
    <w:rsid w:val="4EBFA225"/>
    <w:rsid w:val="4EC8EAF7"/>
    <w:rsid w:val="4EC96BFA"/>
    <w:rsid w:val="4ECCB3BC"/>
    <w:rsid w:val="4ECCD10A"/>
    <w:rsid w:val="4ED1E560"/>
    <w:rsid w:val="4EDB9BA8"/>
    <w:rsid w:val="4EDD5C3B"/>
    <w:rsid w:val="4EDF8BDE"/>
    <w:rsid w:val="4EEB0015"/>
    <w:rsid w:val="4EF13105"/>
    <w:rsid w:val="4EF53855"/>
    <w:rsid w:val="4EFF9BD5"/>
    <w:rsid w:val="4F0C9EBE"/>
    <w:rsid w:val="4F0F7C4F"/>
    <w:rsid w:val="4F16D969"/>
    <w:rsid w:val="4F1FE0C0"/>
    <w:rsid w:val="4F2E73EB"/>
    <w:rsid w:val="4F32DE02"/>
    <w:rsid w:val="4F3F8751"/>
    <w:rsid w:val="4F3FA6E8"/>
    <w:rsid w:val="4F4750BA"/>
    <w:rsid w:val="4F55B5CA"/>
    <w:rsid w:val="4F65A30A"/>
    <w:rsid w:val="4F690F3D"/>
    <w:rsid w:val="4F6CF076"/>
    <w:rsid w:val="4F716143"/>
    <w:rsid w:val="4F8919FC"/>
    <w:rsid w:val="4F8A53B4"/>
    <w:rsid w:val="4F9ECE6D"/>
    <w:rsid w:val="4F9F0BC8"/>
    <w:rsid w:val="4F9F3174"/>
    <w:rsid w:val="4FAB0B34"/>
    <w:rsid w:val="4FB22AE0"/>
    <w:rsid w:val="4FB30B23"/>
    <w:rsid w:val="4FB4090D"/>
    <w:rsid w:val="4FBB8954"/>
    <w:rsid w:val="4FC0BB12"/>
    <w:rsid w:val="4FC7D7F2"/>
    <w:rsid w:val="4FD6BEEB"/>
    <w:rsid w:val="4FDBDA4E"/>
    <w:rsid w:val="4FDE0E96"/>
    <w:rsid w:val="4FF1B930"/>
    <w:rsid w:val="4FFD7FD5"/>
    <w:rsid w:val="500BE62C"/>
    <w:rsid w:val="5010DEB8"/>
    <w:rsid w:val="501DB21B"/>
    <w:rsid w:val="5027F599"/>
    <w:rsid w:val="5042C383"/>
    <w:rsid w:val="50435551"/>
    <w:rsid w:val="505AC026"/>
    <w:rsid w:val="5062BABB"/>
    <w:rsid w:val="5087069E"/>
    <w:rsid w:val="508F52AC"/>
    <w:rsid w:val="5091F952"/>
    <w:rsid w:val="50A06517"/>
    <w:rsid w:val="50A3F520"/>
    <w:rsid w:val="50B107C7"/>
    <w:rsid w:val="50BF97CF"/>
    <w:rsid w:val="50C951A1"/>
    <w:rsid w:val="50D021F0"/>
    <w:rsid w:val="50D3F284"/>
    <w:rsid w:val="50E2DF22"/>
    <w:rsid w:val="50E706BA"/>
    <w:rsid w:val="50F79CAA"/>
    <w:rsid w:val="50FB5933"/>
    <w:rsid w:val="51058BF6"/>
    <w:rsid w:val="510E422D"/>
    <w:rsid w:val="51191B38"/>
    <w:rsid w:val="511C8FBB"/>
    <w:rsid w:val="512CA430"/>
    <w:rsid w:val="512EC0DD"/>
    <w:rsid w:val="513208E2"/>
    <w:rsid w:val="5138BC15"/>
    <w:rsid w:val="514CAE7E"/>
    <w:rsid w:val="5151AEFE"/>
    <w:rsid w:val="515200BB"/>
    <w:rsid w:val="515D36D1"/>
    <w:rsid w:val="516B2CFD"/>
    <w:rsid w:val="51766DEA"/>
    <w:rsid w:val="51827FD6"/>
    <w:rsid w:val="518CCD29"/>
    <w:rsid w:val="518F22A0"/>
    <w:rsid w:val="519426DC"/>
    <w:rsid w:val="51ACAF19"/>
    <w:rsid w:val="51ACF13B"/>
    <w:rsid w:val="51B2173E"/>
    <w:rsid w:val="51FF29DF"/>
    <w:rsid w:val="520BA690"/>
    <w:rsid w:val="5221E000"/>
    <w:rsid w:val="52348258"/>
    <w:rsid w:val="52463998"/>
    <w:rsid w:val="5250F97E"/>
    <w:rsid w:val="5253A1D2"/>
    <w:rsid w:val="525FE04D"/>
    <w:rsid w:val="526421A5"/>
    <w:rsid w:val="5269C8EE"/>
    <w:rsid w:val="52793A00"/>
    <w:rsid w:val="52885E81"/>
    <w:rsid w:val="52AE16E7"/>
    <w:rsid w:val="52C35A18"/>
    <w:rsid w:val="52D4A0F8"/>
    <w:rsid w:val="52D685BB"/>
    <w:rsid w:val="52E30B1B"/>
    <w:rsid w:val="52ED29AE"/>
    <w:rsid w:val="52F076EF"/>
    <w:rsid w:val="530C1393"/>
    <w:rsid w:val="53134FAA"/>
    <w:rsid w:val="5315B883"/>
    <w:rsid w:val="533D373F"/>
    <w:rsid w:val="533D5E90"/>
    <w:rsid w:val="5344005F"/>
    <w:rsid w:val="534E1EEB"/>
    <w:rsid w:val="535DF04B"/>
    <w:rsid w:val="53616FFB"/>
    <w:rsid w:val="5361740B"/>
    <w:rsid w:val="536A24A0"/>
    <w:rsid w:val="5373951F"/>
    <w:rsid w:val="537AF59B"/>
    <w:rsid w:val="537F1545"/>
    <w:rsid w:val="5382D192"/>
    <w:rsid w:val="53922C62"/>
    <w:rsid w:val="53BC5AE4"/>
    <w:rsid w:val="53C08AF7"/>
    <w:rsid w:val="53C2C7E0"/>
    <w:rsid w:val="53D0E078"/>
    <w:rsid w:val="53EFD366"/>
    <w:rsid w:val="53F63A22"/>
    <w:rsid w:val="540AF771"/>
    <w:rsid w:val="5411CB40"/>
    <w:rsid w:val="541B3C2D"/>
    <w:rsid w:val="542AA0A9"/>
    <w:rsid w:val="542ABAD4"/>
    <w:rsid w:val="542C7F04"/>
    <w:rsid w:val="543F4B4D"/>
    <w:rsid w:val="54484B69"/>
    <w:rsid w:val="54511833"/>
    <w:rsid w:val="54512A94"/>
    <w:rsid w:val="545AAD5C"/>
    <w:rsid w:val="545C71A1"/>
    <w:rsid w:val="545EFAA8"/>
    <w:rsid w:val="5464E43A"/>
    <w:rsid w:val="5465C058"/>
    <w:rsid w:val="546F398C"/>
    <w:rsid w:val="5472106C"/>
    <w:rsid w:val="547C229F"/>
    <w:rsid w:val="547EDB7C"/>
    <w:rsid w:val="547F659E"/>
    <w:rsid w:val="5480A62A"/>
    <w:rsid w:val="548BB8BC"/>
    <w:rsid w:val="548D9662"/>
    <w:rsid w:val="54922E0C"/>
    <w:rsid w:val="549C3998"/>
    <w:rsid w:val="54A24CF7"/>
    <w:rsid w:val="54C6AF6E"/>
    <w:rsid w:val="54C94634"/>
    <w:rsid w:val="54DF8DD0"/>
    <w:rsid w:val="54E82E22"/>
    <w:rsid w:val="54EC2755"/>
    <w:rsid w:val="5503D8EF"/>
    <w:rsid w:val="55139743"/>
    <w:rsid w:val="5521796F"/>
    <w:rsid w:val="552C80EB"/>
    <w:rsid w:val="55303C7A"/>
    <w:rsid w:val="5534AFDE"/>
    <w:rsid w:val="553D5A24"/>
    <w:rsid w:val="553EEEAD"/>
    <w:rsid w:val="55478AD1"/>
    <w:rsid w:val="554BB66B"/>
    <w:rsid w:val="554CFA8E"/>
    <w:rsid w:val="554DA71E"/>
    <w:rsid w:val="55548134"/>
    <w:rsid w:val="555E5DBF"/>
    <w:rsid w:val="556869FD"/>
    <w:rsid w:val="557818E8"/>
    <w:rsid w:val="5580D581"/>
    <w:rsid w:val="55962370"/>
    <w:rsid w:val="559BD219"/>
    <w:rsid w:val="55AB4FC0"/>
    <w:rsid w:val="55AF30A1"/>
    <w:rsid w:val="55AFF63F"/>
    <w:rsid w:val="55BD84F9"/>
    <w:rsid w:val="55D8D989"/>
    <w:rsid w:val="55EADD42"/>
    <w:rsid w:val="55F77267"/>
    <w:rsid w:val="56005E77"/>
    <w:rsid w:val="56054A0D"/>
    <w:rsid w:val="5612A371"/>
    <w:rsid w:val="561DDD31"/>
    <w:rsid w:val="562EA167"/>
    <w:rsid w:val="56338212"/>
    <w:rsid w:val="564483FC"/>
    <w:rsid w:val="56463F17"/>
    <w:rsid w:val="564EC59B"/>
    <w:rsid w:val="565D6BEA"/>
    <w:rsid w:val="566729CA"/>
    <w:rsid w:val="5672F18D"/>
    <w:rsid w:val="5683111B"/>
    <w:rsid w:val="568476EF"/>
    <w:rsid w:val="568E75AA"/>
    <w:rsid w:val="568EDD9C"/>
    <w:rsid w:val="56A71FB7"/>
    <w:rsid w:val="56ACC235"/>
    <w:rsid w:val="56BEF7D8"/>
    <w:rsid w:val="56EEB58B"/>
    <w:rsid w:val="56FEAAC4"/>
    <w:rsid w:val="570D1539"/>
    <w:rsid w:val="571471AA"/>
    <w:rsid w:val="571810A1"/>
    <w:rsid w:val="571CF284"/>
    <w:rsid w:val="571F27E0"/>
    <w:rsid w:val="573004B4"/>
    <w:rsid w:val="5732ACA4"/>
    <w:rsid w:val="5732D1B0"/>
    <w:rsid w:val="57360822"/>
    <w:rsid w:val="57474317"/>
    <w:rsid w:val="574AEDFA"/>
    <w:rsid w:val="574DEBE6"/>
    <w:rsid w:val="575E48CF"/>
    <w:rsid w:val="577AA7F8"/>
    <w:rsid w:val="578000AC"/>
    <w:rsid w:val="57806189"/>
    <w:rsid w:val="578724C6"/>
    <w:rsid w:val="578B5C9D"/>
    <w:rsid w:val="578BB4C5"/>
    <w:rsid w:val="5795DF12"/>
    <w:rsid w:val="57A9E5F5"/>
    <w:rsid w:val="57B0A945"/>
    <w:rsid w:val="57B9E38C"/>
    <w:rsid w:val="57C7FAB6"/>
    <w:rsid w:val="57D4F58A"/>
    <w:rsid w:val="57D67DD0"/>
    <w:rsid w:val="57DCB4B6"/>
    <w:rsid w:val="57DEC345"/>
    <w:rsid w:val="57E30CAC"/>
    <w:rsid w:val="57EA49C0"/>
    <w:rsid w:val="5803EF0B"/>
    <w:rsid w:val="582A4593"/>
    <w:rsid w:val="582C6E55"/>
    <w:rsid w:val="58360F01"/>
    <w:rsid w:val="58492FEB"/>
    <w:rsid w:val="584A66F2"/>
    <w:rsid w:val="58602EC6"/>
    <w:rsid w:val="586690A5"/>
    <w:rsid w:val="5868AD4C"/>
    <w:rsid w:val="586A349D"/>
    <w:rsid w:val="587177CA"/>
    <w:rsid w:val="5877B136"/>
    <w:rsid w:val="5882D116"/>
    <w:rsid w:val="5892344F"/>
    <w:rsid w:val="58A16222"/>
    <w:rsid w:val="58AB684A"/>
    <w:rsid w:val="58AE2366"/>
    <w:rsid w:val="58B11EA1"/>
    <w:rsid w:val="58B193CE"/>
    <w:rsid w:val="58CB5256"/>
    <w:rsid w:val="58CC8C28"/>
    <w:rsid w:val="58E601C5"/>
    <w:rsid w:val="58E6FD18"/>
    <w:rsid w:val="58FAAF35"/>
    <w:rsid w:val="590483E7"/>
    <w:rsid w:val="5923A783"/>
    <w:rsid w:val="59242038"/>
    <w:rsid w:val="592905A7"/>
    <w:rsid w:val="59355FC1"/>
    <w:rsid w:val="5941FA0E"/>
    <w:rsid w:val="594486C0"/>
    <w:rsid w:val="5944D6A8"/>
    <w:rsid w:val="594C96D3"/>
    <w:rsid w:val="594E4A45"/>
    <w:rsid w:val="59518B00"/>
    <w:rsid w:val="5954EC63"/>
    <w:rsid w:val="595CB1E0"/>
    <w:rsid w:val="59648F62"/>
    <w:rsid w:val="596688AD"/>
    <w:rsid w:val="596DCFA4"/>
    <w:rsid w:val="5981CE04"/>
    <w:rsid w:val="5993855E"/>
    <w:rsid w:val="599844B1"/>
    <w:rsid w:val="599C28AC"/>
    <w:rsid w:val="599D073E"/>
    <w:rsid w:val="599DABC4"/>
    <w:rsid w:val="59A5A3FE"/>
    <w:rsid w:val="59AD0B8E"/>
    <w:rsid w:val="59AEA25C"/>
    <w:rsid w:val="59B3F5B8"/>
    <w:rsid w:val="59BB492F"/>
    <w:rsid w:val="59BCAF12"/>
    <w:rsid w:val="59FC369C"/>
    <w:rsid w:val="5A0212AA"/>
    <w:rsid w:val="5A02F5D5"/>
    <w:rsid w:val="5A0301D5"/>
    <w:rsid w:val="5A038469"/>
    <w:rsid w:val="5A0F6A7E"/>
    <w:rsid w:val="5A19C425"/>
    <w:rsid w:val="5A1CA192"/>
    <w:rsid w:val="5A1D9BC6"/>
    <w:rsid w:val="5A203B25"/>
    <w:rsid w:val="5A2C5557"/>
    <w:rsid w:val="5A35B87F"/>
    <w:rsid w:val="5A398E85"/>
    <w:rsid w:val="5A3E63C7"/>
    <w:rsid w:val="5A4D5716"/>
    <w:rsid w:val="5A5125AF"/>
    <w:rsid w:val="5A6067AF"/>
    <w:rsid w:val="5A61D101"/>
    <w:rsid w:val="5A68176E"/>
    <w:rsid w:val="5A730D71"/>
    <w:rsid w:val="5A7E1D8B"/>
    <w:rsid w:val="5A85744E"/>
    <w:rsid w:val="5A87D01A"/>
    <w:rsid w:val="5A9C2FE8"/>
    <w:rsid w:val="5AA99D52"/>
    <w:rsid w:val="5AAEBF6D"/>
    <w:rsid w:val="5AAFF86A"/>
    <w:rsid w:val="5AB72662"/>
    <w:rsid w:val="5AC73AC9"/>
    <w:rsid w:val="5AC80FAD"/>
    <w:rsid w:val="5ACF9E81"/>
    <w:rsid w:val="5AD36299"/>
    <w:rsid w:val="5ADA3176"/>
    <w:rsid w:val="5ADC8864"/>
    <w:rsid w:val="5ADE75B3"/>
    <w:rsid w:val="5ADF587E"/>
    <w:rsid w:val="5AF3C29F"/>
    <w:rsid w:val="5AF9D0A6"/>
    <w:rsid w:val="5B0D62E4"/>
    <w:rsid w:val="5B0DB09A"/>
    <w:rsid w:val="5B311CAC"/>
    <w:rsid w:val="5B35FDD6"/>
    <w:rsid w:val="5B3C59CF"/>
    <w:rsid w:val="5B4B31AF"/>
    <w:rsid w:val="5B55789C"/>
    <w:rsid w:val="5B5B9A02"/>
    <w:rsid w:val="5B616F31"/>
    <w:rsid w:val="5B64E337"/>
    <w:rsid w:val="5B66AD7B"/>
    <w:rsid w:val="5B68419D"/>
    <w:rsid w:val="5B905830"/>
    <w:rsid w:val="5B966807"/>
    <w:rsid w:val="5B97C919"/>
    <w:rsid w:val="5B9AD8BE"/>
    <w:rsid w:val="5B9E229B"/>
    <w:rsid w:val="5B9FB85A"/>
    <w:rsid w:val="5BA378FC"/>
    <w:rsid w:val="5BAEFE90"/>
    <w:rsid w:val="5BBC79C5"/>
    <w:rsid w:val="5BBCEA26"/>
    <w:rsid w:val="5BBFD557"/>
    <w:rsid w:val="5BD21599"/>
    <w:rsid w:val="5BDBE31D"/>
    <w:rsid w:val="5C0087BD"/>
    <w:rsid w:val="5C07B4CA"/>
    <w:rsid w:val="5C194EDE"/>
    <w:rsid w:val="5C20EB92"/>
    <w:rsid w:val="5C217401"/>
    <w:rsid w:val="5C30A7AE"/>
    <w:rsid w:val="5C358DB8"/>
    <w:rsid w:val="5C39D284"/>
    <w:rsid w:val="5C582533"/>
    <w:rsid w:val="5C642918"/>
    <w:rsid w:val="5C6488DA"/>
    <w:rsid w:val="5C68793F"/>
    <w:rsid w:val="5C79513B"/>
    <w:rsid w:val="5C7DB250"/>
    <w:rsid w:val="5C84ECF3"/>
    <w:rsid w:val="5C9E2E13"/>
    <w:rsid w:val="5CAA9425"/>
    <w:rsid w:val="5CAB74BC"/>
    <w:rsid w:val="5CD7DFEC"/>
    <w:rsid w:val="5CDE30D3"/>
    <w:rsid w:val="5CFA5CE6"/>
    <w:rsid w:val="5D1032BD"/>
    <w:rsid w:val="5D1D9F56"/>
    <w:rsid w:val="5D217597"/>
    <w:rsid w:val="5D2820AB"/>
    <w:rsid w:val="5D37BD93"/>
    <w:rsid w:val="5D3A9E4F"/>
    <w:rsid w:val="5D3ADC3B"/>
    <w:rsid w:val="5D3F657A"/>
    <w:rsid w:val="5D3FF582"/>
    <w:rsid w:val="5D4587E8"/>
    <w:rsid w:val="5D5FE03F"/>
    <w:rsid w:val="5D63A466"/>
    <w:rsid w:val="5D6EAEF6"/>
    <w:rsid w:val="5D71ECE4"/>
    <w:rsid w:val="5D7B03C6"/>
    <w:rsid w:val="5D868E67"/>
    <w:rsid w:val="5D9187DB"/>
    <w:rsid w:val="5D96E218"/>
    <w:rsid w:val="5D971E7B"/>
    <w:rsid w:val="5DA0348C"/>
    <w:rsid w:val="5DA5949D"/>
    <w:rsid w:val="5DAC680A"/>
    <w:rsid w:val="5DB83C4E"/>
    <w:rsid w:val="5DBCB7EE"/>
    <w:rsid w:val="5DC3DFB3"/>
    <w:rsid w:val="5DD0D488"/>
    <w:rsid w:val="5DD5F338"/>
    <w:rsid w:val="5DD78738"/>
    <w:rsid w:val="5DDCB107"/>
    <w:rsid w:val="5DE07EBA"/>
    <w:rsid w:val="5DE63739"/>
    <w:rsid w:val="5DE82D8D"/>
    <w:rsid w:val="5DF15A23"/>
    <w:rsid w:val="5DFE6795"/>
    <w:rsid w:val="5E162DE4"/>
    <w:rsid w:val="5E1A7ED1"/>
    <w:rsid w:val="5E1ACD6F"/>
    <w:rsid w:val="5E1DA8BC"/>
    <w:rsid w:val="5E287587"/>
    <w:rsid w:val="5E2D53FF"/>
    <w:rsid w:val="5E30465E"/>
    <w:rsid w:val="5E479B0D"/>
    <w:rsid w:val="5E6D1004"/>
    <w:rsid w:val="5E8160B5"/>
    <w:rsid w:val="5E832757"/>
    <w:rsid w:val="5E8BA401"/>
    <w:rsid w:val="5EB0C515"/>
    <w:rsid w:val="5EB5F3A3"/>
    <w:rsid w:val="5EC1D5C3"/>
    <w:rsid w:val="5EC3B7E3"/>
    <w:rsid w:val="5ECFCE8E"/>
    <w:rsid w:val="5ED27CF3"/>
    <w:rsid w:val="5EE2D64B"/>
    <w:rsid w:val="5EE44382"/>
    <w:rsid w:val="5EF2F389"/>
    <w:rsid w:val="5EF30AB0"/>
    <w:rsid w:val="5EFA8F57"/>
    <w:rsid w:val="5F02C731"/>
    <w:rsid w:val="5F18C0B5"/>
    <w:rsid w:val="5F1B8EEF"/>
    <w:rsid w:val="5F1EB970"/>
    <w:rsid w:val="5F1FBBDC"/>
    <w:rsid w:val="5F268B44"/>
    <w:rsid w:val="5F26949A"/>
    <w:rsid w:val="5F27CF49"/>
    <w:rsid w:val="5F4027F8"/>
    <w:rsid w:val="5F41B193"/>
    <w:rsid w:val="5F48318B"/>
    <w:rsid w:val="5F55E60F"/>
    <w:rsid w:val="5F5EE2A7"/>
    <w:rsid w:val="5F723835"/>
    <w:rsid w:val="5F7FAF88"/>
    <w:rsid w:val="5F863EC5"/>
    <w:rsid w:val="5F8B4C41"/>
    <w:rsid w:val="5F8FEFF8"/>
    <w:rsid w:val="5FA0FB82"/>
    <w:rsid w:val="5FA2D866"/>
    <w:rsid w:val="5FB27EA3"/>
    <w:rsid w:val="5FC5AC9D"/>
    <w:rsid w:val="5FCBE35B"/>
    <w:rsid w:val="5FD1051F"/>
    <w:rsid w:val="5FD23CC1"/>
    <w:rsid w:val="5FD94DF4"/>
    <w:rsid w:val="5FDC98B1"/>
    <w:rsid w:val="5FE645ED"/>
    <w:rsid w:val="5FF24677"/>
    <w:rsid w:val="5FF66167"/>
    <w:rsid w:val="5FFFB9C4"/>
    <w:rsid w:val="600DDA25"/>
    <w:rsid w:val="601D5392"/>
    <w:rsid w:val="60291279"/>
    <w:rsid w:val="6037F8DA"/>
    <w:rsid w:val="603C1700"/>
    <w:rsid w:val="603F9D8D"/>
    <w:rsid w:val="60405673"/>
    <w:rsid w:val="6040CC4F"/>
    <w:rsid w:val="6059D69D"/>
    <w:rsid w:val="60608A37"/>
    <w:rsid w:val="607C05BF"/>
    <w:rsid w:val="607EF403"/>
    <w:rsid w:val="6089E9A7"/>
    <w:rsid w:val="6092AECF"/>
    <w:rsid w:val="60949CD9"/>
    <w:rsid w:val="609BC5B0"/>
    <w:rsid w:val="60A079DB"/>
    <w:rsid w:val="60A18FC1"/>
    <w:rsid w:val="60ADCB34"/>
    <w:rsid w:val="60B7515D"/>
    <w:rsid w:val="60B7C55B"/>
    <w:rsid w:val="60BE948E"/>
    <w:rsid w:val="60CA5339"/>
    <w:rsid w:val="60CC737D"/>
    <w:rsid w:val="60DAA71B"/>
    <w:rsid w:val="60E1808D"/>
    <w:rsid w:val="60EC7CB5"/>
    <w:rsid w:val="60EF0584"/>
    <w:rsid w:val="61015F3C"/>
    <w:rsid w:val="61082C91"/>
    <w:rsid w:val="6112510B"/>
    <w:rsid w:val="611B3561"/>
    <w:rsid w:val="61254DA3"/>
    <w:rsid w:val="6126315C"/>
    <w:rsid w:val="612F5C3C"/>
    <w:rsid w:val="613C42DC"/>
    <w:rsid w:val="615DC678"/>
    <w:rsid w:val="616259C2"/>
    <w:rsid w:val="61629F7C"/>
    <w:rsid w:val="61648DD6"/>
    <w:rsid w:val="6168807E"/>
    <w:rsid w:val="61688225"/>
    <w:rsid w:val="616C1C97"/>
    <w:rsid w:val="61734C67"/>
    <w:rsid w:val="617C16AD"/>
    <w:rsid w:val="618109F7"/>
    <w:rsid w:val="618CE2B2"/>
    <w:rsid w:val="6193C250"/>
    <w:rsid w:val="6194F637"/>
    <w:rsid w:val="61A51809"/>
    <w:rsid w:val="61B37F05"/>
    <w:rsid w:val="61BEBE04"/>
    <w:rsid w:val="61C09EFD"/>
    <w:rsid w:val="61C84DCC"/>
    <w:rsid w:val="61DC32A8"/>
    <w:rsid w:val="61DCA1E0"/>
    <w:rsid w:val="61DDE4F8"/>
    <w:rsid w:val="61E1E6AA"/>
    <w:rsid w:val="61F1DD22"/>
    <w:rsid w:val="61FEBD05"/>
    <w:rsid w:val="6209B77C"/>
    <w:rsid w:val="6210B965"/>
    <w:rsid w:val="62136032"/>
    <w:rsid w:val="621AC464"/>
    <w:rsid w:val="62317F98"/>
    <w:rsid w:val="624F26AC"/>
    <w:rsid w:val="62502890"/>
    <w:rsid w:val="625A220E"/>
    <w:rsid w:val="625D9071"/>
    <w:rsid w:val="626FD981"/>
    <w:rsid w:val="627237EE"/>
    <w:rsid w:val="62774761"/>
    <w:rsid w:val="627AB927"/>
    <w:rsid w:val="62824E21"/>
    <w:rsid w:val="6285727A"/>
    <w:rsid w:val="628FD715"/>
    <w:rsid w:val="62A6C86C"/>
    <w:rsid w:val="62BB4200"/>
    <w:rsid w:val="62BC31FE"/>
    <w:rsid w:val="62C27C36"/>
    <w:rsid w:val="62CBC926"/>
    <w:rsid w:val="62CFC0BA"/>
    <w:rsid w:val="62D5817D"/>
    <w:rsid w:val="62D581A5"/>
    <w:rsid w:val="62D826DE"/>
    <w:rsid w:val="62E7659C"/>
    <w:rsid w:val="62E8981D"/>
    <w:rsid w:val="62EF5588"/>
    <w:rsid w:val="63017DBD"/>
    <w:rsid w:val="6307FEED"/>
    <w:rsid w:val="631791F1"/>
    <w:rsid w:val="63246593"/>
    <w:rsid w:val="6343DC78"/>
    <w:rsid w:val="63467923"/>
    <w:rsid w:val="6350CEDC"/>
    <w:rsid w:val="6378A591"/>
    <w:rsid w:val="637F7445"/>
    <w:rsid w:val="63836927"/>
    <w:rsid w:val="63A2CD11"/>
    <w:rsid w:val="63A7D2D6"/>
    <w:rsid w:val="63B36CBF"/>
    <w:rsid w:val="63DD12BA"/>
    <w:rsid w:val="63E6DDDB"/>
    <w:rsid w:val="63E7A49D"/>
    <w:rsid w:val="63EDFE49"/>
    <w:rsid w:val="63EFD933"/>
    <w:rsid w:val="63F6AC8C"/>
    <w:rsid w:val="63FE1B6A"/>
    <w:rsid w:val="64170BA3"/>
    <w:rsid w:val="642A45FD"/>
    <w:rsid w:val="643904F1"/>
    <w:rsid w:val="64445E4C"/>
    <w:rsid w:val="6444E486"/>
    <w:rsid w:val="6446411A"/>
    <w:rsid w:val="644B51E7"/>
    <w:rsid w:val="645630A6"/>
    <w:rsid w:val="6464BA3D"/>
    <w:rsid w:val="64676811"/>
    <w:rsid w:val="647A1393"/>
    <w:rsid w:val="6484ACA6"/>
    <w:rsid w:val="648CA432"/>
    <w:rsid w:val="64939645"/>
    <w:rsid w:val="6499D71A"/>
    <w:rsid w:val="649E1720"/>
    <w:rsid w:val="64A6B644"/>
    <w:rsid w:val="64AD618F"/>
    <w:rsid w:val="64B840FF"/>
    <w:rsid w:val="64BFF8D9"/>
    <w:rsid w:val="64CC6E31"/>
    <w:rsid w:val="64D58F8F"/>
    <w:rsid w:val="64DCF184"/>
    <w:rsid w:val="64E1832E"/>
    <w:rsid w:val="64E46DB9"/>
    <w:rsid w:val="64ED0245"/>
    <w:rsid w:val="64ED917A"/>
    <w:rsid w:val="64F1CA5D"/>
    <w:rsid w:val="64F89BCD"/>
    <w:rsid w:val="64FB34E0"/>
    <w:rsid w:val="64FB85DF"/>
    <w:rsid w:val="65069B56"/>
    <w:rsid w:val="6508CAEF"/>
    <w:rsid w:val="65097EEC"/>
    <w:rsid w:val="6511C90E"/>
    <w:rsid w:val="65219590"/>
    <w:rsid w:val="652B98DD"/>
    <w:rsid w:val="653A7EE8"/>
    <w:rsid w:val="653ED69C"/>
    <w:rsid w:val="654C82CD"/>
    <w:rsid w:val="654F07D7"/>
    <w:rsid w:val="65570BEF"/>
    <w:rsid w:val="655B3F48"/>
    <w:rsid w:val="655FB4F9"/>
    <w:rsid w:val="655FDC95"/>
    <w:rsid w:val="657809E9"/>
    <w:rsid w:val="657897B2"/>
    <w:rsid w:val="6578BB92"/>
    <w:rsid w:val="657F617F"/>
    <w:rsid w:val="6583720B"/>
    <w:rsid w:val="658C3814"/>
    <w:rsid w:val="65922734"/>
    <w:rsid w:val="65A2AB94"/>
    <w:rsid w:val="65B47D1E"/>
    <w:rsid w:val="65BDCC87"/>
    <w:rsid w:val="65C4FFC7"/>
    <w:rsid w:val="65D478A3"/>
    <w:rsid w:val="65DCE303"/>
    <w:rsid w:val="65DD3367"/>
    <w:rsid w:val="66076C9B"/>
    <w:rsid w:val="66099F03"/>
    <w:rsid w:val="663912A6"/>
    <w:rsid w:val="663F29EB"/>
    <w:rsid w:val="664B041F"/>
    <w:rsid w:val="664D8CDF"/>
    <w:rsid w:val="665C336C"/>
    <w:rsid w:val="665DD1A1"/>
    <w:rsid w:val="665EB670"/>
    <w:rsid w:val="6665577C"/>
    <w:rsid w:val="66796775"/>
    <w:rsid w:val="66852D03"/>
    <w:rsid w:val="66910DAB"/>
    <w:rsid w:val="66A6DAC8"/>
    <w:rsid w:val="66B28438"/>
    <w:rsid w:val="66B795D7"/>
    <w:rsid w:val="66BFA292"/>
    <w:rsid w:val="66C0D6F9"/>
    <w:rsid w:val="66D0045D"/>
    <w:rsid w:val="66D466FA"/>
    <w:rsid w:val="66DBC53F"/>
    <w:rsid w:val="66E2AD60"/>
    <w:rsid w:val="66F23286"/>
    <w:rsid w:val="66F61283"/>
    <w:rsid w:val="67048EEB"/>
    <w:rsid w:val="67057B73"/>
    <w:rsid w:val="6708326C"/>
    <w:rsid w:val="67101A4D"/>
    <w:rsid w:val="6711A61D"/>
    <w:rsid w:val="6725BE20"/>
    <w:rsid w:val="6726CAE2"/>
    <w:rsid w:val="6729CAF7"/>
    <w:rsid w:val="673C12EE"/>
    <w:rsid w:val="674589D4"/>
    <w:rsid w:val="6748BBC9"/>
    <w:rsid w:val="67522C8E"/>
    <w:rsid w:val="677B9506"/>
    <w:rsid w:val="678699F1"/>
    <w:rsid w:val="67897E29"/>
    <w:rsid w:val="678ABD77"/>
    <w:rsid w:val="67927517"/>
    <w:rsid w:val="679462DD"/>
    <w:rsid w:val="67A94E45"/>
    <w:rsid w:val="67ABBB5F"/>
    <w:rsid w:val="67AC4D33"/>
    <w:rsid w:val="67B2B2E1"/>
    <w:rsid w:val="67B80F3F"/>
    <w:rsid w:val="67C3ACE3"/>
    <w:rsid w:val="67C73B08"/>
    <w:rsid w:val="67CCE303"/>
    <w:rsid w:val="67D2EDF0"/>
    <w:rsid w:val="67DFA75F"/>
    <w:rsid w:val="67E023FD"/>
    <w:rsid w:val="67F7700F"/>
    <w:rsid w:val="68040EF3"/>
    <w:rsid w:val="680F6015"/>
    <w:rsid w:val="68130559"/>
    <w:rsid w:val="6813AFF0"/>
    <w:rsid w:val="68182595"/>
    <w:rsid w:val="682094C0"/>
    <w:rsid w:val="68296880"/>
    <w:rsid w:val="6833B044"/>
    <w:rsid w:val="683D8308"/>
    <w:rsid w:val="684393E9"/>
    <w:rsid w:val="68498DB9"/>
    <w:rsid w:val="684F220C"/>
    <w:rsid w:val="6858A8B7"/>
    <w:rsid w:val="685E6D2A"/>
    <w:rsid w:val="6866C71D"/>
    <w:rsid w:val="686CED60"/>
    <w:rsid w:val="688D9980"/>
    <w:rsid w:val="68918F03"/>
    <w:rsid w:val="68AFD87C"/>
    <w:rsid w:val="68B03164"/>
    <w:rsid w:val="68B19789"/>
    <w:rsid w:val="68B80831"/>
    <w:rsid w:val="68BF1E79"/>
    <w:rsid w:val="68D15C54"/>
    <w:rsid w:val="68D2709C"/>
    <w:rsid w:val="68F24240"/>
    <w:rsid w:val="68F634FF"/>
    <w:rsid w:val="690E0EEA"/>
    <w:rsid w:val="691931B4"/>
    <w:rsid w:val="691A5252"/>
    <w:rsid w:val="69211BAF"/>
    <w:rsid w:val="6927732F"/>
    <w:rsid w:val="693C699A"/>
    <w:rsid w:val="6948B2D4"/>
    <w:rsid w:val="6959899B"/>
    <w:rsid w:val="696E4808"/>
    <w:rsid w:val="696F18C6"/>
    <w:rsid w:val="696F97C9"/>
    <w:rsid w:val="69797CEB"/>
    <w:rsid w:val="69817EDC"/>
    <w:rsid w:val="699C036B"/>
    <w:rsid w:val="699D141F"/>
    <w:rsid w:val="699FDF54"/>
    <w:rsid w:val="69A1191F"/>
    <w:rsid w:val="69A1C0B0"/>
    <w:rsid w:val="69A234E1"/>
    <w:rsid w:val="69BA79E6"/>
    <w:rsid w:val="69C142B5"/>
    <w:rsid w:val="69E6D526"/>
    <w:rsid w:val="69EB66CC"/>
    <w:rsid w:val="69F4AFD0"/>
    <w:rsid w:val="69F6132A"/>
    <w:rsid w:val="69FAB9C8"/>
    <w:rsid w:val="69FAEEEC"/>
    <w:rsid w:val="69FCF322"/>
    <w:rsid w:val="6A19EA16"/>
    <w:rsid w:val="6A37D2BD"/>
    <w:rsid w:val="6A3E5CD9"/>
    <w:rsid w:val="6A437E86"/>
    <w:rsid w:val="6A45BDD1"/>
    <w:rsid w:val="6A4B5339"/>
    <w:rsid w:val="6A4E73D5"/>
    <w:rsid w:val="6A6D77C4"/>
    <w:rsid w:val="6A72A8A6"/>
    <w:rsid w:val="6A7DC915"/>
    <w:rsid w:val="6A8677E3"/>
    <w:rsid w:val="6A8BE8C9"/>
    <w:rsid w:val="6AA227FF"/>
    <w:rsid w:val="6AA4E5A4"/>
    <w:rsid w:val="6AB74C0B"/>
    <w:rsid w:val="6AB80DA8"/>
    <w:rsid w:val="6AE2E6D7"/>
    <w:rsid w:val="6AE63BD9"/>
    <w:rsid w:val="6AE94A39"/>
    <w:rsid w:val="6B227E9A"/>
    <w:rsid w:val="6B3057C1"/>
    <w:rsid w:val="6B3112D9"/>
    <w:rsid w:val="6B337DA2"/>
    <w:rsid w:val="6B36A8CC"/>
    <w:rsid w:val="6B4BEAB4"/>
    <w:rsid w:val="6B53CC90"/>
    <w:rsid w:val="6B5B7AC6"/>
    <w:rsid w:val="6B61381A"/>
    <w:rsid w:val="6B67CEC4"/>
    <w:rsid w:val="6B6F9734"/>
    <w:rsid w:val="6B71C227"/>
    <w:rsid w:val="6B735C19"/>
    <w:rsid w:val="6B769D92"/>
    <w:rsid w:val="6B79B496"/>
    <w:rsid w:val="6B7CDA7F"/>
    <w:rsid w:val="6B808C0F"/>
    <w:rsid w:val="6B8173A2"/>
    <w:rsid w:val="6B973FD4"/>
    <w:rsid w:val="6B9D1CA4"/>
    <w:rsid w:val="6B9F78CF"/>
    <w:rsid w:val="6BA88D4C"/>
    <w:rsid w:val="6BA9D962"/>
    <w:rsid w:val="6BB22F07"/>
    <w:rsid w:val="6BB485A5"/>
    <w:rsid w:val="6BB9DE0C"/>
    <w:rsid w:val="6BC18F3A"/>
    <w:rsid w:val="6BD75886"/>
    <w:rsid w:val="6BE8566E"/>
    <w:rsid w:val="6BF21D77"/>
    <w:rsid w:val="6BF6ACB9"/>
    <w:rsid w:val="6BF76692"/>
    <w:rsid w:val="6BFCFC6A"/>
    <w:rsid w:val="6BFD581F"/>
    <w:rsid w:val="6C0B03F3"/>
    <w:rsid w:val="6C0D0E0A"/>
    <w:rsid w:val="6C0D3085"/>
    <w:rsid w:val="6C0E4B12"/>
    <w:rsid w:val="6C0FA146"/>
    <w:rsid w:val="6C130873"/>
    <w:rsid w:val="6C19CBB0"/>
    <w:rsid w:val="6C1ABF81"/>
    <w:rsid w:val="6C2095B7"/>
    <w:rsid w:val="6C29E302"/>
    <w:rsid w:val="6C2EC7BB"/>
    <w:rsid w:val="6C329185"/>
    <w:rsid w:val="6C5434DA"/>
    <w:rsid w:val="6C54A3D4"/>
    <w:rsid w:val="6C5B9012"/>
    <w:rsid w:val="6C6603F3"/>
    <w:rsid w:val="6C7BD0CB"/>
    <w:rsid w:val="6C7BF640"/>
    <w:rsid w:val="6C81FDE2"/>
    <w:rsid w:val="6C836103"/>
    <w:rsid w:val="6C8A33A7"/>
    <w:rsid w:val="6C9F54A7"/>
    <w:rsid w:val="6CAE204C"/>
    <w:rsid w:val="6CB7FB20"/>
    <w:rsid w:val="6CB889C3"/>
    <w:rsid w:val="6CBD5628"/>
    <w:rsid w:val="6CC067FB"/>
    <w:rsid w:val="6CE514FE"/>
    <w:rsid w:val="6CEE028F"/>
    <w:rsid w:val="6D0BB03A"/>
    <w:rsid w:val="6D1BC71D"/>
    <w:rsid w:val="6D2D4CDB"/>
    <w:rsid w:val="6D2EDFBC"/>
    <w:rsid w:val="6D4F96F0"/>
    <w:rsid w:val="6D62D718"/>
    <w:rsid w:val="6D681ABF"/>
    <w:rsid w:val="6D6A0FB0"/>
    <w:rsid w:val="6D6E6E96"/>
    <w:rsid w:val="6D734EC9"/>
    <w:rsid w:val="6D73BAAC"/>
    <w:rsid w:val="6D779FD0"/>
    <w:rsid w:val="6D8B7D05"/>
    <w:rsid w:val="6D8BE3F9"/>
    <w:rsid w:val="6DB7A221"/>
    <w:rsid w:val="6DBC2C27"/>
    <w:rsid w:val="6DC0AC10"/>
    <w:rsid w:val="6DC98779"/>
    <w:rsid w:val="6DE3F024"/>
    <w:rsid w:val="6DE61428"/>
    <w:rsid w:val="6DEDE802"/>
    <w:rsid w:val="6DFA9D97"/>
    <w:rsid w:val="6DFCAC24"/>
    <w:rsid w:val="6DFF4782"/>
    <w:rsid w:val="6E0561E0"/>
    <w:rsid w:val="6E14BFDE"/>
    <w:rsid w:val="6E160B85"/>
    <w:rsid w:val="6E2E950F"/>
    <w:rsid w:val="6E3AAF57"/>
    <w:rsid w:val="6E430836"/>
    <w:rsid w:val="6E508DFE"/>
    <w:rsid w:val="6E567E8B"/>
    <w:rsid w:val="6E683059"/>
    <w:rsid w:val="6E6CA52B"/>
    <w:rsid w:val="6E73A045"/>
    <w:rsid w:val="6E787F5A"/>
    <w:rsid w:val="6E92778F"/>
    <w:rsid w:val="6E938B0F"/>
    <w:rsid w:val="6E9626A1"/>
    <w:rsid w:val="6E9FD4F8"/>
    <w:rsid w:val="6EABB059"/>
    <w:rsid w:val="6ECA3B32"/>
    <w:rsid w:val="6ECE48CA"/>
    <w:rsid w:val="6EE612EA"/>
    <w:rsid w:val="6EE661B5"/>
    <w:rsid w:val="6F00FE4C"/>
    <w:rsid w:val="6F034716"/>
    <w:rsid w:val="6F0624B3"/>
    <w:rsid w:val="6F113D84"/>
    <w:rsid w:val="6F15B833"/>
    <w:rsid w:val="6F1A6C0B"/>
    <w:rsid w:val="6F1CC50A"/>
    <w:rsid w:val="6F1CE807"/>
    <w:rsid w:val="6F23A7AF"/>
    <w:rsid w:val="6F28EB62"/>
    <w:rsid w:val="6F2C12A1"/>
    <w:rsid w:val="6F2CA768"/>
    <w:rsid w:val="6F2E70F7"/>
    <w:rsid w:val="6F37073C"/>
    <w:rsid w:val="6F39B3B9"/>
    <w:rsid w:val="6F3B453F"/>
    <w:rsid w:val="6F3D9C24"/>
    <w:rsid w:val="6F47B6EC"/>
    <w:rsid w:val="6F48122F"/>
    <w:rsid w:val="6F50F8F3"/>
    <w:rsid w:val="6F6B3C5B"/>
    <w:rsid w:val="6F713624"/>
    <w:rsid w:val="6F71F073"/>
    <w:rsid w:val="6F7D4194"/>
    <w:rsid w:val="6F9A6A85"/>
    <w:rsid w:val="6F9E96A2"/>
    <w:rsid w:val="6F9EBED9"/>
    <w:rsid w:val="6FA6DCD0"/>
    <w:rsid w:val="6FAD2496"/>
    <w:rsid w:val="6FAEB954"/>
    <w:rsid w:val="6FB50453"/>
    <w:rsid w:val="6FB61A5A"/>
    <w:rsid w:val="6FCD2E94"/>
    <w:rsid w:val="6FDD12AC"/>
    <w:rsid w:val="6FDDD88C"/>
    <w:rsid w:val="6FE848DD"/>
    <w:rsid w:val="6FF1E76E"/>
    <w:rsid w:val="6FF7EA9A"/>
    <w:rsid w:val="6FFC3894"/>
    <w:rsid w:val="6FFDCC3C"/>
    <w:rsid w:val="70064FD6"/>
    <w:rsid w:val="7011C698"/>
    <w:rsid w:val="701D08DC"/>
    <w:rsid w:val="702D39BD"/>
    <w:rsid w:val="7037F40C"/>
    <w:rsid w:val="70520F49"/>
    <w:rsid w:val="70602BD0"/>
    <w:rsid w:val="70767F0F"/>
    <w:rsid w:val="70797086"/>
    <w:rsid w:val="707E9D86"/>
    <w:rsid w:val="70835BAB"/>
    <w:rsid w:val="70844A83"/>
    <w:rsid w:val="708855C5"/>
    <w:rsid w:val="708B0578"/>
    <w:rsid w:val="708F5202"/>
    <w:rsid w:val="708FF7D0"/>
    <w:rsid w:val="7092FF96"/>
    <w:rsid w:val="7094AC91"/>
    <w:rsid w:val="7099BCB1"/>
    <w:rsid w:val="709DE092"/>
    <w:rsid w:val="709FD018"/>
    <w:rsid w:val="70AA7EF1"/>
    <w:rsid w:val="70BD65FF"/>
    <w:rsid w:val="70BDA3BB"/>
    <w:rsid w:val="70CC9C42"/>
    <w:rsid w:val="70D570A0"/>
    <w:rsid w:val="70DF2864"/>
    <w:rsid w:val="70E9BB6E"/>
    <w:rsid w:val="70F222DC"/>
    <w:rsid w:val="70FB2CF9"/>
    <w:rsid w:val="70FBF500"/>
    <w:rsid w:val="70FE9885"/>
    <w:rsid w:val="7106EB27"/>
    <w:rsid w:val="710768C2"/>
    <w:rsid w:val="710E83E7"/>
    <w:rsid w:val="71562E4D"/>
    <w:rsid w:val="71669A1E"/>
    <w:rsid w:val="7167C552"/>
    <w:rsid w:val="7172696D"/>
    <w:rsid w:val="71793B21"/>
    <w:rsid w:val="717D9BAA"/>
    <w:rsid w:val="718EC952"/>
    <w:rsid w:val="71A61429"/>
    <w:rsid w:val="71BE2FE1"/>
    <w:rsid w:val="71CA22C6"/>
    <w:rsid w:val="71D31418"/>
    <w:rsid w:val="71D47CBE"/>
    <w:rsid w:val="71D8C7A1"/>
    <w:rsid w:val="71DDC602"/>
    <w:rsid w:val="71E103D0"/>
    <w:rsid w:val="71F92C49"/>
    <w:rsid w:val="72002EE1"/>
    <w:rsid w:val="7206617D"/>
    <w:rsid w:val="7215ABC0"/>
    <w:rsid w:val="721D0E76"/>
    <w:rsid w:val="721EB902"/>
    <w:rsid w:val="72212175"/>
    <w:rsid w:val="7227E27F"/>
    <w:rsid w:val="722CE38A"/>
    <w:rsid w:val="722EF66E"/>
    <w:rsid w:val="725E4359"/>
    <w:rsid w:val="7263D311"/>
    <w:rsid w:val="7264ED2C"/>
    <w:rsid w:val="7273D39B"/>
    <w:rsid w:val="728245AF"/>
    <w:rsid w:val="72853829"/>
    <w:rsid w:val="72863A4F"/>
    <w:rsid w:val="728877F2"/>
    <w:rsid w:val="728A84D3"/>
    <w:rsid w:val="7291C65D"/>
    <w:rsid w:val="7298CA77"/>
    <w:rsid w:val="72A26731"/>
    <w:rsid w:val="72AE5065"/>
    <w:rsid w:val="72C845E9"/>
    <w:rsid w:val="72CF032F"/>
    <w:rsid w:val="72D7886B"/>
    <w:rsid w:val="72EB83C2"/>
    <w:rsid w:val="72EF9648"/>
    <w:rsid w:val="7303B184"/>
    <w:rsid w:val="7308EE2C"/>
    <w:rsid w:val="731F5875"/>
    <w:rsid w:val="73259955"/>
    <w:rsid w:val="732C9248"/>
    <w:rsid w:val="732CDF4A"/>
    <w:rsid w:val="73615820"/>
    <w:rsid w:val="7362496F"/>
    <w:rsid w:val="73636A4E"/>
    <w:rsid w:val="73679AB4"/>
    <w:rsid w:val="736B0D51"/>
    <w:rsid w:val="7372B4B9"/>
    <w:rsid w:val="7382758F"/>
    <w:rsid w:val="7382AFD3"/>
    <w:rsid w:val="739D2CC3"/>
    <w:rsid w:val="73CECF4B"/>
    <w:rsid w:val="73D4DAC2"/>
    <w:rsid w:val="73D8A3E7"/>
    <w:rsid w:val="73DB3CE0"/>
    <w:rsid w:val="74006C5D"/>
    <w:rsid w:val="7403CB40"/>
    <w:rsid w:val="7429E71B"/>
    <w:rsid w:val="7442E912"/>
    <w:rsid w:val="74449159"/>
    <w:rsid w:val="744BD353"/>
    <w:rsid w:val="744F24BD"/>
    <w:rsid w:val="74569E18"/>
    <w:rsid w:val="748D291C"/>
    <w:rsid w:val="7496B6A9"/>
    <w:rsid w:val="7497B696"/>
    <w:rsid w:val="749FA953"/>
    <w:rsid w:val="74ADD0CF"/>
    <w:rsid w:val="74B7D1F9"/>
    <w:rsid w:val="74C5BB71"/>
    <w:rsid w:val="74C620E1"/>
    <w:rsid w:val="74CB2EC0"/>
    <w:rsid w:val="74CBDEDE"/>
    <w:rsid w:val="74CBF45C"/>
    <w:rsid w:val="74EAD6AB"/>
    <w:rsid w:val="74F20333"/>
    <w:rsid w:val="74F5D0A3"/>
    <w:rsid w:val="75084B34"/>
    <w:rsid w:val="751CCFAA"/>
    <w:rsid w:val="752E0162"/>
    <w:rsid w:val="752EAF6C"/>
    <w:rsid w:val="752ECB0A"/>
    <w:rsid w:val="753295FB"/>
    <w:rsid w:val="7536F2DD"/>
    <w:rsid w:val="7543EFA7"/>
    <w:rsid w:val="755B387E"/>
    <w:rsid w:val="7560E945"/>
    <w:rsid w:val="756EAAF0"/>
    <w:rsid w:val="758EEBB4"/>
    <w:rsid w:val="75909F22"/>
    <w:rsid w:val="75A3F17A"/>
    <w:rsid w:val="75A6BA4B"/>
    <w:rsid w:val="75B9A30B"/>
    <w:rsid w:val="75C46A85"/>
    <w:rsid w:val="75CB7B60"/>
    <w:rsid w:val="75DD56C9"/>
    <w:rsid w:val="75E89219"/>
    <w:rsid w:val="75EDF079"/>
    <w:rsid w:val="75F65B14"/>
    <w:rsid w:val="762D78A5"/>
    <w:rsid w:val="76357E1C"/>
    <w:rsid w:val="764A3458"/>
    <w:rsid w:val="76503A66"/>
    <w:rsid w:val="76529E62"/>
    <w:rsid w:val="765DBAC3"/>
    <w:rsid w:val="76799A2F"/>
    <w:rsid w:val="767A3239"/>
    <w:rsid w:val="76862CC9"/>
    <w:rsid w:val="7690B77B"/>
    <w:rsid w:val="76933BFF"/>
    <w:rsid w:val="769ED8FE"/>
    <w:rsid w:val="76A3BA6F"/>
    <w:rsid w:val="76A4B4DA"/>
    <w:rsid w:val="76A76432"/>
    <w:rsid w:val="76C1B85C"/>
    <w:rsid w:val="76C28EDD"/>
    <w:rsid w:val="76C42E2C"/>
    <w:rsid w:val="76DAB0D6"/>
    <w:rsid w:val="76DE453D"/>
    <w:rsid w:val="76EEBD5E"/>
    <w:rsid w:val="76EFA6B9"/>
    <w:rsid w:val="76F5CDD9"/>
    <w:rsid w:val="77028C59"/>
    <w:rsid w:val="770F59C6"/>
    <w:rsid w:val="7716F58F"/>
    <w:rsid w:val="771996F2"/>
    <w:rsid w:val="771F3DA7"/>
    <w:rsid w:val="771F471B"/>
    <w:rsid w:val="7723420E"/>
    <w:rsid w:val="7739299B"/>
    <w:rsid w:val="773C411C"/>
    <w:rsid w:val="773EFDF2"/>
    <w:rsid w:val="773F4BF4"/>
    <w:rsid w:val="7753133D"/>
    <w:rsid w:val="77561958"/>
    <w:rsid w:val="77574F81"/>
    <w:rsid w:val="77665979"/>
    <w:rsid w:val="77668EC7"/>
    <w:rsid w:val="7777AE88"/>
    <w:rsid w:val="77854EBD"/>
    <w:rsid w:val="77942ADF"/>
    <w:rsid w:val="77AA5FB3"/>
    <w:rsid w:val="77B93F31"/>
    <w:rsid w:val="77CAE6F4"/>
    <w:rsid w:val="77CF036F"/>
    <w:rsid w:val="77D54666"/>
    <w:rsid w:val="77DBBD5A"/>
    <w:rsid w:val="77E31D22"/>
    <w:rsid w:val="77E493D3"/>
    <w:rsid w:val="77ED287A"/>
    <w:rsid w:val="782637EE"/>
    <w:rsid w:val="78281CB6"/>
    <w:rsid w:val="784BC82B"/>
    <w:rsid w:val="784FE46D"/>
    <w:rsid w:val="7869E5DA"/>
    <w:rsid w:val="7870E9DB"/>
    <w:rsid w:val="78902507"/>
    <w:rsid w:val="7891F7C7"/>
    <w:rsid w:val="78928D23"/>
    <w:rsid w:val="78AD44AB"/>
    <w:rsid w:val="78B07273"/>
    <w:rsid w:val="78B490E7"/>
    <w:rsid w:val="78BCE192"/>
    <w:rsid w:val="78C7BCD4"/>
    <w:rsid w:val="78C93209"/>
    <w:rsid w:val="78C9FC47"/>
    <w:rsid w:val="78D268B5"/>
    <w:rsid w:val="78D61DF7"/>
    <w:rsid w:val="78F351A2"/>
    <w:rsid w:val="78F4B1D7"/>
    <w:rsid w:val="79088D58"/>
    <w:rsid w:val="79182C98"/>
    <w:rsid w:val="791D1497"/>
    <w:rsid w:val="79238B2A"/>
    <w:rsid w:val="7924F1C0"/>
    <w:rsid w:val="79283CE7"/>
    <w:rsid w:val="79421BFF"/>
    <w:rsid w:val="794E50E6"/>
    <w:rsid w:val="79510A36"/>
    <w:rsid w:val="7951E462"/>
    <w:rsid w:val="79638417"/>
    <w:rsid w:val="7973F077"/>
    <w:rsid w:val="797818A9"/>
    <w:rsid w:val="797D672A"/>
    <w:rsid w:val="798DF9CB"/>
    <w:rsid w:val="798FF3A8"/>
    <w:rsid w:val="799FBCB1"/>
    <w:rsid w:val="79A967FB"/>
    <w:rsid w:val="79AD1053"/>
    <w:rsid w:val="79C03B5B"/>
    <w:rsid w:val="79C58178"/>
    <w:rsid w:val="79CF67E9"/>
    <w:rsid w:val="79D533C0"/>
    <w:rsid w:val="79D577AF"/>
    <w:rsid w:val="79D6F89B"/>
    <w:rsid w:val="79DAD4D4"/>
    <w:rsid w:val="79DC6032"/>
    <w:rsid w:val="79E54A39"/>
    <w:rsid w:val="79F35D93"/>
    <w:rsid w:val="79F5D01D"/>
    <w:rsid w:val="79F7A183"/>
    <w:rsid w:val="79FE057F"/>
    <w:rsid w:val="7A002BA4"/>
    <w:rsid w:val="7A0573C3"/>
    <w:rsid w:val="7A28EF5C"/>
    <w:rsid w:val="7A2A1939"/>
    <w:rsid w:val="7A329821"/>
    <w:rsid w:val="7A3C94E5"/>
    <w:rsid w:val="7A480EC0"/>
    <w:rsid w:val="7A4C9B42"/>
    <w:rsid w:val="7A775228"/>
    <w:rsid w:val="7A856BE9"/>
    <w:rsid w:val="7A9CB6BA"/>
    <w:rsid w:val="7A9F2F10"/>
    <w:rsid w:val="7AA4D8F5"/>
    <w:rsid w:val="7AB0E5F0"/>
    <w:rsid w:val="7AB2B519"/>
    <w:rsid w:val="7AB40438"/>
    <w:rsid w:val="7AB88DF7"/>
    <w:rsid w:val="7ABE3DAC"/>
    <w:rsid w:val="7AC54ED1"/>
    <w:rsid w:val="7AC8D1DE"/>
    <w:rsid w:val="7ACD910C"/>
    <w:rsid w:val="7ADA3741"/>
    <w:rsid w:val="7ADBB784"/>
    <w:rsid w:val="7ADF131D"/>
    <w:rsid w:val="7AE318A7"/>
    <w:rsid w:val="7AE3CDE0"/>
    <w:rsid w:val="7AE64A07"/>
    <w:rsid w:val="7AFE1847"/>
    <w:rsid w:val="7B051565"/>
    <w:rsid w:val="7B05EF5C"/>
    <w:rsid w:val="7B06E042"/>
    <w:rsid w:val="7B0BF45D"/>
    <w:rsid w:val="7B16231E"/>
    <w:rsid w:val="7B1EE68C"/>
    <w:rsid w:val="7B287E6F"/>
    <w:rsid w:val="7B2BCF50"/>
    <w:rsid w:val="7B2E49AF"/>
    <w:rsid w:val="7B300191"/>
    <w:rsid w:val="7B3570C4"/>
    <w:rsid w:val="7B3BA4FF"/>
    <w:rsid w:val="7B4B3046"/>
    <w:rsid w:val="7B60B590"/>
    <w:rsid w:val="7B72C5B0"/>
    <w:rsid w:val="7B7AA314"/>
    <w:rsid w:val="7B82D2FB"/>
    <w:rsid w:val="7B876A79"/>
    <w:rsid w:val="7B98E082"/>
    <w:rsid w:val="7B9D8087"/>
    <w:rsid w:val="7B9F0719"/>
    <w:rsid w:val="7BAECF00"/>
    <w:rsid w:val="7BB21A24"/>
    <w:rsid w:val="7BB55CD4"/>
    <w:rsid w:val="7BC0E53D"/>
    <w:rsid w:val="7BCA298B"/>
    <w:rsid w:val="7BCB9822"/>
    <w:rsid w:val="7BCBC3FE"/>
    <w:rsid w:val="7BD355D9"/>
    <w:rsid w:val="7BDA4C16"/>
    <w:rsid w:val="7BE8A0DE"/>
    <w:rsid w:val="7BEEFC41"/>
    <w:rsid w:val="7BF6380B"/>
    <w:rsid w:val="7BF6839E"/>
    <w:rsid w:val="7BFADFBE"/>
    <w:rsid w:val="7BFAE4E1"/>
    <w:rsid w:val="7C014994"/>
    <w:rsid w:val="7C018D84"/>
    <w:rsid w:val="7C06B18A"/>
    <w:rsid w:val="7C090452"/>
    <w:rsid w:val="7C13C3CB"/>
    <w:rsid w:val="7C19AF38"/>
    <w:rsid w:val="7C1E25BB"/>
    <w:rsid w:val="7C23E14A"/>
    <w:rsid w:val="7C23F60E"/>
    <w:rsid w:val="7C3976C1"/>
    <w:rsid w:val="7C3C516C"/>
    <w:rsid w:val="7C599807"/>
    <w:rsid w:val="7C678C05"/>
    <w:rsid w:val="7C6ABA64"/>
    <w:rsid w:val="7C799D6F"/>
    <w:rsid w:val="7C870FB5"/>
    <w:rsid w:val="7C96B216"/>
    <w:rsid w:val="7CA30F0F"/>
    <w:rsid w:val="7CB4BE45"/>
    <w:rsid w:val="7CBA8A60"/>
    <w:rsid w:val="7CBDADBE"/>
    <w:rsid w:val="7CC03BC5"/>
    <w:rsid w:val="7CCA65A5"/>
    <w:rsid w:val="7CD789E6"/>
    <w:rsid w:val="7CD79C92"/>
    <w:rsid w:val="7CD8B276"/>
    <w:rsid w:val="7CDDD686"/>
    <w:rsid w:val="7CFC73A4"/>
    <w:rsid w:val="7CFEBAA2"/>
    <w:rsid w:val="7D0708AB"/>
    <w:rsid w:val="7D08B017"/>
    <w:rsid w:val="7D1E5A96"/>
    <w:rsid w:val="7D1E633C"/>
    <w:rsid w:val="7D28437C"/>
    <w:rsid w:val="7D30B868"/>
    <w:rsid w:val="7D30C2EF"/>
    <w:rsid w:val="7D318C27"/>
    <w:rsid w:val="7D32E1F6"/>
    <w:rsid w:val="7D33786F"/>
    <w:rsid w:val="7D39AD20"/>
    <w:rsid w:val="7D4C6653"/>
    <w:rsid w:val="7D50FAD6"/>
    <w:rsid w:val="7D690FBA"/>
    <w:rsid w:val="7D747F46"/>
    <w:rsid w:val="7D79EAEC"/>
    <w:rsid w:val="7D814B6C"/>
    <w:rsid w:val="7D8C4C72"/>
    <w:rsid w:val="7D918D44"/>
    <w:rsid w:val="7DA07DC7"/>
    <w:rsid w:val="7DB27C9C"/>
    <w:rsid w:val="7DD7A0AD"/>
    <w:rsid w:val="7DDD2288"/>
    <w:rsid w:val="7DDEF805"/>
    <w:rsid w:val="7DE9EFCD"/>
    <w:rsid w:val="7DF1AD92"/>
    <w:rsid w:val="7DF205EC"/>
    <w:rsid w:val="7E151C3A"/>
    <w:rsid w:val="7E157C06"/>
    <w:rsid w:val="7E193D0C"/>
    <w:rsid w:val="7E21FFED"/>
    <w:rsid w:val="7E2A63DD"/>
    <w:rsid w:val="7E3D5BD9"/>
    <w:rsid w:val="7E4FF8A3"/>
    <w:rsid w:val="7E53BEDE"/>
    <w:rsid w:val="7E5915A6"/>
    <w:rsid w:val="7E5C361F"/>
    <w:rsid w:val="7E71FFC8"/>
    <w:rsid w:val="7E723B6A"/>
    <w:rsid w:val="7E8B00C5"/>
    <w:rsid w:val="7E92A3AA"/>
    <w:rsid w:val="7E948622"/>
    <w:rsid w:val="7E9A2A0D"/>
    <w:rsid w:val="7EA04A74"/>
    <w:rsid w:val="7EA2D90C"/>
    <w:rsid w:val="7EA31E2C"/>
    <w:rsid w:val="7EA4DBEA"/>
    <w:rsid w:val="7EB617B4"/>
    <w:rsid w:val="7ECC4C21"/>
    <w:rsid w:val="7EE33F1A"/>
    <w:rsid w:val="7F003F7E"/>
    <w:rsid w:val="7F08A792"/>
    <w:rsid w:val="7F112A4C"/>
    <w:rsid w:val="7F172654"/>
    <w:rsid w:val="7F1AE405"/>
    <w:rsid w:val="7F1DE412"/>
    <w:rsid w:val="7F26FDCD"/>
    <w:rsid w:val="7F31E0E4"/>
    <w:rsid w:val="7F3994A3"/>
    <w:rsid w:val="7F3A6DDE"/>
    <w:rsid w:val="7F3BE9B9"/>
    <w:rsid w:val="7F58AA55"/>
    <w:rsid w:val="7F5C7C6B"/>
    <w:rsid w:val="7F5FD3B9"/>
    <w:rsid w:val="7F66E7CF"/>
    <w:rsid w:val="7F682D9D"/>
    <w:rsid w:val="7F6DD741"/>
    <w:rsid w:val="7F6EE1AA"/>
    <w:rsid w:val="7F75D07B"/>
    <w:rsid w:val="7F774D7F"/>
    <w:rsid w:val="7F7E74EC"/>
    <w:rsid w:val="7F888133"/>
    <w:rsid w:val="7F8C3284"/>
    <w:rsid w:val="7F921080"/>
    <w:rsid w:val="7F9D91BB"/>
    <w:rsid w:val="7FA23AC0"/>
    <w:rsid w:val="7FAE6EDA"/>
    <w:rsid w:val="7FBE69DE"/>
    <w:rsid w:val="7FC34C95"/>
    <w:rsid w:val="7FD15E7B"/>
    <w:rsid w:val="7FDEB401"/>
    <w:rsid w:val="7FE7D299"/>
    <w:rsid w:val="7FFC353D"/>
    <w:rsid w:val="7FFE218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EB1CA2"/>
  <w15:chartTrackingRefBased/>
  <w15:docId w15:val="{1D6854A1-12EA-4F25-ADB0-B4DCDE2E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27"/>
    <w:rPr>
      <w:rFonts w:ascii="Calibri" w:eastAsia="Calibri" w:hAnsi="Calibri" w:cs="Myanmar Text"/>
    </w:rPr>
  </w:style>
  <w:style w:type="paragraph" w:styleId="Heading1">
    <w:name w:val="heading 1"/>
    <w:basedOn w:val="Normal"/>
    <w:next w:val="Text1"/>
    <w:link w:val="Heading1Char"/>
    <w:uiPriority w:val="9"/>
    <w:qFormat/>
    <w:rsid w:val="007B4D63"/>
    <w:pPr>
      <w:keepNext/>
      <w:numPr>
        <w:numId w:val="9"/>
      </w:numPr>
      <w:tabs>
        <w:tab w:val="clear" w:pos="850"/>
        <w:tab w:val="num" w:pos="1984"/>
      </w:tabs>
      <w:spacing w:before="360" w:after="120" w:line="240" w:lineRule="auto"/>
      <w:ind w:left="1984" w:hanging="567"/>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rsid w:val="007B4D63"/>
    <w:pPr>
      <w:keepNext/>
      <w:numPr>
        <w:ilvl w:val="1"/>
        <w:numId w:val="9"/>
      </w:numPr>
      <w:tabs>
        <w:tab w:val="clear" w:pos="850"/>
        <w:tab w:val="num" w:pos="1984"/>
      </w:tabs>
      <w:spacing w:before="120" w:after="120" w:line="240" w:lineRule="auto"/>
      <w:ind w:left="1984" w:hanging="567"/>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rsid w:val="007B4D63"/>
    <w:pPr>
      <w:keepNext/>
      <w:numPr>
        <w:ilvl w:val="2"/>
        <w:numId w:val="9"/>
      </w:numPr>
      <w:tabs>
        <w:tab w:val="clear" w:pos="850"/>
        <w:tab w:val="num" w:pos="1984"/>
      </w:tabs>
      <w:spacing w:before="120" w:after="120" w:line="240" w:lineRule="auto"/>
      <w:ind w:left="1984" w:hanging="567"/>
      <w:jc w:val="both"/>
      <w:outlineLvl w:val="2"/>
    </w:pPr>
    <w:rPr>
      <w:rFonts w:ascii="Times New Roman" w:eastAsia="Times New Roman" w:hAnsi="Times New Roman" w:cs="Times New Roman"/>
      <w:bCs/>
      <w:i/>
      <w:sz w:val="24"/>
    </w:rPr>
  </w:style>
  <w:style w:type="paragraph" w:styleId="Heading4">
    <w:name w:val="heading 4"/>
    <w:basedOn w:val="Text1"/>
    <w:next w:val="Text1"/>
    <w:link w:val="Heading4Char"/>
    <w:uiPriority w:val="9"/>
    <w:unhideWhenUsed/>
    <w:qFormat/>
    <w:rsid w:val="00645BC7"/>
    <w:pPr>
      <w:ind w:left="680" w:firstLine="6"/>
      <w:outlineLvl w:val="3"/>
    </w:pPr>
    <w:rPr>
      <w:b/>
      <w:bCs/>
    </w:rPr>
  </w:style>
  <w:style w:type="paragraph" w:styleId="Heading5">
    <w:name w:val="heading 5"/>
    <w:basedOn w:val="Normal"/>
    <w:next w:val="Normal"/>
    <w:link w:val="Heading5Char"/>
    <w:uiPriority w:val="9"/>
    <w:unhideWhenUsed/>
    <w:qFormat/>
    <w:rsid w:val="00645BC7"/>
    <w:pPr>
      <w:keepNext/>
      <w:keepLines/>
      <w:spacing w:before="40" w:after="0" w:line="240" w:lineRule="auto"/>
      <w:jc w:val="both"/>
      <w:outlineLvl w:val="4"/>
    </w:pPr>
    <w:rPr>
      <w:rFonts w:ascii="Cambria" w:eastAsia="Times New Roman" w:hAnsi="Cambria"/>
      <w:color w:val="365F9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C7"/>
    <w:rPr>
      <w:rFonts w:ascii="Times New Roman" w:eastAsia="Times New Roman" w:hAnsi="Times New Roman" w:cs="Times New Roman"/>
      <w:b/>
      <w:bCs/>
      <w:smallCaps/>
      <w:sz w:val="24"/>
      <w:szCs w:val="28"/>
    </w:rPr>
  </w:style>
  <w:style w:type="character" w:customStyle="1" w:styleId="Heading2Char">
    <w:name w:val="Heading 2 Char"/>
    <w:basedOn w:val="DefaultParagraphFont"/>
    <w:link w:val="Heading2"/>
    <w:uiPriority w:val="9"/>
    <w:rsid w:val="00645BC7"/>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645BC7"/>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
    <w:rsid w:val="00645BC7"/>
    <w:rPr>
      <w:rFonts w:ascii="Times New Roman" w:eastAsia="Calibri" w:hAnsi="Times New Roman" w:cs="Times New Roman"/>
      <w:b/>
      <w:bCs/>
      <w:sz w:val="24"/>
    </w:rPr>
  </w:style>
  <w:style w:type="character" w:customStyle="1" w:styleId="Heading5Char">
    <w:name w:val="Heading 5 Char"/>
    <w:basedOn w:val="DefaultParagraphFont"/>
    <w:link w:val="Heading5"/>
    <w:uiPriority w:val="9"/>
    <w:rsid w:val="00645BC7"/>
    <w:rPr>
      <w:rFonts w:ascii="Cambria" w:eastAsia="Times New Roman" w:hAnsi="Cambria" w:cs="Myanmar Text"/>
      <w:color w:val="365F91"/>
      <w:sz w:val="24"/>
    </w:rPr>
  </w:style>
  <w:style w:type="numbering" w:customStyle="1" w:styleId="NoList1">
    <w:name w:val="No List1"/>
    <w:next w:val="NoList"/>
    <w:uiPriority w:val="99"/>
    <w:semiHidden/>
    <w:unhideWhenUsed/>
    <w:rsid w:val="00645BC7"/>
  </w:style>
  <w:style w:type="paragraph" w:styleId="Header">
    <w:name w:val="header"/>
    <w:basedOn w:val="Normal"/>
    <w:link w:val="HeaderChar"/>
    <w:uiPriority w:val="99"/>
    <w:unhideWhenUsed/>
    <w:rsid w:val="00645BC7"/>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645BC7"/>
    <w:rPr>
      <w:rFonts w:ascii="Times New Roman" w:eastAsia="Calibri" w:hAnsi="Times New Roman" w:cs="Times New Roman"/>
      <w:sz w:val="24"/>
    </w:rPr>
  </w:style>
  <w:style w:type="paragraph" w:styleId="Footer">
    <w:name w:val="footer"/>
    <w:basedOn w:val="Normal"/>
    <w:link w:val="FooterChar"/>
    <w:uiPriority w:val="99"/>
    <w:unhideWhenUsed/>
    <w:rsid w:val="00645B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645BC7"/>
    <w:rPr>
      <w:rFonts w:ascii="Times New Roman" w:eastAsia="Calibri" w:hAnsi="Times New Roman" w:cs="Times New Roman"/>
      <w:sz w:val="24"/>
    </w:rPr>
  </w:style>
  <w:style w:type="paragraph" w:styleId="FootnoteText">
    <w:name w:val="footnote text"/>
    <w:basedOn w:val="Normal"/>
    <w:link w:val="FootnoteTextChar"/>
    <w:uiPriority w:val="99"/>
    <w:unhideWhenUsed/>
    <w:rsid w:val="006E0EA2"/>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45BC7"/>
    <w:rPr>
      <w:rFonts w:ascii="Times New Roman" w:eastAsia="Calibri" w:hAnsi="Times New Roman" w:cs="Times New Roman"/>
      <w:sz w:val="20"/>
      <w:szCs w:val="20"/>
    </w:rPr>
  </w:style>
  <w:style w:type="paragraph" w:styleId="TOCHeading">
    <w:name w:val="TOC Heading"/>
    <w:basedOn w:val="Normal"/>
    <w:next w:val="Normal"/>
    <w:uiPriority w:val="39"/>
    <w:semiHidden/>
    <w:unhideWhenUsed/>
    <w:qFormat/>
    <w:rsid w:val="00645BC7"/>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645BC7"/>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645BC7"/>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645BC7"/>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645BC7"/>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645BC7"/>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645BC7"/>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rsid w:val="00645BC7"/>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645BC7"/>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unhideWhenUsed/>
    <w:rsid w:val="006E0EA2"/>
    <w:rPr>
      <w:shd w:val="clear" w:color="auto" w:fill="auto"/>
      <w:vertAlign w:val="superscript"/>
    </w:rPr>
  </w:style>
  <w:style w:type="paragraph" w:customStyle="1" w:styleId="HeaderSensitivity">
    <w:name w:val="Header Sensitivity"/>
    <w:basedOn w:val="Normal"/>
    <w:rsid w:val="00645BC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CF7AB7"/>
    <w:pPr>
      <w:spacing w:after="120" w:line="240" w:lineRule="auto"/>
      <w:jc w:val="right"/>
    </w:pPr>
    <w:rPr>
      <w:rFonts w:ascii="Times New Roman" w:hAnsi="Times New Roman" w:cs="Times New Roman"/>
      <w:sz w:val="28"/>
    </w:rPr>
  </w:style>
  <w:style w:type="paragraph" w:customStyle="1" w:styleId="FooterSensitivity">
    <w:name w:val="Footer Sensitivity"/>
    <w:basedOn w:val="Normal"/>
    <w:rsid w:val="00645BC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rsid w:val="00645BC7"/>
    <w:pPr>
      <w:spacing w:before="120" w:after="120" w:line="240" w:lineRule="auto"/>
      <w:ind w:left="850"/>
      <w:jc w:val="both"/>
    </w:pPr>
    <w:rPr>
      <w:rFonts w:ascii="Times New Roman" w:hAnsi="Times New Roman" w:cs="Times New Roman"/>
      <w:sz w:val="24"/>
    </w:rPr>
  </w:style>
  <w:style w:type="paragraph" w:customStyle="1" w:styleId="Text2">
    <w:name w:val="Text 2"/>
    <w:basedOn w:val="Normal"/>
    <w:rsid w:val="00645BC7"/>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645BC7"/>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645BC7"/>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645BC7"/>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645BC7"/>
    <w:pPr>
      <w:spacing w:before="120" w:after="120" w:line="240" w:lineRule="auto"/>
    </w:pPr>
    <w:rPr>
      <w:rFonts w:ascii="Times New Roman" w:hAnsi="Times New Roman" w:cs="Times New Roman"/>
      <w:sz w:val="24"/>
    </w:rPr>
  </w:style>
  <w:style w:type="paragraph" w:customStyle="1" w:styleId="NormalRight">
    <w:name w:val="Normal Right"/>
    <w:basedOn w:val="Normal"/>
    <w:rsid w:val="00645BC7"/>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645BC7"/>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645BC7"/>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645BC7"/>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645BC7"/>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645BC7"/>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645BC7"/>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7B4D63"/>
    <w:pPr>
      <w:numPr>
        <w:numId w:val="3"/>
      </w:numPr>
      <w:tabs>
        <w:tab w:val="clear" w:pos="850"/>
        <w:tab w:val="num" w:pos="3118"/>
      </w:tabs>
      <w:ind w:left="3118" w:hanging="567"/>
    </w:pPr>
  </w:style>
  <w:style w:type="paragraph" w:customStyle="1" w:styleId="Tiret1">
    <w:name w:val="Tiret 1"/>
    <w:basedOn w:val="Point1"/>
    <w:rsid w:val="007B4D63"/>
    <w:pPr>
      <w:numPr>
        <w:numId w:val="4"/>
      </w:numPr>
      <w:tabs>
        <w:tab w:val="clear" w:pos="1417"/>
        <w:tab w:val="num" w:pos="850"/>
      </w:tabs>
      <w:ind w:left="850" w:hanging="850"/>
    </w:pPr>
  </w:style>
  <w:style w:type="paragraph" w:customStyle="1" w:styleId="Tiret2">
    <w:name w:val="Tiret 2"/>
    <w:basedOn w:val="Point2"/>
    <w:rsid w:val="007B4D63"/>
    <w:pPr>
      <w:numPr>
        <w:numId w:val="5"/>
      </w:numPr>
      <w:tabs>
        <w:tab w:val="clear" w:pos="1984"/>
        <w:tab w:val="num" w:pos="850"/>
      </w:tabs>
      <w:ind w:left="850" w:hanging="850"/>
    </w:pPr>
  </w:style>
  <w:style w:type="paragraph" w:customStyle="1" w:styleId="Tiret3">
    <w:name w:val="Tiret 3"/>
    <w:basedOn w:val="Point3"/>
    <w:rsid w:val="007B4D63"/>
    <w:pPr>
      <w:numPr>
        <w:numId w:val="6"/>
      </w:numPr>
      <w:tabs>
        <w:tab w:val="clear" w:pos="2551"/>
        <w:tab w:val="num" w:pos="850"/>
      </w:tabs>
      <w:ind w:left="850" w:hanging="850"/>
    </w:pPr>
  </w:style>
  <w:style w:type="paragraph" w:customStyle="1" w:styleId="Tiret4">
    <w:name w:val="Tiret 4"/>
    <w:basedOn w:val="Point4"/>
    <w:rsid w:val="007B4D63"/>
    <w:pPr>
      <w:numPr>
        <w:numId w:val="7"/>
      </w:numPr>
      <w:tabs>
        <w:tab w:val="clear" w:pos="3118"/>
        <w:tab w:val="num" w:pos="850"/>
      </w:tabs>
      <w:ind w:left="850" w:hanging="850"/>
    </w:pPr>
  </w:style>
  <w:style w:type="paragraph" w:customStyle="1" w:styleId="PointDouble0">
    <w:name w:val="PointDouble 0"/>
    <w:basedOn w:val="Normal"/>
    <w:rsid w:val="00645BC7"/>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645BC7"/>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645BC7"/>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645BC7"/>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645BC7"/>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645BC7"/>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645BC7"/>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645BC7"/>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645BC7"/>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645BC7"/>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7B4D63"/>
    <w:pPr>
      <w:numPr>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2">
    <w:name w:val="NumPar 2"/>
    <w:basedOn w:val="Normal"/>
    <w:next w:val="Text1"/>
    <w:rsid w:val="007B4D63"/>
    <w:pPr>
      <w:numPr>
        <w:ilvl w:val="1"/>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3">
    <w:name w:val="NumPar 3"/>
    <w:basedOn w:val="Normal"/>
    <w:next w:val="Text1"/>
    <w:rsid w:val="007B4D63"/>
    <w:pPr>
      <w:numPr>
        <w:ilvl w:val="2"/>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NumPar4">
    <w:name w:val="NumPar 4"/>
    <w:basedOn w:val="Normal"/>
    <w:next w:val="Text1"/>
    <w:rsid w:val="007B4D63"/>
    <w:pPr>
      <w:numPr>
        <w:ilvl w:val="3"/>
        <w:numId w:val="8"/>
      </w:numPr>
      <w:tabs>
        <w:tab w:val="clear" w:pos="850"/>
        <w:tab w:val="num" w:pos="1417"/>
      </w:tabs>
      <w:spacing w:before="120" w:after="120" w:line="240" w:lineRule="auto"/>
      <w:ind w:left="1417" w:hanging="567"/>
      <w:jc w:val="both"/>
    </w:pPr>
    <w:rPr>
      <w:rFonts w:ascii="Times New Roman" w:hAnsi="Times New Roman" w:cs="Times New Roman"/>
      <w:sz w:val="24"/>
    </w:rPr>
  </w:style>
  <w:style w:type="paragraph" w:customStyle="1" w:styleId="ManualNumPar1">
    <w:name w:val="Manual NumPar 1"/>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645BC7"/>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645BC7"/>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645BC7"/>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645BC7"/>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645BC7"/>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645BC7"/>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645BC7"/>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645BC7"/>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645BC7"/>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645BC7"/>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9D0F6E"/>
    <w:rPr>
      <w:color w:val="0000FF"/>
      <w:bdr w:val="none" w:sz="0" w:space="0" w:color="auto"/>
      <w:shd w:val="clear" w:color="auto" w:fill="auto"/>
    </w:rPr>
  </w:style>
  <w:style w:type="character" w:customStyle="1" w:styleId="Marker1">
    <w:name w:val="Marker1"/>
    <w:rsid w:val="00645BC7"/>
    <w:rPr>
      <w:color w:val="008000"/>
      <w:shd w:val="clear" w:color="auto" w:fill="auto"/>
    </w:rPr>
  </w:style>
  <w:style w:type="character" w:customStyle="1" w:styleId="Marker2">
    <w:name w:val="Marker2"/>
    <w:rsid w:val="00645BC7"/>
    <w:rPr>
      <w:color w:val="FF0000"/>
      <w:shd w:val="clear" w:color="auto" w:fill="auto"/>
    </w:rPr>
  </w:style>
  <w:style w:type="paragraph" w:customStyle="1" w:styleId="Point0number">
    <w:name w:val="Point 0 (number)"/>
    <w:basedOn w:val="Normal"/>
    <w:rsid w:val="007B4D63"/>
    <w:pPr>
      <w:numPr>
        <w:numId w:val="10"/>
      </w:numPr>
      <w:tabs>
        <w:tab w:val="clear" w:pos="850"/>
        <w:tab w:val="num" w:pos="2551"/>
      </w:tabs>
      <w:spacing w:before="120" w:after="120" w:line="240" w:lineRule="auto"/>
      <w:ind w:left="2551" w:hanging="567"/>
      <w:jc w:val="both"/>
    </w:pPr>
    <w:rPr>
      <w:rFonts w:ascii="Times New Roman" w:hAnsi="Times New Roman" w:cs="Times New Roman"/>
      <w:sz w:val="24"/>
    </w:rPr>
  </w:style>
  <w:style w:type="paragraph" w:customStyle="1" w:styleId="Point1number">
    <w:name w:val="Point 1 (number)"/>
    <w:basedOn w:val="Normal"/>
    <w:rsid w:val="007B4D63"/>
    <w:pPr>
      <w:numPr>
        <w:ilvl w:val="2"/>
        <w:numId w:val="10"/>
      </w:numPr>
      <w:tabs>
        <w:tab w:val="clear" w:pos="1417"/>
        <w:tab w:val="num" w:pos="2551"/>
      </w:tabs>
      <w:spacing w:before="120" w:after="120" w:line="240" w:lineRule="auto"/>
      <w:ind w:left="2551"/>
      <w:jc w:val="both"/>
    </w:pPr>
    <w:rPr>
      <w:rFonts w:ascii="Times New Roman" w:hAnsi="Times New Roman" w:cs="Times New Roman"/>
      <w:sz w:val="24"/>
    </w:rPr>
  </w:style>
  <w:style w:type="paragraph" w:customStyle="1" w:styleId="Point2number">
    <w:name w:val="Point 2 (number)"/>
    <w:basedOn w:val="Normal"/>
    <w:rsid w:val="007B4D63"/>
    <w:pPr>
      <w:numPr>
        <w:ilvl w:val="4"/>
        <w:numId w:val="10"/>
      </w:numPr>
      <w:tabs>
        <w:tab w:val="clear" w:pos="1984"/>
        <w:tab w:val="num" w:pos="2551"/>
      </w:tabs>
      <w:spacing w:before="120" w:after="120" w:line="240" w:lineRule="auto"/>
      <w:ind w:left="2551"/>
      <w:jc w:val="both"/>
    </w:pPr>
    <w:rPr>
      <w:rFonts w:ascii="Times New Roman" w:hAnsi="Times New Roman" w:cs="Times New Roman"/>
      <w:sz w:val="24"/>
    </w:rPr>
  </w:style>
  <w:style w:type="paragraph" w:customStyle="1" w:styleId="Point3number">
    <w:name w:val="Point 3 (number)"/>
    <w:basedOn w:val="Normal"/>
    <w:rsid w:val="00645BC7"/>
    <w:pPr>
      <w:numPr>
        <w:ilvl w:val="6"/>
        <w:numId w:val="1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rsid w:val="007B4D63"/>
    <w:pPr>
      <w:numPr>
        <w:ilvl w:val="1"/>
        <w:numId w:val="10"/>
      </w:numPr>
      <w:tabs>
        <w:tab w:val="clear" w:pos="850"/>
        <w:tab w:val="num" w:pos="2551"/>
      </w:tabs>
      <w:spacing w:before="120" w:after="120" w:line="240" w:lineRule="auto"/>
      <w:ind w:left="2551" w:hanging="567"/>
      <w:jc w:val="both"/>
    </w:pPr>
    <w:rPr>
      <w:rFonts w:ascii="Times New Roman" w:hAnsi="Times New Roman" w:cs="Times New Roman"/>
      <w:sz w:val="24"/>
    </w:rPr>
  </w:style>
  <w:style w:type="paragraph" w:customStyle="1" w:styleId="Point1letter">
    <w:name w:val="Point 1 (letter)"/>
    <w:basedOn w:val="Normal"/>
    <w:rsid w:val="007B4D63"/>
    <w:pPr>
      <w:numPr>
        <w:ilvl w:val="3"/>
        <w:numId w:val="10"/>
      </w:numPr>
      <w:tabs>
        <w:tab w:val="clear" w:pos="1417"/>
        <w:tab w:val="num" w:pos="2551"/>
      </w:tabs>
      <w:spacing w:before="120" w:after="120" w:line="240" w:lineRule="auto"/>
      <w:ind w:left="2551"/>
      <w:jc w:val="both"/>
    </w:pPr>
    <w:rPr>
      <w:rFonts w:ascii="Times New Roman" w:hAnsi="Times New Roman" w:cs="Times New Roman"/>
      <w:sz w:val="24"/>
    </w:rPr>
  </w:style>
  <w:style w:type="paragraph" w:customStyle="1" w:styleId="Point2letter">
    <w:name w:val="Point 2 (letter)"/>
    <w:basedOn w:val="Normal"/>
    <w:rsid w:val="007B4D63"/>
    <w:pPr>
      <w:numPr>
        <w:ilvl w:val="5"/>
        <w:numId w:val="10"/>
      </w:numPr>
      <w:tabs>
        <w:tab w:val="clear" w:pos="1984"/>
        <w:tab w:val="num" w:pos="2551"/>
      </w:tabs>
      <w:spacing w:before="120" w:after="120" w:line="240" w:lineRule="auto"/>
      <w:ind w:left="2551"/>
      <w:jc w:val="both"/>
    </w:pPr>
    <w:rPr>
      <w:rFonts w:ascii="Times New Roman" w:hAnsi="Times New Roman" w:cs="Times New Roman"/>
      <w:sz w:val="24"/>
    </w:rPr>
  </w:style>
  <w:style w:type="paragraph" w:customStyle="1" w:styleId="Point3letter">
    <w:name w:val="Point 3 (letter)"/>
    <w:basedOn w:val="Normal"/>
    <w:rsid w:val="00645BC7"/>
    <w:pPr>
      <w:numPr>
        <w:ilvl w:val="7"/>
        <w:numId w:val="1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rsid w:val="007B4D63"/>
    <w:pPr>
      <w:numPr>
        <w:ilvl w:val="8"/>
        <w:numId w:val="10"/>
      </w:numPr>
      <w:tabs>
        <w:tab w:val="clear" w:pos="3118"/>
        <w:tab w:val="num" w:pos="2551"/>
      </w:tabs>
      <w:spacing w:before="120" w:after="120" w:line="240" w:lineRule="auto"/>
      <w:ind w:left="2551"/>
      <w:jc w:val="both"/>
    </w:pPr>
    <w:rPr>
      <w:rFonts w:ascii="Times New Roman" w:hAnsi="Times New Roman" w:cs="Times New Roman"/>
      <w:sz w:val="24"/>
    </w:rPr>
  </w:style>
  <w:style w:type="paragraph" w:customStyle="1" w:styleId="Bullet0">
    <w:name w:val="Bullet 0"/>
    <w:basedOn w:val="Normal"/>
    <w:rsid w:val="007B4D63"/>
    <w:pPr>
      <w:numPr>
        <w:numId w:val="11"/>
      </w:numPr>
      <w:tabs>
        <w:tab w:val="clear" w:pos="850"/>
        <w:tab w:val="num" w:pos="3118"/>
      </w:tabs>
      <w:spacing w:before="120" w:after="120" w:line="240" w:lineRule="auto"/>
      <w:ind w:left="3118" w:hanging="567"/>
      <w:jc w:val="both"/>
    </w:pPr>
    <w:rPr>
      <w:rFonts w:ascii="Times New Roman" w:hAnsi="Times New Roman" w:cs="Times New Roman"/>
      <w:sz w:val="24"/>
    </w:rPr>
  </w:style>
  <w:style w:type="paragraph" w:customStyle="1" w:styleId="Bullet1">
    <w:name w:val="Bullet 1"/>
    <w:basedOn w:val="Normal"/>
    <w:rsid w:val="007B4D63"/>
    <w:pPr>
      <w:numPr>
        <w:numId w:val="12"/>
      </w:numPr>
      <w:tabs>
        <w:tab w:val="clear" w:pos="1417"/>
        <w:tab w:val="num" w:pos="709"/>
      </w:tabs>
      <w:spacing w:before="120" w:after="120" w:line="240" w:lineRule="auto"/>
      <w:ind w:left="709" w:hanging="709"/>
      <w:jc w:val="both"/>
    </w:pPr>
    <w:rPr>
      <w:rFonts w:ascii="Times New Roman" w:hAnsi="Times New Roman" w:cs="Times New Roman"/>
      <w:sz w:val="24"/>
    </w:rPr>
  </w:style>
  <w:style w:type="paragraph" w:customStyle="1" w:styleId="Bullet2">
    <w:name w:val="Bullet 2"/>
    <w:basedOn w:val="Normal"/>
    <w:rsid w:val="007B4D63"/>
    <w:pPr>
      <w:numPr>
        <w:numId w:val="13"/>
      </w:numPr>
      <w:tabs>
        <w:tab w:val="clear" w:pos="1984"/>
        <w:tab w:val="num" w:pos="850"/>
      </w:tabs>
      <w:spacing w:before="120" w:after="120" w:line="240" w:lineRule="auto"/>
      <w:ind w:left="850" w:hanging="850"/>
      <w:jc w:val="both"/>
    </w:pPr>
    <w:rPr>
      <w:rFonts w:ascii="Times New Roman" w:hAnsi="Times New Roman" w:cs="Times New Roman"/>
      <w:sz w:val="24"/>
    </w:rPr>
  </w:style>
  <w:style w:type="paragraph" w:customStyle="1" w:styleId="Bullet3">
    <w:name w:val="Bullet 3"/>
    <w:basedOn w:val="Normal"/>
    <w:rsid w:val="007B4D63"/>
    <w:pPr>
      <w:numPr>
        <w:numId w:val="14"/>
      </w:numPr>
      <w:tabs>
        <w:tab w:val="clear" w:pos="2551"/>
        <w:tab w:val="num" w:pos="360"/>
      </w:tabs>
      <w:spacing w:before="120" w:after="120" w:line="240" w:lineRule="auto"/>
      <w:ind w:left="360" w:hanging="360"/>
      <w:jc w:val="both"/>
    </w:pPr>
    <w:rPr>
      <w:rFonts w:ascii="Times New Roman" w:hAnsi="Times New Roman" w:cs="Times New Roman"/>
      <w:sz w:val="24"/>
    </w:rPr>
  </w:style>
  <w:style w:type="paragraph" w:customStyle="1" w:styleId="Bullet4">
    <w:name w:val="Bullet 4"/>
    <w:basedOn w:val="Normal"/>
    <w:rsid w:val="007B4D63"/>
    <w:pPr>
      <w:numPr>
        <w:numId w:val="15"/>
      </w:numPr>
      <w:tabs>
        <w:tab w:val="clear" w:pos="3118"/>
        <w:tab w:val="num" w:pos="643"/>
      </w:tabs>
      <w:spacing w:before="120" w:after="120" w:line="240" w:lineRule="auto"/>
      <w:ind w:left="643" w:hanging="360"/>
      <w:jc w:val="both"/>
    </w:pPr>
    <w:rPr>
      <w:rFonts w:ascii="Times New Roman" w:hAnsi="Times New Roman" w:cs="Times New Roman"/>
      <w:sz w:val="24"/>
    </w:rPr>
  </w:style>
  <w:style w:type="paragraph" w:customStyle="1" w:styleId="Langue">
    <w:name w:val="Langue"/>
    <w:basedOn w:val="Normal"/>
    <w:next w:val="Rfrenceinterne"/>
    <w:rsid w:val="00645BC7"/>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645BC7"/>
    <w:pPr>
      <w:spacing w:after="0" w:line="240" w:lineRule="auto"/>
    </w:pPr>
    <w:rPr>
      <w:rFonts w:ascii="Arial" w:hAnsi="Arial" w:cs="Arial"/>
      <w:sz w:val="24"/>
    </w:rPr>
  </w:style>
  <w:style w:type="paragraph" w:customStyle="1" w:styleId="Emission">
    <w:name w:val="Emission"/>
    <w:basedOn w:val="Normal"/>
    <w:next w:val="Rfrenceinstitutionnelle"/>
    <w:rsid w:val="00645BC7"/>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645BC7"/>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rsid w:val="00645BC7"/>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rsid w:val="00645BC7"/>
    <w:pPr>
      <w:spacing w:after="0" w:line="240" w:lineRule="auto"/>
      <w:jc w:val="both"/>
    </w:pPr>
    <w:rPr>
      <w:rFonts w:ascii="Times New Roman" w:hAnsi="Times New Roman" w:cs="Times New Roman"/>
      <w:sz w:val="24"/>
    </w:rPr>
  </w:style>
  <w:style w:type="paragraph" w:customStyle="1" w:styleId="Disclaimer">
    <w:name w:val="Disclaimer"/>
    <w:basedOn w:val="Normal"/>
    <w:rsid w:val="00645BC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CF7AB7"/>
    <w:pPr>
      <w:spacing w:after="0"/>
      <w:ind w:left="5103"/>
    </w:pPr>
    <w:rPr>
      <w:rFonts w:ascii="Times New Roman" w:eastAsiaTheme="minorHAnsi" w:hAnsi="Times New Roman" w:cs="Times New Roman"/>
      <w:sz w:val="28"/>
    </w:rPr>
  </w:style>
  <w:style w:type="paragraph" w:customStyle="1" w:styleId="DateMarking">
    <w:name w:val="DateMarking"/>
    <w:basedOn w:val="Normal"/>
    <w:rsid w:val="00CF7AB7"/>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CF7AB7"/>
    <w:pPr>
      <w:spacing w:after="0"/>
      <w:ind w:left="5103"/>
    </w:pPr>
    <w:rPr>
      <w:rFonts w:ascii="Times New Roman" w:eastAsiaTheme="minorHAnsi" w:hAnsi="Times New Roman" w:cs="Times New Roman"/>
      <w:i/>
      <w:sz w:val="28"/>
    </w:rPr>
  </w:style>
  <w:style w:type="paragraph" w:customStyle="1" w:styleId="Annexetitreexpos">
    <w:name w:val="Annexe titre (exposé)"/>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645BC7"/>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645BC7"/>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645BC7"/>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645BC7"/>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7B4D63"/>
    <w:pPr>
      <w:numPr>
        <w:numId w:val="16"/>
      </w:numPr>
      <w:tabs>
        <w:tab w:val="clear" w:pos="709"/>
        <w:tab w:val="num" w:pos="926"/>
      </w:tabs>
      <w:spacing w:before="120" w:after="120" w:line="240" w:lineRule="auto"/>
      <w:ind w:left="926" w:hanging="360"/>
      <w:jc w:val="both"/>
    </w:pPr>
    <w:rPr>
      <w:rFonts w:ascii="Times New Roman" w:hAnsi="Times New Roman" w:cs="Times New Roman"/>
      <w:sz w:val="24"/>
    </w:rPr>
  </w:style>
  <w:style w:type="paragraph" w:customStyle="1" w:styleId="Corrigendum">
    <w:name w:val="Corrigendum"/>
    <w:basedOn w:val="Normal"/>
    <w:next w:val="Normal"/>
    <w:rsid w:val="00645BC7"/>
    <w:pPr>
      <w:spacing w:after="240" w:line="240" w:lineRule="auto"/>
    </w:pPr>
    <w:rPr>
      <w:rFonts w:ascii="Times New Roman" w:hAnsi="Times New Roman" w:cs="Times New Roman"/>
      <w:sz w:val="24"/>
    </w:rPr>
  </w:style>
  <w:style w:type="paragraph" w:customStyle="1" w:styleId="Datedadoption">
    <w:name w:val="Date d'adoption"/>
    <w:basedOn w:val="Normal"/>
    <w:next w:val="IntrtEEE"/>
    <w:rsid w:val="00645BC7"/>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645BC7"/>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645BC7"/>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645BC7"/>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645BC7"/>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645BC7"/>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645BC7"/>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645BC7"/>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645BC7"/>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645BC7"/>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rsid w:val="00645BC7"/>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rsid w:val="00645BC7"/>
    <w:pPr>
      <w:spacing w:before="360" w:after="180" w:line="240" w:lineRule="auto"/>
      <w:jc w:val="center"/>
    </w:pPr>
    <w:rPr>
      <w:rFonts w:ascii="Times New Roman" w:hAnsi="Times New Roman" w:cs="Times New Roman"/>
      <w:b/>
      <w:sz w:val="24"/>
    </w:rPr>
  </w:style>
  <w:style w:type="character" w:customStyle="1" w:styleId="Added">
    <w:name w:val="Added"/>
    <w:rsid w:val="00645BC7"/>
    <w:rPr>
      <w:b/>
      <w:u w:val="single"/>
      <w:shd w:val="clear" w:color="auto" w:fill="auto"/>
    </w:rPr>
  </w:style>
  <w:style w:type="character" w:customStyle="1" w:styleId="Deleted">
    <w:name w:val="Deleted"/>
    <w:rsid w:val="00645BC7"/>
    <w:rPr>
      <w:strike/>
      <w:dstrike w:val="0"/>
      <w:shd w:val="clear" w:color="auto" w:fill="auto"/>
    </w:rPr>
  </w:style>
  <w:style w:type="paragraph" w:customStyle="1" w:styleId="Address">
    <w:name w:val="Address"/>
    <w:basedOn w:val="Normal"/>
    <w:next w:val="Normal"/>
    <w:rsid w:val="00645BC7"/>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645BC7"/>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645BC7"/>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645BC7"/>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645BC7"/>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645BC7"/>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rsid w:val="00645BC7"/>
  </w:style>
  <w:style w:type="paragraph" w:customStyle="1" w:styleId="RfrenceinterinstitutionnellePagedecouverture">
    <w:name w:val="Référence interinstitutionnelle (Page de couverture)"/>
    <w:basedOn w:val="Rfrenceinterinstitutionnelle"/>
    <w:next w:val="Confidentialit"/>
    <w:rsid w:val="00645BC7"/>
  </w:style>
  <w:style w:type="paragraph" w:customStyle="1" w:styleId="StatutPagedecouverture">
    <w:name w:val="Statut (Page de couverture)"/>
    <w:basedOn w:val="Statut"/>
    <w:next w:val="TypedudocumentPagedecouverture"/>
    <w:rsid w:val="00645BC7"/>
  </w:style>
  <w:style w:type="paragraph" w:customStyle="1" w:styleId="TypedudocumentPagedecouverture">
    <w:name w:val="Type du document (Page de couverture)"/>
    <w:basedOn w:val="Typedudocument"/>
    <w:next w:val="AccompagnantPagedecouverture"/>
    <w:rsid w:val="00645BC7"/>
  </w:style>
  <w:style w:type="paragraph" w:customStyle="1" w:styleId="Volume">
    <w:name w:val="Volume"/>
    <w:basedOn w:val="Normal"/>
    <w:next w:val="Confidentialit"/>
    <w:rsid w:val="00645BC7"/>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645BC7"/>
    <w:pPr>
      <w:spacing w:after="240"/>
    </w:pPr>
  </w:style>
  <w:style w:type="paragraph" w:customStyle="1" w:styleId="Accompagnant">
    <w:name w:val="Accompagnant"/>
    <w:basedOn w:val="Normal"/>
    <w:next w:val="Typeacteprincipal"/>
    <w:rsid w:val="00645BC7"/>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rsid w:val="00645BC7"/>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645BC7"/>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645BC7"/>
  </w:style>
  <w:style w:type="paragraph" w:customStyle="1" w:styleId="AccompagnantPagedecouverture">
    <w:name w:val="Accompagnant (Page de couverture)"/>
    <w:basedOn w:val="Accompagnant"/>
    <w:next w:val="TypeacteprincipalPagedecouverture"/>
    <w:rsid w:val="00645BC7"/>
  </w:style>
  <w:style w:type="paragraph" w:customStyle="1" w:styleId="TypeacteprincipalPagedecouverture">
    <w:name w:val="Type acte principal (Page de couverture)"/>
    <w:basedOn w:val="Typeacteprincipal"/>
    <w:next w:val="ObjetacteprincipalPagedecouverture"/>
    <w:rsid w:val="00645BC7"/>
  </w:style>
  <w:style w:type="paragraph" w:customStyle="1" w:styleId="ObjetacteprincipalPagedecouverture">
    <w:name w:val="Objet acte principal (Page de couverture)"/>
    <w:basedOn w:val="Objetacteprincipal"/>
    <w:next w:val="Rfrencecroise"/>
    <w:rsid w:val="00645BC7"/>
  </w:style>
  <w:style w:type="paragraph" w:customStyle="1" w:styleId="LanguesfaisantfoiPagedecouverture">
    <w:name w:val="Langues faisant foi (Page de couverture)"/>
    <w:basedOn w:val="Normal"/>
    <w:next w:val="Normal"/>
    <w:rsid w:val="00645BC7"/>
    <w:pPr>
      <w:spacing w:before="360" w:after="0" w:line="240" w:lineRule="auto"/>
      <w:jc w:val="center"/>
    </w:pPr>
    <w:rPr>
      <w:rFonts w:ascii="Times New Roman" w:hAnsi="Times New Roman" w:cs="Times New Roman"/>
      <w:sz w:val="24"/>
    </w:rPr>
  </w:style>
  <w:style w:type="character" w:styleId="CommentReference">
    <w:name w:val="annotation reference"/>
    <w:uiPriority w:val="99"/>
    <w:unhideWhenUsed/>
    <w:rsid w:val="00645BC7"/>
    <w:rPr>
      <w:sz w:val="16"/>
      <w:szCs w:val="16"/>
    </w:rPr>
  </w:style>
  <w:style w:type="paragraph" w:styleId="CommentText">
    <w:name w:val="annotation text"/>
    <w:basedOn w:val="Normal"/>
    <w:link w:val="CommentTextChar"/>
    <w:uiPriority w:val="99"/>
    <w:unhideWhenUsed/>
    <w:rsid w:val="00645BC7"/>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645BC7"/>
    <w:rPr>
      <w:rFonts w:ascii="Times New Roman" w:eastAsia="Calibri"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645BC7"/>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645BC7"/>
    <w:rPr>
      <w:rFonts w:ascii="Calibri" w:eastAsia="Calibri" w:hAnsi="Calibri" w:cs="Myanmar Text"/>
    </w:rPr>
  </w:style>
  <w:style w:type="character" w:styleId="IntenseEmphasis">
    <w:name w:val="Intense Emphasis"/>
    <w:uiPriority w:val="21"/>
    <w:qFormat/>
    <w:rsid w:val="00645BC7"/>
    <w:rPr>
      <w:i/>
      <w:iCs/>
      <w:color w:val="4F81BD"/>
    </w:rPr>
  </w:style>
  <w:style w:type="paragraph" w:styleId="BalloonText">
    <w:name w:val="Balloon Text"/>
    <w:basedOn w:val="Normal"/>
    <w:link w:val="BalloonTextChar"/>
    <w:uiPriority w:val="99"/>
    <w:semiHidden/>
    <w:unhideWhenUsed/>
    <w:rsid w:val="00645BC7"/>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BC7"/>
    <w:rPr>
      <w:rFonts w:ascii="Segoe UI" w:eastAsia="Calibri" w:hAnsi="Segoe UI" w:cs="Segoe UI"/>
      <w:sz w:val="18"/>
      <w:szCs w:val="18"/>
    </w:rPr>
  </w:style>
  <w:style w:type="paragraph" w:styleId="ListBullet">
    <w:name w:val="List Bullet"/>
    <w:basedOn w:val="Normal"/>
    <w:uiPriority w:val="99"/>
    <w:semiHidden/>
    <w:unhideWhenUsed/>
    <w:rsid w:val="007B4D63"/>
    <w:pPr>
      <w:numPr>
        <w:numId w:val="18"/>
      </w:numPr>
      <w:tabs>
        <w:tab w:val="clear" w:pos="360"/>
      </w:tabs>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rsid w:val="007B4D63"/>
    <w:pPr>
      <w:numPr>
        <w:numId w:val="19"/>
      </w:numPr>
      <w:tabs>
        <w:tab w:val="clear" w:pos="643"/>
      </w:tabs>
      <w:spacing w:before="120" w:after="120" w:line="240" w:lineRule="auto"/>
      <w:ind w:left="720"/>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7B4D63"/>
    <w:pPr>
      <w:numPr>
        <w:numId w:val="20"/>
      </w:numPr>
      <w:tabs>
        <w:tab w:val="clear" w:pos="926"/>
      </w:tabs>
      <w:spacing w:before="120" w:after="120" w:line="240" w:lineRule="auto"/>
      <w:ind w:left="720"/>
      <w:contextualSpacing/>
      <w:jc w:val="both"/>
    </w:pPr>
    <w:rPr>
      <w:rFonts w:ascii="Times New Roman" w:hAnsi="Times New Roman" w:cs="Times New Roman"/>
      <w:sz w:val="24"/>
    </w:rPr>
  </w:style>
  <w:style w:type="paragraph" w:styleId="ListBullet4">
    <w:name w:val="List Bullet 4"/>
    <w:basedOn w:val="Normal"/>
    <w:uiPriority w:val="99"/>
    <w:semiHidden/>
    <w:unhideWhenUsed/>
    <w:rsid w:val="007B4D63"/>
    <w:pPr>
      <w:numPr>
        <w:numId w:val="21"/>
      </w:numPr>
      <w:tabs>
        <w:tab w:val="clear" w:pos="1209"/>
      </w:tabs>
      <w:spacing w:before="120" w:after="120" w:line="240" w:lineRule="auto"/>
      <w:ind w:left="720"/>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645BC7"/>
    <w:rPr>
      <w:b/>
      <w:bCs/>
    </w:rPr>
  </w:style>
  <w:style w:type="character" w:customStyle="1" w:styleId="CommentSubjectChar">
    <w:name w:val="Comment Subject Char"/>
    <w:basedOn w:val="CommentTextChar"/>
    <w:link w:val="CommentSubject"/>
    <w:uiPriority w:val="99"/>
    <w:semiHidden/>
    <w:rsid w:val="00645BC7"/>
    <w:rPr>
      <w:rFonts w:ascii="Times New Roman" w:eastAsia="Calibri" w:hAnsi="Times New Roman" w:cs="Times New Roman"/>
      <w:b/>
      <w:bCs/>
      <w:sz w:val="20"/>
      <w:szCs w:val="20"/>
    </w:rPr>
  </w:style>
  <w:style w:type="paragraph" w:styleId="Revision">
    <w:name w:val="Revision"/>
    <w:hidden/>
    <w:uiPriority w:val="99"/>
    <w:semiHidden/>
    <w:rsid w:val="00645BC7"/>
    <w:pPr>
      <w:spacing w:after="0" w:line="240" w:lineRule="auto"/>
    </w:pPr>
    <w:rPr>
      <w:rFonts w:ascii="Times New Roman" w:eastAsia="Calibri" w:hAnsi="Times New Roman" w:cs="Times New Roman"/>
      <w:sz w:val="24"/>
    </w:rPr>
  </w:style>
  <w:style w:type="character" w:styleId="Hyperlink">
    <w:name w:val="Hyperlink"/>
    <w:uiPriority w:val="99"/>
    <w:unhideWhenUsed/>
    <w:rsid w:val="00645BC7"/>
    <w:rPr>
      <w:color w:val="0000FF"/>
      <w:u w:val="single"/>
    </w:rPr>
  </w:style>
  <w:style w:type="paragraph" w:customStyle="1" w:styleId="paragraph">
    <w:name w:val="paragraph"/>
    <w:basedOn w:val="Normal"/>
    <w:rsid w:val="00645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45BC7"/>
  </w:style>
  <w:style w:type="character" w:customStyle="1" w:styleId="normaltextrun">
    <w:name w:val="normaltextrun"/>
    <w:basedOn w:val="DefaultParagraphFont"/>
    <w:rsid w:val="00645BC7"/>
  </w:style>
  <w:style w:type="paragraph" w:customStyle="1" w:styleId="FooterCoverPage">
    <w:name w:val="Footer Cover Page"/>
    <w:basedOn w:val="Normal"/>
    <w:link w:val="FooterCoverPageChar"/>
    <w:rsid w:val="00645BC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sid w:val="00645BC7"/>
    <w:rPr>
      <w:rFonts w:ascii="Times New Roman" w:eastAsia="Calibri" w:hAnsi="Times New Roman" w:cs="Times New Roman"/>
      <w:sz w:val="24"/>
    </w:rPr>
  </w:style>
  <w:style w:type="paragraph" w:customStyle="1" w:styleId="HeaderCoverPage">
    <w:name w:val="Header Cover Page"/>
    <w:basedOn w:val="Normal"/>
    <w:link w:val="HeaderCoverPageChar"/>
    <w:rsid w:val="00645BC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sid w:val="00645BC7"/>
    <w:rPr>
      <w:rFonts w:ascii="Times New Roman" w:eastAsia="Calibri" w:hAnsi="Times New Roman" w:cs="Times New Roman"/>
      <w:sz w:val="24"/>
    </w:rPr>
  </w:style>
  <w:style w:type="numbering" w:customStyle="1" w:styleId="NoList2">
    <w:name w:val="No List2"/>
    <w:next w:val="NoList"/>
    <w:uiPriority w:val="99"/>
    <w:semiHidden/>
    <w:unhideWhenUsed/>
    <w:rsid w:val="00645BC7"/>
  </w:style>
  <w:style w:type="paragraph" w:customStyle="1" w:styleId="Titreobjet">
    <w:name w:val="Titre objet"/>
    <w:basedOn w:val="Normal"/>
    <w:next w:val="IntrtEEE"/>
    <w:rsid w:val="00645BC7"/>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rsid w:val="00645BC7"/>
  </w:style>
  <w:style w:type="numbering" w:customStyle="1" w:styleId="NoList3">
    <w:name w:val="No List3"/>
    <w:next w:val="NoList"/>
    <w:uiPriority w:val="99"/>
    <w:semiHidden/>
    <w:unhideWhenUsed/>
    <w:rsid w:val="00645BC7"/>
  </w:style>
  <w:style w:type="character" w:customStyle="1" w:styleId="findhit">
    <w:name w:val="findhit"/>
    <w:basedOn w:val="DefaultParagraphFont"/>
    <w:rsid w:val="00645BC7"/>
  </w:style>
  <w:style w:type="numbering" w:customStyle="1" w:styleId="NoList4">
    <w:name w:val="No List4"/>
    <w:next w:val="NoList"/>
    <w:uiPriority w:val="99"/>
    <w:semiHidden/>
    <w:unhideWhenUsed/>
    <w:rsid w:val="00645BC7"/>
  </w:style>
  <w:style w:type="paragraph" w:customStyle="1" w:styleId="TechnicalBlock">
    <w:name w:val="Technical Block"/>
    <w:basedOn w:val="Normal"/>
    <w:link w:val="TechnicalBlockChar"/>
    <w:rsid w:val="00645BC7"/>
    <w:pPr>
      <w:spacing w:after="240" w:line="240" w:lineRule="auto"/>
      <w:jc w:val="center"/>
    </w:pPr>
  </w:style>
  <w:style w:type="character" w:customStyle="1" w:styleId="TechnicalBlockChar">
    <w:name w:val="Technical Block Char"/>
    <w:basedOn w:val="DefaultParagraphFont"/>
    <w:link w:val="TechnicalBlock"/>
    <w:rsid w:val="00645BC7"/>
    <w:rPr>
      <w:rFonts w:ascii="Calibri" w:eastAsia="Calibri" w:hAnsi="Calibri" w:cs="Myanmar Text"/>
    </w:rPr>
  </w:style>
  <w:style w:type="paragraph" w:customStyle="1" w:styleId="EntText">
    <w:name w:val="EntText"/>
    <w:basedOn w:val="Normal"/>
    <w:rsid w:val="009D0F6E"/>
    <w:pPr>
      <w:spacing w:before="120" w:after="120" w:line="360" w:lineRule="auto"/>
    </w:pPr>
    <w:rPr>
      <w:rFonts w:ascii="Times New Roman" w:eastAsiaTheme="minorHAnsi" w:hAnsi="Times New Roman" w:cs="Times New Roman"/>
      <w:sz w:val="24"/>
    </w:rPr>
  </w:style>
  <w:style w:type="paragraph" w:customStyle="1" w:styleId="Lignefinal">
    <w:name w:val="Ligne final"/>
    <w:basedOn w:val="Normal"/>
    <w:next w:val="Normal"/>
    <w:rsid w:val="009D0F6E"/>
    <w:pPr>
      <w:pBdr>
        <w:bottom w:val="single" w:sz="4" w:space="0" w:color="000000"/>
      </w:pBdr>
      <w:spacing w:before="360" w:after="120" w:line="360" w:lineRule="auto"/>
      <w:ind w:left="3400" w:right="3400"/>
      <w:jc w:val="center"/>
    </w:pPr>
    <w:rPr>
      <w:rFonts w:ascii="Times New Roman" w:eastAsiaTheme="minorHAnsi" w:hAnsi="Times New Roman" w:cs="Times New Roman"/>
      <w:b/>
      <w:sz w:val="24"/>
    </w:rPr>
  </w:style>
  <w:style w:type="paragraph" w:customStyle="1" w:styleId="pj">
    <w:name w:val="p.j."/>
    <w:basedOn w:val="Normal"/>
    <w:link w:val="pjChar"/>
    <w:rsid w:val="00645BC7"/>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645BC7"/>
    <w:rPr>
      <w:rFonts w:ascii="Times New Roman" w:eastAsia="Calibri" w:hAnsi="Times New Roman" w:cs="Times New Roman"/>
      <w:sz w:val="24"/>
    </w:rPr>
  </w:style>
  <w:style w:type="paragraph" w:customStyle="1" w:styleId="nbbordered">
    <w:name w:val="nb bordered"/>
    <w:basedOn w:val="Normal"/>
    <w:link w:val="nbborderedChar"/>
    <w:rsid w:val="00645BC7"/>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645BC7"/>
    <w:rPr>
      <w:rFonts w:ascii="Times New Roman" w:eastAsia="Calibri" w:hAnsi="Times New Roman" w:cs="Times New Roman"/>
      <w:b/>
      <w:sz w:val="24"/>
    </w:rPr>
  </w:style>
  <w:style w:type="paragraph" w:customStyle="1" w:styleId="HeaderCouncil">
    <w:name w:val="Header Council"/>
    <w:basedOn w:val="Normal"/>
    <w:link w:val="HeaderCouncilChar"/>
    <w:rsid w:val="00645BC7"/>
    <w:pPr>
      <w:spacing w:after="0"/>
    </w:pPr>
    <w:rPr>
      <w:sz w:val="2"/>
    </w:rPr>
  </w:style>
  <w:style w:type="character" w:customStyle="1" w:styleId="HeaderCouncilChar">
    <w:name w:val="Header Council Char"/>
    <w:basedOn w:val="DefaultParagraphFont"/>
    <w:link w:val="HeaderCouncil"/>
    <w:rsid w:val="00645BC7"/>
    <w:rPr>
      <w:rFonts w:ascii="Calibri" w:eastAsia="Calibri" w:hAnsi="Calibri" w:cs="Myanmar Text"/>
      <w:sz w:val="2"/>
    </w:rPr>
  </w:style>
  <w:style w:type="paragraph" w:customStyle="1" w:styleId="HeaderCouncilLarge">
    <w:name w:val="Header Council Large"/>
    <w:basedOn w:val="Normal"/>
    <w:link w:val="HeaderCouncilLargeChar"/>
    <w:rsid w:val="00645BC7"/>
    <w:pPr>
      <w:spacing w:after="440"/>
    </w:pPr>
    <w:rPr>
      <w:sz w:val="2"/>
    </w:rPr>
  </w:style>
  <w:style w:type="character" w:customStyle="1" w:styleId="HeaderCouncilLargeChar">
    <w:name w:val="Header Council Large Char"/>
    <w:basedOn w:val="DefaultParagraphFont"/>
    <w:link w:val="HeaderCouncilLarge"/>
    <w:rsid w:val="00645BC7"/>
    <w:rPr>
      <w:rFonts w:ascii="Calibri" w:eastAsia="Calibri" w:hAnsi="Calibri" w:cs="Myanmar Text"/>
      <w:sz w:val="2"/>
    </w:rPr>
  </w:style>
  <w:style w:type="paragraph" w:customStyle="1" w:styleId="FooterCouncil">
    <w:name w:val="Footer Council"/>
    <w:basedOn w:val="Normal"/>
    <w:link w:val="FooterCouncilChar"/>
    <w:rsid w:val="00645BC7"/>
    <w:pPr>
      <w:spacing w:after="0"/>
    </w:pPr>
    <w:rPr>
      <w:sz w:val="2"/>
    </w:rPr>
  </w:style>
  <w:style w:type="character" w:customStyle="1" w:styleId="FooterCouncilChar">
    <w:name w:val="Footer Council Char"/>
    <w:basedOn w:val="DefaultParagraphFont"/>
    <w:link w:val="FooterCouncil"/>
    <w:rsid w:val="00645BC7"/>
    <w:rPr>
      <w:rFonts w:ascii="Calibri" w:eastAsia="Calibri" w:hAnsi="Calibri" w:cs="Myanmar Text"/>
      <w:sz w:val="2"/>
    </w:rPr>
  </w:style>
  <w:style w:type="paragraph" w:customStyle="1" w:styleId="FooterText">
    <w:name w:val="Footer Text"/>
    <w:basedOn w:val="Normal"/>
    <w:rsid w:val="00645BC7"/>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45BC7"/>
    <w:rPr>
      <w:color w:val="808080"/>
    </w:rPr>
  </w:style>
  <w:style w:type="character" w:styleId="FollowedHyperlink">
    <w:name w:val="FollowedHyperlink"/>
    <w:basedOn w:val="DefaultParagraphFont"/>
    <w:uiPriority w:val="99"/>
    <w:semiHidden/>
    <w:unhideWhenUsed/>
    <w:rsid w:val="00645BC7"/>
    <w:rPr>
      <w:color w:val="800080" w:themeColor="followedHyperlink"/>
      <w:u w:val="single"/>
    </w:rPr>
  </w:style>
  <w:style w:type="character" w:customStyle="1" w:styleId="Mention1">
    <w:name w:val="Mention1"/>
    <w:basedOn w:val="DefaultParagraphFont"/>
    <w:uiPriority w:val="99"/>
    <w:unhideWhenUsed/>
    <w:rsid w:val="006F1419"/>
    <w:rPr>
      <w:color w:val="2B579A"/>
      <w:shd w:val="clear" w:color="auto" w:fill="E1DFD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0">
    <w:name w:val="Mention20"/>
    <w:basedOn w:val="DefaultParagraphFont"/>
    <w:uiPriority w:val="99"/>
    <w:unhideWhenUsed/>
    <w:rsid w:val="005B2317"/>
    <w:rPr>
      <w:color w:val="2B579A"/>
      <w:shd w:val="clear" w:color="auto" w:fill="E1DFDD"/>
    </w:rPr>
  </w:style>
  <w:style w:type="character" w:customStyle="1" w:styleId="Mention2">
    <w:name w:val="Mention2"/>
    <w:basedOn w:val="DefaultParagraphFont"/>
    <w:uiPriority w:val="99"/>
    <w:unhideWhenUsed/>
    <w:rsid w:val="005E589F"/>
    <w:rPr>
      <w:color w:val="2B579A"/>
      <w:shd w:val="clear" w:color="auto" w:fill="E1DFDD"/>
    </w:rPr>
  </w:style>
  <w:style w:type="character" w:customStyle="1" w:styleId="Mention3">
    <w:name w:val="Mention3"/>
    <w:basedOn w:val="DefaultParagraphFont"/>
    <w:uiPriority w:val="99"/>
    <w:unhideWhenUsed/>
    <w:rsid w:val="00786228"/>
    <w:rPr>
      <w:color w:val="2B579A"/>
      <w:shd w:val="clear" w:color="auto" w:fill="E1DFDD"/>
    </w:rPr>
  </w:style>
  <w:style w:type="character" w:customStyle="1" w:styleId="Mention30">
    <w:name w:val="Mention30"/>
    <w:basedOn w:val="DefaultParagraphFont"/>
    <w:uiPriority w:val="99"/>
    <w:unhideWhenUsed/>
    <w:rsid w:val="00786228"/>
    <w:rPr>
      <w:color w:val="2B579A"/>
      <w:shd w:val="clear" w:color="auto" w:fill="E1DFDD"/>
    </w:rPr>
  </w:style>
  <w:style w:type="character" w:customStyle="1" w:styleId="Mention4">
    <w:name w:val="Mention4"/>
    <w:basedOn w:val="DefaultParagraphFont"/>
    <w:uiPriority w:val="99"/>
    <w:unhideWhenUsed/>
    <w:rsid w:val="008504B0"/>
    <w:rPr>
      <w:color w:val="2B579A"/>
      <w:shd w:val="clear" w:color="auto" w:fill="E1DFDD"/>
    </w:rPr>
  </w:style>
  <w:style w:type="character" w:customStyle="1" w:styleId="Mention10">
    <w:name w:val="Mention10"/>
    <w:basedOn w:val="DefaultParagraphFont"/>
    <w:uiPriority w:val="99"/>
    <w:unhideWhenUsed/>
    <w:rsid w:val="00EB31FF"/>
    <w:rPr>
      <w:color w:val="2B579A"/>
      <w:shd w:val="clear" w:color="auto" w:fill="E6E6E6"/>
    </w:rPr>
  </w:style>
  <w:style w:type="character" w:customStyle="1" w:styleId="ui-provider">
    <w:name w:val="ui-provider"/>
    <w:basedOn w:val="DefaultParagraphFont"/>
    <w:rsid w:val="00EB31FF"/>
  </w:style>
  <w:style w:type="character" w:customStyle="1" w:styleId="Mention100">
    <w:name w:val="Mention100"/>
    <w:basedOn w:val="DefaultParagraphFont"/>
    <w:uiPriority w:val="99"/>
    <w:unhideWhenUsed/>
    <w:rsid w:val="00EB31FF"/>
    <w:rPr>
      <w:color w:val="2B579A"/>
      <w:shd w:val="clear" w:color="auto" w:fill="E6E6E6"/>
    </w:rPr>
  </w:style>
  <w:style w:type="paragraph" w:customStyle="1" w:styleId="Default">
    <w:name w:val="Default"/>
    <w:rsid w:val="00EB31FF"/>
    <w:pPr>
      <w:autoSpaceDE w:val="0"/>
      <w:autoSpaceDN w:val="0"/>
      <w:adjustRightInd w:val="0"/>
      <w:spacing w:after="0" w:line="240" w:lineRule="auto"/>
    </w:pPr>
    <w:rPr>
      <w:rFonts w:ascii="Calibri" w:hAnsi="Calibri" w:cs="Calibri"/>
      <w:color w:val="000000"/>
      <w:sz w:val="24"/>
      <w:szCs w:val="24"/>
    </w:rPr>
  </w:style>
  <w:style w:type="character" w:customStyle="1" w:styleId="contentcontrolboundarysink">
    <w:name w:val="contentcontrolboundarysink"/>
    <w:basedOn w:val="DefaultParagraphFont"/>
    <w:rsid w:val="00EB31FF"/>
  </w:style>
  <w:style w:type="character" w:customStyle="1" w:styleId="Mention5">
    <w:name w:val="Mention5"/>
    <w:basedOn w:val="DefaultParagraphFont"/>
    <w:uiPriority w:val="99"/>
    <w:unhideWhenUsed/>
    <w:rsid w:val="00EB31FF"/>
    <w:rPr>
      <w:color w:val="2B579A"/>
      <w:shd w:val="clear" w:color="auto" w:fill="E1DFDD"/>
    </w:rPr>
  </w:style>
  <w:style w:type="character" w:customStyle="1" w:styleId="Mention50">
    <w:name w:val="Mention50"/>
    <w:basedOn w:val="DefaultParagraphFont"/>
    <w:uiPriority w:val="99"/>
    <w:unhideWhenUsed/>
    <w:rsid w:val="00EB31FF"/>
    <w:rPr>
      <w:color w:val="2B579A"/>
      <w:shd w:val="clear" w:color="auto" w:fill="E1DFDD"/>
    </w:rPr>
  </w:style>
  <w:style w:type="character" w:customStyle="1" w:styleId="Mention6">
    <w:name w:val="Mention6"/>
    <w:basedOn w:val="DefaultParagraphFont"/>
    <w:uiPriority w:val="99"/>
    <w:unhideWhenUsed/>
    <w:rsid w:val="00EB31FF"/>
    <w:rPr>
      <w:color w:val="2B579A"/>
      <w:shd w:val="clear" w:color="auto" w:fill="E1DFDD"/>
    </w:rPr>
  </w:style>
  <w:style w:type="character" w:customStyle="1" w:styleId="Mention7">
    <w:name w:val="Mention7"/>
    <w:basedOn w:val="DefaultParagraphFont"/>
    <w:uiPriority w:val="99"/>
    <w:unhideWhenUsed/>
    <w:rsid w:val="00EB31FF"/>
    <w:rPr>
      <w:color w:val="2B579A"/>
      <w:shd w:val="clear" w:color="auto" w:fill="E6E6E6"/>
    </w:rPr>
  </w:style>
  <w:style w:type="character" w:customStyle="1" w:styleId="Mention8">
    <w:name w:val="Mention8"/>
    <w:basedOn w:val="DefaultParagraphFont"/>
    <w:uiPriority w:val="99"/>
    <w:unhideWhenUsed/>
    <w:rsid w:val="00EB31FF"/>
    <w:rPr>
      <w:color w:val="2B579A"/>
      <w:shd w:val="clear" w:color="auto" w:fill="E1DFDD"/>
    </w:rPr>
  </w:style>
  <w:style w:type="character" w:customStyle="1" w:styleId="cf01">
    <w:name w:val="cf01"/>
    <w:basedOn w:val="DefaultParagraphFont"/>
    <w:rsid w:val="00EB31FF"/>
    <w:rPr>
      <w:rFonts w:ascii="Segoe UI" w:hAnsi="Segoe UI" w:cs="Segoe UI" w:hint="default"/>
      <w:sz w:val="18"/>
      <w:szCs w:val="18"/>
    </w:rPr>
  </w:style>
  <w:style w:type="character" w:styleId="Strong">
    <w:name w:val="Strong"/>
    <w:basedOn w:val="DefaultParagraphFont"/>
    <w:uiPriority w:val="22"/>
    <w:qFormat/>
    <w:rsid w:val="00EB31FF"/>
    <w:rPr>
      <w:b/>
      <w:bCs/>
    </w:rPr>
  </w:style>
  <w:style w:type="character" w:customStyle="1" w:styleId="Mention60">
    <w:name w:val="Mention60"/>
    <w:basedOn w:val="DefaultParagraphFont"/>
    <w:uiPriority w:val="99"/>
    <w:unhideWhenUsed/>
    <w:rsid w:val="00EB31FF"/>
    <w:rPr>
      <w:color w:val="2B579A"/>
      <w:shd w:val="clear" w:color="auto" w:fill="E1DFDD"/>
    </w:rPr>
  </w:style>
  <w:style w:type="paragraph" w:customStyle="1" w:styleId="xmsonormal">
    <w:name w:val="x_msonormal"/>
    <w:basedOn w:val="Normal"/>
    <w:rsid w:val="00EB31FF"/>
    <w:pPr>
      <w:spacing w:after="0" w:line="240" w:lineRule="auto"/>
    </w:pPr>
    <w:rPr>
      <w:rFonts w:ascii="Times New Roman" w:eastAsiaTheme="minorHAnsi" w:hAnsi="Times New Roman" w:cs="Times New Roman"/>
      <w:sz w:val="24"/>
      <w:szCs w:val="24"/>
    </w:rPr>
  </w:style>
  <w:style w:type="character" w:customStyle="1" w:styleId="cf21">
    <w:name w:val="cf21"/>
    <w:basedOn w:val="DefaultParagraphFont"/>
    <w:rsid w:val="00EB31FF"/>
    <w:rPr>
      <w:rFonts w:ascii="Segoe UI" w:hAnsi="Segoe UI" w:cs="Segoe UI" w:hint="default"/>
      <w:color w:val="006100"/>
    </w:rPr>
  </w:style>
  <w:style w:type="paragraph" w:customStyle="1" w:styleId="Style1">
    <w:name w:val="Style1"/>
    <w:basedOn w:val="Normal"/>
    <w:link w:val="Style1Char"/>
    <w:qFormat/>
    <w:rsid w:val="003911CA"/>
    <w:pPr>
      <w:spacing w:before="120" w:after="120"/>
    </w:pPr>
    <w:rPr>
      <w:rFonts w:ascii="Times New Roman" w:hAnsi="Times New Roman" w:cs="Times New Roman"/>
      <w:b/>
      <w:sz w:val="24"/>
      <w:szCs w:val="24"/>
    </w:rPr>
  </w:style>
  <w:style w:type="character" w:customStyle="1" w:styleId="Style1Char">
    <w:name w:val="Style1 Char"/>
    <w:basedOn w:val="DefaultParagraphFont"/>
    <w:link w:val="Style1"/>
    <w:rsid w:val="003911CA"/>
    <w:rPr>
      <w:rFonts w:ascii="Times New Roman" w:eastAsia="Calibri" w:hAnsi="Times New Roman" w:cs="Times New Roman"/>
      <w:b/>
      <w:sz w:val="24"/>
      <w:szCs w:val="24"/>
    </w:rPr>
  </w:style>
  <w:style w:type="character" w:customStyle="1" w:styleId="Mention9">
    <w:name w:val="Mention9"/>
    <w:basedOn w:val="DefaultParagraphFont"/>
    <w:uiPriority w:val="99"/>
    <w:unhideWhenUsed/>
    <w:rsid w:val="00BD7C39"/>
    <w:rPr>
      <w:color w:val="2B579A"/>
      <w:shd w:val="clear" w:color="auto" w:fill="E1DFDD"/>
    </w:rPr>
  </w:style>
  <w:style w:type="paragraph" w:customStyle="1" w:styleId="LegalNumPar">
    <w:name w:val="LegalNumPar"/>
    <w:basedOn w:val="Normal"/>
    <w:rsid w:val="005441B2"/>
    <w:pPr>
      <w:numPr>
        <w:numId w:val="93"/>
      </w:numPr>
      <w:spacing w:after="160" w:line="259" w:lineRule="auto"/>
    </w:pPr>
    <w:rPr>
      <w:rFonts w:asciiTheme="minorHAnsi" w:eastAsiaTheme="minorHAnsi" w:hAnsiTheme="minorHAnsi" w:cstheme="minorBidi"/>
    </w:rPr>
  </w:style>
  <w:style w:type="paragraph" w:customStyle="1" w:styleId="LegalNumPar2">
    <w:name w:val="LegalNumPar2"/>
    <w:basedOn w:val="Normal"/>
    <w:rsid w:val="005441B2"/>
    <w:pPr>
      <w:numPr>
        <w:ilvl w:val="1"/>
        <w:numId w:val="93"/>
      </w:numPr>
      <w:spacing w:after="160" w:line="259" w:lineRule="auto"/>
    </w:pPr>
    <w:rPr>
      <w:rFonts w:asciiTheme="minorHAnsi" w:eastAsiaTheme="minorHAnsi" w:hAnsiTheme="minorHAnsi" w:cstheme="minorBidi"/>
    </w:rPr>
  </w:style>
  <w:style w:type="paragraph" w:customStyle="1" w:styleId="LegalNumPar3">
    <w:name w:val="LegalNumPar3"/>
    <w:basedOn w:val="Normal"/>
    <w:rsid w:val="005441B2"/>
    <w:pPr>
      <w:numPr>
        <w:ilvl w:val="2"/>
        <w:numId w:val="93"/>
      </w:numPr>
      <w:spacing w:after="160" w:line="259" w:lineRule="auto"/>
    </w:pPr>
    <w:rPr>
      <w:rFonts w:asciiTheme="minorHAnsi" w:eastAsiaTheme="minorHAnsi" w:hAnsiTheme="minorHAnsi" w:cstheme="minorBidi"/>
    </w:rPr>
  </w:style>
  <w:style w:type="paragraph" w:styleId="PlainText">
    <w:name w:val="Plain Text"/>
    <w:basedOn w:val="Normal"/>
    <w:link w:val="PlainTextChar"/>
    <w:uiPriority w:val="99"/>
    <w:unhideWhenUsed/>
    <w:rsid w:val="0007130A"/>
    <w:pPr>
      <w:spacing w:after="0" w:line="240" w:lineRule="auto"/>
    </w:pPr>
    <w:rPr>
      <w:rFonts w:eastAsiaTheme="minorHAnsi" w:cs="Calibri"/>
      <w14:ligatures w14:val="standardContextual"/>
    </w:rPr>
  </w:style>
  <w:style w:type="character" w:customStyle="1" w:styleId="PlainTextChar">
    <w:name w:val="Plain Text Char"/>
    <w:basedOn w:val="DefaultParagraphFont"/>
    <w:link w:val="PlainText"/>
    <w:uiPriority w:val="99"/>
    <w:rsid w:val="0007130A"/>
    <w:rPr>
      <w:rFonts w:ascii="Calibri" w:hAnsi="Calibri" w:cs="Calibri"/>
      <w14:ligatures w14:val="standardContextual"/>
    </w:rPr>
  </w:style>
  <w:style w:type="character" w:customStyle="1" w:styleId="Mention11">
    <w:name w:val="Mention11"/>
    <w:basedOn w:val="DefaultParagraphFont"/>
    <w:uiPriority w:val="99"/>
    <w:unhideWhenUsed/>
    <w:rsid w:val="000C75B6"/>
    <w:rPr>
      <w:color w:val="2B579A"/>
      <w:shd w:val="clear" w:color="auto" w:fill="E1DFDD"/>
    </w:rPr>
  </w:style>
  <w:style w:type="character" w:customStyle="1" w:styleId="Mention12">
    <w:name w:val="Mention12"/>
    <w:basedOn w:val="DefaultParagraphFont"/>
    <w:uiPriority w:val="99"/>
    <w:unhideWhenUsed/>
    <w:rsid w:val="003568E5"/>
    <w:rPr>
      <w:color w:val="2B579A"/>
      <w:shd w:val="clear" w:color="auto" w:fill="E1DFDD"/>
    </w:rPr>
  </w:style>
  <w:style w:type="character" w:customStyle="1" w:styleId="UnresolvedMention1">
    <w:name w:val="Unresolved Mention1"/>
    <w:basedOn w:val="DefaultParagraphFont"/>
    <w:uiPriority w:val="99"/>
    <w:semiHidden/>
    <w:unhideWhenUsed/>
    <w:rsid w:val="009016E9"/>
    <w:rPr>
      <w:color w:val="605E5C"/>
      <w:shd w:val="clear" w:color="auto" w:fill="E1DFDD"/>
    </w:rPr>
  </w:style>
  <w:style w:type="character" w:customStyle="1" w:styleId="UnresolvedMention2">
    <w:name w:val="Unresolved Mention2"/>
    <w:basedOn w:val="DefaultParagraphFont"/>
    <w:uiPriority w:val="99"/>
    <w:semiHidden/>
    <w:unhideWhenUsed/>
    <w:rsid w:val="004F7E15"/>
    <w:rPr>
      <w:color w:val="605E5C"/>
      <w:shd w:val="clear" w:color="auto" w:fill="E1DFDD"/>
    </w:rPr>
  </w:style>
  <w:style w:type="character" w:customStyle="1" w:styleId="Mention13">
    <w:name w:val="Mention13"/>
    <w:basedOn w:val="DefaultParagraphFont"/>
    <w:uiPriority w:val="99"/>
    <w:unhideWhenUsed/>
    <w:rsid w:val="004F7E15"/>
    <w:rPr>
      <w:color w:val="2B579A"/>
      <w:shd w:val="clear" w:color="auto" w:fill="E1DFDD"/>
    </w:rPr>
  </w:style>
  <w:style w:type="character" w:customStyle="1" w:styleId="UnresolvedMention3">
    <w:name w:val="Unresolved Mention3"/>
    <w:basedOn w:val="DefaultParagraphFont"/>
    <w:uiPriority w:val="99"/>
    <w:semiHidden/>
    <w:unhideWhenUsed/>
    <w:rsid w:val="00D854CE"/>
    <w:rPr>
      <w:color w:val="605E5C"/>
      <w:shd w:val="clear" w:color="auto" w:fill="E1DFDD"/>
    </w:rPr>
  </w:style>
  <w:style w:type="character" w:customStyle="1" w:styleId="Mention">
    <w:name w:val="Mention"/>
    <w:basedOn w:val="DefaultParagraphFont"/>
    <w:uiPriority w:val="99"/>
    <w:unhideWhenUsed/>
    <w:rsid w:val="002B4EB1"/>
    <w:rPr>
      <w:color w:val="2B579A"/>
      <w:shd w:val="clear" w:color="auto" w:fill="E1DFDD"/>
    </w:rPr>
  </w:style>
  <w:style w:type="paragraph" w:styleId="NormalWeb">
    <w:name w:val="Normal (Web)"/>
    <w:basedOn w:val="Normal"/>
    <w:uiPriority w:val="99"/>
    <w:semiHidden/>
    <w:unhideWhenUsed/>
    <w:rsid w:val="00B80EC6"/>
    <w:rPr>
      <w:rFonts w:ascii="Times New Roman" w:hAnsi="Times New Roman" w:cs="Times New Roman"/>
      <w:sz w:val="24"/>
      <w:szCs w:val="24"/>
    </w:rPr>
  </w:style>
  <w:style w:type="paragraph" w:customStyle="1" w:styleId="P68B1DB1-Normal1">
    <w:name w:val="P68B1DB1-Normal1"/>
    <w:basedOn w:val="Normal"/>
    <w:rPr>
      <w:rFonts w:ascii="Times New Roman" w:hAnsi="Times New Roman" w:cs="Times New Roman"/>
      <w:b/>
    </w:rPr>
  </w:style>
  <w:style w:type="paragraph" w:customStyle="1" w:styleId="P68B1DB1-Normal2">
    <w:name w:val="P68B1DB1-Normal2"/>
    <w:basedOn w:val="Normal"/>
    <w:rPr>
      <w:rFonts w:ascii="Times New Roman" w:hAnsi="Times New Roman"/>
      <w:b/>
      <w:sz w:val="24"/>
    </w:rPr>
  </w:style>
  <w:style w:type="paragraph" w:customStyle="1" w:styleId="P68B1DB1-ListParagraph3">
    <w:name w:val="P68B1DB1-ListParagraph3"/>
    <w:basedOn w:val="ListParagraph"/>
    <w:rPr>
      <w:rFonts w:ascii="Times New Roman" w:hAnsi="Times New Roman"/>
      <w:b/>
      <w:sz w:val="24"/>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sz w:val="24"/>
      <w:szCs w:val="24"/>
    </w:rPr>
  </w:style>
  <w:style w:type="paragraph" w:customStyle="1" w:styleId="P68B1DB1-Normal6">
    <w:name w:val="P68B1DB1-Normal6"/>
    <w:basedOn w:val="Normal"/>
    <w:rPr>
      <w:rFonts w:ascii="Cambria" w:hAnsi="Cambria"/>
      <w:color w:val="365F91"/>
      <w:sz w:val="24"/>
    </w:rPr>
  </w:style>
  <w:style w:type="paragraph" w:customStyle="1" w:styleId="P68B1DB1-Normal7">
    <w:name w:val="P68B1DB1-Normal7"/>
    <w:basedOn w:val="Normal"/>
    <w:rPr>
      <w:rFonts w:ascii="Times New Roman" w:hAnsi="Times New Roman"/>
      <w:b/>
      <w:sz w:val="18"/>
    </w:rPr>
  </w:style>
  <w:style w:type="paragraph" w:customStyle="1" w:styleId="P68B1DB1-Normal8">
    <w:name w:val="P68B1DB1-Normal8"/>
    <w:basedOn w:val="Normal"/>
    <w:rPr>
      <w:rFonts w:ascii="Times New Roman" w:hAnsi="Times New Roman"/>
      <w:sz w:val="18"/>
    </w:rPr>
  </w:style>
  <w:style w:type="paragraph" w:customStyle="1" w:styleId="P68B1DB1-Normal9">
    <w:name w:val="P68B1DB1-Normal9"/>
    <w:basedOn w:val="Normal"/>
    <w:rPr>
      <w:color w:val="006100"/>
      <w:sz w:val="18"/>
    </w:rPr>
  </w:style>
  <w:style w:type="paragraph" w:customStyle="1" w:styleId="P68B1DB1-Normal10">
    <w:name w:val="P68B1DB1-Normal10"/>
    <w:basedOn w:val="Normal"/>
    <w:rPr>
      <w:color w:val="006100"/>
      <w:sz w:val="18"/>
      <w:szCs w:val="18"/>
    </w:rPr>
  </w:style>
  <w:style w:type="paragraph" w:customStyle="1" w:styleId="P68B1DB1-Normal11">
    <w:name w:val="P68B1DB1-Normal11"/>
    <w:basedOn w:val="Normal"/>
    <w:rPr>
      <w:sz w:val="24"/>
    </w:rPr>
  </w:style>
  <w:style w:type="paragraph" w:customStyle="1" w:styleId="P68B1DB1-LegalNumPar212">
    <w:name w:val="P68B1DB1-LegalNumPar212"/>
    <w:basedOn w:val="LegalNumPar2"/>
    <w:rPr>
      <w:rFonts w:ascii="Times New Roman" w:hAnsi="Times New Roman" w:cs="Times New Roman"/>
      <w:sz w:val="24"/>
      <w:szCs w:val="24"/>
    </w:rPr>
  </w:style>
  <w:style w:type="paragraph" w:customStyle="1" w:styleId="P68B1DB1-LegalNumPar13">
    <w:name w:val="P68B1DB1-LegalNumPar13"/>
    <w:basedOn w:val="LegalNumPar"/>
    <w:rPr>
      <w:rFonts w:ascii="Times New Roman" w:hAnsi="Times New Roman" w:cs="Times New Roman"/>
      <w:sz w:val="24"/>
      <w:szCs w:val="24"/>
    </w:rPr>
  </w:style>
  <w:style w:type="paragraph" w:customStyle="1" w:styleId="P68B1DB1-LegalNumPar14">
    <w:name w:val="P68B1DB1-LegalNumPar14"/>
    <w:basedOn w:val="LegalNumPar"/>
    <w:rPr>
      <w:sz w:val="24"/>
      <w:szCs w:val="24"/>
    </w:rPr>
  </w:style>
  <w:style w:type="paragraph" w:customStyle="1" w:styleId="P68B1DB1-Normal15">
    <w:name w:val="P68B1DB1-Normal15"/>
    <w:basedOn w:val="Normal"/>
    <w:rPr>
      <w:rFonts w:ascii="Times New Roman" w:eastAsia="Times New Roman" w:hAnsi="Times New Roman" w:cs="Times New Roman"/>
      <w:sz w:val="24"/>
      <w:szCs w:val="24"/>
    </w:rPr>
  </w:style>
  <w:style w:type="paragraph" w:customStyle="1" w:styleId="P68B1DB1-Normal16">
    <w:name w:val="P68B1DB1-Normal16"/>
    <w:basedOn w:val="Normal"/>
    <w:rPr>
      <w:rFonts w:ascii="Times New Roman" w:hAnsi="Times New Roman"/>
      <w:b/>
      <w:sz w:val="20"/>
    </w:rPr>
  </w:style>
  <w:style w:type="paragraph" w:customStyle="1" w:styleId="P68B1DB1-Normal17">
    <w:name w:val="P68B1DB1-Normal17"/>
    <w:basedOn w:val="Normal"/>
    <w:rPr>
      <w:rFonts w:eastAsia="Times New Roman" w:cs="Calibri"/>
      <w:color w:val="006100"/>
      <w:sz w:val="18"/>
      <w:szCs w:val="18"/>
    </w:rPr>
  </w:style>
  <w:style w:type="paragraph" w:customStyle="1" w:styleId="P68B1DB1-Normal18">
    <w:name w:val="P68B1DB1-Normal18"/>
    <w:basedOn w:val="Normal"/>
    <w:rPr>
      <w:rFonts w:ascii="Times New Roman" w:hAnsi="Times New Roman" w:cs="Times New Roman"/>
      <w:sz w:val="24"/>
    </w:rPr>
  </w:style>
  <w:style w:type="paragraph" w:customStyle="1" w:styleId="P68B1DB1-ListParagraph19">
    <w:name w:val="P68B1DB1-ListParagraph19"/>
    <w:basedOn w:val="ListParagraph"/>
    <w:rPr>
      <w:rFonts w:ascii="Times New Roman" w:hAnsi="Times New Roman"/>
      <w:sz w:val="24"/>
    </w:rPr>
  </w:style>
  <w:style w:type="paragraph" w:customStyle="1" w:styleId="P68B1DB1-ListParagraph20">
    <w:name w:val="P68B1DB1-ListParagraph20"/>
    <w:basedOn w:val="ListParagraph"/>
    <w:rPr>
      <w:color w:val="006100"/>
      <w:sz w:val="18"/>
    </w:rPr>
  </w:style>
  <w:style w:type="paragraph" w:customStyle="1" w:styleId="P68B1DB1-xmsonormal21">
    <w:name w:val="P68B1DB1-xmsonormal21"/>
    <w:basedOn w:val="xmsonormal"/>
    <w:rPr>
      <w:rFonts w:ascii="Calibri" w:hAnsi="Calibri"/>
      <w:color w:val="006100"/>
      <w:sz w:val="18"/>
    </w:rPr>
  </w:style>
  <w:style w:type="paragraph" w:customStyle="1" w:styleId="P68B1DB1-Normal22">
    <w:name w:val="P68B1DB1-Normal22"/>
    <w:basedOn w:val="Normal"/>
    <w:rPr>
      <w:sz w:val="24"/>
      <w:szCs w:val="24"/>
    </w:rPr>
  </w:style>
  <w:style w:type="paragraph" w:customStyle="1" w:styleId="P68B1DB1-Normal23">
    <w:name w:val="P68B1DB1-Normal23"/>
    <w:basedOn w:val="Normal"/>
    <w:rPr>
      <w:color w:val="006100"/>
    </w:rPr>
  </w:style>
  <w:style w:type="paragraph" w:customStyle="1" w:styleId="P68B1DB1-Normal24">
    <w:name w:val="P68B1DB1-Normal24"/>
    <w:basedOn w:val="Normal"/>
    <w:rPr>
      <w:sz w:val="18"/>
      <w:szCs w:val="18"/>
    </w:rPr>
  </w:style>
  <w:style w:type="paragraph" w:customStyle="1" w:styleId="P68B1DB1-Normal25">
    <w:name w:val="P68B1DB1-Normal25"/>
    <w:basedOn w:val="Normal"/>
    <w:rPr>
      <w:rFonts w:ascii="Times New Roman" w:hAnsi="Times New Roman"/>
      <w:b/>
      <w:sz w:val="24"/>
      <w:u w:val="single"/>
    </w:rPr>
  </w:style>
  <w:style w:type="paragraph" w:customStyle="1" w:styleId="P68B1DB1-paragraph26">
    <w:name w:val="P68B1DB1-paragraph26"/>
    <w:basedOn w:val="paragraph"/>
    <w:rPr>
      <w:rFonts w:ascii="Calibri" w:hAnsi="Calibri"/>
      <w:color w:val="006100"/>
      <w:sz w:val="18"/>
    </w:rPr>
  </w:style>
  <w:style w:type="paragraph" w:customStyle="1" w:styleId="P68B1DB1-paragraph27">
    <w:name w:val="P68B1DB1-paragraph27"/>
    <w:basedOn w:val="paragraph"/>
    <w:rPr>
      <w:rFonts w:ascii="Calibri" w:hAnsi="Calibri"/>
      <w:color w:val="006100"/>
      <w:sz w:val="18"/>
      <w:szCs w:val="18"/>
    </w:rPr>
  </w:style>
  <w:style w:type="paragraph" w:customStyle="1" w:styleId="P68B1DB1-paragraph28">
    <w:name w:val="P68B1DB1-paragraph28"/>
    <w:basedOn w:val="paragraph"/>
    <w:rPr>
      <w:rFonts w:ascii="Calibri" w:eastAsia="Calibri" w:hAnsi="Calibri" w:cs="Myanmar Text"/>
      <w:color w:val="006100"/>
      <w:sz w:val="18"/>
      <w:szCs w:val="22"/>
    </w:rPr>
  </w:style>
  <w:style w:type="paragraph" w:customStyle="1" w:styleId="P68B1DB1-Default29">
    <w:name w:val="P68B1DB1-Default29"/>
    <w:basedOn w:val="Default"/>
    <w:rPr>
      <w:rFonts w:ascii="Times New Roman" w:hAnsi="Times New Roman"/>
    </w:rPr>
  </w:style>
  <w:style w:type="paragraph" w:customStyle="1" w:styleId="P68B1DB1-Normal30">
    <w:name w:val="P68B1DB1-Normal30"/>
    <w:basedOn w:val="Normal"/>
    <w:rPr>
      <w:rFonts w:asciiTheme="minorHAnsi" w:eastAsiaTheme="minorEastAsia" w:hAnsiTheme="minorHAnsi" w:cstheme="minorBidi"/>
      <w:color w:val="006100"/>
      <w:sz w:val="18"/>
      <w:szCs w:val="18"/>
    </w:rPr>
  </w:style>
  <w:style w:type="paragraph" w:customStyle="1" w:styleId="P68B1DB1-PlainText31">
    <w:name w:val="P68B1DB1-PlainText31"/>
    <w:basedOn w:val="PlainText"/>
    <w:rPr>
      <w:rFonts w:ascii="Times New Roman" w:eastAsia="Times New Roman" w:hAnsi="Times New Roman" w:cs="Times New Roman"/>
      <w:sz w:val="24"/>
      <w:szCs w:val="24"/>
    </w:rPr>
  </w:style>
  <w:style w:type="paragraph" w:customStyle="1" w:styleId="P68B1DB1-Normal32">
    <w:name w:val="P68B1DB1-Normal32"/>
    <w:basedOn w:val="Normal"/>
    <w:rPr>
      <w:rFonts w:ascii="Times New Roman" w:hAnsi="Times New Roman"/>
      <w:color w:val="000000" w:themeColor="text1"/>
      <w:sz w:val="24"/>
    </w:rPr>
  </w:style>
  <w:style w:type="paragraph" w:customStyle="1" w:styleId="P68B1DB1-Normal33">
    <w:name w:val="P68B1DB1-Normal33"/>
    <w:basedOn w:val="Normal"/>
    <w:rPr>
      <w:rFonts w:asciiTheme="minorHAnsi" w:hAnsiTheme="minorHAnsi"/>
      <w:color w:val="006100"/>
      <w:sz w:val="18"/>
    </w:rPr>
  </w:style>
  <w:style w:type="paragraph" w:customStyle="1" w:styleId="P68B1DB1-ListParagraph34">
    <w:name w:val="P68B1DB1-ListParagraph34"/>
    <w:basedOn w:val="ListParagraph"/>
    <w:rPr>
      <w:rFonts w:asciiTheme="minorHAnsi" w:hAnsiTheme="minorHAnsi"/>
      <w:color w:val="006100"/>
      <w:sz w:val="18"/>
    </w:rPr>
  </w:style>
  <w:style w:type="paragraph" w:customStyle="1" w:styleId="P68B1DB1-Normal35">
    <w:name w:val="P68B1DB1-Normal35"/>
    <w:basedOn w:val="Normal"/>
    <w:rPr>
      <w:sz w:val="18"/>
    </w:rPr>
  </w:style>
  <w:style w:type="paragraph" w:customStyle="1" w:styleId="P68B1DB1-LegalNumPar36">
    <w:name w:val="P68B1DB1-LegalNumPar36"/>
    <w:basedOn w:val="LegalNumPar"/>
    <w:rPr>
      <w:sz w:val="24"/>
    </w:rPr>
  </w:style>
  <w:style w:type="paragraph" w:customStyle="1" w:styleId="P68B1DB1-Normal37">
    <w:name w:val="P68B1DB1-Normal37"/>
    <w:basedOn w:val="Normal"/>
    <w:rPr>
      <w:rFonts w:ascii="Times New Roman" w:hAnsi="Times New Roman"/>
    </w:rPr>
  </w:style>
  <w:style w:type="paragraph" w:customStyle="1" w:styleId="P68B1DB1-ListParagraph38">
    <w:name w:val="P68B1DB1-ListParagraph38"/>
    <w:basedOn w:val="ListParagraph"/>
    <w:rPr>
      <w:color w:val="006100"/>
      <w:sz w:val="18"/>
      <w:szCs w:val="18"/>
    </w:rPr>
  </w:style>
  <w:style w:type="paragraph" w:customStyle="1" w:styleId="P68B1DB1-ListParagraph39">
    <w:name w:val="P68B1DB1-ListParagraph39"/>
    <w:basedOn w:val="ListParagraph"/>
    <w:rPr>
      <w:rFonts w:ascii="Times New Roman" w:hAnsi="Times New Roman"/>
    </w:rPr>
  </w:style>
  <w:style w:type="paragraph" w:customStyle="1" w:styleId="P68B1DB1-ListParagraph40">
    <w:name w:val="P68B1DB1-ListParagraph40"/>
    <w:basedOn w:val="ListParagraph"/>
    <w:rPr>
      <w:rFonts w:ascii="Times New Roman" w:hAnsi="Times New Roman"/>
      <w:sz w:val="24"/>
      <w:szCs w:val="24"/>
    </w:rPr>
  </w:style>
  <w:style w:type="paragraph" w:customStyle="1" w:styleId="P68B1DB1-ListParagraph41">
    <w:name w:val="P68B1DB1-ListParagraph41"/>
    <w:basedOn w:val="ListParagraph"/>
    <w:rPr>
      <w:rFonts w:ascii="Times New Roman" w:hAnsi="Times New Roman"/>
      <w:color w:val="000000" w:themeColor="text1"/>
      <w:sz w:val="24"/>
      <w:szCs w:val="24"/>
    </w:rPr>
  </w:style>
  <w:style w:type="paragraph" w:customStyle="1" w:styleId="P68B1DB1-Normal42">
    <w:name w:val="P68B1DB1-Normal42"/>
    <w:basedOn w:val="Normal"/>
    <w:rPr>
      <w:rFonts w:ascii="Times New Roman" w:hAnsi="Times New Roman"/>
      <w:b/>
    </w:rPr>
  </w:style>
  <w:style w:type="paragraph" w:customStyle="1" w:styleId="P68B1DB1-Normal43">
    <w:name w:val="P68B1DB1-Normal43"/>
    <w:basedOn w:val="Normal"/>
    <w:rPr>
      <w:rFonts w:asciiTheme="minorHAnsi" w:hAnsiTheme="minorHAnsi"/>
      <w:sz w:val="18"/>
    </w:rPr>
  </w:style>
  <w:style w:type="paragraph" w:customStyle="1" w:styleId="P68B1DB1-Normal44">
    <w:name w:val="P68B1DB1-Normal44"/>
    <w:basedOn w:val="Normal"/>
    <w:rPr>
      <w:rFonts w:ascii="Times New Roman" w:hAnsi="Times New Roman"/>
      <w:i/>
      <w:color w:val="4F81BD"/>
      <w:sz w:val="24"/>
    </w:rPr>
  </w:style>
  <w:style w:type="paragraph" w:customStyle="1" w:styleId="P68B1DB1-Normal45">
    <w:name w:val="P68B1DB1-Normal45"/>
    <w:basedOn w:val="Normal"/>
    <w:rPr>
      <w:color w:val="006100"/>
      <w:sz w:val="18"/>
    </w:rPr>
  </w:style>
  <w:style w:type="paragraph" w:customStyle="1" w:styleId="P68B1DB1-ListParagraph46">
    <w:name w:val="P68B1DB1-ListParagraph46"/>
    <w:basedOn w:val="ListParagraph"/>
    <w:rPr>
      <w:rFonts w:ascii="Times New Roman" w:hAnsi="Times New Roman"/>
      <w:i/>
      <w:sz w:val="24"/>
    </w:rPr>
  </w:style>
  <w:style w:type="paragraph" w:customStyle="1" w:styleId="P68B1DB1-ListParagraph47">
    <w:name w:val="P68B1DB1-ListParagraph47"/>
    <w:basedOn w:val="ListParagraph"/>
    <w:rPr>
      <w:rFonts w:eastAsia="Times New Roman" w:cs="Calibri"/>
      <w:color w:val="006100"/>
      <w:sz w:val="18"/>
      <w:szCs w:val="18"/>
    </w:rPr>
  </w:style>
  <w:style w:type="paragraph" w:customStyle="1" w:styleId="P68B1DB1-Normal48">
    <w:name w:val="P68B1DB1-Normal48"/>
    <w:basedOn w:val="Normal"/>
    <w:rPr>
      <w:rFonts w:ascii="Times New Roman" w:hAnsi="Times New Roman"/>
      <w:b/>
      <w:smallCaps/>
      <w:sz w:val="24"/>
    </w:rPr>
  </w:style>
  <w:style w:type="paragraph" w:customStyle="1" w:styleId="P68B1DB1-Normal49">
    <w:name w:val="P68B1DB1-Normal49"/>
    <w:basedOn w:val="Normal"/>
    <w:rPr>
      <w:rFonts w:ascii="Times New Roman" w:hAnsi="Times New Roman"/>
      <w:sz w:val="18"/>
      <w:szCs w:val="18"/>
    </w:rPr>
  </w:style>
  <w:style w:type="paragraph" w:customStyle="1" w:styleId="P68B1DB1-Normal50">
    <w:name w:val="P68B1DB1-Normal50"/>
    <w:basedOn w:val="Normal"/>
    <w:rPr>
      <w:rFonts w:ascii="Times New Roman" w:hAnsi="Times New Roman"/>
      <w:sz w:val="20"/>
    </w:rPr>
  </w:style>
  <w:style w:type="paragraph" w:customStyle="1" w:styleId="P68B1DB1-Normal51">
    <w:name w:val="P68B1DB1-Normal51"/>
    <w:basedOn w:val="Normal"/>
    <w:rPr>
      <w:rFonts w:ascii="Times New Roman" w:eastAsia="Times New Roman" w:hAnsi="Times New Roman" w:cs="Times New Roman"/>
      <w:sz w:val="18"/>
      <w:szCs w:val="18"/>
    </w:rPr>
  </w:style>
  <w:style w:type="paragraph" w:customStyle="1" w:styleId="P68B1DB1-Normal52">
    <w:name w:val="P68B1DB1-Normal52"/>
    <w:basedOn w:val="Normal"/>
    <w:rPr>
      <w:rFonts w:ascii="Times New Roman" w:eastAsia="Times New Roman" w:hAnsi="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126">
      <w:bodyDiv w:val="1"/>
      <w:marLeft w:val="0"/>
      <w:marRight w:val="0"/>
      <w:marTop w:val="0"/>
      <w:marBottom w:val="0"/>
      <w:divBdr>
        <w:top w:val="none" w:sz="0" w:space="0" w:color="auto"/>
        <w:left w:val="none" w:sz="0" w:space="0" w:color="auto"/>
        <w:bottom w:val="none" w:sz="0" w:space="0" w:color="auto"/>
        <w:right w:val="none" w:sz="0" w:space="0" w:color="auto"/>
      </w:divBdr>
    </w:div>
    <w:div w:id="216361478">
      <w:bodyDiv w:val="1"/>
      <w:marLeft w:val="0"/>
      <w:marRight w:val="0"/>
      <w:marTop w:val="0"/>
      <w:marBottom w:val="0"/>
      <w:divBdr>
        <w:top w:val="none" w:sz="0" w:space="0" w:color="auto"/>
        <w:left w:val="none" w:sz="0" w:space="0" w:color="auto"/>
        <w:bottom w:val="none" w:sz="0" w:space="0" w:color="auto"/>
        <w:right w:val="none" w:sz="0" w:space="0" w:color="auto"/>
      </w:divBdr>
    </w:div>
    <w:div w:id="413359547">
      <w:bodyDiv w:val="1"/>
      <w:marLeft w:val="0"/>
      <w:marRight w:val="0"/>
      <w:marTop w:val="0"/>
      <w:marBottom w:val="0"/>
      <w:divBdr>
        <w:top w:val="none" w:sz="0" w:space="0" w:color="auto"/>
        <w:left w:val="none" w:sz="0" w:space="0" w:color="auto"/>
        <w:bottom w:val="none" w:sz="0" w:space="0" w:color="auto"/>
        <w:right w:val="none" w:sz="0" w:space="0" w:color="auto"/>
      </w:divBdr>
    </w:div>
    <w:div w:id="577175763">
      <w:bodyDiv w:val="1"/>
      <w:marLeft w:val="0"/>
      <w:marRight w:val="0"/>
      <w:marTop w:val="0"/>
      <w:marBottom w:val="0"/>
      <w:divBdr>
        <w:top w:val="none" w:sz="0" w:space="0" w:color="auto"/>
        <w:left w:val="none" w:sz="0" w:space="0" w:color="auto"/>
        <w:bottom w:val="none" w:sz="0" w:space="0" w:color="auto"/>
        <w:right w:val="none" w:sz="0" w:space="0" w:color="auto"/>
      </w:divBdr>
    </w:div>
    <w:div w:id="814223350">
      <w:bodyDiv w:val="1"/>
      <w:marLeft w:val="0"/>
      <w:marRight w:val="0"/>
      <w:marTop w:val="0"/>
      <w:marBottom w:val="0"/>
      <w:divBdr>
        <w:top w:val="none" w:sz="0" w:space="0" w:color="auto"/>
        <w:left w:val="none" w:sz="0" w:space="0" w:color="auto"/>
        <w:bottom w:val="none" w:sz="0" w:space="0" w:color="auto"/>
        <w:right w:val="none" w:sz="0" w:space="0" w:color="auto"/>
      </w:divBdr>
    </w:div>
    <w:div w:id="1251506913">
      <w:bodyDiv w:val="1"/>
      <w:marLeft w:val="0"/>
      <w:marRight w:val="0"/>
      <w:marTop w:val="0"/>
      <w:marBottom w:val="0"/>
      <w:divBdr>
        <w:top w:val="none" w:sz="0" w:space="0" w:color="auto"/>
        <w:left w:val="none" w:sz="0" w:space="0" w:color="auto"/>
        <w:bottom w:val="none" w:sz="0" w:space="0" w:color="auto"/>
        <w:right w:val="none" w:sz="0" w:space="0" w:color="auto"/>
      </w:divBdr>
    </w:div>
    <w:div w:id="1288971928">
      <w:bodyDiv w:val="1"/>
      <w:marLeft w:val="0"/>
      <w:marRight w:val="0"/>
      <w:marTop w:val="0"/>
      <w:marBottom w:val="0"/>
      <w:divBdr>
        <w:top w:val="none" w:sz="0" w:space="0" w:color="auto"/>
        <w:left w:val="none" w:sz="0" w:space="0" w:color="auto"/>
        <w:bottom w:val="none" w:sz="0" w:space="0" w:color="auto"/>
        <w:right w:val="none" w:sz="0" w:space="0" w:color="auto"/>
      </w:divBdr>
    </w:div>
    <w:div w:id="1377271437">
      <w:bodyDiv w:val="1"/>
      <w:marLeft w:val="0"/>
      <w:marRight w:val="0"/>
      <w:marTop w:val="0"/>
      <w:marBottom w:val="0"/>
      <w:divBdr>
        <w:top w:val="none" w:sz="0" w:space="0" w:color="auto"/>
        <w:left w:val="none" w:sz="0" w:space="0" w:color="auto"/>
        <w:bottom w:val="none" w:sz="0" w:space="0" w:color="auto"/>
        <w:right w:val="none" w:sz="0" w:space="0" w:color="auto"/>
      </w:divBdr>
    </w:div>
    <w:div w:id="1449544998">
      <w:bodyDiv w:val="1"/>
      <w:marLeft w:val="0"/>
      <w:marRight w:val="0"/>
      <w:marTop w:val="0"/>
      <w:marBottom w:val="0"/>
      <w:divBdr>
        <w:top w:val="none" w:sz="0" w:space="0" w:color="auto"/>
        <w:left w:val="none" w:sz="0" w:space="0" w:color="auto"/>
        <w:bottom w:val="none" w:sz="0" w:space="0" w:color="auto"/>
        <w:right w:val="none" w:sz="0" w:space="0" w:color="auto"/>
      </w:divBdr>
    </w:div>
    <w:div w:id="1665008935">
      <w:bodyDiv w:val="1"/>
      <w:marLeft w:val="0"/>
      <w:marRight w:val="0"/>
      <w:marTop w:val="0"/>
      <w:marBottom w:val="0"/>
      <w:divBdr>
        <w:top w:val="none" w:sz="0" w:space="0" w:color="auto"/>
        <w:left w:val="none" w:sz="0" w:space="0" w:color="auto"/>
        <w:bottom w:val="none" w:sz="0" w:space="0" w:color="auto"/>
        <w:right w:val="none" w:sz="0" w:space="0" w:color="auto"/>
      </w:divBdr>
    </w:div>
    <w:div w:id="1837914676">
      <w:bodyDiv w:val="1"/>
      <w:marLeft w:val="0"/>
      <w:marRight w:val="0"/>
      <w:marTop w:val="0"/>
      <w:marBottom w:val="0"/>
      <w:divBdr>
        <w:top w:val="none" w:sz="0" w:space="0" w:color="auto"/>
        <w:left w:val="none" w:sz="0" w:space="0" w:color="auto"/>
        <w:bottom w:val="none" w:sz="0" w:space="0" w:color="auto"/>
        <w:right w:val="none" w:sz="0" w:space="0" w:color="auto"/>
      </w:divBdr>
    </w:div>
    <w:div w:id="1917855640">
      <w:bodyDiv w:val="1"/>
      <w:marLeft w:val="0"/>
      <w:marRight w:val="0"/>
      <w:marTop w:val="0"/>
      <w:marBottom w:val="0"/>
      <w:divBdr>
        <w:top w:val="none" w:sz="0" w:space="0" w:color="auto"/>
        <w:left w:val="none" w:sz="0" w:space="0" w:color="auto"/>
        <w:bottom w:val="none" w:sz="0" w:space="0" w:color="auto"/>
        <w:right w:val="none" w:sz="0" w:space="0" w:color="auto"/>
      </w:divBdr>
    </w:div>
    <w:div w:id="1933317314">
      <w:bodyDiv w:val="1"/>
      <w:marLeft w:val="0"/>
      <w:marRight w:val="0"/>
      <w:marTop w:val="0"/>
      <w:marBottom w:val="0"/>
      <w:divBdr>
        <w:top w:val="none" w:sz="0" w:space="0" w:color="auto"/>
        <w:left w:val="none" w:sz="0" w:space="0" w:color="auto"/>
        <w:bottom w:val="none" w:sz="0" w:space="0" w:color="auto"/>
        <w:right w:val="none" w:sz="0" w:space="0" w:color="auto"/>
      </w:divBdr>
      <w:divsChild>
        <w:div w:id="53937571">
          <w:marLeft w:val="0"/>
          <w:marRight w:val="0"/>
          <w:marTop w:val="0"/>
          <w:marBottom w:val="0"/>
          <w:divBdr>
            <w:top w:val="none" w:sz="0" w:space="0" w:color="auto"/>
            <w:left w:val="none" w:sz="0" w:space="0" w:color="auto"/>
            <w:bottom w:val="none" w:sz="0" w:space="0" w:color="auto"/>
            <w:right w:val="none" w:sz="0" w:space="0" w:color="auto"/>
          </w:divBdr>
          <w:divsChild>
            <w:div w:id="1047997980">
              <w:marLeft w:val="0"/>
              <w:marRight w:val="0"/>
              <w:marTop w:val="0"/>
              <w:marBottom w:val="0"/>
              <w:divBdr>
                <w:top w:val="none" w:sz="0" w:space="0" w:color="auto"/>
                <w:left w:val="none" w:sz="0" w:space="0" w:color="auto"/>
                <w:bottom w:val="none" w:sz="0" w:space="0" w:color="auto"/>
                <w:right w:val="none" w:sz="0" w:space="0" w:color="auto"/>
              </w:divBdr>
            </w:div>
          </w:divsChild>
        </w:div>
        <w:div w:id="113251107">
          <w:marLeft w:val="0"/>
          <w:marRight w:val="0"/>
          <w:marTop w:val="0"/>
          <w:marBottom w:val="0"/>
          <w:divBdr>
            <w:top w:val="none" w:sz="0" w:space="0" w:color="auto"/>
            <w:left w:val="none" w:sz="0" w:space="0" w:color="auto"/>
            <w:bottom w:val="none" w:sz="0" w:space="0" w:color="auto"/>
            <w:right w:val="none" w:sz="0" w:space="0" w:color="auto"/>
          </w:divBdr>
          <w:divsChild>
            <w:div w:id="913785100">
              <w:marLeft w:val="0"/>
              <w:marRight w:val="0"/>
              <w:marTop w:val="0"/>
              <w:marBottom w:val="0"/>
              <w:divBdr>
                <w:top w:val="none" w:sz="0" w:space="0" w:color="auto"/>
                <w:left w:val="none" w:sz="0" w:space="0" w:color="auto"/>
                <w:bottom w:val="none" w:sz="0" w:space="0" w:color="auto"/>
                <w:right w:val="none" w:sz="0" w:space="0" w:color="auto"/>
              </w:divBdr>
            </w:div>
          </w:divsChild>
        </w:div>
        <w:div w:id="141121442">
          <w:marLeft w:val="0"/>
          <w:marRight w:val="0"/>
          <w:marTop w:val="0"/>
          <w:marBottom w:val="0"/>
          <w:divBdr>
            <w:top w:val="none" w:sz="0" w:space="0" w:color="auto"/>
            <w:left w:val="none" w:sz="0" w:space="0" w:color="auto"/>
            <w:bottom w:val="none" w:sz="0" w:space="0" w:color="auto"/>
            <w:right w:val="none" w:sz="0" w:space="0" w:color="auto"/>
          </w:divBdr>
          <w:divsChild>
            <w:div w:id="136071877">
              <w:marLeft w:val="0"/>
              <w:marRight w:val="0"/>
              <w:marTop w:val="0"/>
              <w:marBottom w:val="0"/>
              <w:divBdr>
                <w:top w:val="none" w:sz="0" w:space="0" w:color="auto"/>
                <w:left w:val="none" w:sz="0" w:space="0" w:color="auto"/>
                <w:bottom w:val="none" w:sz="0" w:space="0" w:color="auto"/>
                <w:right w:val="none" w:sz="0" w:space="0" w:color="auto"/>
              </w:divBdr>
            </w:div>
          </w:divsChild>
        </w:div>
        <w:div w:id="152643879">
          <w:marLeft w:val="0"/>
          <w:marRight w:val="0"/>
          <w:marTop w:val="0"/>
          <w:marBottom w:val="0"/>
          <w:divBdr>
            <w:top w:val="none" w:sz="0" w:space="0" w:color="auto"/>
            <w:left w:val="none" w:sz="0" w:space="0" w:color="auto"/>
            <w:bottom w:val="none" w:sz="0" w:space="0" w:color="auto"/>
            <w:right w:val="none" w:sz="0" w:space="0" w:color="auto"/>
          </w:divBdr>
          <w:divsChild>
            <w:div w:id="1574968105">
              <w:marLeft w:val="0"/>
              <w:marRight w:val="0"/>
              <w:marTop w:val="0"/>
              <w:marBottom w:val="0"/>
              <w:divBdr>
                <w:top w:val="none" w:sz="0" w:space="0" w:color="auto"/>
                <w:left w:val="none" w:sz="0" w:space="0" w:color="auto"/>
                <w:bottom w:val="none" w:sz="0" w:space="0" w:color="auto"/>
                <w:right w:val="none" w:sz="0" w:space="0" w:color="auto"/>
              </w:divBdr>
            </w:div>
          </w:divsChild>
        </w:div>
        <w:div w:id="406810764">
          <w:marLeft w:val="0"/>
          <w:marRight w:val="0"/>
          <w:marTop w:val="0"/>
          <w:marBottom w:val="0"/>
          <w:divBdr>
            <w:top w:val="none" w:sz="0" w:space="0" w:color="auto"/>
            <w:left w:val="none" w:sz="0" w:space="0" w:color="auto"/>
            <w:bottom w:val="none" w:sz="0" w:space="0" w:color="auto"/>
            <w:right w:val="none" w:sz="0" w:space="0" w:color="auto"/>
          </w:divBdr>
          <w:divsChild>
            <w:div w:id="1056931813">
              <w:marLeft w:val="0"/>
              <w:marRight w:val="0"/>
              <w:marTop w:val="0"/>
              <w:marBottom w:val="0"/>
              <w:divBdr>
                <w:top w:val="none" w:sz="0" w:space="0" w:color="auto"/>
                <w:left w:val="none" w:sz="0" w:space="0" w:color="auto"/>
                <w:bottom w:val="none" w:sz="0" w:space="0" w:color="auto"/>
                <w:right w:val="none" w:sz="0" w:space="0" w:color="auto"/>
              </w:divBdr>
            </w:div>
          </w:divsChild>
        </w:div>
        <w:div w:id="576524845">
          <w:marLeft w:val="0"/>
          <w:marRight w:val="0"/>
          <w:marTop w:val="0"/>
          <w:marBottom w:val="0"/>
          <w:divBdr>
            <w:top w:val="none" w:sz="0" w:space="0" w:color="auto"/>
            <w:left w:val="none" w:sz="0" w:space="0" w:color="auto"/>
            <w:bottom w:val="none" w:sz="0" w:space="0" w:color="auto"/>
            <w:right w:val="none" w:sz="0" w:space="0" w:color="auto"/>
          </w:divBdr>
          <w:divsChild>
            <w:div w:id="1132287964">
              <w:marLeft w:val="0"/>
              <w:marRight w:val="0"/>
              <w:marTop w:val="0"/>
              <w:marBottom w:val="0"/>
              <w:divBdr>
                <w:top w:val="none" w:sz="0" w:space="0" w:color="auto"/>
                <w:left w:val="none" w:sz="0" w:space="0" w:color="auto"/>
                <w:bottom w:val="none" w:sz="0" w:space="0" w:color="auto"/>
                <w:right w:val="none" w:sz="0" w:space="0" w:color="auto"/>
              </w:divBdr>
            </w:div>
          </w:divsChild>
        </w:div>
        <w:div w:id="1195924803">
          <w:marLeft w:val="0"/>
          <w:marRight w:val="0"/>
          <w:marTop w:val="0"/>
          <w:marBottom w:val="0"/>
          <w:divBdr>
            <w:top w:val="none" w:sz="0" w:space="0" w:color="auto"/>
            <w:left w:val="none" w:sz="0" w:space="0" w:color="auto"/>
            <w:bottom w:val="none" w:sz="0" w:space="0" w:color="auto"/>
            <w:right w:val="none" w:sz="0" w:space="0" w:color="auto"/>
          </w:divBdr>
          <w:divsChild>
            <w:div w:id="44567565">
              <w:marLeft w:val="0"/>
              <w:marRight w:val="0"/>
              <w:marTop w:val="0"/>
              <w:marBottom w:val="0"/>
              <w:divBdr>
                <w:top w:val="none" w:sz="0" w:space="0" w:color="auto"/>
                <w:left w:val="none" w:sz="0" w:space="0" w:color="auto"/>
                <w:bottom w:val="none" w:sz="0" w:space="0" w:color="auto"/>
                <w:right w:val="none" w:sz="0" w:space="0" w:color="auto"/>
              </w:divBdr>
            </w:div>
            <w:div w:id="1545679595">
              <w:marLeft w:val="0"/>
              <w:marRight w:val="0"/>
              <w:marTop w:val="0"/>
              <w:marBottom w:val="0"/>
              <w:divBdr>
                <w:top w:val="none" w:sz="0" w:space="0" w:color="auto"/>
                <w:left w:val="none" w:sz="0" w:space="0" w:color="auto"/>
                <w:bottom w:val="none" w:sz="0" w:space="0" w:color="auto"/>
                <w:right w:val="none" w:sz="0" w:space="0" w:color="auto"/>
              </w:divBdr>
            </w:div>
          </w:divsChild>
        </w:div>
        <w:div w:id="1283538526">
          <w:marLeft w:val="0"/>
          <w:marRight w:val="0"/>
          <w:marTop w:val="0"/>
          <w:marBottom w:val="0"/>
          <w:divBdr>
            <w:top w:val="none" w:sz="0" w:space="0" w:color="auto"/>
            <w:left w:val="none" w:sz="0" w:space="0" w:color="auto"/>
            <w:bottom w:val="none" w:sz="0" w:space="0" w:color="auto"/>
            <w:right w:val="none" w:sz="0" w:space="0" w:color="auto"/>
          </w:divBdr>
          <w:divsChild>
            <w:div w:id="83770211">
              <w:marLeft w:val="0"/>
              <w:marRight w:val="0"/>
              <w:marTop w:val="0"/>
              <w:marBottom w:val="0"/>
              <w:divBdr>
                <w:top w:val="none" w:sz="0" w:space="0" w:color="auto"/>
                <w:left w:val="none" w:sz="0" w:space="0" w:color="auto"/>
                <w:bottom w:val="none" w:sz="0" w:space="0" w:color="auto"/>
                <w:right w:val="none" w:sz="0" w:space="0" w:color="auto"/>
              </w:divBdr>
            </w:div>
          </w:divsChild>
        </w:div>
        <w:div w:id="1283805101">
          <w:marLeft w:val="0"/>
          <w:marRight w:val="0"/>
          <w:marTop w:val="0"/>
          <w:marBottom w:val="0"/>
          <w:divBdr>
            <w:top w:val="none" w:sz="0" w:space="0" w:color="auto"/>
            <w:left w:val="none" w:sz="0" w:space="0" w:color="auto"/>
            <w:bottom w:val="none" w:sz="0" w:space="0" w:color="auto"/>
            <w:right w:val="none" w:sz="0" w:space="0" w:color="auto"/>
          </w:divBdr>
          <w:divsChild>
            <w:div w:id="374356764">
              <w:marLeft w:val="0"/>
              <w:marRight w:val="0"/>
              <w:marTop w:val="0"/>
              <w:marBottom w:val="0"/>
              <w:divBdr>
                <w:top w:val="none" w:sz="0" w:space="0" w:color="auto"/>
                <w:left w:val="none" w:sz="0" w:space="0" w:color="auto"/>
                <w:bottom w:val="none" w:sz="0" w:space="0" w:color="auto"/>
                <w:right w:val="none" w:sz="0" w:space="0" w:color="auto"/>
              </w:divBdr>
            </w:div>
          </w:divsChild>
        </w:div>
        <w:div w:id="1610235038">
          <w:marLeft w:val="0"/>
          <w:marRight w:val="0"/>
          <w:marTop w:val="0"/>
          <w:marBottom w:val="0"/>
          <w:divBdr>
            <w:top w:val="none" w:sz="0" w:space="0" w:color="auto"/>
            <w:left w:val="none" w:sz="0" w:space="0" w:color="auto"/>
            <w:bottom w:val="none" w:sz="0" w:space="0" w:color="auto"/>
            <w:right w:val="none" w:sz="0" w:space="0" w:color="auto"/>
          </w:divBdr>
          <w:divsChild>
            <w:div w:id="2006860467">
              <w:marLeft w:val="0"/>
              <w:marRight w:val="0"/>
              <w:marTop w:val="0"/>
              <w:marBottom w:val="0"/>
              <w:divBdr>
                <w:top w:val="none" w:sz="0" w:space="0" w:color="auto"/>
                <w:left w:val="none" w:sz="0" w:space="0" w:color="auto"/>
                <w:bottom w:val="none" w:sz="0" w:space="0" w:color="auto"/>
                <w:right w:val="none" w:sz="0" w:space="0" w:color="auto"/>
              </w:divBdr>
            </w:div>
          </w:divsChild>
        </w:div>
        <w:div w:id="2076318789">
          <w:marLeft w:val="0"/>
          <w:marRight w:val="0"/>
          <w:marTop w:val="0"/>
          <w:marBottom w:val="0"/>
          <w:divBdr>
            <w:top w:val="none" w:sz="0" w:space="0" w:color="auto"/>
            <w:left w:val="none" w:sz="0" w:space="0" w:color="auto"/>
            <w:bottom w:val="none" w:sz="0" w:space="0" w:color="auto"/>
            <w:right w:val="none" w:sz="0" w:space="0" w:color="auto"/>
          </w:divBdr>
          <w:divsChild>
            <w:div w:id="8752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header" Target="header144.xml"/><Relationship Id="rId303" Type="http://schemas.openxmlformats.org/officeDocument/2006/relationships/footer" Target="footer145.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324" Type="http://schemas.openxmlformats.org/officeDocument/2006/relationships/footer" Target="footer156.xml"/><Relationship Id="rId345" Type="http://schemas.openxmlformats.org/officeDocument/2006/relationships/header" Target="header167.xml"/><Relationship Id="rId366" Type="http://schemas.openxmlformats.org/officeDocument/2006/relationships/footer" Target="footer177.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8.xml"/><Relationship Id="rId107" Type="http://schemas.openxmlformats.org/officeDocument/2006/relationships/header" Target="header48.xml"/><Relationship Id="rId268" Type="http://schemas.openxmlformats.org/officeDocument/2006/relationships/footer" Target="footer128.xml"/><Relationship Id="rId289" Type="http://schemas.openxmlformats.org/officeDocument/2006/relationships/header" Target="header139.xml"/><Relationship Id="rId11" Type="http://schemas.openxmlformats.org/officeDocument/2006/relationships/endnotes" Target="endnotes.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header" Target="header152.xml"/><Relationship Id="rId335" Type="http://schemas.openxmlformats.org/officeDocument/2006/relationships/header" Target="header162.xml"/><Relationship Id="rId356" Type="http://schemas.openxmlformats.org/officeDocument/2006/relationships/footer" Target="footer172.xml"/><Relationship Id="rId377" Type="http://schemas.openxmlformats.org/officeDocument/2006/relationships/footer" Target="footer182.xml"/><Relationship Id="rId5" Type="http://schemas.openxmlformats.org/officeDocument/2006/relationships/customXml" Target="../customXml/item5.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footer" Target="footer133.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40.xml"/><Relationship Id="rId304" Type="http://schemas.openxmlformats.org/officeDocument/2006/relationships/footer" Target="footer146.xml"/><Relationship Id="rId325" Type="http://schemas.openxmlformats.org/officeDocument/2006/relationships/header" Target="header157.xml"/><Relationship Id="rId346" Type="http://schemas.openxmlformats.org/officeDocument/2006/relationships/header" Target="header168.xml"/><Relationship Id="rId367" Type="http://schemas.openxmlformats.org/officeDocument/2006/relationships/header" Target="header178.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image" Target="media/image1.emf"/><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4.xml"/><Relationship Id="rId315" Type="http://schemas.openxmlformats.org/officeDocument/2006/relationships/footer" Target="footer151.xml"/><Relationship Id="rId336" Type="http://schemas.openxmlformats.org/officeDocument/2006/relationships/footer" Target="footer162.xml"/><Relationship Id="rId357" Type="http://schemas.openxmlformats.org/officeDocument/2006/relationships/header" Target="header173.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378" Type="http://schemas.openxmlformats.org/officeDocument/2006/relationships/footer" Target="footer183.xml"/><Relationship Id="rId6" Type="http://schemas.openxmlformats.org/officeDocument/2006/relationships/numbering" Target="numbering.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9.xml"/><Relationship Id="rId291" Type="http://schemas.openxmlformats.org/officeDocument/2006/relationships/footer" Target="footer139.xml"/><Relationship Id="rId305" Type="http://schemas.openxmlformats.org/officeDocument/2006/relationships/header" Target="header147.xml"/><Relationship Id="rId326" Type="http://schemas.openxmlformats.org/officeDocument/2006/relationships/header" Target="header158.xml"/><Relationship Id="rId347" Type="http://schemas.openxmlformats.org/officeDocument/2006/relationships/footer" Target="footer167.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368" Type="http://schemas.openxmlformats.org/officeDocument/2006/relationships/footer" Target="footer178.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5.xml"/><Relationship Id="rId281" Type="http://schemas.openxmlformats.org/officeDocument/2006/relationships/header" Target="header135.xml"/><Relationship Id="rId316" Type="http://schemas.openxmlformats.org/officeDocument/2006/relationships/footer" Target="footer152.xml"/><Relationship Id="rId337" Type="http://schemas.openxmlformats.org/officeDocument/2006/relationships/header" Target="header163.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358" Type="http://schemas.openxmlformats.org/officeDocument/2006/relationships/header" Target="header174.xml"/><Relationship Id="rId379" Type="http://schemas.openxmlformats.org/officeDocument/2006/relationships/header" Target="header184.xml"/><Relationship Id="rId7" Type="http://schemas.openxmlformats.org/officeDocument/2006/relationships/styles" Target="style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40.xml"/><Relationship Id="rId306" Type="http://schemas.openxmlformats.org/officeDocument/2006/relationships/footer" Target="foot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327" Type="http://schemas.openxmlformats.org/officeDocument/2006/relationships/footer" Target="footer157.xml"/><Relationship Id="rId348" Type="http://schemas.openxmlformats.org/officeDocument/2006/relationships/footer" Target="footer168.xml"/><Relationship Id="rId369" Type="http://schemas.openxmlformats.org/officeDocument/2006/relationships/header" Target="header179.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header" Target="header109.xml"/><Relationship Id="rId380" Type="http://schemas.openxmlformats.org/officeDocument/2006/relationships/footer" Target="footer184.xml"/><Relationship Id="rId240" Type="http://schemas.openxmlformats.org/officeDocument/2006/relationships/footer" Target="footer114.xml"/><Relationship Id="rId261" Type="http://schemas.openxmlformats.org/officeDocument/2006/relationships/footer" Target="footer124.xml"/><Relationship Id="rId14" Type="http://schemas.openxmlformats.org/officeDocument/2006/relationships/header" Target="head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footer" Target="footer135.xml"/><Relationship Id="rId317" Type="http://schemas.openxmlformats.org/officeDocument/2006/relationships/header" Target="header153.xml"/><Relationship Id="rId338" Type="http://schemas.openxmlformats.org/officeDocument/2006/relationships/footer" Target="footer163.xml"/><Relationship Id="rId359" Type="http://schemas.openxmlformats.org/officeDocument/2006/relationships/footer" Target="footer173.xml"/><Relationship Id="rId8" Type="http://schemas.openxmlformats.org/officeDocument/2006/relationships/settings" Target="settings.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370" Type="http://schemas.openxmlformats.org/officeDocument/2006/relationships/header" Target="header180.xml"/><Relationship Id="rId230" Type="http://schemas.openxmlformats.org/officeDocument/2006/relationships/header" Target="header110.xml"/><Relationship Id="rId251" Type="http://schemas.openxmlformats.org/officeDocument/2006/relationships/header" Target="header120.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header" Target="header131.xml"/><Relationship Id="rId293" Type="http://schemas.openxmlformats.org/officeDocument/2006/relationships/header" Target="header141.xml"/><Relationship Id="rId307" Type="http://schemas.openxmlformats.org/officeDocument/2006/relationships/header" Target="header148.xml"/><Relationship Id="rId328" Type="http://schemas.openxmlformats.org/officeDocument/2006/relationships/footer" Target="footer158.xml"/><Relationship Id="rId349" Type="http://schemas.openxmlformats.org/officeDocument/2006/relationships/header" Target="header169.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footer" Target="footer174.xml"/><Relationship Id="rId381" Type="http://schemas.openxmlformats.org/officeDocument/2006/relationships/fontTable" Target="fontTable.xml"/><Relationship Id="rId220" Type="http://schemas.openxmlformats.org/officeDocument/2006/relationships/footer" Target="footer104.xml"/><Relationship Id="rId241" Type="http://schemas.openxmlformats.org/officeDocument/2006/relationships/header" Target="header115.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262" Type="http://schemas.openxmlformats.org/officeDocument/2006/relationships/footer" Target="footer125.xml"/><Relationship Id="rId283" Type="http://schemas.openxmlformats.org/officeDocument/2006/relationships/header" Target="header136.xml"/><Relationship Id="rId318" Type="http://schemas.openxmlformats.org/officeDocument/2006/relationships/footer" Target="footer153.xml"/><Relationship Id="rId339" Type="http://schemas.openxmlformats.org/officeDocument/2006/relationships/header" Target="header164.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64" Type="http://schemas.openxmlformats.org/officeDocument/2006/relationships/header" Target="header77.xml"/><Relationship Id="rId185" Type="http://schemas.openxmlformats.org/officeDocument/2006/relationships/header" Target="header87.xml"/><Relationship Id="rId350" Type="http://schemas.openxmlformats.org/officeDocument/2006/relationships/footer" Target="footer169.xml"/><Relationship Id="rId371" Type="http://schemas.openxmlformats.org/officeDocument/2006/relationships/footer" Target="footer179.xml"/><Relationship Id="rId9" Type="http://schemas.openxmlformats.org/officeDocument/2006/relationships/webSettings" Target="webSettings.xml"/><Relationship Id="rId210" Type="http://schemas.openxmlformats.org/officeDocument/2006/relationships/footer" Target="footer99.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footer" Target="footer141.xml"/><Relationship Id="rId308" Type="http://schemas.openxmlformats.org/officeDocument/2006/relationships/header" Target="header149.xml"/><Relationship Id="rId329" Type="http://schemas.openxmlformats.org/officeDocument/2006/relationships/header" Target="header159.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340" Type="http://schemas.openxmlformats.org/officeDocument/2006/relationships/header" Target="header165.xml"/><Relationship Id="rId361" Type="http://schemas.openxmlformats.org/officeDocument/2006/relationships/header" Target="header175.xml"/><Relationship Id="rId196" Type="http://schemas.openxmlformats.org/officeDocument/2006/relationships/footer" Target="footer92.xml"/><Relationship Id="rId200" Type="http://schemas.openxmlformats.org/officeDocument/2006/relationships/header" Target="header95.xml"/><Relationship Id="rId382" Type="http://schemas.openxmlformats.org/officeDocument/2006/relationships/theme" Target="theme/theme1.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7.xml"/><Relationship Id="rId319" Type="http://schemas.openxmlformats.org/officeDocument/2006/relationships/header" Target="header154.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footer" Target="footer159.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351" Type="http://schemas.openxmlformats.org/officeDocument/2006/relationships/header" Target="header170.xml"/><Relationship Id="rId372" Type="http://schemas.openxmlformats.org/officeDocument/2006/relationships/footer" Target="footer180.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header" Target="header142.xml"/><Relationship Id="rId309" Type="http://schemas.openxmlformats.org/officeDocument/2006/relationships/footer" Target="footer148.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header" Target="header155.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footer" Target="footer164.xml"/><Relationship Id="rId362" Type="http://schemas.openxmlformats.org/officeDocument/2006/relationships/footer" Target="footer175.xml"/><Relationship Id="rId383" Type="http://schemas.microsoft.com/office/2019/05/relationships/documenttasks" Target="documenttasks/documenttasks1.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footer" Target="footer136.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footer" Target="footer149.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header" Target="header160.xml"/><Relationship Id="rId352" Type="http://schemas.openxmlformats.org/officeDocument/2006/relationships/header" Target="header171.xml"/><Relationship Id="rId373" Type="http://schemas.openxmlformats.org/officeDocument/2006/relationships/header" Target="header181.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header" Target="header132.xml"/><Relationship Id="rId296" Type="http://schemas.openxmlformats.org/officeDocument/2006/relationships/header" Target="header143.xml"/><Relationship Id="rId300" Type="http://schemas.openxmlformats.org/officeDocument/2006/relationships/footer" Target="foot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footer" Target="footer154.xml"/><Relationship Id="rId342" Type="http://schemas.openxmlformats.org/officeDocument/2006/relationships/footer" Target="footer165.xml"/><Relationship Id="rId363" Type="http://schemas.openxmlformats.org/officeDocument/2006/relationships/header" Target="header176.xml"/><Relationship Id="rId384" Type="http://schemas.microsoft.com/office/2020/10/relationships/intelligence" Target="intelligence2.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6.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header" Target="header127.xml"/><Relationship Id="rId286" Type="http://schemas.openxmlformats.org/officeDocument/2006/relationships/footer" Target="footer137.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header" Target="header150.xml"/><Relationship Id="rId332" Type="http://schemas.openxmlformats.org/officeDocument/2006/relationships/header" Target="header161.xml"/><Relationship Id="rId353" Type="http://schemas.openxmlformats.org/officeDocument/2006/relationships/footer" Target="footer170.xml"/><Relationship Id="rId374" Type="http://schemas.openxmlformats.org/officeDocument/2006/relationships/footer" Target="footer181.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footer" Target="footer142.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5.xml"/><Relationship Id="rId322" Type="http://schemas.openxmlformats.org/officeDocument/2006/relationships/footer" Target="footer155.xml"/><Relationship Id="rId343" Type="http://schemas.openxmlformats.org/officeDocument/2006/relationships/header" Target="header166.xml"/><Relationship Id="rId364" Type="http://schemas.openxmlformats.org/officeDocument/2006/relationships/header" Target="header177.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4.xml"/><Relationship Id="rId224" Type="http://schemas.openxmlformats.org/officeDocument/2006/relationships/header" Target="header107.xml"/><Relationship Id="rId245" Type="http://schemas.openxmlformats.org/officeDocument/2006/relationships/header" Target="header117.xml"/><Relationship Id="rId266" Type="http://schemas.openxmlformats.org/officeDocument/2006/relationships/header" Target="header128.xml"/><Relationship Id="rId287" Type="http://schemas.openxmlformats.org/officeDocument/2006/relationships/header" Target="header138.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footer" Target="footer150.xml"/><Relationship Id="rId333" Type="http://schemas.openxmlformats.org/officeDocument/2006/relationships/footer" Target="footer160.xml"/><Relationship Id="rId354" Type="http://schemas.openxmlformats.org/officeDocument/2006/relationships/footer" Target="footer171.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8.xml"/><Relationship Id="rId375" Type="http://schemas.openxmlformats.org/officeDocument/2006/relationships/header" Target="header182.xml"/><Relationship Id="rId3" Type="http://schemas.openxmlformats.org/officeDocument/2006/relationships/customXml" Target="../customXml/item3.xml"/><Relationship Id="rId214" Type="http://schemas.openxmlformats.org/officeDocument/2006/relationships/footer" Target="footer101.xml"/><Relationship Id="rId235" Type="http://schemas.openxmlformats.org/officeDocument/2006/relationships/header" Target="header112.xml"/><Relationship Id="rId256" Type="http://schemas.openxmlformats.org/officeDocument/2006/relationships/footer" Target="footer122.xml"/><Relationship Id="rId277" Type="http://schemas.openxmlformats.org/officeDocument/2006/relationships/header" Target="header133.xml"/><Relationship Id="rId298" Type="http://schemas.openxmlformats.org/officeDocument/2006/relationships/footer" Target="footer143.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302" Type="http://schemas.openxmlformats.org/officeDocument/2006/relationships/header" Target="header146.xml"/><Relationship Id="rId323" Type="http://schemas.openxmlformats.org/officeDocument/2006/relationships/header" Target="header156.xml"/><Relationship Id="rId344" Type="http://schemas.openxmlformats.org/officeDocument/2006/relationships/footer" Target="footer166.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header" Target="header84.xml"/><Relationship Id="rId365" Type="http://schemas.openxmlformats.org/officeDocument/2006/relationships/footer" Target="footer176.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footer" Target="footer106.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footer" Target="footer138.xml"/><Relationship Id="rId106" Type="http://schemas.openxmlformats.org/officeDocument/2006/relationships/footer" Target="footer47.xml"/><Relationship Id="rId127" Type="http://schemas.openxmlformats.org/officeDocument/2006/relationships/header" Target="header58.xml"/><Relationship Id="rId313" Type="http://schemas.openxmlformats.org/officeDocument/2006/relationships/header" Target="header151.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footer" Target="footer68.xml"/><Relationship Id="rId169" Type="http://schemas.openxmlformats.org/officeDocument/2006/relationships/header" Target="header79.xml"/><Relationship Id="rId334" Type="http://schemas.openxmlformats.org/officeDocument/2006/relationships/footer" Target="footer161.xml"/><Relationship Id="rId355" Type="http://schemas.openxmlformats.org/officeDocument/2006/relationships/header" Target="header172.xml"/><Relationship Id="rId376" Type="http://schemas.openxmlformats.org/officeDocument/2006/relationships/header" Target="header183.xml"/><Relationship Id="rId4" Type="http://schemas.openxmlformats.org/officeDocument/2006/relationships/customXml" Target="../customXml/item4.xml"/><Relationship Id="rId180" Type="http://schemas.openxmlformats.org/officeDocument/2006/relationships/footer" Target="footer84.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4.xml"/></Relationships>
</file>

<file path=word/documenttasks/documenttasks1.xml><?xml version="1.0" encoding="utf-8"?>
<t:Tasks xmlns:t="http://schemas.microsoft.com/office/tasks/2019/documenttasks" xmlns:oel="http://schemas.microsoft.com/office/2019/extlst">
  <t:Task id="{5680157B-53D2-48A7-8400-2B113ED038B5}">
    <t:Anchor>
      <t:Comment id="685924280"/>
    </t:Anchor>
    <t:History>
      <t:Event id="{C7B50112-B96F-44C2-A337-7565D8EECBE9}" time="2023-10-24T13:51:44.757Z">
        <t:Attribution userId="S::mario.janiri@ec.europa.eu::38a425da-e9e0-4f39-867b-517d4aa18d3f" userProvider="AD" userName="JANIRI Mario (SG-RECOVER)"/>
        <t:Anchor>
          <t:Comment id="1339592421"/>
        </t:Anchor>
        <t:Create/>
      </t:Event>
      <t:Event id="{585F1370-FDC7-4C74-B742-DB46D92E5709}" time="2023-10-24T13:51:44.757Z">
        <t:Attribution userId="S::mario.janiri@ec.europa.eu::38a425da-e9e0-4f39-867b-517d4aa18d3f" userProvider="AD" userName="JANIRI Mario (SG-RECOVER)"/>
        <t:Anchor>
          <t:Comment id="1339592421"/>
        </t:Anchor>
        <t:Assign userId="S::Vasilis.NIKITAS@ec.europa.eu::2098837e-f110-44fd-9240-213a75053541" userProvider="AD" userName="NIKITAS Vasilis (ECFIN-ATHENS)"/>
      </t:Event>
      <t:Event id="{FB8086E7-B47E-409C-AE99-6A7147B90910}" time="2023-10-24T13:51:44.757Z">
        <t:Attribution userId="S::mario.janiri@ec.europa.eu::38a425da-e9e0-4f39-867b-517d4aa18d3f" userProvider="AD" userName="JANIRI Mario (SG-RECOVER)"/>
        <t:Anchor>
          <t:Comment id="1339592421"/>
        </t:Anchor>
        <t:SetTitle title="…Plans as requested. According to the abovementioned article the Special Urban Plans are approved exclusively by the Court of State (Law 4447/2016 article 8).&quot;. What's your take @NIKITAS Vasilis (ECFIN-ATHENS)? If not sure, we can ask Greece to confirm."/>
      </t:Event>
    </t:History>
  </t:Task>
  <t:Task id="{113DCDD2-F446-41CA-8BD9-991C6559F6D7}">
    <t:Anchor>
      <t:Comment id="720462159"/>
    </t:Anchor>
    <t:History>
      <t:Event id="{1B9C4331-8916-42C1-8F20-4E1371F2CD61}" time="2024-11-28T13:37:42.84Z">
        <t:Attribution userId="S::Claudia.PIFERI@ec.europa.eu::19496a8b-2d91-4010-ae9e-0b90968b4d4f" userProvider="AD" userName="PIFERI Claudia (ECFIN)"/>
        <t:Anchor>
          <t:Comment id="720567990"/>
        </t:Anchor>
        <t:Create/>
      </t:Event>
      <t:Event id="{580ADD4E-0108-4B2A-8BDA-434B61918F39}" time="2024-11-28T13:37:42.84Z">
        <t:Attribution userId="S::Claudia.PIFERI@ec.europa.eu::19496a8b-2d91-4010-ae9e-0b90968b4d4f" userProvider="AD" userName="PIFERI Claudia (ECFIN)"/>
        <t:Anchor>
          <t:Comment id="720567990"/>
        </t:Anchor>
        <t:Assign userId="S::Michael.MAGUIRE@ec.europa.eu::fb49cca5-1801-4286-a4db-b3a10b4a06e6" userProvider="AD" userName="MAGUIRE Michael (ECFIN)"/>
      </t:Event>
      <t:Event id="{CE37B634-5F71-4D65-B114-3B4B67E06C8D}" time="2024-11-28T13:37:42.84Z">
        <t:Attribution userId="S::Claudia.PIFERI@ec.europa.eu::19496a8b-2d91-4010-ae9e-0b90968b4d4f" userProvider="AD" userName="PIFERI Claudia (ECFIN)"/>
        <t:Anchor>
          <t:Comment id="720567990"/>
        </t:Anchor>
        <t:SetTitle title="@MAGUIRE Michael (ECFIN) can you please check this? "/>
      </t:Event>
    </t:History>
  </t:Task>
  <t:Task id="{92D6E254-40BC-42E5-8BAD-111E35F31124}">
    <t:Anchor>
      <t:Comment id="344308136"/>
    </t:Anchor>
    <t:History>
      <t:Event id="{9D3FCE8B-FF9E-4175-882E-C4D984047DBC}" time="2025-06-17T12:42:52.066Z">
        <t:Attribution userId="S::Marie-Luise.RUD@ec.europa.eu::664c74cb-19b7-4b42-a638-679cc1537c10" userProvider="AD" userName="RUD Marie-Luise (ECFIN)"/>
        <t:Anchor>
          <t:Comment id="344308136"/>
        </t:Anchor>
        <t:Create/>
      </t:Event>
      <t:Event id="{78154228-63AB-4022-9B54-B6F4D467A73A}" time="2025-06-17T12:42:52.066Z">
        <t:Attribution userId="S::Marie-Luise.RUD@ec.europa.eu::664c74cb-19b7-4b42-a638-679cc1537c10" userProvider="AD" userName="RUD Marie-Luise (ECFIN)"/>
        <t:Anchor>
          <t:Comment id="344308136"/>
        </t:Anchor>
        <t:Assign userId="S::Jacob.MAINKA@ec.europa.eu::818a6ab9-163e-4235-bb4f-b98a11a1415c" userProvider="AD" userName="MAINKA Jacob (ECFIN)"/>
      </t:Event>
      <t:Event id="{ED27D694-FA3B-4521-8EAE-DB3F22563EC4}" time="2025-06-17T12:42:52.066Z">
        <t:Attribution userId="S::Marie-Luise.RUD@ec.europa.eu::664c74cb-19b7-4b42-a638-679cc1537c10" userProvider="AD" userName="RUD Marie-Luise (ECFIN)"/>
        <t:Anchor>
          <t:Comment id="344308136"/>
        </t:Anchor>
        <t:SetTitle title="@MAINKA Jacob (ECFIN) "/>
      </t:Event>
    </t:History>
  </t:Task>
  <t:Task id="{D251EE32-4BCE-461E-AA41-3DA2F76F636C}">
    <t:Anchor>
      <t:Comment id="953455788"/>
    </t:Anchor>
    <t:History>
      <t:Event id="{C4BEC442-F329-4A82-B237-AB7418B62F3E}" time="2025-06-17T12:43:55.318Z">
        <t:Attribution userId="S::Marie-Luise.RUD@ec.europa.eu::664c74cb-19b7-4b42-a638-679cc1537c10" userProvider="AD" userName="RUD Marie-Luise (ECFIN)"/>
        <t:Anchor>
          <t:Comment id="953455788"/>
        </t:Anchor>
        <t:Create/>
      </t:Event>
      <t:Event id="{766364F5-F92C-4572-991E-04813AC6E970}" time="2025-06-17T12:43:55.318Z">
        <t:Attribution userId="S::Marie-Luise.RUD@ec.europa.eu::664c74cb-19b7-4b42-a638-679cc1537c10" userProvider="AD" userName="RUD Marie-Luise (ECFIN)"/>
        <t:Anchor>
          <t:Comment id="953455788"/>
        </t:Anchor>
        <t:Assign userId="S::Jacob.MAINKA@ec.europa.eu::818a6ab9-163e-4235-bb4f-b98a11a1415c" userProvider="AD" userName="MAINKA Jacob (ECFIN)"/>
      </t:Event>
      <t:Event id="{82252435-CD17-4428-AFB5-7B04685A0060}" time="2025-06-17T12:43:55.318Z">
        <t:Attribution userId="S::Marie-Luise.RUD@ec.europa.eu::664c74cb-19b7-4b42-a638-679cc1537c10" userProvider="AD" userName="RUD Marie-Luise (ECFIN)"/>
        <t:Anchor>
          <t:Comment id="953455788"/>
        </t:Anchor>
        <t:SetTitle title="@MAINKA Jacob (ECFIN) "/>
      </t:Event>
    </t:History>
  </t:Task>
  <t:Task id="{F23A83DB-9E42-46E8-8F65-295A82F0CAFD}">
    <t:Anchor>
      <t:Comment id="1863870751"/>
    </t:Anchor>
    <t:History>
      <t:Event id="{CE7C1B0D-4D04-440E-93F0-78D37EDED79D}" time="2025-06-17T12:44:48.573Z">
        <t:Attribution userId="S::Marie-Luise.RUD@ec.europa.eu::664c74cb-19b7-4b42-a638-679cc1537c10" userProvider="AD" userName="RUD Marie-Luise (ECFIN)"/>
        <t:Anchor>
          <t:Comment id="1863870751"/>
        </t:Anchor>
        <t:Create/>
      </t:Event>
      <t:Event id="{7C936059-1223-47FA-A5EF-23FFDC27511B}" time="2025-06-17T12:44:48.573Z">
        <t:Attribution userId="S::Marie-Luise.RUD@ec.europa.eu::664c74cb-19b7-4b42-a638-679cc1537c10" userProvider="AD" userName="RUD Marie-Luise (ECFIN)"/>
        <t:Anchor>
          <t:Comment id="1863870751"/>
        </t:Anchor>
        <t:Assign userId="S::Jacob.MAINKA@ec.europa.eu::818a6ab9-163e-4235-bb4f-b98a11a1415c" userProvider="AD" userName="MAINKA Jacob (ECFIN)"/>
      </t:Event>
      <t:Event id="{B3E9B17A-D8B2-4642-A0D5-AB2879920A48}" time="2025-06-17T12:44:48.573Z">
        <t:Attribution userId="S::Marie-Luise.RUD@ec.europa.eu::664c74cb-19b7-4b42-a638-679cc1537c10" userProvider="AD" userName="RUD Marie-Luise (ECFIN)"/>
        <t:Anchor>
          <t:Comment id="1863870751"/>
        </t:Anchor>
        <t:SetTitle title="@MAINKA Jacob (ECFIN) "/>
      </t:Event>
    </t:History>
  </t:Task>
  <t:Task id="{4D3D126A-74E7-458D-97C3-4CD7F6333039}">
    <t:Anchor>
      <t:Comment id="1463338990"/>
    </t:Anchor>
    <t:History>
      <t:Event id="{6CABE625-235F-4525-8145-24F134B04333}" time="2025-06-17T12:54:42.926Z">
        <t:Attribution userId="S::Marie-Luise.RUD@ec.europa.eu::664c74cb-19b7-4b42-a638-679cc1537c10" userProvider="AD" userName="RUD Marie-Luise (ECFIN)"/>
        <t:Anchor>
          <t:Comment id="1463338990"/>
        </t:Anchor>
        <t:Create/>
      </t:Event>
      <t:Event id="{274BBBA7-1D98-4589-9382-A0EB7BD63712}" time="2025-06-17T12:54:42.926Z">
        <t:Attribution userId="S::Marie-Luise.RUD@ec.europa.eu::664c74cb-19b7-4b42-a638-679cc1537c10" userProvider="AD" userName="RUD Marie-Luise (ECFIN)"/>
        <t:Anchor>
          <t:Comment id="1463338990"/>
        </t:Anchor>
        <t:Assign userId="S::Jacob.MAINKA@ec.europa.eu::818a6ab9-163e-4235-bb4f-b98a11a1415c" userProvider="AD" userName="MAINKA Jacob (ECFIN)"/>
      </t:Event>
      <t:Event id="{60CC6BBF-83FE-4D22-BEE2-D91358FB1761}" time="2025-06-17T12:54:42.926Z">
        <t:Attribution userId="S::Marie-Luise.RUD@ec.europa.eu::664c74cb-19b7-4b42-a638-679cc1537c10" userProvider="AD" userName="RUD Marie-Luise (ECFIN)"/>
        <t:Anchor>
          <t:Comment id="1463338990"/>
        </t:Anchor>
        <t:SetTitle title="@MAINKA Jacob (ECFIN) "/>
      </t:Event>
    </t:History>
  </t:Task>
  <t:Task id="{CF1557DF-AB89-427B-BD3D-1331B989DAE0}">
    <t:Anchor>
      <t:Comment id="1119121503"/>
    </t:Anchor>
    <t:History>
      <t:Event id="{5EAA257D-AA23-48CF-94AD-22E3A2F295F4}" time="2025-06-17T12:34:44.639Z">
        <t:Attribution userId="S::Marie-Luise.RUD@ec.europa.eu::664c74cb-19b7-4b42-a638-679cc1537c10" userProvider="AD" userName="RUD Marie-Luise (ECFIN)"/>
        <t:Anchor>
          <t:Comment id="1119121503"/>
        </t:Anchor>
        <t:Create/>
      </t:Event>
      <t:Event id="{90807DAD-75F4-455D-80A2-EE97E8B55C73}" time="2025-06-17T12:34:44.639Z">
        <t:Attribution userId="S::Marie-Luise.RUD@ec.europa.eu::664c74cb-19b7-4b42-a638-679cc1537c10" userProvider="AD" userName="RUD Marie-Luise (ECFIN)"/>
        <t:Anchor>
          <t:Comment id="1119121503"/>
        </t:Anchor>
        <t:Assign userId="S::Jacob.MAINKA@ec.europa.eu::818a6ab9-163e-4235-bb4f-b98a11a1415c" userProvider="AD" userName="MAINKA Jacob (ECFIN)"/>
      </t:Event>
      <t:Event id="{C2377F68-ACDD-46E5-8AA2-ED7A864E9C40}" time="2025-06-17T12:34:44.639Z">
        <t:Attribution userId="S::Marie-Luise.RUD@ec.europa.eu::664c74cb-19b7-4b42-a638-679cc1537c10" userProvider="AD" userName="RUD Marie-Luise (ECFIN)"/>
        <t:Anchor>
          <t:Comment id="1119121503"/>
        </t:Anchor>
        <t:SetTitle title="@MAINKA Jacob (ECFIN) could you have a look if this is OK from the green perspectiv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0ae30-99de-4b75-b374-de0637405ec7" xsi:nil="true"/>
    <lcf76f155ced4ddcb4097134ff3c332f xmlns="11e77377-0db5-45fd-a1ac-9f5e38a33c6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EC_ARES_NUMBER xmlns="e4d0ae30-99de-4b75-b374-de0637405ec7">
      <Url xsi:nil="true"/>
      <Description xsi:nil="true"/>
    </EC_ARES_NUMBER>
    <IconOverlay xmlns="http://schemas.microsoft.com/sharepoint/v4" xsi:nil="true"/>
    <EC_ARES_DATE_TRANSFERRED xmlns="e4d0ae30-99de-4b75-b374-de0637405ec7" xsi:nil="true"/>
    <EC_ARES_TRANSFERRED_BY xmlns="e4d0ae30-99de-4b75-b374-de0637405e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F75065C516B24AA4ED9964D7F23498" ma:contentTypeVersion="23" ma:contentTypeDescription="Create a new document." ma:contentTypeScope="" ma:versionID="6a7632b966b2428b289369329218c37b">
  <xsd:schema xmlns:xsd="http://www.w3.org/2001/XMLSchema" xmlns:xs="http://www.w3.org/2001/XMLSchema" xmlns:p="http://schemas.microsoft.com/office/2006/metadata/properties" xmlns:ns1="http://schemas.microsoft.com/sharepoint/v3" xmlns:ns2="11e77377-0db5-45fd-a1ac-9f5e38a33c6f" xmlns:ns3="e4d0ae30-99de-4b75-b374-de0637405ec7" xmlns:ns4="http://schemas.microsoft.com/sharepoint/v4" targetNamespace="http://schemas.microsoft.com/office/2006/metadata/properties" ma:root="true" ma:fieldsID="b6204ff4af2c00b356fb4aa0048497cd" ns1:_="" ns2:_="" ns3:_="" ns4:_="">
    <xsd:import namespace="http://schemas.microsoft.com/sharepoint/v3"/>
    <xsd:import namespace="11e77377-0db5-45fd-a1ac-9f5e38a33c6f"/>
    <xsd:import namespace="e4d0ae30-99de-4b75-b374-de0637405e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EC_ARES_NUMBER" minOccurs="0"/>
                <xsd:element ref="ns3:EC_ARES_DATE_TRANSFERRED" minOccurs="0"/>
                <xsd:element ref="ns3:EC_ARES_TRANSFERRED_BY"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77377-0db5-45fd-a1ac-9f5e38a3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0ae30-99de-4b75-b374-de0637405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c1a9c5-7436-4665-9c01-4721abda3979}" ma:internalName="TaxCatchAll" ma:showField="CatchAllData" ma:web="e4d0ae30-99de-4b75-b374-de0637405ec7">
      <xsd:complexType>
        <xsd:complexContent>
          <xsd:extension base="dms:MultiChoiceLookup">
            <xsd:sequence>
              <xsd:element name="Value" type="dms:Lookup" maxOccurs="unbounded" minOccurs="0" nillable="true"/>
            </xsd:sequence>
          </xsd:extension>
        </xsd:complexContent>
      </xsd:complexType>
    </xsd:element>
    <xsd:element name="EC_ARES_NUMBER" ma:index="2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6" nillable="true" ma:displayName="Transferred to Ares" ma:format="DateTime" ma:hidden="true" ma:internalName="EC_ARES_DATE_TRANSFERRED">
      <xsd:simpleType>
        <xsd:restriction base="dms:DateTime"/>
      </xsd:simpleType>
    </xsd:element>
    <xsd:element name="EC_ARES_TRANSFERRED_BY" ma:index="2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CBA3-623E-4C54-AB69-D34DBF620255}">
  <ds:schemaRefs>
    <ds:schemaRef ds:uri="http://schemas.microsoft.com/office/2006/metadata/properties"/>
    <ds:schemaRef ds:uri="http://schemas.microsoft.com/office/infopath/2007/PartnerControls"/>
    <ds:schemaRef ds:uri="e4d0ae30-99de-4b75-b374-de0637405ec7"/>
    <ds:schemaRef ds:uri="11e77377-0db5-45fd-a1ac-9f5e38a33c6f"/>
    <ds:schemaRef ds:uri="http://schemas.microsoft.com/sharepoint/v4"/>
  </ds:schemaRefs>
</ds:datastoreItem>
</file>

<file path=customXml/itemProps2.xml><?xml version="1.0" encoding="utf-8"?>
<ds:datastoreItem xmlns:ds="http://schemas.openxmlformats.org/officeDocument/2006/customXml" ds:itemID="{B11A4AF6-6620-48D1-BA95-9E4DE59A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77377-0db5-45fd-a1ac-9f5e38a33c6f"/>
    <ds:schemaRef ds:uri="e4d0ae30-99de-4b75-b374-de0637405e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3354-FE77-4A2F-8630-F8FA03C1CC72}">
  <ds:schemaRefs>
    <ds:schemaRef ds:uri="http://schemas.microsoft.com/sharepoint/v3/contenttype/forms"/>
  </ds:schemaRefs>
</ds:datastoreItem>
</file>

<file path=customXml/itemProps4.xml><?xml version="1.0" encoding="utf-8"?>
<ds:datastoreItem xmlns:ds="http://schemas.openxmlformats.org/officeDocument/2006/customXml" ds:itemID="{8B0CB974-CC9B-4580-B943-C0332C02328A}">
  <ds:schemaRefs>
    <ds:schemaRef ds:uri="http://schemas.microsoft.com/sharepoint/v3/contenttype/forms"/>
  </ds:schemaRefs>
</ds:datastoreItem>
</file>

<file path=customXml/itemProps5.xml><?xml version="1.0" encoding="utf-8"?>
<ds:datastoreItem xmlns:ds="http://schemas.openxmlformats.org/officeDocument/2006/customXml" ds:itemID="{D204F092-492F-41EA-ADDD-5214AB18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93392</Words>
  <Characters>532335</Characters>
  <Application>Microsoft Office Word</Application>
  <DocSecurity>0</DocSecurity>
  <Lines>4436</Lines>
  <Paragraphs>1248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dcterms:created xsi:type="dcterms:W3CDTF">2025-07-02T09:31:00Z</dcterms:created>
  <dcterms:modified xsi:type="dcterms:W3CDTF">2025-07-09T15:24:00Z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4.9.1, Build 20240216</vt:lpwstr>
  </property>
  <property fmtid="{D5CDD505-2E9C-101B-9397-08002B2CF9AE}" pid="3" name="ContentTypeId">
    <vt:lpwstr>0x010100BAF75065C516B24AA4ED9964D7F23498</vt:lpwstr>
  </property>
  <property fmtid="{D5CDD505-2E9C-101B-9397-08002B2CF9AE}" pid="4" name="MSIP_Label_6bd9ddd1-4d20-43f6-abfa-fc3c07406f94_Enabled">
    <vt:lpwstr>true</vt:lpwstr>
  </property>
  <property fmtid="{D5CDD505-2E9C-101B-9397-08002B2CF9AE}" pid="5" name="MSIP_Label_6bd9ddd1-4d20-43f6-abfa-fc3c07406f94_SetDate">
    <vt:lpwstr>2023-09-11T07:57:38Z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8974eb50-0967-4d56-a303-e1962c90295e</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y fmtid="{D5CDD505-2E9C-101B-9397-08002B2CF9AE}" pid="18" name="MSIP_Label_b1df41d6-74a9-4a97-809c-213cd32520cc_Enabled">
    <vt:lpwstr>true</vt:lpwstr>
  </property>
  <property fmtid="{D5CDD505-2E9C-101B-9397-08002B2CF9AE}" pid="19" name="MSIP_Label_b1df41d6-74a9-4a97-809c-213cd32520cc_SetDate">
    <vt:lpwstr>2023-12-01T14:44:06Z</vt:lpwstr>
  </property>
  <property fmtid="{D5CDD505-2E9C-101B-9397-08002B2CF9AE}" pid="20" name="MSIP_Label_b1df41d6-74a9-4a97-809c-213cd32520cc_Method">
    <vt:lpwstr>Privileged</vt:lpwstr>
  </property>
  <property fmtid="{D5CDD505-2E9C-101B-9397-08002B2CF9AE}" pid="21" name="MSIP_Label_b1df41d6-74a9-4a97-809c-213cd32520cc_Name">
    <vt:lpwstr>GSCEU - NON PUBLIC Label</vt:lpwstr>
  </property>
  <property fmtid="{D5CDD505-2E9C-101B-9397-08002B2CF9AE}" pid="22" name="MSIP_Label_b1df41d6-74a9-4a97-809c-213cd32520cc_SiteId">
    <vt:lpwstr>03ad1c97-0a4d-4e82-8f93-27291a6a0767</vt:lpwstr>
  </property>
  <property fmtid="{D5CDD505-2E9C-101B-9397-08002B2CF9AE}" pid="23" name="MSIP_Label_b1df41d6-74a9-4a97-809c-213cd32520cc_ActionId">
    <vt:lpwstr>bea8d279-aa28-4420-808d-80284cc98536</vt:lpwstr>
  </property>
  <property fmtid="{D5CDD505-2E9C-101B-9397-08002B2CF9AE}" pid="24" name="MSIP_Label_b1df41d6-74a9-4a97-809c-213cd32520cc_ContentBits">
    <vt:lpwstr>0</vt:lpwstr>
  </property>
  <property fmtid="{D5CDD505-2E9C-101B-9397-08002B2CF9AE}" pid="25" name="MediaServiceImageTags">
    <vt:lpwstr/>
  </property>
  <property fmtid="{D5CDD505-2E9C-101B-9397-08002B2CF9AE}" pid="26" name="DocStatus">
    <vt:lpwstr>Green</vt:lpwstr>
  </property>
  <property fmtid="{D5CDD505-2E9C-101B-9397-08002B2CF9AE}" pid="27" name="Last edited using">
    <vt:lpwstr>LW 9.1, Build 20240808</vt:lpwstr>
  </property>
</Properties>
</file>