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401D44" w14:textId="7BEE00C0" w:rsidR="009476AE" w:rsidRDefault="00CB1C20" w:rsidP="00CB1C20">
      <w:pPr>
        <w:pStyle w:val="Pagedecouverture"/>
        <w:rPr>
          <w:noProof/>
        </w:rPr>
      </w:pPr>
      <w:bookmarkStart w:id="0" w:name="LW_BM_COVERPAGE"/>
      <w:r>
        <w:rPr>
          <w:noProof/>
        </w:rPr>
        <w:pict w14:anchorId="78074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21A7FBB9-C1CF-4D57-8737-5B5E6E2C7947" style="width:455.25pt;height:351.75pt">
            <v:imagedata r:id="rId8" o:title=""/>
          </v:shape>
        </w:pict>
      </w:r>
    </w:p>
    <w:bookmarkEnd w:id="0"/>
    <w:p w14:paraId="13EA04BB" w14:textId="77777777" w:rsidR="009476AE" w:rsidRDefault="009476AE" w:rsidP="009476AE">
      <w:pPr>
        <w:rPr>
          <w:noProof/>
        </w:rPr>
        <w:sectPr w:rsidR="009476AE" w:rsidSect="00CB1C20">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14:paraId="29CE6AEE" w14:textId="5ED8479C" w:rsidR="00660C61" w:rsidRPr="000D6231" w:rsidRDefault="6DC56626" w:rsidP="51489DC9">
      <w:pPr>
        <w:pStyle w:val="ListParagraph"/>
        <w:numPr>
          <w:ilvl w:val="0"/>
          <w:numId w:val="34"/>
        </w:numPr>
        <w:spacing w:after="240" w:line="240" w:lineRule="auto"/>
        <w:jc w:val="both"/>
        <w:rPr>
          <w:rFonts w:ascii="Times New Roman" w:hAnsi="Times New Roman" w:cs="Times New Roman"/>
          <w:b/>
          <w:bCs/>
          <w:noProof/>
          <w:sz w:val="24"/>
          <w:szCs w:val="24"/>
        </w:rPr>
      </w:pPr>
      <w:bookmarkStart w:id="1" w:name="_GoBack"/>
      <w:bookmarkEnd w:id="1"/>
      <w:r>
        <w:rPr>
          <w:rFonts w:ascii="Times New Roman" w:hAnsi="Times New Roman"/>
          <w:b/>
          <w:noProof/>
          <w:sz w:val="24"/>
        </w:rPr>
        <w:lastRenderedPageBreak/>
        <w:t>JOHDANTO </w:t>
      </w:r>
    </w:p>
    <w:p w14:paraId="19756163" w14:textId="1F01696C" w:rsidR="00F916BD" w:rsidRPr="000D6231" w:rsidRDefault="00E842E0" w:rsidP="00084F91">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Monivuotinen rahoituskehys vuosiksi 2028–2034 on paljon muutakin kuin pelkkä rahoitussuunnitelma</w:t>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 xml:space="preserve">Se on strateginen julkilausuma, joka kertoo unionin yhteisestä poliittisesta kunnianhimosta saavuttaa ensisijaiset tavoitteensa ja toimia maailmannäyttämöllä vahvana ja yhtenäisenä seuraavien kymmenen vuoden aikana. EU:n talousarvio on unionin moottori, joka on yhä uudestaan osoittanut muutosvaikutuksensa investointien ja kasvun edistäjänä ja eurooppalaisen solidaarisuuden ilmentymänä. Pelkästään viimeisten viiden vuoden aikana EU:n talousarvio on auttanut pandemian yhteydessä pelastamaan ihmishenkiä ja turvannut toimeentuloa, antanut unionille mahdollisuuden selviytyä energia- ja toimitusketjukriiseistä ja ollut perustana sille horjumattomalle tuelle, jota unioni on antanut Ukrainalle. </w:t>
      </w:r>
    </w:p>
    <w:p w14:paraId="38FC84BC" w14:textId="30FF16B6" w:rsidR="00745C7D" w:rsidRDefault="00AB44F5" w:rsidP="00105E2C">
      <w:pPr>
        <w:spacing w:after="240" w:line="240" w:lineRule="auto"/>
        <w:jc w:val="both"/>
        <w:rPr>
          <w:rFonts w:ascii="Times New Roman" w:eastAsia="Calibri" w:hAnsi="Times New Roman" w:cs="Times New Roman"/>
          <w:b/>
          <w:noProof/>
          <w:sz w:val="24"/>
          <w:szCs w:val="24"/>
        </w:rPr>
      </w:pPr>
      <w:r>
        <w:rPr>
          <w:rFonts w:ascii="Times New Roman" w:hAnsi="Times New Roman"/>
          <w:b/>
          <w:noProof/>
          <w:sz w:val="24"/>
        </w:rPr>
        <w:t xml:space="preserve">On aika rakentaa riippumattomampi Eurooppa, koska unioni ei voi luottaa pelkästään muihin varmistaakseen pitkän aikavälin turvallisuutensa ja vaurautensa. </w:t>
      </w:r>
      <w:r>
        <w:rPr>
          <w:rFonts w:ascii="Times New Roman" w:hAnsi="Times New Roman"/>
          <w:noProof/>
          <w:sz w:val="24"/>
        </w:rPr>
        <w:t>Venäjän hyökkäyssota unionin rajoilla, laajempi geopoliittinen epävakaus ja maailmanlaajuisten kauppasuhteiden häiriintyminen ovat herättäneet Euroopan dramaattisesti. Ne ovat pakottaneet meidät arvioimaan uudelleen strategisia painopisteitämme ja toteuttamaan kiireellisinä toimia, joilla vähennetään riippuvuuttamme ja lievennetään haavoittuvuuttamme niiden moninaisten uhkien edessä, joita turvallisuuteemme ja elämäntapaamme kohdistuu. Tämän vuoksi on ollut välttämätöntä keskittyä jälleen kilpailukykyyn, turvallisuuteen, puolustukseen, muuttoliikkeeseen, ruokaturvaan ja strategiseen riippumattomuuteen sekä valmistautua unionin tulevaan laajentumiseen. Olemme entistä vahvemmin sitoutuneet Eurooppaa yhdistäviin periaatteisiin ja arvoihin, jotka tekevät unionista vakauden ja edistyksen tyyssijan tässä levottomassa maailmassa.</w:t>
      </w:r>
    </w:p>
    <w:p w14:paraId="4F1B7EA4" w14:textId="1B5AA2FC" w:rsidR="00D226C3" w:rsidRPr="000D6231" w:rsidRDefault="00DF6746" w:rsidP="00105E2C">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Yhteisen tulevaisuutemme ottaminen omiin käsiin edellyttää, että unionin talousarvio on kokonsa ja rakenteensa puolesta kunnianhimoinen</w:t>
      </w:r>
      <w:r>
        <w:rPr>
          <w:rFonts w:ascii="Times New Roman" w:hAnsi="Times New Roman"/>
          <w:noProof/>
          <w:sz w:val="24"/>
        </w:rPr>
        <w:t xml:space="preserve"> voidakseen luoda mahdollisuuksia tämän päivän ja tulevaisuuden eurooppalaissukupolville ja auttaa avun tarpeessa olevia, voidakseen puolustaa unionin strategisia intressejä ja arvoja, voidakseen hyödyntää sisämarkkinoiden potentiaalia ja saada käyttöön uusia teknologioita kasvun ja innovoinnin edistämiseksi, voidakseen saavuttaa ilmastotavoitteet ja tukea yrityksiä, erityisesti pieniä yrityksiä, ja kansalaisia siirtymisessä päästöttömään talouteen, voidakseen suojella ympäristöä ja luonnonvaroja, edistää kiertotaloutta ja vahvistaa Euroopan kilpailukykyä ja resilienssiä, vesiresilienssi mukaan lukien, voidakseen taata yhteisen turvallisuutemme, palauttaa Euroopan kilpailuedun, vahvistaa taloudellista, sosiaalista ja alueellista yhteenkuuluvuutta ja hallita väestökehityksen seurauksia, voidakseen vahvistaa EU:n ulkorajoja, hallita muuttoliikettä ja varmistaa Schengen-alueen toimivuuden, voidakseen hyödyntää historiallista laajentumismahdollisuutta, jolla unionia entisestään vahvistetaan ja voidakseen luoda strategisia maailmanlaajuisia kumppanuuksia, jotka tekevät unionista maailmannäyttämöllä vahvan ja luotettavan toimijan, joka sitoutuu vahvasti sääntöpohjaisen kansainvälisen kaupan periaatteisiin.</w:t>
      </w:r>
    </w:p>
    <w:p w14:paraId="125F2045" w14:textId="744CD71C" w:rsidR="00D36A18" w:rsidRDefault="004A7B65" w:rsidP="00E80660">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Euroopan on nyt tehtävä asioita toisin, eikä EU:n talousarvio ole poikkeus.</w:t>
      </w:r>
      <w:r>
        <w:rPr>
          <w:rFonts w:ascii="Times New Roman" w:hAnsi="Times New Roman"/>
          <w:noProof/>
          <w:sz w:val="24"/>
        </w:rPr>
        <w:t xml:space="preserve"> Unioniin kohdistuu geopoliittisen ja taloudellisen epävarmuuden lisääntyessä valtavia odotuksia löytää vastauksia sukupolvemme haasteisiin. Vaatimukset ovat suurempia kuin koskaan, ja EU:n talousarvion on oltava kooltaan oikeassa suhteessa unionin kasvaviin velvoitteisiin. Resurssit ovat kuitenkin rajalliset. Kansallisiin talousarvioihin kohdistuu paineita, eikä niillä voida yksin vastata valtioiden rajat ylittäviin haasteisiin. NextGenerationEU-välinettä tukeva yhteinen laina on lähivuosina maksettava takaisin. Tämä tarkoittaa, että jokaisesta eurosta EU:n talousarviossa on saatava mahdollisimman suuri hyöty, jotta voidaan panostaa osa-alueisiin, joilla EU:n lisäarvo on suurin, ja houkutella yksityisiä ja julkisia investointeja.</w:t>
      </w:r>
    </w:p>
    <w:p w14:paraId="2F95D625" w14:textId="5F1AA55D" w:rsidR="5CADB370" w:rsidRDefault="12396855" w:rsidP="00C93A00">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Unioni tarvitsee kunnianhimoisemman talousarvion, joka on yksinkertaisempi, joustavampi ja strategisempi</w:t>
      </w:r>
      <w:r>
        <w:rPr>
          <w:rFonts w:ascii="Times New Roman" w:hAnsi="Times New Roman"/>
          <w:noProof/>
          <w:sz w:val="24"/>
        </w:rPr>
        <w:t xml:space="preserve">. </w:t>
      </w:r>
      <w:r>
        <w:rPr>
          <w:rFonts w:ascii="Times New Roman" w:hAnsi="Times New Roman"/>
          <w:b/>
          <w:noProof/>
          <w:sz w:val="24"/>
        </w:rPr>
        <w:t>Ennen kaikkea EU:n talousarviolla on saatava aikaan tuloksia</w:t>
      </w:r>
      <w:r>
        <w:rPr>
          <w:rFonts w:ascii="Times New Roman" w:hAnsi="Times New Roman"/>
          <w:noProof/>
          <w:sz w:val="24"/>
        </w:rPr>
        <w:t>. Tämä on ensisijainen viesti, joka on noussut esiin komission järjestämissä laajoissa julkisissa kuulemisissa tulevasta monivuotisesta rahoituskehyksestä</w:t>
      </w:r>
      <w:r w:rsidR="00565B55">
        <w:rPr>
          <w:rStyle w:val="FootnoteReference"/>
          <w:rFonts w:ascii="Times New Roman" w:eastAsia="Calibri" w:hAnsi="Times New Roman" w:cs="Times New Roman"/>
          <w:noProof/>
          <w:sz w:val="24"/>
          <w:szCs w:val="24"/>
        </w:rPr>
        <w:footnoteReference w:id="2"/>
      </w:r>
      <w:r>
        <w:rPr>
          <w:rFonts w:ascii="Times New Roman" w:hAnsi="Times New Roman"/>
          <w:noProof/>
          <w:sz w:val="24"/>
        </w:rPr>
        <w:t>, asiaa käsitelleen eurooppalaisen kansalaispaneelin suosituksissa</w:t>
      </w:r>
      <w:r w:rsidR="00565B55">
        <w:rPr>
          <w:rStyle w:val="FootnoteReference"/>
          <w:rFonts w:ascii="Times New Roman" w:eastAsia="Calibri" w:hAnsi="Times New Roman" w:cs="Times New Roman"/>
          <w:noProof/>
          <w:sz w:val="24"/>
          <w:szCs w:val="24"/>
        </w:rPr>
        <w:footnoteReference w:id="3"/>
      </w:r>
      <w:r>
        <w:rPr>
          <w:rFonts w:ascii="Times New Roman" w:hAnsi="Times New Roman"/>
          <w:noProof/>
          <w:sz w:val="24"/>
        </w:rPr>
        <w:t xml:space="preserve"> ja lukemattomissa keskusteluissa Euroopan tasolla sekä kansallisella, alueellisella ja paikallisella tasolla. Nyt on aika vastata saatuun palautteeseen käytännössä ja antaa unionille moderni talousarvio, joka toimii maailman muuttuessa nopeasti.</w:t>
      </w:r>
    </w:p>
    <w:p w14:paraId="6D5ACA8D" w14:textId="15C7632A" w:rsidR="00D12F2C" w:rsidRPr="000D6231" w:rsidRDefault="00067DFD" w:rsidP="00114357">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Kokemus on osoittanut, että joustavuus on ratkaisevan tärkeää.</w:t>
      </w:r>
      <w:r>
        <w:rPr>
          <w:rFonts w:ascii="Times New Roman" w:hAnsi="Times New Roman"/>
          <w:noProof/>
          <w:sz w:val="24"/>
        </w:rPr>
        <w:t xml:space="preserve"> Monivuotinen rahoituskehys tarjoaa vakautta ja ennustettavuutta, jotka tekevät EU:n talousarviosta todella vahvan pitkän aikavälin investointien veturin. Epävarmassa ja epävakaassa maailmassa EU:n talousarvion on kuitenkin oltava myös rakenteeltaan sellainen, että se voi paljon paremmin sopeutua odottamattomiin tilanteisiin. Liian usein talousarviolla on reagoitu kriiseihin ja muuttuviin tarpeisiin tilannekohtaisesti ja improvisoiden. Tämä ei ole pitkän aikavälin politiikan kannalta terve perusta. Siksi komissio ehdottaakin ketterämpää talousarviota, jolla voidaan paremmin varautua sekä tiedettyyn että tuntemattomaan. Euroopan parlamentin ja neuvoston rooli talousarvion ohjaamisessa varmistaa korkean tason poliittisen valvonnan, läpinäkyvyyden ja demokraattisen vastuuvelvollisuuden kaikkina aikoina.</w:t>
      </w:r>
    </w:p>
    <w:p w14:paraId="2F73BE92" w14:textId="267D553F" w:rsidR="00C54AE9" w:rsidRPr="000D6231" w:rsidRDefault="00C9461F" w:rsidP="003A648E">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Komissio on sitoutunut ennennäkemättömiin panostuksiin EU:n yksinkertaistamiseksi, ja tämän täytyy koskea myös EU:n talousarviota</w:t>
      </w:r>
      <w:r>
        <w:rPr>
          <w:rFonts w:ascii="Times New Roman" w:hAnsi="Times New Roman"/>
          <w:noProof/>
          <w:sz w:val="24"/>
        </w:rPr>
        <w:t>. Julkisissa kuulemisissa on saatu vahvistus sille, että EU:n rahoitusohjelmat ovat kehittyneet liian hajanaisiksi, ja niissä on päällekkäisyyksiä, aukkoja ja toisistaan poikkeavia sääntöjä. Tämä aiheuttaa hämmennystä ja vähentää ohjelmien saavutettavuutta, joustavuutta ja vaikutusta. Komissio ehdottaa, että EU:n rahoitusohjelmia virtaviivaistetaan ja yhdenmukaistetaan niin, että rahoitusmahdollisuuksien kartoittaminen huomattavasti helpottuu, saadaan aikaan synergiaa ja luodaan sujuva, läpinäkyvä ja johdonmukainen talousarvio, joka palvelee kaikkia eurooppalaisia.</w:t>
      </w:r>
    </w:p>
    <w:p w14:paraId="2F7F3907" w14:textId="6462D89F" w:rsidR="00A21541" w:rsidRDefault="130286CF" w:rsidP="7290A835">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EU:n seuraava pitkän aikavälin talousarvio tarjoaa tilaisuuden vahvistaa Euroopan sitoutumista yhteisiin tavoitteisiin ja arvoihin</w:t>
      </w:r>
      <w:r>
        <w:rPr>
          <w:rFonts w:ascii="Times New Roman" w:hAnsi="Times New Roman"/>
          <w:noProof/>
          <w:sz w:val="24"/>
        </w:rPr>
        <w:t>. Komission ehdotukset on suunniteltu varmistamaan, että EU:n poliittiset painopisteet ohjaavat investointeja ja että tulokset ovat parempia kuin jäsenvaltioiden toimiessa yksin. Ehdotukset on ankkuroitu oikeusvaltioperiaatteen noudattamiseen, ja niissä näkyy vahva sitoutuminen sen varmistamiseen, että EU:n varat käytetään asianmukaisesti ja moitteettoman varainhoidon tiukimpia vaatimuksia noudattaen.</w:t>
      </w:r>
    </w:p>
    <w:p w14:paraId="0A39B671" w14:textId="60083491" w:rsidR="0019047E" w:rsidRDefault="00A62F5E" w:rsidP="00AB4A31">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 xml:space="preserve">Komissio ehdottaa vuodet 2028–2034 kattavalle kaudelle 1,98 biljoonan euron talousarviota, joka on 1,26 prosenttia suhteessa EU:n bruttokansantuloon. </w:t>
      </w:r>
      <w:r>
        <w:rPr>
          <w:rFonts w:ascii="Times New Roman" w:hAnsi="Times New Roman"/>
          <w:noProof/>
          <w:sz w:val="24"/>
        </w:rPr>
        <w:t xml:space="preserve">Unioni voi saavuttaa tavoitteensa vain, jos sillä on tavoitteisiin sovitettu talousarvio. Tämän talousarvion avulla unioni voi hyödyntää NextGenerationEU-välineen avulla aikaan saatua liikevoimaa ja hoitaa ne tehtävät ja vastuut, jotka unionille on uskottu. </w:t>
      </w:r>
    </w:p>
    <w:p w14:paraId="249989C7" w14:textId="7766A6B5" w:rsidR="00F5099D" w:rsidRPr="000D6231" w:rsidRDefault="006821D1" w:rsidP="00E96B7D">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 xml:space="preserve">EU:n talousarvion rahoituksen nykyaikaistaminen on olennainen osa tätä pakettia, ja se mahdollistaa jäsenvaltioiden rahoitusosuuksien vakauden talousarvion kasvusta huolimatta. </w:t>
      </w:r>
      <w:r>
        <w:rPr>
          <w:rFonts w:ascii="Times New Roman" w:hAnsi="Times New Roman"/>
          <w:noProof/>
          <w:sz w:val="24"/>
        </w:rPr>
        <w:t xml:space="preserve">EU:n painopisteisiin keskittyvän kunnianhimoisen talousarvion olisi perustuttava modernimpaan ja eurooppalaisempaan tulojärjestelmään. Tätä varten komissio ehdottaa parannettua uusien omien varojen pakettia, jossa vuonna 2023 esitettyä ehdotusta uusista omista varoista mukautetaan ja esitetään uusia mahdollisia tulolähteitä. Näin saadut tulot mahdollistavat EU:n tavoitteita vastaavan talousarvion samalla kun unioni täyttää velvoitteensa maksaa takaisin NextGenerationEU-välineen lainanotto. </w:t>
      </w:r>
    </w:p>
    <w:p w14:paraId="07207E52" w14:textId="358895B7" w:rsidR="00414C8E" w:rsidRPr="00716AB6" w:rsidRDefault="001E6B3A" w:rsidP="003A648E">
      <w:pPr>
        <w:spacing w:after="240" w:line="240" w:lineRule="auto"/>
        <w:jc w:val="both"/>
        <w:rPr>
          <w:rFonts w:ascii="Times New Roman" w:hAnsi="Times New Roman" w:cs="Times New Roman"/>
          <w:noProof/>
          <w:sz w:val="24"/>
          <w:szCs w:val="24"/>
        </w:rPr>
      </w:pPr>
      <w:r>
        <w:rPr>
          <w:rFonts w:ascii="Times New Roman" w:hAnsi="Times New Roman"/>
          <w:b/>
          <w:noProof/>
          <w:sz w:val="24"/>
        </w:rPr>
        <w:t xml:space="preserve">Vuosien 2028–2034 monivuotinen rahoituskehys tarjoaa ainutlaatuisen tilaisuuden uudistaa unionin pitkän aikavälin talousarviota niin, että se toimii alati muuttuvassa maailmassa. </w:t>
      </w:r>
      <w:r>
        <w:rPr>
          <w:rFonts w:ascii="Times New Roman" w:hAnsi="Times New Roman"/>
          <w:noProof/>
          <w:sz w:val="24"/>
        </w:rPr>
        <w:t>EU:n talousarvio ja yhteiset politiikat, joita sillä tuetaan, ovat osa unionin rakennetta. Perusperiaatteet ja tavoitteet, jotka ovat alusta asti muovanneet EU:n talousarviota, eivät muutu. Unionin kohtaamat haasteet ovat kuitenkin sellaisia, että paikalleen jääminen ei ole vaihtoehto. Kun EU:n talousarviosta ja sen ohjelmista tehdään yksinkertaisempia, joustavampia ja strategisesti tämän päivän – ja huomisen – painopisteisiin suuntautuvia, unioni saa tarvitsemansa modernin talousarvion, jolla voidaan suojella Euroopan kansalaisia, auttaa eurooppalaisia yrityksiä menestymään ja vahvistaa Euroopan sosiaalista mallia sekä kannustaa kansalaisia, tutkijoita ja yrityksiä EU:sta ja sen ulkopuolelta valitsemaan Euroopan.</w:t>
      </w:r>
    </w:p>
    <w:p w14:paraId="453C515F" w14:textId="5356CADF" w:rsidR="00946024" w:rsidRDefault="0034294A" w:rsidP="00087308">
      <w:pPr>
        <w:spacing w:after="240" w:line="240" w:lineRule="auto"/>
        <w:jc w:val="both"/>
        <w:rPr>
          <w:rFonts w:ascii="Times New Roman" w:hAnsi="Times New Roman" w:cs="Times New Roman"/>
          <w:noProof/>
          <w:sz w:val="24"/>
          <w:szCs w:val="24"/>
        </w:rPr>
      </w:pPr>
      <w:r>
        <w:rPr>
          <w:rFonts w:ascii="Times New Roman" w:hAnsi="Times New Roman"/>
          <w:b/>
          <w:noProof/>
          <w:sz w:val="24"/>
        </w:rPr>
        <w:t>Lyhyesti sanottuna EU:n talousarviolla rakennetaan itsenäinen Eurooppa, joka kykenee muokkaamaan omaa kohtaloaan.</w:t>
      </w:r>
    </w:p>
    <w:p w14:paraId="1F1FA40E" w14:textId="77777777" w:rsidR="00F95D44" w:rsidRPr="000D6231" w:rsidRDefault="00F95D44" w:rsidP="003A648E">
      <w:pPr>
        <w:spacing w:after="240" w:line="240" w:lineRule="auto"/>
        <w:jc w:val="both"/>
        <w:rPr>
          <w:rFonts w:ascii="Times New Roman" w:hAnsi="Times New Roman" w:cs="Times New Roman"/>
          <w:noProof/>
          <w:sz w:val="24"/>
          <w:szCs w:val="24"/>
        </w:rPr>
      </w:pPr>
    </w:p>
    <w:p w14:paraId="5A423692" w14:textId="65225C7B" w:rsidR="00660C61" w:rsidRPr="00B326BB" w:rsidRDefault="00D1721F" w:rsidP="003A648E">
      <w:pPr>
        <w:pStyle w:val="ListParagraph"/>
        <w:numPr>
          <w:ilvl w:val="0"/>
          <w:numId w:val="34"/>
        </w:numPr>
        <w:spacing w:after="240" w:line="240" w:lineRule="auto"/>
        <w:contextualSpacing w:val="0"/>
        <w:jc w:val="both"/>
        <w:rPr>
          <w:rFonts w:ascii="Times New Roman" w:hAnsi="Times New Roman" w:cs="Times New Roman"/>
          <w:b/>
          <w:noProof/>
          <w:sz w:val="24"/>
          <w:szCs w:val="24"/>
          <w:u w:val="single"/>
        </w:rPr>
      </w:pPr>
      <w:r>
        <w:rPr>
          <w:rFonts w:ascii="Times New Roman" w:hAnsi="Times New Roman"/>
          <w:b/>
          <w:noProof/>
          <w:sz w:val="24"/>
        </w:rPr>
        <w:t>EU:N TALOUSARVIOLLA TOTEUTETAAN EU:N PAINOPISTEET</w:t>
      </w:r>
    </w:p>
    <w:p w14:paraId="72C6F4C5" w14:textId="58B661AB" w:rsidR="00597B49" w:rsidRDefault="00415548" w:rsidP="000C3A3A">
      <w:pPr>
        <w:spacing w:after="240" w:line="240" w:lineRule="auto"/>
        <w:jc w:val="both"/>
        <w:rPr>
          <w:rFonts w:ascii="Times New Roman" w:hAnsi="Times New Roman" w:cs="Times New Roman"/>
          <w:bCs/>
          <w:noProof/>
          <w:sz w:val="24"/>
          <w:szCs w:val="24"/>
        </w:rPr>
      </w:pPr>
      <w:r>
        <w:rPr>
          <w:rFonts w:ascii="Times New Roman" w:hAnsi="Times New Roman"/>
          <w:noProof/>
          <w:sz w:val="24"/>
        </w:rPr>
        <w:t xml:space="preserve">EU:n uusi talousarvio on </w:t>
      </w:r>
      <w:r>
        <w:rPr>
          <w:rFonts w:ascii="Times New Roman" w:hAnsi="Times New Roman"/>
          <w:b/>
          <w:noProof/>
          <w:sz w:val="24"/>
        </w:rPr>
        <w:t>politiikkaan perustuva talousarvio</w:t>
      </w:r>
      <w:r>
        <w:rPr>
          <w:rFonts w:ascii="Times New Roman" w:hAnsi="Times New Roman"/>
          <w:noProof/>
          <w:sz w:val="24"/>
        </w:rPr>
        <w:t>. EU:n seuraavan sukupolven rahoitusohjelmien on muodostettava yhtenäinen kokonaisuus, jolla eurooppalainen yhteistyö nostetaan uudelle tasolle sellaisilla painopistealueilla kuin kilpailukyky, turvallisuus, vähähiilistäminen, kestävä kehitys ja taloudellinen, sosiaalinen ja alueellinen yhteenkuuluvuus. EU:n uudistetun talousarvion ohjelmat on laadittu täydentämään toisiaan. Tämä mahdollistaa resurssien yhdistämisen EU:n painopisteiden tukemiseksi sekä unionissa että muualla maailmassa.</w:t>
      </w:r>
    </w:p>
    <w:p w14:paraId="3FA790DC" w14:textId="77777777" w:rsidR="00365FB8" w:rsidRDefault="00365FB8" w:rsidP="000C3A3A">
      <w:pPr>
        <w:spacing w:after="240" w:line="240" w:lineRule="auto"/>
        <w:jc w:val="both"/>
        <w:rPr>
          <w:rFonts w:ascii="Times New Roman" w:hAnsi="Times New Roman" w:cs="Times New Roman"/>
          <w:bCs/>
          <w:noProof/>
          <w:sz w:val="24"/>
          <w:szCs w:val="24"/>
        </w:rPr>
      </w:pPr>
    </w:p>
    <w:p w14:paraId="2C7B50C9" w14:textId="0BB78F14" w:rsidR="00660C61" w:rsidRPr="000D6231" w:rsidRDefault="00660C61" w:rsidP="29F06BFF">
      <w:pPr>
        <w:pStyle w:val="ListParagraph"/>
        <w:numPr>
          <w:ilvl w:val="0"/>
          <w:numId w:val="35"/>
        </w:numPr>
        <w:spacing w:after="240" w:line="240" w:lineRule="auto"/>
        <w:jc w:val="both"/>
        <w:rPr>
          <w:rFonts w:ascii="Times New Roman" w:hAnsi="Times New Roman" w:cs="Times New Roman"/>
          <w:b/>
          <w:bCs/>
          <w:noProof/>
          <w:sz w:val="24"/>
          <w:szCs w:val="24"/>
        </w:rPr>
      </w:pPr>
      <w:r>
        <w:rPr>
          <w:rFonts w:ascii="Times New Roman" w:hAnsi="Times New Roman"/>
          <w:b/>
          <w:noProof/>
          <w:sz w:val="24"/>
        </w:rPr>
        <w:t>Vaurauden, kestävän kehityksen ja turvallisuuden edistäminen – räätälöityjä investointeja ja uudistuksia kansallisten ja alueellisten kumppanuussuunnitelmien avulla</w:t>
      </w:r>
    </w:p>
    <w:p w14:paraId="748FDBEE" w14:textId="44FE5FFD" w:rsidR="00CD2EE1" w:rsidRPr="00A40F83" w:rsidRDefault="00C85890" w:rsidP="003A648E">
      <w:pPr>
        <w:spacing w:after="240" w:line="240" w:lineRule="auto"/>
        <w:jc w:val="center"/>
        <w:rPr>
          <w:rFonts w:ascii="Times New Roman" w:hAnsi="Times New Roman" w:cs="Times New Roman"/>
          <w:noProof/>
          <w:sz w:val="24"/>
          <w:szCs w:val="24"/>
        </w:rPr>
      </w:pPr>
      <w:r>
        <w:rPr>
          <w:noProof/>
          <w:lang w:val="en-GB" w:eastAsia="en-GB"/>
        </w:rPr>
        <w:drawing>
          <wp:inline distT="0" distB="0" distL="0" distR="0" wp14:anchorId="6DB5573B" wp14:editId="0257FC22">
            <wp:extent cx="5760720" cy="3119120"/>
            <wp:effectExtent l="0" t="0" r="0" b="5080"/>
            <wp:docPr id="1161614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14304"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3119120"/>
                    </a:xfrm>
                    <a:prstGeom prst="rect">
                      <a:avLst/>
                    </a:prstGeom>
                  </pic:spPr>
                </pic:pic>
              </a:graphicData>
            </a:graphic>
          </wp:inline>
        </w:drawing>
      </w:r>
    </w:p>
    <w:p w14:paraId="0373008E" w14:textId="1FC759D1" w:rsidR="00C90FB5" w:rsidRPr="00B334AE" w:rsidRDefault="00CC5E7F" w:rsidP="000643DD">
      <w:pPr>
        <w:pBdr>
          <w:top w:val="single" w:sz="8" w:space="1" w:color="auto"/>
          <w:left w:val="single" w:sz="8" w:space="4" w:color="auto"/>
          <w:bottom w:val="single" w:sz="8" w:space="1" w:color="auto"/>
          <w:right w:val="single" w:sz="8" w:space="4" w:color="auto"/>
        </w:pBdr>
        <w:shd w:val="clear" w:color="auto" w:fill="F2F2F2" w:themeFill="background1" w:themeFillShade="F2"/>
        <w:spacing w:after="240" w:line="240" w:lineRule="auto"/>
        <w:jc w:val="both"/>
        <w:rPr>
          <w:rFonts w:ascii="Times New Roman" w:hAnsi="Times New Roman" w:cs="Times New Roman"/>
          <w:b/>
          <w:i/>
          <w:noProof/>
          <w:sz w:val="24"/>
          <w:szCs w:val="24"/>
        </w:rPr>
      </w:pPr>
      <w:r>
        <w:rPr>
          <w:rFonts w:ascii="Times New Roman" w:hAnsi="Times New Roman"/>
          <w:b/>
          <w:i/>
          <w:noProof/>
          <w:sz w:val="24"/>
        </w:rPr>
        <w:t xml:space="preserve">Kansallisissa ja alueellisissa kumppanuussuunnitelmissa yhdistetään jäsenvaltioiden ja alueiden hallinnoimat EU:n varat johdonmukaiseen, räätälöityyn suunnitteluprosessiin, jossa unionin yhteiset painopisteet otetaan kaikilta osin huomioon. Niiden avulla jokaiselle eurolle saadaan maksimaalinen vaikutus, lisätään joustavuutta mukautua alueellisiin ja paikallisiin tarpeisiin ja tehdään säännöistä jäsenvaltioiden ja alueiden kannalta yksinkertaisemmat. </w:t>
      </w:r>
    </w:p>
    <w:p w14:paraId="269DEFA5" w14:textId="3582680C" w:rsidR="003117A4" w:rsidRDefault="000462F2" w:rsidP="00BB3D11">
      <w:pPr>
        <w:spacing w:after="240" w:line="240" w:lineRule="auto"/>
        <w:jc w:val="both"/>
        <w:rPr>
          <w:rFonts w:ascii="Times New Roman" w:hAnsi="Times New Roman" w:cs="Times New Roman"/>
          <w:noProof/>
          <w:sz w:val="24"/>
          <w:szCs w:val="24"/>
        </w:rPr>
      </w:pPr>
      <w:r>
        <w:rPr>
          <w:rFonts w:ascii="Times New Roman" w:hAnsi="Times New Roman"/>
          <w:b/>
          <w:noProof/>
          <w:sz w:val="24"/>
        </w:rPr>
        <w:t xml:space="preserve">Uusien kansallisten ja alueellisten investointi- ja uudistussuunnitelmien perustana ovat Euroopan yhteisistä politiikoista saadut merkittävät tulokset – ja ne tekevät näistä politiikoista vahvempia ja vaikuttavampia. </w:t>
      </w:r>
      <w:r>
        <w:rPr>
          <w:rFonts w:ascii="Times New Roman" w:hAnsi="Times New Roman"/>
          <w:noProof/>
          <w:sz w:val="24"/>
        </w:rPr>
        <w:t xml:space="preserve">Kumppanuuksilla lisätään synergiaa nykyisten EU:n painopisteitä tukevien politiikkojen välillä, mikä vahvistaa taloudellista, sosiaalista ja alueellista yhteenkuuluvuutta. Niiden avulla edistetään myös EU:n toimia sisämarkkinoiden esteiden poistamiseksi. Suunnitelmilla on 865 miljardin euron määrärahat (mukaan lukien 50 miljardia euroa sosiaalisesta ilmastorahastosta), ja niillä varmistetaan, että EU:n yhteisiä politiikkoja tuetaan edelleen, uudistettua toimintamallia soveltaen. </w:t>
      </w:r>
    </w:p>
    <w:p w14:paraId="4BD36716" w14:textId="623B1536" w:rsidR="00B164A3" w:rsidRPr="000643DD" w:rsidRDefault="00BD07CD" w:rsidP="000643DD">
      <w:pPr>
        <w:spacing w:after="240" w:line="240" w:lineRule="auto"/>
        <w:jc w:val="center"/>
        <w:rPr>
          <w:rFonts w:ascii="Times New Roman" w:hAnsi="Times New Roman" w:cs="Times New Roman"/>
          <w:b/>
          <w:noProof/>
          <w:sz w:val="24"/>
          <w:szCs w:val="24"/>
        </w:rPr>
      </w:pPr>
      <w:r>
        <w:rPr>
          <w:rFonts w:ascii="Times New Roman" w:hAnsi="Times New Roman"/>
          <w:b/>
          <w:noProof/>
          <w:sz w:val="24"/>
        </w:rPr>
        <w:t>Kansallisten ja alueellisten kumppanuussuunnitelmien määrärahat 2028–2034</w:t>
      </w:r>
    </w:p>
    <w:p w14:paraId="21EAA199" w14:textId="59FB1E04" w:rsidR="00B179C2" w:rsidRPr="00B179C2" w:rsidRDefault="00B35A00" w:rsidP="00B179C2">
      <w:pPr>
        <w:spacing w:after="240"/>
        <w:jc w:val="center"/>
        <w:rPr>
          <w:noProof/>
        </w:rPr>
      </w:pPr>
      <w:r>
        <w:rPr>
          <w:noProof/>
          <w:lang w:val="en-GB" w:eastAsia="en-GB"/>
        </w:rPr>
        <w:drawing>
          <wp:inline distT="0" distB="0" distL="0" distR="0" wp14:anchorId="11BB5925" wp14:editId="5DE294EB">
            <wp:extent cx="3677800" cy="4716856"/>
            <wp:effectExtent l="0" t="0" r="0" b="7620"/>
            <wp:docPr id="906570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70384" name=""/>
                    <pic:cNvPicPr/>
                  </pic:nvPicPr>
                  <pic:blipFill>
                    <a:blip r:embed="rId16">
                      <a:extLst>
                        <a:ext uri="{28A0092B-C50C-407E-A947-70E740481C1C}">
                          <a14:useLocalDpi xmlns:a14="http://schemas.microsoft.com/office/drawing/2010/main" val="0"/>
                        </a:ext>
                      </a:extLst>
                    </a:blip>
                    <a:stretch>
                      <a:fillRect/>
                    </a:stretch>
                  </pic:blipFill>
                  <pic:spPr>
                    <a:xfrm>
                      <a:off x="0" y="0"/>
                      <a:ext cx="3688898" cy="4731089"/>
                    </a:xfrm>
                    <a:prstGeom prst="rect">
                      <a:avLst/>
                    </a:prstGeom>
                  </pic:spPr>
                </pic:pic>
              </a:graphicData>
            </a:graphic>
          </wp:inline>
        </w:drawing>
      </w:r>
    </w:p>
    <w:p w14:paraId="3EA6AE35" w14:textId="2F195DE3" w:rsidR="00071134" w:rsidRPr="00616ACE" w:rsidRDefault="00C53039" w:rsidP="00616ACE">
      <w:pPr>
        <w:spacing w:after="240" w:line="240" w:lineRule="auto"/>
        <w:jc w:val="both"/>
        <w:rPr>
          <w:rFonts w:ascii="Times New Roman" w:hAnsi="Times New Roman" w:cs="Times New Roman"/>
          <w:noProof/>
          <w:sz w:val="24"/>
          <w:szCs w:val="24"/>
        </w:rPr>
      </w:pPr>
      <w:r>
        <w:rPr>
          <w:rFonts w:ascii="Times New Roman" w:hAnsi="Times New Roman"/>
          <w:b/>
          <w:noProof/>
          <w:sz w:val="24"/>
        </w:rPr>
        <w:t xml:space="preserve">Kumppanuussuunnitelmat kytketään EU:n painopisteisiin, mutta ne räätälöidään jäsenvaltioiden ja alueiden tarpeisiin. </w:t>
      </w:r>
      <w:r>
        <w:rPr>
          <w:rFonts w:ascii="Times New Roman" w:hAnsi="Times New Roman"/>
          <w:noProof/>
          <w:sz w:val="24"/>
        </w:rPr>
        <w:t xml:space="preserve">Suunnitelmilla vastataan tärkeimpiin painopisteisiin ja haasteisiin, joita on määritetty esimerkiksi talouspolitiikan EU-ohjausjakson yhteydessä. Kansalliset ja alueelliset viranomaiset laativat yhdessä suunnitelmat, joihin niillä on yhdessä omistajuus. Uudessa järjestelmässä otetaan huomioon jäsenvaltioiden moninaisuus ja annetaan niille joustovaraa laatia suunnitelmiin kansallisia, alakohtaisia ja tarvittaessa alueellisia lukuja nykyisten sääntöjen mukaisesti kunkin jäsenvaltion perustuslaillisista rakenteista ja perinteistä riippuen. Suunnitelmien ansiosta kaikilla EU:n politiikan aloilla on mahdollista kohdentaa tukea kiireellisiin tarpeisiin, kuten haasteisiin itäisillä raja-alueilla, joihin Venäjän hyökkäyssota Ukrainaa vastaan vaikuttaa eniten. Yleisesti ottaen kumppanuudet ovat vähemmän ohjailevia sen suhteen, </w:t>
      </w:r>
      <w:r>
        <w:rPr>
          <w:rFonts w:ascii="Times New Roman" w:hAnsi="Times New Roman"/>
          <w:i/>
          <w:noProof/>
          <w:sz w:val="24"/>
        </w:rPr>
        <w:t>miten</w:t>
      </w:r>
      <w:r>
        <w:rPr>
          <w:rFonts w:ascii="Times New Roman" w:hAnsi="Times New Roman"/>
          <w:noProof/>
          <w:sz w:val="24"/>
        </w:rPr>
        <w:t xml:space="preserve"> yhteiset tavoitteet on saavutettava, mutta velvoittavampia sen suhteen, </w:t>
      </w:r>
      <w:r>
        <w:rPr>
          <w:rFonts w:ascii="Times New Roman" w:hAnsi="Times New Roman"/>
          <w:i/>
          <w:noProof/>
          <w:sz w:val="24"/>
        </w:rPr>
        <w:t>mitä</w:t>
      </w:r>
      <w:r>
        <w:rPr>
          <w:rFonts w:ascii="Times New Roman" w:hAnsi="Times New Roman"/>
          <w:noProof/>
          <w:sz w:val="24"/>
        </w:rPr>
        <w:t xml:space="preserve"> on saavutettava. Näin varmistetaan toissijaisuusperiaatteen noudattaminen. </w:t>
      </w:r>
    </w:p>
    <w:p w14:paraId="159F8DCB" w14:textId="3C777016" w:rsidR="00C17603" w:rsidRDefault="00C17603" w:rsidP="00C17603">
      <w:pPr>
        <w:spacing w:after="240" w:line="240" w:lineRule="auto"/>
        <w:jc w:val="both"/>
        <w:rPr>
          <w:rFonts w:ascii="Times New Roman" w:hAnsi="Times New Roman" w:cs="Times New Roman"/>
          <w:noProof/>
          <w:sz w:val="24"/>
          <w:szCs w:val="24"/>
        </w:rPr>
      </w:pPr>
      <w:r>
        <w:rPr>
          <w:rFonts w:ascii="Times New Roman" w:hAnsi="Times New Roman"/>
          <w:b/>
          <w:noProof/>
          <w:sz w:val="24"/>
        </w:rPr>
        <w:t>Kansallisissa ja alueellisissa kumppanuussuunnitelmissa</w:t>
      </w:r>
      <w:r>
        <w:rPr>
          <w:rFonts w:ascii="Times New Roman" w:hAnsi="Times New Roman"/>
          <w:noProof/>
          <w:sz w:val="24"/>
        </w:rPr>
        <w:t xml:space="preserve"> kootaan yhteen 14 olemassa olevaa rahastoa ja varmistetaan niiden välinen johdonmukaisuus ja yhteinen ohjelmasuunnittelu rahastojen erityispiirteitä kunnioittaen. Näin saadaan virtaviivaistettua monimutkaisia ohjelmasuunnitteluprosesseja, lyhennettyä pitkällisiä validointimenettelyjä ja luotua uusia mahdollisuuksia synergiaan. </w:t>
      </w:r>
    </w:p>
    <w:p w14:paraId="4A0C87C5" w14:textId="2EB16565" w:rsidR="005742B3" w:rsidRDefault="00EA28B7" w:rsidP="00C36008">
      <w:pPr>
        <w:pStyle w:val="ListParagraph"/>
        <w:numPr>
          <w:ilvl w:val="0"/>
          <w:numId w:val="117"/>
        </w:numPr>
        <w:pBdr>
          <w:top w:val="single" w:sz="4" w:space="1" w:color="auto"/>
          <w:left w:val="single" w:sz="4" w:space="1" w:color="auto"/>
          <w:bottom w:val="single" w:sz="4" w:space="1" w:color="auto"/>
          <w:right w:val="single" w:sz="4" w:space="1" w:color="auto"/>
        </w:pBdr>
        <w:shd w:val="clear" w:color="auto" w:fill="F2F2F2" w:themeFill="background1" w:themeFillShade="F2"/>
        <w:spacing w:line="240" w:lineRule="auto"/>
        <w:ind w:left="357" w:hanging="357"/>
        <w:jc w:val="both"/>
        <w:rPr>
          <w:rFonts w:ascii="Times New Roman" w:hAnsi="Times New Roman" w:cs="Times New Roman"/>
          <w:noProof/>
          <w:sz w:val="24"/>
          <w:szCs w:val="24"/>
        </w:rPr>
      </w:pPr>
      <w:r>
        <w:rPr>
          <w:rFonts w:ascii="Times New Roman" w:hAnsi="Times New Roman"/>
          <w:b/>
          <w:noProof/>
          <w:sz w:val="24"/>
        </w:rPr>
        <w:t>Maatalous ja maaseutualueet ovat edelleen painopiste, sillä ne vahvistavat EU:n strategista riippumattomuutta, ruokaturvaa ja kestävää kehitystä</w:t>
      </w:r>
      <w:r>
        <w:rPr>
          <w:rFonts w:ascii="Times New Roman" w:hAnsi="Times New Roman"/>
          <w:noProof/>
          <w:sz w:val="24"/>
        </w:rPr>
        <w:t>. Kumppanuudet tarjoavat mahdollisuuden edetä yhteisessä maatalouspolitiikassa kohti yksinkertaisempaa, kohdennetumpaa ja vaikuttavampaa politiikkakehystä ja löytää oikea tasapaino kannustimien, investointien ja sääntöjen välillä. EU:n talousarviosta myönnettävä maanviljelijöiden tulotuki pysyy jatkossakin ennustettavana ja vakaana, ja mahdollisuudet investointeihin ja yhteisiin toimiin maaseutualueilla lisääntyvät. Jäsenvaltiot voivat saada synergiaetuja, joiden avulla ne voivat vastata paremmin viljelijöiden ja maaseutuyhteisöjen kohtaamiin haasteisiin, luoda mahdollisuuksia nuorille viljelijöille ja edistää sukupolvenvaihdoksia ja varmistaa näin ruokaturva pitkällä aikavälillä. EU parantaa EU:ssa tuotettujen maataloustuotteiden menekinedistämistä luodakseen uusia markkinamahdollisuuksia. Maatalousmarkkinoiden epävarmuuden lisääntyessä EU suojelee viljelijöitä ja vakauttaa markkinoita markkinahäiriöiden aikana Unity Safety Net -turvaverkon avulla.</w:t>
      </w:r>
    </w:p>
    <w:p w14:paraId="38017616" w14:textId="77777777" w:rsidR="00005FB4" w:rsidRDefault="00005FB4" w:rsidP="00C36008">
      <w:pPr>
        <w:pStyle w:val="ListParagraph"/>
        <w:pBdr>
          <w:top w:val="single" w:sz="4" w:space="1" w:color="auto"/>
          <w:left w:val="single" w:sz="4" w:space="1" w:color="auto"/>
          <w:bottom w:val="single" w:sz="4" w:space="1" w:color="auto"/>
          <w:right w:val="single" w:sz="4" w:space="1" w:color="auto"/>
        </w:pBdr>
        <w:shd w:val="clear" w:color="auto" w:fill="F2F2F2" w:themeFill="background1" w:themeFillShade="F2"/>
        <w:spacing w:line="240" w:lineRule="auto"/>
        <w:ind w:left="0"/>
        <w:jc w:val="both"/>
        <w:rPr>
          <w:rFonts w:ascii="Times New Roman" w:hAnsi="Times New Roman" w:cs="Times New Roman"/>
          <w:noProof/>
          <w:sz w:val="24"/>
          <w:szCs w:val="24"/>
        </w:rPr>
      </w:pPr>
    </w:p>
    <w:p w14:paraId="776B44EE" w14:textId="668BB0D3" w:rsidR="00EA28B7" w:rsidRDefault="00EA28B7" w:rsidP="00C36008">
      <w:pPr>
        <w:pStyle w:val="ListParagraph"/>
        <w:numPr>
          <w:ilvl w:val="0"/>
          <w:numId w:val="117"/>
        </w:numPr>
        <w:pBdr>
          <w:top w:val="single" w:sz="4" w:space="1" w:color="auto"/>
          <w:left w:val="single" w:sz="4" w:space="1" w:color="auto"/>
          <w:bottom w:val="single" w:sz="4" w:space="1" w:color="auto"/>
          <w:right w:val="single" w:sz="4" w:space="1" w:color="auto"/>
        </w:pBdr>
        <w:shd w:val="clear" w:color="auto" w:fill="F2F2F2" w:themeFill="background1" w:themeFillShade="F2"/>
        <w:spacing w:line="240" w:lineRule="auto"/>
        <w:jc w:val="both"/>
        <w:rPr>
          <w:rFonts w:ascii="Times New Roman" w:hAnsi="Times New Roman" w:cs="Times New Roman"/>
          <w:noProof/>
          <w:sz w:val="24"/>
          <w:szCs w:val="24"/>
        </w:rPr>
      </w:pPr>
      <w:r>
        <w:rPr>
          <w:rFonts w:ascii="Times New Roman" w:hAnsi="Times New Roman"/>
          <w:b/>
          <w:noProof/>
          <w:sz w:val="24"/>
        </w:rPr>
        <w:t>Koheesiopolitiikkaa vahvistetaan ja nykyaikaistetaan pitäen alueet sen keskiössä</w:t>
      </w:r>
      <w:r>
        <w:rPr>
          <w:rFonts w:ascii="Times New Roman" w:hAnsi="Times New Roman"/>
          <w:noProof/>
          <w:sz w:val="24"/>
        </w:rPr>
        <w:t>, ja kumppanuuden, monitasoisen hallintotavan ja paikkalähtöisten toimien perusperiaatteita noudatetaan jatkossakin. Koheesiopolitiikkaa harjoitetaan synergiassa muiden politiikan alojen kanssa, ja sen vaikutus lisääntyy kohdennettujen investointien ja uudistusten ansiosta samalla kun sen avulla edistetään yhtenäisempää Eurooppaa, jossa varmistetaan, että kaikilla eurooppalaisilla on asuinpaikastaan riippumatta taloudellisia mahdollisuuksia ja mahdollisuuksia parantaa elämänlaatuaan. Se auttaa vähemmän kehittyneitä alueita kuromaan kiinni takamatkaansa ja oikeudenmukaisen siirtymän alueita varmistamaan, että kaikki pysyvät mukana. Koheesiopolitiikassa kiinnitetään erityishuomiota syrjäisimpiin alueisiin tunnustaen niille tyypilliset haasteet ja mahdollisuudet.</w:t>
      </w:r>
    </w:p>
    <w:p w14:paraId="27970BFA" w14:textId="77777777" w:rsidR="00C36008" w:rsidRPr="00005FB4" w:rsidRDefault="00C36008" w:rsidP="00C36008">
      <w:pPr>
        <w:pStyle w:val="ListParagraph"/>
        <w:pBdr>
          <w:top w:val="single" w:sz="4" w:space="1" w:color="auto"/>
          <w:left w:val="single" w:sz="4" w:space="1" w:color="auto"/>
          <w:bottom w:val="single" w:sz="4" w:space="1" w:color="auto"/>
          <w:right w:val="single" w:sz="4" w:space="1" w:color="auto"/>
        </w:pBdr>
        <w:shd w:val="clear" w:color="auto" w:fill="F2F2F2" w:themeFill="background1" w:themeFillShade="F2"/>
        <w:spacing w:line="240" w:lineRule="auto"/>
        <w:ind w:left="0"/>
        <w:jc w:val="both"/>
        <w:rPr>
          <w:rFonts w:ascii="Times New Roman" w:hAnsi="Times New Roman" w:cs="Times New Roman"/>
          <w:noProof/>
          <w:sz w:val="24"/>
          <w:szCs w:val="24"/>
        </w:rPr>
      </w:pPr>
    </w:p>
    <w:p w14:paraId="54D9369F" w14:textId="7F5B9212" w:rsidR="00EA28B7" w:rsidRDefault="00EA28B7" w:rsidP="000643DD">
      <w:pPr>
        <w:pStyle w:val="ListParagraph"/>
        <w:numPr>
          <w:ilvl w:val="0"/>
          <w:numId w:val="109"/>
        </w:numPr>
        <w:pBdr>
          <w:top w:val="single" w:sz="4" w:space="1" w:color="auto"/>
          <w:left w:val="single" w:sz="4" w:space="1" w:color="auto"/>
          <w:bottom w:val="single" w:sz="4" w:space="1" w:color="auto"/>
          <w:right w:val="single" w:sz="4" w:space="1" w:color="auto"/>
        </w:pBdr>
        <w:shd w:val="clear" w:color="auto" w:fill="F2F2F2" w:themeFill="background1" w:themeFillShade="F2"/>
        <w:spacing w:line="240" w:lineRule="auto"/>
        <w:ind w:left="357" w:hanging="357"/>
        <w:jc w:val="both"/>
        <w:rPr>
          <w:noProof/>
        </w:rPr>
      </w:pPr>
      <w:r>
        <w:rPr>
          <w:rFonts w:ascii="Times New Roman" w:hAnsi="Times New Roman"/>
          <w:b/>
          <w:noProof/>
          <w:sz w:val="24"/>
        </w:rPr>
        <w:t>Eurooppa on vahva vain, jos sen kansalaisilla on riittävästi vaikutusmahdollisuuksia, ja siksi ihmisten ja Euroopan sosiaalisen mallin tukemisen on oltava suunnitelmien keskiössä.</w:t>
      </w:r>
      <w:r>
        <w:rPr>
          <w:rFonts w:ascii="Times New Roman" w:hAnsi="Times New Roman"/>
          <w:noProof/>
          <w:sz w:val="24"/>
        </w:rPr>
        <w:t xml:space="preserve"> </w:t>
      </w:r>
      <w:r>
        <w:rPr>
          <w:rFonts w:ascii="Times New Roman" w:hAnsi="Times New Roman"/>
          <w:b/>
          <w:noProof/>
          <w:sz w:val="24"/>
        </w:rPr>
        <w:t>Kansallisiin ja alueellisiin kumppanuussuunnitelmiin sovelletaan 13 prosentin sosiaalista tavoitetta, jolla ohjataan merkittäviä investointeja</w:t>
      </w:r>
      <w:r>
        <w:rPr>
          <w:rFonts w:ascii="Times New Roman" w:hAnsi="Times New Roman"/>
          <w:noProof/>
          <w:sz w:val="24"/>
        </w:rPr>
        <w:t xml:space="preserve"> Euroopan sosiaalisten oikeuksien pilarin täytäntöönpanoon ja tuetaan laadukkaita työpaikkoja, osaamisen kehittämistä, sosiaalista osallisuutta ja asuntotarjontaa kaikissa jäsenvaltioissa, kaikilla alueilla ja kaikilla toimialoilla.</w:t>
      </w:r>
      <w:r>
        <w:rPr>
          <w:rFonts w:ascii="Times New Roman" w:hAnsi="Times New Roman"/>
          <w:b/>
          <w:noProof/>
          <w:sz w:val="24"/>
        </w:rPr>
        <w:t xml:space="preserve"> </w:t>
      </w:r>
    </w:p>
    <w:p w14:paraId="07EDDDA7" w14:textId="77777777" w:rsidR="008D2341" w:rsidRPr="00C57C39" w:rsidRDefault="008D2341" w:rsidP="000643DD">
      <w:pPr>
        <w:pStyle w:val="ListParagraph"/>
        <w:pBdr>
          <w:top w:val="single" w:sz="4" w:space="1" w:color="auto"/>
          <w:left w:val="single" w:sz="4" w:space="1" w:color="auto"/>
          <w:bottom w:val="single" w:sz="4" w:space="1" w:color="auto"/>
          <w:right w:val="single" w:sz="4" w:space="1" w:color="auto"/>
        </w:pBdr>
        <w:shd w:val="clear" w:color="auto" w:fill="F2F2F2" w:themeFill="background1" w:themeFillShade="F2"/>
        <w:spacing w:line="240" w:lineRule="auto"/>
        <w:ind w:left="0"/>
        <w:jc w:val="both"/>
        <w:rPr>
          <w:noProof/>
        </w:rPr>
      </w:pPr>
    </w:p>
    <w:p w14:paraId="2C115066" w14:textId="629BA3F5" w:rsidR="00EA28B7" w:rsidRDefault="00EA28B7" w:rsidP="00C36008">
      <w:pPr>
        <w:pStyle w:val="ListParagraph"/>
        <w:numPr>
          <w:ilvl w:val="0"/>
          <w:numId w:val="109"/>
        </w:numPr>
        <w:pBdr>
          <w:top w:val="single" w:sz="4" w:space="1" w:color="auto"/>
          <w:left w:val="single" w:sz="4" w:space="1" w:color="auto"/>
          <w:bottom w:val="single" w:sz="4" w:space="1" w:color="auto"/>
          <w:right w:val="single" w:sz="4" w:space="1" w:color="auto"/>
        </w:pBdr>
        <w:shd w:val="clear" w:color="auto" w:fill="F2F2F2" w:themeFill="background1" w:themeFillShade="F2"/>
        <w:spacing w:line="240" w:lineRule="auto"/>
        <w:ind w:left="357" w:hanging="357"/>
        <w:jc w:val="both"/>
        <w:rPr>
          <w:noProof/>
        </w:rPr>
      </w:pPr>
      <w:r>
        <w:rPr>
          <w:rFonts w:ascii="Times New Roman" w:hAnsi="Times New Roman"/>
          <w:b/>
          <w:noProof/>
          <w:sz w:val="24"/>
        </w:rPr>
        <w:t xml:space="preserve">Kumppanuuksilla varmistetaan, että EU:n tuki, jolla vastataan muuttoliikettä, rajaturvallisuutta ja yleistä turvallisuutta koskeviin haasteisiin, on räätälöity kunkin jäsenvaltion ja sen alueiden tarpeisiin. </w:t>
      </w:r>
      <w:r>
        <w:rPr>
          <w:rFonts w:ascii="Times New Roman" w:hAnsi="Times New Roman"/>
          <w:noProof/>
          <w:sz w:val="24"/>
        </w:rPr>
        <w:t>Uudistusten ja investointien kytkeminen toisiinsa antaa jäsenvaltioille vahvemmat kannustimet panna täytäntöön muuttoliike- ja turvapaikkasopimus ja toteuttaa EU:n sisäisen turvallisuuden strategiaa. EU:n joustavuusvälineellä (EU Facility) varmistetaan, että EU voi reagoida yhdessä joustavasti kiireellisiin tarpeisiin ja uusiin haasteisiin.</w:t>
      </w:r>
    </w:p>
    <w:p w14:paraId="2F461C57" w14:textId="77777777" w:rsidR="00EA28B7" w:rsidRPr="00C57C39" w:rsidRDefault="00EA28B7" w:rsidP="00C36008">
      <w:pPr>
        <w:pStyle w:val="ListParagraph"/>
        <w:pBdr>
          <w:top w:val="single" w:sz="4" w:space="1" w:color="auto"/>
          <w:left w:val="single" w:sz="4" w:space="1" w:color="auto"/>
          <w:bottom w:val="single" w:sz="4" w:space="1" w:color="auto"/>
          <w:right w:val="single" w:sz="4" w:space="1" w:color="auto"/>
        </w:pBdr>
        <w:shd w:val="clear" w:color="auto" w:fill="F2F2F2" w:themeFill="background1" w:themeFillShade="F2"/>
        <w:spacing w:line="240" w:lineRule="auto"/>
        <w:ind w:left="0"/>
        <w:rPr>
          <w:noProof/>
        </w:rPr>
      </w:pPr>
    </w:p>
    <w:p w14:paraId="2FBA13CB" w14:textId="76FFC26F" w:rsidR="00EA28B7" w:rsidRPr="006A444D" w:rsidRDefault="00EA28B7" w:rsidP="00C36008">
      <w:pPr>
        <w:pStyle w:val="ListParagraph"/>
        <w:numPr>
          <w:ilvl w:val="0"/>
          <w:numId w:val="109"/>
        </w:numPr>
        <w:pBdr>
          <w:top w:val="single" w:sz="4" w:space="1" w:color="auto"/>
          <w:left w:val="single" w:sz="4" w:space="1" w:color="auto"/>
          <w:bottom w:val="single" w:sz="4" w:space="1" w:color="auto"/>
          <w:right w:val="single" w:sz="4" w:space="1" w:color="auto"/>
        </w:pBdr>
        <w:shd w:val="clear" w:color="auto" w:fill="F2F2F2" w:themeFill="background1" w:themeFillShade="F2"/>
        <w:spacing w:line="240" w:lineRule="auto"/>
        <w:ind w:left="357" w:hanging="357"/>
        <w:jc w:val="both"/>
        <w:rPr>
          <w:rFonts w:ascii="Times New Roman" w:hAnsi="Times New Roman" w:cs="Times New Roman"/>
          <w:b/>
          <w:bCs/>
          <w:noProof/>
          <w:sz w:val="24"/>
          <w:szCs w:val="24"/>
        </w:rPr>
      </w:pPr>
      <w:r>
        <w:rPr>
          <w:rFonts w:ascii="Times New Roman" w:hAnsi="Times New Roman"/>
          <w:b/>
          <w:noProof/>
          <w:sz w:val="24"/>
        </w:rPr>
        <w:t xml:space="preserve">Kalastus on edelleen rannikkoyhteisöjen ja -talouksien elinehto. </w:t>
      </w:r>
      <w:r>
        <w:rPr>
          <w:rFonts w:ascii="Times New Roman" w:hAnsi="Times New Roman"/>
          <w:noProof/>
          <w:sz w:val="24"/>
        </w:rPr>
        <w:t>Kumppanuuksilla EU:n kalastus- ja meripolitiikka, koheesiopolitiikka ja yhteinen maatalouspolitiikka kytketään tiiviimmin yhteen, jotta tukea kalastajille voidaan vahvistaa ja samalla edistää talouden toimeliaisuutta, kuten vesiviljelyä, matkailua ja merenkulkua, luoda työpaikkoja ja parantaa toimeentuloa rannikkoalueilla.</w:t>
      </w:r>
      <w:r>
        <w:rPr>
          <w:rFonts w:ascii="Times New Roman" w:hAnsi="Times New Roman"/>
          <w:b/>
          <w:noProof/>
          <w:sz w:val="24"/>
        </w:rPr>
        <w:t xml:space="preserve"> </w:t>
      </w:r>
    </w:p>
    <w:p w14:paraId="641DD9E6" w14:textId="4CD30CF1" w:rsidR="00175825" w:rsidRPr="00616ACE" w:rsidRDefault="00175825" w:rsidP="00537B76">
      <w:pPr>
        <w:spacing w:after="240" w:line="240" w:lineRule="auto"/>
        <w:jc w:val="both"/>
        <w:rPr>
          <w:rFonts w:ascii="Times New Roman" w:hAnsi="Times New Roman" w:cs="Times New Roman"/>
          <w:bCs/>
          <w:noProof/>
          <w:sz w:val="24"/>
          <w:szCs w:val="24"/>
        </w:rPr>
      </w:pPr>
      <w:r>
        <w:rPr>
          <w:rFonts w:ascii="Times New Roman" w:hAnsi="Times New Roman"/>
          <w:b/>
          <w:noProof/>
          <w:sz w:val="24"/>
        </w:rPr>
        <w:t xml:space="preserve">Kansalliset ja alueelliset kumppanuussuunnitelmat yhdessä muiden EU:n ohjelmien kanssa auttavat unionia etenemään kohti Euroopan irtautumista hiilestä vuoteen 2050 mennessä. </w:t>
      </w:r>
      <w:r>
        <w:rPr>
          <w:rFonts w:ascii="Times New Roman" w:hAnsi="Times New Roman"/>
          <w:noProof/>
          <w:sz w:val="24"/>
        </w:rPr>
        <w:t xml:space="preserve">Suunnitelmalla tuetut investoinnit ja uudistukset vauhdittavat innovointia, parantavat kykyä sietää ilmastonmuutoksen vaikutuksia, kehittävät verkkoyhteyksiä ja auttavat Eurooppaa lisäämään energiaomavaraisuuttaan. Ne auttavat yrityksiä ja kansalaisia kaikkialla unionissa vastaamaan niihin haasteisiin ja hyödyntämään niitä mahdollisuuksia, joita puhtaaseen talouteen siirtyminen merkitsee, ja varmistamaan, että kaikki pysyvät mukana. </w:t>
      </w:r>
    </w:p>
    <w:p w14:paraId="700ECB0F" w14:textId="2F772BD9" w:rsidR="00BD07CD" w:rsidRPr="000643DD" w:rsidRDefault="00BD07CD" w:rsidP="000643DD">
      <w:pPr>
        <w:spacing w:after="240" w:line="240" w:lineRule="auto"/>
        <w:jc w:val="center"/>
        <w:rPr>
          <w:rFonts w:ascii="Times New Roman" w:hAnsi="Times New Roman" w:cs="Times New Roman"/>
          <w:b/>
          <w:noProof/>
          <w:sz w:val="24"/>
          <w:szCs w:val="24"/>
        </w:rPr>
      </w:pPr>
      <w:r>
        <w:rPr>
          <w:rFonts w:ascii="Times New Roman" w:hAnsi="Times New Roman"/>
          <w:b/>
          <w:noProof/>
          <w:sz w:val="24"/>
        </w:rPr>
        <w:t>Muuttoliikkeen hallinnan ja rajaturvallisuuden rahoitus vuosien 2028–2034 talousarviossa</w:t>
      </w:r>
    </w:p>
    <w:p w14:paraId="5AC09C79" w14:textId="29A77867" w:rsidR="00E81136" w:rsidRPr="00616ACE" w:rsidRDefault="00B2682A" w:rsidP="000643DD">
      <w:pPr>
        <w:spacing w:after="240" w:line="240" w:lineRule="auto"/>
        <w:jc w:val="center"/>
        <w:rPr>
          <w:rFonts w:ascii="Times New Roman" w:hAnsi="Times New Roman" w:cs="Times New Roman"/>
          <w:bCs/>
          <w:noProof/>
          <w:sz w:val="24"/>
          <w:szCs w:val="24"/>
        </w:rPr>
      </w:pPr>
      <w:r>
        <w:rPr>
          <w:noProof/>
          <w:lang w:val="en-GB" w:eastAsia="en-GB"/>
        </w:rPr>
        <w:drawing>
          <wp:inline distT="0" distB="0" distL="0" distR="0" wp14:anchorId="18C2C3BD" wp14:editId="576F37FC">
            <wp:extent cx="5760720" cy="3816985"/>
            <wp:effectExtent l="0" t="0" r="0" b="0"/>
            <wp:docPr id="703346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46078" name=""/>
                    <pic:cNvPicPr/>
                  </pic:nvPicPr>
                  <pic:blipFill>
                    <a:blip r:embed="rId17">
                      <a:extLst>
                        <a:ext uri="{28A0092B-C50C-407E-A947-70E740481C1C}">
                          <a14:useLocalDpi xmlns:a14="http://schemas.microsoft.com/office/drawing/2010/main" val="0"/>
                        </a:ext>
                      </a:extLst>
                    </a:blip>
                    <a:stretch>
                      <a:fillRect/>
                    </a:stretch>
                  </pic:blipFill>
                  <pic:spPr>
                    <a:xfrm>
                      <a:off x="0" y="0"/>
                      <a:ext cx="5760720" cy="3816985"/>
                    </a:xfrm>
                    <a:prstGeom prst="rect">
                      <a:avLst/>
                    </a:prstGeom>
                  </pic:spPr>
                </pic:pic>
              </a:graphicData>
            </a:graphic>
          </wp:inline>
        </w:drawing>
      </w:r>
    </w:p>
    <w:p w14:paraId="0A88FE8C" w14:textId="34600BD7" w:rsidR="00F821AC" w:rsidRPr="005C4743" w:rsidRDefault="006F49CF" w:rsidP="00537B76">
      <w:pPr>
        <w:spacing w:after="240" w:line="240" w:lineRule="auto"/>
        <w:jc w:val="both"/>
        <w:rPr>
          <w:rFonts w:ascii="Times New Roman" w:hAnsi="Times New Roman"/>
          <w:noProof/>
          <w:sz w:val="24"/>
        </w:rPr>
      </w:pPr>
      <w:r>
        <w:rPr>
          <w:rFonts w:ascii="Times New Roman" w:hAnsi="Times New Roman"/>
          <w:b/>
          <w:noProof/>
          <w:sz w:val="24"/>
        </w:rPr>
        <w:t xml:space="preserve">Tulosperusteisella toteutuksella ja toisiaan vahvistavien investointien ja uudistusten yhdistelmällä saadaan aikaan suurempi vaikutus ja enemmän vastinetta rahalle. </w:t>
      </w:r>
      <w:r>
        <w:rPr>
          <w:rFonts w:ascii="Times New Roman" w:hAnsi="Times New Roman"/>
          <w:noProof/>
          <w:sz w:val="24"/>
        </w:rPr>
        <w:t xml:space="preserve">Maksujen suorittamisen ehtona on, että sovittuihin painopisteisiin liittyvien investointien ja uudistusten välitavoitteet ja tavoitteet saavutetaan. Tämän odotetaan nopeuttavan ja tehostavan rahoituksen toteutumista ja tulosten aikaansaamista. Katse suunnataan sinne minne pitääkin: EU:n varoilla saataviin tuloksiin. Luotettavilla tarkastus- ja valvontajärjestelyillä varmistetaan, että kumppanuussuunnitelmat toteutetaan moitteettoman varainhoidon tiukimpia vaatimuksia noudattaen. </w:t>
      </w:r>
    </w:p>
    <w:p w14:paraId="74DB0871" w14:textId="4848F6F5" w:rsidR="00643A18" w:rsidRDefault="00643A18" w:rsidP="00105E2C">
      <w:pPr>
        <w:spacing w:after="240" w:line="240" w:lineRule="auto"/>
        <w:jc w:val="both"/>
        <w:rPr>
          <w:rFonts w:ascii="Times New Roman" w:hAnsi="Times New Roman" w:cs="Times New Roman"/>
          <w:b/>
          <w:bCs/>
          <w:noProof/>
          <w:sz w:val="24"/>
          <w:szCs w:val="24"/>
        </w:rPr>
      </w:pPr>
      <w:r>
        <w:rPr>
          <w:rFonts w:ascii="Times New Roman" w:hAnsi="Times New Roman"/>
          <w:b/>
          <w:noProof/>
          <w:sz w:val="24"/>
        </w:rPr>
        <w:t>Oikeusvaltioperiaatteista ja perusoikeuskirjasta ei tingitä</w:t>
      </w:r>
      <w:r>
        <w:rPr>
          <w:rFonts w:ascii="Times New Roman" w:hAnsi="Times New Roman"/>
          <w:noProof/>
          <w:sz w:val="24"/>
        </w:rPr>
        <w:t>. Oikeusvaltioperiaatteeseen liittyvästä ehdollisuusjärjestelmästä annettua asetusta</w:t>
      </w:r>
      <w:r w:rsidR="00F821C6">
        <w:rPr>
          <w:rStyle w:val="FootnoteReference"/>
          <w:rFonts w:ascii="Times New Roman" w:hAnsi="Times New Roman" w:cs="Times New Roman"/>
          <w:noProof/>
          <w:sz w:val="24"/>
          <w:szCs w:val="24"/>
        </w:rPr>
        <w:footnoteReference w:id="4"/>
      </w:r>
      <w:r>
        <w:rPr>
          <w:rFonts w:ascii="Times New Roman" w:hAnsi="Times New Roman"/>
          <w:noProof/>
          <w:sz w:val="24"/>
        </w:rPr>
        <w:t xml:space="preserve"> sovelletaan edelleen koko EU:n talousarvioon (ks. kohta 5). Oikeusvaltiokertomuksessa esitetyt suositukset ja rahoitustuki kytketään kansallisilla ja alueellisilla kumppanuussuunnitelmilla vahvemmin yhteen. Jos jäsenvaltio menettää varoja oikeusvaltioperiaatteen tai perusoikeuskirjan jatkuvien rikkomisten vuoksi, varat ovat käytettävissä suoraan tai välillisesti hallinnoitavissa ohjelmissa, erityisesti niissä, joilla tuetaan Euroopan demokratiaa, kansalaisyhteiskuntaa, unionin arvoja tai korruption torjuntaa.</w:t>
      </w:r>
    </w:p>
    <w:p w14:paraId="2C025ECE" w14:textId="3414294A" w:rsidR="000B2C25" w:rsidRDefault="00CC5E7F" w:rsidP="00875291">
      <w:pPr>
        <w:spacing w:after="240" w:line="240" w:lineRule="auto"/>
        <w:jc w:val="both"/>
        <w:rPr>
          <w:rFonts w:ascii="Times New Roman" w:hAnsi="Times New Roman" w:cs="Times New Roman"/>
          <w:noProof/>
          <w:sz w:val="24"/>
          <w:szCs w:val="24"/>
        </w:rPr>
      </w:pPr>
      <w:r>
        <w:rPr>
          <w:rFonts w:ascii="Times New Roman" w:hAnsi="Times New Roman"/>
          <w:b/>
          <w:noProof/>
          <w:sz w:val="24"/>
        </w:rPr>
        <w:t xml:space="preserve">EU:n joustavuusvälineestä tuetaan toteuttamista kansallisella ja alueellisella tasolla. </w:t>
      </w:r>
      <w:r>
        <w:rPr>
          <w:rFonts w:ascii="Times New Roman" w:hAnsi="Times New Roman"/>
          <w:noProof/>
          <w:sz w:val="24"/>
        </w:rPr>
        <w:t>Välineestä tuetaan toimia, jotka voidaan toteuttaa tehokkaammin unionin tasolla ja joilla täydennetään jäsenvaltioiden ja alueiden toteuttamia hankkeita. Tähän kuuluvat unionin yksinomaisen toimivallan käyttö esimerkiksi seuraavissa: meren elollisten luonnonvarojen säilyttäminen yhteisen kalastuspolitiikan puitteissa, valtameripolitiikan tukeminen, sosiaalisten toimien ja sosiaaliseen infrastruktuuriin ja yhteisötalouteen tehtävien investointien edistäminen EU:n tasolla, myös takausvälinein, sekä alueiden välisen tai kuntien välisen yhteistyön edistäminen. Välineen avulla voidaan reagoida luonnon ja ihmisen aiheuttamiin katastrofeihin ja luoda synergioita muiden kumppanuuteen kuuluvien politiikan alojen, kuten maatalouden, kanssa. Kohdentamaton joustovara lisää mahdollisuuksia reagoida odottamattomiin tapahtumiin ja katastrofeihin jäsenvaltioissa, jos muut kansallisten ja alueellisten määrärahojen joustomahdollisuudet eivät ole riittäviä.</w:t>
      </w:r>
    </w:p>
    <w:p w14:paraId="677095E6" w14:textId="0E078E22" w:rsidR="00AE04D7" w:rsidRPr="00AE04D7" w:rsidRDefault="006A078D" w:rsidP="00875291">
      <w:pPr>
        <w:spacing w:after="240" w:line="240" w:lineRule="auto"/>
        <w:jc w:val="both"/>
        <w:rPr>
          <w:rFonts w:ascii="Times New Roman" w:hAnsi="Times New Roman" w:cs="Times New Roman"/>
          <w:noProof/>
          <w:sz w:val="24"/>
          <w:szCs w:val="24"/>
        </w:rPr>
      </w:pPr>
      <w:r>
        <w:rPr>
          <w:rFonts w:ascii="Times New Roman" w:hAnsi="Times New Roman"/>
          <w:noProof/>
          <w:sz w:val="24"/>
        </w:rPr>
        <w:t xml:space="preserve">EU aikoo myös edelleen tukea vahvasti </w:t>
      </w:r>
      <w:r>
        <w:rPr>
          <w:rFonts w:ascii="Times New Roman" w:hAnsi="Times New Roman"/>
          <w:b/>
          <w:noProof/>
          <w:sz w:val="24"/>
        </w:rPr>
        <w:t>Kyproksen turkkilaisyhteisöä</w:t>
      </w:r>
      <w:r>
        <w:rPr>
          <w:rFonts w:ascii="Times New Roman" w:hAnsi="Times New Roman"/>
          <w:noProof/>
          <w:sz w:val="24"/>
        </w:rPr>
        <w:t xml:space="preserve"> siihen tarkoitetun välineen kautta.</w:t>
      </w:r>
    </w:p>
    <w:p w14:paraId="4AC86ADC" w14:textId="07D6B558" w:rsidR="00660C61" w:rsidRPr="000D6231" w:rsidRDefault="00660C61" w:rsidP="003A648E">
      <w:pPr>
        <w:spacing w:after="240" w:line="240" w:lineRule="auto"/>
        <w:jc w:val="both"/>
        <w:rPr>
          <w:rFonts w:ascii="Times New Roman" w:hAnsi="Times New Roman" w:cs="Times New Roman"/>
          <w:noProof/>
          <w:sz w:val="24"/>
          <w:szCs w:val="24"/>
        </w:rPr>
      </w:pPr>
    </w:p>
    <w:p w14:paraId="05B84B86" w14:textId="0E5F08DC" w:rsidR="00660C61" w:rsidRPr="000D6231" w:rsidRDefault="00660C61" w:rsidP="19903BB5">
      <w:pPr>
        <w:pStyle w:val="ListParagraph"/>
        <w:numPr>
          <w:ilvl w:val="0"/>
          <w:numId w:val="35"/>
        </w:numPr>
        <w:spacing w:after="240" w:line="240" w:lineRule="auto"/>
        <w:jc w:val="both"/>
        <w:rPr>
          <w:rFonts w:ascii="Times New Roman" w:hAnsi="Times New Roman" w:cs="Times New Roman"/>
          <w:noProof/>
          <w:sz w:val="24"/>
          <w:szCs w:val="24"/>
        </w:rPr>
      </w:pPr>
      <w:r>
        <w:rPr>
          <w:rFonts w:ascii="Times New Roman" w:hAnsi="Times New Roman"/>
          <w:b/>
          <w:noProof/>
          <w:sz w:val="24"/>
        </w:rPr>
        <w:t xml:space="preserve">Euroopan kilpailukyvyn tukeminen: Euroopan kilpailukykyrahasto ja Horisontti Eurooppa -puiteohjelma </w:t>
      </w:r>
    </w:p>
    <w:p w14:paraId="39EDFB4B" w14:textId="42F1B4E2" w:rsidR="00352445" w:rsidRPr="000D6231" w:rsidRDefault="00470525" w:rsidP="000643DD">
      <w:pPr>
        <w:spacing w:after="0" w:line="240" w:lineRule="auto"/>
        <w:jc w:val="center"/>
        <w:rPr>
          <w:rFonts w:ascii="Times New Roman" w:hAnsi="Times New Roman" w:cs="Times New Roman"/>
          <w:noProof/>
          <w:sz w:val="24"/>
          <w:szCs w:val="24"/>
        </w:rPr>
      </w:pPr>
      <w:r>
        <w:rPr>
          <w:noProof/>
          <w:lang w:val="en-GB" w:eastAsia="en-GB"/>
        </w:rPr>
        <w:drawing>
          <wp:inline distT="0" distB="0" distL="0" distR="0" wp14:anchorId="4DB51EDD" wp14:editId="0B56FEAE">
            <wp:extent cx="5760720" cy="2464435"/>
            <wp:effectExtent l="0" t="0" r="0" b="0"/>
            <wp:docPr id="1811403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03358"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2464435"/>
                    </a:xfrm>
                    <a:prstGeom prst="rect">
                      <a:avLst/>
                    </a:prstGeom>
                  </pic:spPr>
                </pic:pic>
              </a:graphicData>
            </a:graphic>
          </wp:inline>
        </w:drawing>
      </w:r>
    </w:p>
    <w:p w14:paraId="4088A7EC" w14:textId="3E9A1720" w:rsidR="00AB38AA" w:rsidRPr="000643DD" w:rsidRDefault="00AB38AA" w:rsidP="003A648E">
      <w:pPr>
        <w:spacing w:after="240" w:line="240" w:lineRule="auto"/>
        <w:jc w:val="center"/>
        <w:rPr>
          <w:rFonts w:ascii="Times New Roman" w:hAnsi="Times New Roman" w:cs="Times New Roman"/>
          <w:i/>
          <w:iCs/>
          <w:noProof/>
          <w:sz w:val="24"/>
          <w:szCs w:val="24"/>
        </w:rPr>
      </w:pPr>
      <w:r>
        <w:rPr>
          <w:rFonts w:ascii="Times New Roman" w:hAnsi="Times New Roman"/>
          <w:i/>
          <w:noProof/>
          <w:sz w:val="24"/>
        </w:rPr>
        <w:t>(*) Tutkimus- ja innovointiyhteistyö on johdonmukaista kilpailukykyrahaston toimien kanssa</w:t>
      </w:r>
    </w:p>
    <w:p w14:paraId="033384B5" w14:textId="7E45D42D" w:rsidR="002C2E96" w:rsidRDefault="002C2E96" w:rsidP="004048B6">
      <w:pPr>
        <w:pBdr>
          <w:top w:val="single" w:sz="4" w:space="1" w:color="auto"/>
          <w:left w:val="single" w:sz="4" w:space="4" w:color="auto"/>
          <w:bottom w:val="single" w:sz="4" w:space="1" w:color="auto"/>
          <w:right w:val="single" w:sz="4" w:space="4" w:color="auto"/>
        </w:pBdr>
        <w:shd w:val="clear" w:color="auto" w:fill="F2F2F2" w:themeFill="background1" w:themeFillShade="F2"/>
        <w:spacing w:after="240" w:line="240" w:lineRule="auto"/>
        <w:jc w:val="both"/>
        <w:rPr>
          <w:rFonts w:ascii="Times New Roman" w:hAnsi="Times New Roman" w:cs="Times New Roman"/>
          <w:b/>
          <w:bCs/>
          <w:i/>
          <w:iCs/>
          <w:noProof/>
          <w:sz w:val="24"/>
          <w:szCs w:val="24"/>
        </w:rPr>
      </w:pPr>
      <w:r>
        <w:rPr>
          <w:rFonts w:ascii="Times New Roman" w:hAnsi="Times New Roman"/>
          <w:b/>
          <w:i/>
          <w:noProof/>
          <w:sz w:val="24"/>
        </w:rPr>
        <w:t>Uusi Euroopan kilpailukykyrahasto, joka toimii synergiassa Horisontti Eurooppa -puiteohjelman kanssa, tarjoaa eurooppalaisille innovoijille saumatonta tukea niin tutkimusvaiheessa kuin innovaatioiden käyttöönottovaiheessa, eli ideoista startup-vaiheen kautta kasvuun. Se tukee kilpailukykykompassin täytäntöönpanoa ja auttaa unionia rakentamaan kilpailuetua strategisilla aloilla muun muassa edesauttamalla useita maita kattavia ja rajat ylittäviä hankkeita, joilla on suuri lisäarvo EU-tasolla. Näin se edistää vaurautta ja laadukkaiden työpaikkojen syntyä.</w:t>
      </w:r>
    </w:p>
    <w:p w14:paraId="3C214896" w14:textId="285FAE3C" w:rsidR="00D1300D" w:rsidRDefault="69A00BBF" w:rsidP="00105E2C">
      <w:pPr>
        <w:spacing w:after="240" w:line="240" w:lineRule="auto"/>
        <w:jc w:val="both"/>
        <w:rPr>
          <w:rFonts w:ascii="Times New Roman" w:hAnsi="Times New Roman" w:cs="Times New Roman"/>
          <w:noProof/>
          <w:sz w:val="24"/>
          <w:szCs w:val="24"/>
        </w:rPr>
      </w:pPr>
      <w:r>
        <w:rPr>
          <w:rFonts w:ascii="Times New Roman" w:hAnsi="Times New Roman"/>
          <w:b/>
          <w:noProof/>
          <w:sz w:val="24"/>
        </w:rPr>
        <w:t>EU:n kilpailukyvyn tukemista on merkittävästi lisättävä EU:n seuraavassa pitkän aikavälin talousarviossa</w:t>
      </w:r>
      <w:r>
        <w:rPr>
          <w:rFonts w:ascii="Times New Roman" w:hAnsi="Times New Roman"/>
          <w:noProof/>
          <w:sz w:val="24"/>
        </w:rPr>
        <w:t xml:space="preserve">. Eurooppa on innovoinnin, tieteellisen edistymisen ja yrittäjyyden kehto, ja sen teollinen perusta on maailmanluokkaa. Euroopan kilpailukykyä ja taloudellista turvallisuutta haittaavat kuitenkin sisämarkkinoiden esteet, pääomamarkkinoiden hajanaisuus, riittämätön digitalisaatio, epäreilu kansainvälinen kilpailu, kallis energia, osaamisvaje ja työvoimapula, vaikeudet muuntaa tutkimustuloksia kaupallisesti hyödynnettäviksi tuotteiksi sekä hankkeiden ja rahoituksen kohtaamattomuus. </w:t>
      </w:r>
    </w:p>
    <w:p w14:paraId="34C917B5" w14:textId="2A9E281A" w:rsidR="00153508" w:rsidRPr="007E5F5F" w:rsidRDefault="6F209699" w:rsidP="00D872DF">
      <w:pPr>
        <w:spacing w:after="240" w:line="240" w:lineRule="auto"/>
        <w:jc w:val="both"/>
        <w:rPr>
          <w:rFonts w:ascii="Times New Roman" w:hAnsi="Times New Roman" w:cs="Times New Roman"/>
          <w:noProof/>
          <w:sz w:val="24"/>
          <w:szCs w:val="24"/>
        </w:rPr>
      </w:pPr>
      <w:r>
        <w:rPr>
          <w:rFonts w:ascii="Times New Roman" w:hAnsi="Times New Roman"/>
          <w:b/>
          <w:noProof/>
          <w:sz w:val="24"/>
        </w:rPr>
        <w:t>Euroopan on oltava paljon parempi edellytysten luomisessa parhaiden eurooppalaisten hankkeiden ja yritysten menestymiselle ja skaalautumiselle</w:t>
      </w:r>
      <w:r>
        <w:rPr>
          <w:rFonts w:ascii="Times New Roman" w:hAnsi="Times New Roman"/>
          <w:noProof/>
          <w:sz w:val="24"/>
        </w:rPr>
        <w:t>, kuten Draghin</w:t>
      </w:r>
      <w:r w:rsidR="008247D9" w:rsidRPr="008247D9">
        <w:rPr>
          <w:rStyle w:val="FootnoteReference"/>
          <w:rFonts w:ascii="Times New Roman" w:hAnsi="Times New Roman" w:cs="Times New Roman"/>
          <w:noProof/>
          <w:sz w:val="24"/>
          <w:szCs w:val="24"/>
        </w:rPr>
        <w:footnoteReference w:id="5"/>
      </w:r>
      <w:r>
        <w:rPr>
          <w:rFonts w:ascii="Times New Roman" w:hAnsi="Times New Roman"/>
          <w:noProof/>
          <w:sz w:val="24"/>
        </w:rPr>
        <w:t xml:space="preserve"> ja Lettan</w:t>
      </w:r>
      <w:r w:rsidR="008247D9" w:rsidRPr="008247D9">
        <w:rPr>
          <w:rStyle w:val="FootnoteReference"/>
          <w:rFonts w:ascii="Times New Roman" w:hAnsi="Times New Roman" w:cs="Times New Roman"/>
          <w:noProof/>
          <w:sz w:val="24"/>
          <w:szCs w:val="24"/>
        </w:rPr>
        <w:footnoteReference w:id="6"/>
      </w:r>
      <w:r>
        <w:rPr>
          <w:rFonts w:ascii="Times New Roman" w:hAnsi="Times New Roman"/>
          <w:noProof/>
          <w:sz w:val="24"/>
        </w:rPr>
        <w:t xml:space="preserve"> raporteissa ja kilpailukykykompassissa</w:t>
      </w:r>
      <w:r w:rsidR="008247D9" w:rsidRPr="008247D9">
        <w:rPr>
          <w:rStyle w:val="FootnoteReference"/>
          <w:rFonts w:ascii="Times New Roman" w:hAnsi="Times New Roman" w:cs="Times New Roman"/>
          <w:noProof/>
          <w:sz w:val="24"/>
          <w:szCs w:val="24"/>
        </w:rPr>
        <w:footnoteReference w:id="7"/>
      </w:r>
      <w:r>
        <w:rPr>
          <w:rFonts w:ascii="Times New Roman" w:hAnsi="Times New Roman"/>
          <w:noProof/>
          <w:sz w:val="24"/>
        </w:rPr>
        <w:t xml:space="preserve"> tuodaan esiin. Puhtaan teollisen kehityksen ohjelman mukaan on olennaisen tärkeää yhdistää vähähiilistäminen ja talouskasvu kohtuullistamalla energian hintoja, tukemalla EU:ssa valmistettuja puhtaita tuotteita (teollisuuden vähähiilistämistä vauhdittavan säädöksen avulla), luomalla laadukkaita työpaikkoja ja vahvistamalla rahoitusta, myös teollisuuden vähähiilistämispankin avulla. Keskeisenä tavoitteena on myös oltava Euroopan taloudellisen turvallisuuden vahvistaminen ja sen varmistaminen, että keskeiset toimialat pysyvät selviytymiskykyisinä ja kilpailukykyisinä geopoliittisten ja teknologisten muutosten edessä.</w:t>
      </w:r>
      <w:r>
        <w:rPr>
          <w:rFonts w:ascii="Times New Roman" w:hAnsi="Times New Roman"/>
          <w:i/>
          <w:noProof/>
          <w:sz w:val="24"/>
        </w:rPr>
        <w:t xml:space="preserve"> </w:t>
      </w:r>
      <w:r>
        <w:rPr>
          <w:rFonts w:ascii="Times New Roman" w:hAnsi="Times New Roman"/>
          <w:noProof/>
          <w:sz w:val="24"/>
        </w:rPr>
        <w:t xml:space="preserve">EU:n on myös asetettava etusijalle investoinnit tulevaisuuden kannalta keskeiseen murrosteknologiaan, kuten avaruusteknologiaan, tekoälyyn ja kvanttiteknologiaan. Säilyttääkseen kilpailukykynsä, riippumattomuutensa ja turvallisuutensa, EU:n on rakennettava tietoturvallista maailmanluokan digitaalista infrastruktuuria, kuten suuren kapasiteetin verkkoja ja tekoälyn gigatehtaita. </w:t>
      </w:r>
    </w:p>
    <w:p w14:paraId="6E23A422" w14:textId="408CE03F" w:rsidR="00780185" w:rsidRPr="000643DD" w:rsidRDefault="00780185" w:rsidP="003A648E">
      <w:pPr>
        <w:spacing w:after="240" w:line="240" w:lineRule="auto"/>
        <w:jc w:val="both"/>
        <w:rPr>
          <w:rFonts w:ascii="Times New Roman" w:hAnsi="Times New Roman" w:cs="Times New Roman"/>
          <w:noProof/>
          <w:sz w:val="24"/>
          <w:szCs w:val="24"/>
        </w:rPr>
      </w:pPr>
      <w:r>
        <w:rPr>
          <w:rFonts w:ascii="Times New Roman" w:hAnsi="Times New Roman"/>
          <w:b/>
          <w:noProof/>
          <w:sz w:val="24"/>
        </w:rPr>
        <w:t>Euroopan kilpailukykyrahasto, jonka kokonaismäärärahat ovat 409 miljardia euroa Horisontti Eurooppa mukaan luettuna, lisää ennennäkemättömällä tavalla EU:n talousarviotukea tutkimukseen, innovointiin, kehittämiseen ja käyttöönottoon.</w:t>
      </w:r>
      <w:r w:rsidR="00EA482F">
        <w:rPr>
          <w:rStyle w:val="FootnoteReference"/>
          <w:rFonts w:ascii="Times New Roman" w:hAnsi="Times New Roman" w:cs="Times New Roman"/>
          <w:b/>
          <w:bCs/>
          <w:noProof/>
          <w:sz w:val="24"/>
          <w:szCs w:val="24"/>
        </w:rPr>
        <w:footnoteReference w:id="8"/>
      </w:r>
      <w:r>
        <w:rPr>
          <w:rFonts w:ascii="Times New Roman" w:hAnsi="Times New Roman"/>
          <w:b/>
          <w:noProof/>
          <w:sz w:val="24"/>
        </w:rPr>
        <w:t xml:space="preserve"> </w:t>
      </w:r>
    </w:p>
    <w:p w14:paraId="7B6F493B" w14:textId="2303BB30" w:rsidR="009603D8" w:rsidRDefault="00F50B7D" w:rsidP="003A648E">
      <w:pPr>
        <w:spacing w:after="240" w:line="240" w:lineRule="auto"/>
        <w:jc w:val="both"/>
        <w:rPr>
          <w:rFonts w:ascii="Times New Roman" w:hAnsi="Times New Roman" w:cs="Times New Roman"/>
          <w:noProof/>
          <w:sz w:val="24"/>
          <w:szCs w:val="24"/>
        </w:rPr>
      </w:pPr>
      <w:r>
        <w:rPr>
          <w:rFonts w:ascii="Times New Roman" w:hAnsi="Times New Roman"/>
          <w:b/>
          <w:noProof/>
          <w:sz w:val="24"/>
        </w:rPr>
        <w:t xml:space="preserve">Uusi Euroopan kilpailukykyrahasto kokoaa EU:n tasolla investointikapasiteettia yhteen, jotta strategisten teknologioiden skaalaamista, valmistusta ja käyttöönottoa voidaan Euroopassa nopeuttaa. </w:t>
      </w:r>
      <w:r>
        <w:rPr>
          <w:rFonts w:ascii="Times New Roman" w:hAnsi="Times New Roman"/>
          <w:noProof/>
          <w:sz w:val="24"/>
        </w:rPr>
        <w:t xml:space="preserve">Siitä tulee keskeinen keino vahvistaa eurooppalaisten yritysten kilpailukykyä ja EU:n teollista perustaa muun muassa sitä kautta, että tuetaan Euroopassa valmistettuja teknologioita, tuotteita ja palveluja. Kun nykyinen päällekkäisten ohjelmien tilkkutäkki korvataan yhden ja ainoan sääntökirjan mukaan toimivalla rahastolla, EU-rahoitus yksinkertaistuu ja nopeutuu merkittävästi, myös pienten yritysten kannalta. EU saa mahdollisuuden investoida sinne, missä sillä on merkitystä – ja niin, että investoinneilla on vaikutusta. Menettelyjä, joita rahoituskohteiden valitsemisessa ja arvioimisessa sekä rahoituksen myöntämisessä noudatetaan, yksinkertaistetaan ja nopeutetaan rahastossa, ja EU:n rahoituksen saajien raportointivaatimuksia yksinkertaistetaan, joten hankkeiden toteuttajat saavat rahoituksen nopeammin. </w:t>
      </w:r>
    </w:p>
    <w:p w14:paraId="12A6D81A" w14:textId="03DFE551" w:rsidR="00B752A9" w:rsidRDefault="77516DD1" w:rsidP="003A648E">
      <w:pPr>
        <w:spacing w:after="240" w:line="240" w:lineRule="auto"/>
        <w:jc w:val="both"/>
        <w:rPr>
          <w:rFonts w:ascii="Times New Roman" w:hAnsi="Times New Roman" w:cs="Times New Roman"/>
          <w:noProof/>
          <w:sz w:val="24"/>
          <w:szCs w:val="24"/>
        </w:rPr>
      </w:pPr>
      <w:r>
        <w:rPr>
          <w:rFonts w:ascii="Times New Roman" w:hAnsi="Times New Roman"/>
          <w:b/>
          <w:noProof/>
          <w:sz w:val="24"/>
        </w:rPr>
        <w:t xml:space="preserve">Kuten Draghin raportissa suositeltiin, Euroopan kilpailukykyrahasto keskittyy EU:n julkishyödykkeisiin. </w:t>
      </w:r>
      <w:r>
        <w:rPr>
          <w:rFonts w:ascii="Times New Roman" w:hAnsi="Times New Roman"/>
          <w:noProof/>
          <w:sz w:val="24"/>
        </w:rPr>
        <w:t xml:space="preserve">Rahastosta tuetaan EU:n kilpailukyvyn kannalta kriittisiä asioita: puhdasta siirtymää ja vähähiilistämistä, digitaalista johtajuutta, resilienssiä ja turvallisuutta, puolustusteollisuutta ja avaruustoimintaa sekä terveysalaa bioteknologiaa, maataloutta ja biotaloutta. Rahastosta tarjotaan myös neuvontapalveluja hankkeiden toteuttajille. </w:t>
      </w:r>
    </w:p>
    <w:p w14:paraId="1DBA5B77" w14:textId="54CF3AD9" w:rsidR="0031443C" w:rsidRDefault="69BF179C" w:rsidP="003A648E">
      <w:pPr>
        <w:spacing w:after="240" w:line="240" w:lineRule="auto"/>
        <w:jc w:val="both"/>
        <w:rPr>
          <w:rFonts w:ascii="Times New Roman" w:hAnsi="Times New Roman" w:cs="Times New Roman"/>
          <w:noProof/>
          <w:sz w:val="24"/>
          <w:szCs w:val="24"/>
        </w:rPr>
      </w:pPr>
      <w:r>
        <w:rPr>
          <w:rFonts w:ascii="Times New Roman" w:hAnsi="Times New Roman"/>
          <w:b/>
          <w:noProof/>
          <w:sz w:val="24"/>
        </w:rPr>
        <w:t xml:space="preserve">Euroopan tason julkisilla investoinneilla on keskeinen rooli yksityisten investointien liikkeellepanevana voimana. </w:t>
      </w:r>
      <w:r>
        <w:rPr>
          <w:rFonts w:ascii="Times New Roman" w:hAnsi="Times New Roman"/>
          <w:noProof/>
          <w:sz w:val="24"/>
        </w:rPr>
        <w:t>Euroopan kilpailukykyrahastosta on tarjolla kattava rahoitusvälineistö yksityisten investointien houkuttelemiseksi.</w:t>
      </w:r>
      <w:r>
        <w:rPr>
          <w:rFonts w:ascii="Times New Roman" w:hAnsi="Times New Roman"/>
          <w:b/>
          <w:noProof/>
          <w:sz w:val="24"/>
        </w:rPr>
        <w:t xml:space="preserve"> </w:t>
      </w:r>
      <w:r>
        <w:rPr>
          <w:rFonts w:ascii="Times New Roman" w:hAnsi="Times New Roman"/>
          <w:noProof/>
          <w:sz w:val="24"/>
        </w:rPr>
        <w:t xml:space="preserve">Näin kukin rahoitettavaksi valittu hanke voi saada tukea tarkoituksenmukaisimmassa muodossa: avustuksina, lainoina, hankintoina tai rahoitusvälineillä, joihin kuuluvat myös pääomasijoitukset. Ratkaisevan tärkeää on se, että </w:t>
      </w:r>
      <w:r>
        <w:rPr>
          <w:rFonts w:ascii="Times New Roman" w:hAnsi="Times New Roman"/>
          <w:b/>
          <w:noProof/>
          <w:sz w:val="24"/>
        </w:rPr>
        <w:t>InvestEU</w:t>
      </w:r>
      <w:r>
        <w:rPr>
          <w:rFonts w:ascii="Times New Roman" w:hAnsi="Times New Roman"/>
          <w:noProof/>
          <w:sz w:val="24"/>
        </w:rPr>
        <w:t xml:space="preserve"> saa todistetusti liikkeelle julkisia ja yksityisiä investointeja EU:n painopistealoille tiiviissä yhteistyössä toteutuskumppaneidensa – Euroopan investointipankin ja muiden kansallisten kehityspankkien – kanssa. Rahastosta tuetaan myös julkisen ja yksityisen sektorin kumppanuuksia, Euroopan yhteistä etua koskevat tärkeät hankkeet mukaan lukien. </w:t>
      </w:r>
    </w:p>
    <w:p w14:paraId="6546ACBA" w14:textId="48A794A8" w:rsidR="00E81638" w:rsidRPr="00E81638" w:rsidRDefault="00B752A9" w:rsidP="00E81638">
      <w:pPr>
        <w:spacing w:after="240"/>
        <w:jc w:val="center"/>
        <w:rPr>
          <w:noProof/>
        </w:rPr>
      </w:pPr>
      <w:r>
        <w:rPr>
          <w:rFonts w:ascii="Times New Roman" w:hAnsi="Times New Roman"/>
          <w:noProof/>
          <w:sz w:val="24"/>
        </w:rPr>
        <w:t xml:space="preserve"> </w:t>
      </w:r>
      <w:r w:rsidR="0058504B">
        <w:rPr>
          <w:noProof/>
          <w:lang w:val="en-GB" w:eastAsia="en-GB"/>
        </w:rPr>
        <w:drawing>
          <wp:inline distT="0" distB="0" distL="0" distR="0" wp14:anchorId="5FFED06A" wp14:editId="3484B0B3">
            <wp:extent cx="4852657" cy="4613952"/>
            <wp:effectExtent l="0" t="0" r="5715" b="0"/>
            <wp:docPr id="1509563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63982" name=""/>
                    <pic:cNvPicPr/>
                  </pic:nvPicPr>
                  <pic:blipFill>
                    <a:blip r:embed="rId19">
                      <a:extLst>
                        <a:ext uri="{28A0092B-C50C-407E-A947-70E740481C1C}">
                          <a14:useLocalDpi xmlns:a14="http://schemas.microsoft.com/office/drawing/2010/main" val="0"/>
                        </a:ext>
                      </a:extLst>
                    </a:blip>
                    <a:stretch>
                      <a:fillRect/>
                    </a:stretch>
                  </pic:blipFill>
                  <pic:spPr>
                    <a:xfrm>
                      <a:off x="0" y="0"/>
                      <a:ext cx="4866150" cy="4626781"/>
                    </a:xfrm>
                    <a:prstGeom prst="rect">
                      <a:avLst/>
                    </a:prstGeom>
                  </pic:spPr>
                </pic:pic>
              </a:graphicData>
            </a:graphic>
          </wp:inline>
        </w:drawing>
      </w:r>
    </w:p>
    <w:p w14:paraId="40D4FA91" w14:textId="06EC9FC9" w:rsidR="00265FC7" w:rsidRDefault="008B0EFC" w:rsidP="009736F1">
      <w:pPr>
        <w:spacing w:after="240" w:line="240" w:lineRule="auto"/>
        <w:jc w:val="both"/>
        <w:rPr>
          <w:rFonts w:ascii="Times New Roman" w:hAnsi="Times New Roman" w:cs="Times New Roman"/>
          <w:noProof/>
          <w:sz w:val="24"/>
          <w:szCs w:val="24"/>
        </w:rPr>
      </w:pPr>
      <w:r>
        <w:rPr>
          <w:rFonts w:ascii="Times New Roman" w:hAnsi="Times New Roman"/>
          <w:b/>
          <w:noProof/>
          <w:sz w:val="24"/>
        </w:rPr>
        <w:t>Maailmanlaajuisesti tunnetun Horisontti Eurooppa -tutkimus- ja innovointiohjelman avulla panostetaan jatkossakin uraauurtavaan perustutkimukseen ja tutkimusyhteistyöhön sekä murrokselliseen innovointiin strategisilla aloilla.</w:t>
      </w:r>
      <w:r>
        <w:rPr>
          <w:rFonts w:ascii="Times New Roman" w:hAnsi="Times New Roman"/>
          <w:noProof/>
          <w:sz w:val="24"/>
        </w:rPr>
        <w:t xml:space="preserve"> Se toimii itsenäisenä ohjelmana, joka kytkeytyy tiiviisti Euroopan kilpailukykyrahastoon tutkimusyhteistyötä koskevien yhdennettyjen työohjelmien ja yhteisen säännöstön kautta. Uusi Horisontti Eurooppa -puiteohjelma on yksinkertaisempi ja vahvempi, mikä tarkoittaa, että selkeämpien sääntöjen ja hakijoiden ja sidosryhmien kannalta läpinäkyvämpien menettelyjen ansiosta EU:n varoja voidaan käyttää nopeammin ja strategisemmin. Ohjelman avulla tuetaan monialaista perustutkimusta tukeutuen vakiintuneeseen huippuosaamiseen perustuvaan toimintamalliin ja valmistellaan tulevia kasvun ja teknologisen johtoaseman ajureita. Horisontti Eurooppa -puiteohjelma muodostuu neljästä pilarista, jotka ovat huipputason tiede, kilpailukyky ja yhteiskunta, innovointi sekä eurooppalainen tutkimusalue. Laajennettu Euroopan tutkimusneuvosto edistää perustutkimusta, ja Euroopan innovaationeuvoston tukea startup-yrityksille vahvistetaan. Euratomin tutkimus- ja koulutusohjelmasta rahoitetaan ydinalan tutkimusta ja koulutusta ja osallistumista ITER-fuusiohankkeeseen.</w:t>
      </w:r>
    </w:p>
    <w:p w14:paraId="136E3041" w14:textId="77777777" w:rsidR="0092553D" w:rsidRPr="00C57C39" w:rsidRDefault="0092553D" w:rsidP="009736F1">
      <w:pPr>
        <w:spacing w:after="240" w:line="240" w:lineRule="auto"/>
        <w:jc w:val="both"/>
        <w:rPr>
          <w:rFonts w:ascii="Times New Roman" w:hAnsi="Times New Roman" w:cs="Times New Roman"/>
          <w:noProof/>
          <w:sz w:val="24"/>
          <w:szCs w:val="24"/>
        </w:rPr>
      </w:pPr>
    </w:p>
    <w:p w14:paraId="0446154D" w14:textId="06DC9088" w:rsidR="00660C61" w:rsidRPr="000D6231" w:rsidRDefault="00415819" w:rsidP="003A648E">
      <w:pPr>
        <w:pStyle w:val="ListParagraph"/>
        <w:numPr>
          <w:ilvl w:val="0"/>
          <w:numId w:val="35"/>
        </w:numPr>
        <w:spacing w:after="240" w:line="240" w:lineRule="auto"/>
        <w:contextualSpacing w:val="0"/>
        <w:jc w:val="both"/>
        <w:rPr>
          <w:rFonts w:ascii="Times New Roman" w:hAnsi="Times New Roman" w:cs="Times New Roman"/>
          <w:b/>
          <w:bCs/>
          <w:noProof/>
          <w:sz w:val="24"/>
          <w:szCs w:val="24"/>
        </w:rPr>
      </w:pPr>
      <w:r>
        <w:rPr>
          <w:rFonts w:ascii="Times New Roman" w:hAnsi="Times New Roman"/>
          <w:b/>
          <w:noProof/>
          <w:sz w:val="24"/>
        </w:rPr>
        <w:t>Eurooppalaisen puolustusunionin rakentaminen</w:t>
      </w:r>
    </w:p>
    <w:p w14:paraId="1ABA3B5D" w14:textId="45C730ED" w:rsidR="00C8565E" w:rsidRPr="000D6231" w:rsidRDefault="00D51691" w:rsidP="003A648E">
      <w:pPr>
        <w:spacing w:after="240" w:line="240" w:lineRule="auto"/>
        <w:jc w:val="center"/>
        <w:rPr>
          <w:rFonts w:ascii="Times New Roman" w:hAnsi="Times New Roman" w:cs="Times New Roman"/>
          <w:noProof/>
          <w:sz w:val="24"/>
          <w:szCs w:val="24"/>
        </w:rPr>
      </w:pPr>
      <w:r>
        <w:rPr>
          <w:noProof/>
          <w:lang w:val="en-GB" w:eastAsia="en-GB"/>
        </w:rPr>
        <w:drawing>
          <wp:inline distT="0" distB="0" distL="0" distR="0" wp14:anchorId="05ACC9BF" wp14:editId="419AEAAC">
            <wp:extent cx="5760720" cy="2751455"/>
            <wp:effectExtent l="0" t="0" r="0" b="0"/>
            <wp:docPr id="17020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18860"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2751455"/>
                    </a:xfrm>
                    <a:prstGeom prst="rect">
                      <a:avLst/>
                    </a:prstGeom>
                  </pic:spPr>
                </pic:pic>
              </a:graphicData>
            </a:graphic>
          </wp:inline>
        </w:drawing>
      </w:r>
    </w:p>
    <w:p w14:paraId="1FCBD222" w14:textId="535E84EA" w:rsidR="00700134" w:rsidRPr="00B334AE" w:rsidRDefault="00A32615" w:rsidP="000643DD">
      <w:pPr>
        <w:pBdr>
          <w:top w:val="single" w:sz="8" w:space="1" w:color="auto"/>
          <w:left w:val="single" w:sz="8" w:space="4" w:color="auto"/>
          <w:bottom w:val="single" w:sz="8" w:space="1" w:color="auto"/>
          <w:right w:val="single" w:sz="8" w:space="4" w:color="auto"/>
        </w:pBdr>
        <w:shd w:val="clear" w:color="auto" w:fill="F2F2F2" w:themeFill="background1" w:themeFillShade="F2"/>
        <w:spacing w:after="240" w:line="240" w:lineRule="auto"/>
        <w:jc w:val="both"/>
        <w:rPr>
          <w:rFonts w:ascii="Times New Roman" w:hAnsi="Times New Roman" w:cs="Times New Roman"/>
          <w:b/>
          <w:i/>
          <w:noProof/>
          <w:sz w:val="24"/>
          <w:szCs w:val="24"/>
        </w:rPr>
      </w:pPr>
      <w:r>
        <w:rPr>
          <w:rFonts w:ascii="Times New Roman" w:hAnsi="Times New Roman"/>
          <w:b/>
          <w:i/>
          <w:noProof/>
          <w:sz w:val="24"/>
        </w:rPr>
        <w:t>EU:n uusi pitkän aikavälin talousarvio nostaa Euroopan puolustusunionin seuraavalle tasolle, mikä on kiireellinen prioriteetti uhkien ja epävarmuuden lisääntyessä. Euroopan kilpailukykyrahastosta, kansallisista ja alueellisista kumppanuussuunnitelmista, Verkkojen Eurooppa -välineestä ja ulkoisista lähteistä saatava rahoitus tuo yhdessä ennennäkemätöntä eurooppalaista lisäarvoa kansallisten puolustusmenojen oheen.</w:t>
      </w:r>
    </w:p>
    <w:p w14:paraId="34B95C37" w14:textId="77777777" w:rsidR="0052564C" w:rsidRDefault="0012184A" w:rsidP="00105E2C">
      <w:pPr>
        <w:spacing w:after="240" w:line="240" w:lineRule="auto"/>
        <w:jc w:val="both"/>
        <w:rPr>
          <w:rFonts w:ascii="Times New Roman" w:hAnsi="Times New Roman" w:cs="Times New Roman"/>
          <w:noProof/>
          <w:sz w:val="24"/>
          <w:szCs w:val="24"/>
        </w:rPr>
      </w:pPr>
      <w:r>
        <w:rPr>
          <w:rFonts w:ascii="Times New Roman" w:hAnsi="Times New Roman"/>
          <w:b/>
          <w:noProof/>
          <w:sz w:val="24"/>
        </w:rPr>
        <w:t>EU:n tulevan talousarvion on annettava uutta pontta todellisen Euroopan puolustusunionin perustamiselle.</w:t>
      </w:r>
      <w:r>
        <w:rPr>
          <w:rFonts w:ascii="Times New Roman" w:hAnsi="Times New Roman"/>
          <w:noProof/>
          <w:sz w:val="24"/>
        </w:rPr>
        <w:t xml:space="preserve"> Kun Venäjän hyökkäyssota Ukrainaa vastaan toi sodan takaisin Euroopan maaperälle, unionin kykyä rahoittaa puolustusvalmiuksia vahvistettiin nykyisessä EU:n pitkän aikavälin talousarviossa. Tähän sisältyi uusi säädös ampumatarvikkeiden tuotannon tukemisesta ja uusi väline yhteisiä puolustushankintoja varten sekä Euroopan rauhanrahaston vahvistaminen. </w:t>
      </w:r>
    </w:p>
    <w:p w14:paraId="3919E8B6" w14:textId="363B2320" w:rsidR="004B2D52" w:rsidRPr="005C4743" w:rsidRDefault="00C93317" w:rsidP="006604AF">
      <w:pPr>
        <w:spacing w:after="240" w:line="240" w:lineRule="auto"/>
        <w:jc w:val="both"/>
        <w:rPr>
          <w:rFonts w:ascii="Times New Roman" w:hAnsi="Times New Roman"/>
          <w:noProof/>
          <w:sz w:val="24"/>
        </w:rPr>
      </w:pPr>
      <w:r>
        <w:rPr>
          <w:rFonts w:ascii="Times New Roman" w:hAnsi="Times New Roman"/>
          <w:b/>
          <w:noProof/>
          <w:sz w:val="24"/>
        </w:rPr>
        <w:t>Valkoisessa kirjassa Euroopan puolustusvalmiudesta vuoteen 2030 mennessä kuvataan, mitä unioni voi tehdä tukeakseen ja koordinoidakseen jäsenvaltioiden pyrkimyksiä vahvistaa puolustusteollista perustaa ja EU:n yleistä puolustusvalmiutta.</w:t>
      </w:r>
      <w:r>
        <w:rPr>
          <w:rFonts w:ascii="Times New Roman" w:hAnsi="Times New Roman"/>
          <w:noProof/>
          <w:sz w:val="24"/>
        </w:rPr>
        <w:t xml:space="preserve"> Tässä yhteydessä jäsenvaltioilla on talousarvioissaan entistä enemmän liikkumavaraa lisätä puolustusmenojaan muun muassa yhteisellä lainanotolla rahoitettavien lisälainojen avulla (SAFE-väline</w:t>
      </w:r>
      <w:r w:rsidR="00F66228">
        <w:rPr>
          <w:rStyle w:val="FootnoteReference"/>
          <w:rFonts w:ascii="Times New Roman" w:hAnsi="Times New Roman" w:cs="Times New Roman"/>
          <w:noProof/>
          <w:sz w:val="24"/>
          <w:szCs w:val="24"/>
        </w:rPr>
        <w:footnoteReference w:id="9"/>
      </w:r>
      <w:r>
        <w:rPr>
          <w:rFonts w:ascii="Times New Roman" w:hAnsi="Times New Roman"/>
          <w:noProof/>
          <w:sz w:val="24"/>
        </w:rPr>
        <w:t>). Tämä ei kuitenkaan riitä. Seuraavan talousarvion on palveltava uutta strategisten investointien aikakautta, jossa panostetaan Euroopan puolustuskyvykkyyksiin ja varautumiseen, mihin kuuluu myös eurooppalaisten kriittisten puolustuskyvykkyyksien yhteinen kehittäminen. Erityisenä painopisteenä on vastata haasteisiin, joita perinteisille sotilaallisille uhkille eniten altistuvat jäsenvaltiot kohtaavat. Tätä varten toteutetaan yhteishankkeita, kuten itäisillä rajoilla toteutettava Eastern Border Shield -hanke.</w:t>
      </w:r>
    </w:p>
    <w:p w14:paraId="6DF5C7A7" w14:textId="0DF7A627" w:rsidR="00310D1F" w:rsidRDefault="00333E79" w:rsidP="00DB4B21">
      <w:pPr>
        <w:spacing w:after="240" w:line="240" w:lineRule="auto"/>
        <w:jc w:val="both"/>
        <w:rPr>
          <w:rFonts w:ascii="Times New Roman" w:hAnsi="Times New Roman" w:cs="Times New Roman"/>
          <w:noProof/>
          <w:sz w:val="24"/>
          <w:szCs w:val="24"/>
        </w:rPr>
      </w:pPr>
      <w:r>
        <w:rPr>
          <w:rFonts w:ascii="Times New Roman" w:hAnsi="Times New Roman"/>
          <w:b/>
          <w:noProof/>
          <w:sz w:val="24"/>
        </w:rPr>
        <w:t>Euroopan kilpailukykyrahastosta tuetaan merkittävästi puolustus-, turvallisuus- ja avaruusinvestointeja.</w:t>
      </w:r>
      <w:r>
        <w:rPr>
          <w:rFonts w:ascii="Times New Roman" w:hAnsi="Times New Roman"/>
          <w:noProof/>
          <w:sz w:val="24"/>
        </w:rPr>
        <w:t xml:space="preserve"> Komissio ehdottaa rahoituksen lisäämistä huomattavasti nykyiseen rahoituskehykseen verrattuna. Siinä myös viedään tätä lähestymistapaa suuri harppaus eteenpäin tukemalla yhden ja saman rahoitusvälineen puitteissa investointeja niin tutkimukseen ja kehittämiseen kuin valmistukseen ja käyttöönottoonkin. Näin autetaan osaltaan pienentämään yhteisten puolustushankkeiden rahoitusriskiä. Näin vahvistetaan koordinointia tukemalla kaksikäyttösovelluksia ja kyberturvallisuutta. EU jatkaa avaruusjärjestelmiensä, erityisesti Galileo-, EGNOS-, Copernicus- ja IRIS²-järjestelmien, parantamista ja kehittää samalla uusia valmiuksia vastata kaksikäyttöhaasteisiin, mukaan lukien valtiollinen maanhavainnointipalvelu (EOGS) ja matalan kiertoradan paikannus-, navigointi- ja ajoituspalvelut.</w:t>
      </w:r>
    </w:p>
    <w:p w14:paraId="03967448" w14:textId="1AC64BD6" w:rsidR="00EF3EDE" w:rsidRPr="000D6231" w:rsidRDefault="643118AE" w:rsidP="00105E2C">
      <w:pPr>
        <w:spacing w:after="240" w:line="240" w:lineRule="auto"/>
        <w:jc w:val="both"/>
        <w:rPr>
          <w:rFonts w:ascii="Times New Roman" w:hAnsi="Times New Roman" w:cs="Times New Roman"/>
          <w:b/>
          <w:bCs/>
          <w:noProof/>
          <w:sz w:val="24"/>
          <w:szCs w:val="24"/>
        </w:rPr>
      </w:pPr>
      <w:r>
        <w:rPr>
          <w:rFonts w:ascii="Times New Roman" w:hAnsi="Times New Roman"/>
          <w:b/>
          <w:noProof/>
          <w:sz w:val="24"/>
        </w:rPr>
        <w:t>Puolustus- ja avaruusrahoituksen sisällyttäminen Euroopan kilpailukykyrahastoon tuo useita etuja.</w:t>
      </w:r>
      <w:r>
        <w:rPr>
          <w:rFonts w:ascii="Times New Roman" w:hAnsi="Times New Roman"/>
          <w:noProof/>
          <w:sz w:val="24"/>
        </w:rPr>
        <w:t xml:space="preserve"> Ensinnäkin sillä varmistetaan edunsaajille johdonmukaiset säännöt, mikä helpottaa rahoituksen saantia. Toiseksi siinä hyödynnetään puolustusteollisuudelle ja avaruusteollisuudelle annettavan tuen välisiä synergioita, koska ne tarjoavat mahdollisuuksia hedelmälliseen vuorovaikutukseen,</w:t>
      </w:r>
      <w:r>
        <w:rPr>
          <w:noProof/>
        </w:rPr>
        <w:t xml:space="preserve"> </w:t>
      </w:r>
      <w:bookmarkStart w:id="2" w:name="_Hlk203075244"/>
      <w:r>
        <w:rPr>
          <w:rFonts w:ascii="Times New Roman" w:hAnsi="Times New Roman"/>
          <w:noProof/>
          <w:sz w:val="24"/>
        </w:rPr>
        <w:t>ja samalla varmistetaan jatkuva ja vahva tuki EU:n investoinneille avaruusinfrastruktuuriin ja keskeisiin eurooppalaisiin avaruusresursseihin</w:t>
      </w:r>
      <w:bookmarkEnd w:id="2"/>
      <w:r>
        <w:rPr>
          <w:rFonts w:ascii="Times New Roman" w:hAnsi="Times New Roman"/>
          <w:noProof/>
          <w:sz w:val="24"/>
        </w:rPr>
        <w:t>. Kolmanneksi se tarjoaa mahdollisuuden hyödyntää kaikkia Euroopan kilpailukykyrahaston rahoitusvälineitä ja mahdollistaa näin räätälöidympi lähestymistapa.</w:t>
      </w:r>
    </w:p>
    <w:p w14:paraId="3DF7A35B" w14:textId="3E65CB87" w:rsidR="0012184A" w:rsidRDefault="0012184A" w:rsidP="00360546">
      <w:pPr>
        <w:spacing w:after="240" w:line="240" w:lineRule="auto"/>
        <w:jc w:val="both"/>
        <w:rPr>
          <w:rFonts w:ascii="Calibri" w:eastAsia="Calibri" w:hAnsi="Calibri" w:cs="Calibri"/>
          <w:b/>
          <w:noProof/>
        </w:rPr>
      </w:pPr>
      <w:r>
        <w:rPr>
          <w:rFonts w:ascii="Times New Roman" w:hAnsi="Times New Roman"/>
          <w:b/>
          <w:noProof/>
          <w:sz w:val="24"/>
        </w:rPr>
        <w:t>Jäsenvaltiot ja alueet voivat nekin tukea investointeja ja uudistuksia unionin puolustuskyvykkyyksien ja turvallisuushankkeiden alalla rahoittamalla niitä kansallisten ja alueellisten kumppanuussuunnitelmien puitteissa</w:t>
      </w:r>
      <w:r>
        <w:rPr>
          <w:rFonts w:ascii="Times New Roman" w:hAnsi="Times New Roman"/>
          <w:noProof/>
          <w:sz w:val="24"/>
        </w:rPr>
        <w:t xml:space="preserve"> EU:n painopisteiden mukaisesti ja synergiassa EU:n tason rahoituksen kanssa. Tällaisilla</w:t>
      </w:r>
      <w:r>
        <w:rPr>
          <w:rFonts w:ascii="Times New Roman" w:hAnsi="Times New Roman"/>
          <w:b/>
          <w:noProof/>
          <w:sz w:val="24"/>
        </w:rPr>
        <w:t xml:space="preserve"> </w:t>
      </w:r>
      <w:r>
        <w:rPr>
          <w:rFonts w:ascii="Times New Roman" w:hAnsi="Times New Roman"/>
          <w:noProof/>
          <w:sz w:val="24"/>
        </w:rPr>
        <w:t>toimenpiteillä edistetään osaltaan Euroopan puolustus- ja turvallisuusteollisuuden ja teollisen teknologiaperustan kilpailukykyä ja tuetaan unionin varautumista, uhkien havaitsemista ja kriiseihin reagointia muun muassa vahvistamalla kyberturvallisuutta ja varmistamalla kriittisten infrastruktuurien häiriönsietokyky. Jäsenvaltiot voivat rahoittaa kansallisten ja alueellisten kumppanuussuunnitelmien puitteissa myös Euroopan laajuisten liikenneverkkojen, energian kansallisten siirto- ja jakeluverkkojen ja Euroopan yhteistä etua koskevien tärkeiden hankkeiden (myös puolustusalalla) kansallisia osia. </w:t>
      </w:r>
      <w:r>
        <w:rPr>
          <w:rFonts w:ascii="Calibri" w:hAnsi="Calibri"/>
          <w:b/>
          <w:noProof/>
        </w:rPr>
        <w:t xml:space="preserve"> </w:t>
      </w:r>
    </w:p>
    <w:p w14:paraId="6F3A4EF4" w14:textId="3C5505AD" w:rsidR="0065223A" w:rsidRPr="00360546" w:rsidRDefault="002F5F62" w:rsidP="000643DD">
      <w:pPr>
        <w:spacing w:after="240" w:line="240" w:lineRule="auto"/>
        <w:jc w:val="center"/>
        <w:rPr>
          <w:rFonts w:ascii="Times New Roman" w:hAnsi="Times New Roman" w:cs="Times New Roman"/>
          <w:noProof/>
          <w:sz w:val="24"/>
          <w:szCs w:val="24"/>
        </w:rPr>
      </w:pPr>
      <w:r>
        <w:rPr>
          <w:noProof/>
          <w:lang w:val="en-GB" w:eastAsia="en-GB"/>
        </w:rPr>
        <w:drawing>
          <wp:inline distT="0" distB="0" distL="0" distR="0" wp14:anchorId="24C78FE5" wp14:editId="06866564">
            <wp:extent cx="5760720" cy="3784600"/>
            <wp:effectExtent l="0" t="0" r="0" b="6350"/>
            <wp:docPr id="864739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39730"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3784600"/>
                    </a:xfrm>
                    <a:prstGeom prst="rect">
                      <a:avLst/>
                    </a:prstGeom>
                  </pic:spPr>
                </pic:pic>
              </a:graphicData>
            </a:graphic>
          </wp:inline>
        </w:drawing>
      </w:r>
    </w:p>
    <w:p w14:paraId="483593FE" w14:textId="40BF6014" w:rsidR="00217913" w:rsidRPr="00E2464D" w:rsidRDefault="002D5792" w:rsidP="00105E2C">
      <w:pPr>
        <w:spacing w:after="240" w:line="240" w:lineRule="auto"/>
        <w:jc w:val="both"/>
        <w:rPr>
          <w:rFonts w:ascii="Calibri" w:eastAsia="Calibri" w:hAnsi="Calibri" w:cs="Calibri"/>
          <w:b/>
          <w:noProof/>
        </w:rPr>
      </w:pPr>
      <w:r>
        <w:rPr>
          <w:rFonts w:ascii="Times New Roman" w:hAnsi="Times New Roman"/>
          <w:b/>
          <w:noProof/>
          <w:sz w:val="24"/>
        </w:rPr>
        <w:t>Venäjän hyökkäyssota Ukrainaa vastaan nosti esiin sen, miten tärkeää on investoida sotilaalliseen liikkuvuuteen</w:t>
      </w:r>
      <w:r>
        <w:rPr>
          <w:rFonts w:ascii="Times New Roman" w:hAnsi="Times New Roman"/>
          <w:noProof/>
          <w:sz w:val="24"/>
        </w:rPr>
        <w:t xml:space="preserve">, jotta voidaan varmistaa, että jäsenvaltioiden joukot voivat reagoida nopeasti ja riittävässä mittakaavassa EU:n ulkorajoilla ja etäämmälläkin puhkeaviin kriiseihin. Vahvistetussa Verkkojen Eurooppa -välineessä keskitytään näin ollen entistä enemmän sotilaallisen liikkuvuuden liikennekäytäviin ja maksimoidaan synergiat muiden liikenneverkkoon tehtävien investointien kanssa. Investoinneilla tuetaan mahdollisuuksia joukkojen ja kaluston siirtoihin rautateiden, maanteiden, lentoasemien, merisatamien, sisävesiväylien ja multimodaaliterminaalien kautta. </w:t>
      </w:r>
    </w:p>
    <w:p w14:paraId="7DCD82F8" w14:textId="72CD1191" w:rsidR="004254A1" w:rsidRPr="00B7095B" w:rsidDel="000B78BD" w:rsidRDefault="43CA457E" w:rsidP="00105E2C">
      <w:pPr>
        <w:spacing w:after="240" w:line="240" w:lineRule="auto"/>
        <w:jc w:val="both"/>
        <w:rPr>
          <w:rFonts w:ascii="Times New Roman" w:hAnsi="Times New Roman" w:cs="Times New Roman"/>
          <w:b/>
          <w:bCs/>
          <w:noProof/>
          <w:sz w:val="24"/>
          <w:szCs w:val="24"/>
        </w:rPr>
      </w:pPr>
      <w:r>
        <w:rPr>
          <w:rFonts w:ascii="Times New Roman" w:hAnsi="Times New Roman"/>
          <w:b/>
          <w:noProof/>
          <w:sz w:val="24"/>
        </w:rPr>
        <w:t>Euroopan rauhanrahasto toimii jatkossakin talousarvion ulkopuolisena keinona edesauttaa unionin pyrkimyksiä ylläpitää rauhaa, ehkäistä konflikteja ja vahvistaa kansainvälistä turvallisuutta.</w:t>
      </w:r>
      <w:r>
        <w:rPr>
          <w:rFonts w:ascii="Times New Roman" w:hAnsi="Times New Roman"/>
          <w:noProof/>
          <w:sz w:val="24"/>
        </w:rPr>
        <w:t xml:space="preserve"> Rahastosta rahoitetaan neuvoston päättämiä toimia kahdella osa-alueella: sotilasoperaatioiden ja avustustoimenpiteiden yhteiset kustannukset.</w:t>
      </w:r>
      <w:r w:rsidR="004254A1" w:rsidRPr="27B01B09">
        <w:rPr>
          <w:rStyle w:val="FootnoteReference"/>
          <w:rFonts w:ascii="Times New Roman" w:eastAsia="Times New Roman" w:hAnsi="Times New Roman" w:cs="Times New Roman"/>
          <w:noProof/>
          <w:sz w:val="24"/>
          <w:szCs w:val="24"/>
        </w:rPr>
        <w:footnoteReference w:id="10"/>
      </w:r>
      <w:r>
        <w:rPr>
          <w:rFonts w:ascii="Times New Roman" w:hAnsi="Times New Roman"/>
          <w:noProof/>
          <w:sz w:val="24"/>
        </w:rPr>
        <w:t xml:space="preserve"> Nopeasti muuttuvan geopoliittisen ympäristön vuoksi rahastosta olisi seuraavan rahoituskehyksen ajan voitava jatkossakin tukea kumppaneita maailmanlaajuisesti, Ukraina mukaan lukien, ja sitä olisi kasvatettava 30,5 miljardiin euroon.</w:t>
      </w:r>
    </w:p>
    <w:p w14:paraId="5CADB9AE" w14:textId="3A537A80" w:rsidR="00AC7118" w:rsidRPr="000D6231" w:rsidRDefault="0012184A" w:rsidP="003A648E">
      <w:pPr>
        <w:spacing w:after="240" w:line="240" w:lineRule="auto"/>
        <w:jc w:val="both"/>
        <w:rPr>
          <w:rFonts w:ascii="Times New Roman" w:hAnsi="Times New Roman" w:cs="Times New Roman"/>
          <w:noProof/>
          <w:sz w:val="24"/>
          <w:szCs w:val="24"/>
        </w:rPr>
      </w:pPr>
      <w:r>
        <w:rPr>
          <w:rFonts w:ascii="Times New Roman" w:hAnsi="Times New Roman"/>
          <w:noProof/>
          <w:sz w:val="24"/>
        </w:rPr>
        <w:t> </w:t>
      </w:r>
    </w:p>
    <w:p w14:paraId="6A80FBC1" w14:textId="78F8BCC6" w:rsidR="001A3FED" w:rsidRPr="000D6231" w:rsidRDefault="00EF04A4" w:rsidP="003A648E">
      <w:pPr>
        <w:pStyle w:val="ListParagraph"/>
        <w:keepNext/>
        <w:numPr>
          <w:ilvl w:val="0"/>
          <w:numId w:val="35"/>
        </w:numPr>
        <w:spacing w:after="240" w:line="240" w:lineRule="auto"/>
        <w:ind w:left="1077"/>
        <w:contextualSpacing w:val="0"/>
        <w:jc w:val="both"/>
        <w:rPr>
          <w:rFonts w:ascii="Times New Roman" w:hAnsi="Times New Roman" w:cs="Times New Roman"/>
          <w:noProof/>
          <w:sz w:val="24"/>
          <w:szCs w:val="24"/>
        </w:rPr>
      </w:pPr>
      <w:r>
        <w:rPr>
          <w:rFonts w:ascii="Times New Roman" w:hAnsi="Times New Roman"/>
          <w:b/>
          <w:noProof/>
          <w:sz w:val="24"/>
        </w:rPr>
        <w:t xml:space="preserve">Eurooppalaisten sisämarkkinoiden vahvistaminen </w:t>
      </w:r>
    </w:p>
    <w:p w14:paraId="4AD3DEF1" w14:textId="57A769F7" w:rsidR="001A3FED" w:rsidRPr="000D6231" w:rsidRDefault="003475FC" w:rsidP="00E2464D">
      <w:pPr>
        <w:spacing w:after="240" w:line="240" w:lineRule="auto"/>
        <w:jc w:val="center"/>
        <w:rPr>
          <w:rFonts w:ascii="Times New Roman" w:hAnsi="Times New Roman" w:cs="Times New Roman"/>
          <w:i/>
          <w:iCs/>
          <w:noProof/>
          <w:sz w:val="24"/>
          <w:szCs w:val="24"/>
        </w:rPr>
      </w:pPr>
      <w:r>
        <w:rPr>
          <w:noProof/>
          <w:lang w:val="en-GB" w:eastAsia="en-GB"/>
        </w:rPr>
        <w:drawing>
          <wp:inline distT="0" distB="0" distL="0" distR="0" wp14:anchorId="4C9904E4" wp14:editId="4F72AEEE">
            <wp:extent cx="5760720" cy="3557905"/>
            <wp:effectExtent l="0" t="0" r="0" b="4445"/>
            <wp:docPr id="484617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17742"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3557905"/>
                    </a:xfrm>
                    <a:prstGeom prst="rect">
                      <a:avLst/>
                    </a:prstGeom>
                  </pic:spPr>
                </pic:pic>
              </a:graphicData>
            </a:graphic>
          </wp:inline>
        </w:drawing>
      </w:r>
    </w:p>
    <w:p w14:paraId="56666720" w14:textId="14A275DB" w:rsidR="004C0E3E" w:rsidRPr="00B334AE" w:rsidRDefault="004C0E3E" w:rsidP="000643DD">
      <w:pPr>
        <w:pBdr>
          <w:top w:val="single" w:sz="8" w:space="1" w:color="auto"/>
          <w:left w:val="single" w:sz="8" w:space="4" w:color="auto"/>
          <w:bottom w:val="single" w:sz="8" w:space="1" w:color="auto"/>
          <w:right w:val="single" w:sz="8" w:space="4" w:color="auto"/>
        </w:pBdr>
        <w:shd w:val="clear" w:color="auto" w:fill="F2F2F2" w:themeFill="background1" w:themeFillShade="F2"/>
        <w:spacing w:after="240" w:line="240" w:lineRule="auto"/>
        <w:jc w:val="both"/>
        <w:rPr>
          <w:rFonts w:ascii="Times New Roman" w:hAnsi="Times New Roman" w:cs="Times New Roman"/>
          <w:b/>
          <w:i/>
          <w:noProof/>
          <w:sz w:val="24"/>
          <w:szCs w:val="24"/>
        </w:rPr>
      </w:pPr>
      <w:r>
        <w:rPr>
          <w:rFonts w:ascii="Times New Roman" w:hAnsi="Times New Roman"/>
          <w:b/>
          <w:i/>
          <w:noProof/>
          <w:sz w:val="24"/>
        </w:rPr>
        <w:t>Sisämarkkinat ovat yksi unionia määrittävistä saavutuksista. Tuore sisämarkkinastrategia</w:t>
      </w:r>
      <w:r w:rsidR="00440D4D">
        <w:rPr>
          <w:rStyle w:val="FootnoteReference"/>
          <w:rFonts w:ascii="Times New Roman" w:hAnsi="Times New Roman" w:cs="Times New Roman"/>
          <w:b/>
          <w:i/>
          <w:noProof/>
          <w:sz w:val="24"/>
          <w:szCs w:val="24"/>
        </w:rPr>
        <w:footnoteReference w:id="11"/>
      </w:r>
      <w:r>
        <w:rPr>
          <w:rFonts w:ascii="Times New Roman" w:hAnsi="Times New Roman"/>
          <w:b/>
          <w:i/>
          <w:noProof/>
          <w:sz w:val="24"/>
        </w:rPr>
        <w:t xml:space="preserve"> osoitti kuitenkin jälleen kerran, että sisämarkkinat eivät ole läheskään valmiit. EU:n talousarviosta saatavat investoinnit tuottavat eniten lisäarvoa, kun ne auttavat poistamaan esteitä ja luomaan yhteyksiä. EU:n uusi talousarvio on suunniteltu tätä silmällä pitäen.</w:t>
      </w:r>
    </w:p>
    <w:p w14:paraId="6BD920C3" w14:textId="623DCCC3" w:rsidR="001A3FED" w:rsidRPr="000D6231" w:rsidRDefault="001A3FED" w:rsidP="00105E2C">
      <w:pPr>
        <w:spacing w:after="240" w:line="240" w:lineRule="auto"/>
        <w:jc w:val="both"/>
        <w:rPr>
          <w:rFonts w:ascii="Times New Roman" w:hAnsi="Times New Roman" w:cs="Times New Roman"/>
          <w:noProof/>
          <w:sz w:val="24"/>
          <w:szCs w:val="24"/>
        </w:rPr>
      </w:pPr>
      <w:r>
        <w:rPr>
          <w:rFonts w:ascii="Times New Roman" w:hAnsi="Times New Roman"/>
          <w:b/>
          <w:noProof/>
          <w:sz w:val="24"/>
        </w:rPr>
        <w:t xml:space="preserve">EU:n talousarvio on aina tukenut Euroopan sisämarkkinoiden laajentamista ja syventämistä. </w:t>
      </w:r>
      <w:r>
        <w:rPr>
          <w:rFonts w:ascii="Times New Roman" w:hAnsi="Times New Roman"/>
          <w:noProof/>
          <w:sz w:val="24"/>
        </w:rPr>
        <w:t xml:space="preserve">Tämä tapahtuu koheesiopolitiikan ja yhteisen maatalouspolitiikan kaltaisilla yhteisillä politiikoilla. Tämä tapahtuu myös investoimalla fyysiseen infrastruktuuriin, joka tekee Euroopan laajuisista verkoista todellisuutta, ja investoimalla hallinnolliseen infrastruktuuriin, joka luo tarvittavat edellytykset sisämarkkinoiden menestymiselle. </w:t>
      </w:r>
    </w:p>
    <w:p w14:paraId="50FC7F02" w14:textId="4027D67F" w:rsidR="002E340A" w:rsidRPr="005C4743" w:rsidRDefault="001A3FED" w:rsidP="008725CF">
      <w:pPr>
        <w:spacing w:after="240" w:line="240" w:lineRule="auto"/>
        <w:jc w:val="both"/>
        <w:rPr>
          <w:rFonts w:ascii="Times New Roman" w:hAnsi="Times New Roman"/>
          <w:i/>
          <w:noProof/>
          <w:sz w:val="24"/>
        </w:rPr>
      </w:pPr>
      <w:r>
        <w:rPr>
          <w:rFonts w:ascii="Times New Roman" w:hAnsi="Times New Roman"/>
          <w:b/>
          <w:noProof/>
          <w:sz w:val="24"/>
        </w:rPr>
        <w:t xml:space="preserve">Uudella Verkkojen Eurooppa -välineellä rahoitetaan Euroopan laajuisten verkkojen valmiiksi saattamista ja edistetään EU:n puhdasta siirtymää energia- ja liikennealalla. </w:t>
      </w:r>
      <w:r>
        <w:rPr>
          <w:rFonts w:ascii="Times New Roman" w:hAnsi="Times New Roman"/>
          <w:noProof/>
          <w:sz w:val="24"/>
        </w:rPr>
        <w:t xml:space="preserve">Venäjän hyökkäyssota Ukrainaa vastaan ja EU:n tarve irrottautua Venäjän fossiilisista polttoaineista ovat nostaneet esiin todellisen energiaunionin ja pitkälle integroitujen EU:n infrastruktuuriverkkojen äärimmäisen tärkeyden. Keskeisen infrastruktuurin, kuten rajat ylittävien raideliikenneyhteyksien ja sähkönsiirtojohtojen, osalta edistyminen on kuitenkin ollut liian hidasta. Verkkojen Eurooppa -välineellä annetaan uusi sysäys näille keskeisille investoinneille Euroopan häiriönsietokykyyn ja turvallisuuteen muun muassa tukemalla hankkeita unionin heikoimmin verkottuneissa osissa, kuten saarilla ja syrjäisimmillä alueilla. Sen kautta investoidaan rajat ylittäviin siirtojohtoihin ja sähköverkkoihin, rajat ylittäviin liikenneyhteyksiin, merenalaisiin yhteyksiin, uusiutuviin energialähteisiin ja varastointiin sekä vaihtoehtoisten polttoaineiden infrastruktuuriin rajat ylittävissä hankkeissa, mikä tukee unionin ilmastotavoitteita. Välineen avulla rahoitetaan kaksikäyttöisiä sekä siviili- että sotilastarpeita palvelevia liikennehankkeita saumattoman </w:t>
      </w:r>
      <w:r>
        <w:rPr>
          <w:rFonts w:ascii="Times New Roman" w:hAnsi="Times New Roman"/>
          <w:b/>
          <w:noProof/>
          <w:sz w:val="24"/>
        </w:rPr>
        <w:t>sotilaallisen liikkuvuuden</w:t>
      </w:r>
      <w:r>
        <w:rPr>
          <w:rFonts w:ascii="Times New Roman" w:hAnsi="Times New Roman"/>
          <w:noProof/>
          <w:sz w:val="24"/>
        </w:rPr>
        <w:t xml:space="preserve"> mahdollistamiseksi kaikkialla EU:ssa, mikä on edellytys vahvemmalle ja paremmin varautuneelle Euroopan puolustusunionille. </w:t>
      </w:r>
    </w:p>
    <w:p w14:paraId="61B7B590" w14:textId="490A3CB9" w:rsidR="00FC0F82" w:rsidRPr="000D6231" w:rsidRDefault="00615445" w:rsidP="00E2464D">
      <w:pPr>
        <w:spacing w:after="240" w:line="240" w:lineRule="auto"/>
        <w:jc w:val="center"/>
        <w:rPr>
          <w:rFonts w:ascii="Times New Roman" w:hAnsi="Times New Roman" w:cs="Times New Roman"/>
          <w:noProof/>
          <w:sz w:val="24"/>
          <w:szCs w:val="24"/>
        </w:rPr>
      </w:pPr>
      <w:r>
        <w:rPr>
          <w:noProof/>
          <w:lang w:val="en-GB" w:eastAsia="en-GB"/>
        </w:rPr>
        <w:drawing>
          <wp:inline distT="0" distB="0" distL="0" distR="0" wp14:anchorId="28C85468" wp14:editId="130F7CBD">
            <wp:extent cx="4252998" cy="3879273"/>
            <wp:effectExtent l="0" t="0" r="0" b="6985"/>
            <wp:docPr id="1361953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53577" name=""/>
                    <pic:cNvPicPr/>
                  </pic:nvPicPr>
                  <pic:blipFill>
                    <a:blip r:embed="rId23">
                      <a:extLst>
                        <a:ext uri="{28A0092B-C50C-407E-A947-70E740481C1C}">
                          <a14:useLocalDpi xmlns:a14="http://schemas.microsoft.com/office/drawing/2010/main" val="0"/>
                        </a:ext>
                      </a:extLst>
                    </a:blip>
                    <a:stretch>
                      <a:fillRect/>
                    </a:stretch>
                  </pic:blipFill>
                  <pic:spPr>
                    <a:xfrm>
                      <a:off x="0" y="0"/>
                      <a:ext cx="4269631" cy="3894444"/>
                    </a:xfrm>
                    <a:prstGeom prst="rect">
                      <a:avLst/>
                    </a:prstGeom>
                  </pic:spPr>
                </pic:pic>
              </a:graphicData>
            </a:graphic>
          </wp:inline>
        </w:drawing>
      </w:r>
    </w:p>
    <w:p w14:paraId="51843C4D" w14:textId="058DD758" w:rsidR="00660C61" w:rsidRDefault="001A3FED" w:rsidP="00397ED8">
      <w:pPr>
        <w:spacing w:after="240" w:line="240" w:lineRule="auto"/>
        <w:jc w:val="both"/>
        <w:rPr>
          <w:rFonts w:ascii="Times New Roman" w:hAnsi="Times New Roman" w:cs="Times New Roman"/>
          <w:noProof/>
          <w:sz w:val="24"/>
          <w:szCs w:val="24"/>
        </w:rPr>
      </w:pPr>
      <w:r>
        <w:rPr>
          <w:rFonts w:ascii="Times New Roman" w:hAnsi="Times New Roman"/>
          <w:b/>
          <w:noProof/>
          <w:sz w:val="24"/>
        </w:rPr>
        <w:t>Uudessa sisämarkkinaohjelmassa kootaan yhteen EU:n talousarviosta tuettavia toimenpiteitä rajat ylittävien ja maiden välisten esteiden poistamiseksi ja kansallisten hallintojen välisen yhteistyön lisäämiseksi.</w:t>
      </w:r>
      <w:r>
        <w:rPr>
          <w:rFonts w:ascii="Times New Roman" w:hAnsi="Times New Roman"/>
          <w:noProof/>
          <w:sz w:val="24"/>
        </w:rPr>
        <w:t xml:space="preserve"> Ohjelma edistää osaltaan EU:n sisämarkkinalainsäädännön täytäntöönpanoa, kilpailusääntöjen valvontaa, standardointitoimia, kuluttajansuojaa ja tilastoviranomaisten välistä yhteistyötä korkealaatuisten tilastojen alalla kaikkien unionin politiikkojen muotoilun, seurannan ja arvioinnin tueksi. Lisäksi se poistaa EU:n rahoituksen jäljellä olevan hajanaisuuden tällä alalla, jotta voidaan tukea kansallisten hallintojen välistä yhteistyötä ja keventää hallinnollista taakkaa tullitoimen, verotuksen ja petostentorjunnan aloilla, jotka kaikki ovat ratkaisevan tärkeitä sisämarkkinoiden tehokkaan toiminnan kannalta. Se edesauttaa myös EU:n tulliuudistuksen täytäntöönpanoa, kun se on hyväksytty, sekä säästö- ja investointiunionin toteutusta.</w:t>
      </w:r>
    </w:p>
    <w:p w14:paraId="31C8FBFC" w14:textId="19D6CF18" w:rsidR="00404780" w:rsidRPr="000D6231" w:rsidRDefault="008E25C9" w:rsidP="00AA5265">
      <w:pPr>
        <w:spacing w:after="240" w:line="240" w:lineRule="auto"/>
        <w:jc w:val="center"/>
        <w:rPr>
          <w:rFonts w:ascii="Times New Roman" w:hAnsi="Times New Roman" w:cs="Times New Roman"/>
          <w:noProof/>
          <w:sz w:val="24"/>
          <w:szCs w:val="24"/>
        </w:rPr>
      </w:pPr>
      <w:r>
        <w:rPr>
          <w:noProof/>
          <w:lang w:val="en-GB" w:eastAsia="en-GB"/>
        </w:rPr>
        <w:drawing>
          <wp:inline distT="0" distB="0" distL="0" distR="0" wp14:anchorId="60D39765" wp14:editId="5F7764F2">
            <wp:extent cx="5760720" cy="4164330"/>
            <wp:effectExtent l="0" t="0" r="0" b="7620"/>
            <wp:docPr id="620852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52062" name=""/>
                    <pic:cNvPicPr/>
                  </pic:nvPicPr>
                  <pic:blipFill>
                    <a:blip r:embed="rId24">
                      <a:extLst>
                        <a:ext uri="{28A0092B-C50C-407E-A947-70E740481C1C}">
                          <a14:useLocalDpi xmlns:a14="http://schemas.microsoft.com/office/drawing/2010/main" val="0"/>
                        </a:ext>
                      </a:extLst>
                    </a:blip>
                    <a:stretch>
                      <a:fillRect/>
                    </a:stretch>
                  </pic:blipFill>
                  <pic:spPr>
                    <a:xfrm>
                      <a:off x="0" y="0"/>
                      <a:ext cx="5760720" cy="4164330"/>
                    </a:xfrm>
                    <a:prstGeom prst="rect">
                      <a:avLst/>
                    </a:prstGeom>
                  </pic:spPr>
                </pic:pic>
              </a:graphicData>
            </a:graphic>
          </wp:inline>
        </w:drawing>
      </w:r>
    </w:p>
    <w:p w14:paraId="66AAB5F7" w14:textId="77777777" w:rsidR="0065223A" w:rsidRPr="000D6231" w:rsidRDefault="0065223A" w:rsidP="000643DD">
      <w:pPr>
        <w:spacing w:after="240" w:line="240" w:lineRule="auto"/>
        <w:jc w:val="center"/>
        <w:rPr>
          <w:rFonts w:ascii="Times New Roman" w:hAnsi="Times New Roman" w:cs="Times New Roman"/>
          <w:noProof/>
          <w:sz w:val="24"/>
          <w:szCs w:val="24"/>
        </w:rPr>
      </w:pPr>
    </w:p>
    <w:p w14:paraId="590A2698" w14:textId="42FA8229" w:rsidR="00660C61" w:rsidRPr="00404780" w:rsidRDefault="00D92BFD" w:rsidP="64244478">
      <w:pPr>
        <w:pStyle w:val="ListParagraph"/>
        <w:numPr>
          <w:ilvl w:val="0"/>
          <w:numId w:val="35"/>
        </w:numPr>
        <w:spacing w:after="240" w:line="240" w:lineRule="auto"/>
        <w:jc w:val="both"/>
        <w:rPr>
          <w:rFonts w:ascii="Times New Roman" w:hAnsi="Times New Roman" w:cs="Times New Roman"/>
          <w:noProof/>
          <w:sz w:val="24"/>
          <w:szCs w:val="24"/>
        </w:rPr>
      </w:pPr>
      <w:r>
        <w:rPr>
          <w:rFonts w:ascii="Times New Roman" w:hAnsi="Times New Roman"/>
          <w:b/>
          <w:noProof/>
          <w:sz w:val="24"/>
        </w:rPr>
        <w:t>Vahva Eurooppa epävarmassa maailmassa: Globaali Eurooppa -väline</w:t>
      </w:r>
    </w:p>
    <w:p w14:paraId="3CC90FB0" w14:textId="7F02C6F6" w:rsidR="00A145B0" w:rsidRPr="000D6231" w:rsidRDefault="00FC7C34" w:rsidP="003A648E">
      <w:pPr>
        <w:spacing w:after="240" w:line="240" w:lineRule="auto"/>
        <w:jc w:val="center"/>
        <w:rPr>
          <w:rFonts w:ascii="Times New Roman" w:hAnsi="Times New Roman" w:cs="Times New Roman"/>
          <w:b/>
          <w:bCs/>
          <w:noProof/>
          <w:sz w:val="24"/>
          <w:szCs w:val="24"/>
        </w:rPr>
      </w:pPr>
      <w:r>
        <w:rPr>
          <w:noProof/>
          <w:lang w:val="en-GB" w:eastAsia="en-GB"/>
        </w:rPr>
        <w:drawing>
          <wp:inline distT="0" distB="0" distL="0" distR="0" wp14:anchorId="2897D8FC" wp14:editId="2FBA8F8E">
            <wp:extent cx="5911273" cy="3167832"/>
            <wp:effectExtent l="0" t="0" r="0" b="0"/>
            <wp:docPr id="566478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78010" name=""/>
                    <pic:cNvPicPr/>
                  </pic:nvPicPr>
                  <pic:blipFill>
                    <a:blip r:embed="rId25">
                      <a:extLst>
                        <a:ext uri="{28A0092B-C50C-407E-A947-70E740481C1C}">
                          <a14:useLocalDpi xmlns:a14="http://schemas.microsoft.com/office/drawing/2010/main" val="0"/>
                        </a:ext>
                      </a:extLst>
                    </a:blip>
                    <a:stretch>
                      <a:fillRect/>
                    </a:stretch>
                  </pic:blipFill>
                  <pic:spPr>
                    <a:xfrm>
                      <a:off x="0" y="0"/>
                      <a:ext cx="5920655" cy="3172860"/>
                    </a:xfrm>
                    <a:prstGeom prst="rect">
                      <a:avLst/>
                    </a:prstGeom>
                  </pic:spPr>
                </pic:pic>
              </a:graphicData>
            </a:graphic>
          </wp:inline>
        </w:drawing>
      </w:r>
    </w:p>
    <w:p w14:paraId="43D1C5FC" w14:textId="2ACA9C2F" w:rsidR="00A66DA8" w:rsidRPr="00B334AE" w:rsidRDefault="53DB057D" w:rsidP="000643DD">
      <w:pPr>
        <w:pBdr>
          <w:top w:val="single" w:sz="8" w:space="1" w:color="auto"/>
          <w:left w:val="single" w:sz="8" w:space="4" w:color="auto"/>
          <w:bottom w:val="single" w:sz="8" w:space="1" w:color="auto"/>
          <w:right w:val="single" w:sz="8" w:space="4" w:color="auto"/>
        </w:pBdr>
        <w:shd w:val="clear" w:color="auto" w:fill="F2F2F2" w:themeFill="background1" w:themeFillShade="F2"/>
        <w:spacing w:after="240" w:line="240" w:lineRule="auto"/>
        <w:jc w:val="both"/>
        <w:rPr>
          <w:rFonts w:ascii="Times New Roman" w:hAnsi="Times New Roman" w:cs="Times New Roman"/>
          <w:b/>
          <w:bCs/>
          <w:i/>
          <w:iCs/>
          <w:noProof/>
          <w:sz w:val="24"/>
          <w:szCs w:val="24"/>
        </w:rPr>
      </w:pPr>
      <w:r>
        <w:rPr>
          <w:rFonts w:ascii="Times New Roman" w:hAnsi="Times New Roman"/>
          <w:b/>
          <w:i/>
          <w:noProof/>
          <w:sz w:val="24"/>
        </w:rPr>
        <w:t>Globaali Eurooppa -järjestelyllä kanavoidaan EU:n varoja strategisemmin keskeisiin painopisteisiin, räätälöidään tukea Euroopan kumppaneiden tarpeiden ja unionin intressien mukaisesti ja sovitetaan toimia joustavasti paikallisten, alueellisten ja globaalien olosuhteiden muutoksiin. Sillä tullaan myös voimakkaasti tukemaan ehdokasmaita niiden tiellä kohti EU-jäsenyyttä ja edistämään vakautta unionin välittömässä naapurustossa. Globaali Eurooppa jatkaa unionin horjumatonta tukea Ukrainalle ja edesauttaa unionin toimia Lähi-idän konfliktien ja niiden jälkiseurausten kaltaisiin haasteisiin vastaamiseksi.</w:t>
      </w:r>
    </w:p>
    <w:p w14:paraId="408BE582" w14:textId="39D68CA5" w:rsidR="00006096" w:rsidRDefault="00006096" w:rsidP="00105E2C">
      <w:pPr>
        <w:spacing w:after="240" w:line="240" w:lineRule="auto"/>
        <w:jc w:val="both"/>
        <w:rPr>
          <w:rFonts w:ascii="Times New Roman" w:hAnsi="Times New Roman" w:cs="Times New Roman"/>
          <w:noProof/>
          <w:sz w:val="24"/>
          <w:szCs w:val="24"/>
        </w:rPr>
      </w:pPr>
      <w:r>
        <w:rPr>
          <w:rFonts w:ascii="Times New Roman" w:hAnsi="Times New Roman"/>
          <w:b/>
          <w:noProof/>
          <w:sz w:val="24"/>
        </w:rPr>
        <w:t>Maailmanlaajuinen poliittinen ja taloudellinen toimintaympäristö on yhä epävakaampi ja arvaamattomampi</w:t>
      </w:r>
      <w:r>
        <w:rPr>
          <w:rFonts w:ascii="Times New Roman" w:hAnsi="Times New Roman"/>
          <w:noProof/>
          <w:sz w:val="24"/>
        </w:rPr>
        <w:t>. Käynnissä on ja esiin nousee uusia konflikteja, esiintyy epäreilua kilpailua ja kansainvälisten toimijoiden talous- ja geopoliittiset kannat ja näkemykset ovat kärkevämpiä. Muut tekijät, kuten ilmastonmuutos, muuttoliikepaineet ja turvallisuusuhat, aiheuttavat edelleen merkittäviä haasteita EU:lle ja sen kumppaneille kaikkialla maailmassa.</w:t>
      </w:r>
    </w:p>
    <w:p w14:paraId="2BFF4FA0" w14:textId="0CCA0D2B" w:rsidR="001F2B43" w:rsidRDefault="008678A5" w:rsidP="003A648E">
      <w:pPr>
        <w:spacing w:after="240" w:line="240" w:lineRule="auto"/>
        <w:jc w:val="both"/>
        <w:rPr>
          <w:rFonts w:ascii="Times New Roman" w:hAnsi="Times New Roman" w:cs="Times New Roman"/>
          <w:noProof/>
          <w:sz w:val="24"/>
          <w:szCs w:val="24"/>
        </w:rPr>
      </w:pPr>
      <w:r>
        <w:rPr>
          <w:rFonts w:ascii="Times New Roman" w:hAnsi="Times New Roman"/>
          <w:b/>
          <w:noProof/>
          <w:sz w:val="24"/>
        </w:rPr>
        <w:t>Tätä taustaa vasten EU:n on suunniteltava uudelleen ja vahvistettava ulkoisten toimien rahoitustaan seuraavassa rahoituskehyksessä</w:t>
      </w:r>
      <w:r>
        <w:rPr>
          <w:rFonts w:ascii="Times New Roman" w:hAnsi="Times New Roman"/>
          <w:noProof/>
          <w:sz w:val="24"/>
        </w:rPr>
        <w:t>. EU:n ulkoiset toimet on kohdennettava paremmin kumppaneihimme, ja niillä on kyettävä vastaamaan kiireellisiin tarpeisiin paikan päällä. Ulkoisten toimien olisi tuettava unionin strategisia intressejä maailmannäyttämöllä kanavoimalla varoja keskeisiin poliittisiin painopisteisiin ja sovittamalla toimia joustavasti muuttuviin olosuhteisiin. Ttoimien perustana on vahvistettu 200 miljardin euron Globaali Eurooppa -väline. Tästä määrästä 25 miljardia euroa olisi varattava humanitaariseen apuun.</w:t>
      </w:r>
    </w:p>
    <w:p w14:paraId="13FFC924" w14:textId="3A913944" w:rsidR="00CA53CC" w:rsidRDefault="005361F0" w:rsidP="00E2464D">
      <w:pPr>
        <w:spacing w:after="240" w:line="240" w:lineRule="auto"/>
        <w:jc w:val="center"/>
        <w:rPr>
          <w:rFonts w:ascii="Times New Roman" w:hAnsi="Times New Roman" w:cs="Times New Roman"/>
          <w:b/>
          <w:bCs/>
          <w:noProof/>
          <w:sz w:val="24"/>
          <w:szCs w:val="24"/>
        </w:rPr>
      </w:pPr>
      <w:r>
        <w:rPr>
          <w:noProof/>
          <w:lang w:val="en-GB" w:eastAsia="en-GB"/>
        </w:rPr>
        <w:drawing>
          <wp:inline distT="0" distB="0" distL="0" distR="0" wp14:anchorId="704EBC9E" wp14:editId="48E19C2C">
            <wp:extent cx="5760720" cy="5160645"/>
            <wp:effectExtent l="0" t="0" r="0" b="1905"/>
            <wp:docPr id="1887881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81057" name=""/>
                    <pic:cNvPicPr/>
                  </pic:nvPicPr>
                  <pic:blipFill>
                    <a:blip r:embed="rId26">
                      <a:extLst>
                        <a:ext uri="{28A0092B-C50C-407E-A947-70E740481C1C}">
                          <a14:useLocalDpi xmlns:a14="http://schemas.microsoft.com/office/drawing/2010/main" val="0"/>
                        </a:ext>
                      </a:extLst>
                    </a:blip>
                    <a:stretch>
                      <a:fillRect/>
                    </a:stretch>
                  </pic:blipFill>
                  <pic:spPr>
                    <a:xfrm>
                      <a:off x="0" y="0"/>
                      <a:ext cx="5760720" cy="5160645"/>
                    </a:xfrm>
                    <a:prstGeom prst="rect">
                      <a:avLst/>
                    </a:prstGeom>
                  </pic:spPr>
                </pic:pic>
              </a:graphicData>
            </a:graphic>
          </wp:inline>
        </w:drawing>
      </w:r>
    </w:p>
    <w:p w14:paraId="5B4DE22D" w14:textId="28CA9D57" w:rsidR="00FA6D39" w:rsidRPr="00FA6D39" w:rsidRDefault="0003470F" w:rsidP="00AA2676">
      <w:pPr>
        <w:spacing w:after="240" w:line="240" w:lineRule="auto"/>
        <w:jc w:val="both"/>
        <w:rPr>
          <w:rFonts w:ascii="Times New Roman" w:hAnsi="Times New Roman" w:cs="Times New Roman"/>
          <w:noProof/>
          <w:sz w:val="24"/>
          <w:szCs w:val="24"/>
        </w:rPr>
      </w:pPr>
      <w:r>
        <w:rPr>
          <w:rFonts w:ascii="Times New Roman" w:hAnsi="Times New Roman"/>
          <w:b/>
          <w:noProof/>
          <w:sz w:val="24"/>
        </w:rPr>
        <w:t>Uusi Globaali Eurooppa optimoi, lujittaa ja sujuvoittaa EU:n ulkoisen toiminnan rahoitusta seuraavassa pitkän aikavälin talousarviossa</w:t>
      </w:r>
      <w:r>
        <w:rPr>
          <w:rFonts w:ascii="Times New Roman" w:hAnsi="Times New Roman"/>
          <w:noProof/>
          <w:sz w:val="24"/>
        </w:rPr>
        <w:t>. Kullakin maantieteellisellä makroalueella on alustava määräraha. Näin varmistetaan ennustettavuus unionin kumppaneiden kannalta. Tämän lisäksi välineessä on joustovaraa, jonka turvin varoja voidaan kohdentaa uudelleen eri määrärahakokonaisuuksien välillä ja kohdentamattomia kokonaisvarantoja voidaan ottaa käyttöön esiin nousevia uusia tarpeita ja uusia painopisteitä varten. Globaali Eurooppa -järjestely sisältää myös yleistason osion toimille, jotka ovat ulottuvuudeltaan lähtökohtaisesti maailmanlaajuisia. Osioon sisältyy esimerkiksi eri aloitteiden rahoitus kansainvälisten järjestöjen, kuten Yhdistyneiden kansakuntien, kautta sekä rahoitus terrorismin torjunnan, globaalin terveyden, kyberturvallisuuden, ulkomaisen tiedonmanipuloinnin, häirinnän ja disinformaation ja kansainvälisen ilmasto- ja valtamerihallinnon kaltaisilla aloilla.</w:t>
      </w:r>
    </w:p>
    <w:p w14:paraId="66DB8EFF" w14:textId="7C5E4AED" w:rsidR="00A66DA8" w:rsidRDefault="00057FF2" w:rsidP="003A648E">
      <w:pPr>
        <w:spacing w:after="240" w:line="240" w:lineRule="auto"/>
        <w:jc w:val="both"/>
        <w:rPr>
          <w:rFonts w:ascii="Times New Roman" w:hAnsi="Times New Roman" w:cs="Times New Roman"/>
          <w:noProof/>
          <w:sz w:val="24"/>
          <w:szCs w:val="24"/>
        </w:rPr>
      </w:pPr>
      <w:r>
        <w:rPr>
          <w:rFonts w:ascii="Times New Roman" w:hAnsi="Times New Roman"/>
          <w:b/>
          <w:noProof/>
          <w:sz w:val="24"/>
        </w:rPr>
        <w:t xml:space="preserve">Koko ulkoisen toiminnan keinovalikoima on käytettävissä EU:n tuen kohdentamiseksi kullekin makroalueelle. </w:t>
      </w:r>
      <w:r>
        <w:rPr>
          <w:rFonts w:ascii="Times New Roman" w:hAnsi="Times New Roman"/>
          <w:noProof/>
          <w:sz w:val="24"/>
        </w:rPr>
        <w:t>Globaali Eurooppa sisältää monivuotisia yhteistyöohjelmia kumppaneiden kanssa sekä toimia, jotka eivät luonteensa vuoksi ole sidottavissa ohjelmiin. Tällaiset toimet liittyvät esimerkiksi humanitaariseen apuun</w:t>
      </w:r>
      <w:r>
        <w:rPr>
          <w:rStyle w:val="FootnoteReference"/>
          <w:rFonts w:ascii="Times New Roman" w:hAnsi="Times New Roman" w:cs="Times New Roman"/>
          <w:noProof/>
          <w:sz w:val="24"/>
          <w:szCs w:val="24"/>
        </w:rPr>
        <w:footnoteReference w:id="12"/>
      </w:r>
      <w:r>
        <w:rPr>
          <w:rFonts w:ascii="Times New Roman" w:hAnsi="Times New Roman"/>
          <w:noProof/>
          <w:sz w:val="24"/>
        </w:rPr>
        <w:t xml:space="preserve"> sekä kriiseihin puuttumiseen, rauhan turvaamiseen ja ulkopoliittisiin tarpeisiin. Lisäksi se tarjoaa apua, jolle on asetettu uudistuksiin ja investointeihin liittyviä ehtoja. Globaali Eurooppa -järjestelyn avulla EU voi käyttää politiikan eri keinoja oikeanlaisena yhdistelmänä, joka on suunniteltu vastaamaan mahdollisimman tuloksellisesti muuttuviin ulkopoliittisiin tavoitteisiin ja EU:n kumppaneiden erityistarpeisiin. </w:t>
      </w:r>
    </w:p>
    <w:p w14:paraId="49DD6D1A" w14:textId="486D66A5" w:rsidR="00EC5127" w:rsidRPr="00C92B86" w:rsidRDefault="00EC5127" w:rsidP="003A648E">
      <w:pPr>
        <w:spacing w:after="240" w:line="240" w:lineRule="auto"/>
        <w:jc w:val="both"/>
        <w:rPr>
          <w:rFonts w:ascii="Times New Roman" w:hAnsi="Times New Roman" w:cs="Times New Roman"/>
          <w:noProof/>
          <w:sz w:val="24"/>
          <w:szCs w:val="24"/>
        </w:rPr>
      </w:pPr>
      <w:r>
        <w:rPr>
          <w:rFonts w:ascii="Times New Roman" w:hAnsi="Times New Roman"/>
          <w:b/>
          <w:noProof/>
          <w:sz w:val="24"/>
        </w:rPr>
        <w:t>EU tarjoaa kattavia ja molempia osapuolia hyödyttäviä kumppanuuspaketteja, jotta ulkoisen toiminnan rahoitusta voitaisiin käyttää tuloksellisemmin ja kohdennetummin.</w:t>
      </w:r>
      <w:r>
        <w:rPr>
          <w:rFonts w:ascii="Times New Roman" w:hAnsi="Times New Roman"/>
          <w:noProof/>
          <w:sz w:val="24"/>
        </w:rPr>
        <w:t xml:space="preserve"> Kumppanuuspaketit räätälöidään kullekin kumppanille tai alueelle, ja niissä hyödynnetään kulloinkin sopivimpia politiikan keinoja, jotta voidaan maksimoida EU:n vaikutus paikan päällä, suojata EU:n strategisia intressejä ja parantaa EU:n ulkoisen toiminnan näkyvyyttä ja ymmärrystä siitä. Kumppanuuspaketit edistävät </w:t>
      </w:r>
      <w:r>
        <w:rPr>
          <w:rFonts w:ascii="Times New Roman" w:hAnsi="Times New Roman"/>
          <w:b/>
          <w:noProof/>
          <w:sz w:val="24"/>
        </w:rPr>
        <w:t>uutta Euroopan ulkoista talouspolitiikkaa</w:t>
      </w:r>
      <w:r>
        <w:rPr>
          <w:rFonts w:ascii="Times New Roman" w:hAnsi="Times New Roman"/>
          <w:noProof/>
          <w:sz w:val="24"/>
        </w:rPr>
        <w:t xml:space="preserve"> ja vahvistavat edunsaajien mukautumista EU:n sisäisiin painopisteisiin, kuten taloudelliseen turvallisuuteen, kauppaan ja kilpailukykyyn, energiaturvallisuuteen ja hiilestä irtautumiseen, elintarviketurvaan, muuttoliikkeen hallintaan, liikenneyhteyksiin, ilmaston ja ympäristön suojeluun, uusiutuvan energian tuotantoon, luotettujen palveluntarjoajien ja laitetoimittajien mahdollistamaan yhteenliitettävyyteen ja kriittisten raaka-aineiden saatavuuteen. </w:t>
      </w:r>
    </w:p>
    <w:p w14:paraId="7A4B9CEC" w14:textId="289EE645" w:rsidR="00D97ECE" w:rsidRPr="005C4743" w:rsidRDefault="005C2C91" w:rsidP="00552B33">
      <w:pPr>
        <w:spacing w:after="240" w:line="240" w:lineRule="auto"/>
        <w:jc w:val="both"/>
        <w:rPr>
          <w:rFonts w:ascii="Times New Roman" w:hAnsi="Times New Roman"/>
          <w:noProof/>
          <w:sz w:val="24"/>
        </w:rPr>
      </w:pPr>
      <w:r>
        <w:rPr>
          <w:rFonts w:ascii="Times New Roman" w:hAnsi="Times New Roman"/>
          <w:b/>
          <w:noProof/>
          <w:sz w:val="24"/>
        </w:rPr>
        <w:t>Laajentuminen on poliittinen ja geostrateginen välttämättömyys</w:t>
      </w:r>
      <w:r>
        <w:rPr>
          <w:rFonts w:ascii="Times New Roman" w:hAnsi="Times New Roman"/>
          <w:noProof/>
          <w:sz w:val="24"/>
        </w:rPr>
        <w:t>. Kaksikymmentä vuotta EU:n historian suurimman laajentumisen jälkeen laajentuminen on edelleen keskeinen investointi pitkän aikavälin turvallisuuteen, rauhaan, vakauteen ja kestävään vaurauteen Euroopassa. Venäjän hyökkäyssota Ukrainaa vastaan on osoittanut Euroopan yhdentymisen tärkeyden ja sen, että maailmanlaajuisiin haasteisiin vastaamiseksi tarvitaan laajempi ja vahvempi unioni. Unioni on syvästi sitoutunut työskentelemään ehdokasmaiden ja mahdollisten ehdokasmaiden kanssa niiden valmistautuessa liittymiseen kunnioittaen kaikilta osin ansioihin perustuvaa prosessia ja näiden maiden vankkaa vakuuttuneisuutta siitä, että niiden tulevaisuus on Euroopan unionissa. Globaali Eurooppa tarjoaa olennaista taloudellista ja toimintapoliittista tukea, jolla autetaan ehdokasmaita ja mahdollisia ehdokasmaita etenemään tällä tiellä.</w:t>
      </w:r>
    </w:p>
    <w:p w14:paraId="3774AB2F" w14:textId="3CA0BD76" w:rsidR="00A66DA8" w:rsidRDefault="00A66DA8" w:rsidP="003A648E">
      <w:pPr>
        <w:spacing w:after="240" w:line="240" w:lineRule="auto"/>
        <w:jc w:val="both"/>
        <w:rPr>
          <w:rFonts w:ascii="Times New Roman" w:hAnsi="Times New Roman" w:cs="Times New Roman"/>
          <w:b/>
          <w:bCs/>
          <w:noProof/>
          <w:sz w:val="24"/>
          <w:szCs w:val="24"/>
        </w:rPr>
      </w:pPr>
      <w:r>
        <w:rPr>
          <w:rFonts w:ascii="Times New Roman" w:hAnsi="Times New Roman"/>
          <w:b/>
          <w:noProof/>
          <w:sz w:val="24"/>
        </w:rPr>
        <w:t xml:space="preserve">EU tukee Ukrainaa niin kauan kuin on tarpeen. </w:t>
      </w:r>
      <w:r>
        <w:rPr>
          <w:rFonts w:ascii="Times New Roman" w:hAnsi="Times New Roman"/>
          <w:noProof/>
          <w:sz w:val="24"/>
        </w:rPr>
        <w:t>EU tulee tukemaan Ukrainaa liittymisprosessista aina pitkän aikavälin jälleenrakennukseen saakka.</w:t>
      </w:r>
      <w:r>
        <w:rPr>
          <w:rFonts w:ascii="Times New Roman" w:hAnsi="Times New Roman"/>
          <w:b/>
          <w:noProof/>
          <w:sz w:val="24"/>
        </w:rPr>
        <w:t xml:space="preserve"> </w:t>
      </w:r>
      <w:r>
        <w:rPr>
          <w:rFonts w:ascii="Times New Roman" w:hAnsi="Times New Roman"/>
          <w:noProof/>
          <w:sz w:val="24"/>
        </w:rPr>
        <w:t>Tähän tukeen sisältyy lainoja, jotka rahoitetaan EU:n talousarvion liikkumavaralla taatulla EU:n yhteisellä lainanotolla. Ukrainalle annettava tuki toteutetaan Globaali Eurooppa -järjestelyn maantieteellisen osion puitteissa. Tarpeiden laajuuden ja epävarmuuden vuoksi rahoitus tulee rahoituskehyksen enimmäismäärät ylittävästä erityisvarauksesta.</w:t>
      </w:r>
    </w:p>
    <w:p w14:paraId="40E28AE6" w14:textId="4D6B1C13" w:rsidR="00067439" w:rsidRPr="00067439" w:rsidRDefault="00A66DA8" w:rsidP="003A648E">
      <w:pPr>
        <w:spacing w:after="240" w:line="240" w:lineRule="auto"/>
        <w:jc w:val="both"/>
        <w:rPr>
          <w:rFonts w:ascii="Times New Roman" w:hAnsi="Times New Roman" w:cs="Times New Roman"/>
          <w:b/>
          <w:bCs/>
          <w:noProof/>
          <w:sz w:val="24"/>
          <w:szCs w:val="24"/>
        </w:rPr>
      </w:pPr>
      <w:r>
        <w:rPr>
          <w:rFonts w:ascii="Times New Roman" w:hAnsi="Times New Roman"/>
          <w:b/>
          <w:noProof/>
          <w:sz w:val="24"/>
        </w:rPr>
        <w:t>Globaali Eurooppa -järjestelyä täydennetään muun tyyppisillä EU:n ulkoisilla toimilla</w:t>
      </w:r>
      <w:r>
        <w:rPr>
          <w:rFonts w:ascii="Times New Roman" w:hAnsi="Times New Roman"/>
          <w:noProof/>
          <w:sz w:val="24"/>
        </w:rPr>
        <w:t>, jotka oikeudellisista syistä on rahoitettava erillisistä ohjelmista.</w:t>
      </w:r>
      <w:r>
        <w:rPr>
          <w:rFonts w:ascii="Times New Roman" w:hAnsi="Times New Roman"/>
          <w:b/>
          <w:noProof/>
          <w:sz w:val="24"/>
        </w:rPr>
        <w:t xml:space="preserve"> </w:t>
      </w:r>
      <w:r>
        <w:rPr>
          <w:rFonts w:ascii="Times New Roman" w:hAnsi="Times New Roman"/>
          <w:noProof/>
          <w:sz w:val="24"/>
        </w:rPr>
        <w:t>EU:n seuraavassa pitkän aikavälin talousarviossa lisätään tukea merentakaisille maille ja alueille</w:t>
      </w:r>
      <w:r w:rsidR="00C0520C">
        <w:rPr>
          <w:rStyle w:val="FootnoteReference"/>
          <w:rFonts w:ascii="Times New Roman" w:hAnsi="Times New Roman" w:cs="Times New Roman"/>
          <w:noProof/>
          <w:sz w:val="24"/>
          <w:szCs w:val="24"/>
        </w:rPr>
        <w:footnoteReference w:id="13"/>
      </w:r>
      <w:r>
        <w:rPr>
          <w:rFonts w:ascii="Times New Roman" w:hAnsi="Times New Roman"/>
          <w:noProof/>
          <w:sz w:val="24"/>
        </w:rPr>
        <w:t xml:space="preserve"> ja jatketaan yhteisen ulko- ja turvallisuuspolitiikan toimien rahoittamista.</w:t>
      </w:r>
      <w:r>
        <w:rPr>
          <w:rFonts w:ascii="Times New Roman" w:hAnsi="Times New Roman"/>
          <w:b/>
          <w:noProof/>
          <w:sz w:val="24"/>
        </w:rPr>
        <w:t xml:space="preserve">  </w:t>
      </w:r>
    </w:p>
    <w:p w14:paraId="29B1A6DC" w14:textId="77777777" w:rsidR="00660C61" w:rsidRPr="000D6231" w:rsidRDefault="00660C61" w:rsidP="003A648E">
      <w:pPr>
        <w:spacing w:after="240" w:line="240" w:lineRule="auto"/>
        <w:jc w:val="both"/>
        <w:rPr>
          <w:rFonts w:ascii="Times New Roman" w:hAnsi="Times New Roman" w:cs="Times New Roman"/>
          <w:noProof/>
          <w:sz w:val="24"/>
          <w:szCs w:val="24"/>
          <w:highlight w:val="yellow"/>
        </w:rPr>
      </w:pPr>
    </w:p>
    <w:p w14:paraId="440CCAE0" w14:textId="2120D9A6" w:rsidR="00BD523E" w:rsidRPr="00FC4062" w:rsidRDefault="00660C61" w:rsidP="003A648E">
      <w:pPr>
        <w:pStyle w:val="ListParagraph"/>
        <w:numPr>
          <w:ilvl w:val="0"/>
          <w:numId w:val="35"/>
        </w:numPr>
        <w:spacing w:after="240" w:line="240" w:lineRule="auto"/>
        <w:contextualSpacing w:val="0"/>
        <w:jc w:val="both"/>
        <w:rPr>
          <w:rFonts w:ascii="Times New Roman" w:hAnsi="Times New Roman" w:cs="Times New Roman"/>
          <w:noProof/>
          <w:sz w:val="24"/>
          <w:szCs w:val="24"/>
        </w:rPr>
      </w:pPr>
      <w:r>
        <w:rPr>
          <w:rFonts w:ascii="Times New Roman" w:hAnsi="Times New Roman"/>
          <w:b/>
          <w:noProof/>
          <w:sz w:val="24"/>
        </w:rPr>
        <w:t>INVESTOINTI KOULUTUKSEEN, DEMOKRATIAAN JA EUROOPPALAISIIN ARVOIHIN</w:t>
      </w:r>
    </w:p>
    <w:p w14:paraId="1D414D00" w14:textId="5DFF2BBF" w:rsidR="00BC295F" w:rsidRPr="006A444D" w:rsidRDefault="00D31A03" w:rsidP="006A444D">
      <w:pPr>
        <w:spacing w:after="240" w:line="240" w:lineRule="auto"/>
        <w:jc w:val="both"/>
        <w:rPr>
          <w:rFonts w:ascii="Times New Roman" w:hAnsi="Times New Roman" w:cs="Times New Roman"/>
          <w:noProof/>
          <w:sz w:val="24"/>
          <w:szCs w:val="24"/>
        </w:rPr>
      </w:pPr>
      <w:r>
        <w:rPr>
          <w:noProof/>
          <w:lang w:val="en-GB" w:eastAsia="en-GB"/>
        </w:rPr>
        <w:drawing>
          <wp:inline distT="0" distB="0" distL="0" distR="0" wp14:anchorId="213E2172" wp14:editId="59B54131">
            <wp:extent cx="5760720" cy="2520315"/>
            <wp:effectExtent l="0" t="0" r="0" b="0"/>
            <wp:docPr id="131868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82765"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2520315"/>
                    </a:xfrm>
                    <a:prstGeom prst="rect">
                      <a:avLst/>
                    </a:prstGeom>
                  </pic:spPr>
                </pic:pic>
              </a:graphicData>
            </a:graphic>
          </wp:inline>
        </w:drawing>
      </w:r>
    </w:p>
    <w:p w14:paraId="2BBB3B06" w14:textId="4A91BBCE" w:rsidR="002A553F" w:rsidRPr="00B334AE" w:rsidRDefault="0E7E970B" w:rsidP="000643DD">
      <w:pPr>
        <w:pBdr>
          <w:top w:val="single" w:sz="8" w:space="1" w:color="auto"/>
          <w:left w:val="single" w:sz="8" w:space="4" w:color="auto"/>
          <w:bottom w:val="single" w:sz="8" w:space="1" w:color="auto"/>
          <w:right w:val="single" w:sz="8" w:space="4" w:color="auto"/>
        </w:pBdr>
        <w:shd w:val="clear" w:color="auto" w:fill="F2F2F2" w:themeFill="background1" w:themeFillShade="F2"/>
        <w:spacing w:after="240" w:line="240" w:lineRule="auto"/>
        <w:jc w:val="both"/>
        <w:rPr>
          <w:rFonts w:ascii="Times New Roman" w:hAnsi="Times New Roman" w:cs="Times New Roman"/>
          <w:b/>
          <w:bCs/>
          <w:i/>
          <w:iCs/>
          <w:noProof/>
          <w:sz w:val="24"/>
          <w:szCs w:val="24"/>
        </w:rPr>
      </w:pPr>
      <w:r>
        <w:rPr>
          <w:rFonts w:ascii="Times New Roman" w:hAnsi="Times New Roman"/>
          <w:b/>
          <w:i/>
          <w:noProof/>
          <w:sz w:val="24"/>
        </w:rPr>
        <w:t>EU:n uusi pitkän aikavälin talousarvio hyödyttää kaikkia eurooppalaisia. Sillä lisätään investointeja koulutukseen ja osaamiseen, jotta voidaan auttaa EU:n opiskelijoita ja työntekijöitä hyödyntämään mahdollisuuksia EU:ssa. Talousarvion avulla jatketaan Euroopan kulttuurisen monimuotoisuuden, demokraattisten arvojen ja vapauksien edistämistä. Se perustana on unionia määrittävien oikeuksien ja arvojen kunnioittaminen.</w:t>
      </w:r>
    </w:p>
    <w:p w14:paraId="4A0E40FE" w14:textId="578D3626" w:rsidR="003165E7" w:rsidRDefault="00C75004" w:rsidP="00105E2C">
      <w:pPr>
        <w:spacing w:after="240" w:line="240" w:lineRule="auto"/>
        <w:jc w:val="both"/>
        <w:rPr>
          <w:rFonts w:ascii="Times New Roman" w:hAnsi="Times New Roman" w:cs="Times New Roman"/>
          <w:b/>
          <w:bCs/>
          <w:noProof/>
          <w:sz w:val="24"/>
          <w:szCs w:val="24"/>
        </w:rPr>
      </w:pPr>
      <w:r>
        <w:rPr>
          <w:rFonts w:ascii="Times New Roman" w:hAnsi="Times New Roman"/>
          <w:b/>
          <w:noProof/>
          <w:sz w:val="24"/>
        </w:rPr>
        <w:t>Koulutuksen, kulttuurin, median ja demokraattisten arvojen tukeminen on investointi yhteiseen tulevaisuuteen.</w:t>
      </w:r>
      <w:r>
        <w:rPr>
          <w:rFonts w:ascii="Times New Roman" w:hAnsi="Times New Roman"/>
          <w:noProof/>
          <w:sz w:val="24"/>
        </w:rPr>
        <w:t xml:space="preserve"> EU:n talousarviolla ja siihen sisältyvillä ohjelmilla on ollut keskeinen rooli näiden osa-alueiden tukemisessa.</w:t>
      </w:r>
      <w:r>
        <w:rPr>
          <w:rFonts w:ascii="Times New Roman" w:hAnsi="Times New Roman"/>
          <w:b/>
          <w:noProof/>
          <w:sz w:val="24"/>
        </w:rPr>
        <w:t xml:space="preserve"> </w:t>
      </w:r>
      <w:r>
        <w:rPr>
          <w:rFonts w:ascii="Times New Roman" w:hAnsi="Times New Roman"/>
          <w:noProof/>
          <w:sz w:val="24"/>
        </w:rPr>
        <w:t>Sen avulla edistetään kansainvälistä yhteistyötä osaamisen kehittämiseksi, tuetaan ja vaalitaan EU:n kansalaisuusidentiteettiä ja keskinäistä ymmärrystä edistämällä EU:n arvoja, tukemalla demokraattista ja yhteiskunnallista selviytymiskykyä, kulttuurista vuorovaikutusta, finanssiosaamista ja luotettavaa informaatioympäristöä.</w:t>
      </w:r>
    </w:p>
    <w:p w14:paraId="3981E6CF" w14:textId="1B7BE6D6" w:rsidR="00B17450" w:rsidRDefault="00FD7A4C" w:rsidP="00E2464D">
      <w:pPr>
        <w:spacing w:after="240" w:line="240" w:lineRule="auto"/>
        <w:jc w:val="center"/>
        <w:rPr>
          <w:rFonts w:ascii="Times New Roman" w:hAnsi="Times New Roman" w:cs="Times New Roman"/>
          <w:noProof/>
          <w:sz w:val="24"/>
          <w:szCs w:val="24"/>
        </w:rPr>
      </w:pPr>
      <w:r>
        <w:rPr>
          <w:noProof/>
          <w:lang w:val="en-GB" w:eastAsia="en-GB"/>
        </w:rPr>
        <mc:AlternateContent>
          <mc:Choice Requires="wps">
            <w:drawing>
              <wp:anchor distT="0" distB="0" distL="114300" distR="114300" simplePos="0" relativeHeight="251658240" behindDoc="0" locked="0" layoutInCell="1" allowOverlap="1" wp14:anchorId="28FE2B13" wp14:editId="505023DC">
                <wp:simplePos x="0" y="0"/>
                <wp:positionH relativeFrom="column">
                  <wp:posOffset>1790700</wp:posOffset>
                </wp:positionH>
                <wp:positionV relativeFrom="paragraph">
                  <wp:posOffset>2145665</wp:posOffset>
                </wp:positionV>
                <wp:extent cx="348581" cy="360000"/>
                <wp:effectExtent l="0" t="0" r="0" b="2540"/>
                <wp:wrapNone/>
                <wp:docPr id="12" name="Oval 8">
                  <a:extLst xmlns:a="http://schemas.openxmlformats.org/drawingml/2006/main">
                    <a:ext uri="{FF2B5EF4-FFF2-40B4-BE49-F238E27FC236}">
                      <a16:creationId xmlns:a16="http://schemas.microsoft.com/office/drawing/2014/main" id="{00000000-0008-0000-0D00-00000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8581" cy="360000"/>
                        </a:xfrm>
                        <a:prstGeom prst="ellipse">
                          <a:avLst/>
                        </a:prstGeom>
                        <a:solidFill>
                          <a:srgbClr val="003399"/>
                        </a:solidFill>
                        <a:ln w="12700" cap="flat" cmpd="sng" algn="ctr">
                          <a:noFill/>
                          <a:prstDash val="solid"/>
                          <a:miter lim="800000"/>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BBBCB10" w14:textId="77777777" w:rsidR="00FD7A4C" w:rsidRPr="000643DD" w:rsidRDefault="00FD7A4C" w:rsidP="00FD7A4C">
                            <w:pPr>
                              <w:spacing w:after="160" w:line="256" w:lineRule="auto"/>
                              <w:jc w:val="center"/>
                              <w:rPr>
                                <w:rFonts w:ascii="EC Square Sans Pro" w:eastAsia="Calibri" w:hAnsi="EC Square Sans Pro"/>
                                <w:b/>
                                <w:bCs/>
                                <w:color w:val="FFFFFF"/>
                                <w:sz w:val="14"/>
                                <w:szCs w:val="14"/>
                                <w14:ligatures w14:val="none"/>
                              </w:rPr>
                            </w:pPr>
                            <w:r>
                              <w:rPr>
                                <w:rFonts w:ascii="EC Square Sans Pro" w:hAnsi="EC Square Sans Pro"/>
                                <w:b/>
                                <w:color w:val="FFFFFF"/>
                                <w:sz w:val="14"/>
                              </w:rPr>
                              <w:t>x1.5</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oval w14:anchorId="28FE2B13" id="Oval 8" o:spid="_x0000_s1026" style="position:absolute;left:0;text-align:left;margin-left:141pt;margin-top:168.95pt;width:27.4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" fillcolor="#039" stroked="f" strokeweight="1pt">
                <v:stroke joinstyle="miter"/>
                <v:path arrowok="t"/>
                <o:lock v:ext="edit" aspectratio="t"/>
                <v:textbox inset="0,0,0,0">
                  <w:txbxContent>
                    <w:p w14:paraId="6BBBCB10" w14:textId="77777777" w:rsidR="00FD7A4C" w:rsidRPr="000643DD" w:rsidRDefault="00FD7A4C" w:rsidP="00FD7A4C">
                      <w:pPr>
                        <w:spacing w:after="160" w:line="256" w:lineRule="auto"/>
                        <w:jc w:val="center"/>
                        <w:rPr>
                          <w:rFonts w:ascii="EC Square Sans Pro" w:eastAsia="Calibri" w:hAnsi="EC Square Sans Pro"/>
                          <w:b/>
                          <w:bCs/>
                          <w:color w:val="FFFFFF"/>
                          <w:sz w:val="14"/>
                          <w:szCs w:val="14"/>
                          <w14:ligatures w14:val="none"/>
                        </w:rPr>
                      </w:pPr>
                      <w:r>
                        <w:rPr>
                          <w:rFonts w:ascii="EC Square Sans Pro" w:hAnsi="EC Square Sans Pro"/>
                          <w:b/>
                          <w:color w:val="FFFFFF"/>
                          <w:sz w:val="14"/>
                        </w:rPr>
                        <w:t>x1.5</w:t>
                      </w:r>
                    </w:p>
                  </w:txbxContent>
                </v:textbox>
              </v:oval>
            </w:pict>
          </mc:Fallback>
        </mc:AlternateContent>
      </w:r>
      <w:r w:rsidR="00BF4190">
        <w:rPr>
          <w:noProof/>
          <w:lang w:val="en-GB" w:eastAsia="en-GB"/>
        </w:rPr>
        <w:drawing>
          <wp:inline distT="0" distB="0" distL="0" distR="0" wp14:anchorId="7B536772" wp14:editId="5EE13E88">
            <wp:extent cx="5760720" cy="3264535"/>
            <wp:effectExtent l="0" t="0" r="0" b="0"/>
            <wp:docPr id="471992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92537" name=""/>
                    <pic:cNvPicPr/>
                  </pic:nvPicPr>
                  <pic:blipFill>
                    <a:blip r:embed="rId28">
                      <a:extLst>
                        <a:ext uri="{28A0092B-C50C-407E-A947-70E740481C1C}">
                          <a14:useLocalDpi xmlns:a14="http://schemas.microsoft.com/office/drawing/2010/main" val="0"/>
                        </a:ext>
                      </a:extLst>
                    </a:blip>
                    <a:stretch>
                      <a:fillRect/>
                    </a:stretch>
                  </pic:blipFill>
                  <pic:spPr>
                    <a:xfrm>
                      <a:off x="0" y="0"/>
                      <a:ext cx="5760720" cy="3264535"/>
                    </a:xfrm>
                    <a:prstGeom prst="rect">
                      <a:avLst/>
                    </a:prstGeom>
                  </pic:spPr>
                </pic:pic>
              </a:graphicData>
            </a:graphic>
          </wp:inline>
        </w:drawing>
      </w:r>
    </w:p>
    <w:p w14:paraId="333F6FBD" w14:textId="7DF280B1" w:rsidR="000204F0" w:rsidRDefault="005A20F9" w:rsidP="003A648E">
      <w:pPr>
        <w:spacing w:after="240" w:line="240" w:lineRule="auto"/>
        <w:jc w:val="both"/>
        <w:rPr>
          <w:rFonts w:ascii="Times New Roman" w:hAnsi="Times New Roman" w:cs="Times New Roman"/>
          <w:noProof/>
          <w:sz w:val="24"/>
          <w:szCs w:val="24"/>
        </w:rPr>
      </w:pPr>
      <w:r>
        <w:rPr>
          <w:rFonts w:ascii="Times New Roman" w:hAnsi="Times New Roman"/>
          <w:b/>
          <w:noProof/>
          <w:sz w:val="24"/>
        </w:rPr>
        <w:t xml:space="preserve">Erasmus+-ohjelmaa – jossa yhdistyvät nykyinen Erasmus+ ja Euroopan solidaarisuusjoukot – vahvistetaan, sillä se on yksi merkittävimmistä EU:n ohjelmista. </w:t>
      </w:r>
      <w:r>
        <w:rPr>
          <w:rFonts w:ascii="Times New Roman" w:hAnsi="Times New Roman"/>
          <w:noProof/>
          <w:sz w:val="24"/>
        </w:rPr>
        <w:t>Erasmus+-ohjelmalla tuetaan edelleen laadukasta koulutustoimintaa</w:t>
      </w:r>
      <w:r>
        <w:rPr>
          <w:noProof/>
        </w:rPr>
        <w:t xml:space="preserve"> </w:t>
      </w:r>
      <w:r>
        <w:rPr>
          <w:rFonts w:ascii="Times New Roman" w:hAnsi="Times New Roman"/>
          <w:noProof/>
          <w:sz w:val="24"/>
        </w:rPr>
        <w:t xml:space="preserve">sekä nuorten oppimiseen liittyvää liikkuvuutta taitojen kehittämiseksi ja yhteisten kokemusten luomiseksi. Erasmus+-ohjelmalla investoidaan </w:t>
      </w:r>
      <w:r>
        <w:rPr>
          <w:rFonts w:ascii="Times New Roman" w:hAnsi="Times New Roman"/>
          <w:b/>
          <w:noProof/>
          <w:sz w:val="24"/>
        </w:rPr>
        <w:t>nuoriin, vapaaehtoistoimintaan ja urheiluun</w:t>
      </w:r>
      <w:r>
        <w:rPr>
          <w:rFonts w:ascii="Times New Roman" w:hAnsi="Times New Roman"/>
          <w:noProof/>
          <w:sz w:val="24"/>
        </w:rPr>
        <w:t xml:space="preserve"> ja autetaan rakentamaan vahvempia ja verkottuneempia yhteiskuntia, kannustetaan kansalaisvaikuttamiseen ja demokraattiseen osallistumiseen ja edistetään sosiaalista yhteenkuuluvuutta kaikilla tasoilla. Myös kansallisilla ja alueellisilla kumppanuussuunnitelmilla tuetaan voimakkaasti uudistuksia ja investointeja, joilla kehitetään osaamista ja siihen liittyvää sosiaalista infrastruktuuria täysin maakohtaisten suositusten mukaisesti. </w:t>
      </w:r>
    </w:p>
    <w:p w14:paraId="511CFF0B" w14:textId="56AA36E3" w:rsidR="003B5D02" w:rsidRDefault="7ED90214" w:rsidP="00105E2C">
      <w:pPr>
        <w:spacing w:after="240" w:line="240" w:lineRule="auto"/>
        <w:jc w:val="both"/>
        <w:rPr>
          <w:rFonts w:ascii="Times New Roman" w:hAnsi="Times New Roman" w:cs="Times New Roman"/>
          <w:noProof/>
          <w:sz w:val="24"/>
          <w:szCs w:val="24"/>
        </w:rPr>
      </w:pPr>
      <w:r>
        <w:rPr>
          <w:rFonts w:ascii="Times New Roman" w:hAnsi="Times New Roman"/>
          <w:b/>
          <w:noProof/>
          <w:sz w:val="24"/>
        </w:rPr>
        <w:t xml:space="preserve">Uudella AgoraEU-ohjelmalla tuetaan vahvan demokratian peruspilareita, joita ovat esimerkiksi kulttuuri, media ja kansalaisyhteiskunta. </w:t>
      </w:r>
      <w:r>
        <w:rPr>
          <w:rFonts w:ascii="Times New Roman" w:hAnsi="Times New Roman"/>
          <w:noProof/>
          <w:sz w:val="24"/>
        </w:rPr>
        <w:t>EU:n kulttuuri-, audiovisuaali-, media- ja luova ala on merkittävä osa EU:n taloutta ja yhteiskuntaa. Audiovisuaalialan toimijat kilpailevat ankarasti ulkomaisten toimijoiden kanssa, ja alalla on alustojen kasvavaan rooliin liittyviä haasteita. Uutismedian alalla tiedotusvälineiden moniarvoisuuden väheneminen ja disinformaatio uhkaavat eurooppalaista projektia ja demokratiaa. Eurooppa kohtaa myös haasteita, jotka liittyvät demokraattiseen osallistumiseen, tasa-arvoon, kulttuuriseen monimuotoisuuteen ja taiteelliseen vapauteen. Näiden suuntausten vastapainoksi Euroopan tasolla annettava hyvin suunniteltu ja vahva rahoitustuki on tärkeässä asemassa. Kulttuurinen ja kielellinen moninaisuus, kulttuuriperintö sekä tasa-arvon ja demokratian yhteiset arvot määrittelevät eurooppalaista identiteettiä, ja niitä tuetaan edelleen seuraavalla pitkän aikavälin talousarviolla. AgoraEU-ohjelmassa yhdistyvät kulttuurille, medialle ja kansalaisyhteiskunnalle annettava tuki, ja sillä yksinkertaistetaan rahoituksen saatavuutta edunsaajien kannalta yhteisten sääntöjen ja rahoitusjärjestelyjen avulla.</w:t>
      </w:r>
    </w:p>
    <w:p w14:paraId="6296D287" w14:textId="24FA6220" w:rsidR="008B6014" w:rsidRPr="000D6231" w:rsidRDefault="43856334" w:rsidP="00105E2C">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Oikeusalan ohjelmalla edistetään tehokkaan, osallistavan ja selviytymiskykyisen Euroopan oikeusalueen kehittämistä.</w:t>
      </w:r>
      <w:r>
        <w:rPr>
          <w:rFonts w:ascii="Times New Roman" w:hAnsi="Times New Roman"/>
          <w:noProof/>
          <w:sz w:val="24"/>
        </w:rPr>
        <w:t xml:space="preserve"> Sillä tuetaan myös oikeuslaitoksen digitalisointia EU:n tasolla.</w:t>
      </w:r>
    </w:p>
    <w:p w14:paraId="29F96F13" w14:textId="77777777" w:rsidR="00660C61" w:rsidRPr="000D6231" w:rsidRDefault="00660C61" w:rsidP="003A648E">
      <w:pPr>
        <w:spacing w:after="240" w:line="240" w:lineRule="auto"/>
        <w:jc w:val="both"/>
        <w:rPr>
          <w:rFonts w:ascii="Times New Roman" w:hAnsi="Times New Roman" w:cs="Times New Roman"/>
          <w:noProof/>
          <w:sz w:val="24"/>
          <w:szCs w:val="24"/>
        </w:rPr>
      </w:pPr>
    </w:p>
    <w:p w14:paraId="6126F8BD" w14:textId="349336C6" w:rsidR="00660C61" w:rsidRPr="000D6231" w:rsidRDefault="00CA1313" w:rsidP="003A648E">
      <w:pPr>
        <w:pStyle w:val="ListParagraph"/>
        <w:numPr>
          <w:ilvl w:val="0"/>
          <w:numId w:val="35"/>
        </w:numPr>
        <w:spacing w:after="240" w:line="240" w:lineRule="auto"/>
        <w:contextualSpacing w:val="0"/>
        <w:jc w:val="both"/>
        <w:rPr>
          <w:rFonts w:ascii="Times New Roman" w:hAnsi="Times New Roman" w:cs="Times New Roman"/>
          <w:noProof/>
          <w:sz w:val="24"/>
          <w:szCs w:val="24"/>
        </w:rPr>
      </w:pPr>
      <w:r>
        <w:rPr>
          <w:rFonts w:ascii="Times New Roman" w:hAnsi="Times New Roman"/>
          <w:b/>
          <w:noProof/>
          <w:sz w:val="24"/>
        </w:rPr>
        <w:t>Ihmisten suojelu sekä varautumisen ja selviytymiskyvyn parantaminen</w:t>
      </w:r>
      <w:r>
        <w:rPr>
          <w:rFonts w:ascii="Times New Roman" w:hAnsi="Times New Roman"/>
          <w:noProof/>
          <w:sz w:val="24"/>
        </w:rPr>
        <w:t xml:space="preserve"> </w:t>
      </w:r>
    </w:p>
    <w:p w14:paraId="737349F6" w14:textId="431603A0" w:rsidR="00BC295F" w:rsidRPr="006A444D" w:rsidRDefault="00682593" w:rsidP="006A444D">
      <w:pPr>
        <w:spacing w:after="240" w:line="240" w:lineRule="auto"/>
        <w:jc w:val="both"/>
        <w:rPr>
          <w:rFonts w:ascii="Times New Roman" w:hAnsi="Times New Roman" w:cs="Times New Roman"/>
          <w:noProof/>
          <w:sz w:val="24"/>
          <w:szCs w:val="24"/>
        </w:rPr>
      </w:pPr>
      <w:r>
        <w:rPr>
          <w:noProof/>
          <w:lang w:val="en-GB" w:eastAsia="en-GB"/>
        </w:rPr>
        <w:drawing>
          <wp:inline distT="0" distB="0" distL="0" distR="0" wp14:anchorId="3E95F17C" wp14:editId="3111AAC7">
            <wp:extent cx="5957455" cy="2512060"/>
            <wp:effectExtent l="0" t="0" r="5715" b="2540"/>
            <wp:docPr id="789795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95713" name=""/>
                    <pic:cNvPicPr/>
                  </pic:nvPicPr>
                  <pic:blipFill>
                    <a:blip r:embed="rId29">
                      <a:extLst>
                        <a:ext uri="{28A0092B-C50C-407E-A947-70E740481C1C}">
                          <a14:useLocalDpi xmlns:a14="http://schemas.microsoft.com/office/drawing/2010/main" val="0"/>
                        </a:ext>
                      </a:extLst>
                    </a:blip>
                    <a:stretch>
                      <a:fillRect/>
                    </a:stretch>
                  </pic:blipFill>
                  <pic:spPr>
                    <a:xfrm>
                      <a:off x="0" y="0"/>
                      <a:ext cx="5961010" cy="2513559"/>
                    </a:xfrm>
                    <a:prstGeom prst="rect">
                      <a:avLst/>
                    </a:prstGeom>
                  </pic:spPr>
                </pic:pic>
              </a:graphicData>
            </a:graphic>
          </wp:inline>
        </w:drawing>
      </w:r>
    </w:p>
    <w:p w14:paraId="702E43CC" w14:textId="76117A4A" w:rsidR="001C02FF" w:rsidRPr="00B334AE" w:rsidRDefault="00CA7CBC" w:rsidP="000643DD">
      <w:pPr>
        <w:pBdr>
          <w:top w:val="single" w:sz="8" w:space="1" w:color="auto"/>
          <w:left w:val="single" w:sz="8" w:space="4" w:color="auto"/>
          <w:bottom w:val="single" w:sz="8" w:space="1" w:color="auto"/>
          <w:right w:val="single" w:sz="8" w:space="4" w:color="auto"/>
        </w:pBdr>
        <w:shd w:val="clear" w:color="auto" w:fill="F2F2F2" w:themeFill="background1" w:themeFillShade="F2"/>
        <w:spacing w:after="240" w:line="240" w:lineRule="auto"/>
        <w:jc w:val="both"/>
        <w:rPr>
          <w:rFonts w:ascii="Times New Roman" w:hAnsi="Times New Roman" w:cs="Times New Roman"/>
          <w:i/>
          <w:noProof/>
          <w:sz w:val="24"/>
          <w:szCs w:val="24"/>
        </w:rPr>
      </w:pPr>
      <w:r>
        <w:rPr>
          <w:rFonts w:ascii="Times New Roman" w:hAnsi="Times New Roman"/>
          <w:b/>
          <w:i/>
          <w:noProof/>
          <w:sz w:val="24"/>
        </w:rPr>
        <w:t>EU:n uusi pitkän aikavälin talousarvio sisältää välineitä varautumisunionin ja ProtectEU-strategian täytäntöönpanoon.</w:t>
      </w:r>
      <w:r w:rsidR="00CF7991" w:rsidRPr="00560519">
        <w:rPr>
          <w:i/>
          <w:noProof/>
          <w:vertAlign w:val="superscript"/>
        </w:rPr>
        <w:footnoteReference w:id="14"/>
      </w:r>
      <w:r>
        <w:rPr>
          <w:rFonts w:ascii="Times New Roman" w:hAnsi="Times New Roman"/>
          <w:i/>
          <w:noProof/>
          <w:sz w:val="24"/>
          <w:vertAlign w:val="superscript"/>
        </w:rPr>
        <w:t xml:space="preserve"> </w:t>
      </w:r>
      <w:r w:rsidR="005E5D13" w:rsidRPr="005C4743">
        <w:rPr>
          <w:rStyle w:val="FootnoteReference"/>
          <w:noProof/>
        </w:rPr>
        <w:footnoteReference w:id="15"/>
      </w:r>
      <w:r>
        <w:rPr>
          <w:rFonts w:ascii="Times New Roman" w:hAnsi="Times New Roman"/>
          <w:b/>
          <w:i/>
          <w:noProof/>
          <w:sz w:val="24"/>
        </w:rPr>
        <w:t>Viimeaikaiset katastrofit ja kriisit, kuten pandemia, Ukrainan sota, energiakriisit ja useat turvallisuusuhat ovat osoittaneet, miten tärkeää EU:n ja jäsenvaltioiden koordinoitu toiminta on varautumisen parantamisen ja sisäisen turvallisuuden suojaamisen kannalta. EU:n seuraavalla pitkän aikavälin talousarviolla vahvistetaan EU:n ennaltaehkäisy-, varautumis- ja reagointivalmiuksia ja investoidaan turvalliseen Eurooppaan.</w:t>
      </w:r>
    </w:p>
    <w:p w14:paraId="0657A98B" w14:textId="4F836F5D" w:rsidR="002633DD" w:rsidRPr="000D6231" w:rsidRDefault="00195A00" w:rsidP="00105E2C">
      <w:pPr>
        <w:spacing w:after="240" w:line="240" w:lineRule="auto"/>
        <w:jc w:val="both"/>
        <w:rPr>
          <w:rFonts w:ascii="Times New Roman" w:hAnsi="Times New Roman" w:cs="Times New Roman"/>
          <w:noProof/>
          <w:sz w:val="24"/>
          <w:szCs w:val="24"/>
        </w:rPr>
      </w:pPr>
      <w:r>
        <w:rPr>
          <w:rFonts w:ascii="Times New Roman" w:hAnsi="Times New Roman"/>
          <w:b/>
          <w:noProof/>
          <w:sz w:val="24"/>
        </w:rPr>
        <w:t>Niinistön raportissa</w:t>
      </w:r>
      <w:r w:rsidR="00834B52" w:rsidRPr="68FD1D6F">
        <w:rPr>
          <w:rStyle w:val="FootnoteReference"/>
          <w:rFonts w:ascii="Times New Roman" w:hAnsi="Times New Roman" w:cs="Times New Roman"/>
          <w:b/>
          <w:bCs/>
          <w:noProof/>
          <w:sz w:val="24"/>
          <w:szCs w:val="24"/>
        </w:rPr>
        <w:footnoteReference w:id="16"/>
      </w:r>
      <w:r>
        <w:rPr>
          <w:rFonts w:ascii="Times New Roman" w:hAnsi="Times New Roman"/>
          <w:b/>
          <w:noProof/>
          <w:sz w:val="24"/>
        </w:rPr>
        <w:t xml:space="preserve"> korostettiin monia unioniin kohdistuvia uhkia</w:t>
      </w:r>
      <w:r>
        <w:rPr>
          <w:rFonts w:ascii="Times New Roman" w:hAnsi="Times New Roman"/>
          <w:noProof/>
          <w:sz w:val="24"/>
        </w:rPr>
        <w:t xml:space="preserve"> ja annettiin käytännön suosituksia siitä, miten merkittäviä EU:hun tai joihinkin sen jäsenvaltioihin vaikuttavia kriisejä voidaan ehkäistä ja miten niihin voidaan reagoida. Tulevassa pitkän aikavälin talousarviossa otetaan huomioon kaikki kriisinhallinnan näkökohdat: ennaltaehkäisyä, varautumista, reagointia ja elpymistä sekä EU:n valmiusvälineistöä parannetaan EU:n talousarviosta myönnettävällä merkittävällä rahoitustuella.</w:t>
      </w:r>
    </w:p>
    <w:p w14:paraId="04933228" w14:textId="1A47BD6C" w:rsidR="00F74B74" w:rsidRDefault="5C22A125" w:rsidP="00DC1F24">
      <w:pPr>
        <w:spacing w:after="240" w:line="240" w:lineRule="auto"/>
        <w:jc w:val="both"/>
        <w:rPr>
          <w:rFonts w:ascii="Times New Roman" w:hAnsi="Times New Roman" w:cs="Times New Roman"/>
          <w:noProof/>
          <w:sz w:val="24"/>
          <w:szCs w:val="24"/>
        </w:rPr>
      </w:pPr>
      <w:r>
        <w:rPr>
          <w:rFonts w:ascii="Times New Roman" w:hAnsi="Times New Roman"/>
          <w:b/>
          <w:noProof/>
          <w:sz w:val="24"/>
        </w:rPr>
        <w:t xml:space="preserve">Uudessa unionin pelastuspalvelumekanismissa ja unionin tuessa terveysuhkiin varautumista ja reagointia varten hyödynnetään EU:n pelastuspalvelutoimien sekä terveysuhkiin varautumisen ja reagoimisen välisiä synergioita. </w:t>
      </w:r>
      <w:r>
        <w:rPr>
          <w:rFonts w:ascii="Times New Roman" w:hAnsi="Times New Roman"/>
          <w:noProof/>
          <w:sz w:val="24"/>
        </w:rPr>
        <w:t>Komissio ehdottaa, että ’sisäänrakennetun varautumisen’ periaatteeseen perustuvassa monivuotisessa rahoituskehyksessä tämän alan rahoitusta lisätään viisinkertaiseksi 10,7 miljardiin euroon. Unionin pelastuspalvelumekanismilla varmistetaan, että avustusvalmiuksia, mukaan lukien varastot, kehitetään ja ylläpidetään kaikilla asiamukaisilla aloilla ja alueilla EU:n tasolla, mikä täydentää kansallisia toimia. Merkittävästi vahvistetulla unionin pelastuspalvelumekanismilla, täydennettynä toimilla, jotka liittyvät terveysuhkiin varautumiseen ja reagointiin, varmistetaan parempi monialainen koordinointi ja korjataan kapasiteettivajetta, joka liittyy esimerkiksi ilmastonmuutoksen, muuttuvan turvallisuusympäristön, mukaan lukien kriittinen infrastruktuuri, ja muuttuvan globaalin terveysympäristön aiheuttamiin hätätiloihin.</w:t>
      </w:r>
    </w:p>
    <w:p w14:paraId="0383FD9D" w14:textId="1A99CE47" w:rsidR="0068407B" w:rsidRDefault="00FD7AED" w:rsidP="00E2464D">
      <w:pPr>
        <w:spacing w:after="240" w:line="240" w:lineRule="auto"/>
        <w:jc w:val="center"/>
        <w:rPr>
          <w:rFonts w:ascii="Times New Roman" w:hAnsi="Times New Roman" w:cs="Times New Roman"/>
          <w:noProof/>
          <w:sz w:val="24"/>
          <w:szCs w:val="24"/>
        </w:rPr>
      </w:pPr>
      <w:r>
        <w:rPr>
          <w:noProof/>
          <w:lang w:val="en-GB" w:eastAsia="en-GB"/>
        </w:rPr>
        <w:drawing>
          <wp:inline distT="0" distB="0" distL="0" distR="0" wp14:anchorId="198B4A7E" wp14:editId="0DA08A5B">
            <wp:extent cx="5760720" cy="2754630"/>
            <wp:effectExtent l="0" t="0" r="0" b="7620"/>
            <wp:docPr id="1757752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52625" name=""/>
                    <pic:cNvPicPr/>
                  </pic:nvPicPr>
                  <pic:blipFill>
                    <a:blip r:embed="rId30">
                      <a:extLst>
                        <a:ext uri="{28A0092B-C50C-407E-A947-70E740481C1C}">
                          <a14:useLocalDpi xmlns:a14="http://schemas.microsoft.com/office/drawing/2010/main" val="0"/>
                        </a:ext>
                      </a:extLst>
                    </a:blip>
                    <a:stretch>
                      <a:fillRect/>
                    </a:stretch>
                  </pic:blipFill>
                  <pic:spPr>
                    <a:xfrm>
                      <a:off x="0" y="0"/>
                      <a:ext cx="5760720" cy="2754630"/>
                    </a:xfrm>
                    <a:prstGeom prst="rect">
                      <a:avLst/>
                    </a:prstGeom>
                  </pic:spPr>
                </pic:pic>
              </a:graphicData>
            </a:graphic>
          </wp:inline>
        </w:drawing>
      </w:r>
    </w:p>
    <w:p w14:paraId="03CB25D2" w14:textId="3A992CCA" w:rsidR="008366C2" w:rsidRDefault="6DA3D13E" w:rsidP="003A648E">
      <w:pPr>
        <w:spacing w:after="240" w:line="240" w:lineRule="auto"/>
        <w:jc w:val="both"/>
        <w:rPr>
          <w:rFonts w:ascii="Times New Roman" w:hAnsi="Times New Roman" w:cs="Times New Roman"/>
          <w:noProof/>
          <w:sz w:val="24"/>
          <w:szCs w:val="24"/>
        </w:rPr>
      </w:pPr>
      <w:r>
        <w:rPr>
          <w:rFonts w:ascii="Times New Roman" w:hAnsi="Times New Roman"/>
          <w:b/>
          <w:noProof/>
          <w:sz w:val="24"/>
        </w:rPr>
        <w:t xml:space="preserve">Seuraavan rahoituskehyksen rakenteeseen sisältyy tavoite sisäänrakennetusta varautumisesta. </w:t>
      </w:r>
      <w:r>
        <w:rPr>
          <w:rFonts w:ascii="Times New Roman" w:hAnsi="Times New Roman"/>
          <w:noProof/>
          <w:sz w:val="24"/>
        </w:rPr>
        <w:t>Unionin pelastuspalvelumekanismin tarjoamien keskeisten valmiuksien lisäksi kansallisilla ja alueellisilla kumppanuussuunnitelmilla tuetaan investointeja ja uudistuksia, jotta voidaan parantaa kriisien ehkäisyä sekä ilmastokestävyyttä ja -valmiutta jäsenvaltioiden ja alueiden tasolla. EU:n joustavuusvälineellä rahoitetaan katastrofeihin ja odottamattomiin tapahtumiin reagointia, mikä täydentää kansallisia rahoitusosuuksia ja rahoittaa toimia suoraan EU:n tasolla. Euroopan kilpailukykyrahasto parantaa EU:n varautumista ja strategista riippumattomuutta keskeisillä aloilla sekä teknologioiden ja infrastruktuurin osalta. Sillä tuetaan teollisen kapasiteetin ja huipputeknologioiden kehittämistä (esim. kriisinhallinnan Copernicus-, Galileo- ja IRIS²-tukivälineet, terveysinnovointi ja valmistusteollisuus) ja vahvistetaan EU:n häiriönsietokykyä investoimalla kriittisen infrastruktuurin suojeluun. Globaali Eurooppa tarjoaa kattavan välineistön kolmansissa maissa toteutettavia toimia varten.</w:t>
      </w:r>
    </w:p>
    <w:p w14:paraId="4ED78BA5" w14:textId="319456FF" w:rsidR="002F64C8" w:rsidRPr="002F64C8" w:rsidRDefault="002F64C8" w:rsidP="002F64C8">
      <w:pPr>
        <w:spacing w:after="240" w:line="240" w:lineRule="auto"/>
        <w:jc w:val="both"/>
        <w:rPr>
          <w:rFonts w:ascii="Times New Roman" w:hAnsi="Times New Roman" w:cs="Times New Roman"/>
          <w:noProof/>
          <w:sz w:val="24"/>
          <w:szCs w:val="24"/>
        </w:rPr>
      </w:pPr>
      <w:r>
        <w:rPr>
          <w:rFonts w:ascii="Times New Roman" w:hAnsi="Times New Roman"/>
          <w:b/>
          <w:noProof/>
          <w:sz w:val="24"/>
        </w:rPr>
        <w:t>Turvallisuus on peruskallio, jolle kaikki vapautemme rakentuvat.</w:t>
      </w:r>
      <w:r>
        <w:rPr>
          <w:rFonts w:ascii="Times New Roman" w:hAnsi="Times New Roman"/>
          <w:noProof/>
          <w:sz w:val="24"/>
        </w:rPr>
        <w:t xml:space="preserve"> EU:n jäsenvaltioiden kyky taata ihmisten turvallisuus riippuu yhtenäisestä EU:n toimintamallista sisäisen turvallisuutemme suojelemiseksi. EU:n uusi pitkän aikavälin talousarvio auttaa Eurooppaa pitämään pysyvän lupauksensa rauhasta ja vakaudesta. EU sitoutuu ProtectEU-strategiassa turvallisempaan ja suojatumpaan Eurooppaan kaikkia kansalaisiaan varten. </w:t>
      </w:r>
    </w:p>
    <w:p w14:paraId="0B581A09" w14:textId="2A0786C1" w:rsidR="002F64C8" w:rsidRPr="006A444D" w:rsidRDefault="002F64C8" w:rsidP="002F64C8">
      <w:pPr>
        <w:spacing w:after="240" w:line="240" w:lineRule="auto"/>
        <w:jc w:val="both"/>
        <w:rPr>
          <w:rFonts w:ascii="Times New Roman" w:hAnsi="Times New Roman" w:cs="Times New Roman"/>
          <w:noProof/>
          <w:sz w:val="24"/>
          <w:szCs w:val="24"/>
        </w:rPr>
      </w:pPr>
      <w:r>
        <w:rPr>
          <w:rFonts w:ascii="Times New Roman" w:hAnsi="Times New Roman"/>
          <w:b/>
          <w:noProof/>
          <w:sz w:val="24"/>
        </w:rPr>
        <w:t xml:space="preserve">Tuleva pitkän aikavälin talousarvio tukee sitoutumista turvallisempaan ja suojatumpaan Eurooppaan. </w:t>
      </w:r>
      <w:r>
        <w:rPr>
          <w:rFonts w:ascii="Times New Roman" w:hAnsi="Times New Roman"/>
          <w:noProof/>
          <w:sz w:val="24"/>
        </w:rPr>
        <w:t>Talousarviolla tuetaan kriittisten infrastruktuurien häiriönsietokykyä, mahdollistetaan jäsenvaltioiden pelastuspalvelujen välinen yhteistyö reagoitaessa EU:n sisäiseen turvallisuuteen kohdistuviin uhkiin, parannetaan tiedonvaihto- ja yhteistyöjärjestelmiä ja edistetään yhteistä puuttumista vakaviin rikoksiin, kuten terrorismiin ja järjestäytyneeseen rikollisuuteen. EU:n uusi pitkän aikavälin talousarvio mahdollistaa myös tiiviimmän yhteistyön kolmansien maiden kanssa Globaali Eurooppa -välineen avulla unioin sisäisen turvallisuuden tukemiseksi.</w:t>
      </w:r>
    </w:p>
    <w:p w14:paraId="3FDF8103" w14:textId="18EC6162" w:rsidR="002633DD" w:rsidRPr="000D6231" w:rsidRDefault="005A4999" w:rsidP="003A648E">
      <w:pPr>
        <w:spacing w:after="240" w:line="240" w:lineRule="auto"/>
        <w:jc w:val="both"/>
        <w:rPr>
          <w:rFonts w:ascii="Times New Roman" w:hAnsi="Times New Roman" w:cs="Times New Roman"/>
          <w:noProof/>
          <w:sz w:val="24"/>
          <w:szCs w:val="24"/>
        </w:rPr>
      </w:pPr>
      <w:r>
        <w:rPr>
          <w:rFonts w:ascii="Times New Roman" w:hAnsi="Times New Roman"/>
          <w:b/>
          <w:noProof/>
          <w:sz w:val="24"/>
        </w:rPr>
        <w:t>Unioni jatkaa ydinturvallisuuden tukemista.</w:t>
      </w:r>
      <w:r>
        <w:rPr>
          <w:rFonts w:ascii="Times New Roman" w:hAnsi="Times New Roman"/>
          <w:noProof/>
          <w:sz w:val="24"/>
        </w:rPr>
        <w:t xml:space="preserve"> Tähän sisältyy ydinturvallisuutta koskeva kansainvälinen yhteistyö ja Liettuassa sijaitsevien ja EU:n omien ydinlaitosten käytöstäpoisto. EU rahoittaa ydinlaitosten käytöstäpoistoa Bulgariassa ja Slovakiassa, ja sen odotetaan päättyvän vuoteen 2027 mennessä. EU:n talousarviosta myönnettävällä rahoituksella tuetaan työntekijöiden ja väestön terveyttä, ydinturvallisuutta ja ehkäistään ympäristön pilaantumista. </w:t>
      </w:r>
    </w:p>
    <w:p w14:paraId="43530A03" w14:textId="77777777" w:rsidR="007E17F9" w:rsidRPr="000D6231" w:rsidRDefault="007E17F9" w:rsidP="003A648E">
      <w:pPr>
        <w:spacing w:after="240" w:line="240" w:lineRule="auto"/>
        <w:ind w:left="720"/>
        <w:jc w:val="both"/>
        <w:rPr>
          <w:rFonts w:ascii="Times New Roman" w:hAnsi="Times New Roman" w:cs="Times New Roman"/>
          <w:noProof/>
          <w:sz w:val="24"/>
          <w:szCs w:val="24"/>
        </w:rPr>
      </w:pPr>
    </w:p>
    <w:p w14:paraId="4460AF3D" w14:textId="3649B08E" w:rsidR="00660C61" w:rsidRPr="000D6231" w:rsidRDefault="00660C61" w:rsidP="003A648E">
      <w:pPr>
        <w:pStyle w:val="ListParagraph"/>
        <w:numPr>
          <w:ilvl w:val="0"/>
          <w:numId w:val="35"/>
        </w:numPr>
        <w:spacing w:after="240" w:line="240" w:lineRule="auto"/>
        <w:contextualSpacing w:val="0"/>
        <w:jc w:val="both"/>
        <w:rPr>
          <w:rFonts w:ascii="Times New Roman" w:hAnsi="Times New Roman" w:cs="Times New Roman"/>
          <w:b/>
          <w:bCs/>
          <w:noProof/>
          <w:sz w:val="24"/>
          <w:szCs w:val="24"/>
        </w:rPr>
      </w:pPr>
      <w:r>
        <w:rPr>
          <w:rFonts w:ascii="Times New Roman" w:hAnsi="Times New Roman"/>
          <w:b/>
          <w:noProof/>
          <w:sz w:val="24"/>
        </w:rPr>
        <w:t xml:space="preserve">Nykyaikainen ja tehokas eurooppalainen julkishallinto </w:t>
      </w:r>
    </w:p>
    <w:p w14:paraId="30252230" w14:textId="25F5649E" w:rsidR="007059D5" w:rsidRPr="00E136AB" w:rsidRDefault="00E80776" w:rsidP="00105E2C">
      <w:pPr>
        <w:spacing w:after="240" w:line="240" w:lineRule="auto"/>
        <w:jc w:val="both"/>
        <w:rPr>
          <w:rFonts w:ascii="Times New Roman" w:hAnsi="Times New Roman" w:cs="Times New Roman"/>
          <w:noProof/>
          <w:sz w:val="24"/>
          <w:szCs w:val="24"/>
        </w:rPr>
      </w:pPr>
      <w:r>
        <w:rPr>
          <w:rFonts w:ascii="Times New Roman" w:hAnsi="Times New Roman"/>
          <w:b/>
          <w:noProof/>
          <w:sz w:val="24"/>
        </w:rPr>
        <w:t>Henkilöstön vähentäminen viidellä prosentilla vuosina 2013–2017 ja sen jälkeen pitkään ennallaan säilynyt henkilöstömäärä on tuottanut huomattavia säästöjä hallintomenoissa. Se on kuitenkin myös saanut aikaan merkittävän kapasiteettivajeen komissiossa ja altistanut sen liiketoiminnan jatkuvuuteen liittyville riskeille.</w:t>
      </w:r>
      <w:r>
        <w:rPr>
          <w:rFonts w:ascii="Times New Roman" w:hAnsi="Times New Roman"/>
          <w:noProof/>
          <w:sz w:val="24"/>
        </w:rPr>
        <w:t xml:space="preserve"> Nopeasti kehittyvä talousympäristö ja maailmanlaajuinen toimintaympäristö on saanut aikaan uusia toimintapoliittisia tarpeita, ja komissiolle on annettu uusia aloitteita ja tehtäviä, jotka edellyttävät lisäresursseja. Jotta komissio voi hoitaa nämä uudet tehtävät, sillä on oltava sopiva määrä henkilöstöä, joilla on soveltuvaa osaamista. Tämä tarkoittaa myös sitä, että komission on pystyttävä houkuttelemaan parhaita osaajia ja parantamaan henkilöstön maantieteellistä tasapainoa.</w:t>
      </w:r>
    </w:p>
    <w:p w14:paraId="52FC4039" w14:textId="4C6E9463" w:rsidR="00792593" w:rsidRDefault="38402BDC" w:rsidP="00105E2C">
      <w:pPr>
        <w:spacing w:after="240" w:line="240" w:lineRule="auto"/>
        <w:jc w:val="both"/>
        <w:rPr>
          <w:rFonts w:ascii="Times New Roman" w:hAnsi="Times New Roman" w:cs="Times New Roman"/>
          <w:noProof/>
          <w:sz w:val="24"/>
          <w:szCs w:val="24"/>
        </w:rPr>
      </w:pPr>
      <w:r>
        <w:rPr>
          <w:rFonts w:ascii="Times New Roman" w:hAnsi="Times New Roman"/>
          <w:b/>
          <w:noProof/>
          <w:sz w:val="24"/>
        </w:rPr>
        <w:t>Vuosien 2021–2027 rahoituskehyksen tarkistuksen</w:t>
      </w:r>
      <w:r w:rsidR="00BD440D" w:rsidRPr="000E3616">
        <w:rPr>
          <w:rStyle w:val="FootnoteReference"/>
          <w:rFonts w:ascii="Times New Roman" w:hAnsi="Times New Roman" w:cs="Times New Roman"/>
          <w:b/>
          <w:bCs/>
          <w:noProof/>
          <w:sz w:val="24"/>
          <w:szCs w:val="24"/>
        </w:rPr>
        <w:footnoteReference w:id="17"/>
      </w:r>
      <w:r>
        <w:rPr>
          <w:rFonts w:ascii="Times New Roman" w:hAnsi="Times New Roman"/>
          <w:b/>
          <w:noProof/>
          <w:sz w:val="24"/>
        </w:rPr>
        <w:t xml:space="preserve"> aikaan komissio oli arvioinut uusista tehtävistä johtuvia tarpeita kaikissa EU:n toimielimissä sekä kyberturvallisuusasiantuntemuksen tarvetta.</w:t>
      </w:r>
      <w:r>
        <w:rPr>
          <w:rFonts w:ascii="Times New Roman" w:hAnsi="Times New Roman"/>
          <w:noProof/>
          <w:sz w:val="24"/>
        </w:rPr>
        <w:t xml:space="preserve"> Tarkistusehdotuksen esittämisen jälkeen on hyväksytty uusia lainsäädäntöaloitteita lisäämättä resursseja. Myös muut EU:n toimielimet ovat kohdanneet uusia haasteita, jotka liittyvät erityisesti turvallisuuteen, tekoälyyn ja uusiin sääntelyvelvoitteisiin. Tämän vuoksi resurssit on täytynyt venyttää äärirajoilleen. Kyberturvallisuusvaje on huomattava, kun otetaan huomioon hyökkäysten määrän ja vakavuuden lisääntyminen.</w:t>
      </w:r>
    </w:p>
    <w:p w14:paraId="4F6F28E7" w14:textId="15F727FF" w:rsidR="007059D5" w:rsidRPr="00E136AB" w:rsidRDefault="00702C51" w:rsidP="00105E2C">
      <w:pPr>
        <w:spacing w:after="240" w:line="240" w:lineRule="auto"/>
        <w:jc w:val="both"/>
        <w:rPr>
          <w:rFonts w:ascii="Times New Roman" w:hAnsi="Times New Roman" w:cs="Times New Roman"/>
          <w:noProof/>
          <w:sz w:val="24"/>
          <w:szCs w:val="24"/>
        </w:rPr>
      </w:pPr>
      <w:r>
        <w:rPr>
          <w:rFonts w:ascii="Times New Roman" w:hAnsi="Times New Roman"/>
          <w:b/>
          <w:noProof/>
          <w:sz w:val="24"/>
        </w:rPr>
        <w:t>Sen vuoksi ehdotetaan, että hallintoa koskevassa otsakkeessa henkilöstöresurssien lisäys 2500:lla toteutetaan lainsäädäntöehdotusten mukaisesti uuden kauden kolmen ensimmäisen vuoden aikana siten, että lisäyksellä katetaan todetut tarpeet ja siinä otetaan huomioon mahdollinen kehitys vuoteen 2027 asti.</w:t>
      </w:r>
      <w:r>
        <w:rPr>
          <w:rFonts w:ascii="Times New Roman" w:hAnsi="Times New Roman"/>
          <w:noProof/>
          <w:sz w:val="24"/>
        </w:rPr>
        <w:t xml:space="preserve"> Jos lisäresurssit otetaan asteittain käyttöön seuraavan kauden ensimmäisten vuosien aikana, komissiolla olisi tarvittavat resurssit nykyisten ohjelmien täytäntöönpanemiseksi ja loppuun saattamiseksi asianmukaisesti sekä uuden ohjelmasukupolven käynnistämisen nopeuttamiseksi ja unionin valmistelemiseksi tuleviin laajentumisiin. Ehdotetun ohjelmien yksinkertaistamisen ja niiden lukumäärän vähentämisen odotetaan lisäävän tehokkuutta, mikä auttaa mukautumaan uusiin tehtäviin, joita saattaa ilmaantua seuraavan pitkän aikavälin talousarvion aikana. Yhdessä komission organisaation ja toiminnan laajamittaisen uudelleentarkastelun kanssa tämän pitäisi johtaa tilanteeseen, jossa komissio voi reagoida tuleviin haasteisiin parhaalla mahdollisella tavalla ja toimia joustavasti. </w:t>
      </w:r>
    </w:p>
    <w:p w14:paraId="76810154" w14:textId="2033CF91" w:rsidR="007059D5" w:rsidRDefault="000B5718" w:rsidP="00105E2C">
      <w:pPr>
        <w:spacing w:after="240" w:line="240" w:lineRule="auto"/>
        <w:jc w:val="both"/>
        <w:rPr>
          <w:rFonts w:ascii="Times New Roman" w:hAnsi="Times New Roman" w:cs="Times New Roman"/>
          <w:noProof/>
          <w:sz w:val="24"/>
          <w:szCs w:val="24"/>
        </w:rPr>
      </w:pPr>
      <w:r>
        <w:rPr>
          <w:rFonts w:ascii="Times New Roman" w:hAnsi="Times New Roman"/>
          <w:b/>
          <w:noProof/>
          <w:sz w:val="24"/>
        </w:rPr>
        <w:t xml:space="preserve">Muihin kuin palkkamenoihin on mahdollista tehdä kahden prosentin vuotuinen lisäys seuraavan rahoituskehyksen voimassaolon aikana edellyttäen, että lähtötilanteessa otetaan huomioon todelliset tarpeet. </w:t>
      </w:r>
      <w:r>
        <w:rPr>
          <w:rFonts w:ascii="Times New Roman" w:hAnsi="Times New Roman"/>
          <w:noProof/>
          <w:sz w:val="24"/>
        </w:rPr>
        <w:t xml:space="preserve">Useat toimielimet suunnittelevat merkittäviä kiinteistöhankkeita tulevina vuosina. Tietotekniikkaan, mukaan lukien kyberturvallisuus, on investoitava asianmukaisesti, mikä auttaa järkeistämään tulevia kustannuksia. Lisäksi Euroopan ulkosuhdehallinnon on kyettävä varmistamaan edustustojen toiminnan jatkuvuus. Seuraavassa pitkän aikavälin budjetissa on otettava huomioon hintakehitykseen liittyvä epävarmuus, joka vaikuttaa erityisesti kiinteisiin kustannuksiin ja muihin oikeudellisiin velvollisuuksiin (ks. 3 jakso). </w:t>
      </w:r>
    </w:p>
    <w:p w14:paraId="772086CA" w14:textId="77777777" w:rsidR="007E17F9" w:rsidRPr="000D6231" w:rsidRDefault="007E17F9" w:rsidP="003A648E">
      <w:pPr>
        <w:spacing w:after="240" w:line="240" w:lineRule="auto"/>
        <w:jc w:val="both"/>
        <w:rPr>
          <w:rFonts w:ascii="Times New Roman" w:hAnsi="Times New Roman" w:cs="Times New Roman"/>
          <w:noProof/>
          <w:sz w:val="24"/>
          <w:szCs w:val="24"/>
        </w:rPr>
      </w:pPr>
    </w:p>
    <w:p w14:paraId="5088F502" w14:textId="2CC40798" w:rsidR="008A5ACB" w:rsidRPr="000D6231" w:rsidRDefault="00660C61" w:rsidP="003A648E">
      <w:pPr>
        <w:pStyle w:val="ListParagraph"/>
        <w:numPr>
          <w:ilvl w:val="0"/>
          <w:numId w:val="34"/>
        </w:numPr>
        <w:spacing w:after="240" w:line="240" w:lineRule="auto"/>
        <w:contextualSpacing w:val="0"/>
        <w:jc w:val="both"/>
        <w:rPr>
          <w:rFonts w:ascii="Times New Roman" w:hAnsi="Times New Roman" w:cs="Times New Roman"/>
          <w:b/>
          <w:bCs/>
          <w:noProof/>
          <w:color w:val="FF0000"/>
          <w:sz w:val="24"/>
          <w:szCs w:val="24"/>
          <w:u w:val="single"/>
        </w:rPr>
      </w:pPr>
      <w:r>
        <w:rPr>
          <w:rFonts w:ascii="Times New Roman" w:hAnsi="Times New Roman"/>
          <w:b/>
          <w:noProof/>
          <w:sz w:val="24"/>
        </w:rPr>
        <w:t xml:space="preserve">JOUSTAVAMPI EU:N TALOUSARVIO </w:t>
      </w:r>
    </w:p>
    <w:p w14:paraId="1738EC39" w14:textId="00056F12" w:rsidR="003703CF" w:rsidRPr="00E2464D" w:rsidRDefault="005F29C6" w:rsidP="000643DD">
      <w:pPr>
        <w:pBdr>
          <w:top w:val="single" w:sz="4" w:space="1" w:color="auto"/>
          <w:left w:val="single" w:sz="4" w:space="4" w:color="auto"/>
          <w:bottom w:val="single" w:sz="4" w:space="1" w:color="auto"/>
          <w:right w:val="single" w:sz="4" w:space="4" w:color="auto"/>
        </w:pBdr>
        <w:shd w:val="clear" w:color="auto" w:fill="F2F2F2" w:themeFill="background1" w:themeFillShade="F2"/>
        <w:spacing w:after="240" w:line="240" w:lineRule="auto"/>
        <w:jc w:val="both"/>
        <w:rPr>
          <w:rFonts w:ascii="Times New Roman" w:eastAsia="Times New Roman" w:hAnsi="Times New Roman" w:cs="Times New Roman"/>
          <w:b/>
          <w:i/>
          <w:noProof/>
          <w:sz w:val="24"/>
          <w:szCs w:val="24"/>
        </w:rPr>
      </w:pPr>
      <w:r>
        <w:rPr>
          <w:rFonts w:ascii="Times New Roman" w:hAnsi="Times New Roman"/>
          <w:b/>
          <w:i/>
          <w:noProof/>
          <w:sz w:val="24"/>
        </w:rPr>
        <w:t xml:space="preserve">EU:n seuraava pitkän aikavälin talousarvio on joustavampi, ja siinä yhdistyvät vakaus ja ennustettavuus sekä rakenteelliset valmiudet mukautua muuttuviin tarpeisiin ja painopisteisiin. EU:n seuraavan pitkän aikavälin talousarvion on oltava toimiva paitsi 1. tammikuuta 2028 myös koko sen täytäntöönpanon ajan vuoteen 2034 saakka ja sen jälkeen: sen on sovelluttava tulevaisuuden tarpeisiin. </w:t>
      </w:r>
    </w:p>
    <w:p w14:paraId="7E3244D0" w14:textId="685C73CF" w:rsidR="0B1EF7C9" w:rsidRPr="00B334AE" w:rsidRDefault="001D7728" w:rsidP="003A648E">
      <w:pPr>
        <w:spacing w:after="240" w:line="240" w:lineRule="auto"/>
        <w:jc w:val="both"/>
        <w:rPr>
          <w:rFonts w:ascii="Times New Roman" w:eastAsia="Times New Roman" w:hAnsi="Times New Roman" w:cs="Times New Roman"/>
          <w:noProof/>
          <w:sz w:val="24"/>
          <w:szCs w:val="24"/>
        </w:rPr>
      </w:pPr>
      <w:r>
        <w:rPr>
          <w:rFonts w:ascii="Times New Roman" w:hAnsi="Times New Roman"/>
          <w:b/>
          <w:noProof/>
          <w:sz w:val="24"/>
        </w:rPr>
        <w:t>Joustavuus on seuraavan pitkän aikavälin talousarvion keskeinen piirre.</w:t>
      </w:r>
      <w:r>
        <w:rPr>
          <w:rFonts w:ascii="Times New Roman" w:hAnsi="Times New Roman"/>
          <w:noProof/>
          <w:sz w:val="24"/>
        </w:rPr>
        <w:t xml:space="preserve"> Joustavuus on keskeistä sen varmistamiseksi, että EU:n talousarvio on tulevaisuudenkestävä, responsiivinen ja merkityksellinen koko sen voimassaolon ajan. Seuraavassa monivuotisessa talousarviossa on löydettävä parempi tasapaino investointien ennustettavuuden ja joustavuuden välillä, jotta voidaan mukauttaa menopainotusta ja vastata muuttuviin tarpeisiin ja uusiin kriiseihin. Ennustettavuus varmistetaan esimerkiksi sellaisten energia- ja liikenneinvestointien sekä tutkimus- ja innovaatioinvestointien osalta, jotka edellyttävät pitkän aikavälin suunnittelua edunsaajilta, hankkeiden toteuttajilta ja hallintoviranomaisilta. Samalla otsakkeiden ja ohjelmien määrän vähentäminen helpottaa sellaisten varojen uudelleenkohdentamista, joita ei ole ennalta kohdennettu ohjelmille. Mahdollisuudet siirtää varoja EU:n talousarvio-ohjelmien lohkojen tai ikkunoiden välillä lisääntyvät.</w:t>
      </w:r>
      <w:r>
        <w:rPr>
          <w:rFonts w:ascii="Times New Roman" w:hAnsi="Times New Roman"/>
          <w:noProof/>
          <w:color w:val="000000" w:themeColor="text1"/>
          <w:sz w:val="24"/>
        </w:rPr>
        <w:t xml:space="preserve"> Lisäksi vahvistetaan erityisiä joustovälineitä.</w:t>
      </w:r>
    </w:p>
    <w:p w14:paraId="13C8CE59" w14:textId="6E149299" w:rsidR="00E53B84" w:rsidRDefault="004C00BE" w:rsidP="00E2464D">
      <w:pPr>
        <w:spacing w:after="240" w:line="240" w:lineRule="auto"/>
        <w:jc w:val="center"/>
        <w:rPr>
          <w:rFonts w:ascii="Times New Roman" w:eastAsia="Times New Roman" w:hAnsi="Times New Roman" w:cs="Times New Roman"/>
          <w:noProof/>
          <w:color w:val="000000" w:themeColor="text1"/>
          <w:sz w:val="24"/>
          <w:szCs w:val="24"/>
        </w:rPr>
      </w:pPr>
      <w:r>
        <w:rPr>
          <w:noProof/>
          <w:lang w:val="en-GB" w:eastAsia="en-GB"/>
        </w:rPr>
        <w:drawing>
          <wp:inline distT="0" distB="0" distL="0" distR="0" wp14:anchorId="2648E38E" wp14:editId="7A5B1400">
            <wp:extent cx="5760720" cy="2272665"/>
            <wp:effectExtent l="0" t="0" r="0" b="0"/>
            <wp:docPr id="1809123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23189" name=""/>
                    <pic:cNvPicPr/>
                  </pic:nvPicPr>
                  <pic:blipFill>
                    <a:blip r:embed="rId31">
                      <a:extLst>
                        <a:ext uri="{28A0092B-C50C-407E-A947-70E740481C1C}">
                          <a14:useLocalDpi xmlns:a14="http://schemas.microsoft.com/office/drawing/2010/main" val="0"/>
                        </a:ext>
                      </a:extLst>
                    </a:blip>
                    <a:stretch>
                      <a:fillRect/>
                    </a:stretch>
                  </pic:blipFill>
                  <pic:spPr>
                    <a:xfrm>
                      <a:off x="0" y="0"/>
                      <a:ext cx="5760720" cy="2272665"/>
                    </a:xfrm>
                    <a:prstGeom prst="rect">
                      <a:avLst/>
                    </a:prstGeom>
                  </pic:spPr>
                </pic:pic>
              </a:graphicData>
            </a:graphic>
          </wp:inline>
        </w:drawing>
      </w:r>
    </w:p>
    <w:p w14:paraId="25A183CD" w14:textId="17F76EA8" w:rsidR="00A65C12" w:rsidRDefault="00A65C12" w:rsidP="00105E2C">
      <w:pPr>
        <w:spacing w:after="240" w:line="240" w:lineRule="auto"/>
        <w:jc w:val="both"/>
        <w:rPr>
          <w:rFonts w:ascii="Times New Roman" w:eastAsia="Times New Roman" w:hAnsi="Times New Roman" w:cs="Times New Roman"/>
          <w:noProof/>
          <w:color w:val="000000" w:themeColor="text1"/>
          <w:sz w:val="24"/>
          <w:szCs w:val="24"/>
        </w:rPr>
      </w:pPr>
      <w:r>
        <w:rPr>
          <w:rFonts w:ascii="Times New Roman" w:hAnsi="Times New Roman"/>
          <w:b/>
          <w:noProof/>
          <w:sz w:val="24"/>
        </w:rPr>
        <w:t>Seuraavan rahoituskehyksen rakenne on yksinkertaisempi</w:t>
      </w:r>
      <w:r>
        <w:rPr>
          <w:rFonts w:ascii="Times New Roman" w:hAnsi="Times New Roman"/>
          <w:noProof/>
          <w:sz w:val="24"/>
        </w:rPr>
        <w:t xml:space="preserve">, ja siihen sisältyy vähemmän ohjelmia, enemmän kohdentamattomia määrärahoja sekä mekanismeja ja sisäänrakennettuja varauksia, joiden avulla muuttuviin tarpeisiin voidaan reagoida paremmin, nopeammin ja aiheuttamatta häiriöitä. </w:t>
      </w:r>
      <w:r>
        <w:rPr>
          <w:rFonts w:ascii="Times New Roman" w:hAnsi="Times New Roman"/>
          <w:noProof/>
          <w:color w:val="000000" w:themeColor="text1"/>
          <w:sz w:val="24"/>
        </w:rPr>
        <w:t xml:space="preserve"> Määrärahojen uudelleenkohdentamista ohjelmien sisällä ja niiden välillä helpotetaan vähentämällä talousarvion jäykkyyttä ja luomalla vakaat olosuhteet pitkän aikavälin investoinneille.  Katastrofiapua virtaviivaistetaan sisällyttämällä nykyiset välineet rahoituskehyksen enimmäismääriin ja ohjelmiin varauksina ja joustovaroina sekä yksinkertaistamalla rahoituksen uudelleenkohdentamisen menettelyjä. Enimmäismäärät ylittävät erityisrahoitusvälineet järkeistetään siten, että joustovälineellä tuetaan uusia tai odottamattomia tarpeita, kun muita joustomahdollisuuksia ei ole käytettävissä. Joustoväline sisältää kiinteiden vuotuisten määrärahojen lisäksi määrärahat, jotka vastaavat edellisenä vuonna vapautettuja määrärahoja sekä edellisenä vuonna talousarvioon otettuja nettomääräisiä sakkoja.</w:t>
      </w:r>
      <w:r w:rsidR="004F2C50">
        <w:rPr>
          <w:rStyle w:val="FootnoteReference"/>
          <w:rFonts w:ascii="Times New Roman" w:eastAsia="Times New Roman" w:hAnsi="Times New Roman" w:cs="Times New Roman"/>
          <w:noProof/>
          <w:color w:val="000000" w:themeColor="text1"/>
          <w:sz w:val="24"/>
          <w:szCs w:val="24"/>
        </w:rPr>
        <w:footnoteReference w:id="18"/>
      </w:r>
    </w:p>
    <w:p w14:paraId="524832BA" w14:textId="5BAEC4FF" w:rsidR="009A6811" w:rsidRDefault="009A6811" w:rsidP="000E3616">
      <w:pPr>
        <w:spacing w:after="240" w:line="240" w:lineRule="auto"/>
        <w:jc w:val="both"/>
        <w:rPr>
          <w:rFonts w:ascii="Times New Roman" w:eastAsia="Times New Roman" w:hAnsi="Times New Roman" w:cs="Times New Roman"/>
          <w:noProof/>
          <w:sz w:val="24"/>
          <w:szCs w:val="24"/>
        </w:rPr>
      </w:pPr>
      <w:r>
        <w:rPr>
          <w:rFonts w:ascii="Times New Roman" w:hAnsi="Times New Roman"/>
          <w:b/>
          <w:noProof/>
          <w:color w:val="000000" w:themeColor="text1"/>
          <w:sz w:val="24"/>
        </w:rPr>
        <w:t>Viime vuodet ovat myös osoittaneet, että vakavien kriisien, vaikeuksien ja uhkien yleisyys, vakavuus ja syvyys ovat lisääntyneet.</w:t>
      </w:r>
      <w:r>
        <w:rPr>
          <w:rFonts w:ascii="Times New Roman" w:hAnsi="Times New Roman"/>
          <w:noProof/>
          <w:color w:val="000000" w:themeColor="text1"/>
          <w:sz w:val="24"/>
        </w:rPr>
        <w:t xml:space="preserve"> Nykyisen talousarvion rakenteen jäykkyys on rajoittanut unionin kykyä reagoida tällaisiin kriiseihin. Siksi onkin korostunut, kuinka tärkeää on varmistaa, että unionilla on rakenteelliset valmiudet sekä joustavat ja asianmukaiset välineet niihin reagoimiseksi.</w:t>
      </w:r>
    </w:p>
    <w:p w14:paraId="4069FFF9" w14:textId="7EAE9FF3" w:rsidR="00F97A38" w:rsidRPr="007F40C0" w:rsidRDefault="70C765E0" w:rsidP="34B5AF24">
      <w:pPr>
        <w:spacing w:after="240" w:line="240" w:lineRule="auto"/>
        <w:jc w:val="both"/>
        <w:rPr>
          <w:rFonts w:ascii="Times New Roman" w:eastAsia="Times New Roman" w:hAnsi="Times New Roman" w:cs="Times New Roman"/>
          <w:noProof/>
          <w:color w:val="000000" w:themeColor="text1"/>
          <w:sz w:val="24"/>
          <w:szCs w:val="24"/>
        </w:rPr>
      </w:pPr>
      <w:bookmarkStart w:id="4" w:name="_Hlk203220511"/>
      <w:r>
        <w:rPr>
          <w:rFonts w:ascii="Times New Roman" w:hAnsi="Times New Roman"/>
          <w:b/>
          <w:noProof/>
          <w:color w:val="000000" w:themeColor="text1"/>
          <w:sz w:val="24"/>
        </w:rPr>
        <w:t xml:space="preserve">Tätä varten perustetaan uusi poikkeuksellinen ja väliaikainen mekanismi, jolla voidaan reagoida unioniin tai sen jäsenvaltioihin vaikuttavien vakavien kriisien, vaikeuksien tai uhkien seurauksiin. </w:t>
      </w:r>
      <w:r>
        <w:rPr>
          <w:rFonts w:ascii="Times New Roman" w:hAnsi="Times New Roman"/>
          <w:noProof/>
          <w:color w:val="000000" w:themeColor="text1"/>
          <w:sz w:val="24"/>
        </w:rPr>
        <w:t>Tämä poikkeuksellinen kriisinhallintaväline tarjoaa jäsenvaltioille EU:n lainanotolla tuettuja lainoja ainoastaan, jos tulevan pitkän aikavälin talousarvion kaudella puhkeaa vakava kriisi. Neuvosto päättää tämän poikkeuksellisen ja kohdennetun kriisinhallintavälineen käyttöönotosta Euroopan parlamentin hyväksynnän saatuaan kriisin erityispiirteet ja tarpeet huomioon ottaen. Neuvosto antaa tarpeen mukaan ja olosuhteista riippuen komissiolle luvan ottaa lainaa pääomamarkkinoilta määrän, joka on tarpeen edelleen jäsenvaltioille myönnettäviä lainoja varten. Seuraavan pitkän aikavälin talousarvion avulla on pystyttävä reagoimaan nopeasti ja tehokkaasti vakavan kriisin puhjetessa. Tämän kriisinhallintavälineen toimeenpanossa varmistetaan toimielinten välinen tasapaino muun muassa Euroopan parlamentin asianmukaisen ja riittävän osallistumisen kautta.</w:t>
      </w:r>
    </w:p>
    <w:bookmarkEnd w:id="4"/>
    <w:p w14:paraId="1167901F" w14:textId="78523550" w:rsidR="00731B09" w:rsidRDefault="29827EA7" w:rsidP="00B70BDB">
      <w:pPr>
        <w:spacing w:after="240" w:line="240" w:lineRule="auto"/>
        <w:jc w:val="both"/>
        <w:rPr>
          <w:rFonts w:ascii="Times New Roman" w:eastAsia="Times New Roman" w:hAnsi="Times New Roman" w:cs="Times New Roman"/>
          <w:noProof/>
          <w:sz w:val="24"/>
          <w:szCs w:val="24"/>
        </w:rPr>
      </w:pPr>
      <w:r>
        <w:rPr>
          <w:rFonts w:ascii="Times New Roman" w:hAnsi="Times New Roman"/>
          <w:b/>
          <w:noProof/>
          <w:sz w:val="24"/>
        </w:rPr>
        <w:t>Uusi poliittinen ohjausmekanismi mahdollistaa vahvan toimielinten välisen hallinnoinnin joustavien resurssien kohdentamisessa.</w:t>
      </w:r>
      <w:r>
        <w:rPr>
          <w:rFonts w:ascii="Times New Roman" w:hAnsi="Times New Roman"/>
          <w:noProof/>
          <w:sz w:val="24"/>
        </w:rPr>
        <w:t xml:space="preserve"> Joustavuutta tuetaan vankalla hallinnoinnilla ja läpinäkyvillä menettelyillä, joissa Euroopan parlamentti ja neuvosto ohjaavat EU:n ohjelmien investointiprioriteetteja. Talousarvion joustavuuden lisääntyessä EU:n toimielinten on määritettävä ensisijaiset tavoitteet, joita on rahoitettava ja jotka otetaan huomioon vuotuisessa talousarviomenettelyssä. Ohjausmekanismi pitää EU:n talousarvion unionin painopisteiden mukaisena ja mahdollistaa joustavamman reagoimisen nopeasti muuttuvaan todellisuuteen. Sen tukena on yhdennetty strategiaraportti, joka perustuu nykyisiin alakohtaisiin prosesseihin ja raportteihin, kuten talouspolitiikan EU-ohjausjaksoon, uuteen kilpailukyvyn koordinointivälineeseen, energiaunionin tilannekatsaukseen, kansallisiin energia- ja ilmastosuunnitelmiin, ympäristöpolitiikan täytäntöönpanon arviointiin sekä sisämarkkinoita ja kilpailukykyä koskevaan vuosikertomukseen. Raportissa määritellään keskeisten politiikanalojen mukaan ryhmiteltynä EU:n tason painopisteet, joista keskustellaan ja joista sovitaan Euroopan parlamentissa, neuvostossa ja komissiossa. </w:t>
      </w:r>
    </w:p>
    <w:p w14:paraId="69199A96" w14:textId="1AE2FDD9" w:rsidR="0039208C" w:rsidRDefault="00F22D0B" w:rsidP="000E3616">
      <w:pPr>
        <w:spacing w:after="240" w:line="240" w:lineRule="auto"/>
        <w:jc w:val="both"/>
        <w:rPr>
          <w:rFonts w:ascii="Times New Roman" w:eastAsia="Times New Roman" w:hAnsi="Times New Roman" w:cs="Times New Roman"/>
          <w:b/>
          <w:bCs/>
          <w:noProof/>
          <w:sz w:val="24"/>
          <w:szCs w:val="24"/>
        </w:rPr>
      </w:pPr>
      <w:r>
        <w:rPr>
          <w:rFonts w:ascii="Times New Roman" w:hAnsi="Times New Roman"/>
          <w:b/>
          <w:noProof/>
          <w:color w:val="000000" w:themeColor="text1"/>
          <w:sz w:val="24"/>
        </w:rPr>
        <w:t xml:space="preserve">Talousarvion kapasiteetti ei saisi riippua odottamattomista inflaatiohäiriöistä. </w:t>
      </w:r>
      <w:r>
        <w:rPr>
          <w:rFonts w:ascii="Times New Roman" w:hAnsi="Times New Roman"/>
          <w:noProof/>
          <w:color w:val="000000" w:themeColor="text1"/>
          <w:sz w:val="24"/>
        </w:rPr>
        <w:t>Viime vuosina korkea inflaatio on heikentänyt EU:n talousarvion ostovoimaa huomattavasti.</w:t>
      </w:r>
      <w:r w:rsidR="00B6228B" w:rsidRPr="000D6231">
        <w:rPr>
          <w:rStyle w:val="FootnoteReference"/>
          <w:rFonts w:ascii="Times New Roman" w:eastAsia="Times New Roman" w:hAnsi="Times New Roman" w:cs="Times New Roman"/>
          <w:noProof/>
          <w:color w:val="000000" w:themeColor="text1"/>
          <w:sz w:val="24"/>
          <w:szCs w:val="24"/>
        </w:rPr>
        <w:footnoteReference w:id="19"/>
      </w:r>
      <w:r>
        <w:rPr>
          <w:rFonts w:ascii="Times New Roman" w:hAnsi="Times New Roman"/>
          <w:noProof/>
          <w:color w:val="000000" w:themeColor="text1"/>
          <w:sz w:val="24"/>
        </w:rPr>
        <w:t xml:space="preserve"> Tämä johti alueviranomaisille, viljelijöille ja tutkijoille tarkoitettujen määrärahojen pienenemiseen. Komissio ehdottaa seuraavaa pitkän aikavälin talousarviota varten, että enimmäismäärät perustuvat edelleen kiinteän kahden prosentin deflaatiokertoimeen, kun EU:n inflaatio on 1–3 prosenttia. Jos inflaatio on alle 1 prosenttia tai yli 3 prosenttia, mukautus tehdään toteutuneen inflaation perusteella, jotta varmistetaan, että EU:n talousarvion suoriutumiskyky ei kärsi kohtuuttomasti.</w:t>
      </w:r>
    </w:p>
    <w:p w14:paraId="02532469" w14:textId="1F4E545D" w:rsidR="002E4FEE" w:rsidRPr="000D6231" w:rsidRDefault="2AD6DCD6" w:rsidP="000E3616">
      <w:pPr>
        <w:spacing w:after="240" w:line="240" w:lineRule="auto"/>
        <w:jc w:val="both"/>
        <w:rPr>
          <w:rFonts w:ascii="Times New Roman" w:hAnsi="Times New Roman" w:cs="Times New Roman"/>
          <w:noProof/>
          <w:sz w:val="24"/>
          <w:szCs w:val="24"/>
        </w:rPr>
      </w:pPr>
      <w:r>
        <w:rPr>
          <w:rFonts w:ascii="Times New Roman" w:hAnsi="Times New Roman"/>
          <w:b/>
          <w:noProof/>
          <w:sz w:val="24"/>
        </w:rPr>
        <w:t xml:space="preserve">Joustavuus mahdollistaa sopeutumisen muuttuviin olosuhteisiin ja ennustettavuus on tarpeen edunsaajien ja jäsenvaltioiden rahoitussuunnittelun kannalta. </w:t>
      </w:r>
      <w:r>
        <w:rPr>
          <w:rFonts w:ascii="Times New Roman" w:hAnsi="Times New Roman"/>
          <w:noProof/>
          <w:sz w:val="24"/>
        </w:rPr>
        <w:t>Useat komission ehdotusten seikat parantavat ennustettavuutta seuraavassa pitkän aikavälin talousarviossa – enimmäismäärien ylittävien välineiden vähentämisestä ja järkeistämisestä alkaen.</w:t>
      </w:r>
      <w:r>
        <w:rPr>
          <w:rFonts w:ascii="Times New Roman" w:hAnsi="Times New Roman"/>
          <w:noProof/>
          <w:color w:val="000000" w:themeColor="text1"/>
          <w:sz w:val="24"/>
        </w:rPr>
        <w:t xml:space="preserve"> NextGenerationEU-välineen takaisinmaksusta tulee ennustettavampaa kuin nykyisellä kaudella, koska uusia joukkolainojen nettoliikkeeseenlaskuja ei tehdä. Rahoitusoperaatioista johtuva jäljellä oleva volatiliteetti katetaan kokonaisuudessaan NextGenerationEU-välineen takaisinmaksuun varatuilla vuotuisilla kokonaismäärärahoilla myös korkojen ja pääoman osalta.</w:t>
      </w:r>
    </w:p>
    <w:p w14:paraId="11006EEE" w14:textId="0C9A6875" w:rsidR="00660C61" w:rsidRPr="000D6231" w:rsidRDefault="00660C61" w:rsidP="000E3616">
      <w:pPr>
        <w:spacing w:after="240" w:line="240" w:lineRule="auto"/>
        <w:jc w:val="both"/>
        <w:rPr>
          <w:rFonts w:ascii="Times New Roman" w:hAnsi="Times New Roman" w:cs="Times New Roman"/>
          <w:noProof/>
          <w:sz w:val="24"/>
          <w:szCs w:val="24"/>
        </w:rPr>
      </w:pPr>
    </w:p>
    <w:p w14:paraId="58AC5463" w14:textId="72ABFFFB" w:rsidR="00660C61" w:rsidRDefault="00660C61" w:rsidP="000E3616">
      <w:pPr>
        <w:pStyle w:val="ListParagraph"/>
        <w:numPr>
          <w:ilvl w:val="0"/>
          <w:numId w:val="34"/>
        </w:numPr>
        <w:spacing w:after="240" w:line="240" w:lineRule="auto"/>
        <w:contextualSpacing w:val="0"/>
        <w:jc w:val="both"/>
        <w:rPr>
          <w:rFonts w:ascii="Times New Roman" w:hAnsi="Times New Roman" w:cs="Times New Roman"/>
          <w:b/>
          <w:bCs/>
          <w:noProof/>
          <w:color w:val="FF0000"/>
          <w:sz w:val="24"/>
          <w:szCs w:val="24"/>
        </w:rPr>
      </w:pPr>
      <w:r>
        <w:rPr>
          <w:rFonts w:ascii="Times New Roman" w:hAnsi="Times New Roman"/>
          <w:b/>
          <w:noProof/>
          <w:sz w:val="24"/>
        </w:rPr>
        <w:t xml:space="preserve">EU:LLE YKSINKERTAISEMPI JA VAIKUTTAVAMPI TALOUSARVIO </w:t>
      </w:r>
    </w:p>
    <w:p w14:paraId="07794B30" w14:textId="63B26445" w:rsidR="0031257F" w:rsidRDefault="003C30D0" w:rsidP="00105E2C">
      <w:pPr>
        <w:spacing w:after="240" w:line="240" w:lineRule="auto"/>
        <w:jc w:val="both"/>
        <w:rPr>
          <w:rFonts w:ascii="Times New Roman" w:hAnsi="Times New Roman" w:cs="Times New Roman"/>
          <w:noProof/>
          <w:sz w:val="24"/>
          <w:szCs w:val="24"/>
        </w:rPr>
      </w:pPr>
      <w:r>
        <w:rPr>
          <w:rFonts w:ascii="Times New Roman" w:hAnsi="Times New Roman"/>
          <w:b/>
          <w:noProof/>
          <w:sz w:val="24"/>
        </w:rPr>
        <w:t>EU:n talousarvio on suunniteltu ennen kaikkea rahoituksen lopullisia saajia silmällä pitäen</w:t>
      </w:r>
      <w:r>
        <w:rPr>
          <w:rFonts w:ascii="Times New Roman" w:hAnsi="Times New Roman"/>
          <w:noProof/>
          <w:sz w:val="24"/>
        </w:rPr>
        <w:t>. EU:n rahoituksen saantia koskevien sääntöjen ja prosessien yksinkertaistaminen ja yhdenmukaistaminen vähentää EU-rahoitusta saavien ja siitä hyötyvien, erityisesti pienyritysten, taakkaa. Kun sääntöjä ja tarkastusvaatimuksia yksinkertaistetaan, hankkeiden toteuttajat voivat keskittyä haluttujen tulosten saavuttamiseen.</w:t>
      </w:r>
    </w:p>
    <w:p w14:paraId="6925CC2F" w14:textId="67C80B26" w:rsidR="00B27900" w:rsidRDefault="61CFA39F" w:rsidP="000E3616">
      <w:pPr>
        <w:spacing w:after="240" w:line="240" w:lineRule="auto"/>
        <w:jc w:val="both"/>
        <w:rPr>
          <w:rFonts w:ascii="Times New Roman" w:hAnsi="Times New Roman" w:cs="Times New Roman"/>
          <w:noProof/>
          <w:sz w:val="24"/>
          <w:szCs w:val="24"/>
        </w:rPr>
      </w:pPr>
      <w:r>
        <w:rPr>
          <w:rFonts w:ascii="Times New Roman" w:hAnsi="Times New Roman"/>
          <w:b/>
          <w:noProof/>
          <w:sz w:val="24"/>
        </w:rPr>
        <w:t xml:space="preserve">EU-rahoituksen saanti helpottuu. </w:t>
      </w:r>
      <w:r>
        <w:rPr>
          <w:rFonts w:ascii="Times New Roman" w:hAnsi="Times New Roman"/>
          <w:noProof/>
          <w:sz w:val="24"/>
        </w:rPr>
        <w:t xml:space="preserve">Tieto rahoitusmahdollisuuksista kootaan yhteen portaaliin, joka tarjoaa EU-hankkeiden toteuttajille keskitetyn palveluväylän. Sen kautta kaikki tarvittava tieto on helpommin saatavilla. Tässä uudistuksessa hyödynnetään kokemuksia, joita on saatu Funding &amp; Tenders -portaalista ja STEP-portaalista. Neuvonta- ja yritystukipalveluja sujuvoitetaan. Tämä lyhentää rahoitusmahdollisuuksia koskevien tietojen löytämiseen tarvittavaa aikaa. </w:t>
      </w:r>
    </w:p>
    <w:p w14:paraId="08E84794" w14:textId="0060912B" w:rsidR="00B27900" w:rsidRDefault="00283DB7" w:rsidP="000E3616">
      <w:pPr>
        <w:spacing w:after="240" w:line="240" w:lineRule="auto"/>
        <w:jc w:val="both"/>
        <w:rPr>
          <w:rFonts w:ascii="Times New Roman" w:hAnsi="Times New Roman" w:cs="Times New Roman"/>
          <w:noProof/>
          <w:sz w:val="24"/>
          <w:szCs w:val="24"/>
        </w:rPr>
      </w:pPr>
      <w:r>
        <w:rPr>
          <w:rFonts w:ascii="Times New Roman" w:hAnsi="Times New Roman"/>
          <w:b/>
          <w:noProof/>
          <w:sz w:val="24"/>
        </w:rPr>
        <w:t>Seuraava rahoituskehys on rakenteeltaan yksinkertaisempi, ohjelmia on vähemmän, hallinnollinen taakka kevenee.</w:t>
      </w:r>
      <w:r>
        <w:rPr>
          <w:rFonts w:ascii="Times New Roman" w:hAnsi="Times New Roman"/>
          <w:noProof/>
          <w:sz w:val="24"/>
        </w:rPr>
        <w:t xml:space="preserve"> </w:t>
      </w:r>
      <w:r>
        <w:rPr>
          <w:rFonts w:ascii="Times New Roman" w:hAnsi="Times New Roman"/>
          <w:noProof/>
          <w:color w:val="000000" w:themeColor="text1"/>
          <w:sz w:val="24"/>
        </w:rPr>
        <w:t>Näin vähennetään päällekkäisyyksiä, maksimoidaan synergiat ja mittakaavaedut</w:t>
      </w:r>
      <w:r>
        <w:rPr>
          <w:rFonts w:ascii="Times New Roman" w:hAnsi="Times New Roman"/>
          <w:noProof/>
          <w:sz w:val="24"/>
        </w:rPr>
        <w:t xml:space="preserve"> ja parannetaan talousarvion ymmärrettävyyttä sekä kansalaisten että eri sidosryhmien kannalta. Lisäksi vakaiden sääntelypuitteiden luominen jaettuun/suoraan ja välilliseen hallinnointiin keventää </w:t>
      </w:r>
      <w:r>
        <w:rPr>
          <w:rFonts w:ascii="Times New Roman" w:hAnsi="Times New Roman"/>
          <w:noProof/>
          <w:color w:val="000000" w:themeColor="text1"/>
          <w:sz w:val="24"/>
        </w:rPr>
        <w:t>hallinnollista taakkaa</w:t>
      </w:r>
      <w:r>
        <w:rPr>
          <w:rFonts w:ascii="Times New Roman" w:hAnsi="Times New Roman"/>
          <w:noProof/>
          <w:sz w:val="24"/>
        </w:rPr>
        <w:t>. Kansallisten ja alueellisten kumppanuussuunnitelmien myötä voimme huomattavasti vähentää erilaisten toimintaohjelmien dokumentointia verrattuna nykytilanteeseen, jossa lukuisien eri rahastojen yhteydessä on tehtävä lukuisia suunnitelmapapereita ja työohjelmia. Tämä poistaa työtaakkaa kansallisilta ja aluehallinnoilta.</w:t>
      </w:r>
    </w:p>
    <w:p w14:paraId="58632FFB" w14:textId="17B7C1A7" w:rsidR="00122DEE" w:rsidRDefault="4F3C9B7B" w:rsidP="000E3616">
      <w:pPr>
        <w:spacing w:after="240" w:line="240" w:lineRule="auto"/>
        <w:jc w:val="both"/>
        <w:rPr>
          <w:rFonts w:ascii="Times New Roman" w:hAnsi="Times New Roman" w:cs="Times New Roman"/>
          <w:noProof/>
          <w:sz w:val="24"/>
          <w:szCs w:val="24"/>
        </w:rPr>
      </w:pPr>
      <w:r>
        <w:rPr>
          <w:rFonts w:ascii="Times New Roman" w:hAnsi="Times New Roman"/>
          <w:b/>
          <w:noProof/>
          <w:sz w:val="24"/>
        </w:rPr>
        <w:t xml:space="preserve">Vaikuttavuuden lisäämiseksi EU:n uusi pitkän aikavälin talousarvio perustuu laajalti tulosperusteiseen rahoitukseen. </w:t>
      </w:r>
      <w:r>
        <w:rPr>
          <w:rFonts w:ascii="Times New Roman" w:hAnsi="Times New Roman"/>
          <w:noProof/>
          <w:sz w:val="24"/>
        </w:rPr>
        <w:t>Näin siirretään katse olennaiseen: on varmistettava, että investoinneilla saavutetaan toivotut tulokset. Tulosperusteisella rahoituksella, jossa rahoitusta maksetaan vain välitavoitteiden saavuttamisen mukaan, varmistetaan, että EU:n rahoitus kohdentuu reaalitalouteen nykyistä nopeammin. Yksinkertaistettujen kustannusvaihtoehtojen ja kustannuksiin perustumattoman rahoituksen laajempi käyttö vähentää merkittävästi rahoituksen saajien raportointivelvoitteita, kun tarkastukset ja todennukset keskitetään hankkeiden tuotoksiin eikä kustannuksiin.</w:t>
      </w:r>
    </w:p>
    <w:p w14:paraId="5061BBF5" w14:textId="13ADC25D" w:rsidR="008A14BB" w:rsidRDefault="77F2B2C7" w:rsidP="000E3616">
      <w:pPr>
        <w:spacing w:after="240" w:line="240" w:lineRule="auto"/>
        <w:jc w:val="both"/>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Rahoitusvälineiden ja talousarviotakausten laajempi käyttö vahvistaa vipuvaikutusta ja antaa EU:n talousarviolle vahvemman roolin</w:t>
      </w:r>
      <w:r>
        <w:rPr>
          <w:rFonts w:ascii="Times New Roman" w:hAnsi="Times New Roman"/>
          <w:noProof/>
          <w:color w:val="000000" w:themeColor="text1"/>
          <w:sz w:val="24"/>
        </w:rPr>
        <w:t xml:space="preserve"> yksityisten investointien riskitason alentamisessa ja rahoituksen saamisessa institutionaalisilta sijoittajilta.</w:t>
      </w:r>
      <w:r>
        <w:rPr>
          <w:rFonts w:ascii="Times New Roman" w:hAnsi="Times New Roman"/>
          <w:b/>
          <w:noProof/>
          <w:color w:val="000000" w:themeColor="text1"/>
          <w:sz w:val="24"/>
        </w:rPr>
        <w:t xml:space="preserve"> </w:t>
      </w:r>
      <w:r>
        <w:rPr>
          <w:rFonts w:ascii="Times New Roman" w:hAnsi="Times New Roman"/>
          <w:noProof/>
          <w:color w:val="000000" w:themeColor="text1"/>
          <w:sz w:val="24"/>
        </w:rPr>
        <w:t xml:space="preserve">Yksityisillä kumppaneilla ja yksityisen sektorin investoinneilla on yhä kasvava merkitys monissa toimintapolitiikoissa ja ohjelmissa. Sen vuoksi EU:n talousarviotakaukset, rahoitusvälineet ja eri rahoitusmuotojen yhdistelmät (joissa yhdistetään takaisinmaksettavaa tukea ja avustuksia) tulevat olemaan olennainen osa keinovalikoimaa, jolla tuetaan riskipääoman, lainojen ja pääomasijoitusten kaltaisia rahoitustuotteita. </w:t>
      </w:r>
    </w:p>
    <w:p w14:paraId="018A0C7F" w14:textId="654F28D4" w:rsidR="00060545" w:rsidRDefault="00617BCB" w:rsidP="000E3616">
      <w:pPr>
        <w:spacing w:after="240" w:line="240" w:lineRule="auto"/>
        <w:jc w:val="both"/>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Rahoitusvälineiden ja talousarviotakausten käytön lisääntyessä yksinkertaistetaan samalla hallintoa.</w:t>
      </w:r>
      <w:r>
        <w:rPr>
          <w:rFonts w:ascii="Times New Roman" w:hAnsi="Times New Roman"/>
          <w:noProof/>
          <w:color w:val="000000" w:themeColor="text1"/>
          <w:sz w:val="24"/>
        </w:rPr>
        <w:t xml:space="preserve"> Sekä sisäisiä että ulkoisia rahoitusohjelmia koskevien teknisten sääntöjen yhdenmukaistaminen tekee talousarvion käytöstä johdonmukaisempaa ja vähentää rahoitusta käyttävien kumppanien hallinnollista taakkaa. Tähän tarkoitukseen tullaan luomaan EU:n sisäisiä politiikkoja varten yksi ainoa talousarviotakaus, joka muodostetaan Euroopan kilpailukykyrahaston puitteissa, mutta on käytettävissä myös muissa ohjelmissa. Sen oheen luodaan erillinen takaus ulkopoliittisiin tarpeisiin Globaali Eurooppa -järjestelyn puitteissa. EU:n pitkän aikavälin talousarvion keskeisenä piirteenä on ollut avoin arkkitehtuuri, joka mahdollistaa yhteistyön useiden kansainvälisten rahoituslaitosten, kuten Euroopan investointipankin, Euroopan jälleenrakennus- ja kehityspankin, kansallisten kehityspankkien ja kehitysrahoituslaitosten, kanssa. Näin tulee olemaan jatkossakin.</w:t>
      </w:r>
    </w:p>
    <w:p w14:paraId="1D2E9AB2" w14:textId="5AC86465" w:rsidR="00060545" w:rsidRPr="00060545" w:rsidRDefault="00CC6CA1" w:rsidP="00105E2C">
      <w:pPr>
        <w:spacing w:after="240" w:line="240" w:lineRule="auto"/>
        <w:jc w:val="both"/>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EU:n seuraavan pitkän aikavälin talousarvion vaikuttavuutta lisätään entisestään myöntämällä toimintapoliittisiin tavoitteisiin sidottuja lainoja jäsenvaltioille ja Globaali Eurooppa -järjestelyn puitteissa kolmansille maille, mikä edelleen vivuttaa hyötyjä EU:n rahoitusarkkitehtuurin avulla</w:t>
      </w:r>
      <w:r>
        <w:rPr>
          <w:rFonts w:ascii="Times New Roman" w:hAnsi="Times New Roman"/>
          <w:noProof/>
          <w:color w:val="000000" w:themeColor="text1"/>
          <w:sz w:val="24"/>
        </w:rPr>
        <w:t>. Tämä lisää EU:n talousarvion vaikuttavuutta tuomalla lisävaroja EU:n politiikkatavoitteiden tukemiseen ottamalla omaa lainaa edelleenlainaamista varten ja vastaamalla samalla maakohtaisiin haasteisiin. Tällainen lisätuki tulee olemaan jäsenvaltioiden saatavilla niiden suunnitellessa alustavaa suunnitelmaansa, jolloin niiden saatavilla on tarpeisiinsa ja tavoitetasoonsa sovitettu määrä rahoitusta.</w:t>
      </w:r>
    </w:p>
    <w:p w14:paraId="11B05C39" w14:textId="060348C2" w:rsidR="08C5048A" w:rsidRPr="000D6231" w:rsidRDefault="00982EC2" w:rsidP="00105E2C">
      <w:pPr>
        <w:spacing w:after="240" w:line="240" w:lineRule="auto"/>
        <w:jc w:val="both"/>
        <w:rPr>
          <w:rFonts w:ascii="Times New Roman" w:eastAsiaTheme="minorEastAsia" w:hAnsi="Times New Roman" w:cs="Times New Roman"/>
          <w:noProof/>
          <w:sz w:val="24"/>
          <w:szCs w:val="24"/>
        </w:rPr>
      </w:pPr>
      <w:r>
        <w:rPr>
          <w:rFonts w:ascii="Times New Roman" w:hAnsi="Times New Roman"/>
          <w:b/>
          <w:noProof/>
          <w:sz w:val="24"/>
        </w:rPr>
        <w:t xml:space="preserve">EU:n ja kansallisten investointipainotusten parempi keskinäinen johdonmukaisuus maksimoi rahoituksen vaikuttavuuden ja tuloksellisuuden. </w:t>
      </w:r>
      <w:r>
        <w:rPr>
          <w:rFonts w:ascii="Times New Roman" w:hAnsi="Times New Roman"/>
          <w:noProof/>
          <w:sz w:val="24"/>
        </w:rPr>
        <w:t>Tulevat kansalliset ja alueelliset kumppanuussuunnitelmat auttavat EU:ta, jäsenvaltioita ja niiden alueita saattamaan investointi- ja uudistuspainotuksiaan paremmin keskenään linjaan. Näissä kumppanuuksissa yhdistetään EU:n ja kansallinen yhteisrahoitus juuri niiden aloitteiden rahoittamiseen, jotka palvelevat EU:n painopisteitä mutta kykenevät kuitenkin vastaamaan samalla paikallisiin tarpeisiin.</w:t>
      </w:r>
    </w:p>
    <w:p w14:paraId="4AB3A831" w14:textId="1547AFA5" w:rsidR="00C8291D" w:rsidRDefault="03F592AF" w:rsidP="0079308F">
      <w:pPr>
        <w:spacing w:after="240" w:line="240" w:lineRule="auto"/>
        <w:jc w:val="both"/>
        <w:rPr>
          <w:rFonts w:ascii="Times New Roman" w:eastAsiaTheme="minorEastAsia" w:hAnsi="Times New Roman" w:cs="Times New Roman"/>
          <w:noProof/>
          <w:sz w:val="24"/>
          <w:szCs w:val="24"/>
        </w:rPr>
      </w:pPr>
      <w:r>
        <w:rPr>
          <w:rFonts w:ascii="Times New Roman" w:hAnsi="Times New Roman"/>
          <w:b/>
          <w:noProof/>
          <w:sz w:val="24"/>
        </w:rPr>
        <w:t>Parannettu tulosseurantajärjestelmä tukee EU:n poliittisten painopisteiden toteutumista ja lisää läpinäkyvyyttä.</w:t>
      </w:r>
      <w:r>
        <w:rPr>
          <w:rFonts w:ascii="Times New Roman" w:hAnsi="Times New Roman"/>
          <w:noProof/>
          <w:sz w:val="24"/>
        </w:rPr>
        <w:t xml:space="preserve"> Sillä varmistetaan, että horisontaalisia painopisteitä, kuten ilmastotoimia ja biologista monimuotoisuutta, ”ei merkittävää haittaa” -periaatetta, sosiaalipolitiikkaa ja sukupuolten tasa-arvoa, sovelletaan johdonmukaisesti EU:n talousarviossa kautta linjan. </w:t>
      </w:r>
    </w:p>
    <w:p w14:paraId="2724893A" w14:textId="54063900" w:rsidR="003B4D5D" w:rsidRDefault="00115380" w:rsidP="0079308F">
      <w:pPr>
        <w:spacing w:after="240" w:line="240" w:lineRule="auto"/>
        <w:jc w:val="both"/>
        <w:rPr>
          <w:rFonts w:ascii="Times New Roman" w:hAnsi="Times New Roman" w:cs="Times New Roman"/>
          <w:noProof/>
          <w:sz w:val="24"/>
          <w:szCs w:val="24"/>
        </w:rPr>
      </w:pPr>
      <w:r>
        <w:rPr>
          <w:rFonts w:ascii="Times New Roman" w:hAnsi="Times New Roman"/>
          <w:b/>
          <w:noProof/>
          <w:sz w:val="24"/>
        </w:rPr>
        <w:t>Tavoitteeksi on asetettu, että ilmasto- ja ympäristömenot ovat vähintään 35 prosenttia talousarvion kokonaismäärästä, mikä auttaa suuntaamaan tukea Euroopan vihreän kehityksen ohjelman tavoitteisiin.</w:t>
      </w:r>
      <w:r>
        <w:rPr>
          <w:rFonts w:ascii="Times New Roman" w:hAnsi="Times New Roman"/>
          <w:noProof/>
          <w:sz w:val="24"/>
        </w:rPr>
        <w:t xml:space="preserve"> Tulosseurantajärjestelmässä vahvistetaan myös yhtenäiset ja oikeasuhteiset säännöt ”ei merkittävää haittaa” -periaatteen noudattamiselle kaikissa EU:n ohjelmissa. </w:t>
      </w:r>
    </w:p>
    <w:p w14:paraId="5394019A" w14:textId="07582101" w:rsidR="03F592AF" w:rsidRPr="005C4743" w:rsidRDefault="00A036C5" w:rsidP="0079308F">
      <w:pPr>
        <w:spacing w:after="240" w:line="240" w:lineRule="auto"/>
        <w:jc w:val="both"/>
        <w:rPr>
          <w:rFonts w:ascii="Times New Roman" w:hAnsi="Times New Roman"/>
          <w:noProof/>
          <w:sz w:val="24"/>
        </w:rPr>
      </w:pPr>
      <w:r>
        <w:rPr>
          <w:rFonts w:ascii="Times New Roman" w:hAnsi="Times New Roman"/>
          <w:b/>
          <w:noProof/>
          <w:sz w:val="24"/>
        </w:rPr>
        <w:t>Tulosseurantajärjestelmällä yksinkertaistetaan merkittävästi seurantaa ja raportointia ja vähennetään niistä aiheutuvaa hallinnollista taakkaa.</w:t>
      </w:r>
      <w:r>
        <w:rPr>
          <w:rFonts w:ascii="Times New Roman" w:hAnsi="Times New Roman"/>
          <w:noProof/>
          <w:sz w:val="24"/>
        </w:rPr>
        <w:t xml:space="preserve"> Kaikkiin asiaankuuluviin ohjelmiin sovelletaan yhtä ja samaa menojenseuranta- ja tulosseurantajärjestelmää, mikä antaa kattavan yleiskuvan siitä, mihin EU:n varoja käytetään ja mitä niillä saadaan aikaan. Yli 5000 indikaattoria korvataan noin 900 virtaviivaistetulla tuotos- ja tulosindikaattorilla, 32 ohjelmakohtaista raporttia kootaan yhdeksi vuotuiseksi hallinto- ja tuloksellisuusraportiksi ja yli 30 talousarviotietoa sisältävää verkkoportaalia yhdistetään yhdeksi käyttäjäystävälliseksi yhteyspisteeksi (’keskitetyksi palveluväyläksi’), mikä keventää edunsaajien taakkaa ja parantaa talousarviotietojen julkista saatavuutta. Tämä varmistaa Euroopan tilintarkastustuomioistuimen suositusten mukaisesti, että EU:n talousarvion vaikuttavuutta ja tehokkuutta voidaan arvioida johdonmukaisesti.</w:t>
      </w:r>
      <w:r w:rsidR="03F592AF" w:rsidRPr="4D730E0A">
        <w:rPr>
          <w:rStyle w:val="FootnoteReference"/>
          <w:rFonts w:ascii="Times New Roman" w:eastAsia="Times New Roman" w:hAnsi="Times New Roman" w:cs="Times New Roman"/>
          <w:noProof/>
          <w:sz w:val="24"/>
          <w:szCs w:val="24"/>
        </w:rPr>
        <w:footnoteReference w:id="20"/>
      </w:r>
      <w:r>
        <w:rPr>
          <w:rFonts w:ascii="Times New Roman" w:hAnsi="Times New Roman"/>
          <w:noProof/>
          <w:sz w:val="24"/>
        </w:rPr>
        <w:t xml:space="preserve">  </w:t>
      </w:r>
    </w:p>
    <w:p w14:paraId="5FA55AC7" w14:textId="04386C04" w:rsidR="00660C61" w:rsidRPr="000D6231" w:rsidRDefault="00660C61" w:rsidP="000E3616">
      <w:pPr>
        <w:spacing w:after="240" w:line="240" w:lineRule="auto"/>
        <w:jc w:val="both"/>
        <w:rPr>
          <w:rFonts w:ascii="Times New Roman" w:hAnsi="Times New Roman" w:cs="Times New Roman"/>
          <w:noProof/>
          <w:sz w:val="24"/>
          <w:szCs w:val="24"/>
        </w:rPr>
      </w:pPr>
    </w:p>
    <w:p w14:paraId="240EB6B8" w14:textId="7A2ADD96" w:rsidR="006236A0" w:rsidRDefault="00D1721F" w:rsidP="006236A0">
      <w:pPr>
        <w:pStyle w:val="ListParagraph"/>
        <w:numPr>
          <w:ilvl w:val="0"/>
          <w:numId w:val="34"/>
        </w:numPr>
        <w:spacing w:after="240" w:line="240" w:lineRule="auto"/>
        <w:contextualSpacing w:val="0"/>
        <w:jc w:val="both"/>
        <w:rPr>
          <w:rFonts w:ascii="Times New Roman" w:hAnsi="Times New Roman" w:cs="Times New Roman"/>
          <w:b/>
          <w:bCs/>
          <w:noProof/>
          <w:sz w:val="24"/>
          <w:szCs w:val="24"/>
        </w:rPr>
      </w:pPr>
      <w:r>
        <w:rPr>
          <w:rFonts w:ascii="Times New Roman" w:hAnsi="Times New Roman"/>
          <w:b/>
          <w:noProof/>
          <w:sz w:val="24"/>
        </w:rPr>
        <w:t>OIKEUSVALTIOPERIAATE, PERUSOIKEUDET JA UNIONIN TALOUDELLISTEN INTRESSIEN SUOJAAMINEN</w:t>
      </w:r>
    </w:p>
    <w:p w14:paraId="14671BA9" w14:textId="3B3B9FD1" w:rsidR="006236A0" w:rsidRPr="00076DDE" w:rsidRDefault="006236A0" w:rsidP="00A10832">
      <w:pPr>
        <w:spacing w:after="240" w:line="240" w:lineRule="auto"/>
        <w:jc w:val="both"/>
        <w:rPr>
          <w:rFonts w:ascii="Times New Roman" w:hAnsi="Times New Roman" w:cs="Times New Roman"/>
          <w:noProof/>
          <w:sz w:val="24"/>
          <w:szCs w:val="24"/>
        </w:rPr>
      </w:pPr>
      <w:r>
        <w:rPr>
          <w:rFonts w:ascii="Times New Roman" w:hAnsi="Times New Roman"/>
          <w:b/>
          <w:noProof/>
          <w:sz w:val="24"/>
        </w:rPr>
        <w:t xml:space="preserve">Oikeusvaltioperiaatteen kunnioittaminen on välttämätöntä kaikessa EU:n varojen käytössä. </w:t>
      </w:r>
      <w:r>
        <w:rPr>
          <w:rFonts w:ascii="Times New Roman" w:hAnsi="Times New Roman"/>
          <w:noProof/>
          <w:sz w:val="24"/>
        </w:rPr>
        <w:t xml:space="preserve">On olennaisen tärkeää, että EU:n varainkäytölle asetetaan vahvat takeet oikeusvaltioperiaatteen noudattamisesta, jotta EU:n taloudelliset intressit pysyvät suojattuina. Nykyisistä rahoitusvälineistä saadut kokemukset osoittavat, että EU:n rahoitustuki </w:t>
      </w:r>
      <w:r>
        <w:rPr>
          <w:rFonts w:ascii="Times New Roman" w:hAnsi="Times New Roman"/>
          <w:noProof/>
          <w:color w:val="000000" w:themeColor="text1"/>
          <w:sz w:val="24"/>
        </w:rPr>
        <w:t>oikeusvaltioperiaatetta</w:t>
      </w:r>
      <w:r>
        <w:rPr>
          <w:rFonts w:ascii="Times New Roman" w:hAnsi="Times New Roman"/>
          <w:noProof/>
          <w:sz w:val="24"/>
        </w:rPr>
        <w:t xml:space="preserve"> vahvistaville investoinneille ja uudistuksille voi tuoda todellista lisäarvoa. </w:t>
      </w:r>
      <w:r>
        <w:rPr>
          <w:rFonts w:ascii="Times New Roman" w:hAnsi="Times New Roman"/>
          <w:noProof/>
          <w:color w:val="000000" w:themeColor="text1"/>
          <w:sz w:val="24"/>
        </w:rPr>
        <w:t>Kansallisilla ja alueellisilla kumppanuussuunnitelmilla tullaan varmistamaan vahva yhteys yhtäältä oikeusvaltioraportissa esitettyjen suositusten ja toisaalta sellaisen rahoitustuen välillä, jolla edistetään kohdennettuja uudistuksia ja toimia, jotka parantavat institutionaalisia ja kansalaisyhteiskunnan valmiuksia ylläpitää oikeusvaltioperiaatetta. Oikeusvaltiouudistuksiin myönnettävän taloudellisen tuen ja erinäisten takeiden ja edellytysten tiukan käytön yhdistelmällä varmistetaan, että EU:n talousarviota suojataan väärinkäytöltä</w:t>
      </w:r>
      <w:r>
        <w:rPr>
          <w:rFonts w:ascii="Times New Roman" w:hAnsi="Times New Roman"/>
          <w:noProof/>
          <w:sz w:val="24"/>
        </w:rPr>
        <w:t xml:space="preserve"> ja että sitä käytetään demokratiaan, oikeusvaltioon ja perusoikeuksiin perustuvan unionin rakentamiseen.</w:t>
      </w:r>
    </w:p>
    <w:p w14:paraId="699F9153" w14:textId="5AF6DF14" w:rsidR="006236A0" w:rsidRPr="00076DDE" w:rsidRDefault="006236A0" w:rsidP="00A10832">
      <w:pPr>
        <w:spacing w:after="240" w:line="240" w:lineRule="auto"/>
        <w:jc w:val="both"/>
        <w:rPr>
          <w:rFonts w:ascii="Times New Roman" w:hAnsi="Times New Roman" w:cs="Times New Roman"/>
          <w:b/>
          <w:noProof/>
          <w:sz w:val="24"/>
          <w:szCs w:val="24"/>
        </w:rPr>
      </w:pPr>
      <w:r>
        <w:rPr>
          <w:rFonts w:ascii="Times New Roman" w:hAnsi="Times New Roman"/>
          <w:b/>
          <w:noProof/>
          <w:sz w:val="24"/>
        </w:rPr>
        <w:t>Kansallisissa ja alueellisissa kumppanuuksissa tullaan edellyttämään, että jäsenvaltiot noudattavat oikeusvaltioperiaatetta ja perusoikeuskirjaa</w:t>
      </w:r>
      <w:r>
        <w:rPr>
          <w:rFonts w:ascii="Times New Roman" w:hAnsi="Times New Roman"/>
          <w:noProof/>
          <w:sz w:val="24"/>
        </w:rPr>
        <w:t>. Yhteisiä säännöksiä koskevaan asetukseen ja elpymis- ja palautumistukivälineen ominaispiirteisiin perustuen tässä mahdollistetaan käytännön maksatukset vasta kun oikeusvaltioperiaatteen ja perusoikeuskirjan noudattamista koskevat keskeiset edellytykset täyttyvät. Seuraavassa rahoituskehyksessä olisi nykyisen NextGenerationEU-välineen tapaan oltava mahdollisuus estää maksusuoritukset, jos oikeusvaltioperiaatteen noudattamiseen liittyy systeemisiä puutteita, esimerkiksi keskeyttämällä oppilaitoksiin liittyvä rahoitus, jos akateemiseen vapauteen liittyvään perusoikeuteen liittyy ongelmia.</w:t>
      </w:r>
    </w:p>
    <w:p w14:paraId="2996FC76" w14:textId="4BD8F98D" w:rsidR="006236A0" w:rsidRPr="00076DDE" w:rsidRDefault="006236A0" w:rsidP="00A10832">
      <w:pPr>
        <w:spacing w:after="240" w:line="240" w:lineRule="auto"/>
        <w:jc w:val="both"/>
        <w:rPr>
          <w:rFonts w:ascii="Times New Roman" w:hAnsi="Times New Roman" w:cs="Times New Roman"/>
          <w:b/>
          <w:noProof/>
          <w:sz w:val="24"/>
          <w:szCs w:val="24"/>
        </w:rPr>
      </w:pPr>
      <w:r>
        <w:rPr>
          <w:rFonts w:ascii="Times New Roman" w:hAnsi="Times New Roman"/>
          <w:b/>
          <w:noProof/>
          <w:sz w:val="24"/>
        </w:rPr>
        <w:t>EU:n talousarviosta tullaan myös tukemaan uudistuksia, joilla vahvistetaan oikeusvaltioperiaatetta jäsenvaltioissa</w:t>
      </w:r>
      <w:r>
        <w:rPr>
          <w:rFonts w:ascii="Times New Roman" w:hAnsi="Times New Roman"/>
          <w:noProof/>
          <w:sz w:val="24"/>
        </w:rPr>
        <w:t xml:space="preserve"> vuotuisen oikeusvaltiokertomuksen suositusten mukaisesti. Tämä luo kaikille jäsenvaltioille myönteisiä kannustimia vahvistaa kykyään noudattaa oikeusvaltioperiaatetta ylläpitämällä ja kehittämällä edelleen avoimia, oikeusperustaisia, demokraattisia, tasa-arvoisia ja osallistavia yhteiskuntia ja edistää ja ylläpitää oikeusvaltioperiaatetta vahvistamalla oikeusjärjestelmää, korruption torjuntaa, tiedotusvälineiden moniarvoisuutta ja hallinnon eri osa-alueiden keskinäistä tasapainottavaa valvontaa sekä parantamalla julkishallinnon tehokkuutta ja institutionaalisia toimintavalmiuksia. </w:t>
      </w:r>
    </w:p>
    <w:p w14:paraId="20601682" w14:textId="5DEA76A7" w:rsidR="006236A0" w:rsidRPr="00BD6EAE" w:rsidRDefault="00FE33AD" w:rsidP="00A10832">
      <w:pPr>
        <w:spacing w:after="240" w:line="240" w:lineRule="auto"/>
        <w:jc w:val="both"/>
        <w:rPr>
          <w:rFonts w:ascii="Times New Roman" w:hAnsi="Times New Roman" w:cs="Times New Roman"/>
          <w:noProof/>
          <w:sz w:val="24"/>
          <w:szCs w:val="24"/>
        </w:rPr>
      </w:pPr>
      <w:r>
        <w:rPr>
          <w:rFonts w:ascii="Times New Roman" w:hAnsi="Times New Roman"/>
          <w:b/>
          <w:noProof/>
          <w:sz w:val="24"/>
        </w:rPr>
        <w:t>Varainhoitoasetuksella varmistetaan unionin taloudellisten etujen suoja</w:t>
      </w:r>
      <w:r>
        <w:rPr>
          <w:rFonts w:ascii="Times New Roman" w:hAnsi="Times New Roman"/>
          <w:noProof/>
          <w:sz w:val="24"/>
        </w:rPr>
        <w:t xml:space="preserve">, ja siinä edellytetään, että jäsenvaltiot varmistavat </w:t>
      </w:r>
      <w:r>
        <w:rPr>
          <w:rFonts w:ascii="Times New Roman" w:hAnsi="Times New Roman"/>
          <w:b/>
          <w:noProof/>
          <w:sz w:val="24"/>
        </w:rPr>
        <w:t>perusoikeuskirjan</w:t>
      </w:r>
      <w:r>
        <w:rPr>
          <w:rFonts w:ascii="Times New Roman" w:hAnsi="Times New Roman"/>
          <w:noProof/>
          <w:sz w:val="24"/>
        </w:rPr>
        <w:t xml:space="preserve"> noudattamisen ja kunnioittavat niitä SEU-sopimuksen 2 artiklassa vahvistettuja unionin arvoja, joilla on merkitystä talousarvion toteuttamisen kannalta.  Lisäksi </w:t>
      </w:r>
      <w:r>
        <w:rPr>
          <w:rFonts w:ascii="Times New Roman" w:hAnsi="Times New Roman"/>
          <w:b/>
          <w:noProof/>
          <w:sz w:val="24"/>
        </w:rPr>
        <w:t>ehdollisuusasetuksella</w:t>
      </w:r>
      <w:r>
        <w:rPr>
          <w:rFonts w:ascii="Times New Roman" w:hAnsi="Times New Roman"/>
          <w:noProof/>
          <w:sz w:val="24"/>
        </w:rPr>
        <w:t xml:space="preserve">, jonka voimassaoloa ei ole rajattu, suojataan jatkossakin EU:n talousarviota oikeusvaltioperiaatteen rikkomista vastaan. Se on EU:n viimeinen puolustuslinja, kaikkien EU:n ohjelmien osalta. </w:t>
      </w:r>
    </w:p>
    <w:p w14:paraId="214C3253" w14:textId="5205B6F9" w:rsidR="006236A0" w:rsidRPr="00076DDE" w:rsidRDefault="006236A0" w:rsidP="00A10832">
      <w:pPr>
        <w:spacing w:after="240" w:line="240" w:lineRule="auto"/>
        <w:jc w:val="both"/>
        <w:rPr>
          <w:rFonts w:ascii="Times New Roman" w:hAnsi="Times New Roman" w:cs="Times New Roman"/>
          <w:b/>
          <w:noProof/>
          <w:sz w:val="24"/>
          <w:szCs w:val="24"/>
        </w:rPr>
      </w:pPr>
      <w:r>
        <w:rPr>
          <w:rFonts w:ascii="Times New Roman" w:hAnsi="Times New Roman"/>
          <w:b/>
          <w:noProof/>
          <w:sz w:val="24"/>
        </w:rPr>
        <w:t>Avoimuutta siitä, kuka EU-rahoitusta saa, lisätään.</w:t>
      </w:r>
      <w:r>
        <w:rPr>
          <w:rFonts w:ascii="Times New Roman" w:hAnsi="Times New Roman"/>
          <w:noProof/>
          <w:sz w:val="24"/>
        </w:rPr>
        <w:t xml:space="preserve"> Vuodesta 2028 alkaen tiedot EU-rahoituksen saajista julkaistaan keskitetyssä tietokannassa komission verkkosivustolla. Suojatakseen EU:n talousarviota, varsinkin väärinkäytöltä, joka tähtää radikaalien tai äärinäkemysten lisäämiseen jäsenvaltioissa, komissio on valmis tutkimaan uusia prosesseja tai toimenpiteitä, joilla EU:n rahoituksen saajia voitaisiin seuloa perusteellisesti ja riskiperusteisesti turvallisuusriskien ja EU-arvojen vastaisuuden näkökulmasta. Varainhoitoasetuksen vuoden 2024 muutoksen myötä yllyttäminen syrjintään, vihaan tai väkivaltaan on uusi peruste olla myöntämättä EU-rahoitusta. Tätä perustetta sovelletaan täysimääräisesti.</w:t>
      </w:r>
      <w:r>
        <w:rPr>
          <w:rFonts w:ascii="Times New Roman" w:hAnsi="Times New Roman"/>
          <w:i/>
          <w:noProof/>
          <w:sz w:val="24"/>
        </w:rPr>
        <w:t xml:space="preserve"> </w:t>
      </w:r>
      <w:r>
        <w:rPr>
          <w:rFonts w:ascii="Times New Roman" w:hAnsi="Times New Roman"/>
          <w:noProof/>
          <w:sz w:val="24"/>
        </w:rPr>
        <w:t>Varhaishavainta- ja poissulkemisjärjestelmä, joka suojaa EU:n talousarviota petoksilta ja sääntöjenvastaisuuksilta, laajennetaan koskemaan myös jäsenvaltioiden kanssa yhteishallinnoituja varoja.</w:t>
      </w:r>
    </w:p>
    <w:p w14:paraId="03335D5E" w14:textId="37DECB40" w:rsidR="006236A0" w:rsidRPr="00076DDE" w:rsidRDefault="006236A0" w:rsidP="00A10832">
      <w:pPr>
        <w:spacing w:after="240" w:line="240" w:lineRule="auto"/>
        <w:jc w:val="both"/>
        <w:rPr>
          <w:rFonts w:ascii="Times New Roman" w:eastAsia="Calibri" w:hAnsi="Times New Roman" w:cs="Times New Roman"/>
          <w:noProof/>
          <w:sz w:val="24"/>
          <w:szCs w:val="24"/>
        </w:rPr>
      </w:pPr>
      <w:r>
        <w:rPr>
          <w:rFonts w:ascii="Times New Roman" w:hAnsi="Times New Roman"/>
          <w:b/>
          <w:noProof/>
          <w:sz w:val="24"/>
        </w:rPr>
        <w:t>EU:n talousarvion taustalla on oltava vankka tarkastus- ja valvontastrategia</w:t>
      </w:r>
      <w:r>
        <w:rPr>
          <w:rFonts w:ascii="Times New Roman" w:hAnsi="Times New Roman"/>
          <w:noProof/>
          <w:sz w:val="24"/>
        </w:rPr>
        <w:t>, johon sisältyy komission ja Euroopan tilintarkastustuomioistuimen tiivis yhteistyö sen varmistamiseksi, että EU:n varat käytetään kulloinkin sovellettavien sääntöjen mukaisesti.</w:t>
      </w:r>
      <w:r>
        <w:rPr>
          <w:rFonts w:ascii="Times New Roman" w:hAnsi="Times New Roman"/>
          <w:b/>
          <w:noProof/>
          <w:sz w:val="24"/>
        </w:rPr>
        <w:t xml:space="preserve"> </w:t>
      </w:r>
      <w:r>
        <w:rPr>
          <w:rFonts w:ascii="Times New Roman" w:hAnsi="Times New Roman"/>
          <w:noProof/>
          <w:sz w:val="24"/>
        </w:rPr>
        <w:t>Kansallisten ja alueellisten kumppanuuksien osalta komissio tukeutuu jäsenvaltioiden suorittamiin tarkastuksiin ja täydentää niitä omilla tarkastuksillaan. Niissä keskitytään jäsenvaltioiden järjestelmiin, joilla varmistetaan EU:n taloudellisten intressien tiukka suojaaminen. Komissio tulee myös yhdistämään ennakko- ja jälkitarkastuksia maksatusten laillisuudesta ja sääntöjenmukaisuudesta, eli se tulee valvomaan välitavoitteiden ja päätavoitteiden asianmukaista saavuttamista. Tämä lähtee jäsenvaltioiden toimittamien suunnitelmien analysoinnista, jatkuu sen jälkeen toimitettujen maksupyyntöjen valvonnalla ja päätyy lopuksi jälkitarkastuksiin.</w:t>
      </w:r>
    </w:p>
    <w:p w14:paraId="64919000" w14:textId="15201BA9" w:rsidR="006236A0" w:rsidRPr="00076DDE" w:rsidRDefault="006236A0" w:rsidP="00A10832">
      <w:pPr>
        <w:spacing w:after="120" w:line="240" w:lineRule="auto"/>
        <w:jc w:val="both"/>
        <w:rPr>
          <w:rFonts w:ascii="Times New Roman" w:hAnsi="Times New Roman" w:cs="Times New Roman"/>
          <w:noProof/>
          <w:sz w:val="24"/>
          <w:szCs w:val="24"/>
        </w:rPr>
      </w:pPr>
      <w:r>
        <w:rPr>
          <w:rFonts w:ascii="Times New Roman" w:hAnsi="Times New Roman"/>
          <w:b/>
          <w:noProof/>
          <w:sz w:val="24"/>
        </w:rPr>
        <w:t>Käynnissä olevalla petostentorjuntajärjestelmän uudelleentarkastelulla</w:t>
      </w:r>
      <w:r>
        <w:rPr>
          <w:rFonts w:ascii="Times New Roman" w:hAnsi="Times New Roman"/>
          <w:noProof/>
          <w:sz w:val="24"/>
        </w:rPr>
        <w:t xml:space="preserve"> varmistetaan, että kaikki asianomaiset toimijat, kuten OLAF, Euroopan syyttäjänvirasto ja Europol, tekevät jatkossa tiiviimpää yhteistyötä EU:n talousarvioon vaikuttavien sääntöjenvastaisuuksien, petosten ja korruption torjumiseksi. Tämä kattava uudelleentarkastelu, johon osallistuvat kaikki asiaankuuluvat toimijat EU:n petostentorjuntarakenteessa, tulee lisäämään synergiaa ja tehokkuushyötyjä, kun vältetään päällekkäisyyksiä petosten vastaisen toimintasyklin kaikissa vaiheissa, joita ovat: ehkäiseminen, havaitseminen, tutkinta, tilanteen oikaisu ja petoshyödyn takaisinperiminen, myös EU:n talousarvion osalta.</w:t>
      </w:r>
    </w:p>
    <w:p w14:paraId="4264403F" w14:textId="77777777" w:rsidR="00A87B0A" w:rsidRPr="000D6231" w:rsidRDefault="00A87B0A" w:rsidP="000E3616">
      <w:pPr>
        <w:spacing w:after="240" w:line="240" w:lineRule="auto"/>
        <w:jc w:val="both"/>
        <w:rPr>
          <w:rFonts w:ascii="Times New Roman" w:hAnsi="Times New Roman" w:cs="Times New Roman"/>
          <w:noProof/>
          <w:sz w:val="24"/>
          <w:szCs w:val="24"/>
        </w:rPr>
      </w:pPr>
    </w:p>
    <w:p w14:paraId="3DD82359" w14:textId="77777777" w:rsidR="00DB5BDC" w:rsidRPr="00241AE0" w:rsidRDefault="006602EE" w:rsidP="000E3616">
      <w:pPr>
        <w:pStyle w:val="ListParagraph"/>
        <w:numPr>
          <w:ilvl w:val="0"/>
          <w:numId w:val="34"/>
        </w:numPr>
        <w:spacing w:after="240" w:line="240" w:lineRule="auto"/>
        <w:contextualSpacing w:val="0"/>
        <w:jc w:val="both"/>
        <w:rPr>
          <w:rFonts w:ascii="Times New Roman" w:hAnsi="Times New Roman" w:cs="Times New Roman"/>
          <w:b/>
          <w:bCs/>
          <w:noProof/>
        </w:rPr>
      </w:pPr>
      <w:r>
        <w:rPr>
          <w:rFonts w:ascii="Times New Roman" w:hAnsi="Times New Roman"/>
          <w:b/>
          <w:noProof/>
          <w:sz w:val="24"/>
        </w:rPr>
        <w:t xml:space="preserve">KUNNIANHIMOINEN NYKYAIKAISILLA TULONLÄHTEILLÄ RAHOITETTU EU:N TALOUSARVIO </w:t>
      </w:r>
    </w:p>
    <w:p w14:paraId="03697C26" w14:textId="11E6885F" w:rsidR="00723C43" w:rsidRPr="00723C43" w:rsidRDefault="00723C43" w:rsidP="006A444D">
      <w:pPr>
        <w:spacing w:after="240" w:line="240" w:lineRule="auto"/>
        <w:jc w:val="both"/>
        <w:rPr>
          <w:rFonts w:ascii="Times New Roman" w:hAnsi="Times New Roman" w:cs="Times New Roman"/>
          <w:noProof/>
          <w:sz w:val="24"/>
          <w:szCs w:val="24"/>
        </w:rPr>
      </w:pPr>
      <w:r>
        <w:rPr>
          <w:rFonts w:ascii="Times New Roman" w:hAnsi="Times New Roman"/>
          <w:b/>
          <w:noProof/>
          <w:sz w:val="24"/>
        </w:rPr>
        <w:t xml:space="preserve">EU:n talousarvion rahoituskapasiteetin on vastattava unionin tavoitetasoa. </w:t>
      </w:r>
      <w:r>
        <w:rPr>
          <w:rFonts w:ascii="Times New Roman" w:hAnsi="Times New Roman"/>
          <w:noProof/>
          <w:sz w:val="24"/>
        </w:rPr>
        <w:t>Unionin sisäisten haasteiden laajuus yhdistettynä lisääntyneeseen geopoliittiseen epävarmuuteen ja kilpailun voimistumiseen merkitsee, että EU:lla on oltava riittävää suuruusluokkaa oleva talousarvio, jotta sillä on todellista vaikutusta tässä tiedonannossa esitetyillä painopistealoilla. Tässä on lisäksi otettava huomioon se, että NextGenerationEU-lainoja on alettava maksaa takaisin vuodesta 2028 alkaen.</w:t>
      </w:r>
    </w:p>
    <w:p w14:paraId="0CAFB46F" w14:textId="02F776BC" w:rsidR="00FD5211" w:rsidRDefault="00723C43">
      <w:pPr>
        <w:spacing w:after="240" w:line="240" w:lineRule="auto"/>
        <w:jc w:val="both"/>
        <w:rPr>
          <w:rFonts w:ascii="Times New Roman" w:hAnsi="Times New Roman" w:cs="Times New Roman"/>
          <w:b/>
          <w:bCs/>
          <w:noProof/>
          <w:sz w:val="24"/>
          <w:szCs w:val="24"/>
        </w:rPr>
      </w:pPr>
      <w:r>
        <w:rPr>
          <w:rFonts w:ascii="Times New Roman" w:hAnsi="Times New Roman"/>
          <w:b/>
          <w:noProof/>
          <w:sz w:val="24"/>
        </w:rPr>
        <w:t>Komissio ehdottaa, että EU:n pitkän aikavälin talousarvio olisi suuruudeltaan 1,98 biljoonaa euroa eli 1,26 prosenttia suhteessa EU:n bruttokansantuloon.</w:t>
      </w:r>
      <w:r>
        <w:rPr>
          <w:rFonts w:ascii="Times New Roman" w:hAnsi="Times New Roman"/>
          <w:noProof/>
          <w:sz w:val="24"/>
        </w:rPr>
        <w:t xml:space="preserve"> </w:t>
      </w:r>
      <w:r>
        <w:rPr>
          <w:rFonts w:ascii="Times New Roman" w:hAnsi="Times New Roman"/>
          <w:b/>
          <w:noProof/>
          <w:sz w:val="24"/>
        </w:rPr>
        <w:t xml:space="preserve">Talousarvion menot ja tulot ovat saman kolikon kaksi puolta. </w:t>
      </w:r>
      <w:r>
        <w:rPr>
          <w:rFonts w:ascii="Times New Roman" w:hAnsi="Times New Roman"/>
          <w:noProof/>
          <w:sz w:val="24"/>
        </w:rPr>
        <w:t>Kiireellisten haasteiden ja tiukkojen rahoitusrajoitteiden ainutlaatuinen yhdistelmä tarjoaa ennennäkemättömän tilaisuuden nykyaikaistaa erittäin kiireellisesti tarvittavan talousarvion meno- ja tulopuolta.</w:t>
      </w:r>
    </w:p>
    <w:p w14:paraId="2EC82BA1" w14:textId="612D7C34" w:rsidR="00723C43" w:rsidRPr="00723C43" w:rsidRDefault="00723C43" w:rsidP="006A444D">
      <w:pPr>
        <w:spacing w:after="240" w:line="240" w:lineRule="auto"/>
        <w:jc w:val="both"/>
        <w:rPr>
          <w:rFonts w:ascii="Times New Roman" w:hAnsi="Times New Roman" w:cs="Times New Roman"/>
          <w:noProof/>
          <w:sz w:val="24"/>
          <w:szCs w:val="24"/>
        </w:rPr>
      </w:pPr>
      <w:r>
        <w:rPr>
          <w:rFonts w:ascii="Times New Roman" w:hAnsi="Times New Roman"/>
          <w:b/>
          <w:noProof/>
          <w:sz w:val="24"/>
        </w:rPr>
        <w:t>On olennaisen tärkeää saada kunnianhimoisemman monivuotisen rahoituskehyksen tueksi uusia omia varoja, jotta voidaan toimia tuloksellisesti unionin strategisissa painopisteissä ja hoitaa samalla NextGenerationEU-lainojen takaisinmaksu.</w:t>
      </w:r>
      <w:r>
        <w:rPr>
          <w:rFonts w:ascii="Times New Roman" w:hAnsi="Times New Roman"/>
          <w:noProof/>
          <w:sz w:val="24"/>
        </w:rPr>
        <w:t xml:space="preserve"> Unioni tarvitsee kollektiivisia taloudellista panostusta, johon pelkät kansalliset maksuosuudet eivät riitä. Uusien omien varojen käyttöönotto vähentää jäsenvaltioiden taakkaa, ja turvaa EU:n yhteisten politiikkojen kestävän rahoituksen samalla kun kansalliset rahoitusosuudet pidetään yleisesti ottaen vakaina. EU:n talousarviossa on kyse eurooppalaisen lisäarvon luomisesta kaikille, mikä edellyttää myös yhteisten painopisteiden yhteistä rahoittamista.</w:t>
      </w:r>
    </w:p>
    <w:p w14:paraId="503E8638" w14:textId="64ACCAF9" w:rsidR="00723C43" w:rsidRPr="00723C43" w:rsidRDefault="00723C43" w:rsidP="006A444D">
      <w:pPr>
        <w:spacing w:after="240" w:line="240" w:lineRule="auto"/>
        <w:jc w:val="both"/>
        <w:rPr>
          <w:rFonts w:ascii="Times New Roman" w:hAnsi="Times New Roman" w:cs="Times New Roman"/>
          <w:noProof/>
          <w:sz w:val="24"/>
          <w:szCs w:val="24"/>
        </w:rPr>
      </w:pPr>
      <w:r>
        <w:rPr>
          <w:rFonts w:ascii="Times New Roman" w:hAnsi="Times New Roman"/>
          <w:b/>
          <w:noProof/>
          <w:sz w:val="24"/>
        </w:rPr>
        <w:t>Siksi komissio ehdottaa uutta pitkän aikavälin talousarviota koskevan ehdotuksen yhteydessä uutta omia varoja koskevaa päätöstä.</w:t>
      </w:r>
      <w:r>
        <w:rPr>
          <w:rFonts w:ascii="Times New Roman" w:hAnsi="Times New Roman"/>
          <w:noProof/>
          <w:sz w:val="24"/>
        </w:rPr>
        <w:t xml:space="preserve"> Ehdotuksella nykyaikaistetaan ja monipuolistetaan EU:n talousarvion tulolähteitä. Samalla komissio ehdottaa, että maksumäärärahojen omien varojen enimmäismääriä nostetaan vastaavasti 1,75 prosenttiin suhteessa EU:n 27 jäsenvaltion bruttokansantuloon, jotta voidaan vastata suurempiin rahoitustarpeisiin ja välttämättömään tarpeeseen saada riittävästi liikkumavaraa, jotta unioni pystyy kaikissa olosuhteissa täyttämään taloudelliset velvoitteensa. </w:t>
      </w:r>
    </w:p>
    <w:p w14:paraId="3FB679B5" w14:textId="0BD56E4A" w:rsidR="00723C43" w:rsidRPr="00723C43" w:rsidRDefault="0057081C" w:rsidP="006A444D">
      <w:pPr>
        <w:spacing w:after="240" w:line="240" w:lineRule="auto"/>
        <w:jc w:val="both"/>
        <w:rPr>
          <w:rFonts w:ascii="Times New Roman" w:hAnsi="Times New Roman" w:cs="Times New Roman"/>
          <w:noProof/>
          <w:sz w:val="24"/>
          <w:szCs w:val="24"/>
        </w:rPr>
      </w:pPr>
      <w:r>
        <w:rPr>
          <w:rFonts w:ascii="Times New Roman" w:hAnsi="Times New Roman"/>
          <w:b/>
          <w:noProof/>
          <w:sz w:val="24"/>
        </w:rPr>
        <w:t xml:space="preserve">Toimielinten välisellä sopimuksella pyrittiin muodostamaan puitteet ja ohjaamaan neuvotteluja uusista omista varoista vuoden 2020 jälkeen. Neuvottelut ovat jumittuneet paikoilleen. </w:t>
      </w:r>
      <w:r>
        <w:rPr>
          <w:rFonts w:ascii="Times New Roman" w:hAnsi="Times New Roman"/>
          <w:noProof/>
          <w:sz w:val="24"/>
        </w:rPr>
        <w:t>Jotta neuvotteluihin saataisiin uutta pontta, komissio on tarkastellut uudelleen EU:n talousarvion koko tulopuolta.</w:t>
      </w:r>
      <w:r>
        <w:rPr>
          <w:rFonts w:ascii="Times New Roman" w:hAnsi="Times New Roman"/>
          <w:b/>
          <w:noProof/>
          <w:sz w:val="24"/>
        </w:rPr>
        <w:t xml:space="preserve"> </w:t>
      </w:r>
      <w:r>
        <w:rPr>
          <w:rFonts w:ascii="Times New Roman" w:hAnsi="Times New Roman"/>
          <w:noProof/>
          <w:sz w:val="24"/>
        </w:rPr>
        <w:t>Tähän sisältyy omien varojen uusien luokkien käyttöönotto ja ehdotukset nykyisten omien varojen kohdennetuista tarkistuksista. EU:n talousarvion rahoitusta voidaan vahvistaa myös ottamalla käyttöön muita tulonlähteitä.</w:t>
      </w:r>
      <w:r>
        <w:rPr>
          <w:rFonts w:ascii="Times New Roman" w:hAnsi="Times New Roman"/>
          <w:b/>
          <w:noProof/>
          <w:sz w:val="24"/>
        </w:rPr>
        <w:t xml:space="preserve"> </w:t>
      </w:r>
      <w:r>
        <w:rPr>
          <w:rFonts w:ascii="Times New Roman" w:hAnsi="Times New Roman"/>
          <w:noProof/>
          <w:sz w:val="24"/>
        </w:rPr>
        <w:t xml:space="preserve">Ehdotettu paketti on EU:n poliittisten painopisteiden mukainen, perustuu nykyiseen lainsäädäntöön tai omia varoja koskevaan päätökseen itseensä ja se voidaan panna täytäntöön kohtuullisella hallinnollisella rasitteella. </w:t>
      </w:r>
    </w:p>
    <w:p w14:paraId="6D69C12E" w14:textId="05008024" w:rsidR="00723C43" w:rsidRPr="006A444D" w:rsidRDefault="002C7FB4" w:rsidP="006A444D">
      <w:pPr>
        <w:spacing w:after="240" w:line="240" w:lineRule="auto"/>
        <w:jc w:val="both"/>
        <w:rPr>
          <w:rFonts w:ascii="Times New Roman" w:hAnsi="Times New Roman" w:cs="Times New Roman"/>
          <w:b/>
          <w:bCs/>
          <w:i/>
          <w:iCs/>
          <w:noProof/>
          <w:sz w:val="24"/>
          <w:szCs w:val="24"/>
        </w:rPr>
      </w:pPr>
      <w:r>
        <w:rPr>
          <w:rFonts w:ascii="Times New Roman" w:hAnsi="Times New Roman"/>
          <w:b/>
          <w:i/>
          <w:noProof/>
          <w:sz w:val="24"/>
        </w:rPr>
        <w:t>Uudet omat varat EU:n painopisteiden rahoittamiseksi</w:t>
      </w:r>
    </w:p>
    <w:p w14:paraId="0D24F2A2" w14:textId="46818CEC" w:rsidR="00723C43" w:rsidRPr="00723C43" w:rsidRDefault="00723C43" w:rsidP="006A444D">
      <w:pPr>
        <w:spacing w:after="240" w:line="240" w:lineRule="auto"/>
        <w:jc w:val="both"/>
        <w:rPr>
          <w:rFonts w:ascii="Times New Roman" w:hAnsi="Times New Roman" w:cs="Times New Roman"/>
          <w:noProof/>
          <w:sz w:val="24"/>
          <w:szCs w:val="24"/>
        </w:rPr>
      </w:pPr>
      <w:r>
        <w:rPr>
          <w:rFonts w:ascii="Times New Roman" w:hAnsi="Times New Roman"/>
          <w:b/>
          <w:noProof/>
          <w:sz w:val="24"/>
        </w:rPr>
        <w:t>Päästökauppajärjestelmään perustuvat omat varat liittyvät läheisesti unionin ilmastotavoitteisiin, ja niillä on merkittävä tulopotentiaali.</w:t>
      </w:r>
      <w:r>
        <w:rPr>
          <w:rFonts w:ascii="Times New Roman" w:hAnsi="Times New Roman"/>
          <w:noProof/>
          <w:sz w:val="24"/>
        </w:rPr>
        <w:t xml:space="preserve"> Mahdollisilla päästökauppajärjestelmästä saatavilla omilla varoilla on ainutlaatuisia etuja välittömän saatavuuden ja riittävän mittakaavan muodossa. Vaikka 30 prosenttia tuloista menisi EU:n talousarvioon, suurin osa päästöoikeuksien huutokaupasta saatavista tuloista siirtyisi edelleen kansallisiin talousarvioihin. </w:t>
      </w:r>
    </w:p>
    <w:p w14:paraId="5D7CDA23" w14:textId="64AD8ED6" w:rsidR="00723C43" w:rsidRPr="00723C43" w:rsidRDefault="00723C43" w:rsidP="006A444D">
      <w:pPr>
        <w:spacing w:after="240" w:line="240" w:lineRule="auto"/>
        <w:jc w:val="both"/>
        <w:rPr>
          <w:rFonts w:ascii="Times New Roman" w:hAnsi="Times New Roman" w:cs="Times New Roman"/>
          <w:noProof/>
          <w:sz w:val="24"/>
          <w:szCs w:val="24"/>
        </w:rPr>
      </w:pPr>
      <w:r>
        <w:rPr>
          <w:rFonts w:ascii="Times New Roman" w:hAnsi="Times New Roman"/>
          <w:b/>
          <w:noProof/>
          <w:sz w:val="24"/>
        </w:rPr>
        <w:t>Hiilirajamekanismiin perustuvia omia varoja voidaan pitää päästökauppajärjestelmän ulkoisena ulottuvuutena, joten niihin liittyvät omat varat ovat edelleen olennainen osa pakettia.</w:t>
      </w:r>
      <w:r>
        <w:rPr>
          <w:rFonts w:ascii="Times New Roman" w:hAnsi="Times New Roman"/>
          <w:noProof/>
          <w:sz w:val="24"/>
        </w:rPr>
        <w:t xml:space="preserve"> Hiilirajamekanismilla varmistetaan, että EU:hun tuotaviin tuotteisiin sovelletaan vastaavaa hiilen hintaa kuin jos ne olisi tuotettu EU:ssa.</w:t>
      </w:r>
    </w:p>
    <w:p w14:paraId="5AB995B2" w14:textId="2E11443D" w:rsidR="00723C43" w:rsidRPr="00723C43" w:rsidRDefault="00723C43" w:rsidP="006A444D">
      <w:pPr>
        <w:spacing w:after="240" w:line="240" w:lineRule="auto"/>
        <w:jc w:val="both"/>
        <w:rPr>
          <w:rFonts w:ascii="Times New Roman" w:hAnsi="Times New Roman" w:cs="Times New Roman"/>
          <w:noProof/>
          <w:sz w:val="24"/>
          <w:szCs w:val="24"/>
        </w:rPr>
      </w:pPr>
      <w:r>
        <w:rPr>
          <w:rFonts w:ascii="Times New Roman" w:hAnsi="Times New Roman"/>
          <w:b/>
          <w:noProof/>
          <w:sz w:val="24"/>
        </w:rPr>
        <w:t>Uusi omien varojen lähde, joka perustuu keräämättä jääneen sähkö- ja elektroniikkalaiteromun määrään, tuottaisi myönteisiä ympäristövaikutuksia ja tukisi samalla unionin strategista riippumattomuutta kriittisten raaka-aineiden osalta.</w:t>
      </w:r>
      <w:r>
        <w:rPr>
          <w:rFonts w:ascii="Times New Roman" w:hAnsi="Times New Roman"/>
          <w:noProof/>
          <w:sz w:val="24"/>
        </w:rPr>
        <w:t xml:space="preserve"> Sähkö- ja elektroniikkalaiteromu on yksi nopeimmin kasvavista jätevirroista. Koska sähkö- ja elektroniikkalaiteromu sisältää tärkeitä kriittisiä raaka-aineita, kierrätyksellä ja uudelleenkäytöllä on merkittävä rooli riippuvuuden vähentämisessä ulkomaisista toimittajista. Vaikka kierrätyksessä on edistytty merkittävästi, keräysaste on edelleen huomattavasti alle unionin tavoitteiden. Jäsenvaltioiden ilmoittamaan keräämättä jääneeseen sähkö- ja elektroniikkalaiteromuun perustuvien uusien kansallisten maksujen käyttöönotto kannustaa vähentämään jätettä ja kehittämään erilliskeräystä. </w:t>
      </w:r>
    </w:p>
    <w:p w14:paraId="1CB0B5AB" w14:textId="23535E45" w:rsidR="00723C43" w:rsidRPr="00723C43" w:rsidRDefault="005A15DA" w:rsidP="006A444D">
      <w:pPr>
        <w:spacing w:after="240" w:line="240" w:lineRule="auto"/>
        <w:jc w:val="both"/>
        <w:rPr>
          <w:rFonts w:ascii="Times New Roman" w:hAnsi="Times New Roman" w:cs="Times New Roman"/>
          <w:noProof/>
          <w:sz w:val="24"/>
          <w:szCs w:val="24"/>
        </w:rPr>
      </w:pPr>
      <w:r>
        <w:rPr>
          <w:rFonts w:ascii="Times New Roman" w:hAnsi="Times New Roman"/>
          <w:b/>
          <w:noProof/>
          <w:sz w:val="24"/>
        </w:rPr>
        <w:t>Ehdotetussa uudessa Corporate Resource for Europe -järjestelyssä (CORE) suuret yritykset osallistuvat EU:n talousarvion rahoittamiseen.</w:t>
      </w:r>
      <w:r>
        <w:rPr>
          <w:rFonts w:ascii="Times New Roman" w:hAnsi="Times New Roman"/>
          <w:noProof/>
          <w:sz w:val="24"/>
        </w:rPr>
        <w:t xml:space="preserve"> Useilla EU:n rahoitusohjelmilla autetaan yrityksiä uudistumaan, innovoimaan ja laajentumaan. EU:n uusi pitkän aikavälin talousarvio tulee lisäämään kilpailukykyä ja talouskasvua ja parantamaan liiketoimintaympäristöä pitkän aikavälin investoinneilla, erityisesti Euroopan kilpailukykyrahaston kautta. Tämä omien varojen luokka ei periaatteessa koske pk-yrityksiä.</w:t>
      </w:r>
    </w:p>
    <w:p w14:paraId="42361918" w14:textId="759CCA5A" w:rsidR="00723C43" w:rsidRPr="00723C43" w:rsidRDefault="00723C43" w:rsidP="006A444D">
      <w:pPr>
        <w:spacing w:after="240" w:line="240" w:lineRule="auto"/>
        <w:jc w:val="both"/>
        <w:rPr>
          <w:rFonts w:ascii="Times New Roman" w:hAnsi="Times New Roman" w:cs="Times New Roman"/>
          <w:noProof/>
          <w:sz w:val="24"/>
          <w:szCs w:val="24"/>
        </w:rPr>
      </w:pPr>
      <w:r>
        <w:rPr>
          <w:rFonts w:ascii="Times New Roman" w:hAnsi="Times New Roman"/>
          <w:b/>
          <w:noProof/>
          <w:sz w:val="24"/>
        </w:rPr>
        <w:t>Tupakkatuotteiden valmisteveroon perustuvat omat varat tukisivat EU:n terveydenhuoltopolitiikan tavoitteita ja loisivat samalla tuloja EU:n talousarvioon.</w:t>
      </w:r>
      <w:r>
        <w:rPr>
          <w:rFonts w:ascii="Times New Roman" w:hAnsi="Times New Roman"/>
          <w:noProof/>
          <w:sz w:val="24"/>
        </w:rPr>
        <w:t xml:space="preserve"> Verojärjestelmien erot eri puolilla unionia vaikuttavat kielteisesti jäsenvaltioiden politiikkoihin, joilla pyritään hillitsemään tupakan kulutusta verotuksen avulla. Ehdotus tupakan valmisteveroon perustuvista omista varoista täydentää tupakan valmisteverodirektiivin tulevaa uudelleenlaadintaa, jonka tavoitteena on muuttaa EU:n vähimmäisvalmisteveroastetta ja tiettyjä perinteisten tupakkatuotteiden luokkia, jotta varmistetaan tasapuoliset toimintaedellytykset sisämarkkinoilla. </w:t>
      </w:r>
    </w:p>
    <w:p w14:paraId="306D7B7F" w14:textId="77777777" w:rsidR="00723C43" w:rsidRPr="006A444D" w:rsidRDefault="00723C43" w:rsidP="006A444D">
      <w:pPr>
        <w:spacing w:after="240" w:line="240" w:lineRule="auto"/>
        <w:jc w:val="both"/>
        <w:rPr>
          <w:rFonts w:ascii="Times New Roman" w:hAnsi="Times New Roman" w:cs="Times New Roman"/>
          <w:b/>
          <w:bCs/>
          <w:i/>
          <w:iCs/>
          <w:noProof/>
          <w:sz w:val="24"/>
          <w:szCs w:val="24"/>
        </w:rPr>
      </w:pPr>
      <w:r>
        <w:rPr>
          <w:rFonts w:ascii="Times New Roman" w:hAnsi="Times New Roman"/>
          <w:b/>
          <w:i/>
          <w:noProof/>
          <w:sz w:val="24"/>
        </w:rPr>
        <w:t>Nykyisten omien varojen mukautukset</w:t>
      </w:r>
    </w:p>
    <w:p w14:paraId="1BC6EFAA" w14:textId="7611A1F7" w:rsidR="00385D6F" w:rsidRPr="000643DD" w:rsidRDefault="00723C43" w:rsidP="006A444D">
      <w:pPr>
        <w:spacing w:after="240" w:line="240" w:lineRule="auto"/>
        <w:jc w:val="both"/>
        <w:rPr>
          <w:rFonts w:ascii="Times New Roman" w:eastAsia="Calibri" w:hAnsi="Times New Roman" w:cs="Times New Roman"/>
          <w:noProof/>
          <w:color w:val="000000" w:themeColor="text1"/>
          <w:sz w:val="24"/>
          <w:szCs w:val="24"/>
        </w:rPr>
      </w:pPr>
      <w:r>
        <w:rPr>
          <w:rFonts w:ascii="Times New Roman" w:hAnsi="Times New Roman"/>
          <w:b/>
          <w:noProof/>
          <w:sz w:val="24"/>
        </w:rPr>
        <w:t xml:space="preserve">Nykyisiin omiin varoihin ehdotetaan kohdennettuja mukautuksia EU:n talousarvion tulopohjan säilyttämiseksi. </w:t>
      </w:r>
      <w:r>
        <w:rPr>
          <w:rFonts w:ascii="Times New Roman" w:hAnsi="Times New Roman"/>
          <w:noProof/>
          <w:sz w:val="24"/>
        </w:rPr>
        <w:t xml:space="preserve">Jäsenvaltiot keräävät unionin puolesta perinteiset omat varat, jotka koostuvat pääasiassa tulleista. Lisäksi ehdotetaan, että nykyisen rahoituskehyksen alussa käyttöön otettua kierrättämättömään muovipakkausjätteeseen perustuvien omien varojen keräämisessä käytettyä kerrointa korotetaan inflaatiokehityksen huomioon ottamiseksi. </w:t>
      </w:r>
    </w:p>
    <w:p w14:paraId="0CF75765" w14:textId="435EF375" w:rsidR="002C7FB4" w:rsidRDefault="002C7FB4">
      <w:pPr>
        <w:spacing w:after="240" w:line="240" w:lineRule="auto"/>
        <w:jc w:val="both"/>
        <w:rPr>
          <w:rFonts w:ascii="Times New Roman" w:hAnsi="Times New Roman" w:cs="Times New Roman"/>
          <w:b/>
          <w:bCs/>
          <w:i/>
          <w:iCs/>
          <w:noProof/>
          <w:sz w:val="24"/>
          <w:szCs w:val="24"/>
        </w:rPr>
      </w:pPr>
      <w:r>
        <w:rPr>
          <w:rFonts w:ascii="Times New Roman" w:hAnsi="Times New Roman"/>
          <w:b/>
          <w:i/>
          <w:noProof/>
          <w:sz w:val="24"/>
        </w:rPr>
        <w:t>Muut tulot</w:t>
      </w:r>
    </w:p>
    <w:p w14:paraId="3F3CD7AD" w14:textId="139A9039" w:rsidR="007A0FA9" w:rsidRDefault="002C2C44" w:rsidP="00241AE0">
      <w:pPr>
        <w:spacing w:after="480" w:line="240" w:lineRule="auto"/>
        <w:jc w:val="both"/>
        <w:rPr>
          <w:rFonts w:ascii="Times New Roman" w:hAnsi="Times New Roman" w:cs="Times New Roman"/>
          <w:noProof/>
          <w:sz w:val="24"/>
          <w:szCs w:val="24"/>
        </w:rPr>
      </w:pPr>
      <w:r>
        <w:rPr>
          <w:rFonts w:ascii="Times New Roman" w:hAnsi="Times New Roman"/>
          <w:b/>
          <w:noProof/>
          <w:sz w:val="24"/>
        </w:rPr>
        <w:t>EU:n talousarviota voidaan rahoittaa myös muilla tuloilla.</w:t>
      </w:r>
      <w:r>
        <w:rPr>
          <w:rFonts w:ascii="Times New Roman" w:hAnsi="Times New Roman"/>
          <w:noProof/>
          <w:sz w:val="24"/>
        </w:rPr>
        <w:t xml:space="preserve"> Muut tulot täydentävät omia varoja. Muut tulot siirtyvät suoraan EU:n talousarvioon, mikä vähentää jäsenvaltioiden kansallisiin maksuosuuksiin kohdistuvaa painetta. Muita lisätuloja saadaan esimerkiksi korottamalla nykyistä ETIAS-maksua sen yhdenmukaistamiseksi muiden lainkäyttöalueiden kanssa. Komissio pyrkii myös edelleen ottamaan käyttöön uusia unionin toimintapolitiikkoihin liittyviä maksuja.</w:t>
      </w:r>
    </w:p>
    <w:p w14:paraId="14EE70C8" w14:textId="7679203F" w:rsidR="00660C61" w:rsidRPr="00B334AE" w:rsidRDefault="00D1721F" w:rsidP="000E3616">
      <w:pPr>
        <w:pStyle w:val="ListParagraph"/>
        <w:numPr>
          <w:ilvl w:val="0"/>
          <w:numId w:val="34"/>
        </w:numPr>
        <w:spacing w:after="240" w:line="240" w:lineRule="auto"/>
        <w:contextualSpacing w:val="0"/>
        <w:jc w:val="both"/>
        <w:rPr>
          <w:rFonts w:ascii="Times New Roman" w:hAnsi="Times New Roman" w:cs="Times New Roman"/>
          <w:b/>
          <w:bCs/>
          <w:noProof/>
          <w:color w:val="FF0000"/>
          <w:sz w:val="24"/>
          <w:szCs w:val="24"/>
        </w:rPr>
      </w:pPr>
      <w:r>
        <w:rPr>
          <w:rFonts w:ascii="Times New Roman" w:hAnsi="Times New Roman"/>
          <w:b/>
          <w:noProof/>
          <w:sz w:val="24"/>
        </w:rPr>
        <w:t>PÄÄTELMÄT</w:t>
      </w:r>
    </w:p>
    <w:p w14:paraId="56E67547" w14:textId="6A6184D1" w:rsidR="002E0B81" w:rsidRDefault="007977E8" w:rsidP="003A6BFA">
      <w:pPr>
        <w:pStyle w:val="NormalWeb"/>
        <w:spacing w:before="0" w:beforeAutospacing="0" w:after="240" w:afterAutospacing="0"/>
        <w:jc w:val="both"/>
        <w:rPr>
          <w:noProof/>
          <w:color w:val="0E101A"/>
        </w:rPr>
      </w:pPr>
      <w:r>
        <w:rPr>
          <w:rStyle w:val="Strong"/>
          <w:noProof/>
          <w:color w:val="0E101A"/>
        </w:rPr>
        <w:t>Neuvottelut vuosien 2028–2034 monivuotisesta rahoituskehyksestä ovat unionille tilaisuus osoittaa yhteisiin tavoitteisiin tähtäävää päättäväisyyttä ja antaa unionille keinot saavuttaa yhteiset tavoitteet.</w:t>
      </w:r>
      <w:r>
        <w:rPr>
          <w:noProof/>
          <w:color w:val="0E101A"/>
        </w:rPr>
        <w:t xml:space="preserve"> </w:t>
      </w:r>
    </w:p>
    <w:p w14:paraId="09F397D8" w14:textId="484B2593" w:rsidR="0053233D" w:rsidRDefault="00827B6C" w:rsidP="000E3616">
      <w:pPr>
        <w:pStyle w:val="NormalWeb"/>
        <w:spacing w:before="0" w:beforeAutospacing="0" w:after="240" w:afterAutospacing="0"/>
        <w:jc w:val="both"/>
        <w:rPr>
          <w:noProof/>
          <w:color w:val="0E101A"/>
        </w:rPr>
      </w:pPr>
      <w:r>
        <w:rPr>
          <w:b/>
          <w:noProof/>
          <w:color w:val="0E101A"/>
        </w:rPr>
        <w:t>Komissio ehdottaa kunnianhimoista, ketterää ja tulevaisuusorientoitunutta EU:n pitkän aikavälin talousarviota.</w:t>
      </w:r>
      <w:r>
        <w:rPr>
          <w:noProof/>
          <w:color w:val="0E101A"/>
        </w:rPr>
        <w:t xml:space="preserve"> Se perustuu nykyisen järjestelmän vahvuuksiin ja perusperiaatteisiin, mutta on yksinkertaisempi, joustavampi ja vaikuttavampi. Pelkät entiseen lisäävät muutokset eivät riitä ratkomaan monimutkaista rahoituskuviota, kun unioniin kohdistuu valtavia odotuksia tuloksista samalla kun sen on suoriuduttava NextGenerationEU-ohjelman rahoitusvastuistaan.</w:t>
      </w:r>
      <w:r>
        <w:rPr>
          <w:b/>
          <w:noProof/>
          <w:color w:val="0E101A"/>
        </w:rPr>
        <w:t xml:space="preserve"> </w:t>
      </w:r>
      <w:r>
        <w:rPr>
          <w:noProof/>
          <w:color w:val="0E101A"/>
        </w:rPr>
        <w:t xml:space="preserve">Tämä edellyttää rohkeutta tehdä asioita eri tavalla ja varmistaa, että jokainen euro edistää Euroopan kehitystä. </w:t>
      </w:r>
    </w:p>
    <w:p w14:paraId="776941C0" w14:textId="02D3F935" w:rsidR="00345746" w:rsidRPr="00345746" w:rsidRDefault="00596ABC" w:rsidP="00105E2C">
      <w:pPr>
        <w:pStyle w:val="NormalWeb"/>
        <w:spacing w:before="0" w:beforeAutospacing="0" w:after="240" w:afterAutospacing="0"/>
        <w:jc w:val="both"/>
        <w:rPr>
          <w:noProof/>
          <w:color w:val="0E101A"/>
        </w:rPr>
      </w:pPr>
      <w:r>
        <w:rPr>
          <w:noProof/>
          <w:color w:val="0E101A"/>
        </w:rPr>
        <w:t xml:space="preserve">Nyt käsillä olevissa ehdotuksissa olennaisia tekijöitä ovat </w:t>
      </w:r>
      <w:r>
        <w:rPr>
          <w:b/>
          <w:noProof/>
          <w:color w:val="0E101A"/>
        </w:rPr>
        <w:t>vankka ohjaus, läpinäkyvyys ja vahva poliittisen tason valvonta</w:t>
      </w:r>
      <w:r>
        <w:rPr>
          <w:noProof/>
          <w:color w:val="0E101A"/>
        </w:rPr>
        <w:t xml:space="preserve">. Komissio tulee tekemään tiivistä yhteistyötä Euroopan parlamentin ja neuvoston kanssa, jotta </w:t>
      </w:r>
      <w:r>
        <w:rPr>
          <w:rStyle w:val="Strong"/>
          <w:b w:val="0"/>
          <w:noProof/>
          <w:color w:val="0E101A"/>
        </w:rPr>
        <w:t>seuraavasta monivuotisesta rahoituskehyksestä ja alakohtaisista ohjelmista</w:t>
      </w:r>
      <w:r>
        <w:rPr>
          <w:noProof/>
          <w:color w:val="0E101A"/>
        </w:rPr>
        <w:t xml:space="preserve"> päästäisiin tavoitetasoltaan riittävän korkeaan ja tasapainoiseen yhteisymmärrykseen ilman turhia viivytyksiä. Budjettivallan käyttäjinä Euroopan parlamentti ja neuvosto ohjaavat pitkän aikavälin talousarvion kehittymistä ja varmistavat, että se on täysin linjassa yhteisten painopisteidemme kanssa koko sen voimassaolon ajan.</w:t>
      </w:r>
    </w:p>
    <w:p w14:paraId="7EAB6065" w14:textId="77777777" w:rsidR="00E649B9" w:rsidRDefault="007E16C7" w:rsidP="00105E2C">
      <w:pPr>
        <w:pStyle w:val="NormalWeb"/>
        <w:spacing w:before="0" w:beforeAutospacing="0" w:after="240" w:afterAutospacing="0"/>
        <w:jc w:val="both"/>
        <w:rPr>
          <w:noProof/>
          <w:color w:val="0E101A"/>
        </w:rPr>
      </w:pPr>
      <w:r>
        <w:rPr>
          <w:b/>
          <w:noProof/>
          <w:color w:val="0E101A"/>
        </w:rPr>
        <w:t>Itsenäisemmän Euroopan on oltava valmis ottamaan kohtalonsa omiin käsiinsä.</w:t>
      </w:r>
      <w:r>
        <w:rPr>
          <w:noProof/>
          <w:color w:val="0E101A"/>
        </w:rPr>
        <w:t xml:space="preserve"> Unioni ei voi tukeutua pelkästään muihin intressiensä ja arvojensa puolustamisessa. Tämä tarkoittaa, että meidän on käytettävä kaikki käytettävissämme olevat keinot yhteisten tavoitteidemme saavuttamiseksi, myös käytännön tasolla. EU:n talousarvion avulla voidaan sysätä liikkeelle investointeja ja uudistuksia, jotka ovat avainasemassa unionin tulevan vaurauden, yhteenkuuluvuuden, turvallisuuden ja kestävän kehityksen kannalta. </w:t>
      </w:r>
    </w:p>
    <w:p w14:paraId="406550B0" w14:textId="5D3703ED" w:rsidR="00BF4EC7" w:rsidRDefault="00E54625" w:rsidP="00E54625">
      <w:pPr>
        <w:pStyle w:val="NormalWeb"/>
        <w:spacing w:before="0" w:beforeAutospacing="0" w:after="240" w:afterAutospacing="0"/>
        <w:jc w:val="both"/>
        <w:rPr>
          <w:noProof/>
          <w:color w:val="0E101A"/>
        </w:rPr>
      </w:pPr>
      <w:r>
        <w:rPr>
          <w:noProof/>
          <w:color w:val="0E101A"/>
        </w:rPr>
        <w:t>Nyt on korkea aika tehdä tästä todellisuutta.</w:t>
      </w:r>
    </w:p>
    <w:p w14:paraId="51E34D85" w14:textId="77777777" w:rsidR="005E33DE" w:rsidRPr="00C57C39" w:rsidRDefault="005E33DE" w:rsidP="00E54625">
      <w:pPr>
        <w:pStyle w:val="NormalWeb"/>
        <w:spacing w:before="0" w:beforeAutospacing="0" w:after="240" w:afterAutospacing="0"/>
        <w:jc w:val="both"/>
        <w:rPr>
          <w:rFonts w:asciiTheme="minorHAnsi" w:eastAsiaTheme="minorEastAsia" w:hAnsiTheme="minorHAnsi" w:cstheme="minorBidi"/>
          <w:noProof/>
          <w:color w:val="0E101A"/>
          <w:kern w:val="2"/>
          <w:sz w:val="22"/>
          <w:szCs w:val="22"/>
          <w:lang w:eastAsia="en-US"/>
          <w14:ligatures w14:val="standardContextual"/>
        </w:rPr>
      </w:pPr>
    </w:p>
    <w:p w14:paraId="235196F8" w14:textId="1EEFC4EE" w:rsidR="005E33DE" w:rsidDel="0011499A" w:rsidRDefault="00422D48">
      <w:pPr>
        <w:rPr>
          <w:rFonts w:eastAsiaTheme="minorEastAsia"/>
          <w:noProof/>
          <w:color w:val="0E101A"/>
        </w:rPr>
      </w:pPr>
      <w:r>
        <w:rPr>
          <w:noProof/>
        </w:rPr>
        <w:br w:type="page"/>
      </w:r>
    </w:p>
    <w:p w14:paraId="11D68EAF" w14:textId="5AC6A371" w:rsidR="00660C61" w:rsidRPr="000D6231" w:rsidRDefault="00754FEE" w:rsidP="000643DD">
      <w:pPr>
        <w:spacing w:after="0" w:line="240" w:lineRule="auto"/>
        <w:jc w:val="center"/>
        <w:rPr>
          <w:rFonts w:ascii="Times New Roman" w:hAnsi="Times New Roman" w:cs="Times New Roman"/>
          <w:b/>
          <w:bCs/>
          <w:noProof/>
          <w:sz w:val="24"/>
          <w:szCs w:val="24"/>
        </w:rPr>
      </w:pPr>
      <w:r>
        <w:rPr>
          <w:rFonts w:ascii="Times New Roman" w:hAnsi="Times New Roman"/>
          <w:b/>
          <w:noProof/>
          <w:sz w:val="24"/>
        </w:rPr>
        <w:t>Liite. Monivuotinen rahoituskehys 2028–2034 – Taulukot</w:t>
      </w:r>
    </w:p>
    <w:p w14:paraId="268209A0" w14:textId="3CE304D8" w:rsidR="008A7C96" w:rsidRPr="000D6231" w:rsidRDefault="001A3A43">
      <w:pPr>
        <w:spacing w:after="240" w:line="240" w:lineRule="auto"/>
        <w:rPr>
          <w:rFonts w:ascii="Times New Roman" w:hAnsi="Times New Roman" w:cs="Times New Roman"/>
          <w:b/>
          <w:bCs/>
          <w:noProof/>
          <w:sz w:val="24"/>
          <w:szCs w:val="24"/>
        </w:rPr>
      </w:pPr>
      <w:r w:rsidRPr="001A3A43">
        <w:rPr>
          <w:noProof/>
          <w:lang w:val="en-GB" w:eastAsia="en-GB"/>
        </w:rPr>
        <w:drawing>
          <wp:inline distT="0" distB="0" distL="0" distR="0" wp14:anchorId="1056850E" wp14:editId="778D9305">
            <wp:extent cx="5752465" cy="8217535"/>
            <wp:effectExtent l="0" t="0" r="635" b="0"/>
            <wp:docPr id="17532766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2465" cy="8217535"/>
                    </a:xfrm>
                    <a:prstGeom prst="rect">
                      <a:avLst/>
                    </a:prstGeom>
                    <a:noFill/>
                    <a:ln>
                      <a:noFill/>
                    </a:ln>
                  </pic:spPr>
                </pic:pic>
              </a:graphicData>
            </a:graphic>
          </wp:inline>
        </w:drawing>
      </w:r>
    </w:p>
    <w:p w14:paraId="214A3C88" w14:textId="77A06300" w:rsidR="009E3122" w:rsidRPr="000D6231" w:rsidRDefault="009E3122" w:rsidP="000643DD">
      <w:pPr>
        <w:spacing w:after="240" w:line="240" w:lineRule="auto"/>
        <w:rPr>
          <w:rFonts w:ascii="Times New Roman" w:hAnsi="Times New Roman" w:cs="Times New Roman"/>
          <w:b/>
          <w:bCs/>
          <w:noProof/>
          <w:sz w:val="24"/>
          <w:szCs w:val="24"/>
        </w:rPr>
      </w:pPr>
    </w:p>
    <w:p w14:paraId="770A6A23" w14:textId="679969C4" w:rsidR="006C690F" w:rsidRPr="000D6231" w:rsidRDefault="00D67758" w:rsidP="000E3616">
      <w:pPr>
        <w:spacing w:after="240"/>
        <w:rPr>
          <w:rFonts w:ascii="Times New Roman" w:hAnsi="Times New Roman" w:cs="Times New Roman"/>
          <w:noProof/>
          <w:sz w:val="24"/>
          <w:szCs w:val="24"/>
        </w:rPr>
      </w:pPr>
      <w:r w:rsidRPr="00D67758">
        <w:rPr>
          <w:noProof/>
          <w:lang w:val="en-GB" w:eastAsia="en-GB"/>
        </w:rPr>
        <w:drawing>
          <wp:inline distT="0" distB="0" distL="0" distR="0" wp14:anchorId="7FC311BE" wp14:editId="1C404F37">
            <wp:extent cx="5760720" cy="8130540"/>
            <wp:effectExtent l="0" t="0" r="0" b="0"/>
            <wp:docPr id="589224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8130540"/>
                    </a:xfrm>
                    <a:prstGeom prst="rect">
                      <a:avLst/>
                    </a:prstGeom>
                    <a:noFill/>
                    <a:ln>
                      <a:noFill/>
                    </a:ln>
                  </pic:spPr>
                </pic:pic>
              </a:graphicData>
            </a:graphic>
          </wp:inline>
        </w:drawing>
      </w:r>
    </w:p>
    <w:sectPr w:rsidR="006C690F" w:rsidRPr="000D6231" w:rsidSect="009476AE">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B35BC9" w14:textId="77777777" w:rsidR="00933E41" w:rsidRDefault="00933E41" w:rsidP="00660C61">
      <w:pPr>
        <w:spacing w:after="0" w:line="240" w:lineRule="auto"/>
      </w:pPr>
      <w:r>
        <w:separator/>
      </w:r>
    </w:p>
  </w:endnote>
  <w:endnote w:type="continuationSeparator" w:id="0">
    <w:p w14:paraId="04FCB941" w14:textId="77777777" w:rsidR="00933E41" w:rsidRDefault="00933E41" w:rsidP="00660C61">
      <w:pPr>
        <w:spacing w:after="0" w:line="240" w:lineRule="auto"/>
      </w:pPr>
      <w:r>
        <w:continuationSeparator/>
      </w:r>
    </w:p>
  </w:endnote>
  <w:endnote w:type="continuationNotice" w:id="1">
    <w:p w14:paraId="4F4717C6" w14:textId="77777777" w:rsidR="00933E41" w:rsidRDefault="00933E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charset w:val="00"/>
    <w:family w:val="swiss"/>
    <w:pitch w:val="variable"/>
    <w:sig w:usb0="20000287" w:usb1="00000001"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EE992" w14:textId="4E9FAF01" w:rsidR="00CB1C20" w:rsidRPr="00CB1C20" w:rsidRDefault="00CB1C20" w:rsidP="00CB1C20">
    <w:pPr>
      <w:pStyle w:val="FooterCoverPage"/>
      <w:rPr>
        <w:rFonts w:ascii="Arial" w:hAnsi="Arial" w:cs="Arial"/>
        <w:b/>
        <w:sz w:val="48"/>
      </w:rPr>
    </w:pPr>
    <w:r w:rsidRPr="00CB1C20">
      <w:rPr>
        <w:rFonts w:ascii="Arial" w:hAnsi="Arial" w:cs="Arial"/>
        <w:b/>
        <w:sz w:val="48"/>
      </w:rPr>
      <w:t>FI</w:t>
    </w:r>
    <w:r w:rsidRPr="00CB1C20">
      <w:rPr>
        <w:rFonts w:ascii="Arial" w:hAnsi="Arial" w:cs="Arial"/>
        <w:b/>
        <w:sz w:val="48"/>
      </w:rPr>
      <w:tab/>
    </w:r>
    <w:r w:rsidRPr="00CB1C20">
      <w:rPr>
        <w:rFonts w:ascii="Arial" w:hAnsi="Arial" w:cs="Arial"/>
        <w:b/>
        <w:sz w:val="48"/>
      </w:rPr>
      <w:tab/>
    </w:r>
    <w:r w:rsidRPr="00CB1C20">
      <w:tab/>
    </w:r>
    <w:r w:rsidRPr="00CB1C20">
      <w:rPr>
        <w:rFonts w:ascii="Arial" w:hAnsi="Arial" w:cs="Arial"/>
        <w:b/>
        <w:sz w:val="48"/>
      </w:rPr>
      <w:t>FI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BBB7D" w14:textId="15A7411E" w:rsidR="00CB1C20" w:rsidRPr="00CB1C20" w:rsidRDefault="00CB1C20" w:rsidP="00CB1C20">
    <w:pPr>
      <w:pStyle w:val="FooterCoverPage"/>
      <w:rPr>
        <w:rFonts w:ascii="Arial" w:hAnsi="Arial" w:cs="Arial"/>
        <w:b/>
        <w:sz w:val="48"/>
      </w:rPr>
    </w:pPr>
    <w:r w:rsidRPr="00CB1C20">
      <w:rPr>
        <w:rFonts w:ascii="Arial" w:hAnsi="Arial" w:cs="Arial"/>
        <w:b/>
        <w:sz w:val="48"/>
      </w:rPr>
      <w:t>FI</w:t>
    </w:r>
    <w:r w:rsidRPr="00CB1C20">
      <w:rPr>
        <w:rFonts w:ascii="Arial" w:hAnsi="Arial" w:cs="Arial"/>
        <w:b/>
        <w:sz w:val="48"/>
      </w:rPr>
      <w:tab/>
    </w:r>
    <w:r w:rsidRPr="00CB1C20">
      <w:rPr>
        <w:rFonts w:ascii="Arial" w:hAnsi="Arial" w:cs="Arial"/>
        <w:b/>
        <w:sz w:val="48"/>
      </w:rPr>
      <w:tab/>
    </w:r>
    <w:r w:rsidRPr="00CB1C20">
      <w:tab/>
    </w:r>
    <w:r w:rsidRPr="00CB1C20">
      <w:rPr>
        <w:rFonts w:ascii="Arial" w:hAnsi="Arial" w:cs="Arial"/>
        <w:b/>
        <w:sz w:val="48"/>
      </w:rPr>
      <w:t>FI</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472C4" w14:textId="77777777" w:rsidR="00CB1C20" w:rsidRPr="00CB1C20" w:rsidRDefault="00CB1C20" w:rsidP="00CB1C20">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EFDDA" w14:textId="77777777" w:rsidR="009476AE" w:rsidRDefault="009476A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076393"/>
      <w:docPartObj>
        <w:docPartGallery w:val="Page Numbers (Bottom of Page)"/>
        <w:docPartUnique/>
      </w:docPartObj>
    </w:sdtPr>
    <w:sdtEndPr>
      <w:rPr>
        <w:noProof/>
      </w:rPr>
    </w:sdtEndPr>
    <w:sdtContent>
      <w:p w14:paraId="0C103475" w14:textId="00301FAC" w:rsidR="009476AE" w:rsidRDefault="009476AE">
        <w:pPr>
          <w:pStyle w:val="Footer"/>
          <w:jc w:val="center"/>
        </w:pPr>
        <w:r>
          <w:fldChar w:fldCharType="begin"/>
        </w:r>
        <w:r>
          <w:instrText xml:space="preserve"> PAGE   \* MERGEFORMAT </w:instrText>
        </w:r>
        <w:r>
          <w:fldChar w:fldCharType="separate"/>
        </w:r>
        <w:r w:rsidR="00CB1C20">
          <w:rPr>
            <w:noProof/>
          </w:rPr>
          <w:t>1</w:t>
        </w:r>
        <w:r>
          <w:fldChar w:fldCharType="end"/>
        </w:r>
      </w:p>
    </w:sdtContent>
  </w:sdt>
  <w:p w14:paraId="64B92CCA" w14:textId="77777777" w:rsidR="009476AE" w:rsidRDefault="009476A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7A054" w14:textId="77777777" w:rsidR="009476AE" w:rsidRDefault="009476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04A07" w14:textId="77777777" w:rsidR="00933E41" w:rsidRDefault="00933E41" w:rsidP="00660C61">
      <w:pPr>
        <w:spacing w:after="0" w:line="240" w:lineRule="auto"/>
      </w:pPr>
      <w:r>
        <w:separator/>
      </w:r>
    </w:p>
  </w:footnote>
  <w:footnote w:type="continuationSeparator" w:id="0">
    <w:p w14:paraId="76530B44" w14:textId="77777777" w:rsidR="00933E41" w:rsidRDefault="00933E41" w:rsidP="00660C61">
      <w:pPr>
        <w:spacing w:after="0" w:line="240" w:lineRule="auto"/>
      </w:pPr>
      <w:r>
        <w:continuationSeparator/>
      </w:r>
    </w:p>
  </w:footnote>
  <w:footnote w:type="continuationNotice" w:id="1">
    <w:p w14:paraId="4F7064A1" w14:textId="77777777" w:rsidR="00933E41" w:rsidRDefault="00933E41">
      <w:pPr>
        <w:spacing w:after="0" w:line="240" w:lineRule="auto"/>
      </w:pPr>
    </w:p>
  </w:footnote>
  <w:footnote w:id="2">
    <w:p w14:paraId="6770D4AE" w14:textId="1B57B64D" w:rsidR="00565B55" w:rsidRPr="00A10832" w:rsidRDefault="00565B55">
      <w:pPr>
        <w:pStyle w:val="FootnoteText"/>
        <w:rPr>
          <w:rFonts w:ascii="Times New Roman" w:hAnsi="Times New Roman" w:cs="Times New Roman"/>
        </w:rPr>
      </w:pPr>
      <w:r>
        <w:rPr>
          <w:rStyle w:val="FootnoteReference"/>
          <w:rFonts w:ascii="Times New Roman" w:hAnsi="Times New Roman" w:cs="Times New Roman"/>
        </w:rPr>
        <w:footnoteRef/>
      </w:r>
      <w:r>
        <w:t xml:space="preserve"> </w:t>
      </w:r>
      <w:hyperlink r:id="rId1" w:history="1">
        <w:r>
          <w:rPr>
            <w:rStyle w:val="Hyperlink"/>
            <w:rFonts w:ascii="Times New Roman" w:hAnsi="Times New Roman"/>
          </w:rPr>
          <w:t>EU:n seuraava pitkän aikavälin talousarvio – EU:n varat, joita toteutetaan yhteistyössä jäsenmaiden ja alueiden kanssa</w:t>
        </w:r>
      </w:hyperlink>
      <w:r>
        <w:t>.</w:t>
      </w:r>
    </w:p>
  </w:footnote>
  <w:footnote w:id="3">
    <w:p w14:paraId="74F43998" w14:textId="37B5B973" w:rsidR="00565B55" w:rsidRPr="00A10832" w:rsidRDefault="00565B55">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 w:history="1">
        <w:r>
          <w:rPr>
            <w:rStyle w:val="Hyperlink"/>
            <w:rFonts w:ascii="Times New Roman" w:hAnsi="Times New Roman"/>
          </w:rPr>
          <w:t>Eurooppalainen kansalaispaneeli EU:n uudesta talousarviosta</w:t>
        </w:r>
      </w:hyperlink>
    </w:p>
  </w:footnote>
  <w:footnote w:id="4">
    <w:p w14:paraId="3A1190EA" w14:textId="7D2A441A" w:rsidR="00F821C6" w:rsidRPr="00327E4C" w:rsidRDefault="00F821C6" w:rsidP="00F821C6">
      <w:pPr>
        <w:pStyle w:val="FootnoteText"/>
        <w:rPr>
          <w:rFonts w:ascii="Times New Roman" w:hAnsi="Times New Roman" w:cs="Times New Roman"/>
          <w:highlight w:val="yellow"/>
        </w:rPr>
      </w:pPr>
      <w:r>
        <w:rPr>
          <w:rStyle w:val="FootnoteReference"/>
          <w:rFonts w:ascii="Times New Roman" w:hAnsi="Times New Roman" w:cs="Times New Roman"/>
        </w:rPr>
        <w:footnoteRef/>
      </w:r>
      <w:r>
        <w:t xml:space="preserve"> </w:t>
      </w:r>
      <w:r>
        <w:rPr>
          <w:rFonts w:ascii="Times New Roman" w:hAnsi="Times New Roman"/>
        </w:rPr>
        <w:t>Euroopan parlamentin ja neuvoston asetus (EU, Euratom) 2020/2092, annettu 16 päivänä joulukuuta 2020, yleisestä ehdollisuusjärjestelmästä unionin talousarvion suojaamiseksi.</w:t>
      </w:r>
      <w:r>
        <w:rPr>
          <w:rFonts w:ascii="Times New Roman" w:hAnsi="Times New Roman"/>
          <w:highlight w:val="yellow"/>
        </w:rPr>
        <w:t xml:space="preserve"> </w:t>
      </w:r>
    </w:p>
  </w:footnote>
  <w:footnote w:id="5">
    <w:p w14:paraId="37A9657D" w14:textId="77777777" w:rsidR="008247D9" w:rsidRPr="00C57C39" w:rsidRDefault="008247D9" w:rsidP="008247D9">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sidRPr="00C57C39">
        <w:rPr>
          <w:rFonts w:ascii="Times New Roman" w:hAnsi="Times New Roman"/>
          <w:lang w:val="en-IE"/>
        </w:rPr>
        <w:t xml:space="preserve"> Draghi, M. (2024) ”</w:t>
      </w:r>
      <w:hyperlink r:id="rId3" w:history="1">
        <w:r w:rsidRPr="00C57C39">
          <w:rPr>
            <w:rStyle w:val="Hyperlink"/>
            <w:rFonts w:ascii="Times New Roman" w:hAnsi="Times New Roman"/>
            <w:lang w:val="en-IE"/>
          </w:rPr>
          <w:t>A competitiveness strategy for Europe</w:t>
        </w:r>
      </w:hyperlink>
      <w:r w:rsidRPr="00C57C39">
        <w:rPr>
          <w:rFonts w:ascii="Times New Roman" w:hAnsi="Times New Roman"/>
          <w:lang w:val="en-IE"/>
        </w:rPr>
        <w:t>”.</w:t>
      </w:r>
    </w:p>
  </w:footnote>
  <w:footnote w:id="6">
    <w:p w14:paraId="78A72DBF" w14:textId="77777777" w:rsidR="008247D9" w:rsidRPr="00C57C39" w:rsidRDefault="008247D9" w:rsidP="008247D9">
      <w:pPr>
        <w:pStyle w:val="FootnoteText"/>
        <w:jc w:val="both"/>
        <w:rPr>
          <w:rFonts w:ascii="Times New Roman" w:hAnsi="Times New Roman" w:cs="Times New Roman"/>
          <w:lang w:val="en-IE"/>
        </w:rPr>
      </w:pPr>
      <w:r>
        <w:rPr>
          <w:rStyle w:val="FootnoteReference"/>
          <w:rFonts w:ascii="Times New Roman" w:hAnsi="Times New Roman" w:cs="Times New Roman"/>
        </w:rPr>
        <w:footnoteRef/>
      </w:r>
      <w:r w:rsidRPr="00C57C39">
        <w:rPr>
          <w:rFonts w:ascii="Times New Roman" w:hAnsi="Times New Roman"/>
          <w:lang w:val="en-IE"/>
        </w:rPr>
        <w:t xml:space="preserve"> Letta, E. (2024) </w:t>
      </w:r>
      <w:r w:rsidRPr="0038034F">
        <w:rPr>
          <w:rFonts w:ascii="Times New Roman" w:hAnsi="Times New Roman" w:cs="Times New Roman"/>
        </w:rPr>
        <w:fldChar w:fldCharType="begin"/>
      </w:r>
      <w:r w:rsidRPr="0038034F">
        <w:rPr>
          <w:rFonts w:ascii="Times New Roman" w:hAnsi="Times New Roman" w:cs="Times New Roman"/>
        </w:rPr>
        <w:fldChar w:fldCharType="separate"/>
      </w:r>
      <w:r w:rsidRPr="00C57C39">
        <w:rPr>
          <w:rStyle w:val="Hyperlink"/>
          <w:rFonts w:ascii="Times New Roman" w:hAnsi="Times New Roman" w:cs="Times New Roman"/>
          <w:lang w:val="en-IE"/>
        </w:rPr>
        <w:t>Much more than a market</w:t>
      </w:r>
      <w:r w:rsidRPr="0038034F">
        <w:rPr>
          <w:rFonts w:ascii="Times New Roman" w:hAnsi="Times New Roman" w:cs="Times New Roman"/>
        </w:rPr>
        <w:fldChar w:fldCharType="end"/>
      </w:r>
      <w:r w:rsidRPr="00C57C39">
        <w:rPr>
          <w:lang w:val="en-IE"/>
        </w:rPr>
        <w:t>”</w:t>
      </w:r>
      <w:hyperlink r:id="rId4" w:history="1">
        <w:r w:rsidRPr="00C57C39">
          <w:rPr>
            <w:rStyle w:val="Hyperlink"/>
            <w:rFonts w:ascii="Times New Roman" w:hAnsi="Times New Roman"/>
            <w:lang w:val="en-IE"/>
          </w:rPr>
          <w:t>More than a market</w:t>
        </w:r>
      </w:hyperlink>
      <w:r w:rsidRPr="00C57C39">
        <w:rPr>
          <w:rFonts w:ascii="Times New Roman" w:hAnsi="Times New Roman"/>
          <w:lang w:val="en-IE"/>
        </w:rPr>
        <w:t>”.</w:t>
      </w:r>
    </w:p>
  </w:footnote>
  <w:footnote w:id="7">
    <w:p w14:paraId="4092E136" w14:textId="77777777" w:rsidR="008247D9" w:rsidRPr="00F66228" w:rsidRDefault="008247D9" w:rsidP="008247D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Komission tiedonanto Euroopan parlamentille, Eurooppa-neuvostolle, neuvostolle, Euroopan talous- ja sosiaalikomitealle ja alueiden komitealle, </w:t>
      </w:r>
      <w:r>
        <w:rPr>
          <w:rFonts w:ascii="Times New Roman" w:hAnsi="Times New Roman"/>
          <w:i/>
        </w:rPr>
        <w:t>EU:n kilpailukykykompassi</w:t>
      </w:r>
      <w:r>
        <w:rPr>
          <w:rFonts w:ascii="Times New Roman" w:hAnsi="Times New Roman"/>
        </w:rPr>
        <w:t xml:space="preserve">, COM(2025) 30 final. </w:t>
      </w:r>
    </w:p>
  </w:footnote>
  <w:footnote w:id="8">
    <w:p w14:paraId="7783A9D3" w14:textId="6DF5B12D" w:rsidR="00EA482F" w:rsidRPr="000643DD" w:rsidRDefault="00EA482F" w:rsidP="000643D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Kun tähän lisätään innovaatiorahaston kautta myönnettävä tuki, Euroopan kilpailukykyrahaston ja Horisontti Eurooppa -puiteohjelman rahoitus kasvaa yhteensä 450,8 miljardiin euroon. </w:t>
      </w:r>
    </w:p>
  </w:footnote>
  <w:footnote w:id="9">
    <w:p w14:paraId="3C364CE9" w14:textId="3AAAB7BB" w:rsidR="00F66228" w:rsidRPr="00D35665" w:rsidRDefault="00F66228" w:rsidP="68FD1D6F">
      <w:pPr>
        <w:pStyle w:val="FootnoteText"/>
        <w:jc w:val="both"/>
        <w:rPr>
          <w:rFonts w:ascii="Times New Roman" w:hAnsi="Times New Roman" w:cs="Times New Roman"/>
        </w:rPr>
      </w:pPr>
      <w:r>
        <w:rPr>
          <w:rStyle w:val="FootnoteReference"/>
          <w:rFonts w:ascii="Times New Roman" w:hAnsi="Times New Roman" w:cs="Times New Roman"/>
        </w:rPr>
        <w:footnoteRef/>
      </w:r>
      <w:r w:rsidR="005B291E">
        <w:rPr>
          <w:rFonts w:ascii="Times New Roman" w:hAnsi="Times New Roman"/>
        </w:rPr>
        <w:t xml:space="preserve"> </w:t>
      </w:r>
      <w:r>
        <w:rPr>
          <w:rFonts w:ascii="Times New Roman" w:hAnsi="Times New Roman"/>
        </w:rPr>
        <w:t>Neuvoston asetus (EU) 2025/1106, annettu 27 päivänä toukokuuta 2025, välineen perustamisesta Euroopan turvallisuuden edistämiseksi Euroopan puolustusteollisuutta vahvistamalla (SAFE)</w:t>
      </w:r>
      <w:r>
        <w:t>.</w:t>
      </w:r>
    </w:p>
  </w:footnote>
  <w:footnote w:id="10">
    <w:p w14:paraId="0A82FC37" w14:textId="1220C556" w:rsidR="27B01B09" w:rsidRPr="00D35665" w:rsidRDefault="27B01B09" w:rsidP="68FD1D6F">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Neuvoston päätöksen (YUTP) 2021/509 mukaisesti.</w:t>
      </w:r>
    </w:p>
  </w:footnote>
  <w:footnote w:id="11">
    <w:p w14:paraId="37901E9D" w14:textId="17BA68A2" w:rsidR="00440D4D" w:rsidRPr="00440D4D" w:rsidRDefault="00440D4D">
      <w:pPr>
        <w:pStyle w:val="FootnoteText"/>
      </w:pPr>
      <w:r>
        <w:rPr>
          <w:rStyle w:val="FootnoteReference"/>
        </w:rPr>
        <w:footnoteRef/>
      </w:r>
      <w:r>
        <w:t xml:space="preserve"> </w:t>
      </w:r>
      <w:r>
        <w:rPr>
          <w:rFonts w:ascii="Times New Roman" w:hAnsi="Times New Roman"/>
        </w:rPr>
        <w:t>Komission tiedonanto Euroopan parlamentille, neuvostolle, Euroopan talous- ja sosiaalikomitealle ja alueiden komitealle – Sisämarkkinat – Euroopan kotimarkkinat epävarmassa maailmassa – Strategia sisämarkkinoiden yksinkertaistamiseksi, sujuvoittamiseksi ja vahvistamiseksi (COM(2025) 500).</w:t>
      </w:r>
    </w:p>
  </w:footnote>
  <w:footnote w:id="12">
    <w:p w14:paraId="1258C80D" w14:textId="16685220" w:rsidR="00057FF2" w:rsidRPr="00A366A5" w:rsidRDefault="00057FF2" w:rsidP="00057FF2">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Neuvoston asetus (EY) N:o 1257/96, annettu 20 päivänä kesäkuuta 1996, humanitaarisesta avusta.</w:t>
      </w:r>
    </w:p>
  </w:footnote>
  <w:footnote w:id="13">
    <w:p w14:paraId="0460924C" w14:textId="63BA29F5" w:rsidR="00C0520C" w:rsidRPr="006A444D" w:rsidRDefault="00C0520C">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Neuvoston päätös</w:t>
      </w:r>
      <w:r>
        <w:t xml:space="preserve"> </w:t>
      </w:r>
      <w:bookmarkStart w:id="3" w:name="_Hlk202902685"/>
      <w:r>
        <w:rPr>
          <w:rFonts w:ascii="Times New Roman" w:hAnsi="Times New Roman"/>
        </w:rPr>
        <w:t>(EU) 2021/1764, annettu 5 päivänä lokakuuta 2021, merentakaisten maiden ja alueiden assosiaatiosta Euroopan unioniin, mukaan lukien suhteet Euroopan unionin sekä Grönlannin ja Tanskan kuningaskunnan välillä (päätös merentakaisten alueiden, Grönlanti mukaan luettuna, assosiaatiosta) (EUVL L 355, 7.10.2021, s. 6</w:t>
      </w:r>
      <w:bookmarkEnd w:id="3"/>
      <w:r w:rsidRPr="006A444D">
        <w:rPr>
          <w:rFonts w:ascii="Times New Roman" w:hAnsi="Times New Roman" w:cs="Times New Roman"/>
        </w:rPr>
        <w:fldChar w:fldCharType="begin"/>
      </w:r>
      <w:r w:rsidRPr="006A444D">
        <w:rPr>
          <w:rFonts w:ascii="Times New Roman" w:hAnsi="Times New Roman" w:cs="Times New Roman"/>
        </w:rPr>
        <w:instrText>HYPERLINK "http://data.europa.eu/eli/dec/2021/1764/oj" \o "Avaa asiakirjan ELI URI -osoitteen kautta."</w:instrText>
      </w:r>
      <w:r w:rsidRPr="006A444D">
        <w:rPr>
          <w:rFonts w:ascii="Times New Roman" w:hAnsi="Times New Roman" w:cs="Times New Roman"/>
        </w:rPr>
        <w:fldChar w:fldCharType="separate"/>
      </w:r>
      <w:r>
        <w:rPr>
          <w:rStyle w:val="Hyperlink"/>
          <w:rFonts w:ascii="Times New Roman" w:hAnsi="Times New Roman"/>
        </w:rPr>
        <w:t>http://data.europa.eu/eli/dec/2021/1764/oj</w:t>
      </w:r>
      <w:r w:rsidRPr="006A444D">
        <w:rPr>
          <w:rFonts w:ascii="Times New Roman" w:hAnsi="Times New Roman" w:cs="Times New Roman"/>
        </w:rPr>
        <w:fldChar w:fldCharType="end"/>
      </w:r>
      <w:r>
        <w:rPr>
          <w:rFonts w:ascii="Times New Roman" w:hAnsi="Times New Roman"/>
        </w:rPr>
        <w:t>), ELI: 2021/1764</w:t>
      </w:r>
    </w:p>
  </w:footnote>
  <w:footnote w:id="14">
    <w:p w14:paraId="48926883" w14:textId="77777777" w:rsidR="00CF7991" w:rsidRPr="00800B21" w:rsidRDefault="00CF7991" w:rsidP="00800B21">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Yhteinen tiedonanto Euroopan parlamentille, Eurooppa-neuvostolle, neuvostolle, Euroopan talous- ja sosiaalikomitealle ja alueiden komitealle Euroopan varautumisunionistrategiasta (JOIN(2025) 130 final).</w:t>
      </w:r>
    </w:p>
  </w:footnote>
  <w:footnote w:id="15">
    <w:p w14:paraId="30961E14" w14:textId="42574891" w:rsidR="005E5D13" w:rsidRPr="005C4743" w:rsidRDefault="005E5D13" w:rsidP="006A444D">
      <w:pPr>
        <w:pStyle w:val="FootnoteText"/>
        <w:jc w:val="both"/>
      </w:pPr>
      <w:r>
        <w:rPr>
          <w:rStyle w:val="FootnoteReference"/>
        </w:rPr>
        <w:footnoteRef/>
      </w:r>
      <w:r w:rsidR="005B291E">
        <w:rPr>
          <w:rFonts w:ascii="Times New Roman" w:hAnsi="Times New Roman"/>
        </w:rPr>
        <w:t xml:space="preserve"> </w:t>
      </w:r>
      <w:r>
        <w:rPr>
          <w:rFonts w:ascii="Times New Roman" w:hAnsi="Times New Roman"/>
        </w:rPr>
        <w:t xml:space="preserve">Komission tiedonanto Euroopan parlamentille, neuvostolle, Euroopan talous- ja sosiaalikomitealle ja alueiden komitealle: </w:t>
      </w:r>
      <w:r>
        <w:rPr>
          <w:rFonts w:ascii="Times New Roman" w:hAnsi="Times New Roman"/>
          <w:i/>
          <w:iCs/>
        </w:rPr>
        <w:t>ProtectEU – eurooppalainen sisäisen turvallisuuden strategia</w:t>
      </w:r>
      <w:r>
        <w:rPr>
          <w:rFonts w:ascii="Times New Roman" w:hAnsi="Times New Roman"/>
        </w:rPr>
        <w:t xml:space="preserve"> (COM(2025) 148 final).</w:t>
      </w:r>
    </w:p>
  </w:footnote>
  <w:footnote w:id="16">
    <w:p w14:paraId="1041D06D" w14:textId="4A74DCA6" w:rsidR="00834B52" w:rsidRPr="00C57C39" w:rsidRDefault="00834B52">
      <w:pPr>
        <w:pStyle w:val="FootnoteText"/>
        <w:rPr>
          <w:rFonts w:ascii="Times New Roman" w:hAnsi="Times New Roman" w:cs="Times New Roman"/>
          <w:lang w:val="en-IE"/>
        </w:rPr>
      </w:pPr>
      <w:r>
        <w:rPr>
          <w:rStyle w:val="FootnoteReference"/>
          <w:rFonts w:ascii="Times New Roman" w:hAnsi="Times New Roman" w:cs="Times New Roman"/>
        </w:rPr>
        <w:footnoteRef/>
      </w:r>
      <w:r w:rsidRPr="00C57C39">
        <w:rPr>
          <w:rFonts w:ascii="Times New Roman" w:hAnsi="Times New Roman"/>
          <w:lang w:val="en-IE"/>
        </w:rPr>
        <w:t xml:space="preserve"> Niinistö, S., </w:t>
      </w:r>
      <w:hyperlink r:id="rId5" w:history="1">
        <w:r w:rsidRPr="00C57C39">
          <w:rPr>
            <w:rStyle w:val="Hyperlink"/>
            <w:rFonts w:ascii="Times New Roman" w:hAnsi="Times New Roman"/>
            <w:lang w:val="en-IE"/>
          </w:rPr>
          <w:t>”Safer Together: Strengthening Europe’s Civilian and Military Preparedness and Readiness”</w:t>
        </w:r>
      </w:hyperlink>
      <w:r w:rsidRPr="00C57C39">
        <w:rPr>
          <w:rFonts w:ascii="Times New Roman" w:hAnsi="Times New Roman"/>
          <w:lang w:val="en-IE"/>
        </w:rPr>
        <w:t>, 2024.</w:t>
      </w:r>
    </w:p>
  </w:footnote>
  <w:footnote w:id="17">
    <w:p w14:paraId="13555F2D" w14:textId="2E883AFD" w:rsidR="00BD440D" w:rsidRPr="00EE6F80" w:rsidRDefault="00BD440D" w:rsidP="00BD440D">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SWD(2023) 336 final.</w:t>
      </w:r>
    </w:p>
  </w:footnote>
  <w:footnote w:id="18">
    <w:p w14:paraId="0176DA6C" w14:textId="74BF223C" w:rsidR="004F2C50" w:rsidRPr="004F2C50" w:rsidRDefault="004F2C50">
      <w:pPr>
        <w:pStyle w:val="FootnoteText"/>
      </w:pPr>
      <w:r>
        <w:rPr>
          <w:rStyle w:val="FootnoteReference"/>
        </w:rPr>
        <w:footnoteRef/>
      </w:r>
      <w:r>
        <w:t xml:space="preserve"> </w:t>
      </w:r>
      <w:r>
        <w:rPr>
          <w:rFonts w:ascii="Times New Roman" w:hAnsi="Times New Roman"/>
        </w:rPr>
        <w:t>Komissio tulee ehdottamaan hyvissä ajoin varainhoitoasetuksen muuttamista siten, että sen 48 artiklan 2 kohdassa säädettyä negatiivisten tulojen käsittelyä jatketaan vuoden 2027 jälkeen.</w:t>
      </w:r>
    </w:p>
  </w:footnote>
  <w:footnote w:id="19">
    <w:p w14:paraId="293B48F4" w14:textId="197A686C" w:rsidR="00B6228B" w:rsidRPr="00B334AE" w:rsidRDefault="00B6228B" w:rsidP="00297D52">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Tätä seikkaa korostettiin Euroopan tilintarkastustuomioistuimen asiakirjassa </w:t>
      </w:r>
      <w:hyperlink r:id="rId6">
        <w:r>
          <w:rPr>
            <w:rStyle w:val="Hyperlink"/>
            <w:rFonts w:ascii="Times New Roman" w:hAnsi="Times New Roman"/>
          </w:rPr>
          <w:t>2022 Vuosikertomukset EU:n talousarvion toteuttamisesta varainhoitovuodelta 2022 ja yhdeksännestä, kymmenennestä ja yhdennestätoista Euroopan kehitysrahastosta (EKR) rahoitetuista toimista varainhoitovuodelta 2022</w:t>
        </w:r>
      </w:hyperlink>
      <w:r>
        <w:t>.</w:t>
      </w:r>
    </w:p>
  </w:footnote>
  <w:footnote w:id="20">
    <w:p w14:paraId="4425069F" w14:textId="0744B924" w:rsidR="4D730E0A" w:rsidRPr="00B334AE" w:rsidRDefault="4D730E0A" w:rsidP="4D730E0A">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Euroopan tilintarkastustuomioistuimen katsaus 03/2025 – Vuoden 2027 jälkeisen monivuotisen rahoituskehyksen mahdollisuudet.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A8ACC" w14:textId="77777777" w:rsidR="00CB1C20" w:rsidRPr="00CB1C20" w:rsidRDefault="00CB1C20" w:rsidP="00CB1C20">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76A9A" w14:textId="77777777" w:rsidR="00CB1C20" w:rsidRPr="00CB1C20" w:rsidRDefault="00CB1C20" w:rsidP="00CB1C20">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C98EE" w14:textId="77777777" w:rsidR="00CB1C20" w:rsidRPr="00CB1C20" w:rsidRDefault="00CB1C20" w:rsidP="00CB1C20">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C745A" w14:textId="77777777" w:rsidR="009476AE" w:rsidRDefault="009476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F41BC" w14:textId="77777777" w:rsidR="009476AE" w:rsidRDefault="009476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65EE6" w14:textId="77777777" w:rsidR="009476AE" w:rsidRDefault="009476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2863"/>
    <w:multiLevelType w:val="hybridMultilevel"/>
    <w:tmpl w:val="456CD798"/>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A65083"/>
    <w:multiLevelType w:val="multilevel"/>
    <w:tmpl w:val="FFFFFFFF"/>
    <w:lvl w:ilvl="0">
      <w:start w:val="3"/>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1627C5"/>
    <w:multiLevelType w:val="multilevel"/>
    <w:tmpl w:val="E46220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365AEE"/>
    <w:multiLevelType w:val="multilevel"/>
    <w:tmpl w:val="5D3637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4084A87"/>
    <w:multiLevelType w:val="multilevel"/>
    <w:tmpl w:val="CDE6A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B7135"/>
    <w:multiLevelType w:val="multilevel"/>
    <w:tmpl w:val="A17EF01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04D91BA6"/>
    <w:multiLevelType w:val="multilevel"/>
    <w:tmpl w:val="BC30F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073607"/>
    <w:multiLevelType w:val="multilevel"/>
    <w:tmpl w:val="CD388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436A94"/>
    <w:multiLevelType w:val="multilevel"/>
    <w:tmpl w:val="586CA26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0B101729"/>
    <w:multiLevelType w:val="multilevel"/>
    <w:tmpl w:val="4C92ED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0B2367DF"/>
    <w:multiLevelType w:val="multilevel"/>
    <w:tmpl w:val="4134E4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0CF37867"/>
    <w:multiLevelType w:val="multilevel"/>
    <w:tmpl w:val="C85A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904445"/>
    <w:multiLevelType w:val="multilevel"/>
    <w:tmpl w:val="9A867F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5F96E0"/>
    <w:multiLevelType w:val="hybridMultilevel"/>
    <w:tmpl w:val="FFFFFFFF"/>
    <w:lvl w:ilvl="0" w:tplc="1CB6D998">
      <w:numFmt w:val="none"/>
      <w:lvlText w:val=""/>
      <w:lvlJc w:val="left"/>
      <w:pPr>
        <w:tabs>
          <w:tab w:val="num" w:pos="360"/>
        </w:tabs>
      </w:pPr>
    </w:lvl>
    <w:lvl w:ilvl="1" w:tplc="262E1D70">
      <w:start w:val="1"/>
      <w:numFmt w:val="lowerLetter"/>
      <w:lvlText w:val="%2."/>
      <w:lvlJc w:val="left"/>
      <w:pPr>
        <w:ind w:left="1440" w:hanging="360"/>
      </w:pPr>
    </w:lvl>
    <w:lvl w:ilvl="2" w:tplc="ABDCBFDA">
      <w:start w:val="1"/>
      <w:numFmt w:val="lowerRoman"/>
      <w:lvlText w:val="%3."/>
      <w:lvlJc w:val="right"/>
      <w:pPr>
        <w:ind w:left="2160" w:hanging="180"/>
      </w:pPr>
    </w:lvl>
    <w:lvl w:ilvl="3" w:tplc="C956A00E">
      <w:start w:val="1"/>
      <w:numFmt w:val="decimal"/>
      <w:lvlText w:val="%4."/>
      <w:lvlJc w:val="left"/>
      <w:pPr>
        <w:ind w:left="2880" w:hanging="360"/>
      </w:pPr>
    </w:lvl>
    <w:lvl w:ilvl="4" w:tplc="C33C7FA6">
      <w:start w:val="1"/>
      <w:numFmt w:val="lowerLetter"/>
      <w:lvlText w:val="%5."/>
      <w:lvlJc w:val="left"/>
      <w:pPr>
        <w:ind w:left="3600" w:hanging="360"/>
      </w:pPr>
    </w:lvl>
    <w:lvl w:ilvl="5" w:tplc="7AE8A1F2">
      <w:start w:val="1"/>
      <w:numFmt w:val="lowerRoman"/>
      <w:lvlText w:val="%6."/>
      <w:lvlJc w:val="right"/>
      <w:pPr>
        <w:ind w:left="4320" w:hanging="180"/>
      </w:pPr>
    </w:lvl>
    <w:lvl w:ilvl="6" w:tplc="35CA10DE">
      <w:start w:val="1"/>
      <w:numFmt w:val="decimal"/>
      <w:lvlText w:val="%7."/>
      <w:lvlJc w:val="left"/>
      <w:pPr>
        <w:ind w:left="5040" w:hanging="360"/>
      </w:pPr>
    </w:lvl>
    <w:lvl w:ilvl="7" w:tplc="94F29B7A">
      <w:start w:val="1"/>
      <w:numFmt w:val="lowerLetter"/>
      <w:lvlText w:val="%8."/>
      <w:lvlJc w:val="left"/>
      <w:pPr>
        <w:ind w:left="5760" w:hanging="360"/>
      </w:pPr>
    </w:lvl>
    <w:lvl w:ilvl="8" w:tplc="22687BBA">
      <w:start w:val="1"/>
      <w:numFmt w:val="lowerRoman"/>
      <w:lvlText w:val="%9."/>
      <w:lvlJc w:val="right"/>
      <w:pPr>
        <w:ind w:left="6480" w:hanging="180"/>
      </w:pPr>
    </w:lvl>
  </w:abstractNum>
  <w:abstractNum w:abstractNumId="14" w15:restartNumberingAfterBreak="0">
    <w:nsid w:val="13C97F88"/>
    <w:multiLevelType w:val="multilevel"/>
    <w:tmpl w:val="FFFFFFFF"/>
    <w:lvl w:ilvl="0">
      <w:start w:val="1"/>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5242F65"/>
    <w:multiLevelType w:val="multilevel"/>
    <w:tmpl w:val="D78244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17257948"/>
    <w:multiLevelType w:val="hybridMultilevel"/>
    <w:tmpl w:val="FFFFFFFF"/>
    <w:lvl w:ilvl="0" w:tplc="986E412C">
      <w:numFmt w:val="none"/>
      <w:lvlText w:val=""/>
      <w:lvlJc w:val="left"/>
      <w:pPr>
        <w:tabs>
          <w:tab w:val="num" w:pos="360"/>
        </w:tabs>
      </w:pPr>
    </w:lvl>
    <w:lvl w:ilvl="1" w:tplc="7F9AA118">
      <w:start w:val="1"/>
      <w:numFmt w:val="lowerLetter"/>
      <w:lvlText w:val="%2."/>
      <w:lvlJc w:val="left"/>
      <w:pPr>
        <w:ind w:left="1440" w:hanging="360"/>
      </w:pPr>
    </w:lvl>
    <w:lvl w:ilvl="2" w:tplc="BD38BEA6">
      <w:start w:val="1"/>
      <w:numFmt w:val="lowerRoman"/>
      <w:lvlText w:val="%3."/>
      <w:lvlJc w:val="right"/>
      <w:pPr>
        <w:ind w:left="2160" w:hanging="180"/>
      </w:pPr>
    </w:lvl>
    <w:lvl w:ilvl="3" w:tplc="7DC6B2B2">
      <w:start w:val="1"/>
      <w:numFmt w:val="decimal"/>
      <w:lvlText w:val="%4."/>
      <w:lvlJc w:val="left"/>
      <w:pPr>
        <w:ind w:left="2880" w:hanging="360"/>
      </w:pPr>
    </w:lvl>
    <w:lvl w:ilvl="4" w:tplc="E8EAD6AE">
      <w:start w:val="1"/>
      <w:numFmt w:val="lowerLetter"/>
      <w:lvlText w:val="%5."/>
      <w:lvlJc w:val="left"/>
      <w:pPr>
        <w:ind w:left="3600" w:hanging="360"/>
      </w:pPr>
    </w:lvl>
    <w:lvl w:ilvl="5" w:tplc="84F8B94E">
      <w:start w:val="1"/>
      <w:numFmt w:val="lowerRoman"/>
      <w:lvlText w:val="%6."/>
      <w:lvlJc w:val="right"/>
      <w:pPr>
        <w:ind w:left="4320" w:hanging="180"/>
      </w:pPr>
    </w:lvl>
    <w:lvl w:ilvl="6" w:tplc="62C6D64C">
      <w:start w:val="1"/>
      <w:numFmt w:val="decimal"/>
      <w:lvlText w:val="%7."/>
      <w:lvlJc w:val="left"/>
      <w:pPr>
        <w:ind w:left="5040" w:hanging="360"/>
      </w:pPr>
    </w:lvl>
    <w:lvl w:ilvl="7" w:tplc="AF7823BA">
      <w:start w:val="1"/>
      <w:numFmt w:val="lowerLetter"/>
      <w:lvlText w:val="%8."/>
      <w:lvlJc w:val="left"/>
      <w:pPr>
        <w:ind w:left="5760" w:hanging="360"/>
      </w:pPr>
    </w:lvl>
    <w:lvl w:ilvl="8" w:tplc="05CCD82A">
      <w:start w:val="1"/>
      <w:numFmt w:val="lowerRoman"/>
      <w:lvlText w:val="%9."/>
      <w:lvlJc w:val="right"/>
      <w:pPr>
        <w:ind w:left="6480" w:hanging="180"/>
      </w:pPr>
    </w:lvl>
  </w:abstractNum>
  <w:abstractNum w:abstractNumId="17" w15:restartNumberingAfterBreak="0">
    <w:nsid w:val="17391E70"/>
    <w:multiLevelType w:val="multilevel"/>
    <w:tmpl w:val="FFFFFFFF"/>
    <w:lvl w:ilvl="0">
      <w:start w:val="1"/>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9C54588"/>
    <w:multiLevelType w:val="multilevel"/>
    <w:tmpl w:val="4F12C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A6B4200"/>
    <w:multiLevelType w:val="hybridMultilevel"/>
    <w:tmpl w:val="9BE4003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1B693FCF"/>
    <w:multiLevelType w:val="hybridMultilevel"/>
    <w:tmpl w:val="6DE084A8"/>
    <w:lvl w:ilvl="0" w:tplc="637C0242">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1" w15:restartNumberingAfterBreak="0">
    <w:nsid w:val="1D6309E4"/>
    <w:multiLevelType w:val="multilevel"/>
    <w:tmpl w:val="423C744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DCA789C"/>
    <w:multiLevelType w:val="multilevel"/>
    <w:tmpl w:val="865E6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E73B40B"/>
    <w:multiLevelType w:val="hybridMultilevel"/>
    <w:tmpl w:val="FFFFFFFF"/>
    <w:lvl w:ilvl="0" w:tplc="3ABCC722">
      <w:numFmt w:val="none"/>
      <w:lvlText w:val=""/>
      <w:lvlJc w:val="left"/>
      <w:pPr>
        <w:tabs>
          <w:tab w:val="num" w:pos="360"/>
        </w:tabs>
      </w:pPr>
    </w:lvl>
    <w:lvl w:ilvl="1" w:tplc="02C0D8A8">
      <w:start w:val="1"/>
      <w:numFmt w:val="lowerLetter"/>
      <w:lvlText w:val="%2."/>
      <w:lvlJc w:val="left"/>
      <w:pPr>
        <w:ind w:left="1440" w:hanging="360"/>
      </w:pPr>
    </w:lvl>
    <w:lvl w:ilvl="2" w:tplc="2714A136">
      <w:start w:val="1"/>
      <w:numFmt w:val="lowerRoman"/>
      <w:lvlText w:val="%3."/>
      <w:lvlJc w:val="right"/>
      <w:pPr>
        <w:ind w:left="2160" w:hanging="180"/>
      </w:pPr>
    </w:lvl>
    <w:lvl w:ilvl="3" w:tplc="FE66338E">
      <w:start w:val="1"/>
      <w:numFmt w:val="decimal"/>
      <w:lvlText w:val="%4."/>
      <w:lvlJc w:val="left"/>
      <w:pPr>
        <w:ind w:left="2880" w:hanging="360"/>
      </w:pPr>
    </w:lvl>
    <w:lvl w:ilvl="4" w:tplc="54E0ACDC">
      <w:start w:val="1"/>
      <w:numFmt w:val="lowerLetter"/>
      <w:lvlText w:val="%5."/>
      <w:lvlJc w:val="left"/>
      <w:pPr>
        <w:ind w:left="3600" w:hanging="360"/>
      </w:pPr>
    </w:lvl>
    <w:lvl w:ilvl="5" w:tplc="E7DECAA0">
      <w:start w:val="1"/>
      <w:numFmt w:val="lowerRoman"/>
      <w:lvlText w:val="%6."/>
      <w:lvlJc w:val="right"/>
      <w:pPr>
        <w:ind w:left="4320" w:hanging="180"/>
      </w:pPr>
    </w:lvl>
    <w:lvl w:ilvl="6" w:tplc="E7BC9B16">
      <w:start w:val="1"/>
      <w:numFmt w:val="decimal"/>
      <w:lvlText w:val="%7."/>
      <w:lvlJc w:val="left"/>
      <w:pPr>
        <w:ind w:left="5040" w:hanging="360"/>
      </w:pPr>
    </w:lvl>
    <w:lvl w:ilvl="7" w:tplc="3862936C">
      <w:start w:val="1"/>
      <w:numFmt w:val="lowerLetter"/>
      <w:lvlText w:val="%8."/>
      <w:lvlJc w:val="left"/>
      <w:pPr>
        <w:ind w:left="5760" w:hanging="360"/>
      </w:pPr>
    </w:lvl>
    <w:lvl w:ilvl="8" w:tplc="301AA828">
      <w:start w:val="1"/>
      <w:numFmt w:val="lowerRoman"/>
      <w:lvlText w:val="%9."/>
      <w:lvlJc w:val="right"/>
      <w:pPr>
        <w:ind w:left="6480" w:hanging="180"/>
      </w:pPr>
    </w:lvl>
  </w:abstractNum>
  <w:abstractNum w:abstractNumId="24" w15:restartNumberingAfterBreak="0">
    <w:nsid w:val="1FAB4BE5"/>
    <w:multiLevelType w:val="multilevel"/>
    <w:tmpl w:val="FFFFFFFF"/>
    <w:lvl w:ilvl="0">
      <w:start w:val="2"/>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FCC7C9D"/>
    <w:multiLevelType w:val="multilevel"/>
    <w:tmpl w:val="E730B3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201E515C"/>
    <w:multiLevelType w:val="multilevel"/>
    <w:tmpl w:val="F5AE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0FAF953"/>
    <w:multiLevelType w:val="multilevel"/>
    <w:tmpl w:val="FFFFFFFF"/>
    <w:lvl w:ilvl="0">
      <w:start w:val="2"/>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18D5127"/>
    <w:multiLevelType w:val="hybridMultilevel"/>
    <w:tmpl w:val="2FECFAE0"/>
    <w:lvl w:ilvl="0" w:tplc="12769D8E">
      <w:start w:val="1"/>
      <w:numFmt w:val="bullet"/>
      <w:lvlText w:val="o"/>
      <w:lvlJc w:val="left"/>
      <w:pPr>
        <w:ind w:left="720" w:hanging="360"/>
      </w:pPr>
      <w:rPr>
        <w:rFonts w:ascii="Courier New" w:hAnsi="Courier New" w:hint="default"/>
      </w:rPr>
    </w:lvl>
    <w:lvl w:ilvl="1" w:tplc="F3B4C712" w:tentative="1">
      <w:start w:val="1"/>
      <w:numFmt w:val="bullet"/>
      <w:lvlText w:val="o"/>
      <w:lvlJc w:val="left"/>
      <w:pPr>
        <w:ind w:left="1440" w:hanging="360"/>
      </w:pPr>
      <w:rPr>
        <w:rFonts w:ascii="Courier New" w:hAnsi="Courier New" w:hint="default"/>
      </w:rPr>
    </w:lvl>
    <w:lvl w:ilvl="2" w:tplc="77A697CA" w:tentative="1">
      <w:start w:val="1"/>
      <w:numFmt w:val="bullet"/>
      <w:lvlText w:val=""/>
      <w:lvlJc w:val="left"/>
      <w:pPr>
        <w:ind w:left="2160" w:hanging="360"/>
      </w:pPr>
      <w:rPr>
        <w:rFonts w:ascii="Wingdings" w:hAnsi="Wingdings" w:hint="default"/>
      </w:rPr>
    </w:lvl>
    <w:lvl w:ilvl="3" w:tplc="C8CE2A34" w:tentative="1">
      <w:start w:val="1"/>
      <w:numFmt w:val="bullet"/>
      <w:lvlText w:val=""/>
      <w:lvlJc w:val="left"/>
      <w:pPr>
        <w:ind w:left="2880" w:hanging="360"/>
      </w:pPr>
      <w:rPr>
        <w:rFonts w:ascii="Symbol" w:hAnsi="Symbol" w:hint="default"/>
      </w:rPr>
    </w:lvl>
    <w:lvl w:ilvl="4" w:tplc="7608AC34" w:tentative="1">
      <w:start w:val="1"/>
      <w:numFmt w:val="bullet"/>
      <w:lvlText w:val="o"/>
      <w:lvlJc w:val="left"/>
      <w:pPr>
        <w:ind w:left="3600" w:hanging="360"/>
      </w:pPr>
      <w:rPr>
        <w:rFonts w:ascii="Courier New" w:hAnsi="Courier New" w:hint="default"/>
      </w:rPr>
    </w:lvl>
    <w:lvl w:ilvl="5" w:tplc="D5E66872" w:tentative="1">
      <w:start w:val="1"/>
      <w:numFmt w:val="bullet"/>
      <w:lvlText w:val=""/>
      <w:lvlJc w:val="left"/>
      <w:pPr>
        <w:ind w:left="4320" w:hanging="360"/>
      </w:pPr>
      <w:rPr>
        <w:rFonts w:ascii="Wingdings" w:hAnsi="Wingdings" w:hint="default"/>
      </w:rPr>
    </w:lvl>
    <w:lvl w:ilvl="6" w:tplc="74A8BBFC" w:tentative="1">
      <w:start w:val="1"/>
      <w:numFmt w:val="bullet"/>
      <w:lvlText w:val=""/>
      <w:lvlJc w:val="left"/>
      <w:pPr>
        <w:ind w:left="5040" w:hanging="360"/>
      </w:pPr>
      <w:rPr>
        <w:rFonts w:ascii="Symbol" w:hAnsi="Symbol" w:hint="default"/>
      </w:rPr>
    </w:lvl>
    <w:lvl w:ilvl="7" w:tplc="53E84530" w:tentative="1">
      <w:start w:val="1"/>
      <w:numFmt w:val="bullet"/>
      <w:lvlText w:val="o"/>
      <w:lvlJc w:val="left"/>
      <w:pPr>
        <w:ind w:left="5760" w:hanging="360"/>
      </w:pPr>
      <w:rPr>
        <w:rFonts w:ascii="Courier New" w:hAnsi="Courier New" w:hint="default"/>
      </w:rPr>
    </w:lvl>
    <w:lvl w:ilvl="8" w:tplc="94BEC8CC" w:tentative="1">
      <w:start w:val="1"/>
      <w:numFmt w:val="bullet"/>
      <w:lvlText w:val=""/>
      <w:lvlJc w:val="left"/>
      <w:pPr>
        <w:ind w:left="6480" w:hanging="360"/>
      </w:pPr>
      <w:rPr>
        <w:rFonts w:ascii="Wingdings" w:hAnsi="Wingdings" w:hint="default"/>
      </w:rPr>
    </w:lvl>
  </w:abstractNum>
  <w:abstractNum w:abstractNumId="29" w15:restartNumberingAfterBreak="0">
    <w:nsid w:val="22750FD2"/>
    <w:multiLevelType w:val="multilevel"/>
    <w:tmpl w:val="29DC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288AE1E"/>
    <w:multiLevelType w:val="hybridMultilevel"/>
    <w:tmpl w:val="FFFFFFFF"/>
    <w:lvl w:ilvl="0" w:tplc="DEA284CC">
      <w:numFmt w:val="none"/>
      <w:lvlText w:val=""/>
      <w:lvlJc w:val="left"/>
      <w:pPr>
        <w:tabs>
          <w:tab w:val="num" w:pos="360"/>
        </w:tabs>
      </w:pPr>
    </w:lvl>
    <w:lvl w:ilvl="1" w:tplc="130C09A8">
      <w:start w:val="1"/>
      <w:numFmt w:val="lowerLetter"/>
      <w:lvlText w:val="%2."/>
      <w:lvlJc w:val="left"/>
      <w:pPr>
        <w:ind w:left="1440" w:hanging="360"/>
      </w:pPr>
    </w:lvl>
    <w:lvl w:ilvl="2" w:tplc="CAB2C214">
      <w:start w:val="1"/>
      <w:numFmt w:val="lowerRoman"/>
      <w:lvlText w:val="%3."/>
      <w:lvlJc w:val="right"/>
      <w:pPr>
        <w:ind w:left="2160" w:hanging="180"/>
      </w:pPr>
    </w:lvl>
    <w:lvl w:ilvl="3" w:tplc="34E4931E">
      <w:start w:val="1"/>
      <w:numFmt w:val="decimal"/>
      <w:lvlText w:val="%4."/>
      <w:lvlJc w:val="left"/>
      <w:pPr>
        <w:ind w:left="2880" w:hanging="360"/>
      </w:pPr>
    </w:lvl>
    <w:lvl w:ilvl="4" w:tplc="84F29D42">
      <w:start w:val="1"/>
      <w:numFmt w:val="lowerLetter"/>
      <w:lvlText w:val="%5."/>
      <w:lvlJc w:val="left"/>
      <w:pPr>
        <w:ind w:left="3600" w:hanging="360"/>
      </w:pPr>
    </w:lvl>
    <w:lvl w:ilvl="5" w:tplc="968852A6">
      <w:start w:val="1"/>
      <w:numFmt w:val="lowerRoman"/>
      <w:lvlText w:val="%6."/>
      <w:lvlJc w:val="right"/>
      <w:pPr>
        <w:ind w:left="4320" w:hanging="180"/>
      </w:pPr>
    </w:lvl>
    <w:lvl w:ilvl="6" w:tplc="05200DFC">
      <w:start w:val="1"/>
      <w:numFmt w:val="decimal"/>
      <w:lvlText w:val="%7."/>
      <w:lvlJc w:val="left"/>
      <w:pPr>
        <w:ind w:left="5040" w:hanging="360"/>
      </w:pPr>
    </w:lvl>
    <w:lvl w:ilvl="7" w:tplc="F3FCCE12">
      <w:start w:val="1"/>
      <w:numFmt w:val="lowerLetter"/>
      <w:lvlText w:val="%8."/>
      <w:lvlJc w:val="left"/>
      <w:pPr>
        <w:ind w:left="5760" w:hanging="360"/>
      </w:pPr>
    </w:lvl>
    <w:lvl w:ilvl="8" w:tplc="3370A52A">
      <w:start w:val="1"/>
      <w:numFmt w:val="lowerRoman"/>
      <w:lvlText w:val="%9."/>
      <w:lvlJc w:val="right"/>
      <w:pPr>
        <w:ind w:left="6480" w:hanging="180"/>
      </w:pPr>
    </w:lvl>
  </w:abstractNum>
  <w:abstractNum w:abstractNumId="31" w15:restartNumberingAfterBreak="0">
    <w:nsid w:val="22B29957"/>
    <w:multiLevelType w:val="hybridMultilevel"/>
    <w:tmpl w:val="FFFFFFFF"/>
    <w:lvl w:ilvl="0" w:tplc="1ABCFF48">
      <w:numFmt w:val="none"/>
      <w:lvlText w:val=""/>
      <w:lvlJc w:val="left"/>
      <w:pPr>
        <w:tabs>
          <w:tab w:val="num" w:pos="360"/>
        </w:tabs>
      </w:pPr>
    </w:lvl>
    <w:lvl w:ilvl="1" w:tplc="25F6AF60">
      <w:start w:val="1"/>
      <w:numFmt w:val="lowerLetter"/>
      <w:lvlText w:val="%2."/>
      <w:lvlJc w:val="left"/>
      <w:pPr>
        <w:ind w:left="1440" w:hanging="360"/>
      </w:pPr>
    </w:lvl>
    <w:lvl w:ilvl="2" w:tplc="653ACAB2">
      <w:start w:val="1"/>
      <w:numFmt w:val="lowerRoman"/>
      <w:lvlText w:val="%3."/>
      <w:lvlJc w:val="right"/>
      <w:pPr>
        <w:ind w:left="2160" w:hanging="180"/>
      </w:pPr>
    </w:lvl>
    <w:lvl w:ilvl="3" w:tplc="B86A5078">
      <w:start w:val="1"/>
      <w:numFmt w:val="decimal"/>
      <w:lvlText w:val="%4."/>
      <w:lvlJc w:val="left"/>
      <w:pPr>
        <w:ind w:left="2880" w:hanging="360"/>
      </w:pPr>
    </w:lvl>
    <w:lvl w:ilvl="4" w:tplc="6220E25C">
      <w:start w:val="1"/>
      <w:numFmt w:val="lowerLetter"/>
      <w:lvlText w:val="%5."/>
      <w:lvlJc w:val="left"/>
      <w:pPr>
        <w:ind w:left="3600" w:hanging="360"/>
      </w:pPr>
    </w:lvl>
    <w:lvl w:ilvl="5" w:tplc="697C309E">
      <w:start w:val="1"/>
      <w:numFmt w:val="lowerRoman"/>
      <w:lvlText w:val="%6."/>
      <w:lvlJc w:val="right"/>
      <w:pPr>
        <w:ind w:left="4320" w:hanging="180"/>
      </w:pPr>
    </w:lvl>
    <w:lvl w:ilvl="6" w:tplc="9E54A6EC">
      <w:start w:val="1"/>
      <w:numFmt w:val="decimal"/>
      <w:lvlText w:val="%7."/>
      <w:lvlJc w:val="left"/>
      <w:pPr>
        <w:ind w:left="5040" w:hanging="360"/>
      </w:pPr>
    </w:lvl>
    <w:lvl w:ilvl="7" w:tplc="57D89484">
      <w:start w:val="1"/>
      <w:numFmt w:val="lowerLetter"/>
      <w:lvlText w:val="%8."/>
      <w:lvlJc w:val="left"/>
      <w:pPr>
        <w:ind w:left="5760" w:hanging="360"/>
      </w:pPr>
    </w:lvl>
    <w:lvl w:ilvl="8" w:tplc="1334F77A">
      <w:start w:val="1"/>
      <w:numFmt w:val="lowerRoman"/>
      <w:lvlText w:val="%9."/>
      <w:lvlJc w:val="right"/>
      <w:pPr>
        <w:ind w:left="6480" w:hanging="180"/>
      </w:pPr>
    </w:lvl>
  </w:abstractNum>
  <w:abstractNum w:abstractNumId="32" w15:restartNumberingAfterBreak="0">
    <w:nsid w:val="24DB1591"/>
    <w:multiLevelType w:val="multilevel"/>
    <w:tmpl w:val="3424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4DB299B"/>
    <w:multiLevelType w:val="multilevel"/>
    <w:tmpl w:val="99283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56253C9"/>
    <w:multiLevelType w:val="multilevel"/>
    <w:tmpl w:val="15A0FA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6DA30E8"/>
    <w:multiLevelType w:val="multilevel"/>
    <w:tmpl w:val="0726A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8086A4F"/>
    <w:multiLevelType w:val="multilevel"/>
    <w:tmpl w:val="27C4DB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8FAA5AD"/>
    <w:multiLevelType w:val="multilevel"/>
    <w:tmpl w:val="FFFFFFFF"/>
    <w:lvl w:ilvl="0">
      <w:start w:val="2"/>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97823CE"/>
    <w:multiLevelType w:val="multilevel"/>
    <w:tmpl w:val="7C4047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BF80675"/>
    <w:multiLevelType w:val="hybridMultilevel"/>
    <w:tmpl w:val="EDC65E0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C1A1F23"/>
    <w:multiLevelType w:val="multilevel"/>
    <w:tmpl w:val="8D7C58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2DD44C9F"/>
    <w:multiLevelType w:val="multilevel"/>
    <w:tmpl w:val="4B128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E5D5233"/>
    <w:multiLevelType w:val="multilevel"/>
    <w:tmpl w:val="8E4ECC7A"/>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3" w15:restartNumberingAfterBreak="0">
    <w:nsid w:val="312B0825"/>
    <w:multiLevelType w:val="multilevel"/>
    <w:tmpl w:val="5DCCC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2CD7158"/>
    <w:multiLevelType w:val="hybridMultilevel"/>
    <w:tmpl w:val="FFFFFFFF"/>
    <w:lvl w:ilvl="0" w:tplc="D86A109E">
      <w:numFmt w:val="none"/>
      <w:lvlText w:val=""/>
      <w:lvlJc w:val="left"/>
      <w:pPr>
        <w:tabs>
          <w:tab w:val="num" w:pos="360"/>
        </w:tabs>
      </w:pPr>
    </w:lvl>
    <w:lvl w:ilvl="1" w:tplc="BB427C8E">
      <w:start w:val="1"/>
      <w:numFmt w:val="lowerLetter"/>
      <w:lvlText w:val="%2."/>
      <w:lvlJc w:val="left"/>
      <w:pPr>
        <w:ind w:left="1440" w:hanging="360"/>
      </w:pPr>
    </w:lvl>
    <w:lvl w:ilvl="2" w:tplc="DE341262">
      <w:start w:val="1"/>
      <w:numFmt w:val="lowerRoman"/>
      <w:lvlText w:val="%3."/>
      <w:lvlJc w:val="right"/>
      <w:pPr>
        <w:ind w:left="2160" w:hanging="180"/>
      </w:pPr>
    </w:lvl>
    <w:lvl w:ilvl="3" w:tplc="79A669F4">
      <w:start w:val="1"/>
      <w:numFmt w:val="decimal"/>
      <w:lvlText w:val="%4."/>
      <w:lvlJc w:val="left"/>
      <w:pPr>
        <w:ind w:left="2880" w:hanging="360"/>
      </w:pPr>
    </w:lvl>
    <w:lvl w:ilvl="4" w:tplc="28A6BAF8">
      <w:start w:val="1"/>
      <w:numFmt w:val="lowerLetter"/>
      <w:lvlText w:val="%5."/>
      <w:lvlJc w:val="left"/>
      <w:pPr>
        <w:ind w:left="3600" w:hanging="360"/>
      </w:pPr>
    </w:lvl>
    <w:lvl w:ilvl="5" w:tplc="5A96A7AE">
      <w:start w:val="1"/>
      <w:numFmt w:val="lowerRoman"/>
      <w:lvlText w:val="%6."/>
      <w:lvlJc w:val="right"/>
      <w:pPr>
        <w:ind w:left="4320" w:hanging="180"/>
      </w:pPr>
    </w:lvl>
    <w:lvl w:ilvl="6" w:tplc="58C040B4">
      <w:start w:val="1"/>
      <w:numFmt w:val="decimal"/>
      <w:lvlText w:val="%7."/>
      <w:lvlJc w:val="left"/>
      <w:pPr>
        <w:ind w:left="5040" w:hanging="360"/>
      </w:pPr>
    </w:lvl>
    <w:lvl w:ilvl="7" w:tplc="CE7AB32C">
      <w:start w:val="1"/>
      <w:numFmt w:val="lowerLetter"/>
      <w:lvlText w:val="%8."/>
      <w:lvlJc w:val="left"/>
      <w:pPr>
        <w:ind w:left="5760" w:hanging="360"/>
      </w:pPr>
    </w:lvl>
    <w:lvl w:ilvl="8" w:tplc="3B2435F8">
      <w:start w:val="1"/>
      <w:numFmt w:val="lowerRoman"/>
      <w:lvlText w:val="%9."/>
      <w:lvlJc w:val="right"/>
      <w:pPr>
        <w:ind w:left="6480" w:hanging="180"/>
      </w:pPr>
    </w:lvl>
  </w:abstractNum>
  <w:abstractNum w:abstractNumId="45" w15:restartNumberingAfterBreak="0">
    <w:nsid w:val="35664AFA"/>
    <w:multiLevelType w:val="multilevel"/>
    <w:tmpl w:val="29B802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6" w15:restartNumberingAfterBreak="0">
    <w:nsid w:val="374E6B67"/>
    <w:multiLevelType w:val="hybridMultilevel"/>
    <w:tmpl w:val="2D7ECA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8A42FDA"/>
    <w:multiLevelType w:val="multilevel"/>
    <w:tmpl w:val="DBB6703A"/>
    <w:lvl w:ilvl="0">
      <w:start w:val="1"/>
      <w:numFmt w:val="decimal"/>
      <w:lvlText w:val="%1."/>
      <w:lvlJc w:val="left"/>
      <w:pPr>
        <w:ind w:left="720" w:hanging="360"/>
      </w:pPr>
      <w:rPr>
        <w:rFonts w:hint="default"/>
        <w:color w:val="auto"/>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39110F30"/>
    <w:multiLevelType w:val="multilevel"/>
    <w:tmpl w:val="AC52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B835DED"/>
    <w:multiLevelType w:val="multilevel"/>
    <w:tmpl w:val="13B2EE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3CD448E7"/>
    <w:multiLevelType w:val="multilevel"/>
    <w:tmpl w:val="277049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3CD51EAE"/>
    <w:multiLevelType w:val="multilevel"/>
    <w:tmpl w:val="FFFFFFFF"/>
    <w:lvl w:ilvl="0">
      <w:start w:val="1"/>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D326243"/>
    <w:multiLevelType w:val="hybridMultilevel"/>
    <w:tmpl w:val="04349ED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3" w15:restartNumberingAfterBreak="0">
    <w:nsid w:val="3E71837B"/>
    <w:multiLevelType w:val="hybridMultilevel"/>
    <w:tmpl w:val="FFFFFFFF"/>
    <w:lvl w:ilvl="0" w:tplc="52747C0E">
      <w:numFmt w:val="none"/>
      <w:lvlText w:val=""/>
      <w:lvlJc w:val="left"/>
      <w:pPr>
        <w:tabs>
          <w:tab w:val="num" w:pos="360"/>
        </w:tabs>
      </w:pPr>
    </w:lvl>
    <w:lvl w:ilvl="1" w:tplc="900C9472">
      <w:start w:val="1"/>
      <w:numFmt w:val="lowerLetter"/>
      <w:lvlText w:val="%2."/>
      <w:lvlJc w:val="left"/>
      <w:pPr>
        <w:ind w:left="1440" w:hanging="360"/>
      </w:pPr>
    </w:lvl>
    <w:lvl w:ilvl="2" w:tplc="72CC586A">
      <w:start w:val="1"/>
      <w:numFmt w:val="lowerRoman"/>
      <w:lvlText w:val="%3."/>
      <w:lvlJc w:val="right"/>
      <w:pPr>
        <w:ind w:left="2160" w:hanging="180"/>
      </w:pPr>
    </w:lvl>
    <w:lvl w:ilvl="3" w:tplc="4E5C8DA6">
      <w:start w:val="1"/>
      <w:numFmt w:val="decimal"/>
      <w:lvlText w:val="%4."/>
      <w:lvlJc w:val="left"/>
      <w:pPr>
        <w:ind w:left="2880" w:hanging="360"/>
      </w:pPr>
    </w:lvl>
    <w:lvl w:ilvl="4" w:tplc="8F540C4C">
      <w:start w:val="1"/>
      <w:numFmt w:val="lowerLetter"/>
      <w:lvlText w:val="%5."/>
      <w:lvlJc w:val="left"/>
      <w:pPr>
        <w:ind w:left="3600" w:hanging="360"/>
      </w:pPr>
    </w:lvl>
    <w:lvl w:ilvl="5" w:tplc="0C488936">
      <w:start w:val="1"/>
      <w:numFmt w:val="lowerRoman"/>
      <w:lvlText w:val="%6."/>
      <w:lvlJc w:val="right"/>
      <w:pPr>
        <w:ind w:left="4320" w:hanging="180"/>
      </w:pPr>
    </w:lvl>
    <w:lvl w:ilvl="6" w:tplc="820A1E44">
      <w:start w:val="1"/>
      <w:numFmt w:val="decimal"/>
      <w:lvlText w:val="%7."/>
      <w:lvlJc w:val="left"/>
      <w:pPr>
        <w:ind w:left="5040" w:hanging="360"/>
      </w:pPr>
    </w:lvl>
    <w:lvl w:ilvl="7" w:tplc="8EB063DC">
      <w:start w:val="1"/>
      <w:numFmt w:val="lowerLetter"/>
      <w:lvlText w:val="%8."/>
      <w:lvlJc w:val="left"/>
      <w:pPr>
        <w:ind w:left="5760" w:hanging="360"/>
      </w:pPr>
    </w:lvl>
    <w:lvl w:ilvl="8" w:tplc="6186A5B8">
      <w:start w:val="1"/>
      <w:numFmt w:val="lowerRoman"/>
      <w:lvlText w:val="%9."/>
      <w:lvlJc w:val="right"/>
      <w:pPr>
        <w:ind w:left="6480" w:hanging="180"/>
      </w:pPr>
    </w:lvl>
  </w:abstractNum>
  <w:abstractNum w:abstractNumId="54" w15:restartNumberingAfterBreak="0">
    <w:nsid w:val="3FB364EB"/>
    <w:multiLevelType w:val="multilevel"/>
    <w:tmpl w:val="B34029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40693A71"/>
    <w:multiLevelType w:val="hybridMultilevel"/>
    <w:tmpl w:val="D2DE2D92"/>
    <w:lvl w:ilvl="0" w:tplc="8F6A637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0B9425C"/>
    <w:multiLevelType w:val="multilevel"/>
    <w:tmpl w:val="2FFACF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40D97470"/>
    <w:multiLevelType w:val="multilevel"/>
    <w:tmpl w:val="6C30DA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18258F3"/>
    <w:multiLevelType w:val="hybridMultilevel"/>
    <w:tmpl w:val="4044DA7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42DEA335"/>
    <w:multiLevelType w:val="multilevel"/>
    <w:tmpl w:val="FFFFFFFF"/>
    <w:lvl w:ilvl="0">
      <w:start w:val="4"/>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38742B8"/>
    <w:multiLevelType w:val="multilevel"/>
    <w:tmpl w:val="FDBA7CD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3DF7D01"/>
    <w:multiLevelType w:val="multilevel"/>
    <w:tmpl w:val="D01EC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6876138"/>
    <w:multiLevelType w:val="multilevel"/>
    <w:tmpl w:val="F7840E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47747C37"/>
    <w:multiLevelType w:val="multilevel"/>
    <w:tmpl w:val="3C3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875717F"/>
    <w:multiLevelType w:val="multilevel"/>
    <w:tmpl w:val="D3E0B53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5" w15:restartNumberingAfterBreak="0">
    <w:nsid w:val="4994F16A"/>
    <w:multiLevelType w:val="hybridMultilevel"/>
    <w:tmpl w:val="FFFFFFFF"/>
    <w:lvl w:ilvl="0" w:tplc="6B4A544E">
      <w:numFmt w:val="none"/>
      <w:lvlText w:val=""/>
      <w:lvlJc w:val="left"/>
      <w:pPr>
        <w:tabs>
          <w:tab w:val="num" w:pos="360"/>
        </w:tabs>
      </w:pPr>
    </w:lvl>
    <w:lvl w:ilvl="1" w:tplc="B8EE2F50">
      <w:start w:val="1"/>
      <w:numFmt w:val="lowerLetter"/>
      <w:lvlText w:val="%2."/>
      <w:lvlJc w:val="left"/>
      <w:pPr>
        <w:ind w:left="1440" w:hanging="360"/>
      </w:pPr>
    </w:lvl>
    <w:lvl w:ilvl="2" w:tplc="58B20646">
      <w:start w:val="1"/>
      <w:numFmt w:val="lowerRoman"/>
      <w:lvlText w:val="%3."/>
      <w:lvlJc w:val="right"/>
      <w:pPr>
        <w:ind w:left="2160" w:hanging="180"/>
      </w:pPr>
    </w:lvl>
    <w:lvl w:ilvl="3" w:tplc="17185714">
      <w:start w:val="1"/>
      <w:numFmt w:val="decimal"/>
      <w:lvlText w:val="%4."/>
      <w:lvlJc w:val="left"/>
      <w:pPr>
        <w:ind w:left="2880" w:hanging="360"/>
      </w:pPr>
    </w:lvl>
    <w:lvl w:ilvl="4" w:tplc="209AF9EA">
      <w:start w:val="1"/>
      <w:numFmt w:val="lowerLetter"/>
      <w:lvlText w:val="%5."/>
      <w:lvlJc w:val="left"/>
      <w:pPr>
        <w:ind w:left="3600" w:hanging="360"/>
      </w:pPr>
    </w:lvl>
    <w:lvl w:ilvl="5" w:tplc="1638DD9E">
      <w:start w:val="1"/>
      <w:numFmt w:val="lowerRoman"/>
      <w:lvlText w:val="%6."/>
      <w:lvlJc w:val="right"/>
      <w:pPr>
        <w:ind w:left="4320" w:hanging="180"/>
      </w:pPr>
    </w:lvl>
    <w:lvl w:ilvl="6" w:tplc="A858D6BC">
      <w:start w:val="1"/>
      <w:numFmt w:val="decimal"/>
      <w:lvlText w:val="%7."/>
      <w:lvlJc w:val="left"/>
      <w:pPr>
        <w:ind w:left="5040" w:hanging="360"/>
      </w:pPr>
    </w:lvl>
    <w:lvl w:ilvl="7" w:tplc="65EA3C5E">
      <w:start w:val="1"/>
      <w:numFmt w:val="lowerLetter"/>
      <w:lvlText w:val="%8."/>
      <w:lvlJc w:val="left"/>
      <w:pPr>
        <w:ind w:left="5760" w:hanging="360"/>
      </w:pPr>
    </w:lvl>
    <w:lvl w:ilvl="8" w:tplc="555C1788">
      <w:start w:val="1"/>
      <w:numFmt w:val="lowerRoman"/>
      <w:lvlText w:val="%9."/>
      <w:lvlJc w:val="right"/>
      <w:pPr>
        <w:ind w:left="6480" w:hanging="180"/>
      </w:pPr>
    </w:lvl>
  </w:abstractNum>
  <w:abstractNum w:abstractNumId="66" w15:restartNumberingAfterBreak="0">
    <w:nsid w:val="4A4921FC"/>
    <w:multiLevelType w:val="multilevel"/>
    <w:tmpl w:val="D58E23B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4ADD55C0"/>
    <w:multiLevelType w:val="multilevel"/>
    <w:tmpl w:val="B7E0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B25EB91"/>
    <w:multiLevelType w:val="hybridMultilevel"/>
    <w:tmpl w:val="FFFFFFFF"/>
    <w:lvl w:ilvl="0" w:tplc="D08C022C">
      <w:numFmt w:val="none"/>
      <w:lvlText w:val=""/>
      <w:lvlJc w:val="left"/>
      <w:pPr>
        <w:tabs>
          <w:tab w:val="num" w:pos="360"/>
        </w:tabs>
      </w:pPr>
    </w:lvl>
    <w:lvl w:ilvl="1" w:tplc="D4EAAB20">
      <w:start w:val="1"/>
      <w:numFmt w:val="lowerLetter"/>
      <w:lvlText w:val="%2."/>
      <w:lvlJc w:val="left"/>
      <w:pPr>
        <w:ind w:left="1440" w:hanging="360"/>
      </w:pPr>
    </w:lvl>
    <w:lvl w:ilvl="2" w:tplc="65001826">
      <w:start w:val="1"/>
      <w:numFmt w:val="lowerRoman"/>
      <w:lvlText w:val="%3."/>
      <w:lvlJc w:val="right"/>
      <w:pPr>
        <w:ind w:left="2160" w:hanging="180"/>
      </w:pPr>
    </w:lvl>
    <w:lvl w:ilvl="3" w:tplc="C90EA1F0">
      <w:start w:val="1"/>
      <w:numFmt w:val="decimal"/>
      <w:lvlText w:val="%4."/>
      <w:lvlJc w:val="left"/>
      <w:pPr>
        <w:ind w:left="2880" w:hanging="360"/>
      </w:pPr>
    </w:lvl>
    <w:lvl w:ilvl="4" w:tplc="0DC0BFF8">
      <w:start w:val="1"/>
      <w:numFmt w:val="lowerLetter"/>
      <w:lvlText w:val="%5."/>
      <w:lvlJc w:val="left"/>
      <w:pPr>
        <w:ind w:left="3600" w:hanging="360"/>
      </w:pPr>
    </w:lvl>
    <w:lvl w:ilvl="5" w:tplc="46DCF6E6">
      <w:start w:val="1"/>
      <w:numFmt w:val="lowerRoman"/>
      <w:lvlText w:val="%6."/>
      <w:lvlJc w:val="right"/>
      <w:pPr>
        <w:ind w:left="4320" w:hanging="180"/>
      </w:pPr>
    </w:lvl>
    <w:lvl w:ilvl="6" w:tplc="61883696">
      <w:start w:val="1"/>
      <w:numFmt w:val="decimal"/>
      <w:lvlText w:val="%7."/>
      <w:lvlJc w:val="left"/>
      <w:pPr>
        <w:ind w:left="5040" w:hanging="360"/>
      </w:pPr>
    </w:lvl>
    <w:lvl w:ilvl="7" w:tplc="8960B5D6">
      <w:start w:val="1"/>
      <w:numFmt w:val="lowerLetter"/>
      <w:lvlText w:val="%8."/>
      <w:lvlJc w:val="left"/>
      <w:pPr>
        <w:ind w:left="5760" w:hanging="360"/>
      </w:pPr>
    </w:lvl>
    <w:lvl w:ilvl="8" w:tplc="4BCAD288">
      <w:start w:val="1"/>
      <w:numFmt w:val="lowerRoman"/>
      <w:lvlText w:val="%9."/>
      <w:lvlJc w:val="right"/>
      <w:pPr>
        <w:ind w:left="6480" w:hanging="180"/>
      </w:pPr>
    </w:lvl>
  </w:abstractNum>
  <w:abstractNum w:abstractNumId="69" w15:restartNumberingAfterBreak="0">
    <w:nsid w:val="4B4554C4"/>
    <w:multiLevelType w:val="multilevel"/>
    <w:tmpl w:val="789EC9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4C9B9917"/>
    <w:multiLevelType w:val="multilevel"/>
    <w:tmpl w:val="FFFFFFFF"/>
    <w:lvl w:ilvl="0">
      <w:start w:val="1"/>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05100B7"/>
    <w:multiLevelType w:val="hybridMultilevel"/>
    <w:tmpl w:val="2AB47EFA"/>
    <w:lvl w:ilvl="0" w:tplc="0809000B">
      <w:start w:val="1"/>
      <w:numFmt w:val="bullet"/>
      <w:lvlText w:val=""/>
      <w:lvlJc w:val="left"/>
      <w:pPr>
        <w:ind w:left="-1422" w:hanging="360"/>
      </w:pPr>
      <w:rPr>
        <w:rFonts w:ascii="Wingdings" w:hAnsi="Wingdings" w:hint="default"/>
      </w:rPr>
    </w:lvl>
    <w:lvl w:ilvl="1" w:tplc="08090003" w:tentative="1">
      <w:start w:val="1"/>
      <w:numFmt w:val="bullet"/>
      <w:lvlText w:val="o"/>
      <w:lvlJc w:val="left"/>
      <w:pPr>
        <w:ind w:left="-702" w:hanging="360"/>
      </w:pPr>
      <w:rPr>
        <w:rFonts w:ascii="Courier New" w:hAnsi="Courier New" w:cs="Courier New" w:hint="default"/>
      </w:rPr>
    </w:lvl>
    <w:lvl w:ilvl="2" w:tplc="08090005" w:tentative="1">
      <w:start w:val="1"/>
      <w:numFmt w:val="bullet"/>
      <w:lvlText w:val=""/>
      <w:lvlJc w:val="left"/>
      <w:pPr>
        <w:ind w:left="18" w:hanging="360"/>
      </w:pPr>
      <w:rPr>
        <w:rFonts w:ascii="Wingdings" w:hAnsi="Wingdings" w:hint="default"/>
      </w:rPr>
    </w:lvl>
    <w:lvl w:ilvl="3" w:tplc="08090001" w:tentative="1">
      <w:start w:val="1"/>
      <w:numFmt w:val="bullet"/>
      <w:lvlText w:val=""/>
      <w:lvlJc w:val="left"/>
      <w:pPr>
        <w:ind w:left="738" w:hanging="360"/>
      </w:pPr>
      <w:rPr>
        <w:rFonts w:ascii="Symbol" w:hAnsi="Symbol" w:hint="default"/>
      </w:rPr>
    </w:lvl>
    <w:lvl w:ilvl="4" w:tplc="08090003" w:tentative="1">
      <w:start w:val="1"/>
      <w:numFmt w:val="bullet"/>
      <w:lvlText w:val="o"/>
      <w:lvlJc w:val="left"/>
      <w:pPr>
        <w:ind w:left="1458" w:hanging="360"/>
      </w:pPr>
      <w:rPr>
        <w:rFonts w:ascii="Courier New" w:hAnsi="Courier New" w:cs="Courier New" w:hint="default"/>
      </w:rPr>
    </w:lvl>
    <w:lvl w:ilvl="5" w:tplc="08090005" w:tentative="1">
      <w:start w:val="1"/>
      <w:numFmt w:val="bullet"/>
      <w:lvlText w:val=""/>
      <w:lvlJc w:val="left"/>
      <w:pPr>
        <w:ind w:left="2178" w:hanging="360"/>
      </w:pPr>
      <w:rPr>
        <w:rFonts w:ascii="Wingdings" w:hAnsi="Wingdings" w:hint="default"/>
      </w:rPr>
    </w:lvl>
    <w:lvl w:ilvl="6" w:tplc="08090001" w:tentative="1">
      <w:start w:val="1"/>
      <w:numFmt w:val="bullet"/>
      <w:lvlText w:val=""/>
      <w:lvlJc w:val="left"/>
      <w:pPr>
        <w:ind w:left="2898" w:hanging="360"/>
      </w:pPr>
      <w:rPr>
        <w:rFonts w:ascii="Symbol" w:hAnsi="Symbol" w:hint="default"/>
      </w:rPr>
    </w:lvl>
    <w:lvl w:ilvl="7" w:tplc="08090003" w:tentative="1">
      <w:start w:val="1"/>
      <w:numFmt w:val="bullet"/>
      <w:lvlText w:val="o"/>
      <w:lvlJc w:val="left"/>
      <w:pPr>
        <w:ind w:left="3618" w:hanging="360"/>
      </w:pPr>
      <w:rPr>
        <w:rFonts w:ascii="Courier New" w:hAnsi="Courier New" w:cs="Courier New" w:hint="default"/>
      </w:rPr>
    </w:lvl>
    <w:lvl w:ilvl="8" w:tplc="08090005" w:tentative="1">
      <w:start w:val="1"/>
      <w:numFmt w:val="bullet"/>
      <w:lvlText w:val=""/>
      <w:lvlJc w:val="left"/>
      <w:pPr>
        <w:ind w:left="4338" w:hanging="360"/>
      </w:pPr>
      <w:rPr>
        <w:rFonts w:ascii="Wingdings" w:hAnsi="Wingdings" w:hint="default"/>
      </w:rPr>
    </w:lvl>
  </w:abstractNum>
  <w:abstractNum w:abstractNumId="72" w15:restartNumberingAfterBreak="0">
    <w:nsid w:val="51512B8C"/>
    <w:multiLevelType w:val="multilevel"/>
    <w:tmpl w:val="FFFFFFFF"/>
    <w:lvl w:ilvl="0">
      <w:start w:val="5"/>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515F00B2"/>
    <w:multiLevelType w:val="multilevel"/>
    <w:tmpl w:val="AC36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30B95D3"/>
    <w:multiLevelType w:val="hybridMultilevel"/>
    <w:tmpl w:val="FFFFFFFF"/>
    <w:lvl w:ilvl="0" w:tplc="1152BBDE">
      <w:numFmt w:val="none"/>
      <w:lvlText w:val=""/>
      <w:lvlJc w:val="left"/>
      <w:pPr>
        <w:tabs>
          <w:tab w:val="num" w:pos="360"/>
        </w:tabs>
      </w:pPr>
    </w:lvl>
    <w:lvl w:ilvl="1" w:tplc="A87C0A46">
      <w:start w:val="1"/>
      <w:numFmt w:val="lowerLetter"/>
      <w:lvlText w:val="%2."/>
      <w:lvlJc w:val="left"/>
      <w:pPr>
        <w:ind w:left="1440" w:hanging="360"/>
      </w:pPr>
    </w:lvl>
    <w:lvl w:ilvl="2" w:tplc="7C4CFB74">
      <w:start w:val="1"/>
      <w:numFmt w:val="lowerRoman"/>
      <w:lvlText w:val="%3."/>
      <w:lvlJc w:val="right"/>
      <w:pPr>
        <w:ind w:left="2160" w:hanging="180"/>
      </w:pPr>
    </w:lvl>
    <w:lvl w:ilvl="3" w:tplc="5A8C42E4">
      <w:start w:val="1"/>
      <w:numFmt w:val="decimal"/>
      <w:lvlText w:val="%4."/>
      <w:lvlJc w:val="left"/>
      <w:pPr>
        <w:ind w:left="2880" w:hanging="360"/>
      </w:pPr>
    </w:lvl>
    <w:lvl w:ilvl="4" w:tplc="B6127EC8">
      <w:start w:val="1"/>
      <w:numFmt w:val="lowerLetter"/>
      <w:lvlText w:val="%5."/>
      <w:lvlJc w:val="left"/>
      <w:pPr>
        <w:ind w:left="3600" w:hanging="360"/>
      </w:pPr>
    </w:lvl>
    <w:lvl w:ilvl="5" w:tplc="20C8F660">
      <w:start w:val="1"/>
      <w:numFmt w:val="lowerRoman"/>
      <w:lvlText w:val="%6."/>
      <w:lvlJc w:val="right"/>
      <w:pPr>
        <w:ind w:left="4320" w:hanging="180"/>
      </w:pPr>
    </w:lvl>
    <w:lvl w:ilvl="6" w:tplc="72B64A7E">
      <w:start w:val="1"/>
      <w:numFmt w:val="decimal"/>
      <w:lvlText w:val="%7."/>
      <w:lvlJc w:val="left"/>
      <w:pPr>
        <w:ind w:left="5040" w:hanging="360"/>
      </w:pPr>
    </w:lvl>
    <w:lvl w:ilvl="7" w:tplc="2D30FE92">
      <w:start w:val="1"/>
      <w:numFmt w:val="lowerLetter"/>
      <w:lvlText w:val="%8."/>
      <w:lvlJc w:val="left"/>
      <w:pPr>
        <w:ind w:left="5760" w:hanging="360"/>
      </w:pPr>
    </w:lvl>
    <w:lvl w:ilvl="8" w:tplc="AA40C6FE">
      <w:start w:val="1"/>
      <w:numFmt w:val="lowerRoman"/>
      <w:lvlText w:val="%9."/>
      <w:lvlJc w:val="right"/>
      <w:pPr>
        <w:ind w:left="6480" w:hanging="180"/>
      </w:pPr>
    </w:lvl>
  </w:abstractNum>
  <w:abstractNum w:abstractNumId="75" w15:restartNumberingAfterBreak="0">
    <w:nsid w:val="533552C3"/>
    <w:multiLevelType w:val="multilevel"/>
    <w:tmpl w:val="8E327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4E05A9C"/>
    <w:multiLevelType w:val="multilevel"/>
    <w:tmpl w:val="F104C51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669F589"/>
    <w:multiLevelType w:val="hybridMultilevel"/>
    <w:tmpl w:val="FFFFFFFF"/>
    <w:lvl w:ilvl="0" w:tplc="56BA6F52">
      <w:numFmt w:val="none"/>
      <w:lvlText w:val=""/>
      <w:lvlJc w:val="left"/>
      <w:pPr>
        <w:tabs>
          <w:tab w:val="num" w:pos="360"/>
        </w:tabs>
      </w:pPr>
    </w:lvl>
    <w:lvl w:ilvl="1" w:tplc="180851BA">
      <w:start w:val="1"/>
      <w:numFmt w:val="lowerLetter"/>
      <w:lvlText w:val="%2."/>
      <w:lvlJc w:val="left"/>
      <w:pPr>
        <w:ind w:left="1440" w:hanging="360"/>
      </w:pPr>
    </w:lvl>
    <w:lvl w:ilvl="2" w:tplc="A5D44396">
      <w:start w:val="1"/>
      <w:numFmt w:val="lowerRoman"/>
      <w:lvlText w:val="%3."/>
      <w:lvlJc w:val="right"/>
      <w:pPr>
        <w:ind w:left="2160" w:hanging="180"/>
      </w:pPr>
    </w:lvl>
    <w:lvl w:ilvl="3" w:tplc="2786C47C">
      <w:start w:val="1"/>
      <w:numFmt w:val="decimal"/>
      <w:lvlText w:val="%4."/>
      <w:lvlJc w:val="left"/>
      <w:pPr>
        <w:ind w:left="2880" w:hanging="360"/>
      </w:pPr>
    </w:lvl>
    <w:lvl w:ilvl="4" w:tplc="5B2ADC62">
      <w:start w:val="1"/>
      <w:numFmt w:val="lowerLetter"/>
      <w:lvlText w:val="%5."/>
      <w:lvlJc w:val="left"/>
      <w:pPr>
        <w:ind w:left="3600" w:hanging="360"/>
      </w:pPr>
    </w:lvl>
    <w:lvl w:ilvl="5" w:tplc="3B8E0EEC">
      <w:start w:val="1"/>
      <w:numFmt w:val="lowerRoman"/>
      <w:lvlText w:val="%6."/>
      <w:lvlJc w:val="right"/>
      <w:pPr>
        <w:ind w:left="4320" w:hanging="180"/>
      </w:pPr>
    </w:lvl>
    <w:lvl w:ilvl="6" w:tplc="C3564E86">
      <w:start w:val="1"/>
      <w:numFmt w:val="decimal"/>
      <w:lvlText w:val="%7."/>
      <w:lvlJc w:val="left"/>
      <w:pPr>
        <w:ind w:left="5040" w:hanging="360"/>
      </w:pPr>
    </w:lvl>
    <w:lvl w:ilvl="7" w:tplc="EB3AAB04">
      <w:start w:val="1"/>
      <w:numFmt w:val="lowerLetter"/>
      <w:lvlText w:val="%8."/>
      <w:lvlJc w:val="left"/>
      <w:pPr>
        <w:ind w:left="5760" w:hanging="360"/>
      </w:pPr>
    </w:lvl>
    <w:lvl w:ilvl="8" w:tplc="4B60F4EE">
      <w:start w:val="1"/>
      <w:numFmt w:val="lowerRoman"/>
      <w:lvlText w:val="%9."/>
      <w:lvlJc w:val="right"/>
      <w:pPr>
        <w:ind w:left="6480" w:hanging="180"/>
      </w:pPr>
    </w:lvl>
  </w:abstractNum>
  <w:abstractNum w:abstractNumId="78" w15:restartNumberingAfterBreak="0">
    <w:nsid w:val="57192437"/>
    <w:multiLevelType w:val="hybridMultilevel"/>
    <w:tmpl w:val="2EAABF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8E45AA6"/>
    <w:multiLevelType w:val="hybridMultilevel"/>
    <w:tmpl w:val="C194C9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94FD28B"/>
    <w:multiLevelType w:val="multilevel"/>
    <w:tmpl w:val="FFFFFFFF"/>
    <w:lvl w:ilvl="0">
      <w:start w:val="5"/>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9C51F34"/>
    <w:multiLevelType w:val="multilevel"/>
    <w:tmpl w:val="89F02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A150DF2"/>
    <w:multiLevelType w:val="multilevel"/>
    <w:tmpl w:val="74044A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3" w15:restartNumberingAfterBreak="0">
    <w:nsid w:val="5A814AA4"/>
    <w:multiLevelType w:val="multilevel"/>
    <w:tmpl w:val="73805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B8518D0"/>
    <w:multiLevelType w:val="multilevel"/>
    <w:tmpl w:val="FFFFFFFF"/>
    <w:lvl w:ilvl="0">
      <w:start w:val="2"/>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D704A03"/>
    <w:multiLevelType w:val="multilevel"/>
    <w:tmpl w:val="317859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6" w15:restartNumberingAfterBreak="0">
    <w:nsid w:val="5F757A71"/>
    <w:multiLevelType w:val="hybridMultilevel"/>
    <w:tmpl w:val="FFFFFFFF"/>
    <w:lvl w:ilvl="0" w:tplc="7B165CAA">
      <w:numFmt w:val="none"/>
      <w:lvlText w:val=""/>
      <w:lvlJc w:val="left"/>
      <w:pPr>
        <w:tabs>
          <w:tab w:val="num" w:pos="360"/>
        </w:tabs>
      </w:pPr>
    </w:lvl>
    <w:lvl w:ilvl="1" w:tplc="677A2F4C">
      <w:start w:val="1"/>
      <w:numFmt w:val="lowerLetter"/>
      <w:lvlText w:val="%2."/>
      <w:lvlJc w:val="left"/>
      <w:pPr>
        <w:ind w:left="1440" w:hanging="360"/>
      </w:pPr>
    </w:lvl>
    <w:lvl w:ilvl="2" w:tplc="03927974">
      <w:start w:val="1"/>
      <w:numFmt w:val="lowerRoman"/>
      <w:lvlText w:val="%3."/>
      <w:lvlJc w:val="right"/>
      <w:pPr>
        <w:ind w:left="2160" w:hanging="180"/>
      </w:pPr>
    </w:lvl>
    <w:lvl w:ilvl="3" w:tplc="DDFE0850">
      <w:start w:val="1"/>
      <w:numFmt w:val="decimal"/>
      <w:lvlText w:val="%4."/>
      <w:lvlJc w:val="left"/>
      <w:pPr>
        <w:ind w:left="2880" w:hanging="360"/>
      </w:pPr>
    </w:lvl>
    <w:lvl w:ilvl="4" w:tplc="48C65158">
      <w:start w:val="1"/>
      <w:numFmt w:val="lowerLetter"/>
      <w:lvlText w:val="%5."/>
      <w:lvlJc w:val="left"/>
      <w:pPr>
        <w:ind w:left="3600" w:hanging="360"/>
      </w:pPr>
    </w:lvl>
    <w:lvl w:ilvl="5" w:tplc="17F47286">
      <w:start w:val="1"/>
      <w:numFmt w:val="lowerRoman"/>
      <w:lvlText w:val="%6."/>
      <w:lvlJc w:val="right"/>
      <w:pPr>
        <w:ind w:left="4320" w:hanging="180"/>
      </w:pPr>
    </w:lvl>
    <w:lvl w:ilvl="6" w:tplc="EA16E3C2">
      <w:start w:val="1"/>
      <w:numFmt w:val="decimal"/>
      <w:lvlText w:val="%7."/>
      <w:lvlJc w:val="left"/>
      <w:pPr>
        <w:ind w:left="5040" w:hanging="360"/>
      </w:pPr>
    </w:lvl>
    <w:lvl w:ilvl="7" w:tplc="456CCFA6">
      <w:start w:val="1"/>
      <w:numFmt w:val="lowerLetter"/>
      <w:lvlText w:val="%8."/>
      <w:lvlJc w:val="left"/>
      <w:pPr>
        <w:ind w:left="5760" w:hanging="360"/>
      </w:pPr>
    </w:lvl>
    <w:lvl w:ilvl="8" w:tplc="B1241DF2">
      <w:start w:val="1"/>
      <w:numFmt w:val="lowerRoman"/>
      <w:lvlText w:val="%9."/>
      <w:lvlJc w:val="right"/>
      <w:pPr>
        <w:ind w:left="6480" w:hanging="180"/>
      </w:pPr>
    </w:lvl>
  </w:abstractNum>
  <w:abstractNum w:abstractNumId="87" w15:restartNumberingAfterBreak="0">
    <w:nsid w:val="60487083"/>
    <w:multiLevelType w:val="multilevel"/>
    <w:tmpl w:val="229042B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88" w15:restartNumberingAfterBreak="0">
    <w:nsid w:val="631C62F1"/>
    <w:multiLevelType w:val="multilevel"/>
    <w:tmpl w:val="1414BD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9" w15:restartNumberingAfterBreak="0">
    <w:nsid w:val="643C22E2"/>
    <w:multiLevelType w:val="multilevel"/>
    <w:tmpl w:val="A4D283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rPr>
    </w:lvl>
    <w:lvl w:ilvl="2">
      <w:start w:val="1"/>
      <w:numFmt w:val="bullet"/>
      <w:lvlText w:val="-"/>
      <w:lvlJc w:val="left"/>
      <w:pPr>
        <w:ind w:left="2160" w:hanging="360"/>
      </w:pPr>
      <w:rPr>
        <w:rFonts w:ascii="Aptos" w:hAnsi="Apto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4CF2D36"/>
    <w:multiLevelType w:val="multilevel"/>
    <w:tmpl w:val="4F8078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1" w15:restartNumberingAfterBreak="0">
    <w:nsid w:val="65571899"/>
    <w:multiLevelType w:val="multilevel"/>
    <w:tmpl w:val="BD2A6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65461E1"/>
    <w:multiLevelType w:val="multilevel"/>
    <w:tmpl w:val="6714EC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3" w15:restartNumberingAfterBreak="0">
    <w:nsid w:val="66593317"/>
    <w:multiLevelType w:val="multilevel"/>
    <w:tmpl w:val="81B69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75D26D2"/>
    <w:multiLevelType w:val="multilevel"/>
    <w:tmpl w:val="F984D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7A93265"/>
    <w:multiLevelType w:val="hybridMultilevel"/>
    <w:tmpl w:val="FFFFFFFF"/>
    <w:lvl w:ilvl="0" w:tplc="00B22616">
      <w:numFmt w:val="none"/>
      <w:lvlText w:val=""/>
      <w:lvlJc w:val="left"/>
      <w:pPr>
        <w:tabs>
          <w:tab w:val="num" w:pos="360"/>
        </w:tabs>
      </w:pPr>
    </w:lvl>
    <w:lvl w:ilvl="1" w:tplc="A3EE56DE">
      <w:start w:val="1"/>
      <w:numFmt w:val="lowerLetter"/>
      <w:lvlText w:val="%2."/>
      <w:lvlJc w:val="left"/>
      <w:pPr>
        <w:ind w:left="1440" w:hanging="360"/>
      </w:pPr>
    </w:lvl>
    <w:lvl w:ilvl="2" w:tplc="15E43FFA">
      <w:start w:val="1"/>
      <w:numFmt w:val="lowerRoman"/>
      <w:lvlText w:val="%3."/>
      <w:lvlJc w:val="right"/>
      <w:pPr>
        <w:ind w:left="2160" w:hanging="180"/>
      </w:pPr>
    </w:lvl>
    <w:lvl w:ilvl="3" w:tplc="E834C758">
      <w:start w:val="1"/>
      <w:numFmt w:val="decimal"/>
      <w:lvlText w:val="%4."/>
      <w:lvlJc w:val="left"/>
      <w:pPr>
        <w:ind w:left="2880" w:hanging="360"/>
      </w:pPr>
    </w:lvl>
    <w:lvl w:ilvl="4" w:tplc="FF924FC0">
      <w:start w:val="1"/>
      <w:numFmt w:val="lowerLetter"/>
      <w:lvlText w:val="%5."/>
      <w:lvlJc w:val="left"/>
      <w:pPr>
        <w:ind w:left="3600" w:hanging="360"/>
      </w:pPr>
    </w:lvl>
    <w:lvl w:ilvl="5" w:tplc="F77269DE">
      <w:start w:val="1"/>
      <w:numFmt w:val="lowerRoman"/>
      <w:lvlText w:val="%6."/>
      <w:lvlJc w:val="right"/>
      <w:pPr>
        <w:ind w:left="4320" w:hanging="180"/>
      </w:pPr>
    </w:lvl>
    <w:lvl w:ilvl="6" w:tplc="C0B0A3E6">
      <w:start w:val="1"/>
      <w:numFmt w:val="decimal"/>
      <w:lvlText w:val="%7."/>
      <w:lvlJc w:val="left"/>
      <w:pPr>
        <w:ind w:left="5040" w:hanging="360"/>
      </w:pPr>
    </w:lvl>
    <w:lvl w:ilvl="7" w:tplc="5CB86FD6">
      <w:start w:val="1"/>
      <w:numFmt w:val="lowerLetter"/>
      <w:lvlText w:val="%8."/>
      <w:lvlJc w:val="left"/>
      <w:pPr>
        <w:ind w:left="5760" w:hanging="360"/>
      </w:pPr>
    </w:lvl>
    <w:lvl w:ilvl="8" w:tplc="BCC0A1CA">
      <w:start w:val="1"/>
      <w:numFmt w:val="lowerRoman"/>
      <w:lvlText w:val="%9."/>
      <w:lvlJc w:val="right"/>
      <w:pPr>
        <w:ind w:left="6480" w:hanging="180"/>
      </w:pPr>
    </w:lvl>
  </w:abstractNum>
  <w:abstractNum w:abstractNumId="96" w15:restartNumberingAfterBreak="0">
    <w:nsid w:val="68AD7AFC"/>
    <w:multiLevelType w:val="hybridMultilevel"/>
    <w:tmpl w:val="456CD798"/>
    <w:lvl w:ilvl="0" w:tplc="A13603B2">
      <w:start w:val="1"/>
      <w:numFmt w:val="upperRoman"/>
      <w:lvlText w:val="%1."/>
      <w:lvlJc w:val="left"/>
      <w:pPr>
        <w:ind w:left="1080" w:hanging="72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95C6C9C"/>
    <w:multiLevelType w:val="hybridMultilevel"/>
    <w:tmpl w:val="FFFFFFFF"/>
    <w:lvl w:ilvl="0" w:tplc="F7B8E2C2">
      <w:numFmt w:val="none"/>
      <w:lvlText w:val=""/>
      <w:lvlJc w:val="left"/>
      <w:pPr>
        <w:tabs>
          <w:tab w:val="num" w:pos="360"/>
        </w:tabs>
      </w:pPr>
    </w:lvl>
    <w:lvl w:ilvl="1" w:tplc="CCE62CCA">
      <w:start w:val="1"/>
      <w:numFmt w:val="lowerLetter"/>
      <w:lvlText w:val="%2."/>
      <w:lvlJc w:val="left"/>
      <w:pPr>
        <w:ind w:left="1440" w:hanging="360"/>
      </w:pPr>
    </w:lvl>
    <w:lvl w:ilvl="2" w:tplc="A2A89C08">
      <w:start w:val="1"/>
      <w:numFmt w:val="lowerRoman"/>
      <w:lvlText w:val="%3."/>
      <w:lvlJc w:val="right"/>
      <w:pPr>
        <w:ind w:left="2160" w:hanging="180"/>
      </w:pPr>
    </w:lvl>
    <w:lvl w:ilvl="3" w:tplc="61F2EE02">
      <w:start w:val="1"/>
      <w:numFmt w:val="decimal"/>
      <w:lvlText w:val="%4."/>
      <w:lvlJc w:val="left"/>
      <w:pPr>
        <w:ind w:left="2880" w:hanging="360"/>
      </w:pPr>
    </w:lvl>
    <w:lvl w:ilvl="4" w:tplc="8A7E9DFC">
      <w:start w:val="1"/>
      <w:numFmt w:val="lowerLetter"/>
      <w:lvlText w:val="%5."/>
      <w:lvlJc w:val="left"/>
      <w:pPr>
        <w:ind w:left="3600" w:hanging="360"/>
      </w:pPr>
    </w:lvl>
    <w:lvl w:ilvl="5" w:tplc="53706A2C">
      <w:start w:val="1"/>
      <w:numFmt w:val="lowerRoman"/>
      <w:lvlText w:val="%6."/>
      <w:lvlJc w:val="right"/>
      <w:pPr>
        <w:ind w:left="4320" w:hanging="180"/>
      </w:pPr>
    </w:lvl>
    <w:lvl w:ilvl="6" w:tplc="AAC23F36">
      <w:start w:val="1"/>
      <w:numFmt w:val="decimal"/>
      <w:lvlText w:val="%7."/>
      <w:lvlJc w:val="left"/>
      <w:pPr>
        <w:ind w:left="5040" w:hanging="360"/>
      </w:pPr>
    </w:lvl>
    <w:lvl w:ilvl="7" w:tplc="75EE89DE">
      <w:start w:val="1"/>
      <w:numFmt w:val="lowerLetter"/>
      <w:lvlText w:val="%8."/>
      <w:lvlJc w:val="left"/>
      <w:pPr>
        <w:ind w:left="5760" w:hanging="360"/>
      </w:pPr>
    </w:lvl>
    <w:lvl w:ilvl="8" w:tplc="9EC4603A">
      <w:start w:val="1"/>
      <w:numFmt w:val="lowerRoman"/>
      <w:lvlText w:val="%9."/>
      <w:lvlJc w:val="right"/>
      <w:pPr>
        <w:ind w:left="6480" w:hanging="180"/>
      </w:pPr>
    </w:lvl>
  </w:abstractNum>
  <w:abstractNum w:abstractNumId="98" w15:restartNumberingAfterBreak="0">
    <w:nsid w:val="699B337F"/>
    <w:multiLevelType w:val="multilevel"/>
    <w:tmpl w:val="3BCC5CE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A0A42B0"/>
    <w:multiLevelType w:val="multilevel"/>
    <w:tmpl w:val="473C20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AD379D6"/>
    <w:multiLevelType w:val="hybridMultilevel"/>
    <w:tmpl w:val="F1C6F45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6B9C0A05"/>
    <w:multiLevelType w:val="multilevel"/>
    <w:tmpl w:val="0926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BE62FA4"/>
    <w:multiLevelType w:val="multilevel"/>
    <w:tmpl w:val="FFFFFFFF"/>
    <w:lvl w:ilvl="0">
      <w:start w:val="1"/>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E3784E7"/>
    <w:multiLevelType w:val="multilevel"/>
    <w:tmpl w:val="FFFFFFFF"/>
    <w:lvl w:ilvl="0">
      <w:start w:val="3"/>
      <w:numFmt w:val="decimal"/>
      <w:lvlText w:val="%1."/>
      <w:lvlJc w:val="left"/>
      <w:pPr>
        <w:ind w:left="720" w:hanging="360"/>
      </w:pPr>
      <w:rPr>
        <w:rFonts w:ascii="Aptos" w:hAnsi="Apto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711F0ED3"/>
    <w:multiLevelType w:val="multilevel"/>
    <w:tmpl w:val="C6FEA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3A606D3"/>
    <w:multiLevelType w:val="hybridMultilevel"/>
    <w:tmpl w:val="E7EA97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5484461"/>
    <w:multiLevelType w:val="hybridMultilevel"/>
    <w:tmpl w:val="FFFFFFFF"/>
    <w:lvl w:ilvl="0" w:tplc="B3E87366">
      <w:numFmt w:val="none"/>
      <w:lvlText w:val=""/>
      <w:lvlJc w:val="left"/>
      <w:pPr>
        <w:tabs>
          <w:tab w:val="num" w:pos="360"/>
        </w:tabs>
      </w:pPr>
    </w:lvl>
    <w:lvl w:ilvl="1" w:tplc="B0149C9C">
      <w:start w:val="1"/>
      <w:numFmt w:val="lowerLetter"/>
      <w:lvlText w:val="%2."/>
      <w:lvlJc w:val="left"/>
      <w:pPr>
        <w:ind w:left="1440" w:hanging="360"/>
      </w:pPr>
    </w:lvl>
    <w:lvl w:ilvl="2" w:tplc="90522FEC">
      <w:start w:val="1"/>
      <w:numFmt w:val="lowerRoman"/>
      <w:lvlText w:val="%3."/>
      <w:lvlJc w:val="right"/>
      <w:pPr>
        <w:ind w:left="2160" w:hanging="180"/>
      </w:pPr>
    </w:lvl>
    <w:lvl w:ilvl="3" w:tplc="FB1053BE">
      <w:start w:val="1"/>
      <w:numFmt w:val="decimal"/>
      <w:lvlText w:val="%4."/>
      <w:lvlJc w:val="left"/>
      <w:pPr>
        <w:ind w:left="2880" w:hanging="360"/>
      </w:pPr>
    </w:lvl>
    <w:lvl w:ilvl="4" w:tplc="3284379C">
      <w:start w:val="1"/>
      <w:numFmt w:val="lowerLetter"/>
      <w:lvlText w:val="%5."/>
      <w:lvlJc w:val="left"/>
      <w:pPr>
        <w:ind w:left="3600" w:hanging="360"/>
      </w:pPr>
    </w:lvl>
    <w:lvl w:ilvl="5" w:tplc="D638CADA">
      <w:start w:val="1"/>
      <w:numFmt w:val="lowerRoman"/>
      <w:lvlText w:val="%6."/>
      <w:lvlJc w:val="right"/>
      <w:pPr>
        <w:ind w:left="4320" w:hanging="180"/>
      </w:pPr>
    </w:lvl>
    <w:lvl w:ilvl="6" w:tplc="BD98F3F0">
      <w:start w:val="1"/>
      <w:numFmt w:val="decimal"/>
      <w:lvlText w:val="%7."/>
      <w:lvlJc w:val="left"/>
      <w:pPr>
        <w:ind w:left="5040" w:hanging="360"/>
      </w:pPr>
    </w:lvl>
    <w:lvl w:ilvl="7" w:tplc="F1CCAD82">
      <w:start w:val="1"/>
      <w:numFmt w:val="lowerLetter"/>
      <w:lvlText w:val="%8."/>
      <w:lvlJc w:val="left"/>
      <w:pPr>
        <w:ind w:left="5760" w:hanging="360"/>
      </w:pPr>
    </w:lvl>
    <w:lvl w:ilvl="8" w:tplc="C4CAF09A">
      <w:start w:val="1"/>
      <w:numFmt w:val="lowerRoman"/>
      <w:lvlText w:val="%9."/>
      <w:lvlJc w:val="right"/>
      <w:pPr>
        <w:ind w:left="6480" w:hanging="180"/>
      </w:pPr>
    </w:lvl>
  </w:abstractNum>
  <w:abstractNum w:abstractNumId="107" w15:restartNumberingAfterBreak="0">
    <w:nsid w:val="76515448"/>
    <w:multiLevelType w:val="hybridMultilevel"/>
    <w:tmpl w:val="1ED060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75AC08A"/>
    <w:multiLevelType w:val="hybridMultilevel"/>
    <w:tmpl w:val="FFFFFFFF"/>
    <w:lvl w:ilvl="0" w:tplc="BC64C854">
      <w:numFmt w:val="none"/>
      <w:lvlText w:val=""/>
      <w:lvlJc w:val="left"/>
      <w:pPr>
        <w:tabs>
          <w:tab w:val="num" w:pos="360"/>
        </w:tabs>
      </w:pPr>
    </w:lvl>
    <w:lvl w:ilvl="1" w:tplc="B10A5DF0">
      <w:start w:val="1"/>
      <w:numFmt w:val="lowerLetter"/>
      <w:lvlText w:val="%2."/>
      <w:lvlJc w:val="left"/>
      <w:pPr>
        <w:ind w:left="1440" w:hanging="360"/>
      </w:pPr>
    </w:lvl>
    <w:lvl w:ilvl="2" w:tplc="40321EEA">
      <w:start w:val="1"/>
      <w:numFmt w:val="lowerRoman"/>
      <w:lvlText w:val="%3."/>
      <w:lvlJc w:val="right"/>
      <w:pPr>
        <w:ind w:left="2160" w:hanging="180"/>
      </w:pPr>
    </w:lvl>
    <w:lvl w:ilvl="3" w:tplc="65B41A82">
      <w:start w:val="1"/>
      <w:numFmt w:val="decimal"/>
      <w:lvlText w:val="%4."/>
      <w:lvlJc w:val="left"/>
      <w:pPr>
        <w:ind w:left="2880" w:hanging="360"/>
      </w:pPr>
    </w:lvl>
    <w:lvl w:ilvl="4" w:tplc="6C06AD88">
      <w:start w:val="1"/>
      <w:numFmt w:val="lowerLetter"/>
      <w:lvlText w:val="%5."/>
      <w:lvlJc w:val="left"/>
      <w:pPr>
        <w:ind w:left="3600" w:hanging="360"/>
      </w:pPr>
    </w:lvl>
    <w:lvl w:ilvl="5" w:tplc="AE8A7C8A">
      <w:start w:val="1"/>
      <w:numFmt w:val="lowerRoman"/>
      <w:lvlText w:val="%6."/>
      <w:lvlJc w:val="right"/>
      <w:pPr>
        <w:ind w:left="4320" w:hanging="180"/>
      </w:pPr>
    </w:lvl>
    <w:lvl w:ilvl="6" w:tplc="5004368E">
      <w:start w:val="1"/>
      <w:numFmt w:val="decimal"/>
      <w:lvlText w:val="%7."/>
      <w:lvlJc w:val="left"/>
      <w:pPr>
        <w:ind w:left="5040" w:hanging="360"/>
      </w:pPr>
    </w:lvl>
    <w:lvl w:ilvl="7" w:tplc="64CEAEAE">
      <w:start w:val="1"/>
      <w:numFmt w:val="lowerLetter"/>
      <w:lvlText w:val="%8."/>
      <w:lvlJc w:val="left"/>
      <w:pPr>
        <w:ind w:left="5760" w:hanging="360"/>
      </w:pPr>
    </w:lvl>
    <w:lvl w:ilvl="8" w:tplc="DBA83B08">
      <w:start w:val="1"/>
      <w:numFmt w:val="lowerRoman"/>
      <w:lvlText w:val="%9."/>
      <w:lvlJc w:val="right"/>
      <w:pPr>
        <w:ind w:left="6480" w:hanging="180"/>
      </w:pPr>
    </w:lvl>
  </w:abstractNum>
  <w:abstractNum w:abstractNumId="109" w15:restartNumberingAfterBreak="0">
    <w:nsid w:val="77791FFA"/>
    <w:multiLevelType w:val="multilevel"/>
    <w:tmpl w:val="08BA3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80B1205"/>
    <w:multiLevelType w:val="multilevel"/>
    <w:tmpl w:val="F6E0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A2D510B"/>
    <w:multiLevelType w:val="multilevel"/>
    <w:tmpl w:val="AA0E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AA15268"/>
    <w:multiLevelType w:val="hybridMultilevel"/>
    <w:tmpl w:val="5A3C105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3" w15:restartNumberingAfterBreak="0">
    <w:nsid w:val="7BF23371"/>
    <w:multiLevelType w:val="multilevel"/>
    <w:tmpl w:val="65A84F4E"/>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4" w15:restartNumberingAfterBreak="0">
    <w:nsid w:val="7D823291"/>
    <w:multiLevelType w:val="multilevel"/>
    <w:tmpl w:val="2B3E4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D8B0FBB"/>
    <w:multiLevelType w:val="multilevel"/>
    <w:tmpl w:val="3BA6B8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6" w15:restartNumberingAfterBreak="0">
    <w:nsid w:val="7EDC09CE"/>
    <w:multiLevelType w:val="multilevel"/>
    <w:tmpl w:val="A702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3"/>
  </w:num>
  <w:num w:numId="2">
    <w:abstractNumId w:val="99"/>
  </w:num>
  <w:num w:numId="3">
    <w:abstractNumId w:val="26"/>
  </w:num>
  <w:num w:numId="4">
    <w:abstractNumId w:val="61"/>
  </w:num>
  <w:num w:numId="5">
    <w:abstractNumId w:val="93"/>
  </w:num>
  <w:num w:numId="6">
    <w:abstractNumId w:val="111"/>
  </w:num>
  <w:num w:numId="7">
    <w:abstractNumId w:val="101"/>
  </w:num>
  <w:num w:numId="8">
    <w:abstractNumId w:val="33"/>
  </w:num>
  <w:num w:numId="9">
    <w:abstractNumId w:val="81"/>
  </w:num>
  <w:num w:numId="10">
    <w:abstractNumId w:val="6"/>
  </w:num>
  <w:num w:numId="11">
    <w:abstractNumId w:val="45"/>
  </w:num>
  <w:num w:numId="12">
    <w:abstractNumId w:val="89"/>
  </w:num>
  <w:num w:numId="13">
    <w:abstractNumId w:val="22"/>
  </w:num>
  <w:num w:numId="14">
    <w:abstractNumId w:val="76"/>
  </w:num>
  <w:num w:numId="15">
    <w:abstractNumId w:val="60"/>
  </w:num>
  <w:num w:numId="16">
    <w:abstractNumId w:val="98"/>
  </w:num>
  <w:num w:numId="17">
    <w:abstractNumId w:val="87"/>
  </w:num>
  <w:num w:numId="18">
    <w:abstractNumId w:val="8"/>
  </w:num>
  <w:num w:numId="19">
    <w:abstractNumId w:val="28"/>
  </w:num>
  <w:num w:numId="20">
    <w:abstractNumId w:val="103"/>
  </w:num>
  <w:num w:numId="21">
    <w:abstractNumId w:val="27"/>
  </w:num>
  <w:num w:numId="22">
    <w:abstractNumId w:val="102"/>
  </w:num>
  <w:num w:numId="23">
    <w:abstractNumId w:val="24"/>
  </w:num>
  <w:num w:numId="24">
    <w:abstractNumId w:val="14"/>
  </w:num>
  <w:num w:numId="25">
    <w:abstractNumId w:val="80"/>
  </w:num>
  <w:num w:numId="26">
    <w:abstractNumId w:val="17"/>
  </w:num>
  <w:num w:numId="27">
    <w:abstractNumId w:val="84"/>
  </w:num>
  <w:num w:numId="28">
    <w:abstractNumId w:val="51"/>
  </w:num>
  <w:num w:numId="29">
    <w:abstractNumId w:val="72"/>
  </w:num>
  <w:num w:numId="30">
    <w:abstractNumId w:val="59"/>
  </w:num>
  <w:num w:numId="31">
    <w:abstractNumId w:val="1"/>
  </w:num>
  <w:num w:numId="32">
    <w:abstractNumId w:val="37"/>
  </w:num>
  <w:num w:numId="33">
    <w:abstractNumId w:val="70"/>
  </w:num>
  <w:num w:numId="34">
    <w:abstractNumId w:val="47"/>
  </w:num>
  <w:num w:numId="35">
    <w:abstractNumId w:val="96"/>
  </w:num>
  <w:num w:numId="36">
    <w:abstractNumId w:val="104"/>
  </w:num>
  <w:num w:numId="37">
    <w:abstractNumId w:val="36"/>
  </w:num>
  <w:num w:numId="38">
    <w:abstractNumId w:val="21"/>
  </w:num>
  <w:num w:numId="39">
    <w:abstractNumId w:val="66"/>
  </w:num>
  <w:num w:numId="40">
    <w:abstractNumId w:val="38"/>
  </w:num>
  <w:num w:numId="41">
    <w:abstractNumId w:val="2"/>
  </w:num>
  <w:num w:numId="42">
    <w:abstractNumId w:val="30"/>
  </w:num>
  <w:num w:numId="43">
    <w:abstractNumId w:val="31"/>
  </w:num>
  <w:num w:numId="44">
    <w:abstractNumId w:val="74"/>
  </w:num>
  <w:num w:numId="45">
    <w:abstractNumId w:val="106"/>
  </w:num>
  <w:num w:numId="46">
    <w:abstractNumId w:val="65"/>
  </w:num>
  <w:num w:numId="47">
    <w:abstractNumId w:val="97"/>
  </w:num>
  <w:num w:numId="48">
    <w:abstractNumId w:val="86"/>
  </w:num>
  <w:num w:numId="49">
    <w:abstractNumId w:val="68"/>
  </w:num>
  <w:num w:numId="50">
    <w:abstractNumId w:val="95"/>
  </w:num>
  <w:num w:numId="51">
    <w:abstractNumId w:val="108"/>
  </w:num>
  <w:num w:numId="52">
    <w:abstractNumId w:val="16"/>
  </w:num>
  <w:num w:numId="53">
    <w:abstractNumId w:val="13"/>
  </w:num>
  <w:num w:numId="54">
    <w:abstractNumId w:val="44"/>
  </w:num>
  <w:num w:numId="55">
    <w:abstractNumId w:val="53"/>
  </w:num>
  <w:num w:numId="56">
    <w:abstractNumId w:val="23"/>
  </w:num>
  <w:num w:numId="57">
    <w:abstractNumId w:val="77"/>
  </w:num>
  <w:num w:numId="58">
    <w:abstractNumId w:val="42"/>
  </w:num>
  <w:num w:numId="59">
    <w:abstractNumId w:val="5"/>
  </w:num>
  <w:num w:numId="60">
    <w:abstractNumId w:val="113"/>
  </w:num>
  <w:num w:numId="61">
    <w:abstractNumId w:val="64"/>
  </w:num>
  <w:num w:numId="62">
    <w:abstractNumId w:val="0"/>
  </w:num>
  <w:num w:numId="63">
    <w:abstractNumId w:val="67"/>
  </w:num>
  <w:num w:numId="64">
    <w:abstractNumId w:val="73"/>
  </w:num>
  <w:num w:numId="65">
    <w:abstractNumId w:val="18"/>
  </w:num>
  <w:num w:numId="66">
    <w:abstractNumId w:val="91"/>
  </w:num>
  <w:num w:numId="67">
    <w:abstractNumId w:val="110"/>
  </w:num>
  <w:num w:numId="68">
    <w:abstractNumId w:val="94"/>
  </w:num>
  <w:num w:numId="69">
    <w:abstractNumId w:val="32"/>
  </w:num>
  <w:num w:numId="70">
    <w:abstractNumId w:val="4"/>
  </w:num>
  <w:num w:numId="71">
    <w:abstractNumId w:val="29"/>
  </w:num>
  <w:num w:numId="72">
    <w:abstractNumId w:val="109"/>
  </w:num>
  <w:num w:numId="73">
    <w:abstractNumId w:val="48"/>
  </w:num>
  <w:num w:numId="74">
    <w:abstractNumId w:val="115"/>
  </w:num>
  <w:num w:numId="75">
    <w:abstractNumId w:val="25"/>
  </w:num>
  <w:num w:numId="76">
    <w:abstractNumId w:val="40"/>
  </w:num>
  <w:num w:numId="77">
    <w:abstractNumId w:val="9"/>
  </w:num>
  <w:num w:numId="78">
    <w:abstractNumId w:val="15"/>
  </w:num>
  <w:num w:numId="79">
    <w:abstractNumId w:val="83"/>
  </w:num>
  <w:num w:numId="80">
    <w:abstractNumId w:val="41"/>
  </w:num>
  <w:num w:numId="81">
    <w:abstractNumId w:val="49"/>
  </w:num>
  <w:num w:numId="82">
    <w:abstractNumId w:val="88"/>
  </w:num>
  <w:num w:numId="83">
    <w:abstractNumId w:val="85"/>
  </w:num>
  <w:num w:numId="84">
    <w:abstractNumId w:val="3"/>
  </w:num>
  <w:num w:numId="85">
    <w:abstractNumId w:val="69"/>
  </w:num>
  <w:num w:numId="86">
    <w:abstractNumId w:val="116"/>
  </w:num>
  <w:num w:numId="87">
    <w:abstractNumId w:val="50"/>
  </w:num>
  <w:num w:numId="88">
    <w:abstractNumId w:val="82"/>
  </w:num>
  <w:num w:numId="89">
    <w:abstractNumId w:val="10"/>
  </w:num>
  <w:num w:numId="90">
    <w:abstractNumId w:val="35"/>
  </w:num>
  <w:num w:numId="91">
    <w:abstractNumId w:val="54"/>
  </w:num>
  <w:num w:numId="92">
    <w:abstractNumId w:val="92"/>
  </w:num>
  <w:num w:numId="93">
    <w:abstractNumId w:val="90"/>
  </w:num>
  <w:num w:numId="94">
    <w:abstractNumId w:val="11"/>
  </w:num>
  <w:num w:numId="95">
    <w:abstractNumId w:val="7"/>
  </w:num>
  <w:num w:numId="96">
    <w:abstractNumId w:val="56"/>
  </w:num>
  <w:num w:numId="97">
    <w:abstractNumId w:val="62"/>
  </w:num>
  <w:num w:numId="98">
    <w:abstractNumId w:val="75"/>
  </w:num>
  <w:num w:numId="99">
    <w:abstractNumId w:val="63"/>
  </w:num>
  <w:num w:numId="100">
    <w:abstractNumId w:val="114"/>
  </w:num>
  <w:num w:numId="101">
    <w:abstractNumId w:val="57"/>
  </w:num>
  <w:num w:numId="102">
    <w:abstractNumId w:val="12"/>
  </w:num>
  <w:num w:numId="103">
    <w:abstractNumId w:val="34"/>
  </w:num>
  <w:num w:numId="104">
    <w:abstractNumId w:val="20"/>
  </w:num>
  <w:num w:numId="105">
    <w:abstractNumId w:val="79"/>
  </w:num>
  <w:num w:numId="106">
    <w:abstractNumId w:val="58"/>
  </w:num>
  <w:num w:numId="107">
    <w:abstractNumId w:val="78"/>
  </w:num>
  <w:num w:numId="108">
    <w:abstractNumId w:val="112"/>
  </w:num>
  <w:num w:numId="109">
    <w:abstractNumId w:val="71"/>
  </w:num>
  <w:num w:numId="110">
    <w:abstractNumId w:val="46"/>
  </w:num>
  <w:num w:numId="111">
    <w:abstractNumId w:val="52"/>
  </w:num>
  <w:num w:numId="112">
    <w:abstractNumId w:val="55"/>
  </w:num>
  <w:num w:numId="113">
    <w:abstractNumId w:val="105"/>
  </w:num>
  <w:num w:numId="114">
    <w:abstractNumId w:val="107"/>
  </w:num>
  <w:num w:numId="115">
    <w:abstractNumId w:val="19"/>
  </w:num>
  <w:num w:numId="116">
    <w:abstractNumId w:val="39"/>
  </w:num>
  <w:num w:numId="117">
    <w:abstractNumId w:val="100"/>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EPKit_DocumentHasBeenSaved" w:val="true"/>
    <w:docVar w:name="LW_CORRIGENDUM" w:val="&lt;UNUSED&gt;"/>
    <w:docVar w:name="LW_COVERPAGE_EXISTS" w:val="True"/>
    <w:docVar w:name="LW_COVERPAGE_GUID" w:val="21A7FBB9-C1CF-4D57-8737-5B5E6E2C7947"/>
    <w:docVar w:name="LW_COVERPAGE_TYPE" w:val="1"/>
    <w:docVar w:name="LW_CROSSREFERENCE" w:val="{SWD(2025) 570 final} - {SWD(2025) 571 final}"/>
    <w:docVar w:name="LW_DocType" w:val="NORMAL"/>
    <w:docVar w:name="LW_EMISSION" w:val="16.7.2025"/>
    <w:docVar w:name="LW_EMISSION_ISODATE" w:val="2025-07-16"/>
    <w:docVar w:name="LW_EMISSION_LOCATION" w:val="BRX"/>
    <w:docVar w:name="LW_EMISSION_PREFIX" w:val="Bryssel "/>
    <w:docVar w:name="LW_EMISSION_SUFFIX" w:val=" "/>
    <w:docVar w:name="LW_ID_DOCTYPE_NONLW" w:val="CP-009"/>
    <w:docVar w:name="LW_LANGUE" w:val="FI"/>
    <w:docVar w:name="LW_LEVEL_OF_SENSITIVITY" w:val="Standard treatment"/>
    <w:docVar w:name="LW_NOM.INST" w:val="EUROOPAN KOMISSIO"/>
    <w:docVar w:name="LW_NOM.INST_JOINTDOC" w:val="&lt;EMPTY&gt;"/>
    <w:docVar w:name="LW_PART_NBR" w:val="1"/>
    <w:docVar w:name="LW_PART_NBR_TOTAL" w:val="1"/>
    <w:docVar w:name="LW_REF.INST.NEW" w:val="COM"/>
    <w:docVar w:name="LW_REF.INST.NEW_ADOPTED" w:val="final"/>
    <w:docVar w:name="LW_REF.INST.NEW_TEXT" w:val="(2025) 57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Dynaaminen EU:n talousarvio tulevaisuuden tarpeisiin- Monivuotinen rahoituskehys 2028-2034"/>
    <w:docVar w:name="LW_TYPE.DOC.CP" w:val="KOMISSION TIEDONANTO"/>
    <w:docVar w:name="LW_TYPE.DOC.CP.USERTEXT" w:val="EUROOPAN PARLAMENTILLE, EUROOPPA-NEUVOSTOLLE, NEUVOSTOLLE, EUROOPAN TALOUS- JA SOSIAALIKOMITEALLE JA ALUEIDEN KOMITEALLE"/>
    <w:docVar w:name="LwApiVersions" w:val="LW4CoDe 1.24.5.0; LW 9.0, Build 20240221"/>
  </w:docVars>
  <w:rsids>
    <w:rsidRoot w:val="00660C61"/>
    <w:rsid w:val="00000026"/>
    <w:rsid w:val="00000367"/>
    <w:rsid w:val="0000039A"/>
    <w:rsid w:val="00000465"/>
    <w:rsid w:val="000005E7"/>
    <w:rsid w:val="00000806"/>
    <w:rsid w:val="00000851"/>
    <w:rsid w:val="000008C5"/>
    <w:rsid w:val="0000094D"/>
    <w:rsid w:val="000009FD"/>
    <w:rsid w:val="00000A87"/>
    <w:rsid w:val="00000B26"/>
    <w:rsid w:val="00000BAE"/>
    <w:rsid w:val="00000BB8"/>
    <w:rsid w:val="00000BFF"/>
    <w:rsid w:val="00000D10"/>
    <w:rsid w:val="00000E0E"/>
    <w:rsid w:val="00000E45"/>
    <w:rsid w:val="00000EF6"/>
    <w:rsid w:val="00001053"/>
    <w:rsid w:val="0000107C"/>
    <w:rsid w:val="000010FA"/>
    <w:rsid w:val="00001168"/>
    <w:rsid w:val="000011BC"/>
    <w:rsid w:val="00001259"/>
    <w:rsid w:val="00001497"/>
    <w:rsid w:val="00001539"/>
    <w:rsid w:val="00001613"/>
    <w:rsid w:val="00001660"/>
    <w:rsid w:val="0000166F"/>
    <w:rsid w:val="00001679"/>
    <w:rsid w:val="000016DD"/>
    <w:rsid w:val="0000172E"/>
    <w:rsid w:val="0000175F"/>
    <w:rsid w:val="000017B8"/>
    <w:rsid w:val="00001806"/>
    <w:rsid w:val="000018A3"/>
    <w:rsid w:val="000019D7"/>
    <w:rsid w:val="00001AB1"/>
    <w:rsid w:val="00001AD4"/>
    <w:rsid w:val="00001B48"/>
    <w:rsid w:val="00001C69"/>
    <w:rsid w:val="00001DC3"/>
    <w:rsid w:val="00001E18"/>
    <w:rsid w:val="00001F45"/>
    <w:rsid w:val="00001F75"/>
    <w:rsid w:val="000020DA"/>
    <w:rsid w:val="00002146"/>
    <w:rsid w:val="00002337"/>
    <w:rsid w:val="00002358"/>
    <w:rsid w:val="000023BB"/>
    <w:rsid w:val="000023C9"/>
    <w:rsid w:val="000023FF"/>
    <w:rsid w:val="00002588"/>
    <w:rsid w:val="00002676"/>
    <w:rsid w:val="00002772"/>
    <w:rsid w:val="000027D9"/>
    <w:rsid w:val="0000287B"/>
    <w:rsid w:val="00002C2A"/>
    <w:rsid w:val="00002C2D"/>
    <w:rsid w:val="00002C7F"/>
    <w:rsid w:val="00002CFB"/>
    <w:rsid w:val="00002E38"/>
    <w:rsid w:val="0000309F"/>
    <w:rsid w:val="000031A4"/>
    <w:rsid w:val="0000326F"/>
    <w:rsid w:val="000032AF"/>
    <w:rsid w:val="000033FF"/>
    <w:rsid w:val="0000340A"/>
    <w:rsid w:val="0000348A"/>
    <w:rsid w:val="000034E0"/>
    <w:rsid w:val="00003606"/>
    <w:rsid w:val="00003652"/>
    <w:rsid w:val="0000386C"/>
    <w:rsid w:val="000038CC"/>
    <w:rsid w:val="000038E7"/>
    <w:rsid w:val="00003969"/>
    <w:rsid w:val="00003974"/>
    <w:rsid w:val="00003A24"/>
    <w:rsid w:val="00003B76"/>
    <w:rsid w:val="00003CF4"/>
    <w:rsid w:val="0000400F"/>
    <w:rsid w:val="00004235"/>
    <w:rsid w:val="000043B5"/>
    <w:rsid w:val="000044EB"/>
    <w:rsid w:val="00004523"/>
    <w:rsid w:val="00004551"/>
    <w:rsid w:val="000045D4"/>
    <w:rsid w:val="000045DF"/>
    <w:rsid w:val="0000461A"/>
    <w:rsid w:val="000047D2"/>
    <w:rsid w:val="00004873"/>
    <w:rsid w:val="000048B5"/>
    <w:rsid w:val="000048DE"/>
    <w:rsid w:val="00004A36"/>
    <w:rsid w:val="00004C02"/>
    <w:rsid w:val="00004D3C"/>
    <w:rsid w:val="000050D0"/>
    <w:rsid w:val="00005274"/>
    <w:rsid w:val="000053C1"/>
    <w:rsid w:val="00005479"/>
    <w:rsid w:val="0000551D"/>
    <w:rsid w:val="000055F6"/>
    <w:rsid w:val="0000561F"/>
    <w:rsid w:val="00005620"/>
    <w:rsid w:val="00005735"/>
    <w:rsid w:val="00005817"/>
    <w:rsid w:val="0000589D"/>
    <w:rsid w:val="0000597F"/>
    <w:rsid w:val="000059A7"/>
    <w:rsid w:val="000059B8"/>
    <w:rsid w:val="00005AAF"/>
    <w:rsid w:val="00005AD5"/>
    <w:rsid w:val="00005B46"/>
    <w:rsid w:val="00005BC3"/>
    <w:rsid w:val="00005F0D"/>
    <w:rsid w:val="00005FB4"/>
    <w:rsid w:val="00006096"/>
    <w:rsid w:val="000060E1"/>
    <w:rsid w:val="00006275"/>
    <w:rsid w:val="000062AC"/>
    <w:rsid w:val="00006337"/>
    <w:rsid w:val="00006399"/>
    <w:rsid w:val="00006551"/>
    <w:rsid w:val="000065CF"/>
    <w:rsid w:val="00006799"/>
    <w:rsid w:val="000067BD"/>
    <w:rsid w:val="000067F4"/>
    <w:rsid w:val="00006838"/>
    <w:rsid w:val="000068CE"/>
    <w:rsid w:val="000069DF"/>
    <w:rsid w:val="00006A07"/>
    <w:rsid w:val="00006C75"/>
    <w:rsid w:val="00006D62"/>
    <w:rsid w:val="0000715E"/>
    <w:rsid w:val="000071C0"/>
    <w:rsid w:val="0000739C"/>
    <w:rsid w:val="0000739E"/>
    <w:rsid w:val="0000753F"/>
    <w:rsid w:val="00007757"/>
    <w:rsid w:val="000077F2"/>
    <w:rsid w:val="00007836"/>
    <w:rsid w:val="0000789F"/>
    <w:rsid w:val="000078D3"/>
    <w:rsid w:val="00007A44"/>
    <w:rsid w:val="00007A9A"/>
    <w:rsid w:val="00007B93"/>
    <w:rsid w:val="00007CAD"/>
    <w:rsid w:val="00007CD9"/>
    <w:rsid w:val="00007D08"/>
    <w:rsid w:val="00007D4F"/>
    <w:rsid w:val="00007E97"/>
    <w:rsid w:val="00007ECD"/>
    <w:rsid w:val="00010048"/>
    <w:rsid w:val="00010138"/>
    <w:rsid w:val="00010252"/>
    <w:rsid w:val="000103DE"/>
    <w:rsid w:val="0001046D"/>
    <w:rsid w:val="00010522"/>
    <w:rsid w:val="00010541"/>
    <w:rsid w:val="000105BA"/>
    <w:rsid w:val="000106E1"/>
    <w:rsid w:val="0001088D"/>
    <w:rsid w:val="00010B0E"/>
    <w:rsid w:val="00010B7C"/>
    <w:rsid w:val="00010BB6"/>
    <w:rsid w:val="00010C47"/>
    <w:rsid w:val="00010DFD"/>
    <w:rsid w:val="00010EC5"/>
    <w:rsid w:val="00011162"/>
    <w:rsid w:val="000111CA"/>
    <w:rsid w:val="00011236"/>
    <w:rsid w:val="000113A6"/>
    <w:rsid w:val="000113E6"/>
    <w:rsid w:val="00011808"/>
    <w:rsid w:val="000118A8"/>
    <w:rsid w:val="0001197F"/>
    <w:rsid w:val="00011A6C"/>
    <w:rsid w:val="00011B56"/>
    <w:rsid w:val="00011CDF"/>
    <w:rsid w:val="00011D44"/>
    <w:rsid w:val="00011ED3"/>
    <w:rsid w:val="00011EF9"/>
    <w:rsid w:val="0001204C"/>
    <w:rsid w:val="0001207A"/>
    <w:rsid w:val="000120AA"/>
    <w:rsid w:val="0001211C"/>
    <w:rsid w:val="0001214F"/>
    <w:rsid w:val="00012264"/>
    <w:rsid w:val="00012350"/>
    <w:rsid w:val="00012506"/>
    <w:rsid w:val="0001255B"/>
    <w:rsid w:val="000125B3"/>
    <w:rsid w:val="000125BD"/>
    <w:rsid w:val="00012626"/>
    <w:rsid w:val="00012784"/>
    <w:rsid w:val="00012804"/>
    <w:rsid w:val="000128EA"/>
    <w:rsid w:val="00012BF8"/>
    <w:rsid w:val="00012E1E"/>
    <w:rsid w:val="00012E88"/>
    <w:rsid w:val="00012EAB"/>
    <w:rsid w:val="00012FD3"/>
    <w:rsid w:val="00012FDC"/>
    <w:rsid w:val="0001310A"/>
    <w:rsid w:val="000131DE"/>
    <w:rsid w:val="000133A9"/>
    <w:rsid w:val="000134A4"/>
    <w:rsid w:val="0001359F"/>
    <w:rsid w:val="0001368C"/>
    <w:rsid w:val="00013697"/>
    <w:rsid w:val="0001369E"/>
    <w:rsid w:val="0001374B"/>
    <w:rsid w:val="0001379F"/>
    <w:rsid w:val="00013A66"/>
    <w:rsid w:val="00013B3D"/>
    <w:rsid w:val="00013ED1"/>
    <w:rsid w:val="00013EF5"/>
    <w:rsid w:val="00013F27"/>
    <w:rsid w:val="000140C4"/>
    <w:rsid w:val="000140E8"/>
    <w:rsid w:val="00014250"/>
    <w:rsid w:val="00014388"/>
    <w:rsid w:val="00014502"/>
    <w:rsid w:val="0001454A"/>
    <w:rsid w:val="00014555"/>
    <w:rsid w:val="00014752"/>
    <w:rsid w:val="00014782"/>
    <w:rsid w:val="000147B9"/>
    <w:rsid w:val="0001494C"/>
    <w:rsid w:val="00014DEC"/>
    <w:rsid w:val="00014EE9"/>
    <w:rsid w:val="00014F30"/>
    <w:rsid w:val="00014FB3"/>
    <w:rsid w:val="000150C5"/>
    <w:rsid w:val="000151AA"/>
    <w:rsid w:val="000151E5"/>
    <w:rsid w:val="0001526A"/>
    <w:rsid w:val="000152B7"/>
    <w:rsid w:val="000152FD"/>
    <w:rsid w:val="000153A1"/>
    <w:rsid w:val="000153D0"/>
    <w:rsid w:val="000154DF"/>
    <w:rsid w:val="000155B9"/>
    <w:rsid w:val="000155BB"/>
    <w:rsid w:val="0001561E"/>
    <w:rsid w:val="000157B2"/>
    <w:rsid w:val="00015807"/>
    <w:rsid w:val="000158BC"/>
    <w:rsid w:val="0001597D"/>
    <w:rsid w:val="000159D0"/>
    <w:rsid w:val="00015A16"/>
    <w:rsid w:val="00015A48"/>
    <w:rsid w:val="00015ABF"/>
    <w:rsid w:val="00015BF2"/>
    <w:rsid w:val="00015C0B"/>
    <w:rsid w:val="00015C3D"/>
    <w:rsid w:val="00015CFE"/>
    <w:rsid w:val="00015D4A"/>
    <w:rsid w:val="00015D91"/>
    <w:rsid w:val="00015E50"/>
    <w:rsid w:val="00015EFC"/>
    <w:rsid w:val="00015F04"/>
    <w:rsid w:val="00016069"/>
    <w:rsid w:val="000161A9"/>
    <w:rsid w:val="00016297"/>
    <w:rsid w:val="000162FD"/>
    <w:rsid w:val="0001631F"/>
    <w:rsid w:val="00016342"/>
    <w:rsid w:val="000163E2"/>
    <w:rsid w:val="00016468"/>
    <w:rsid w:val="00016482"/>
    <w:rsid w:val="000165E3"/>
    <w:rsid w:val="00016650"/>
    <w:rsid w:val="0001666A"/>
    <w:rsid w:val="000167B4"/>
    <w:rsid w:val="00016857"/>
    <w:rsid w:val="0001689F"/>
    <w:rsid w:val="000168A2"/>
    <w:rsid w:val="00016917"/>
    <w:rsid w:val="00016928"/>
    <w:rsid w:val="0001697B"/>
    <w:rsid w:val="00016985"/>
    <w:rsid w:val="000169CA"/>
    <w:rsid w:val="00016B1B"/>
    <w:rsid w:val="00016BAF"/>
    <w:rsid w:val="00016D8F"/>
    <w:rsid w:val="00016E91"/>
    <w:rsid w:val="00017100"/>
    <w:rsid w:val="00017118"/>
    <w:rsid w:val="0001714B"/>
    <w:rsid w:val="000172AD"/>
    <w:rsid w:val="00017384"/>
    <w:rsid w:val="0001746E"/>
    <w:rsid w:val="00017494"/>
    <w:rsid w:val="0001750A"/>
    <w:rsid w:val="0001757B"/>
    <w:rsid w:val="00017601"/>
    <w:rsid w:val="00017641"/>
    <w:rsid w:val="0001767C"/>
    <w:rsid w:val="00017686"/>
    <w:rsid w:val="0001777E"/>
    <w:rsid w:val="000177E0"/>
    <w:rsid w:val="000178FF"/>
    <w:rsid w:val="00017957"/>
    <w:rsid w:val="000179F5"/>
    <w:rsid w:val="00017AE6"/>
    <w:rsid w:val="00017B8A"/>
    <w:rsid w:val="00017B91"/>
    <w:rsid w:val="00017D0C"/>
    <w:rsid w:val="00017D8D"/>
    <w:rsid w:val="00017DF9"/>
    <w:rsid w:val="000200DF"/>
    <w:rsid w:val="0002010A"/>
    <w:rsid w:val="000201BC"/>
    <w:rsid w:val="0002031C"/>
    <w:rsid w:val="0002046E"/>
    <w:rsid w:val="00020490"/>
    <w:rsid w:val="000204F0"/>
    <w:rsid w:val="00020539"/>
    <w:rsid w:val="0002055F"/>
    <w:rsid w:val="0002068A"/>
    <w:rsid w:val="000206E3"/>
    <w:rsid w:val="000208A2"/>
    <w:rsid w:val="0002092D"/>
    <w:rsid w:val="000209CC"/>
    <w:rsid w:val="000209D5"/>
    <w:rsid w:val="00020C53"/>
    <w:rsid w:val="00020CF6"/>
    <w:rsid w:val="00020D24"/>
    <w:rsid w:val="00020F33"/>
    <w:rsid w:val="00020FBA"/>
    <w:rsid w:val="00021056"/>
    <w:rsid w:val="00021177"/>
    <w:rsid w:val="000211D5"/>
    <w:rsid w:val="00021218"/>
    <w:rsid w:val="0002138D"/>
    <w:rsid w:val="000214B2"/>
    <w:rsid w:val="0002153C"/>
    <w:rsid w:val="0002162C"/>
    <w:rsid w:val="00021649"/>
    <w:rsid w:val="0002166C"/>
    <w:rsid w:val="000216B4"/>
    <w:rsid w:val="000216CD"/>
    <w:rsid w:val="000218B6"/>
    <w:rsid w:val="000218F6"/>
    <w:rsid w:val="00021A7B"/>
    <w:rsid w:val="00021B0D"/>
    <w:rsid w:val="00021B20"/>
    <w:rsid w:val="00021BB5"/>
    <w:rsid w:val="00021C11"/>
    <w:rsid w:val="00021C40"/>
    <w:rsid w:val="00021D52"/>
    <w:rsid w:val="00021D6D"/>
    <w:rsid w:val="00021D84"/>
    <w:rsid w:val="00021E0D"/>
    <w:rsid w:val="00021E13"/>
    <w:rsid w:val="00021EB0"/>
    <w:rsid w:val="00021FE5"/>
    <w:rsid w:val="00022047"/>
    <w:rsid w:val="000220B0"/>
    <w:rsid w:val="000221F2"/>
    <w:rsid w:val="0002223A"/>
    <w:rsid w:val="000223AA"/>
    <w:rsid w:val="000223C5"/>
    <w:rsid w:val="000223E1"/>
    <w:rsid w:val="000224DB"/>
    <w:rsid w:val="00022507"/>
    <w:rsid w:val="00022558"/>
    <w:rsid w:val="000226C7"/>
    <w:rsid w:val="000226C8"/>
    <w:rsid w:val="000226F8"/>
    <w:rsid w:val="00022725"/>
    <w:rsid w:val="000227E6"/>
    <w:rsid w:val="0002283C"/>
    <w:rsid w:val="0002286B"/>
    <w:rsid w:val="000228AE"/>
    <w:rsid w:val="0002296A"/>
    <w:rsid w:val="000229DF"/>
    <w:rsid w:val="000229F9"/>
    <w:rsid w:val="00022A19"/>
    <w:rsid w:val="00022A34"/>
    <w:rsid w:val="00022B66"/>
    <w:rsid w:val="00022BA5"/>
    <w:rsid w:val="00022BA9"/>
    <w:rsid w:val="00022C71"/>
    <w:rsid w:val="00022CAA"/>
    <w:rsid w:val="00022CD0"/>
    <w:rsid w:val="00022D99"/>
    <w:rsid w:val="00022E38"/>
    <w:rsid w:val="00022ED6"/>
    <w:rsid w:val="00022F92"/>
    <w:rsid w:val="00022F9B"/>
    <w:rsid w:val="00023025"/>
    <w:rsid w:val="0002313C"/>
    <w:rsid w:val="000231ED"/>
    <w:rsid w:val="000232C8"/>
    <w:rsid w:val="00023426"/>
    <w:rsid w:val="0002369C"/>
    <w:rsid w:val="00023844"/>
    <w:rsid w:val="0002386F"/>
    <w:rsid w:val="00023873"/>
    <w:rsid w:val="000239ED"/>
    <w:rsid w:val="00023A10"/>
    <w:rsid w:val="00023AC8"/>
    <w:rsid w:val="00023C82"/>
    <w:rsid w:val="00023CA5"/>
    <w:rsid w:val="00023D48"/>
    <w:rsid w:val="00023DB0"/>
    <w:rsid w:val="00023F77"/>
    <w:rsid w:val="00024025"/>
    <w:rsid w:val="00024171"/>
    <w:rsid w:val="000241C4"/>
    <w:rsid w:val="000241F4"/>
    <w:rsid w:val="0002421A"/>
    <w:rsid w:val="00024244"/>
    <w:rsid w:val="000242C7"/>
    <w:rsid w:val="000242E5"/>
    <w:rsid w:val="00024498"/>
    <w:rsid w:val="000244B6"/>
    <w:rsid w:val="000244CB"/>
    <w:rsid w:val="00024513"/>
    <w:rsid w:val="000246B5"/>
    <w:rsid w:val="0002473F"/>
    <w:rsid w:val="00024878"/>
    <w:rsid w:val="00024A54"/>
    <w:rsid w:val="00024DAD"/>
    <w:rsid w:val="00024DB6"/>
    <w:rsid w:val="00024E01"/>
    <w:rsid w:val="00024E05"/>
    <w:rsid w:val="00024EF7"/>
    <w:rsid w:val="00024EFD"/>
    <w:rsid w:val="0002517B"/>
    <w:rsid w:val="0002521C"/>
    <w:rsid w:val="00025221"/>
    <w:rsid w:val="0002526E"/>
    <w:rsid w:val="00025277"/>
    <w:rsid w:val="0002527A"/>
    <w:rsid w:val="0002542C"/>
    <w:rsid w:val="00025523"/>
    <w:rsid w:val="00025585"/>
    <w:rsid w:val="0002567A"/>
    <w:rsid w:val="000256B0"/>
    <w:rsid w:val="000257E6"/>
    <w:rsid w:val="00025A3B"/>
    <w:rsid w:val="00025C38"/>
    <w:rsid w:val="00025D3F"/>
    <w:rsid w:val="00025DD8"/>
    <w:rsid w:val="00025ECF"/>
    <w:rsid w:val="00025F51"/>
    <w:rsid w:val="0002604E"/>
    <w:rsid w:val="00026207"/>
    <w:rsid w:val="00026303"/>
    <w:rsid w:val="000263F1"/>
    <w:rsid w:val="0002642E"/>
    <w:rsid w:val="00026590"/>
    <w:rsid w:val="00026638"/>
    <w:rsid w:val="000266EA"/>
    <w:rsid w:val="000268DE"/>
    <w:rsid w:val="00026905"/>
    <w:rsid w:val="0002692C"/>
    <w:rsid w:val="00026A29"/>
    <w:rsid w:val="00026A56"/>
    <w:rsid w:val="00026AE5"/>
    <w:rsid w:val="00026B0A"/>
    <w:rsid w:val="00026C6C"/>
    <w:rsid w:val="00026C87"/>
    <w:rsid w:val="00026CD3"/>
    <w:rsid w:val="00026D83"/>
    <w:rsid w:val="00026EC5"/>
    <w:rsid w:val="00026F91"/>
    <w:rsid w:val="00026FEF"/>
    <w:rsid w:val="000270B4"/>
    <w:rsid w:val="000270EA"/>
    <w:rsid w:val="00027111"/>
    <w:rsid w:val="00027122"/>
    <w:rsid w:val="0002718A"/>
    <w:rsid w:val="0002723D"/>
    <w:rsid w:val="00027247"/>
    <w:rsid w:val="000272CE"/>
    <w:rsid w:val="00027371"/>
    <w:rsid w:val="000273EF"/>
    <w:rsid w:val="00027436"/>
    <w:rsid w:val="000274D4"/>
    <w:rsid w:val="0002757F"/>
    <w:rsid w:val="000275AF"/>
    <w:rsid w:val="00027636"/>
    <w:rsid w:val="00027653"/>
    <w:rsid w:val="000276DD"/>
    <w:rsid w:val="00027732"/>
    <w:rsid w:val="0002775C"/>
    <w:rsid w:val="0002776D"/>
    <w:rsid w:val="00027780"/>
    <w:rsid w:val="000277B5"/>
    <w:rsid w:val="00027907"/>
    <w:rsid w:val="00027950"/>
    <w:rsid w:val="00027A1F"/>
    <w:rsid w:val="00027A65"/>
    <w:rsid w:val="00027B85"/>
    <w:rsid w:val="00027D5F"/>
    <w:rsid w:val="00027D65"/>
    <w:rsid w:val="00027D9F"/>
    <w:rsid w:val="00027DFB"/>
    <w:rsid w:val="00027E39"/>
    <w:rsid w:val="00030217"/>
    <w:rsid w:val="00030223"/>
    <w:rsid w:val="00030288"/>
    <w:rsid w:val="000303C0"/>
    <w:rsid w:val="0003045D"/>
    <w:rsid w:val="0003050F"/>
    <w:rsid w:val="0003069D"/>
    <w:rsid w:val="000306AE"/>
    <w:rsid w:val="000306AF"/>
    <w:rsid w:val="00030713"/>
    <w:rsid w:val="000308CF"/>
    <w:rsid w:val="00030999"/>
    <w:rsid w:val="00030A29"/>
    <w:rsid w:val="00030A3D"/>
    <w:rsid w:val="00030ABD"/>
    <w:rsid w:val="00030C71"/>
    <w:rsid w:val="00030CDB"/>
    <w:rsid w:val="00030D3C"/>
    <w:rsid w:val="00030DD7"/>
    <w:rsid w:val="00030EA8"/>
    <w:rsid w:val="00030ED9"/>
    <w:rsid w:val="000310DC"/>
    <w:rsid w:val="00031111"/>
    <w:rsid w:val="0003112D"/>
    <w:rsid w:val="00031137"/>
    <w:rsid w:val="00031167"/>
    <w:rsid w:val="00031185"/>
    <w:rsid w:val="000311FF"/>
    <w:rsid w:val="0003129B"/>
    <w:rsid w:val="000312D2"/>
    <w:rsid w:val="00031305"/>
    <w:rsid w:val="0003138B"/>
    <w:rsid w:val="0003146D"/>
    <w:rsid w:val="0003155E"/>
    <w:rsid w:val="000315C3"/>
    <w:rsid w:val="000315ED"/>
    <w:rsid w:val="000316B2"/>
    <w:rsid w:val="000316EE"/>
    <w:rsid w:val="00031753"/>
    <w:rsid w:val="00031828"/>
    <w:rsid w:val="000319A6"/>
    <w:rsid w:val="000319DA"/>
    <w:rsid w:val="00031A1D"/>
    <w:rsid w:val="00031EE8"/>
    <w:rsid w:val="00031FAA"/>
    <w:rsid w:val="00031FC3"/>
    <w:rsid w:val="000320FE"/>
    <w:rsid w:val="0003211F"/>
    <w:rsid w:val="000323A2"/>
    <w:rsid w:val="000324F6"/>
    <w:rsid w:val="0003256C"/>
    <w:rsid w:val="0003259C"/>
    <w:rsid w:val="000325A6"/>
    <w:rsid w:val="00032787"/>
    <w:rsid w:val="0003293F"/>
    <w:rsid w:val="00032985"/>
    <w:rsid w:val="00032AA0"/>
    <w:rsid w:val="00032ADB"/>
    <w:rsid w:val="00032B5B"/>
    <w:rsid w:val="00032D9C"/>
    <w:rsid w:val="00032DB1"/>
    <w:rsid w:val="00032DBC"/>
    <w:rsid w:val="00032DFB"/>
    <w:rsid w:val="00032E14"/>
    <w:rsid w:val="00032E25"/>
    <w:rsid w:val="00032E5D"/>
    <w:rsid w:val="00032F01"/>
    <w:rsid w:val="00032FB5"/>
    <w:rsid w:val="00033056"/>
    <w:rsid w:val="00033087"/>
    <w:rsid w:val="0003313E"/>
    <w:rsid w:val="00033211"/>
    <w:rsid w:val="000332EA"/>
    <w:rsid w:val="00033306"/>
    <w:rsid w:val="0003339E"/>
    <w:rsid w:val="000333E2"/>
    <w:rsid w:val="0003383A"/>
    <w:rsid w:val="0003389F"/>
    <w:rsid w:val="00033B0D"/>
    <w:rsid w:val="00033C38"/>
    <w:rsid w:val="00033E55"/>
    <w:rsid w:val="00033F39"/>
    <w:rsid w:val="00033F58"/>
    <w:rsid w:val="00033F86"/>
    <w:rsid w:val="00033FFE"/>
    <w:rsid w:val="00034085"/>
    <w:rsid w:val="0003409B"/>
    <w:rsid w:val="000342AB"/>
    <w:rsid w:val="000343C0"/>
    <w:rsid w:val="0003448B"/>
    <w:rsid w:val="000344CD"/>
    <w:rsid w:val="000345C5"/>
    <w:rsid w:val="000346EB"/>
    <w:rsid w:val="0003470F"/>
    <w:rsid w:val="000347A1"/>
    <w:rsid w:val="000347AD"/>
    <w:rsid w:val="00034866"/>
    <w:rsid w:val="0003487E"/>
    <w:rsid w:val="00034C9C"/>
    <w:rsid w:val="00034CB9"/>
    <w:rsid w:val="00034DE2"/>
    <w:rsid w:val="000350BD"/>
    <w:rsid w:val="0003519B"/>
    <w:rsid w:val="00035206"/>
    <w:rsid w:val="00035405"/>
    <w:rsid w:val="0003545C"/>
    <w:rsid w:val="000354DA"/>
    <w:rsid w:val="000354E2"/>
    <w:rsid w:val="0003559C"/>
    <w:rsid w:val="000355A9"/>
    <w:rsid w:val="000355EB"/>
    <w:rsid w:val="0003566B"/>
    <w:rsid w:val="000356A8"/>
    <w:rsid w:val="000356B1"/>
    <w:rsid w:val="00035823"/>
    <w:rsid w:val="00035827"/>
    <w:rsid w:val="00035938"/>
    <w:rsid w:val="00035957"/>
    <w:rsid w:val="000359D4"/>
    <w:rsid w:val="00035A98"/>
    <w:rsid w:val="00035AA8"/>
    <w:rsid w:val="00035B9D"/>
    <w:rsid w:val="00035C7E"/>
    <w:rsid w:val="00035D4F"/>
    <w:rsid w:val="00035D54"/>
    <w:rsid w:val="00035D6B"/>
    <w:rsid w:val="00035E55"/>
    <w:rsid w:val="00035EF5"/>
    <w:rsid w:val="00035EFA"/>
    <w:rsid w:val="00035F32"/>
    <w:rsid w:val="00035F95"/>
    <w:rsid w:val="00035FA1"/>
    <w:rsid w:val="0003601E"/>
    <w:rsid w:val="000362A2"/>
    <w:rsid w:val="000362CB"/>
    <w:rsid w:val="000363AA"/>
    <w:rsid w:val="000363AC"/>
    <w:rsid w:val="000363CB"/>
    <w:rsid w:val="00036488"/>
    <w:rsid w:val="00036566"/>
    <w:rsid w:val="000365A9"/>
    <w:rsid w:val="000365DA"/>
    <w:rsid w:val="000366A2"/>
    <w:rsid w:val="000366C5"/>
    <w:rsid w:val="00036808"/>
    <w:rsid w:val="0003681F"/>
    <w:rsid w:val="00036A58"/>
    <w:rsid w:val="00036A5E"/>
    <w:rsid w:val="00036AD0"/>
    <w:rsid w:val="00036AF6"/>
    <w:rsid w:val="00036B49"/>
    <w:rsid w:val="00036C47"/>
    <w:rsid w:val="00036D08"/>
    <w:rsid w:val="00036EC2"/>
    <w:rsid w:val="00036F40"/>
    <w:rsid w:val="00037188"/>
    <w:rsid w:val="000371F5"/>
    <w:rsid w:val="00037468"/>
    <w:rsid w:val="00037661"/>
    <w:rsid w:val="000376CC"/>
    <w:rsid w:val="00037720"/>
    <w:rsid w:val="00037847"/>
    <w:rsid w:val="000378A5"/>
    <w:rsid w:val="000379CD"/>
    <w:rsid w:val="00037A7A"/>
    <w:rsid w:val="00037ACE"/>
    <w:rsid w:val="00037B3E"/>
    <w:rsid w:val="00037B8E"/>
    <w:rsid w:val="00037C05"/>
    <w:rsid w:val="00037CCE"/>
    <w:rsid w:val="00037D21"/>
    <w:rsid w:val="00037DFF"/>
    <w:rsid w:val="00037F83"/>
    <w:rsid w:val="00037FE3"/>
    <w:rsid w:val="000400E2"/>
    <w:rsid w:val="00040113"/>
    <w:rsid w:val="00040516"/>
    <w:rsid w:val="000406A4"/>
    <w:rsid w:val="000406C0"/>
    <w:rsid w:val="000406C8"/>
    <w:rsid w:val="0004072E"/>
    <w:rsid w:val="000408FD"/>
    <w:rsid w:val="000408FF"/>
    <w:rsid w:val="0004098B"/>
    <w:rsid w:val="000409F1"/>
    <w:rsid w:val="00040A97"/>
    <w:rsid w:val="00040D15"/>
    <w:rsid w:val="00040DBA"/>
    <w:rsid w:val="00040E8C"/>
    <w:rsid w:val="00040EBC"/>
    <w:rsid w:val="00040FA2"/>
    <w:rsid w:val="00041100"/>
    <w:rsid w:val="00041214"/>
    <w:rsid w:val="00041292"/>
    <w:rsid w:val="000412C2"/>
    <w:rsid w:val="000414A4"/>
    <w:rsid w:val="0004153E"/>
    <w:rsid w:val="000415AC"/>
    <w:rsid w:val="000415F7"/>
    <w:rsid w:val="00041631"/>
    <w:rsid w:val="000416BA"/>
    <w:rsid w:val="00041860"/>
    <w:rsid w:val="00041C3B"/>
    <w:rsid w:val="00041CFE"/>
    <w:rsid w:val="00041D11"/>
    <w:rsid w:val="00041EF2"/>
    <w:rsid w:val="00041F5B"/>
    <w:rsid w:val="00042026"/>
    <w:rsid w:val="000420D7"/>
    <w:rsid w:val="000421FA"/>
    <w:rsid w:val="000422A1"/>
    <w:rsid w:val="0004241C"/>
    <w:rsid w:val="0004252C"/>
    <w:rsid w:val="00042550"/>
    <w:rsid w:val="00042668"/>
    <w:rsid w:val="0004277B"/>
    <w:rsid w:val="00042A39"/>
    <w:rsid w:val="00042A5F"/>
    <w:rsid w:val="00042A90"/>
    <w:rsid w:val="00042B20"/>
    <w:rsid w:val="00042B69"/>
    <w:rsid w:val="00042B6B"/>
    <w:rsid w:val="00042C3A"/>
    <w:rsid w:val="00042CCF"/>
    <w:rsid w:val="00042E04"/>
    <w:rsid w:val="00042E1D"/>
    <w:rsid w:val="00042F5D"/>
    <w:rsid w:val="00042F61"/>
    <w:rsid w:val="00043123"/>
    <w:rsid w:val="00043147"/>
    <w:rsid w:val="00043450"/>
    <w:rsid w:val="00043451"/>
    <w:rsid w:val="000434AA"/>
    <w:rsid w:val="000434DA"/>
    <w:rsid w:val="000434F9"/>
    <w:rsid w:val="0004355C"/>
    <w:rsid w:val="000435AE"/>
    <w:rsid w:val="0004376E"/>
    <w:rsid w:val="0004378A"/>
    <w:rsid w:val="00043812"/>
    <w:rsid w:val="00043894"/>
    <w:rsid w:val="000439C4"/>
    <w:rsid w:val="00043B13"/>
    <w:rsid w:val="00043BC7"/>
    <w:rsid w:val="00043BD4"/>
    <w:rsid w:val="00043E39"/>
    <w:rsid w:val="000440C9"/>
    <w:rsid w:val="0004412C"/>
    <w:rsid w:val="00044163"/>
    <w:rsid w:val="000442CA"/>
    <w:rsid w:val="000443D0"/>
    <w:rsid w:val="00044432"/>
    <w:rsid w:val="0004448A"/>
    <w:rsid w:val="000444A1"/>
    <w:rsid w:val="0004456D"/>
    <w:rsid w:val="00044846"/>
    <w:rsid w:val="00044903"/>
    <w:rsid w:val="00044B43"/>
    <w:rsid w:val="00044C9B"/>
    <w:rsid w:val="00044D20"/>
    <w:rsid w:val="00044E26"/>
    <w:rsid w:val="00044E37"/>
    <w:rsid w:val="00044FA3"/>
    <w:rsid w:val="00044FD8"/>
    <w:rsid w:val="000452EE"/>
    <w:rsid w:val="00045465"/>
    <w:rsid w:val="000454AF"/>
    <w:rsid w:val="000454C1"/>
    <w:rsid w:val="00045646"/>
    <w:rsid w:val="00045689"/>
    <w:rsid w:val="00045702"/>
    <w:rsid w:val="00045964"/>
    <w:rsid w:val="000459A8"/>
    <w:rsid w:val="00045A33"/>
    <w:rsid w:val="00045AD1"/>
    <w:rsid w:val="00045B84"/>
    <w:rsid w:val="00045C21"/>
    <w:rsid w:val="00045C78"/>
    <w:rsid w:val="00045C7A"/>
    <w:rsid w:val="00045CA5"/>
    <w:rsid w:val="00045D19"/>
    <w:rsid w:val="00045D8A"/>
    <w:rsid w:val="00045DFC"/>
    <w:rsid w:val="00045EB3"/>
    <w:rsid w:val="00045F55"/>
    <w:rsid w:val="00045F7A"/>
    <w:rsid w:val="00045FCF"/>
    <w:rsid w:val="00046062"/>
    <w:rsid w:val="00046084"/>
    <w:rsid w:val="000460A9"/>
    <w:rsid w:val="000460C2"/>
    <w:rsid w:val="000461EB"/>
    <w:rsid w:val="0004627E"/>
    <w:rsid w:val="000462F2"/>
    <w:rsid w:val="000463D7"/>
    <w:rsid w:val="00046423"/>
    <w:rsid w:val="00046493"/>
    <w:rsid w:val="000464B9"/>
    <w:rsid w:val="00046667"/>
    <w:rsid w:val="00046845"/>
    <w:rsid w:val="00046901"/>
    <w:rsid w:val="00046991"/>
    <w:rsid w:val="000469D9"/>
    <w:rsid w:val="00046AA5"/>
    <w:rsid w:val="00046ADE"/>
    <w:rsid w:val="00046B77"/>
    <w:rsid w:val="00046C6A"/>
    <w:rsid w:val="00046D9E"/>
    <w:rsid w:val="00046FFB"/>
    <w:rsid w:val="0004702C"/>
    <w:rsid w:val="000470E8"/>
    <w:rsid w:val="0004711B"/>
    <w:rsid w:val="00047155"/>
    <w:rsid w:val="000471E8"/>
    <w:rsid w:val="000473D4"/>
    <w:rsid w:val="000474A1"/>
    <w:rsid w:val="000477A5"/>
    <w:rsid w:val="000478AB"/>
    <w:rsid w:val="000479C9"/>
    <w:rsid w:val="00047B34"/>
    <w:rsid w:val="00047B6E"/>
    <w:rsid w:val="00047BDC"/>
    <w:rsid w:val="00047D28"/>
    <w:rsid w:val="00047E68"/>
    <w:rsid w:val="00050144"/>
    <w:rsid w:val="00050295"/>
    <w:rsid w:val="0005030B"/>
    <w:rsid w:val="00050334"/>
    <w:rsid w:val="00050409"/>
    <w:rsid w:val="000504AD"/>
    <w:rsid w:val="00050542"/>
    <w:rsid w:val="00050850"/>
    <w:rsid w:val="000508BD"/>
    <w:rsid w:val="000508DC"/>
    <w:rsid w:val="000509E1"/>
    <w:rsid w:val="00050A0A"/>
    <w:rsid w:val="00050A3A"/>
    <w:rsid w:val="00050C17"/>
    <w:rsid w:val="00050CB5"/>
    <w:rsid w:val="00050CB8"/>
    <w:rsid w:val="00050CEF"/>
    <w:rsid w:val="00050DEF"/>
    <w:rsid w:val="00050E66"/>
    <w:rsid w:val="00051265"/>
    <w:rsid w:val="00051292"/>
    <w:rsid w:val="000512F5"/>
    <w:rsid w:val="00051474"/>
    <w:rsid w:val="00051477"/>
    <w:rsid w:val="0005157B"/>
    <w:rsid w:val="000515B0"/>
    <w:rsid w:val="000516A6"/>
    <w:rsid w:val="0005177C"/>
    <w:rsid w:val="00051A1E"/>
    <w:rsid w:val="00051C69"/>
    <w:rsid w:val="00051C70"/>
    <w:rsid w:val="00051E34"/>
    <w:rsid w:val="00051E3B"/>
    <w:rsid w:val="00051EBD"/>
    <w:rsid w:val="00051FE3"/>
    <w:rsid w:val="000523FC"/>
    <w:rsid w:val="0005246C"/>
    <w:rsid w:val="000524BF"/>
    <w:rsid w:val="0005251B"/>
    <w:rsid w:val="00052548"/>
    <w:rsid w:val="00052A3D"/>
    <w:rsid w:val="00052B3E"/>
    <w:rsid w:val="00052D1E"/>
    <w:rsid w:val="00052D7E"/>
    <w:rsid w:val="00052E5F"/>
    <w:rsid w:val="00052FB3"/>
    <w:rsid w:val="0005301B"/>
    <w:rsid w:val="00053079"/>
    <w:rsid w:val="0005310B"/>
    <w:rsid w:val="00053217"/>
    <w:rsid w:val="0005334C"/>
    <w:rsid w:val="00053719"/>
    <w:rsid w:val="00053733"/>
    <w:rsid w:val="00053949"/>
    <w:rsid w:val="00053A28"/>
    <w:rsid w:val="00053B29"/>
    <w:rsid w:val="00053C1E"/>
    <w:rsid w:val="00053C98"/>
    <w:rsid w:val="00053CBB"/>
    <w:rsid w:val="00053D22"/>
    <w:rsid w:val="00053D74"/>
    <w:rsid w:val="00053F01"/>
    <w:rsid w:val="00053FE3"/>
    <w:rsid w:val="0005438A"/>
    <w:rsid w:val="0005438F"/>
    <w:rsid w:val="000543A1"/>
    <w:rsid w:val="00054420"/>
    <w:rsid w:val="0005449A"/>
    <w:rsid w:val="00054588"/>
    <w:rsid w:val="000547B4"/>
    <w:rsid w:val="000547D3"/>
    <w:rsid w:val="000548A6"/>
    <w:rsid w:val="000549B9"/>
    <w:rsid w:val="00054A73"/>
    <w:rsid w:val="00054A8D"/>
    <w:rsid w:val="00054B5E"/>
    <w:rsid w:val="00054BC1"/>
    <w:rsid w:val="00054D50"/>
    <w:rsid w:val="00054D6A"/>
    <w:rsid w:val="00054DA1"/>
    <w:rsid w:val="00054E22"/>
    <w:rsid w:val="00054E30"/>
    <w:rsid w:val="00054EAC"/>
    <w:rsid w:val="00054F1F"/>
    <w:rsid w:val="00054F51"/>
    <w:rsid w:val="00054FA7"/>
    <w:rsid w:val="0005508E"/>
    <w:rsid w:val="000550AC"/>
    <w:rsid w:val="00055164"/>
    <w:rsid w:val="0005523F"/>
    <w:rsid w:val="000553DD"/>
    <w:rsid w:val="000554A7"/>
    <w:rsid w:val="00055524"/>
    <w:rsid w:val="0005556D"/>
    <w:rsid w:val="000555E3"/>
    <w:rsid w:val="000557F8"/>
    <w:rsid w:val="00055841"/>
    <w:rsid w:val="00055994"/>
    <w:rsid w:val="00055A9D"/>
    <w:rsid w:val="00055B09"/>
    <w:rsid w:val="00055B2A"/>
    <w:rsid w:val="00055B72"/>
    <w:rsid w:val="00055C0E"/>
    <w:rsid w:val="00055DD0"/>
    <w:rsid w:val="00055E6E"/>
    <w:rsid w:val="00055EF1"/>
    <w:rsid w:val="00055F0C"/>
    <w:rsid w:val="00055F3F"/>
    <w:rsid w:val="00056072"/>
    <w:rsid w:val="000560B8"/>
    <w:rsid w:val="00056118"/>
    <w:rsid w:val="00056196"/>
    <w:rsid w:val="00056365"/>
    <w:rsid w:val="00056411"/>
    <w:rsid w:val="0005642B"/>
    <w:rsid w:val="00056475"/>
    <w:rsid w:val="000564AC"/>
    <w:rsid w:val="000564FA"/>
    <w:rsid w:val="0005681C"/>
    <w:rsid w:val="0005681F"/>
    <w:rsid w:val="00056852"/>
    <w:rsid w:val="0005693D"/>
    <w:rsid w:val="000569AD"/>
    <w:rsid w:val="00056C32"/>
    <w:rsid w:val="00056C76"/>
    <w:rsid w:val="00056CCF"/>
    <w:rsid w:val="00056D2D"/>
    <w:rsid w:val="00056DE9"/>
    <w:rsid w:val="00056EE6"/>
    <w:rsid w:val="00056F6B"/>
    <w:rsid w:val="00056F96"/>
    <w:rsid w:val="00056FF3"/>
    <w:rsid w:val="00056FF8"/>
    <w:rsid w:val="000570F0"/>
    <w:rsid w:val="000572E2"/>
    <w:rsid w:val="0005731D"/>
    <w:rsid w:val="00057367"/>
    <w:rsid w:val="000573AE"/>
    <w:rsid w:val="000573D0"/>
    <w:rsid w:val="000574A1"/>
    <w:rsid w:val="00057536"/>
    <w:rsid w:val="000575D4"/>
    <w:rsid w:val="000575D5"/>
    <w:rsid w:val="0005770C"/>
    <w:rsid w:val="00057815"/>
    <w:rsid w:val="000578F3"/>
    <w:rsid w:val="00057917"/>
    <w:rsid w:val="0005793C"/>
    <w:rsid w:val="00057AC7"/>
    <w:rsid w:val="00057C1B"/>
    <w:rsid w:val="00057CEA"/>
    <w:rsid w:val="00057FF2"/>
    <w:rsid w:val="00060132"/>
    <w:rsid w:val="00060142"/>
    <w:rsid w:val="0006020A"/>
    <w:rsid w:val="0006024F"/>
    <w:rsid w:val="00060253"/>
    <w:rsid w:val="0006033A"/>
    <w:rsid w:val="0006033E"/>
    <w:rsid w:val="0006037A"/>
    <w:rsid w:val="0006046F"/>
    <w:rsid w:val="00060485"/>
    <w:rsid w:val="000604FB"/>
    <w:rsid w:val="00060545"/>
    <w:rsid w:val="00060630"/>
    <w:rsid w:val="00060B3B"/>
    <w:rsid w:val="00060BC1"/>
    <w:rsid w:val="00060DB7"/>
    <w:rsid w:val="00060E17"/>
    <w:rsid w:val="00060FA1"/>
    <w:rsid w:val="00060FFA"/>
    <w:rsid w:val="00061037"/>
    <w:rsid w:val="00061111"/>
    <w:rsid w:val="0006115D"/>
    <w:rsid w:val="000611CA"/>
    <w:rsid w:val="000612E7"/>
    <w:rsid w:val="000613F4"/>
    <w:rsid w:val="00061404"/>
    <w:rsid w:val="00061455"/>
    <w:rsid w:val="0006151A"/>
    <w:rsid w:val="0006161F"/>
    <w:rsid w:val="0006163C"/>
    <w:rsid w:val="0006163D"/>
    <w:rsid w:val="00061AF8"/>
    <w:rsid w:val="00061B2B"/>
    <w:rsid w:val="00061BC6"/>
    <w:rsid w:val="00061C3B"/>
    <w:rsid w:val="00061C42"/>
    <w:rsid w:val="00061F1B"/>
    <w:rsid w:val="00061F40"/>
    <w:rsid w:val="00061F4B"/>
    <w:rsid w:val="0006204B"/>
    <w:rsid w:val="000620BE"/>
    <w:rsid w:val="00062151"/>
    <w:rsid w:val="00062279"/>
    <w:rsid w:val="0006233C"/>
    <w:rsid w:val="00062352"/>
    <w:rsid w:val="00062497"/>
    <w:rsid w:val="0006255F"/>
    <w:rsid w:val="00062567"/>
    <w:rsid w:val="0006259A"/>
    <w:rsid w:val="0006268A"/>
    <w:rsid w:val="00062772"/>
    <w:rsid w:val="000627E5"/>
    <w:rsid w:val="0006288B"/>
    <w:rsid w:val="00062950"/>
    <w:rsid w:val="00062957"/>
    <w:rsid w:val="000629A0"/>
    <w:rsid w:val="000629D8"/>
    <w:rsid w:val="000629FC"/>
    <w:rsid w:val="00062AEE"/>
    <w:rsid w:val="00062B3E"/>
    <w:rsid w:val="00062B4E"/>
    <w:rsid w:val="00062C46"/>
    <w:rsid w:val="00062D00"/>
    <w:rsid w:val="00062F69"/>
    <w:rsid w:val="00062FBE"/>
    <w:rsid w:val="00062FC4"/>
    <w:rsid w:val="00063185"/>
    <w:rsid w:val="000632A1"/>
    <w:rsid w:val="000632EE"/>
    <w:rsid w:val="00063307"/>
    <w:rsid w:val="000633F1"/>
    <w:rsid w:val="00063451"/>
    <w:rsid w:val="00063484"/>
    <w:rsid w:val="00063715"/>
    <w:rsid w:val="00063973"/>
    <w:rsid w:val="00063A24"/>
    <w:rsid w:val="00063A91"/>
    <w:rsid w:val="00063AC2"/>
    <w:rsid w:val="00063ACC"/>
    <w:rsid w:val="00063C03"/>
    <w:rsid w:val="00063C23"/>
    <w:rsid w:val="00063C5D"/>
    <w:rsid w:val="00063E54"/>
    <w:rsid w:val="00063E92"/>
    <w:rsid w:val="00063EF3"/>
    <w:rsid w:val="00064050"/>
    <w:rsid w:val="000643AB"/>
    <w:rsid w:val="000643CE"/>
    <w:rsid w:val="000643DD"/>
    <w:rsid w:val="0006445C"/>
    <w:rsid w:val="000644A2"/>
    <w:rsid w:val="000644D4"/>
    <w:rsid w:val="00064817"/>
    <w:rsid w:val="00064891"/>
    <w:rsid w:val="000649CA"/>
    <w:rsid w:val="00064C67"/>
    <w:rsid w:val="00064E89"/>
    <w:rsid w:val="00064EAC"/>
    <w:rsid w:val="00064F18"/>
    <w:rsid w:val="00064F2C"/>
    <w:rsid w:val="00065002"/>
    <w:rsid w:val="0006504F"/>
    <w:rsid w:val="00065157"/>
    <w:rsid w:val="0006523E"/>
    <w:rsid w:val="00065381"/>
    <w:rsid w:val="00065461"/>
    <w:rsid w:val="00065484"/>
    <w:rsid w:val="0006553E"/>
    <w:rsid w:val="00065555"/>
    <w:rsid w:val="00065593"/>
    <w:rsid w:val="000655ED"/>
    <w:rsid w:val="000656C8"/>
    <w:rsid w:val="00065700"/>
    <w:rsid w:val="00065746"/>
    <w:rsid w:val="0006576C"/>
    <w:rsid w:val="0006589E"/>
    <w:rsid w:val="000658E0"/>
    <w:rsid w:val="000658F0"/>
    <w:rsid w:val="000659DC"/>
    <w:rsid w:val="00065B92"/>
    <w:rsid w:val="00065CDE"/>
    <w:rsid w:val="00065CE1"/>
    <w:rsid w:val="00065E41"/>
    <w:rsid w:val="00065EC9"/>
    <w:rsid w:val="00066042"/>
    <w:rsid w:val="000661B7"/>
    <w:rsid w:val="00066209"/>
    <w:rsid w:val="0006622E"/>
    <w:rsid w:val="00066494"/>
    <w:rsid w:val="0006650C"/>
    <w:rsid w:val="00066630"/>
    <w:rsid w:val="0006671A"/>
    <w:rsid w:val="00066789"/>
    <w:rsid w:val="00066807"/>
    <w:rsid w:val="000668A8"/>
    <w:rsid w:val="00066936"/>
    <w:rsid w:val="00066A3B"/>
    <w:rsid w:val="00066C1D"/>
    <w:rsid w:val="00066CDF"/>
    <w:rsid w:val="00066DFE"/>
    <w:rsid w:val="00066EBB"/>
    <w:rsid w:val="00066F1A"/>
    <w:rsid w:val="00066F75"/>
    <w:rsid w:val="00066FC4"/>
    <w:rsid w:val="00067084"/>
    <w:rsid w:val="00067155"/>
    <w:rsid w:val="0006722F"/>
    <w:rsid w:val="00067309"/>
    <w:rsid w:val="000673E1"/>
    <w:rsid w:val="00067439"/>
    <w:rsid w:val="00067564"/>
    <w:rsid w:val="000675F0"/>
    <w:rsid w:val="00067623"/>
    <w:rsid w:val="00067707"/>
    <w:rsid w:val="00067725"/>
    <w:rsid w:val="000677B5"/>
    <w:rsid w:val="000677FD"/>
    <w:rsid w:val="00067975"/>
    <w:rsid w:val="00067980"/>
    <w:rsid w:val="000679E3"/>
    <w:rsid w:val="000679E4"/>
    <w:rsid w:val="00067B6C"/>
    <w:rsid w:val="00067C6E"/>
    <w:rsid w:val="00067C97"/>
    <w:rsid w:val="00067D60"/>
    <w:rsid w:val="00067DD1"/>
    <w:rsid w:val="00067DFD"/>
    <w:rsid w:val="00067E44"/>
    <w:rsid w:val="00067F3C"/>
    <w:rsid w:val="000700D1"/>
    <w:rsid w:val="000701A3"/>
    <w:rsid w:val="000701AD"/>
    <w:rsid w:val="000701F7"/>
    <w:rsid w:val="00070260"/>
    <w:rsid w:val="00070290"/>
    <w:rsid w:val="00070315"/>
    <w:rsid w:val="00070405"/>
    <w:rsid w:val="00070425"/>
    <w:rsid w:val="000704A6"/>
    <w:rsid w:val="00070508"/>
    <w:rsid w:val="00070584"/>
    <w:rsid w:val="000706DB"/>
    <w:rsid w:val="000707BE"/>
    <w:rsid w:val="0007087C"/>
    <w:rsid w:val="000709CB"/>
    <w:rsid w:val="00070BAB"/>
    <w:rsid w:val="00070DF9"/>
    <w:rsid w:val="00070E26"/>
    <w:rsid w:val="00070E3F"/>
    <w:rsid w:val="00070E55"/>
    <w:rsid w:val="00070EF9"/>
    <w:rsid w:val="00070F2C"/>
    <w:rsid w:val="00070F42"/>
    <w:rsid w:val="00070F4A"/>
    <w:rsid w:val="00070FFA"/>
    <w:rsid w:val="00071032"/>
    <w:rsid w:val="000710E1"/>
    <w:rsid w:val="00071134"/>
    <w:rsid w:val="00071170"/>
    <w:rsid w:val="00071313"/>
    <w:rsid w:val="00071345"/>
    <w:rsid w:val="00071574"/>
    <w:rsid w:val="00071601"/>
    <w:rsid w:val="00071639"/>
    <w:rsid w:val="00071780"/>
    <w:rsid w:val="00071A50"/>
    <w:rsid w:val="00071CDE"/>
    <w:rsid w:val="00071CE1"/>
    <w:rsid w:val="00071DC8"/>
    <w:rsid w:val="00071E64"/>
    <w:rsid w:val="00071EA5"/>
    <w:rsid w:val="000720E1"/>
    <w:rsid w:val="00072442"/>
    <w:rsid w:val="0007249B"/>
    <w:rsid w:val="000724C2"/>
    <w:rsid w:val="000725D7"/>
    <w:rsid w:val="00072617"/>
    <w:rsid w:val="00072631"/>
    <w:rsid w:val="00072676"/>
    <w:rsid w:val="000726B3"/>
    <w:rsid w:val="000727C2"/>
    <w:rsid w:val="000727D1"/>
    <w:rsid w:val="00072925"/>
    <w:rsid w:val="0007296C"/>
    <w:rsid w:val="000729B9"/>
    <w:rsid w:val="00072AAF"/>
    <w:rsid w:val="00072C93"/>
    <w:rsid w:val="00072D5F"/>
    <w:rsid w:val="00072D71"/>
    <w:rsid w:val="00072DDE"/>
    <w:rsid w:val="00072DE2"/>
    <w:rsid w:val="00072ED6"/>
    <w:rsid w:val="00072EFE"/>
    <w:rsid w:val="0007303C"/>
    <w:rsid w:val="000730BC"/>
    <w:rsid w:val="0007313E"/>
    <w:rsid w:val="00073241"/>
    <w:rsid w:val="00073299"/>
    <w:rsid w:val="00073364"/>
    <w:rsid w:val="0007344A"/>
    <w:rsid w:val="0007355F"/>
    <w:rsid w:val="0007387E"/>
    <w:rsid w:val="000738C9"/>
    <w:rsid w:val="000738FF"/>
    <w:rsid w:val="0007392C"/>
    <w:rsid w:val="0007397F"/>
    <w:rsid w:val="00073999"/>
    <w:rsid w:val="000739CC"/>
    <w:rsid w:val="000739EB"/>
    <w:rsid w:val="000739ED"/>
    <w:rsid w:val="00073A41"/>
    <w:rsid w:val="00073A74"/>
    <w:rsid w:val="00073ACF"/>
    <w:rsid w:val="00073AED"/>
    <w:rsid w:val="00073B3C"/>
    <w:rsid w:val="00073C4A"/>
    <w:rsid w:val="00073CBA"/>
    <w:rsid w:val="00073CC4"/>
    <w:rsid w:val="0007401F"/>
    <w:rsid w:val="000740D6"/>
    <w:rsid w:val="000741F1"/>
    <w:rsid w:val="00074272"/>
    <w:rsid w:val="000742FC"/>
    <w:rsid w:val="00074314"/>
    <w:rsid w:val="00074385"/>
    <w:rsid w:val="00074540"/>
    <w:rsid w:val="00074559"/>
    <w:rsid w:val="0007477A"/>
    <w:rsid w:val="00074874"/>
    <w:rsid w:val="00074A5A"/>
    <w:rsid w:val="00074D2B"/>
    <w:rsid w:val="00074F19"/>
    <w:rsid w:val="000750C0"/>
    <w:rsid w:val="0007515C"/>
    <w:rsid w:val="000751B2"/>
    <w:rsid w:val="00075431"/>
    <w:rsid w:val="000755B7"/>
    <w:rsid w:val="00075875"/>
    <w:rsid w:val="00075938"/>
    <w:rsid w:val="00075ABB"/>
    <w:rsid w:val="00075AD2"/>
    <w:rsid w:val="00075BA6"/>
    <w:rsid w:val="00075BEF"/>
    <w:rsid w:val="00075C54"/>
    <w:rsid w:val="00075D99"/>
    <w:rsid w:val="00075FE9"/>
    <w:rsid w:val="00076085"/>
    <w:rsid w:val="00076109"/>
    <w:rsid w:val="0007614F"/>
    <w:rsid w:val="000761E9"/>
    <w:rsid w:val="0007635B"/>
    <w:rsid w:val="00076405"/>
    <w:rsid w:val="0007656C"/>
    <w:rsid w:val="000766A3"/>
    <w:rsid w:val="0007676E"/>
    <w:rsid w:val="000767BA"/>
    <w:rsid w:val="0007684E"/>
    <w:rsid w:val="000768E2"/>
    <w:rsid w:val="000768F5"/>
    <w:rsid w:val="00076B03"/>
    <w:rsid w:val="00076B7A"/>
    <w:rsid w:val="00076DDE"/>
    <w:rsid w:val="00076DE8"/>
    <w:rsid w:val="00076FED"/>
    <w:rsid w:val="000770A4"/>
    <w:rsid w:val="000770B1"/>
    <w:rsid w:val="000770C3"/>
    <w:rsid w:val="00077263"/>
    <w:rsid w:val="00077300"/>
    <w:rsid w:val="0007765A"/>
    <w:rsid w:val="0007780A"/>
    <w:rsid w:val="000778D8"/>
    <w:rsid w:val="00077932"/>
    <w:rsid w:val="0007794A"/>
    <w:rsid w:val="00077A14"/>
    <w:rsid w:val="00077B2F"/>
    <w:rsid w:val="00077B3A"/>
    <w:rsid w:val="00077C99"/>
    <w:rsid w:val="00077D69"/>
    <w:rsid w:val="00077DDF"/>
    <w:rsid w:val="00077E14"/>
    <w:rsid w:val="00077EB1"/>
    <w:rsid w:val="00077F50"/>
    <w:rsid w:val="0008029C"/>
    <w:rsid w:val="000802AB"/>
    <w:rsid w:val="0008035E"/>
    <w:rsid w:val="0008041B"/>
    <w:rsid w:val="00080476"/>
    <w:rsid w:val="00080632"/>
    <w:rsid w:val="00080975"/>
    <w:rsid w:val="0008098E"/>
    <w:rsid w:val="00080997"/>
    <w:rsid w:val="00080A4D"/>
    <w:rsid w:val="00080B5E"/>
    <w:rsid w:val="00080B81"/>
    <w:rsid w:val="00080DE0"/>
    <w:rsid w:val="00080E29"/>
    <w:rsid w:val="00080F62"/>
    <w:rsid w:val="00080F75"/>
    <w:rsid w:val="00081044"/>
    <w:rsid w:val="00081075"/>
    <w:rsid w:val="00081200"/>
    <w:rsid w:val="00081201"/>
    <w:rsid w:val="0008139C"/>
    <w:rsid w:val="000813FF"/>
    <w:rsid w:val="0008154D"/>
    <w:rsid w:val="0008161A"/>
    <w:rsid w:val="0008166F"/>
    <w:rsid w:val="000819E0"/>
    <w:rsid w:val="00081A09"/>
    <w:rsid w:val="00081A1C"/>
    <w:rsid w:val="00081B33"/>
    <w:rsid w:val="00081CB8"/>
    <w:rsid w:val="00081DCB"/>
    <w:rsid w:val="00081E09"/>
    <w:rsid w:val="00081E39"/>
    <w:rsid w:val="00081EA0"/>
    <w:rsid w:val="00081F58"/>
    <w:rsid w:val="00081F89"/>
    <w:rsid w:val="0008203E"/>
    <w:rsid w:val="000820B7"/>
    <w:rsid w:val="00082322"/>
    <w:rsid w:val="000825D9"/>
    <w:rsid w:val="00082736"/>
    <w:rsid w:val="00082991"/>
    <w:rsid w:val="00082AE8"/>
    <w:rsid w:val="00082D13"/>
    <w:rsid w:val="00082D1A"/>
    <w:rsid w:val="00082DB3"/>
    <w:rsid w:val="00082EC4"/>
    <w:rsid w:val="000830B3"/>
    <w:rsid w:val="0008326D"/>
    <w:rsid w:val="00083285"/>
    <w:rsid w:val="000832D0"/>
    <w:rsid w:val="00083348"/>
    <w:rsid w:val="000834AE"/>
    <w:rsid w:val="000834DA"/>
    <w:rsid w:val="0008350E"/>
    <w:rsid w:val="000835C8"/>
    <w:rsid w:val="0008367D"/>
    <w:rsid w:val="00083681"/>
    <w:rsid w:val="00083686"/>
    <w:rsid w:val="0008382A"/>
    <w:rsid w:val="000839CA"/>
    <w:rsid w:val="00083A06"/>
    <w:rsid w:val="00083AD3"/>
    <w:rsid w:val="00083B25"/>
    <w:rsid w:val="00083B3C"/>
    <w:rsid w:val="00083C15"/>
    <w:rsid w:val="00083C19"/>
    <w:rsid w:val="00083CFD"/>
    <w:rsid w:val="00083DE8"/>
    <w:rsid w:val="00083E42"/>
    <w:rsid w:val="00083FA5"/>
    <w:rsid w:val="00083FE0"/>
    <w:rsid w:val="0008401C"/>
    <w:rsid w:val="000842A8"/>
    <w:rsid w:val="000842AE"/>
    <w:rsid w:val="000843E2"/>
    <w:rsid w:val="00084481"/>
    <w:rsid w:val="00084504"/>
    <w:rsid w:val="000845E0"/>
    <w:rsid w:val="000846E5"/>
    <w:rsid w:val="00084789"/>
    <w:rsid w:val="00084934"/>
    <w:rsid w:val="00084A3C"/>
    <w:rsid w:val="00084AC3"/>
    <w:rsid w:val="00084BAE"/>
    <w:rsid w:val="00084C20"/>
    <w:rsid w:val="00084CEA"/>
    <w:rsid w:val="00084E1E"/>
    <w:rsid w:val="00084EDA"/>
    <w:rsid w:val="00084F12"/>
    <w:rsid w:val="00084F91"/>
    <w:rsid w:val="00085082"/>
    <w:rsid w:val="0008508A"/>
    <w:rsid w:val="00085096"/>
    <w:rsid w:val="0008509A"/>
    <w:rsid w:val="000850D6"/>
    <w:rsid w:val="00085271"/>
    <w:rsid w:val="00085412"/>
    <w:rsid w:val="0008547C"/>
    <w:rsid w:val="000855EF"/>
    <w:rsid w:val="00085604"/>
    <w:rsid w:val="000858FC"/>
    <w:rsid w:val="00085AB1"/>
    <w:rsid w:val="00085C85"/>
    <w:rsid w:val="00085C8A"/>
    <w:rsid w:val="00085CCC"/>
    <w:rsid w:val="00085DFC"/>
    <w:rsid w:val="00085F0F"/>
    <w:rsid w:val="00085F71"/>
    <w:rsid w:val="00085FA7"/>
    <w:rsid w:val="000862A9"/>
    <w:rsid w:val="000862E6"/>
    <w:rsid w:val="000865CD"/>
    <w:rsid w:val="00086751"/>
    <w:rsid w:val="00086891"/>
    <w:rsid w:val="000868B1"/>
    <w:rsid w:val="000869EE"/>
    <w:rsid w:val="00086A28"/>
    <w:rsid w:val="00086A84"/>
    <w:rsid w:val="00086C22"/>
    <w:rsid w:val="00086C62"/>
    <w:rsid w:val="00086E52"/>
    <w:rsid w:val="00086EE3"/>
    <w:rsid w:val="00086F0E"/>
    <w:rsid w:val="0008706F"/>
    <w:rsid w:val="0008712A"/>
    <w:rsid w:val="00087292"/>
    <w:rsid w:val="00087305"/>
    <w:rsid w:val="00087308"/>
    <w:rsid w:val="0008744B"/>
    <w:rsid w:val="000874FB"/>
    <w:rsid w:val="00087531"/>
    <w:rsid w:val="0008758B"/>
    <w:rsid w:val="000876F8"/>
    <w:rsid w:val="000878B2"/>
    <w:rsid w:val="00087988"/>
    <w:rsid w:val="000879E6"/>
    <w:rsid w:val="00087A17"/>
    <w:rsid w:val="00087BE8"/>
    <w:rsid w:val="00087C27"/>
    <w:rsid w:val="00087CB9"/>
    <w:rsid w:val="00087E9B"/>
    <w:rsid w:val="00087EA3"/>
    <w:rsid w:val="00087EFF"/>
    <w:rsid w:val="00087F8B"/>
    <w:rsid w:val="00087FD0"/>
    <w:rsid w:val="0009005A"/>
    <w:rsid w:val="00090095"/>
    <w:rsid w:val="00090107"/>
    <w:rsid w:val="000901E8"/>
    <w:rsid w:val="000901F1"/>
    <w:rsid w:val="00090275"/>
    <w:rsid w:val="00090404"/>
    <w:rsid w:val="00090420"/>
    <w:rsid w:val="00090538"/>
    <w:rsid w:val="00090675"/>
    <w:rsid w:val="00090726"/>
    <w:rsid w:val="0009093D"/>
    <w:rsid w:val="00090B2F"/>
    <w:rsid w:val="00090B61"/>
    <w:rsid w:val="00090CBE"/>
    <w:rsid w:val="00091052"/>
    <w:rsid w:val="0009114E"/>
    <w:rsid w:val="0009127C"/>
    <w:rsid w:val="00091444"/>
    <w:rsid w:val="000914BD"/>
    <w:rsid w:val="00091521"/>
    <w:rsid w:val="000917D0"/>
    <w:rsid w:val="00091A62"/>
    <w:rsid w:val="00091B5C"/>
    <w:rsid w:val="00091CB4"/>
    <w:rsid w:val="00091D6D"/>
    <w:rsid w:val="00091F52"/>
    <w:rsid w:val="00091FF7"/>
    <w:rsid w:val="0009203F"/>
    <w:rsid w:val="000920D1"/>
    <w:rsid w:val="000922D2"/>
    <w:rsid w:val="0009234D"/>
    <w:rsid w:val="0009244F"/>
    <w:rsid w:val="00092540"/>
    <w:rsid w:val="000925CD"/>
    <w:rsid w:val="00092674"/>
    <w:rsid w:val="000926D5"/>
    <w:rsid w:val="0009276B"/>
    <w:rsid w:val="0009277E"/>
    <w:rsid w:val="00092975"/>
    <w:rsid w:val="00092A0F"/>
    <w:rsid w:val="00092A5D"/>
    <w:rsid w:val="00092BB1"/>
    <w:rsid w:val="00092F00"/>
    <w:rsid w:val="00093089"/>
    <w:rsid w:val="00093487"/>
    <w:rsid w:val="000934B3"/>
    <w:rsid w:val="000934C4"/>
    <w:rsid w:val="000936C7"/>
    <w:rsid w:val="00093769"/>
    <w:rsid w:val="0009377A"/>
    <w:rsid w:val="000938DD"/>
    <w:rsid w:val="00093923"/>
    <w:rsid w:val="00093966"/>
    <w:rsid w:val="00093A15"/>
    <w:rsid w:val="00093F2E"/>
    <w:rsid w:val="00093F74"/>
    <w:rsid w:val="00094023"/>
    <w:rsid w:val="00094193"/>
    <w:rsid w:val="000942BE"/>
    <w:rsid w:val="00094555"/>
    <w:rsid w:val="00094826"/>
    <w:rsid w:val="00094869"/>
    <w:rsid w:val="000948A8"/>
    <w:rsid w:val="00094A3D"/>
    <w:rsid w:val="00094A5A"/>
    <w:rsid w:val="00094B45"/>
    <w:rsid w:val="00094B6C"/>
    <w:rsid w:val="00094C94"/>
    <w:rsid w:val="00094D24"/>
    <w:rsid w:val="00094D4F"/>
    <w:rsid w:val="00094D5A"/>
    <w:rsid w:val="00094D93"/>
    <w:rsid w:val="00094D96"/>
    <w:rsid w:val="00094E2A"/>
    <w:rsid w:val="00094EC6"/>
    <w:rsid w:val="00094FB3"/>
    <w:rsid w:val="0009502C"/>
    <w:rsid w:val="00095288"/>
    <w:rsid w:val="000952A4"/>
    <w:rsid w:val="0009552D"/>
    <w:rsid w:val="0009555F"/>
    <w:rsid w:val="00095796"/>
    <w:rsid w:val="00095884"/>
    <w:rsid w:val="00095936"/>
    <w:rsid w:val="00095AED"/>
    <w:rsid w:val="00095B86"/>
    <w:rsid w:val="00095BA1"/>
    <w:rsid w:val="00095CEB"/>
    <w:rsid w:val="00095D4A"/>
    <w:rsid w:val="00095DEB"/>
    <w:rsid w:val="00095E76"/>
    <w:rsid w:val="00095F8E"/>
    <w:rsid w:val="00095F97"/>
    <w:rsid w:val="00095FED"/>
    <w:rsid w:val="0009604F"/>
    <w:rsid w:val="00096225"/>
    <w:rsid w:val="0009628D"/>
    <w:rsid w:val="0009635B"/>
    <w:rsid w:val="00096363"/>
    <w:rsid w:val="000963BD"/>
    <w:rsid w:val="000963D5"/>
    <w:rsid w:val="000964E4"/>
    <w:rsid w:val="000966AF"/>
    <w:rsid w:val="00096781"/>
    <w:rsid w:val="00096839"/>
    <w:rsid w:val="0009687E"/>
    <w:rsid w:val="000968B3"/>
    <w:rsid w:val="000968F9"/>
    <w:rsid w:val="000969FA"/>
    <w:rsid w:val="00096AA8"/>
    <w:rsid w:val="00096B23"/>
    <w:rsid w:val="00096C1F"/>
    <w:rsid w:val="00096C35"/>
    <w:rsid w:val="00096C72"/>
    <w:rsid w:val="00096D0E"/>
    <w:rsid w:val="0009712E"/>
    <w:rsid w:val="0009717B"/>
    <w:rsid w:val="000971D5"/>
    <w:rsid w:val="000972EF"/>
    <w:rsid w:val="00097345"/>
    <w:rsid w:val="0009738B"/>
    <w:rsid w:val="0009744B"/>
    <w:rsid w:val="00097488"/>
    <w:rsid w:val="0009756B"/>
    <w:rsid w:val="0009758E"/>
    <w:rsid w:val="00097755"/>
    <w:rsid w:val="0009775E"/>
    <w:rsid w:val="00097806"/>
    <w:rsid w:val="0009795D"/>
    <w:rsid w:val="00097A86"/>
    <w:rsid w:val="00097C9A"/>
    <w:rsid w:val="00097CB0"/>
    <w:rsid w:val="00097FE2"/>
    <w:rsid w:val="000A0148"/>
    <w:rsid w:val="000A01C4"/>
    <w:rsid w:val="000A02C2"/>
    <w:rsid w:val="000A02C9"/>
    <w:rsid w:val="000A02CC"/>
    <w:rsid w:val="000A02D5"/>
    <w:rsid w:val="000A03F9"/>
    <w:rsid w:val="000A05CF"/>
    <w:rsid w:val="000A0617"/>
    <w:rsid w:val="000A0840"/>
    <w:rsid w:val="000A0B0B"/>
    <w:rsid w:val="000A0CAE"/>
    <w:rsid w:val="000A0E8D"/>
    <w:rsid w:val="000A0F04"/>
    <w:rsid w:val="000A0FDA"/>
    <w:rsid w:val="000A10C3"/>
    <w:rsid w:val="000A1107"/>
    <w:rsid w:val="000A1110"/>
    <w:rsid w:val="000A1111"/>
    <w:rsid w:val="000A124B"/>
    <w:rsid w:val="000A1290"/>
    <w:rsid w:val="000A12C6"/>
    <w:rsid w:val="000A12C7"/>
    <w:rsid w:val="000A12FB"/>
    <w:rsid w:val="000A151E"/>
    <w:rsid w:val="000A169C"/>
    <w:rsid w:val="000A16D3"/>
    <w:rsid w:val="000A179A"/>
    <w:rsid w:val="000A17E2"/>
    <w:rsid w:val="000A18A3"/>
    <w:rsid w:val="000A18BB"/>
    <w:rsid w:val="000A1A31"/>
    <w:rsid w:val="000A1A42"/>
    <w:rsid w:val="000A1C9B"/>
    <w:rsid w:val="000A1CDD"/>
    <w:rsid w:val="000A1D1B"/>
    <w:rsid w:val="000A1DE7"/>
    <w:rsid w:val="000A1EDA"/>
    <w:rsid w:val="000A1FB8"/>
    <w:rsid w:val="000A206A"/>
    <w:rsid w:val="000A206F"/>
    <w:rsid w:val="000A2216"/>
    <w:rsid w:val="000A2251"/>
    <w:rsid w:val="000A23A8"/>
    <w:rsid w:val="000A24B5"/>
    <w:rsid w:val="000A2A0F"/>
    <w:rsid w:val="000A2A75"/>
    <w:rsid w:val="000A2AF0"/>
    <w:rsid w:val="000A2B24"/>
    <w:rsid w:val="000A2BF5"/>
    <w:rsid w:val="000A2C1B"/>
    <w:rsid w:val="000A2D43"/>
    <w:rsid w:val="000A2DD6"/>
    <w:rsid w:val="000A2DE7"/>
    <w:rsid w:val="000A2EE9"/>
    <w:rsid w:val="000A2F1D"/>
    <w:rsid w:val="000A304A"/>
    <w:rsid w:val="000A3057"/>
    <w:rsid w:val="000A30A6"/>
    <w:rsid w:val="000A30EE"/>
    <w:rsid w:val="000A3222"/>
    <w:rsid w:val="000A326B"/>
    <w:rsid w:val="000A3277"/>
    <w:rsid w:val="000A33EC"/>
    <w:rsid w:val="000A3401"/>
    <w:rsid w:val="000A3532"/>
    <w:rsid w:val="000A3537"/>
    <w:rsid w:val="000A3616"/>
    <w:rsid w:val="000A3674"/>
    <w:rsid w:val="000A36F6"/>
    <w:rsid w:val="000A3889"/>
    <w:rsid w:val="000A389E"/>
    <w:rsid w:val="000A3925"/>
    <w:rsid w:val="000A3C7A"/>
    <w:rsid w:val="000A3D65"/>
    <w:rsid w:val="000A3DCD"/>
    <w:rsid w:val="000A3E8B"/>
    <w:rsid w:val="000A3EF0"/>
    <w:rsid w:val="000A3F54"/>
    <w:rsid w:val="000A3FDD"/>
    <w:rsid w:val="000A401E"/>
    <w:rsid w:val="000A4034"/>
    <w:rsid w:val="000A4087"/>
    <w:rsid w:val="000A412B"/>
    <w:rsid w:val="000A4170"/>
    <w:rsid w:val="000A42DC"/>
    <w:rsid w:val="000A42F6"/>
    <w:rsid w:val="000A4352"/>
    <w:rsid w:val="000A4389"/>
    <w:rsid w:val="000A438A"/>
    <w:rsid w:val="000A43EA"/>
    <w:rsid w:val="000A4473"/>
    <w:rsid w:val="000A4638"/>
    <w:rsid w:val="000A4677"/>
    <w:rsid w:val="000A49CB"/>
    <w:rsid w:val="000A4A3E"/>
    <w:rsid w:val="000A4A6F"/>
    <w:rsid w:val="000A4A88"/>
    <w:rsid w:val="000A4A9E"/>
    <w:rsid w:val="000A4AEC"/>
    <w:rsid w:val="000A4CCB"/>
    <w:rsid w:val="000A4CD7"/>
    <w:rsid w:val="000A4E08"/>
    <w:rsid w:val="000A4E1D"/>
    <w:rsid w:val="000A4F06"/>
    <w:rsid w:val="000A4F6E"/>
    <w:rsid w:val="000A4FE3"/>
    <w:rsid w:val="000A501D"/>
    <w:rsid w:val="000A5198"/>
    <w:rsid w:val="000A5221"/>
    <w:rsid w:val="000A5286"/>
    <w:rsid w:val="000A5370"/>
    <w:rsid w:val="000A5411"/>
    <w:rsid w:val="000A56B1"/>
    <w:rsid w:val="000A578D"/>
    <w:rsid w:val="000A587D"/>
    <w:rsid w:val="000A58B6"/>
    <w:rsid w:val="000A59F9"/>
    <w:rsid w:val="000A5A08"/>
    <w:rsid w:val="000A5A50"/>
    <w:rsid w:val="000A5AD4"/>
    <w:rsid w:val="000A5B9B"/>
    <w:rsid w:val="000A5C5E"/>
    <w:rsid w:val="000A5CA4"/>
    <w:rsid w:val="000A5CF4"/>
    <w:rsid w:val="000A5E55"/>
    <w:rsid w:val="000A5F82"/>
    <w:rsid w:val="000A5FD3"/>
    <w:rsid w:val="000A6043"/>
    <w:rsid w:val="000A6265"/>
    <w:rsid w:val="000A6332"/>
    <w:rsid w:val="000A6481"/>
    <w:rsid w:val="000A64E1"/>
    <w:rsid w:val="000A6590"/>
    <w:rsid w:val="000A65BF"/>
    <w:rsid w:val="000A660C"/>
    <w:rsid w:val="000A667E"/>
    <w:rsid w:val="000A682F"/>
    <w:rsid w:val="000A686F"/>
    <w:rsid w:val="000A68B1"/>
    <w:rsid w:val="000A694F"/>
    <w:rsid w:val="000A6AF2"/>
    <w:rsid w:val="000A6B57"/>
    <w:rsid w:val="000A6C2A"/>
    <w:rsid w:val="000A6CA1"/>
    <w:rsid w:val="000A6D66"/>
    <w:rsid w:val="000A6E8C"/>
    <w:rsid w:val="000A6F3B"/>
    <w:rsid w:val="000A7135"/>
    <w:rsid w:val="000A714A"/>
    <w:rsid w:val="000A71C2"/>
    <w:rsid w:val="000A7247"/>
    <w:rsid w:val="000A7272"/>
    <w:rsid w:val="000A7349"/>
    <w:rsid w:val="000A761D"/>
    <w:rsid w:val="000A765F"/>
    <w:rsid w:val="000A76A6"/>
    <w:rsid w:val="000A77C9"/>
    <w:rsid w:val="000A785B"/>
    <w:rsid w:val="000A7BC9"/>
    <w:rsid w:val="000A7CEE"/>
    <w:rsid w:val="000A7EE0"/>
    <w:rsid w:val="000B0206"/>
    <w:rsid w:val="000B022A"/>
    <w:rsid w:val="000B028C"/>
    <w:rsid w:val="000B02CF"/>
    <w:rsid w:val="000B0431"/>
    <w:rsid w:val="000B0698"/>
    <w:rsid w:val="000B070A"/>
    <w:rsid w:val="000B0734"/>
    <w:rsid w:val="000B07AB"/>
    <w:rsid w:val="000B08FA"/>
    <w:rsid w:val="000B0911"/>
    <w:rsid w:val="000B09B3"/>
    <w:rsid w:val="000B0BF0"/>
    <w:rsid w:val="000B0D99"/>
    <w:rsid w:val="000B1092"/>
    <w:rsid w:val="000B116D"/>
    <w:rsid w:val="000B1172"/>
    <w:rsid w:val="000B122F"/>
    <w:rsid w:val="000B127A"/>
    <w:rsid w:val="000B14BE"/>
    <w:rsid w:val="000B1577"/>
    <w:rsid w:val="000B15A6"/>
    <w:rsid w:val="000B1732"/>
    <w:rsid w:val="000B1892"/>
    <w:rsid w:val="000B18CB"/>
    <w:rsid w:val="000B1906"/>
    <w:rsid w:val="000B1923"/>
    <w:rsid w:val="000B1988"/>
    <w:rsid w:val="000B1C95"/>
    <w:rsid w:val="000B1D6D"/>
    <w:rsid w:val="000B1D95"/>
    <w:rsid w:val="000B1DA4"/>
    <w:rsid w:val="000B1E66"/>
    <w:rsid w:val="000B1E68"/>
    <w:rsid w:val="000B1E9A"/>
    <w:rsid w:val="000B205E"/>
    <w:rsid w:val="000B2073"/>
    <w:rsid w:val="000B2088"/>
    <w:rsid w:val="000B21E1"/>
    <w:rsid w:val="000B2313"/>
    <w:rsid w:val="000B2344"/>
    <w:rsid w:val="000B24BD"/>
    <w:rsid w:val="000B264F"/>
    <w:rsid w:val="000B2747"/>
    <w:rsid w:val="000B2755"/>
    <w:rsid w:val="000B2808"/>
    <w:rsid w:val="000B2866"/>
    <w:rsid w:val="000B291A"/>
    <w:rsid w:val="000B29A1"/>
    <w:rsid w:val="000B2A58"/>
    <w:rsid w:val="000B2A7F"/>
    <w:rsid w:val="000B2AD7"/>
    <w:rsid w:val="000B2B18"/>
    <w:rsid w:val="000B2B46"/>
    <w:rsid w:val="000B2B7F"/>
    <w:rsid w:val="000B2BB8"/>
    <w:rsid w:val="000B2BC9"/>
    <w:rsid w:val="000B2C25"/>
    <w:rsid w:val="000B2C5B"/>
    <w:rsid w:val="000B2C6D"/>
    <w:rsid w:val="000B2D61"/>
    <w:rsid w:val="000B2FB3"/>
    <w:rsid w:val="000B3042"/>
    <w:rsid w:val="000B30D4"/>
    <w:rsid w:val="000B3126"/>
    <w:rsid w:val="000B34A6"/>
    <w:rsid w:val="000B3506"/>
    <w:rsid w:val="000B35E7"/>
    <w:rsid w:val="000B36BF"/>
    <w:rsid w:val="000B37F8"/>
    <w:rsid w:val="000B39A0"/>
    <w:rsid w:val="000B39F6"/>
    <w:rsid w:val="000B3BF5"/>
    <w:rsid w:val="000B3C18"/>
    <w:rsid w:val="000B3C54"/>
    <w:rsid w:val="000B3C61"/>
    <w:rsid w:val="000B3D48"/>
    <w:rsid w:val="000B3DC8"/>
    <w:rsid w:val="000B3E6F"/>
    <w:rsid w:val="000B414A"/>
    <w:rsid w:val="000B42ED"/>
    <w:rsid w:val="000B433A"/>
    <w:rsid w:val="000B4492"/>
    <w:rsid w:val="000B44EC"/>
    <w:rsid w:val="000B451A"/>
    <w:rsid w:val="000B45C6"/>
    <w:rsid w:val="000B45D4"/>
    <w:rsid w:val="000B46B0"/>
    <w:rsid w:val="000B4772"/>
    <w:rsid w:val="000B4834"/>
    <w:rsid w:val="000B486A"/>
    <w:rsid w:val="000B4889"/>
    <w:rsid w:val="000B48AB"/>
    <w:rsid w:val="000B4A34"/>
    <w:rsid w:val="000B4B2E"/>
    <w:rsid w:val="000B4B30"/>
    <w:rsid w:val="000B4B47"/>
    <w:rsid w:val="000B4C5A"/>
    <w:rsid w:val="000B4C8E"/>
    <w:rsid w:val="000B4CF5"/>
    <w:rsid w:val="000B4D46"/>
    <w:rsid w:val="000B50CF"/>
    <w:rsid w:val="000B50EA"/>
    <w:rsid w:val="000B5103"/>
    <w:rsid w:val="000B51EB"/>
    <w:rsid w:val="000B51ED"/>
    <w:rsid w:val="000B520B"/>
    <w:rsid w:val="000B5215"/>
    <w:rsid w:val="000B5279"/>
    <w:rsid w:val="000B5468"/>
    <w:rsid w:val="000B5485"/>
    <w:rsid w:val="000B55CE"/>
    <w:rsid w:val="000B5718"/>
    <w:rsid w:val="000B5764"/>
    <w:rsid w:val="000B59C0"/>
    <w:rsid w:val="000B5A09"/>
    <w:rsid w:val="000B5A76"/>
    <w:rsid w:val="000B5AA8"/>
    <w:rsid w:val="000B5B68"/>
    <w:rsid w:val="000B5B82"/>
    <w:rsid w:val="000B5C0B"/>
    <w:rsid w:val="000B5CF7"/>
    <w:rsid w:val="000B5D6E"/>
    <w:rsid w:val="000B5DCB"/>
    <w:rsid w:val="000B5DEC"/>
    <w:rsid w:val="000B5EA7"/>
    <w:rsid w:val="000B5EB5"/>
    <w:rsid w:val="000B5F94"/>
    <w:rsid w:val="000B6297"/>
    <w:rsid w:val="000B6347"/>
    <w:rsid w:val="000B67C6"/>
    <w:rsid w:val="000B686E"/>
    <w:rsid w:val="000B689C"/>
    <w:rsid w:val="000B6A4E"/>
    <w:rsid w:val="000B6AA9"/>
    <w:rsid w:val="000B6B2F"/>
    <w:rsid w:val="000B6C21"/>
    <w:rsid w:val="000B7131"/>
    <w:rsid w:val="000B7258"/>
    <w:rsid w:val="000B72FC"/>
    <w:rsid w:val="000B736D"/>
    <w:rsid w:val="000B73D4"/>
    <w:rsid w:val="000B7518"/>
    <w:rsid w:val="000B7581"/>
    <w:rsid w:val="000B75D5"/>
    <w:rsid w:val="000B7731"/>
    <w:rsid w:val="000B773C"/>
    <w:rsid w:val="000B776A"/>
    <w:rsid w:val="000B77FE"/>
    <w:rsid w:val="000B78BD"/>
    <w:rsid w:val="000B79A1"/>
    <w:rsid w:val="000B7A97"/>
    <w:rsid w:val="000B7B20"/>
    <w:rsid w:val="000B7C1A"/>
    <w:rsid w:val="000B7C1B"/>
    <w:rsid w:val="000B7C4E"/>
    <w:rsid w:val="000B7D8E"/>
    <w:rsid w:val="000B7DF7"/>
    <w:rsid w:val="000B7E53"/>
    <w:rsid w:val="000B7F23"/>
    <w:rsid w:val="000B7F7F"/>
    <w:rsid w:val="000C00C5"/>
    <w:rsid w:val="000C011D"/>
    <w:rsid w:val="000C0159"/>
    <w:rsid w:val="000C0317"/>
    <w:rsid w:val="000C03DC"/>
    <w:rsid w:val="000C040C"/>
    <w:rsid w:val="000C05F7"/>
    <w:rsid w:val="000C0650"/>
    <w:rsid w:val="000C06C4"/>
    <w:rsid w:val="000C0865"/>
    <w:rsid w:val="000C0A29"/>
    <w:rsid w:val="000C0AAF"/>
    <w:rsid w:val="000C0BAA"/>
    <w:rsid w:val="000C0D5D"/>
    <w:rsid w:val="000C0EFD"/>
    <w:rsid w:val="000C0F60"/>
    <w:rsid w:val="000C0F64"/>
    <w:rsid w:val="000C1084"/>
    <w:rsid w:val="000C10C0"/>
    <w:rsid w:val="000C1144"/>
    <w:rsid w:val="000C1159"/>
    <w:rsid w:val="000C1225"/>
    <w:rsid w:val="000C12CC"/>
    <w:rsid w:val="000C13BC"/>
    <w:rsid w:val="000C13D4"/>
    <w:rsid w:val="000C13DF"/>
    <w:rsid w:val="000C147A"/>
    <w:rsid w:val="000C159D"/>
    <w:rsid w:val="000C15D9"/>
    <w:rsid w:val="000C1689"/>
    <w:rsid w:val="000C17DF"/>
    <w:rsid w:val="000C1845"/>
    <w:rsid w:val="000C1965"/>
    <w:rsid w:val="000C1DCC"/>
    <w:rsid w:val="000C1E62"/>
    <w:rsid w:val="000C1EDC"/>
    <w:rsid w:val="000C1FB4"/>
    <w:rsid w:val="000C1FDE"/>
    <w:rsid w:val="000C2157"/>
    <w:rsid w:val="000C22C5"/>
    <w:rsid w:val="000C22CC"/>
    <w:rsid w:val="000C23AA"/>
    <w:rsid w:val="000C243B"/>
    <w:rsid w:val="000C244E"/>
    <w:rsid w:val="000C24FF"/>
    <w:rsid w:val="000C2509"/>
    <w:rsid w:val="000C2558"/>
    <w:rsid w:val="000C2618"/>
    <w:rsid w:val="000C2630"/>
    <w:rsid w:val="000C2706"/>
    <w:rsid w:val="000C27A9"/>
    <w:rsid w:val="000C2813"/>
    <w:rsid w:val="000C28F5"/>
    <w:rsid w:val="000C29EB"/>
    <w:rsid w:val="000C2CA8"/>
    <w:rsid w:val="000C2D0A"/>
    <w:rsid w:val="000C2D12"/>
    <w:rsid w:val="000C31D5"/>
    <w:rsid w:val="000C322F"/>
    <w:rsid w:val="000C333D"/>
    <w:rsid w:val="000C35E5"/>
    <w:rsid w:val="000C380B"/>
    <w:rsid w:val="000C39C5"/>
    <w:rsid w:val="000C3A3A"/>
    <w:rsid w:val="000C3A4F"/>
    <w:rsid w:val="000C3AAE"/>
    <w:rsid w:val="000C3AB0"/>
    <w:rsid w:val="000C3B20"/>
    <w:rsid w:val="000C3B42"/>
    <w:rsid w:val="000C3B9A"/>
    <w:rsid w:val="000C3D94"/>
    <w:rsid w:val="000C3E31"/>
    <w:rsid w:val="000C3E5E"/>
    <w:rsid w:val="000C3F18"/>
    <w:rsid w:val="000C3FAA"/>
    <w:rsid w:val="000C402B"/>
    <w:rsid w:val="000C4102"/>
    <w:rsid w:val="000C4109"/>
    <w:rsid w:val="000C41AB"/>
    <w:rsid w:val="000C41BF"/>
    <w:rsid w:val="000C4213"/>
    <w:rsid w:val="000C444A"/>
    <w:rsid w:val="000C4454"/>
    <w:rsid w:val="000C44BF"/>
    <w:rsid w:val="000C450D"/>
    <w:rsid w:val="000C45A0"/>
    <w:rsid w:val="000C45D1"/>
    <w:rsid w:val="000C465A"/>
    <w:rsid w:val="000C467E"/>
    <w:rsid w:val="000C46A9"/>
    <w:rsid w:val="000C46E6"/>
    <w:rsid w:val="000C476E"/>
    <w:rsid w:val="000C48A5"/>
    <w:rsid w:val="000C492E"/>
    <w:rsid w:val="000C4939"/>
    <w:rsid w:val="000C4A93"/>
    <w:rsid w:val="000C4B5F"/>
    <w:rsid w:val="000C4C58"/>
    <w:rsid w:val="000C4CB6"/>
    <w:rsid w:val="000C4CE5"/>
    <w:rsid w:val="000C4DD0"/>
    <w:rsid w:val="000C4E5A"/>
    <w:rsid w:val="000C4EE1"/>
    <w:rsid w:val="000C4F48"/>
    <w:rsid w:val="000C4F76"/>
    <w:rsid w:val="000C5147"/>
    <w:rsid w:val="000C5168"/>
    <w:rsid w:val="000C5174"/>
    <w:rsid w:val="000C51EC"/>
    <w:rsid w:val="000C5285"/>
    <w:rsid w:val="000C52F2"/>
    <w:rsid w:val="000C54B4"/>
    <w:rsid w:val="000C550E"/>
    <w:rsid w:val="000C569F"/>
    <w:rsid w:val="000C56EB"/>
    <w:rsid w:val="000C5750"/>
    <w:rsid w:val="000C5756"/>
    <w:rsid w:val="000C5774"/>
    <w:rsid w:val="000C57FD"/>
    <w:rsid w:val="000C584B"/>
    <w:rsid w:val="000C58E3"/>
    <w:rsid w:val="000C5934"/>
    <w:rsid w:val="000C595E"/>
    <w:rsid w:val="000C59CB"/>
    <w:rsid w:val="000C5A65"/>
    <w:rsid w:val="000C5C6E"/>
    <w:rsid w:val="000C5C8F"/>
    <w:rsid w:val="000C5CF7"/>
    <w:rsid w:val="000C5DD1"/>
    <w:rsid w:val="000C5FF0"/>
    <w:rsid w:val="000C608F"/>
    <w:rsid w:val="000C61A6"/>
    <w:rsid w:val="000C620D"/>
    <w:rsid w:val="000C62E5"/>
    <w:rsid w:val="000C63CC"/>
    <w:rsid w:val="000C64C0"/>
    <w:rsid w:val="000C64E4"/>
    <w:rsid w:val="000C6530"/>
    <w:rsid w:val="000C65E1"/>
    <w:rsid w:val="000C65E9"/>
    <w:rsid w:val="000C66B2"/>
    <w:rsid w:val="000C6AA1"/>
    <w:rsid w:val="000C6BB9"/>
    <w:rsid w:val="000C6F7D"/>
    <w:rsid w:val="000C6FAE"/>
    <w:rsid w:val="000C6FB9"/>
    <w:rsid w:val="000C711C"/>
    <w:rsid w:val="000C722C"/>
    <w:rsid w:val="000C745B"/>
    <w:rsid w:val="000C745C"/>
    <w:rsid w:val="000C752E"/>
    <w:rsid w:val="000C755E"/>
    <w:rsid w:val="000C7617"/>
    <w:rsid w:val="000C78E8"/>
    <w:rsid w:val="000C7B2C"/>
    <w:rsid w:val="000C7B9C"/>
    <w:rsid w:val="000C7CD1"/>
    <w:rsid w:val="000C7D3C"/>
    <w:rsid w:val="000C7D47"/>
    <w:rsid w:val="000C7F8E"/>
    <w:rsid w:val="000D011A"/>
    <w:rsid w:val="000D0160"/>
    <w:rsid w:val="000D018F"/>
    <w:rsid w:val="000D019D"/>
    <w:rsid w:val="000D029E"/>
    <w:rsid w:val="000D03AC"/>
    <w:rsid w:val="000D0416"/>
    <w:rsid w:val="000D0496"/>
    <w:rsid w:val="000D0608"/>
    <w:rsid w:val="000D064D"/>
    <w:rsid w:val="000D06FE"/>
    <w:rsid w:val="000D0991"/>
    <w:rsid w:val="000D09A3"/>
    <w:rsid w:val="000D0B2B"/>
    <w:rsid w:val="000D0C0F"/>
    <w:rsid w:val="000D0D65"/>
    <w:rsid w:val="000D0D9D"/>
    <w:rsid w:val="000D0DD5"/>
    <w:rsid w:val="000D0EE6"/>
    <w:rsid w:val="000D10E2"/>
    <w:rsid w:val="000D10E4"/>
    <w:rsid w:val="000D1145"/>
    <w:rsid w:val="000D117E"/>
    <w:rsid w:val="000D13DA"/>
    <w:rsid w:val="000D1542"/>
    <w:rsid w:val="000D16B3"/>
    <w:rsid w:val="000D18E8"/>
    <w:rsid w:val="000D1A84"/>
    <w:rsid w:val="000D1AC6"/>
    <w:rsid w:val="000D1B0C"/>
    <w:rsid w:val="000D1B1D"/>
    <w:rsid w:val="000D1B5C"/>
    <w:rsid w:val="000D1BF2"/>
    <w:rsid w:val="000D1E74"/>
    <w:rsid w:val="000D1E8B"/>
    <w:rsid w:val="000D1FC4"/>
    <w:rsid w:val="000D2034"/>
    <w:rsid w:val="000D2045"/>
    <w:rsid w:val="000D20D9"/>
    <w:rsid w:val="000D2186"/>
    <w:rsid w:val="000D21BA"/>
    <w:rsid w:val="000D21C5"/>
    <w:rsid w:val="000D2330"/>
    <w:rsid w:val="000D236E"/>
    <w:rsid w:val="000D2631"/>
    <w:rsid w:val="000D2633"/>
    <w:rsid w:val="000D26FC"/>
    <w:rsid w:val="000D2844"/>
    <w:rsid w:val="000D2971"/>
    <w:rsid w:val="000D2A7C"/>
    <w:rsid w:val="000D2AC2"/>
    <w:rsid w:val="000D2C09"/>
    <w:rsid w:val="000D2C19"/>
    <w:rsid w:val="000D2C34"/>
    <w:rsid w:val="000D2CD7"/>
    <w:rsid w:val="000D2D8A"/>
    <w:rsid w:val="000D3074"/>
    <w:rsid w:val="000D3124"/>
    <w:rsid w:val="000D3148"/>
    <w:rsid w:val="000D3277"/>
    <w:rsid w:val="000D3394"/>
    <w:rsid w:val="000D33E3"/>
    <w:rsid w:val="000D341D"/>
    <w:rsid w:val="000D347C"/>
    <w:rsid w:val="000D34A1"/>
    <w:rsid w:val="000D34DF"/>
    <w:rsid w:val="000D3540"/>
    <w:rsid w:val="000D3573"/>
    <w:rsid w:val="000D3591"/>
    <w:rsid w:val="000D35C8"/>
    <w:rsid w:val="000D369C"/>
    <w:rsid w:val="000D369F"/>
    <w:rsid w:val="000D3774"/>
    <w:rsid w:val="000D37A6"/>
    <w:rsid w:val="000D3887"/>
    <w:rsid w:val="000D396E"/>
    <w:rsid w:val="000D3B1C"/>
    <w:rsid w:val="000D3B35"/>
    <w:rsid w:val="000D3B36"/>
    <w:rsid w:val="000D3BFF"/>
    <w:rsid w:val="000D3C02"/>
    <w:rsid w:val="000D3F86"/>
    <w:rsid w:val="000D41D6"/>
    <w:rsid w:val="000D420C"/>
    <w:rsid w:val="000D4285"/>
    <w:rsid w:val="000D430F"/>
    <w:rsid w:val="000D435C"/>
    <w:rsid w:val="000D4430"/>
    <w:rsid w:val="000D44D0"/>
    <w:rsid w:val="000D4692"/>
    <w:rsid w:val="000D46A0"/>
    <w:rsid w:val="000D4714"/>
    <w:rsid w:val="000D4775"/>
    <w:rsid w:val="000D4779"/>
    <w:rsid w:val="000D47A0"/>
    <w:rsid w:val="000D47DC"/>
    <w:rsid w:val="000D4A64"/>
    <w:rsid w:val="000D4BFD"/>
    <w:rsid w:val="000D4C48"/>
    <w:rsid w:val="000D4CB6"/>
    <w:rsid w:val="000D4D2D"/>
    <w:rsid w:val="000D4DE0"/>
    <w:rsid w:val="000D4ED1"/>
    <w:rsid w:val="000D4F38"/>
    <w:rsid w:val="000D4F5D"/>
    <w:rsid w:val="000D5021"/>
    <w:rsid w:val="000D50FF"/>
    <w:rsid w:val="000D5437"/>
    <w:rsid w:val="000D54E8"/>
    <w:rsid w:val="000D5560"/>
    <w:rsid w:val="000D57E3"/>
    <w:rsid w:val="000D5835"/>
    <w:rsid w:val="000D5B17"/>
    <w:rsid w:val="000D5B36"/>
    <w:rsid w:val="000D5BC4"/>
    <w:rsid w:val="000D5BED"/>
    <w:rsid w:val="000D5C28"/>
    <w:rsid w:val="000D5DBA"/>
    <w:rsid w:val="000D5E17"/>
    <w:rsid w:val="000D5F18"/>
    <w:rsid w:val="000D6009"/>
    <w:rsid w:val="000D60B0"/>
    <w:rsid w:val="000D610E"/>
    <w:rsid w:val="000D6186"/>
    <w:rsid w:val="000D6195"/>
    <w:rsid w:val="000D61D2"/>
    <w:rsid w:val="000D6231"/>
    <w:rsid w:val="000D62E6"/>
    <w:rsid w:val="000D6329"/>
    <w:rsid w:val="000D6514"/>
    <w:rsid w:val="000D65C7"/>
    <w:rsid w:val="000D6623"/>
    <w:rsid w:val="000D6881"/>
    <w:rsid w:val="000D68C8"/>
    <w:rsid w:val="000D69BB"/>
    <w:rsid w:val="000D6A0F"/>
    <w:rsid w:val="000D6BED"/>
    <w:rsid w:val="000D6D53"/>
    <w:rsid w:val="000D6D7B"/>
    <w:rsid w:val="000D6E0A"/>
    <w:rsid w:val="000D6E73"/>
    <w:rsid w:val="000D6F29"/>
    <w:rsid w:val="000D6F4E"/>
    <w:rsid w:val="000D6F66"/>
    <w:rsid w:val="000D702D"/>
    <w:rsid w:val="000D71CD"/>
    <w:rsid w:val="000D7312"/>
    <w:rsid w:val="000D74A8"/>
    <w:rsid w:val="000D74D2"/>
    <w:rsid w:val="000D757D"/>
    <w:rsid w:val="000D7632"/>
    <w:rsid w:val="000D769D"/>
    <w:rsid w:val="000D774D"/>
    <w:rsid w:val="000D7796"/>
    <w:rsid w:val="000D7820"/>
    <w:rsid w:val="000D7912"/>
    <w:rsid w:val="000D79B7"/>
    <w:rsid w:val="000D79C8"/>
    <w:rsid w:val="000D7B09"/>
    <w:rsid w:val="000D7BAE"/>
    <w:rsid w:val="000D7E40"/>
    <w:rsid w:val="000D7E6B"/>
    <w:rsid w:val="000D7F0D"/>
    <w:rsid w:val="000D7F5D"/>
    <w:rsid w:val="000E00BD"/>
    <w:rsid w:val="000E00D2"/>
    <w:rsid w:val="000E015E"/>
    <w:rsid w:val="000E03B0"/>
    <w:rsid w:val="000E040C"/>
    <w:rsid w:val="000E048D"/>
    <w:rsid w:val="000E0668"/>
    <w:rsid w:val="000E0732"/>
    <w:rsid w:val="000E07B2"/>
    <w:rsid w:val="000E081E"/>
    <w:rsid w:val="000E0953"/>
    <w:rsid w:val="000E0B6A"/>
    <w:rsid w:val="000E0BB9"/>
    <w:rsid w:val="000E0D5D"/>
    <w:rsid w:val="000E0DD5"/>
    <w:rsid w:val="000E0E24"/>
    <w:rsid w:val="000E0FB9"/>
    <w:rsid w:val="000E1051"/>
    <w:rsid w:val="000E11D3"/>
    <w:rsid w:val="000E12AC"/>
    <w:rsid w:val="000E13DB"/>
    <w:rsid w:val="000E1501"/>
    <w:rsid w:val="000E152E"/>
    <w:rsid w:val="000E155A"/>
    <w:rsid w:val="000E156E"/>
    <w:rsid w:val="000E158C"/>
    <w:rsid w:val="000E1613"/>
    <w:rsid w:val="000E164D"/>
    <w:rsid w:val="000E177A"/>
    <w:rsid w:val="000E1A19"/>
    <w:rsid w:val="000E1AD5"/>
    <w:rsid w:val="000E1AE3"/>
    <w:rsid w:val="000E1B6C"/>
    <w:rsid w:val="000E1B9F"/>
    <w:rsid w:val="000E1DD6"/>
    <w:rsid w:val="000E1E13"/>
    <w:rsid w:val="000E1EBD"/>
    <w:rsid w:val="000E1F1A"/>
    <w:rsid w:val="000E2028"/>
    <w:rsid w:val="000E2103"/>
    <w:rsid w:val="000E2238"/>
    <w:rsid w:val="000E2271"/>
    <w:rsid w:val="000E22F4"/>
    <w:rsid w:val="000E238D"/>
    <w:rsid w:val="000E23B8"/>
    <w:rsid w:val="000E241C"/>
    <w:rsid w:val="000E247F"/>
    <w:rsid w:val="000E24EB"/>
    <w:rsid w:val="000E2500"/>
    <w:rsid w:val="000E2554"/>
    <w:rsid w:val="000E26AE"/>
    <w:rsid w:val="000E28E6"/>
    <w:rsid w:val="000E2902"/>
    <w:rsid w:val="000E2945"/>
    <w:rsid w:val="000E29FD"/>
    <w:rsid w:val="000E2BB4"/>
    <w:rsid w:val="000E2D21"/>
    <w:rsid w:val="000E2D66"/>
    <w:rsid w:val="000E2DA0"/>
    <w:rsid w:val="000E2DB6"/>
    <w:rsid w:val="000E2F43"/>
    <w:rsid w:val="000E3072"/>
    <w:rsid w:val="000E3078"/>
    <w:rsid w:val="000E31D2"/>
    <w:rsid w:val="000E31D5"/>
    <w:rsid w:val="000E31E8"/>
    <w:rsid w:val="000E325A"/>
    <w:rsid w:val="000E331D"/>
    <w:rsid w:val="000E3354"/>
    <w:rsid w:val="000E35FB"/>
    <w:rsid w:val="000E3616"/>
    <w:rsid w:val="000E3905"/>
    <w:rsid w:val="000E3906"/>
    <w:rsid w:val="000E3940"/>
    <w:rsid w:val="000E39EC"/>
    <w:rsid w:val="000E3AD7"/>
    <w:rsid w:val="000E3BE7"/>
    <w:rsid w:val="000E3E62"/>
    <w:rsid w:val="000E4019"/>
    <w:rsid w:val="000E407B"/>
    <w:rsid w:val="000E4177"/>
    <w:rsid w:val="000E43FE"/>
    <w:rsid w:val="000E44C5"/>
    <w:rsid w:val="000E45C6"/>
    <w:rsid w:val="000E4623"/>
    <w:rsid w:val="000E4661"/>
    <w:rsid w:val="000E47B6"/>
    <w:rsid w:val="000E48EE"/>
    <w:rsid w:val="000E497B"/>
    <w:rsid w:val="000E498C"/>
    <w:rsid w:val="000E49E9"/>
    <w:rsid w:val="000E4A5E"/>
    <w:rsid w:val="000E4AE4"/>
    <w:rsid w:val="000E4C19"/>
    <w:rsid w:val="000E4C2F"/>
    <w:rsid w:val="000E4D95"/>
    <w:rsid w:val="000E4DC2"/>
    <w:rsid w:val="000E4E3C"/>
    <w:rsid w:val="000E4E4E"/>
    <w:rsid w:val="000E4E98"/>
    <w:rsid w:val="000E4F07"/>
    <w:rsid w:val="000E4F1D"/>
    <w:rsid w:val="000E4FCB"/>
    <w:rsid w:val="000E5177"/>
    <w:rsid w:val="000E5201"/>
    <w:rsid w:val="000E529E"/>
    <w:rsid w:val="000E534D"/>
    <w:rsid w:val="000E5386"/>
    <w:rsid w:val="000E538E"/>
    <w:rsid w:val="000E54C5"/>
    <w:rsid w:val="000E557F"/>
    <w:rsid w:val="000E55B9"/>
    <w:rsid w:val="000E56A8"/>
    <w:rsid w:val="000E5707"/>
    <w:rsid w:val="000E5789"/>
    <w:rsid w:val="000E57A4"/>
    <w:rsid w:val="000E589B"/>
    <w:rsid w:val="000E5C11"/>
    <w:rsid w:val="000E5D33"/>
    <w:rsid w:val="000E5EC1"/>
    <w:rsid w:val="000E5EFB"/>
    <w:rsid w:val="000E6522"/>
    <w:rsid w:val="000E666F"/>
    <w:rsid w:val="000E6670"/>
    <w:rsid w:val="000E684B"/>
    <w:rsid w:val="000E6892"/>
    <w:rsid w:val="000E68CD"/>
    <w:rsid w:val="000E6B43"/>
    <w:rsid w:val="000E6B49"/>
    <w:rsid w:val="000E6C13"/>
    <w:rsid w:val="000E6C6A"/>
    <w:rsid w:val="000E6C7C"/>
    <w:rsid w:val="000E6CAC"/>
    <w:rsid w:val="000E6CEF"/>
    <w:rsid w:val="000E6D7C"/>
    <w:rsid w:val="000E6E26"/>
    <w:rsid w:val="000E6E42"/>
    <w:rsid w:val="000E6FC9"/>
    <w:rsid w:val="000E6FE2"/>
    <w:rsid w:val="000E7096"/>
    <w:rsid w:val="000E70EB"/>
    <w:rsid w:val="000E7112"/>
    <w:rsid w:val="000E7155"/>
    <w:rsid w:val="000E72F9"/>
    <w:rsid w:val="000E734D"/>
    <w:rsid w:val="000E73ED"/>
    <w:rsid w:val="000E7438"/>
    <w:rsid w:val="000E7497"/>
    <w:rsid w:val="000E74CA"/>
    <w:rsid w:val="000E74F6"/>
    <w:rsid w:val="000E7561"/>
    <w:rsid w:val="000E75C6"/>
    <w:rsid w:val="000E75DD"/>
    <w:rsid w:val="000E772B"/>
    <w:rsid w:val="000E7938"/>
    <w:rsid w:val="000E7994"/>
    <w:rsid w:val="000E79F8"/>
    <w:rsid w:val="000E7A4F"/>
    <w:rsid w:val="000E7B77"/>
    <w:rsid w:val="000E7BFB"/>
    <w:rsid w:val="000E7C5B"/>
    <w:rsid w:val="000E7C8E"/>
    <w:rsid w:val="000E7D15"/>
    <w:rsid w:val="000E7D4F"/>
    <w:rsid w:val="000E7DB8"/>
    <w:rsid w:val="000E7EB9"/>
    <w:rsid w:val="000E7ED3"/>
    <w:rsid w:val="000E7F7F"/>
    <w:rsid w:val="000F00C0"/>
    <w:rsid w:val="000F022F"/>
    <w:rsid w:val="000F03A3"/>
    <w:rsid w:val="000F0431"/>
    <w:rsid w:val="000F0643"/>
    <w:rsid w:val="000F078E"/>
    <w:rsid w:val="000F087D"/>
    <w:rsid w:val="000F09A6"/>
    <w:rsid w:val="000F0A2C"/>
    <w:rsid w:val="000F0B82"/>
    <w:rsid w:val="000F0C8B"/>
    <w:rsid w:val="000F0EAF"/>
    <w:rsid w:val="000F0F0F"/>
    <w:rsid w:val="000F0F56"/>
    <w:rsid w:val="000F0FAF"/>
    <w:rsid w:val="000F100F"/>
    <w:rsid w:val="000F11FB"/>
    <w:rsid w:val="000F12A8"/>
    <w:rsid w:val="000F14DF"/>
    <w:rsid w:val="000F1527"/>
    <w:rsid w:val="000F154F"/>
    <w:rsid w:val="000F15B7"/>
    <w:rsid w:val="000F187D"/>
    <w:rsid w:val="000F1885"/>
    <w:rsid w:val="000F1891"/>
    <w:rsid w:val="000F1911"/>
    <w:rsid w:val="000F1A8B"/>
    <w:rsid w:val="000F1ABB"/>
    <w:rsid w:val="000F1BB4"/>
    <w:rsid w:val="000F1BCF"/>
    <w:rsid w:val="000F1D84"/>
    <w:rsid w:val="000F1F4B"/>
    <w:rsid w:val="000F2004"/>
    <w:rsid w:val="000F200E"/>
    <w:rsid w:val="000F226D"/>
    <w:rsid w:val="000F228B"/>
    <w:rsid w:val="000F24B8"/>
    <w:rsid w:val="000F25EF"/>
    <w:rsid w:val="000F2640"/>
    <w:rsid w:val="000F2675"/>
    <w:rsid w:val="000F26E3"/>
    <w:rsid w:val="000F2853"/>
    <w:rsid w:val="000F289D"/>
    <w:rsid w:val="000F2943"/>
    <w:rsid w:val="000F2995"/>
    <w:rsid w:val="000F2A6B"/>
    <w:rsid w:val="000F2BFC"/>
    <w:rsid w:val="000F2D8B"/>
    <w:rsid w:val="000F2E12"/>
    <w:rsid w:val="000F2EA3"/>
    <w:rsid w:val="000F2EB1"/>
    <w:rsid w:val="000F308B"/>
    <w:rsid w:val="000F31A4"/>
    <w:rsid w:val="000F333D"/>
    <w:rsid w:val="000F341A"/>
    <w:rsid w:val="000F342B"/>
    <w:rsid w:val="000F34D1"/>
    <w:rsid w:val="000F3569"/>
    <w:rsid w:val="000F36FC"/>
    <w:rsid w:val="000F371A"/>
    <w:rsid w:val="000F3A76"/>
    <w:rsid w:val="000F3A87"/>
    <w:rsid w:val="000F3B2E"/>
    <w:rsid w:val="000F3B41"/>
    <w:rsid w:val="000F3CE8"/>
    <w:rsid w:val="000F3E9B"/>
    <w:rsid w:val="000F3ECF"/>
    <w:rsid w:val="000F3F21"/>
    <w:rsid w:val="000F4003"/>
    <w:rsid w:val="000F419A"/>
    <w:rsid w:val="000F4294"/>
    <w:rsid w:val="000F430B"/>
    <w:rsid w:val="000F43C4"/>
    <w:rsid w:val="000F445A"/>
    <w:rsid w:val="000F4512"/>
    <w:rsid w:val="000F453F"/>
    <w:rsid w:val="000F463D"/>
    <w:rsid w:val="000F467B"/>
    <w:rsid w:val="000F48B3"/>
    <w:rsid w:val="000F4A87"/>
    <w:rsid w:val="000F4AD7"/>
    <w:rsid w:val="000F4AE9"/>
    <w:rsid w:val="000F4B0E"/>
    <w:rsid w:val="000F4B61"/>
    <w:rsid w:val="000F4B66"/>
    <w:rsid w:val="000F4C68"/>
    <w:rsid w:val="000F4EDA"/>
    <w:rsid w:val="000F4F62"/>
    <w:rsid w:val="000F4FA9"/>
    <w:rsid w:val="000F517C"/>
    <w:rsid w:val="000F51BE"/>
    <w:rsid w:val="000F52B3"/>
    <w:rsid w:val="000F5351"/>
    <w:rsid w:val="000F53FD"/>
    <w:rsid w:val="000F541A"/>
    <w:rsid w:val="000F5455"/>
    <w:rsid w:val="000F55A9"/>
    <w:rsid w:val="000F5617"/>
    <w:rsid w:val="000F561D"/>
    <w:rsid w:val="000F5715"/>
    <w:rsid w:val="000F574F"/>
    <w:rsid w:val="000F5768"/>
    <w:rsid w:val="000F5A46"/>
    <w:rsid w:val="000F5ADB"/>
    <w:rsid w:val="000F5B40"/>
    <w:rsid w:val="000F5C2E"/>
    <w:rsid w:val="000F5DE3"/>
    <w:rsid w:val="000F5DEA"/>
    <w:rsid w:val="000F5F2D"/>
    <w:rsid w:val="000F6087"/>
    <w:rsid w:val="000F6157"/>
    <w:rsid w:val="000F6266"/>
    <w:rsid w:val="000F6449"/>
    <w:rsid w:val="000F6472"/>
    <w:rsid w:val="000F66DF"/>
    <w:rsid w:val="000F6815"/>
    <w:rsid w:val="000F687D"/>
    <w:rsid w:val="000F696A"/>
    <w:rsid w:val="000F6AC4"/>
    <w:rsid w:val="000F6CB2"/>
    <w:rsid w:val="000F6CD6"/>
    <w:rsid w:val="000F6E69"/>
    <w:rsid w:val="000F6EA5"/>
    <w:rsid w:val="000F6FD9"/>
    <w:rsid w:val="000F718B"/>
    <w:rsid w:val="000F7209"/>
    <w:rsid w:val="000F72B8"/>
    <w:rsid w:val="000F72EF"/>
    <w:rsid w:val="000F72F7"/>
    <w:rsid w:val="000F7329"/>
    <w:rsid w:val="000F737C"/>
    <w:rsid w:val="000F76F9"/>
    <w:rsid w:val="000F773C"/>
    <w:rsid w:val="000F7818"/>
    <w:rsid w:val="000F78A6"/>
    <w:rsid w:val="000F78F3"/>
    <w:rsid w:val="000F7955"/>
    <w:rsid w:val="000F7A69"/>
    <w:rsid w:val="000F7A90"/>
    <w:rsid w:val="000F7C2E"/>
    <w:rsid w:val="000F7C98"/>
    <w:rsid w:val="000F7E4E"/>
    <w:rsid w:val="000F7E75"/>
    <w:rsid w:val="000F7EE1"/>
    <w:rsid w:val="00100195"/>
    <w:rsid w:val="001001AD"/>
    <w:rsid w:val="001001B4"/>
    <w:rsid w:val="00100313"/>
    <w:rsid w:val="001003A9"/>
    <w:rsid w:val="00100442"/>
    <w:rsid w:val="0010048E"/>
    <w:rsid w:val="001004FD"/>
    <w:rsid w:val="00100588"/>
    <w:rsid w:val="001006E4"/>
    <w:rsid w:val="00100804"/>
    <w:rsid w:val="001008EC"/>
    <w:rsid w:val="001008F6"/>
    <w:rsid w:val="001009C2"/>
    <w:rsid w:val="00100A59"/>
    <w:rsid w:val="00100A5E"/>
    <w:rsid w:val="00100AB0"/>
    <w:rsid w:val="00100B8F"/>
    <w:rsid w:val="00100BB9"/>
    <w:rsid w:val="00100C90"/>
    <w:rsid w:val="00100D80"/>
    <w:rsid w:val="00100DC7"/>
    <w:rsid w:val="00100DD7"/>
    <w:rsid w:val="001011E7"/>
    <w:rsid w:val="00101315"/>
    <w:rsid w:val="00101377"/>
    <w:rsid w:val="0010149F"/>
    <w:rsid w:val="001015F2"/>
    <w:rsid w:val="0010161C"/>
    <w:rsid w:val="001016CF"/>
    <w:rsid w:val="001017C0"/>
    <w:rsid w:val="001018A7"/>
    <w:rsid w:val="001018AA"/>
    <w:rsid w:val="00101993"/>
    <w:rsid w:val="00101AB3"/>
    <w:rsid w:val="00101B0E"/>
    <w:rsid w:val="00101C11"/>
    <w:rsid w:val="00101C33"/>
    <w:rsid w:val="00101C54"/>
    <w:rsid w:val="00101CBB"/>
    <w:rsid w:val="00101CED"/>
    <w:rsid w:val="00101D90"/>
    <w:rsid w:val="00101DDF"/>
    <w:rsid w:val="00101E09"/>
    <w:rsid w:val="00101EAA"/>
    <w:rsid w:val="00102146"/>
    <w:rsid w:val="00102160"/>
    <w:rsid w:val="00102166"/>
    <w:rsid w:val="001021DB"/>
    <w:rsid w:val="0010244A"/>
    <w:rsid w:val="00102517"/>
    <w:rsid w:val="00102561"/>
    <w:rsid w:val="00102578"/>
    <w:rsid w:val="001027AD"/>
    <w:rsid w:val="00102812"/>
    <w:rsid w:val="0010292D"/>
    <w:rsid w:val="001029E7"/>
    <w:rsid w:val="00102A26"/>
    <w:rsid w:val="00102AAD"/>
    <w:rsid w:val="00102B6A"/>
    <w:rsid w:val="00102BB8"/>
    <w:rsid w:val="00102CFF"/>
    <w:rsid w:val="00102ED3"/>
    <w:rsid w:val="00102FD4"/>
    <w:rsid w:val="001030C8"/>
    <w:rsid w:val="001030DA"/>
    <w:rsid w:val="00103154"/>
    <w:rsid w:val="00103241"/>
    <w:rsid w:val="001032ED"/>
    <w:rsid w:val="00103364"/>
    <w:rsid w:val="001033B2"/>
    <w:rsid w:val="0010340E"/>
    <w:rsid w:val="001034B4"/>
    <w:rsid w:val="001034E5"/>
    <w:rsid w:val="00103552"/>
    <w:rsid w:val="00103573"/>
    <w:rsid w:val="0010362D"/>
    <w:rsid w:val="00103670"/>
    <w:rsid w:val="00103923"/>
    <w:rsid w:val="00103A14"/>
    <w:rsid w:val="00103B21"/>
    <w:rsid w:val="00103BB3"/>
    <w:rsid w:val="00103C6E"/>
    <w:rsid w:val="00103E49"/>
    <w:rsid w:val="00103E80"/>
    <w:rsid w:val="00103F7B"/>
    <w:rsid w:val="00103FA5"/>
    <w:rsid w:val="001040A1"/>
    <w:rsid w:val="001041CF"/>
    <w:rsid w:val="0010421F"/>
    <w:rsid w:val="00104295"/>
    <w:rsid w:val="001042E0"/>
    <w:rsid w:val="00104658"/>
    <w:rsid w:val="001046EE"/>
    <w:rsid w:val="00104877"/>
    <w:rsid w:val="001048E9"/>
    <w:rsid w:val="00104A83"/>
    <w:rsid w:val="00104C82"/>
    <w:rsid w:val="00104CC6"/>
    <w:rsid w:val="00104D01"/>
    <w:rsid w:val="00104D51"/>
    <w:rsid w:val="00104D99"/>
    <w:rsid w:val="00104E4F"/>
    <w:rsid w:val="00104EDD"/>
    <w:rsid w:val="00104F0C"/>
    <w:rsid w:val="00104F22"/>
    <w:rsid w:val="001051BA"/>
    <w:rsid w:val="0010525A"/>
    <w:rsid w:val="001052BE"/>
    <w:rsid w:val="00105466"/>
    <w:rsid w:val="00105571"/>
    <w:rsid w:val="0010557D"/>
    <w:rsid w:val="00105633"/>
    <w:rsid w:val="00105699"/>
    <w:rsid w:val="00105739"/>
    <w:rsid w:val="00105745"/>
    <w:rsid w:val="001057F4"/>
    <w:rsid w:val="00105891"/>
    <w:rsid w:val="00105942"/>
    <w:rsid w:val="001059EF"/>
    <w:rsid w:val="00105BE1"/>
    <w:rsid w:val="00105D0F"/>
    <w:rsid w:val="00105E2C"/>
    <w:rsid w:val="00105E4D"/>
    <w:rsid w:val="00105FFA"/>
    <w:rsid w:val="001060A2"/>
    <w:rsid w:val="00106103"/>
    <w:rsid w:val="00106142"/>
    <w:rsid w:val="0010658B"/>
    <w:rsid w:val="001066B9"/>
    <w:rsid w:val="00106703"/>
    <w:rsid w:val="0010676E"/>
    <w:rsid w:val="0010677D"/>
    <w:rsid w:val="00106797"/>
    <w:rsid w:val="001067BA"/>
    <w:rsid w:val="0010696F"/>
    <w:rsid w:val="00106A04"/>
    <w:rsid w:val="00106A30"/>
    <w:rsid w:val="00106AD1"/>
    <w:rsid w:val="00106C43"/>
    <w:rsid w:val="00106C6D"/>
    <w:rsid w:val="00106D07"/>
    <w:rsid w:val="00106D35"/>
    <w:rsid w:val="00106E2F"/>
    <w:rsid w:val="00106E33"/>
    <w:rsid w:val="00106F13"/>
    <w:rsid w:val="001070A4"/>
    <w:rsid w:val="00107277"/>
    <w:rsid w:val="001072A6"/>
    <w:rsid w:val="001072CB"/>
    <w:rsid w:val="0010730B"/>
    <w:rsid w:val="00107375"/>
    <w:rsid w:val="001073A4"/>
    <w:rsid w:val="001073C5"/>
    <w:rsid w:val="00107475"/>
    <w:rsid w:val="0010775B"/>
    <w:rsid w:val="00107781"/>
    <w:rsid w:val="001077B8"/>
    <w:rsid w:val="001078AD"/>
    <w:rsid w:val="00107A5B"/>
    <w:rsid w:val="00107A6C"/>
    <w:rsid w:val="00107AB1"/>
    <w:rsid w:val="00107AFD"/>
    <w:rsid w:val="00107B1C"/>
    <w:rsid w:val="00107B6C"/>
    <w:rsid w:val="00107B86"/>
    <w:rsid w:val="00107C74"/>
    <w:rsid w:val="00107E05"/>
    <w:rsid w:val="00107E2C"/>
    <w:rsid w:val="00107F2C"/>
    <w:rsid w:val="00107F38"/>
    <w:rsid w:val="00110108"/>
    <w:rsid w:val="001102FC"/>
    <w:rsid w:val="00110345"/>
    <w:rsid w:val="0011036B"/>
    <w:rsid w:val="0011037B"/>
    <w:rsid w:val="001103DA"/>
    <w:rsid w:val="001103DD"/>
    <w:rsid w:val="001104A3"/>
    <w:rsid w:val="001104CB"/>
    <w:rsid w:val="0011062A"/>
    <w:rsid w:val="0011078C"/>
    <w:rsid w:val="0011087A"/>
    <w:rsid w:val="0011096F"/>
    <w:rsid w:val="001109CD"/>
    <w:rsid w:val="001109D6"/>
    <w:rsid w:val="00110B96"/>
    <w:rsid w:val="00110CC9"/>
    <w:rsid w:val="00110D85"/>
    <w:rsid w:val="00110E5B"/>
    <w:rsid w:val="00110E94"/>
    <w:rsid w:val="00110ED1"/>
    <w:rsid w:val="00111008"/>
    <w:rsid w:val="00111040"/>
    <w:rsid w:val="00111096"/>
    <w:rsid w:val="00111198"/>
    <w:rsid w:val="001111F1"/>
    <w:rsid w:val="0011122D"/>
    <w:rsid w:val="001112E6"/>
    <w:rsid w:val="001113B2"/>
    <w:rsid w:val="001113D9"/>
    <w:rsid w:val="0011149C"/>
    <w:rsid w:val="00111531"/>
    <w:rsid w:val="00111560"/>
    <w:rsid w:val="00111678"/>
    <w:rsid w:val="00111778"/>
    <w:rsid w:val="001117E5"/>
    <w:rsid w:val="0011187D"/>
    <w:rsid w:val="001119BF"/>
    <w:rsid w:val="00111A97"/>
    <w:rsid w:val="00111CCD"/>
    <w:rsid w:val="00111D95"/>
    <w:rsid w:val="00111F11"/>
    <w:rsid w:val="00112105"/>
    <w:rsid w:val="00112196"/>
    <w:rsid w:val="00112268"/>
    <w:rsid w:val="00112381"/>
    <w:rsid w:val="001123E1"/>
    <w:rsid w:val="00112428"/>
    <w:rsid w:val="001125E6"/>
    <w:rsid w:val="00112638"/>
    <w:rsid w:val="001126B8"/>
    <w:rsid w:val="001126D6"/>
    <w:rsid w:val="001127DF"/>
    <w:rsid w:val="00112860"/>
    <w:rsid w:val="0011289D"/>
    <w:rsid w:val="00112919"/>
    <w:rsid w:val="00112972"/>
    <w:rsid w:val="00112DDD"/>
    <w:rsid w:val="00112E9E"/>
    <w:rsid w:val="00112EAC"/>
    <w:rsid w:val="00112FEF"/>
    <w:rsid w:val="0011307A"/>
    <w:rsid w:val="00113122"/>
    <w:rsid w:val="0011319C"/>
    <w:rsid w:val="00113223"/>
    <w:rsid w:val="001132C0"/>
    <w:rsid w:val="001132FE"/>
    <w:rsid w:val="001135AE"/>
    <w:rsid w:val="001137FC"/>
    <w:rsid w:val="001138D8"/>
    <w:rsid w:val="00113AE9"/>
    <w:rsid w:val="00113B2C"/>
    <w:rsid w:val="00113C35"/>
    <w:rsid w:val="00113C62"/>
    <w:rsid w:val="00113DBA"/>
    <w:rsid w:val="00113E4C"/>
    <w:rsid w:val="00113F12"/>
    <w:rsid w:val="00113F81"/>
    <w:rsid w:val="00114137"/>
    <w:rsid w:val="00114160"/>
    <w:rsid w:val="00114227"/>
    <w:rsid w:val="00114295"/>
    <w:rsid w:val="00114357"/>
    <w:rsid w:val="00114367"/>
    <w:rsid w:val="00114397"/>
    <w:rsid w:val="001143A9"/>
    <w:rsid w:val="001144AE"/>
    <w:rsid w:val="001144E2"/>
    <w:rsid w:val="001145CD"/>
    <w:rsid w:val="001145D0"/>
    <w:rsid w:val="001145F2"/>
    <w:rsid w:val="001147D3"/>
    <w:rsid w:val="0011491F"/>
    <w:rsid w:val="0011499A"/>
    <w:rsid w:val="00114A3C"/>
    <w:rsid w:val="00114ABB"/>
    <w:rsid w:val="00114C58"/>
    <w:rsid w:val="00114CCF"/>
    <w:rsid w:val="00114DB6"/>
    <w:rsid w:val="00114E7C"/>
    <w:rsid w:val="00114EE2"/>
    <w:rsid w:val="00114F70"/>
    <w:rsid w:val="00115051"/>
    <w:rsid w:val="00115104"/>
    <w:rsid w:val="001151A8"/>
    <w:rsid w:val="00115249"/>
    <w:rsid w:val="00115307"/>
    <w:rsid w:val="0011537D"/>
    <w:rsid w:val="00115380"/>
    <w:rsid w:val="00115430"/>
    <w:rsid w:val="001154FD"/>
    <w:rsid w:val="001155DF"/>
    <w:rsid w:val="001156A4"/>
    <w:rsid w:val="00115877"/>
    <w:rsid w:val="001158CC"/>
    <w:rsid w:val="00115B1F"/>
    <w:rsid w:val="00115BDB"/>
    <w:rsid w:val="00115EE3"/>
    <w:rsid w:val="001163E7"/>
    <w:rsid w:val="0011647E"/>
    <w:rsid w:val="00116572"/>
    <w:rsid w:val="001165E0"/>
    <w:rsid w:val="00116766"/>
    <w:rsid w:val="0011682D"/>
    <w:rsid w:val="00116858"/>
    <w:rsid w:val="00116963"/>
    <w:rsid w:val="00116974"/>
    <w:rsid w:val="00116AD1"/>
    <w:rsid w:val="00116B0A"/>
    <w:rsid w:val="00116B96"/>
    <w:rsid w:val="00116C39"/>
    <w:rsid w:val="00116E69"/>
    <w:rsid w:val="00116EE3"/>
    <w:rsid w:val="0011719D"/>
    <w:rsid w:val="00117221"/>
    <w:rsid w:val="0011735A"/>
    <w:rsid w:val="0011746E"/>
    <w:rsid w:val="0011755F"/>
    <w:rsid w:val="00117560"/>
    <w:rsid w:val="001177E3"/>
    <w:rsid w:val="001179F9"/>
    <w:rsid w:val="00117A81"/>
    <w:rsid w:val="00117C8A"/>
    <w:rsid w:val="00117D45"/>
    <w:rsid w:val="00117EA6"/>
    <w:rsid w:val="00117EC4"/>
    <w:rsid w:val="00117ED8"/>
    <w:rsid w:val="00117F19"/>
    <w:rsid w:val="001200FF"/>
    <w:rsid w:val="001201F2"/>
    <w:rsid w:val="00120223"/>
    <w:rsid w:val="0012038E"/>
    <w:rsid w:val="00120400"/>
    <w:rsid w:val="00120660"/>
    <w:rsid w:val="001206A3"/>
    <w:rsid w:val="001206C2"/>
    <w:rsid w:val="00120809"/>
    <w:rsid w:val="0012093F"/>
    <w:rsid w:val="00120941"/>
    <w:rsid w:val="00120A1A"/>
    <w:rsid w:val="00120AED"/>
    <w:rsid w:val="00120B97"/>
    <w:rsid w:val="00120C1E"/>
    <w:rsid w:val="00120D09"/>
    <w:rsid w:val="00120D21"/>
    <w:rsid w:val="00120D88"/>
    <w:rsid w:val="00120DDC"/>
    <w:rsid w:val="00120E97"/>
    <w:rsid w:val="00120FDD"/>
    <w:rsid w:val="001210DD"/>
    <w:rsid w:val="00121140"/>
    <w:rsid w:val="00121197"/>
    <w:rsid w:val="0012124D"/>
    <w:rsid w:val="001212CA"/>
    <w:rsid w:val="001212FE"/>
    <w:rsid w:val="0012130C"/>
    <w:rsid w:val="00121360"/>
    <w:rsid w:val="0012144D"/>
    <w:rsid w:val="0012147D"/>
    <w:rsid w:val="00121521"/>
    <w:rsid w:val="001216E0"/>
    <w:rsid w:val="001217FC"/>
    <w:rsid w:val="0012184A"/>
    <w:rsid w:val="0012194A"/>
    <w:rsid w:val="001219A7"/>
    <w:rsid w:val="00121A80"/>
    <w:rsid w:val="00121B8F"/>
    <w:rsid w:val="00121BB7"/>
    <w:rsid w:val="00121CD5"/>
    <w:rsid w:val="00121EB0"/>
    <w:rsid w:val="00121EBD"/>
    <w:rsid w:val="00121F90"/>
    <w:rsid w:val="0012210E"/>
    <w:rsid w:val="00122145"/>
    <w:rsid w:val="001221AB"/>
    <w:rsid w:val="00122266"/>
    <w:rsid w:val="0012246C"/>
    <w:rsid w:val="001224A6"/>
    <w:rsid w:val="0012258D"/>
    <w:rsid w:val="0012264B"/>
    <w:rsid w:val="00122A48"/>
    <w:rsid w:val="00122A5D"/>
    <w:rsid w:val="00122BC6"/>
    <w:rsid w:val="00122DEE"/>
    <w:rsid w:val="00122DF6"/>
    <w:rsid w:val="00122EDA"/>
    <w:rsid w:val="00122FF7"/>
    <w:rsid w:val="00123016"/>
    <w:rsid w:val="0012302B"/>
    <w:rsid w:val="001230C8"/>
    <w:rsid w:val="0012329B"/>
    <w:rsid w:val="0012344F"/>
    <w:rsid w:val="00123564"/>
    <w:rsid w:val="001235A2"/>
    <w:rsid w:val="001235E2"/>
    <w:rsid w:val="001236BD"/>
    <w:rsid w:val="001238BA"/>
    <w:rsid w:val="00123984"/>
    <w:rsid w:val="00123A64"/>
    <w:rsid w:val="00123B9D"/>
    <w:rsid w:val="00123BC6"/>
    <w:rsid w:val="00123C46"/>
    <w:rsid w:val="00123DB1"/>
    <w:rsid w:val="00123F4C"/>
    <w:rsid w:val="00124076"/>
    <w:rsid w:val="001241DE"/>
    <w:rsid w:val="00124363"/>
    <w:rsid w:val="00124367"/>
    <w:rsid w:val="00124419"/>
    <w:rsid w:val="0012441A"/>
    <w:rsid w:val="00124511"/>
    <w:rsid w:val="001246B3"/>
    <w:rsid w:val="0012472D"/>
    <w:rsid w:val="00124736"/>
    <w:rsid w:val="001249C4"/>
    <w:rsid w:val="00124A00"/>
    <w:rsid w:val="00124A0F"/>
    <w:rsid w:val="00124A53"/>
    <w:rsid w:val="00124B67"/>
    <w:rsid w:val="00124C0B"/>
    <w:rsid w:val="00124D4E"/>
    <w:rsid w:val="00124DC2"/>
    <w:rsid w:val="00124DC5"/>
    <w:rsid w:val="00124EFA"/>
    <w:rsid w:val="00125019"/>
    <w:rsid w:val="00125023"/>
    <w:rsid w:val="00125090"/>
    <w:rsid w:val="0012509C"/>
    <w:rsid w:val="001250AE"/>
    <w:rsid w:val="001250BD"/>
    <w:rsid w:val="0012515C"/>
    <w:rsid w:val="0012517C"/>
    <w:rsid w:val="001251CC"/>
    <w:rsid w:val="001251D5"/>
    <w:rsid w:val="00125279"/>
    <w:rsid w:val="0012549A"/>
    <w:rsid w:val="00125508"/>
    <w:rsid w:val="0012561D"/>
    <w:rsid w:val="0012568E"/>
    <w:rsid w:val="001256AF"/>
    <w:rsid w:val="0012572E"/>
    <w:rsid w:val="001257D3"/>
    <w:rsid w:val="0012594C"/>
    <w:rsid w:val="00125974"/>
    <w:rsid w:val="001259AE"/>
    <w:rsid w:val="00125AC4"/>
    <w:rsid w:val="00125B7A"/>
    <w:rsid w:val="00125BD0"/>
    <w:rsid w:val="00125BE9"/>
    <w:rsid w:val="00125EEB"/>
    <w:rsid w:val="00125F49"/>
    <w:rsid w:val="001260DC"/>
    <w:rsid w:val="001260F5"/>
    <w:rsid w:val="001263C5"/>
    <w:rsid w:val="00126428"/>
    <w:rsid w:val="0012643A"/>
    <w:rsid w:val="0012695A"/>
    <w:rsid w:val="00126A4A"/>
    <w:rsid w:val="00126A62"/>
    <w:rsid w:val="00126A9D"/>
    <w:rsid w:val="00126C94"/>
    <w:rsid w:val="00126DCF"/>
    <w:rsid w:val="00126E2B"/>
    <w:rsid w:val="00126F90"/>
    <w:rsid w:val="00126FA3"/>
    <w:rsid w:val="0012703F"/>
    <w:rsid w:val="00127222"/>
    <w:rsid w:val="00127234"/>
    <w:rsid w:val="001272B9"/>
    <w:rsid w:val="0012734A"/>
    <w:rsid w:val="00127370"/>
    <w:rsid w:val="001273C8"/>
    <w:rsid w:val="00127450"/>
    <w:rsid w:val="001275EA"/>
    <w:rsid w:val="00127705"/>
    <w:rsid w:val="001277A0"/>
    <w:rsid w:val="001277BB"/>
    <w:rsid w:val="00127931"/>
    <w:rsid w:val="00127952"/>
    <w:rsid w:val="00127953"/>
    <w:rsid w:val="001279A6"/>
    <w:rsid w:val="00127C63"/>
    <w:rsid w:val="00127D2A"/>
    <w:rsid w:val="00127D50"/>
    <w:rsid w:val="00127DA9"/>
    <w:rsid w:val="00127E14"/>
    <w:rsid w:val="00127E2D"/>
    <w:rsid w:val="00127EED"/>
    <w:rsid w:val="00130153"/>
    <w:rsid w:val="00130182"/>
    <w:rsid w:val="00130291"/>
    <w:rsid w:val="00130365"/>
    <w:rsid w:val="001303B3"/>
    <w:rsid w:val="001303D0"/>
    <w:rsid w:val="001303FB"/>
    <w:rsid w:val="001305CA"/>
    <w:rsid w:val="00130656"/>
    <w:rsid w:val="00130738"/>
    <w:rsid w:val="00130849"/>
    <w:rsid w:val="0013088C"/>
    <w:rsid w:val="001309FF"/>
    <w:rsid w:val="00130B32"/>
    <w:rsid w:val="00130B37"/>
    <w:rsid w:val="00130DE3"/>
    <w:rsid w:val="00130F25"/>
    <w:rsid w:val="00131146"/>
    <w:rsid w:val="0013126B"/>
    <w:rsid w:val="0013129F"/>
    <w:rsid w:val="0013130C"/>
    <w:rsid w:val="00131378"/>
    <w:rsid w:val="0013139C"/>
    <w:rsid w:val="001314C2"/>
    <w:rsid w:val="00131518"/>
    <w:rsid w:val="001319F0"/>
    <w:rsid w:val="00131ACD"/>
    <w:rsid w:val="00131D5D"/>
    <w:rsid w:val="00131FEE"/>
    <w:rsid w:val="0013208A"/>
    <w:rsid w:val="001320C6"/>
    <w:rsid w:val="001320E8"/>
    <w:rsid w:val="00132144"/>
    <w:rsid w:val="00132231"/>
    <w:rsid w:val="00132296"/>
    <w:rsid w:val="001324B6"/>
    <w:rsid w:val="00132569"/>
    <w:rsid w:val="00132787"/>
    <w:rsid w:val="00132856"/>
    <w:rsid w:val="0013286D"/>
    <w:rsid w:val="001328CE"/>
    <w:rsid w:val="001328E1"/>
    <w:rsid w:val="00132928"/>
    <w:rsid w:val="00132A17"/>
    <w:rsid w:val="00132C68"/>
    <w:rsid w:val="00132D3A"/>
    <w:rsid w:val="00132D41"/>
    <w:rsid w:val="00133232"/>
    <w:rsid w:val="0013330A"/>
    <w:rsid w:val="0013336A"/>
    <w:rsid w:val="00133379"/>
    <w:rsid w:val="001334C0"/>
    <w:rsid w:val="001334C7"/>
    <w:rsid w:val="001334D6"/>
    <w:rsid w:val="00133516"/>
    <w:rsid w:val="001335B9"/>
    <w:rsid w:val="001335DE"/>
    <w:rsid w:val="00133A00"/>
    <w:rsid w:val="00133A52"/>
    <w:rsid w:val="00133C73"/>
    <w:rsid w:val="00133D5F"/>
    <w:rsid w:val="00133E99"/>
    <w:rsid w:val="00134031"/>
    <w:rsid w:val="00134433"/>
    <w:rsid w:val="00134464"/>
    <w:rsid w:val="00134481"/>
    <w:rsid w:val="0013467E"/>
    <w:rsid w:val="001346C5"/>
    <w:rsid w:val="00134726"/>
    <w:rsid w:val="001347D6"/>
    <w:rsid w:val="0013485A"/>
    <w:rsid w:val="00134937"/>
    <w:rsid w:val="00134A89"/>
    <w:rsid w:val="00134AA0"/>
    <w:rsid w:val="00134AFE"/>
    <w:rsid w:val="00134CDC"/>
    <w:rsid w:val="00134D60"/>
    <w:rsid w:val="00134D7D"/>
    <w:rsid w:val="00134F0B"/>
    <w:rsid w:val="00134F9B"/>
    <w:rsid w:val="00135046"/>
    <w:rsid w:val="00135095"/>
    <w:rsid w:val="0013520D"/>
    <w:rsid w:val="0013531F"/>
    <w:rsid w:val="00135449"/>
    <w:rsid w:val="001355D0"/>
    <w:rsid w:val="0013567B"/>
    <w:rsid w:val="0013587F"/>
    <w:rsid w:val="0013596F"/>
    <w:rsid w:val="00135A5C"/>
    <w:rsid w:val="00135A74"/>
    <w:rsid w:val="00135D2B"/>
    <w:rsid w:val="00135DA6"/>
    <w:rsid w:val="00135E8E"/>
    <w:rsid w:val="001362AF"/>
    <w:rsid w:val="00136352"/>
    <w:rsid w:val="00136490"/>
    <w:rsid w:val="00136597"/>
    <w:rsid w:val="001365D5"/>
    <w:rsid w:val="001366A5"/>
    <w:rsid w:val="0013674A"/>
    <w:rsid w:val="00136763"/>
    <w:rsid w:val="001367CE"/>
    <w:rsid w:val="0013693F"/>
    <w:rsid w:val="00136A96"/>
    <w:rsid w:val="00136BA8"/>
    <w:rsid w:val="00136C76"/>
    <w:rsid w:val="00136D02"/>
    <w:rsid w:val="00136DEF"/>
    <w:rsid w:val="00136F23"/>
    <w:rsid w:val="00136FAD"/>
    <w:rsid w:val="00136FD5"/>
    <w:rsid w:val="00137038"/>
    <w:rsid w:val="00137091"/>
    <w:rsid w:val="001370C5"/>
    <w:rsid w:val="001370C9"/>
    <w:rsid w:val="00137147"/>
    <w:rsid w:val="0013725F"/>
    <w:rsid w:val="00137268"/>
    <w:rsid w:val="001372F3"/>
    <w:rsid w:val="00137341"/>
    <w:rsid w:val="00137362"/>
    <w:rsid w:val="0013751E"/>
    <w:rsid w:val="001376BE"/>
    <w:rsid w:val="0013777D"/>
    <w:rsid w:val="00137F56"/>
    <w:rsid w:val="00137F71"/>
    <w:rsid w:val="00140093"/>
    <w:rsid w:val="00140161"/>
    <w:rsid w:val="0014046A"/>
    <w:rsid w:val="001407CA"/>
    <w:rsid w:val="0014087A"/>
    <w:rsid w:val="001408EA"/>
    <w:rsid w:val="00140ADE"/>
    <w:rsid w:val="00140B51"/>
    <w:rsid w:val="00140B6A"/>
    <w:rsid w:val="00140CBA"/>
    <w:rsid w:val="00140D72"/>
    <w:rsid w:val="00140ECB"/>
    <w:rsid w:val="00141086"/>
    <w:rsid w:val="001410F8"/>
    <w:rsid w:val="00141127"/>
    <w:rsid w:val="0014119E"/>
    <w:rsid w:val="001411A8"/>
    <w:rsid w:val="001412D5"/>
    <w:rsid w:val="00141379"/>
    <w:rsid w:val="00141431"/>
    <w:rsid w:val="001415CC"/>
    <w:rsid w:val="001415E0"/>
    <w:rsid w:val="001415F3"/>
    <w:rsid w:val="001416D6"/>
    <w:rsid w:val="001416F6"/>
    <w:rsid w:val="0014179E"/>
    <w:rsid w:val="001417B5"/>
    <w:rsid w:val="001417DE"/>
    <w:rsid w:val="001418CD"/>
    <w:rsid w:val="001419CC"/>
    <w:rsid w:val="001419EF"/>
    <w:rsid w:val="00141B58"/>
    <w:rsid w:val="00141BE2"/>
    <w:rsid w:val="00141BE8"/>
    <w:rsid w:val="00141CD5"/>
    <w:rsid w:val="00141D48"/>
    <w:rsid w:val="00141D81"/>
    <w:rsid w:val="00141DC7"/>
    <w:rsid w:val="00141DD0"/>
    <w:rsid w:val="00141ED4"/>
    <w:rsid w:val="00141F02"/>
    <w:rsid w:val="00141F49"/>
    <w:rsid w:val="00141F5E"/>
    <w:rsid w:val="00141FE2"/>
    <w:rsid w:val="00142001"/>
    <w:rsid w:val="00142008"/>
    <w:rsid w:val="00142141"/>
    <w:rsid w:val="001421A6"/>
    <w:rsid w:val="00142278"/>
    <w:rsid w:val="00142488"/>
    <w:rsid w:val="001424EE"/>
    <w:rsid w:val="00142515"/>
    <w:rsid w:val="00142525"/>
    <w:rsid w:val="001425F6"/>
    <w:rsid w:val="0014266C"/>
    <w:rsid w:val="0014269D"/>
    <w:rsid w:val="001426C9"/>
    <w:rsid w:val="001426E3"/>
    <w:rsid w:val="00142703"/>
    <w:rsid w:val="00142763"/>
    <w:rsid w:val="001428D3"/>
    <w:rsid w:val="00142910"/>
    <w:rsid w:val="00142968"/>
    <w:rsid w:val="00142A17"/>
    <w:rsid w:val="00142A23"/>
    <w:rsid w:val="00142B06"/>
    <w:rsid w:val="00142B4E"/>
    <w:rsid w:val="00142B70"/>
    <w:rsid w:val="00142BB5"/>
    <w:rsid w:val="00142C86"/>
    <w:rsid w:val="00142CF9"/>
    <w:rsid w:val="00142DA3"/>
    <w:rsid w:val="00142DF0"/>
    <w:rsid w:val="00142EB6"/>
    <w:rsid w:val="00142EDA"/>
    <w:rsid w:val="00142F6F"/>
    <w:rsid w:val="00142FB0"/>
    <w:rsid w:val="001430AB"/>
    <w:rsid w:val="0014323D"/>
    <w:rsid w:val="00143267"/>
    <w:rsid w:val="001433BB"/>
    <w:rsid w:val="001433C4"/>
    <w:rsid w:val="00143547"/>
    <w:rsid w:val="00143995"/>
    <w:rsid w:val="00143A22"/>
    <w:rsid w:val="00143B57"/>
    <w:rsid w:val="00143D11"/>
    <w:rsid w:val="00143E3B"/>
    <w:rsid w:val="00143F1F"/>
    <w:rsid w:val="00143F9A"/>
    <w:rsid w:val="00144106"/>
    <w:rsid w:val="00144301"/>
    <w:rsid w:val="0014440B"/>
    <w:rsid w:val="00144447"/>
    <w:rsid w:val="0014451D"/>
    <w:rsid w:val="00144565"/>
    <w:rsid w:val="0014460F"/>
    <w:rsid w:val="0014478B"/>
    <w:rsid w:val="0014486F"/>
    <w:rsid w:val="001448EE"/>
    <w:rsid w:val="00144A18"/>
    <w:rsid w:val="00144A30"/>
    <w:rsid w:val="00144A58"/>
    <w:rsid w:val="00144AA2"/>
    <w:rsid w:val="00144B8F"/>
    <w:rsid w:val="00144CBA"/>
    <w:rsid w:val="00144CD2"/>
    <w:rsid w:val="00144D25"/>
    <w:rsid w:val="00144FEC"/>
    <w:rsid w:val="00144FF8"/>
    <w:rsid w:val="0014538C"/>
    <w:rsid w:val="00145440"/>
    <w:rsid w:val="00145589"/>
    <w:rsid w:val="0014558A"/>
    <w:rsid w:val="0014569A"/>
    <w:rsid w:val="00145906"/>
    <w:rsid w:val="00145981"/>
    <w:rsid w:val="00145997"/>
    <w:rsid w:val="00145A01"/>
    <w:rsid w:val="00145A0C"/>
    <w:rsid w:val="00145A53"/>
    <w:rsid w:val="00145AB8"/>
    <w:rsid w:val="00145AC1"/>
    <w:rsid w:val="00145B5E"/>
    <w:rsid w:val="00145C08"/>
    <w:rsid w:val="00145C20"/>
    <w:rsid w:val="00145C6D"/>
    <w:rsid w:val="00145D8E"/>
    <w:rsid w:val="00145ED5"/>
    <w:rsid w:val="00145ED9"/>
    <w:rsid w:val="00145F36"/>
    <w:rsid w:val="00146135"/>
    <w:rsid w:val="001461A1"/>
    <w:rsid w:val="001461DB"/>
    <w:rsid w:val="0014629E"/>
    <w:rsid w:val="0014643A"/>
    <w:rsid w:val="001465F9"/>
    <w:rsid w:val="00146608"/>
    <w:rsid w:val="00146646"/>
    <w:rsid w:val="0014664A"/>
    <w:rsid w:val="0014679E"/>
    <w:rsid w:val="001467F1"/>
    <w:rsid w:val="001468E8"/>
    <w:rsid w:val="001469D6"/>
    <w:rsid w:val="00146A09"/>
    <w:rsid w:val="00146B30"/>
    <w:rsid w:val="00146B70"/>
    <w:rsid w:val="00146B78"/>
    <w:rsid w:val="00146D14"/>
    <w:rsid w:val="00146DD9"/>
    <w:rsid w:val="00146F36"/>
    <w:rsid w:val="00146F4B"/>
    <w:rsid w:val="00146F9C"/>
    <w:rsid w:val="00146FDD"/>
    <w:rsid w:val="00147082"/>
    <w:rsid w:val="0014731F"/>
    <w:rsid w:val="001474D9"/>
    <w:rsid w:val="00147632"/>
    <w:rsid w:val="0014765B"/>
    <w:rsid w:val="0014766D"/>
    <w:rsid w:val="001478EB"/>
    <w:rsid w:val="00147929"/>
    <w:rsid w:val="00147AEB"/>
    <w:rsid w:val="00147AEE"/>
    <w:rsid w:val="00147CD4"/>
    <w:rsid w:val="00147D3C"/>
    <w:rsid w:val="00147F08"/>
    <w:rsid w:val="00147F1A"/>
    <w:rsid w:val="00147FD3"/>
    <w:rsid w:val="00147FD9"/>
    <w:rsid w:val="00147FDA"/>
    <w:rsid w:val="001501FF"/>
    <w:rsid w:val="0015022C"/>
    <w:rsid w:val="0015031C"/>
    <w:rsid w:val="00150338"/>
    <w:rsid w:val="001503C1"/>
    <w:rsid w:val="0015058B"/>
    <w:rsid w:val="0015060D"/>
    <w:rsid w:val="00150611"/>
    <w:rsid w:val="00150622"/>
    <w:rsid w:val="00150798"/>
    <w:rsid w:val="001507BD"/>
    <w:rsid w:val="0015090F"/>
    <w:rsid w:val="0015091E"/>
    <w:rsid w:val="00150944"/>
    <w:rsid w:val="00150979"/>
    <w:rsid w:val="00150995"/>
    <w:rsid w:val="00150BA8"/>
    <w:rsid w:val="00150D28"/>
    <w:rsid w:val="00150D9E"/>
    <w:rsid w:val="00150DE4"/>
    <w:rsid w:val="00150F1A"/>
    <w:rsid w:val="00150F75"/>
    <w:rsid w:val="00151042"/>
    <w:rsid w:val="00151106"/>
    <w:rsid w:val="0015111E"/>
    <w:rsid w:val="0015132B"/>
    <w:rsid w:val="001513F1"/>
    <w:rsid w:val="00151491"/>
    <w:rsid w:val="00151563"/>
    <w:rsid w:val="001515BB"/>
    <w:rsid w:val="001516C1"/>
    <w:rsid w:val="00151714"/>
    <w:rsid w:val="00151813"/>
    <w:rsid w:val="00151832"/>
    <w:rsid w:val="00151889"/>
    <w:rsid w:val="001518BE"/>
    <w:rsid w:val="001518E3"/>
    <w:rsid w:val="00151A24"/>
    <w:rsid w:val="00151A81"/>
    <w:rsid w:val="00151BA1"/>
    <w:rsid w:val="00151C61"/>
    <w:rsid w:val="00151CCD"/>
    <w:rsid w:val="00151D03"/>
    <w:rsid w:val="00151D1A"/>
    <w:rsid w:val="00151D64"/>
    <w:rsid w:val="001520A3"/>
    <w:rsid w:val="00152104"/>
    <w:rsid w:val="00152150"/>
    <w:rsid w:val="0015228C"/>
    <w:rsid w:val="0015242C"/>
    <w:rsid w:val="00152537"/>
    <w:rsid w:val="00152538"/>
    <w:rsid w:val="0015259E"/>
    <w:rsid w:val="00152928"/>
    <w:rsid w:val="001529A9"/>
    <w:rsid w:val="001529CE"/>
    <w:rsid w:val="001529F7"/>
    <w:rsid w:val="00152A1D"/>
    <w:rsid w:val="00152A70"/>
    <w:rsid w:val="00152AEB"/>
    <w:rsid w:val="00152AF1"/>
    <w:rsid w:val="00152B96"/>
    <w:rsid w:val="00152E1F"/>
    <w:rsid w:val="00152E31"/>
    <w:rsid w:val="00152E3E"/>
    <w:rsid w:val="00152F30"/>
    <w:rsid w:val="00153019"/>
    <w:rsid w:val="00153254"/>
    <w:rsid w:val="0015327F"/>
    <w:rsid w:val="001532C7"/>
    <w:rsid w:val="00153301"/>
    <w:rsid w:val="0015340C"/>
    <w:rsid w:val="00153508"/>
    <w:rsid w:val="0015350B"/>
    <w:rsid w:val="001536AF"/>
    <w:rsid w:val="00153764"/>
    <w:rsid w:val="001537A5"/>
    <w:rsid w:val="00153809"/>
    <w:rsid w:val="001538F4"/>
    <w:rsid w:val="00153948"/>
    <w:rsid w:val="00153AFF"/>
    <w:rsid w:val="00153B6B"/>
    <w:rsid w:val="00153C9B"/>
    <w:rsid w:val="00153D78"/>
    <w:rsid w:val="00154011"/>
    <w:rsid w:val="00154101"/>
    <w:rsid w:val="001541BF"/>
    <w:rsid w:val="001541D4"/>
    <w:rsid w:val="00154277"/>
    <w:rsid w:val="001542A9"/>
    <w:rsid w:val="001542B8"/>
    <w:rsid w:val="001543AB"/>
    <w:rsid w:val="0015453F"/>
    <w:rsid w:val="0015465D"/>
    <w:rsid w:val="001546BE"/>
    <w:rsid w:val="0015485F"/>
    <w:rsid w:val="001548A4"/>
    <w:rsid w:val="0015493F"/>
    <w:rsid w:val="00154995"/>
    <w:rsid w:val="00154A09"/>
    <w:rsid w:val="00154A40"/>
    <w:rsid w:val="00154A68"/>
    <w:rsid w:val="00154BA3"/>
    <w:rsid w:val="00154C5B"/>
    <w:rsid w:val="00154D1D"/>
    <w:rsid w:val="00154D86"/>
    <w:rsid w:val="00154DB5"/>
    <w:rsid w:val="00155005"/>
    <w:rsid w:val="001550FD"/>
    <w:rsid w:val="0015514A"/>
    <w:rsid w:val="001551A0"/>
    <w:rsid w:val="00155254"/>
    <w:rsid w:val="001552E0"/>
    <w:rsid w:val="00155347"/>
    <w:rsid w:val="00155353"/>
    <w:rsid w:val="0015563B"/>
    <w:rsid w:val="001556B2"/>
    <w:rsid w:val="00155991"/>
    <w:rsid w:val="001559D2"/>
    <w:rsid w:val="00155B32"/>
    <w:rsid w:val="00155BB1"/>
    <w:rsid w:val="00155D19"/>
    <w:rsid w:val="00155F03"/>
    <w:rsid w:val="001560CA"/>
    <w:rsid w:val="00156171"/>
    <w:rsid w:val="00156249"/>
    <w:rsid w:val="001562DA"/>
    <w:rsid w:val="00156359"/>
    <w:rsid w:val="0015648A"/>
    <w:rsid w:val="00156651"/>
    <w:rsid w:val="001566FA"/>
    <w:rsid w:val="0015678F"/>
    <w:rsid w:val="00156802"/>
    <w:rsid w:val="00156822"/>
    <w:rsid w:val="00156842"/>
    <w:rsid w:val="001568CB"/>
    <w:rsid w:val="00156ABE"/>
    <w:rsid w:val="00156BE5"/>
    <w:rsid w:val="00156C7B"/>
    <w:rsid w:val="00156D5F"/>
    <w:rsid w:val="00156F70"/>
    <w:rsid w:val="001570CF"/>
    <w:rsid w:val="00157156"/>
    <w:rsid w:val="00157174"/>
    <w:rsid w:val="00157353"/>
    <w:rsid w:val="00157411"/>
    <w:rsid w:val="00157534"/>
    <w:rsid w:val="001575D5"/>
    <w:rsid w:val="0015762F"/>
    <w:rsid w:val="001576B1"/>
    <w:rsid w:val="00157754"/>
    <w:rsid w:val="00157A33"/>
    <w:rsid w:val="00157A3F"/>
    <w:rsid w:val="00157A6F"/>
    <w:rsid w:val="00157AD9"/>
    <w:rsid w:val="00157B53"/>
    <w:rsid w:val="00157BF2"/>
    <w:rsid w:val="00157C10"/>
    <w:rsid w:val="00157CBF"/>
    <w:rsid w:val="00157CDA"/>
    <w:rsid w:val="00157D30"/>
    <w:rsid w:val="00157D6A"/>
    <w:rsid w:val="00157F91"/>
    <w:rsid w:val="001601E4"/>
    <w:rsid w:val="00160294"/>
    <w:rsid w:val="00160396"/>
    <w:rsid w:val="0016045F"/>
    <w:rsid w:val="0016049A"/>
    <w:rsid w:val="001605AD"/>
    <w:rsid w:val="001605D3"/>
    <w:rsid w:val="00160659"/>
    <w:rsid w:val="00160846"/>
    <w:rsid w:val="001608DD"/>
    <w:rsid w:val="001608E4"/>
    <w:rsid w:val="0016091A"/>
    <w:rsid w:val="00160C7E"/>
    <w:rsid w:val="00160D47"/>
    <w:rsid w:val="00160E68"/>
    <w:rsid w:val="00160F2C"/>
    <w:rsid w:val="001610C7"/>
    <w:rsid w:val="0016112C"/>
    <w:rsid w:val="0016132A"/>
    <w:rsid w:val="0016141A"/>
    <w:rsid w:val="0016145B"/>
    <w:rsid w:val="0016146F"/>
    <w:rsid w:val="0016147B"/>
    <w:rsid w:val="0016149B"/>
    <w:rsid w:val="001614F0"/>
    <w:rsid w:val="00161823"/>
    <w:rsid w:val="001619B4"/>
    <w:rsid w:val="001619F7"/>
    <w:rsid w:val="00161D40"/>
    <w:rsid w:val="00161D4D"/>
    <w:rsid w:val="00161EAD"/>
    <w:rsid w:val="00162003"/>
    <w:rsid w:val="00162028"/>
    <w:rsid w:val="00162046"/>
    <w:rsid w:val="0016208A"/>
    <w:rsid w:val="001620CB"/>
    <w:rsid w:val="0016214A"/>
    <w:rsid w:val="001621D0"/>
    <w:rsid w:val="001621F0"/>
    <w:rsid w:val="00162228"/>
    <w:rsid w:val="00162392"/>
    <w:rsid w:val="001624AC"/>
    <w:rsid w:val="00162524"/>
    <w:rsid w:val="0016261F"/>
    <w:rsid w:val="00162673"/>
    <w:rsid w:val="0016277A"/>
    <w:rsid w:val="001627B7"/>
    <w:rsid w:val="0016281F"/>
    <w:rsid w:val="00162872"/>
    <w:rsid w:val="001629BF"/>
    <w:rsid w:val="001629C6"/>
    <w:rsid w:val="00162ACE"/>
    <w:rsid w:val="00162BC7"/>
    <w:rsid w:val="00162C39"/>
    <w:rsid w:val="00162CA2"/>
    <w:rsid w:val="00162CE8"/>
    <w:rsid w:val="00162FA2"/>
    <w:rsid w:val="00162FB7"/>
    <w:rsid w:val="00163080"/>
    <w:rsid w:val="00163102"/>
    <w:rsid w:val="001631B5"/>
    <w:rsid w:val="001631D5"/>
    <w:rsid w:val="001631EA"/>
    <w:rsid w:val="001633A8"/>
    <w:rsid w:val="0016344D"/>
    <w:rsid w:val="00163523"/>
    <w:rsid w:val="00163533"/>
    <w:rsid w:val="001635C0"/>
    <w:rsid w:val="001635D1"/>
    <w:rsid w:val="001636A7"/>
    <w:rsid w:val="00163776"/>
    <w:rsid w:val="0016385C"/>
    <w:rsid w:val="00163904"/>
    <w:rsid w:val="00163971"/>
    <w:rsid w:val="001639D1"/>
    <w:rsid w:val="00163A3B"/>
    <w:rsid w:val="00163CB0"/>
    <w:rsid w:val="00163EAD"/>
    <w:rsid w:val="00163EBB"/>
    <w:rsid w:val="00163F01"/>
    <w:rsid w:val="00163FE4"/>
    <w:rsid w:val="00164062"/>
    <w:rsid w:val="00164134"/>
    <w:rsid w:val="001641FF"/>
    <w:rsid w:val="00164325"/>
    <w:rsid w:val="00164341"/>
    <w:rsid w:val="00164344"/>
    <w:rsid w:val="00164399"/>
    <w:rsid w:val="00164475"/>
    <w:rsid w:val="0016448E"/>
    <w:rsid w:val="00164598"/>
    <w:rsid w:val="00164699"/>
    <w:rsid w:val="001647C6"/>
    <w:rsid w:val="00164905"/>
    <w:rsid w:val="00164A49"/>
    <w:rsid w:val="00164A94"/>
    <w:rsid w:val="00164BD1"/>
    <w:rsid w:val="00164E04"/>
    <w:rsid w:val="00164E2E"/>
    <w:rsid w:val="00164E43"/>
    <w:rsid w:val="00164F9D"/>
    <w:rsid w:val="00164FC9"/>
    <w:rsid w:val="0016504F"/>
    <w:rsid w:val="0016512A"/>
    <w:rsid w:val="00165339"/>
    <w:rsid w:val="00165397"/>
    <w:rsid w:val="00165400"/>
    <w:rsid w:val="001656C0"/>
    <w:rsid w:val="001657C8"/>
    <w:rsid w:val="00165877"/>
    <w:rsid w:val="00165921"/>
    <w:rsid w:val="001659CF"/>
    <w:rsid w:val="00165AA9"/>
    <w:rsid w:val="00165ABD"/>
    <w:rsid w:val="00165B11"/>
    <w:rsid w:val="00165BEC"/>
    <w:rsid w:val="00165BF6"/>
    <w:rsid w:val="00165BF9"/>
    <w:rsid w:val="00165C12"/>
    <w:rsid w:val="00165CA9"/>
    <w:rsid w:val="00165D52"/>
    <w:rsid w:val="00165F84"/>
    <w:rsid w:val="00166035"/>
    <w:rsid w:val="00166150"/>
    <w:rsid w:val="00166195"/>
    <w:rsid w:val="001661B1"/>
    <w:rsid w:val="00166344"/>
    <w:rsid w:val="00166368"/>
    <w:rsid w:val="00166556"/>
    <w:rsid w:val="00166572"/>
    <w:rsid w:val="001665FA"/>
    <w:rsid w:val="001666D1"/>
    <w:rsid w:val="00166734"/>
    <w:rsid w:val="0016678D"/>
    <w:rsid w:val="001667B6"/>
    <w:rsid w:val="001668D8"/>
    <w:rsid w:val="001669C8"/>
    <w:rsid w:val="00166B39"/>
    <w:rsid w:val="00166BB5"/>
    <w:rsid w:val="00166BCC"/>
    <w:rsid w:val="00166C52"/>
    <w:rsid w:val="00166C87"/>
    <w:rsid w:val="00166D07"/>
    <w:rsid w:val="00166D9F"/>
    <w:rsid w:val="00166DBD"/>
    <w:rsid w:val="00166FCA"/>
    <w:rsid w:val="0016705E"/>
    <w:rsid w:val="0016725F"/>
    <w:rsid w:val="0016730B"/>
    <w:rsid w:val="00167318"/>
    <w:rsid w:val="0016745F"/>
    <w:rsid w:val="0016746D"/>
    <w:rsid w:val="00167594"/>
    <w:rsid w:val="00167604"/>
    <w:rsid w:val="0016760F"/>
    <w:rsid w:val="0016766B"/>
    <w:rsid w:val="001676D7"/>
    <w:rsid w:val="00167762"/>
    <w:rsid w:val="0016777F"/>
    <w:rsid w:val="0016783C"/>
    <w:rsid w:val="001678C0"/>
    <w:rsid w:val="00167950"/>
    <w:rsid w:val="00167961"/>
    <w:rsid w:val="00167A95"/>
    <w:rsid w:val="00167AD5"/>
    <w:rsid w:val="00167B10"/>
    <w:rsid w:val="00167B84"/>
    <w:rsid w:val="00167FEE"/>
    <w:rsid w:val="00170003"/>
    <w:rsid w:val="00170020"/>
    <w:rsid w:val="00170168"/>
    <w:rsid w:val="00170323"/>
    <w:rsid w:val="0017038E"/>
    <w:rsid w:val="001703B8"/>
    <w:rsid w:val="00170557"/>
    <w:rsid w:val="001706DC"/>
    <w:rsid w:val="001708EE"/>
    <w:rsid w:val="00170961"/>
    <w:rsid w:val="00170B4A"/>
    <w:rsid w:val="00170B84"/>
    <w:rsid w:val="00170C5B"/>
    <w:rsid w:val="00170C6B"/>
    <w:rsid w:val="00170C90"/>
    <w:rsid w:val="00170F7A"/>
    <w:rsid w:val="00170FCD"/>
    <w:rsid w:val="00170FCE"/>
    <w:rsid w:val="00171109"/>
    <w:rsid w:val="0017126B"/>
    <w:rsid w:val="001713E5"/>
    <w:rsid w:val="001715F3"/>
    <w:rsid w:val="001716FC"/>
    <w:rsid w:val="001717F2"/>
    <w:rsid w:val="0017195C"/>
    <w:rsid w:val="001719EA"/>
    <w:rsid w:val="00171BE0"/>
    <w:rsid w:val="00171BE6"/>
    <w:rsid w:val="00171BF7"/>
    <w:rsid w:val="00171C0A"/>
    <w:rsid w:val="00171C1D"/>
    <w:rsid w:val="00171D58"/>
    <w:rsid w:val="00171E53"/>
    <w:rsid w:val="00171E5B"/>
    <w:rsid w:val="00171F8B"/>
    <w:rsid w:val="00172061"/>
    <w:rsid w:val="0017206D"/>
    <w:rsid w:val="00172115"/>
    <w:rsid w:val="001721CE"/>
    <w:rsid w:val="0017259C"/>
    <w:rsid w:val="00172694"/>
    <w:rsid w:val="001726C1"/>
    <w:rsid w:val="00172711"/>
    <w:rsid w:val="00172752"/>
    <w:rsid w:val="00172875"/>
    <w:rsid w:val="00172ADB"/>
    <w:rsid w:val="00172BC3"/>
    <w:rsid w:val="00172BCD"/>
    <w:rsid w:val="00172BE7"/>
    <w:rsid w:val="00172BF6"/>
    <w:rsid w:val="00172C71"/>
    <w:rsid w:val="00172E5F"/>
    <w:rsid w:val="00172F54"/>
    <w:rsid w:val="001730E2"/>
    <w:rsid w:val="00173243"/>
    <w:rsid w:val="00173456"/>
    <w:rsid w:val="00173731"/>
    <w:rsid w:val="001737F9"/>
    <w:rsid w:val="00173819"/>
    <w:rsid w:val="0017386A"/>
    <w:rsid w:val="0017387B"/>
    <w:rsid w:val="00173899"/>
    <w:rsid w:val="00173963"/>
    <w:rsid w:val="001739EE"/>
    <w:rsid w:val="00173AE4"/>
    <w:rsid w:val="00173BC9"/>
    <w:rsid w:val="00173C7F"/>
    <w:rsid w:val="00173D9A"/>
    <w:rsid w:val="00173DD9"/>
    <w:rsid w:val="00173DE5"/>
    <w:rsid w:val="00173E09"/>
    <w:rsid w:val="00173FF4"/>
    <w:rsid w:val="00174057"/>
    <w:rsid w:val="001741F5"/>
    <w:rsid w:val="001742B5"/>
    <w:rsid w:val="001742E4"/>
    <w:rsid w:val="001744E5"/>
    <w:rsid w:val="00174537"/>
    <w:rsid w:val="0017468C"/>
    <w:rsid w:val="0017471D"/>
    <w:rsid w:val="0017476A"/>
    <w:rsid w:val="001747FD"/>
    <w:rsid w:val="001749FD"/>
    <w:rsid w:val="00174A7E"/>
    <w:rsid w:val="00174B58"/>
    <w:rsid w:val="00174C7C"/>
    <w:rsid w:val="00174D60"/>
    <w:rsid w:val="00174E12"/>
    <w:rsid w:val="00174E9C"/>
    <w:rsid w:val="00174F09"/>
    <w:rsid w:val="00174FC0"/>
    <w:rsid w:val="001751CC"/>
    <w:rsid w:val="001751E7"/>
    <w:rsid w:val="001752D2"/>
    <w:rsid w:val="001752EB"/>
    <w:rsid w:val="00175314"/>
    <w:rsid w:val="0017532B"/>
    <w:rsid w:val="0017564C"/>
    <w:rsid w:val="001757AB"/>
    <w:rsid w:val="001757B5"/>
    <w:rsid w:val="00175825"/>
    <w:rsid w:val="00175853"/>
    <w:rsid w:val="0017591E"/>
    <w:rsid w:val="00175AD5"/>
    <w:rsid w:val="00175DD7"/>
    <w:rsid w:val="00175ED7"/>
    <w:rsid w:val="00175F5A"/>
    <w:rsid w:val="001761CE"/>
    <w:rsid w:val="0017642C"/>
    <w:rsid w:val="0017646F"/>
    <w:rsid w:val="00176498"/>
    <w:rsid w:val="0017651E"/>
    <w:rsid w:val="00176577"/>
    <w:rsid w:val="00176585"/>
    <w:rsid w:val="00176641"/>
    <w:rsid w:val="001768AC"/>
    <w:rsid w:val="001768B9"/>
    <w:rsid w:val="001768F5"/>
    <w:rsid w:val="00176964"/>
    <w:rsid w:val="001769DD"/>
    <w:rsid w:val="00176B23"/>
    <w:rsid w:val="00176BB7"/>
    <w:rsid w:val="00176CE5"/>
    <w:rsid w:val="00176EB1"/>
    <w:rsid w:val="00176FE1"/>
    <w:rsid w:val="00177021"/>
    <w:rsid w:val="00177056"/>
    <w:rsid w:val="001770B4"/>
    <w:rsid w:val="00177166"/>
    <w:rsid w:val="001771B3"/>
    <w:rsid w:val="001771BE"/>
    <w:rsid w:val="001771D3"/>
    <w:rsid w:val="00177218"/>
    <w:rsid w:val="00177267"/>
    <w:rsid w:val="001773A9"/>
    <w:rsid w:val="00177546"/>
    <w:rsid w:val="00177566"/>
    <w:rsid w:val="0017784D"/>
    <w:rsid w:val="001779C8"/>
    <w:rsid w:val="00177B21"/>
    <w:rsid w:val="00177B80"/>
    <w:rsid w:val="00177B82"/>
    <w:rsid w:val="00177B9B"/>
    <w:rsid w:val="00177BC4"/>
    <w:rsid w:val="00177CC6"/>
    <w:rsid w:val="00177DD0"/>
    <w:rsid w:val="00177E7B"/>
    <w:rsid w:val="00177F2A"/>
    <w:rsid w:val="00180096"/>
    <w:rsid w:val="00180137"/>
    <w:rsid w:val="0018026F"/>
    <w:rsid w:val="001803A2"/>
    <w:rsid w:val="001803F2"/>
    <w:rsid w:val="001804FF"/>
    <w:rsid w:val="0018051D"/>
    <w:rsid w:val="00180596"/>
    <w:rsid w:val="001805C7"/>
    <w:rsid w:val="00180645"/>
    <w:rsid w:val="0018067E"/>
    <w:rsid w:val="00180688"/>
    <w:rsid w:val="0018068B"/>
    <w:rsid w:val="0018082A"/>
    <w:rsid w:val="001809BD"/>
    <w:rsid w:val="00180A33"/>
    <w:rsid w:val="00180AD8"/>
    <w:rsid w:val="00180C9F"/>
    <w:rsid w:val="00180DB5"/>
    <w:rsid w:val="00180E49"/>
    <w:rsid w:val="00180E6F"/>
    <w:rsid w:val="00181294"/>
    <w:rsid w:val="00181381"/>
    <w:rsid w:val="001813C3"/>
    <w:rsid w:val="00181402"/>
    <w:rsid w:val="0018153E"/>
    <w:rsid w:val="00181632"/>
    <w:rsid w:val="0018164D"/>
    <w:rsid w:val="001816E2"/>
    <w:rsid w:val="001817C8"/>
    <w:rsid w:val="001817CF"/>
    <w:rsid w:val="00181805"/>
    <w:rsid w:val="00181851"/>
    <w:rsid w:val="00181905"/>
    <w:rsid w:val="00181C04"/>
    <w:rsid w:val="00181C07"/>
    <w:rsid w:val="00181C31"/>
    <w:rsid w:val="00181C67"/>
    <w:rsid w:val="00181CCF"/>
    <w:rsid w:val="00181DBD"/>
    <w:rsid w:val="00181DFB"/>
    <w:rsid w:val="00181E14"/>
    <w:rsid w:val="00181E66"/>
    <w:rsid w:val="00181EC2"/>
    <w:rsid w:val="00181F5E"/>
    <w:rsid w:val="00182039"/>
    <w:rsid w:val="00182089"/>
    <w:rsid w:val="0018215B"/>
    <w:rsid w:val="001821D2"/>
    <w:rsid w:val="00182380"/>
    <w:rsid w:val="001823B0"/>
    <w:rsid w:val="0018249D"/>
    <w:rsid w:val="001824F0"/>
    <w:rsid w:val="0018253C"/>
    <w:rsid w:val="001825AA"/>
    <w:rsid w:val="001827B0"/>
    <w:rsid w:val="00182825"/>
    <w:rsid w:val="00182924"/>
    <w:rsid w:val="00182A80"/>
    <w:rsid w:val="00182B0C"/>
    <w:rsid w:val="00182BD7"/>
    <w:rsid w:val="00182BF0"/>
    <w:rsid w:val="00182BF4"/>
    <w:rsid w:val="00182CA2"/>
    <w:rsid w:val="00182CC8"/>
    <w:rsid w:val="00182E07"/>
    <w:rsid w:val="00182EA9"/>
    <w:rsid w:val="00182F79"/>
    <w:rsid w:val="001830C4"/>
    <w:rsid w:val="00183309"/>
    <w:rsid w:val="001833E9"/>
    <w:rsid w:val="00183413"/>
    <w:rsid w:val="0018353F"/>
    <w:rsid w:val="00183550"/>
    <w:rsid w:val="001835AF"/>
    <w:rsid w:val="001836F4"/>
    <w:rsid w:val="00183781"/>
    <w:rsid w:val="001837FE"/>
    <w:rsid w:val="001838E5"/>
    <w:rsid w:val="001839EB"/>
    <w:rsid w:val="00183A24"/>
    <w:rsid w:val="00183AFE"/>
    <w:rsid w:val="00183B75"/>
    <w:rsid w:val="00183BA9"/>
    <w:rsid w:val="00183CCC"/>
    <w:rsid w:val="00183CEF"/>
    <w:rsid w:val="00183D1D"/>
    <w:rsid w:val="00183E63"/>
    <w:rsid w:val="00183F44"/>
    <w:rsid w:val="00183F92"/>
    <w:rsid w:val="001840D9"/>
    <w:rsid w:val="00184151"/>
    <w:rsid w:val="00184377"/>
    <w:rsid w:val="00184378"/>
    <w:rsid w:val="001844BB"/>
    <w:rsid w:val="0018456A"/>
    <w:rsid w:val="001845B5"/>
    <w:rsid w:val="00184710"/>
    <w:rsid w:val="001848E7"/>
    <w:rsid w:val="001849BE"/>
    <w:rsid w:val="00184ADC"/>
    <w:rsid w:val="00184E5E"/>
    <w:rsid w:val="00184E84"/>
    <w:rsid w:val="00184FE5"/>
    <w:rsid w:val="00185160"/>
    <w:rsid w:val="00185175"/>
    <w:rsid w:val="001851DD"/>
    <w:rsid w:val="00185203"/>
    <w:rsid w:val="001852C9"/>
    <w:rsid w:val="00185444"/>
    <w:rsid w:val="00185457"/>
    <w:rsid w:val="0018545C"/>
    <w:rsid w:val="00185547"/>
    <w:rsid w:val="0018566F"/>
    <w:rsid w:val="0018568F"/>
    <w:rsid w:val="0018570C"/>
    <w:rsid w:val="00185729"/>
    <w:rsid w:val="001857DC"/>
    <w:rsid w:val="0018583E"/>
    <w:rsid w:val="001858B0"/>
    <w:rsid w:val="00185950"/>
    <w:rsid w:val="001859FF"/>
    <w:rsid w:val="00185BCA"/>
    <w:rsid w:val="00185CF8"/>
    <w:rsid w:val="001862DB"/>
    <w:rsid w:val="00186342"/>
    <w:rsid w:val="0018636D"/>
    <w:rsid w:val="0018650D"/>
    <w:rsid w:val="00186547"/>
    <w:rsid w:val="00186831"/>
    <w:rsid w:val="001868E0"/>
    <w:rsid w:val="00186ABB"/>
    <w:rsid w:val="00186AC3"/>
    <w:rsid w:val="00186B59"/>
    <w:rsid w:val="00186CE5"/>
    <w:rsid w:val="00186E9E"/>
    <w:rsid w:val="00186EFE"/>
    <w:rsid w:val="00186FE0"/>
    <w:rsid w:val="00187023"/>
    <w:rsid w:val="001872F6"/>
    <w:rsid w:val="00187365"/>
    <w:rsid w:val="001874CF"/>
    <w:rsid w:val="00187509"/>
    <w:rsid w:val="00187526"/>
    <w:rsid w:val="001875E9"/>
    <w:rsid w:val="001875FF"/>
    <w:rsid w:val="0018776A"/>
    <w:rsid w:val="00187795"/>
    <w:rsid w:val="00187833"/>
    <w:rsid w:val="00187849"/>
    <w:rsid w:val="001878E4"/>
    <w:rsid w:val="00187993"/>
    <w:rsid w:val="00187B6F"/>
    <w:rsid w:val="00187C63"/>
    <w:rsid w:val="00187EA5"/>
    <w:rsid w:val="00187FC8"/>
    <w:rsid w:val="0019006E"/>
    <w:rsid w:val="00190093"/>
    <w:rsid w:val="00190306"/>
    <w:rsid w:val="0019047E"/>
    <w:rsid w:val="001904B1"/>
    <w:rsid w:val="001904F1"/>
    <w:rsid w:val="001905A9"/>
    <w:rsid w:val="001906C3"/>
    <w:rsid w:val="001906D1"/>
    <w:rsid w:val="001909FD"/>
    <w:rsid w:val="00190BAC"/>
    <w:rsid w:val="00190C83"/>
    <w:rsid w:val="00190D1A"/>
    <w:rsid w:val="00190D5B"/>
    <w:rsid w:val="00190DD1"/>
    <w:rsid w:val="00190ED4"/>
    <w:rsid w:val="00190F29"/>
    <w:rsid w:val="0019106B"/>
    <w:rsid w:val="001910CD"/>
    <w:rsid w:val="0019113B"/>
    <w:rsid w:val="0019119F"/>
    <w:rsid w:val="001911BA"/>
    <w:rsid w:val="0019123B"/>
    <w:rsid w:val="001912F2"/>
    <w:rsid w:val="00191362"/>
    <w:rsid w:val="00191390"/>
    <w:rsid w:val="001913E0"/>
    <w:rsid w:val="0019152F"/>
    <w:rsid w:val="0019158A"/>
    <w:rsid w:val="00191591"/>
    <w:rsid w:val="00191712"/>
    <w:rsid w:val="001917A1"/>
    <w:rsid w:val="001917AB"/>
    <w:rsid w:val="00191817"/>
    <w:rsid w:val="001918C1"/>
    <w:rsid w:val="001918F3"/>
    <w:rsid w:val="00191B9C"/>
    <w:rsid w:val="00191BB1"/>
    <w:rsid w:val="00191BBB"/>
    <w:rsid w:val="00191C06"/>
    <w:rsid w:val="00191F7B"/>
    <w:rsid w:val="0019201E"/>
    <w:rsid w:val="00192086"/>
    <w:rsid w:val="001920C2"/>
    <w:rsid w:val="001922C2"/>
    <w:rsid w:val="00192398"/>
    <w:rsid w:val="0019243F"/>
    <w:rsid w:val="00192455"/>
    <w:rsid w:val="0019245A"/>
    <w:rsid w:val="001924DC"/>
    <w:rsid w:val="001927FE"/>
    <w:rsid w:val="00192978"/>
    <w:rsid w:val="00192A0A"/>
    <w:rsid w:val="00192BA0"/>
    <w:rsid w:val="00192BBA"/>
    <w:rsid w:val="00192C5A"/>
    <w:rsid w:val="00192CEA"/>
    <w:rsid w:val="00192D31"/>
    <w:rsid w:val="00192D88"/>
    <w:rsid w:val="00192EB9"/>
    <w:rsid w:val="00192EF0"/>
    <w:rsid w:val="00192FE9"/>
    <w:rsid w:val="00193049"/>
    <w:rsid w:val="001931F4"/>
    <w:rsid w:val="00193269"/>
    <w:rsid w:val="00193381"/>
    <w:rsid w:val="001933AF"/>
    <w:rsid w:val="001933F0"/>
    <w:rsid w:val="001934B2"/>
    <w:rsid w:val="001934D6"/>
    <w:rsid w:val="0019358B"/>
    <w:rsid w:val="00193735"/>
    <w:rsid w:val="00193790"/>
    <w:rsid w:val="001937AD"/>
    <w:rsid w:val="0019390A"/>
    <w:rsid w:val="0019392D"/>
    <w:rsid w:val="001939A0"/>
    <w:rsid w:val="00193A64"/>
    <w:rsid w:val="00193BAD"/>
    <w:rsid w:val="00193DA5"/>
    <w:rsid w:val="00193DD4"/>
    <w:rsid w:val="00193DE9"/>
    <w:rsid w:val="00193E46"/>
    <w:rsid w:val="00193F02"/>
    <w:rsid w:val="00194184"/>
    <w:rsid w:val="0019427D"/>
    <w:rsid w:val="001942C0"/>
    <w:rsid w:val="00194386"/>
    <w:rsid w:val="0019439D"/>
    <w:rsid w:val="0019454A"/>
    <w:rsid w:val="001946AE"/>
    <w:rsid w:val="0019474E"/>
    <w:rsid w:val="001947EB"/>
    <w:rsid w:val="0019480A"/>
    <w:rsid w:val="0019485F"/>
    <w:rsid w:val="00194B44"/>
    <w:rsid w:val="00194B67"/>
    <w:rsid w:val="00194B6D"/>
    <w:rsid w:val="00194D15"/>
    <w:rsid w:val="00194D8A"/>
    <w:rsid w:val="00194E8B"/>
    <w:rsid w:val="00194F58"/>
    <w:rsid w:val="00195041"/>
    <w:rsid w:val="00195095"/>
    <w:rsid w:val="001950A4"/>
    <w:rsid w:val="00195422"/>
    <w:rsid w:val="001954CE"/>
    <w:rsid w:val="00195904"/>
    <w:rsid w:val="0019596F"/>
    <w:rsid w:val="00195A00"/>
    <w:rsid w:val="00195AB2"/>
    <w:rsid w:val="00195B69"/>
    <w:rsid w:val="00195BB2"/>
    <w:rsid w:val="00195C29"/>
    <w:rsid w:val="00195C58"/>
    <w:rsid w:val="00195D19"/>
    <w:rsid w:val="00195D33"/>
    <w:rsid w:val="00195FEB"/>
    <w:rsid w:val="0019603A"/>
    <w:rsid w:val="0019620E"/>
    <w:rsid w:val="0019634A"/>
    <w:rsid w:val="0019643D"/>
    <w:rsid w:val="001964A3"/>
    <w:rsid w:val="001964A4"/>
    <w:rsid w:val="001964A7"/>
    <w:rsid w:val="001965C0"/>
    <w:rsid w:val="001965E2"/>
    <w:rsid w:val="00196608"/>
    <w:rsid w:val="00196754"/>
    <w:rsid w:val="00196781"/>
    <w:rsid w:val="001967AE"/>
    <w:rsid w:val="0019683C"/>
    <w:rsid w:val="001968A2"/>
    <w:rsid w:val="0019695F"/>
    <w:rsid w:val="00196967"/>
    <w:rsid w:val="00196998"/>
    <w:rsid w:val="00196BA9"/>
    <w:rsid w:val="00196CFF"/>
    <w:rsid w:val="00196DEF"/>
    <w:rsid w:val="00196F84"/>
    <w:rsid w:val="00196F9C"/>
    <w:rsid w:val="00197163"/>
    <w:rsid w:val="0019727B"/>
    <w:rsid w:val="00197465"/>
    <w:rsid w:val="00197642"/>
    <w:rsid w:val="001977B3"/>
    <w:rsid w:val="00197A0D"/>
    <w:rsid w:val="00197A21"/>
    <w:rsid w:val="00197A25"/>
    <w:rsid w:val="00197A93"/>
    <w:rsid w:val="00197C01"/>
    <w:rsid w:val="00197CD0"/>
    <w:rsid w:val="00197DFD"/>
    <w:rsid w:val="00197F40"/>
    <w:rsid w:val="001A0016"/>
    <w:rsid w:val="001A003E"/>
    <w:rsid w:val="001A00C9"/>
    <w:rsid w:val="001A0132"/>
    <w:rsid w:val="001A025E"/>
    <w:rsid w:val="001A02FE"/>
    <w:rsid w:val="001A033D"/>
    <w:rsid w:val="001A03D7"/>
    <w:rsid w:val="001A03FB"/>
    <w:rsid w:val="001A0405"/>
    <w:rsid w:val="001A04BF"/>
    <w:rsid w:val="001A062F"/>
    <w:rsid w:val="001A067E"/>
    <w:rsid w:val="001A081B"/>
    <w:rsid w:val="001A08D1"/>
    <w:rsid w:val="001A0AE9"/>
    <w:rsid w:val="001A0BCC"/>
    <w:rsid w:val="001A0C68"/>
    <w:rsid w:val="001A0CED"/>
    <w:rsid w:val="001A0D01"/>
    <w:rsid w:val="001A0D44"/>
    <w:rsid w:val="001A0DBD"/>
    <w:rsid w:val="001A0E65"/>
    <w:rsid w:val="001A0FC7"/>
    <w:rsid w:val="001A1004"/>
    <w:rsid w:val="001A10DB"/>
    <w:rsid w:val="001A1368"/>
    <w:rsid w:val="001A1493"/>
    <w:rsid w:val="001A152B"/>
    <w:rsid w:val="001A1636"/>
    <w:rsid w:val="001A169C"/>
    <w:rsid w:val="001A174C"/>
    <w:rsid w:val="001A1760"/>
    <w:rsid w:val="001A183D"/>
    <w:rsid w:val="001A186D"/>
    <w:rsid w:val="001A1B1A"/>
    <w:rsid w:val="001A1B78"/>
    <w:rsid w:val="001A1C14"/>
    <w:rsid w:val="001A1D08"/>
    <w:rsid w:val="001A1E09"/>
    <w:rsid w:val="001A1E22"/>
    <w:rsid w:val="001A1FAA"/>
    <w:rsid w:val="001A2024"/>
    <w:rsid w:val="001A2283"/>
    <w:rsid w:val="001A2289"/>
    <w:rsid w:val="001A22BB"/>
    <w:rsid w:val="001A2327"/>
    <w:rsid w:val="001A2374"/>
    <w:rsid w:val="001A23BF"/>
    <w:rsid w:val="001A25A2"/>
    <w:rsid w:val="001A2607"/>
    <w:rsid w:val="001A27CC"/>
    <w:rsid w:val="001A284F"/>
    <w:rsid w:val="001A2955"/>
    <w:rsid w:val="001A298C"/>
    <w:rsid w:val="001A2A36"/>
    <w:rsid w:val="001A2D1A"/>
    <w:rsid w:val="001A2FBC"/>
    <w:rsid w:val="001A2FC9"/>
    <w:rsid w:val="001A302C"/>
    <w:rsid w:val="001A303B"/>
    <w:rsid w:val="001A307E"/>
    <w:rsid w:val="001A3143"/>
    <w:rsid w:val="001A3172"/>
    <w:rsid w:val="001A3266"/>
    <w:rsid w:val="001A33C1"/>
    <w:rsid w:val="001A347E"/>
    <w:rsid w:val="001A35FB"/>
    <w:rsid w:val="001A36CA"/>
    <w:rsid w:val="001A3715"/>
    <w:rsid w:val="001A3821"/>
    <w:rsid w:val="001A3854"/>
    <w:rsid w:val="001A38B1"/>
    <w:rsid w:val="001A3A1F"/>
    <w:rsid w:val="001A3A43"/>
    <w:rsid w:val="001A3BA2"/>
    <w:rsid w:val="001A3D06"/>
    <w:rsid w:val="001A3E55"/>
    <w:rsid w:val="001A3F4D"/>
    <w:rsid w:val="001A3FED"/>
    <w:rsid w:val="001A4173"/>
    <w:rsid w:val="001A4276"/>
    <w:rsid w:val="001A42E3"/>
    <w:rsid w:val="001A4383"/>
    <w:rsid w:val="001A462D"/>
    <w:rsid w:val="001A463F"/>
    <w:rsid w:val="001A46A4"/>
    <w:rsid w:val="001A46E8"/>
    <w:rsid w:val="001A472B"/>
    <w:rsid w:val="001A4778"/>
    <w:rsid w:val="001A4AE3"/>
    <w:rsid w:val="001A4B67"/>
    <w:rsid w:val="001A4CB9"/>
    <w:rsid w:val="001A4D44"/>
    <w:rsid w:val="001A4E66"/>
    <w:rsid w:val="001A5043"/>
    <w:rsid w:val="001A507D"/>
    <w:rsid w:val="001A50DA"/>
    <w:rsid w:val="001A514C"/>
    <w:rsid w:val="001A51FE"/>
    <w:rsid w:val="001A521B"/>
    <w:rsid w:val="001A54C0"/>
    <w:rsid w:val="001A5583"/>
    <w:rsid w:val="001A55EF"/>
    <w:rsid w:val="001A56FD"/>
    <w:rsid w:val="001A578E"/>
    <w:rsid w:val="001A57E0"/>
    <w:rsid w:val="001A5849"/>
    <w:rsid w:val="001A5AFC"/>
    <w:rsid w:val="001A5B7F"/>
    <w:rsid w:val="001A5BA6"/>
    <w:rsid w:val="001A5C90"/>
    <w:rsid w:val="001A5E27"/>
    <w:rsid w:val="001A5F1B"/>
    <w:rsid w:val="001A5F2C"/>
    <w:rsid w:val="001A5F6B"/>
    <w:rsid w:val="001A5FAA"/>
    <w:rsid w:val="001A5FC8"/>
    <w:rsid w:val="001A5FDD"/>
    <w:rsid w:val="001A5FEA"/>
    <w:rsid w:val="001A60DD"/>
    <w:rsid w:val="001A60DE"/>
    <w:rsid w:val="001A6148"/>
    <w:rsid w:val="001A6358"/>
    <w:rsid w:val="001A6482"/>
    <w:rsid w:val="001A653B"/>
    <w:rsid w:val="001A6691"/>
    <w:rsid w:val="001A6773"/>
    <w:rsid w:val="001A6978"/>
    <w:rsid w:val="001A6A16"/>
    <w:rsid w:val="001A6A75"/>
    <w:rsid w:val="001A6C60"/>
    <w:rsid w:val="001A6CB9"/>
    <w:rsid w:val="001A6CC4"/>
    <w:rsid w:val="001A6D79"/>
    <w:rsid w:val="001A6E3A"/>
    <w:rsid w:val="001A6E62"/>
    <w:rsid w:val="001A6F2A"/>
    <w:rsid w:val="001A702F"/>
    <w:rsid w:val="001A7146"/>
    <w:rsid w:val="001A714A"/>
    <w:rsid w:val="001A7272"/>
    <w:rsid w:val="001A72A8"/>
    <w:rsid w:val="001A750D"/>
    <w:rsid w:val="001A7522"/>
    <w:rsid w:val="001A75D4"/>
    <w:rsid w:val="001A7684"/>
    <w:rsid w:val="001A7733"/>
    <w:rsid w:val="001A7916"/>
    <w:rsid w:val="001A799F"/>
    <w:rsid w:val="001A7A23"/>
    <w:rsid w:val="001A7ABA"/>
    <w:rsid w:val="001A7BDA"/>
    <w:rsid w:val="001A7C4D"/>
    <w:rsid w:val="001A7C5B"/>
    <w:rsid w:val="001A7DDA"/>
    <w:rsid w:val="001A7EA9"/>
    <w:rsid w:val="001A7FE6"/>
    <w:rsid w:val="001A7FEA"/>
    <w:rsid w:val="001B00A7"/>
    <w:rsid w:val="001B021E"/>
    <w:rsid w:val="001B0264"/>
    <w:rsid w:val="001B028D"/>
    <w:rsid w:val="001B02D3"/>
    <w:rsid w:val="001B0517"/>
    <w:rsid w:val="001B069A"/>
    <w:rsid w:val="001B0719"/>
    <w:rsid w:val="001B0728"/>
    <w:rsid w:val="001B07A5"/>
    <w:rsid w:val="001B0848"/>
    <w:rsid w:val="001B0864"/>
    <w:rsid w:val="001B090E"/>
    <w:rsid w:val="001B09CD"/>
    <w:rsid w:val="001B0A4F"/>
    <w:rsid w:val="001B0A5F"/>
    <w:rsid w:val="001B0A8A"/>
    <w:rsid w:val="001B0A8F"/>
    <w:rsid w:val="001B0A95"/>
    <w:rsid w:val="001B0B54"/>
    <w:rsid w:val="001B0B6D"/>
    <w:rsid w:val="001B0B82"/>
    <w:rsid w:val="001B0EE4"/>
    <w:rsid w:val="001B0F56"/>
    <w:rsid w:val="001B1136"/>
    <w:rsid w:val="001B12FC"/>
    <w:rsid w:val="001B1497"/>
    <w:rsid w:val="001B158B"/>
    <w:rsid w:val="001B15F8"/>
    <w:rsid w:val="001B1A0D"/>
    <w:rsid w:val="001B1B11"/>
    <w:rsid w:val="001B1C9F"/>
    <w:rsid w:val="001B1D0B"/>
    <w:rsid w:val="001B1E98"/>
    <w:rsid w:val="001B1F35"/>
    <w:rsid w:val="001B1F52"/>
    <w:rsid w:val="001B1F78"/>
    <w:rsid w:val="001B1FB3"/>
    <w:rsid w:val="001B2086"/>
    <w:rsid w:val="001B2096"/>
    <w:rsid w:val="001B20DA"/>
    <w:rsid w:val="001B2127"/>
    <w:rsid w:val="001B2188"/>
    <w:rsid w:val="001B23F7"/>
    <w:rsid w:val="001B2523"/>
    <w:rsid w:val="001B2538"/>
    <w:rsid w:val="001B2602"/>
    <w:rsid w:val="001B2606"/>
    <w:rsid w:val="001B27CA"/>
    <w:rsid w:val="001B281E"/>
    <w:rsid w:val="001B29B0"/>
    <w:rsid w:val="001B2B89"/>
    <w:rsid w:val="001B2BC4"/>
    <w:rsid w:val="001B2D3E"/>
    <w:rsid w:val="001B2D47"/>
    <w:rsid w:val="001B3016"/>
    <w:rsid w:val="001B3140"/>
    <w:rsid w:val="001B33CE"/>
    <w:rsid w:val="001B346E"/>
    <w:rsid w:val="001B3497"/>
    <w:rsid w:val="001B35C6"/>
    <w:rsid w:val="001B3657"/>
    <w:rsid w:val="001B3683"/>
    <w:rsid w:val="001B36A1"/>
    <w:rsid w:val="001B36D7"/>
    <w:rsid w:val="001B3809"/>
    <w:rsid w:val="001B38E6"/>
    <w:rsid w:val="001B3983"/>
    <w:rsid w:val="001B3A5A"/>
    <w:rsid w:val="001B3B14"/>
    <w:rsid w:val="001B3C15"/>
    <w:rsid w:val="001B3C5A"/>
    <w:rsid w:val="001B3EE0"/>
    <w:rsid w:val="001B3FC6"/>
    <w:rsid w:val="001B3FDF"/>
    <w:rsid w:val="001B3FE5"/>
    <w:rsid w:val="001B4016"/>
    <w:rsid w:val="001B40C3"/>
    <w:rsid w:val="001B41C1"/>
    <w:rsid w:val="001B422D"/>
    <w:rsid w:val="001B4232"/>
    <w:rsid w:val="001B42B7"/>
    <w:rsid w:val="001B4494"/>
    <w:rsid w:val="001B44BB"/>
    <w:rsid w:val="001B45CF"/>
    <w:rsid w:val="001B472F"/>
    <w:rsid w:val="001B48D5"/>
    <w:rsid w:val="001B49DD"/>
    <w:rsid w:val="001B4B41"/>
    <w:rsid w:val="001B4C51"/>
    <w:rsid w:val="001B4C5B"/>
    <w:rsid w:val="001B4D14"/>
    <w:rsid w:val="001B4D9B"/>
    <w:rsid w:val="001B4F1E"/>
    <w:rsid w:val="001B4F75"/>
    <w:rsid w:val="001B50A3"/>
    <w:rsid w:val="001B510E"/>
    <w:rsid w:val="001B51AA"/>
    <w:rsid w:val="001B5261"/>
    <w:rsid w:val="001B53A3"/>
    <w:rsid w:val="001B54B7"/>
    <w:rsid w:val="001B54D2"/>
    <w:rsid w:val="001B55AC"/>
    <w:rsid w:val="001B56BB"/>
    <w:rsid w:val="001B58A9"/>
    <w:rsid w:val="001B597A"/>
    <w:rsid w:val="001B5E54"/>
    <w:rsid w:val="001B5EA5"/>
    <w:rsid w:val="001B5EC3"/>
    <w:rsid w:val="001B5F31"/>
    <w:rsid w:val="001B5FF9"/>
    <w:rsid w:val="001B60F8"/>
    <w:rsid w:val="001B61CD"/>
    <w:rsid w:val="001B63DC"/>
    <w:rsid w:val="001B63EF"/>
    <w:rsid w:val="001B6408"/>
    <w:rsid w:val="001B6626"/>
    <w:rsid w:val="001B676C"/>
    <w:rsid w:val="001B67A8"/>
    <w:rsid w:val="001B6867"/>
    <w:rsid w:val="001B68E8"/>
    <w:rsid w:val="001B68EB"/>
    <w:rsid w:val="001B6A11"/>
    <w:rsid w:val="001B6B12"/>
    <w:rsid w:val="001B6C36"/>
    <w:rsid w:val="001B6C5D"/>
    <w:rsid w:val="001B6D52"/>
    <w:rsid w:val="001B6DA2"/>
    <w:rsid w:val="001B6DDB"/>
    <w:rsid w:val="001B6E75"/>
    <w:rsid w:val="001B6FC3"/>
    <w:rsid w:val="001B7033"/>
    <w:rsid w:val="001B712F"/>
    <w:rsid w:val="001B7185"/>
    <w:rsid w:val="001B7337"/>
    <w:rsid w:val="001B7394"/>
    <w:rsid w:val="001B743A"/>
    <w:rsid w:val="001B755E"/>
    <w:rsid w:val="001B7688"/>
    <w:rsid w:val="001B76C1"/>
    <w:rsid w:val="001B7759"/>
    <w:rsid w:val="001B77C2"/>
    <w:rsid w:val="001B77FA"/>
    <w:rsid w:val="001B7892"/>
    <w:rsid w:val="001B78CF"/>
    <w:rsid w:val="001B7975"/>
    <w:rsid w:val="001B79EB"/>
    <w:rsid w:val="001B7B95"/>
    <w:rsid w:val="001B7C91"/>
    <w:rsid w:val="001B7CF8"/>
    <w:rsid w:val="001B7E41"/>
    <w:rsid w:val="001B7E63"/>
    <w:rsid w:val="001B7E7E"/>
    <w:rsid w:val="001B7E89"/>
    <w:rsid w:val="001B7F8A"/>
    <w:rsid w:val="001B7F8B"/>
    <w:rsid w:val="001B7F8C"/>
    <w:rsid w:val="001C000B"/>
    <w:rsid w:val="001C016D"/>
    <w:rsid w:val="001C0280"/>
    <w:rsid w:val="001C02CB"/>
    <w:rsid w:val="001C02DA"/>
    <w:rsid w:val="001C02FF"/>
    <w:rsid w:val="001C0313"/>
    <w:rsid w:val="001C03A5"/>
    <w:rsid w:val="001C03F2"/>
    <w:rsid w:val="001C04C1"/>
    <w:rsid w:val="001C06E3"/>
    <w:rsid w:val="001C06EC"/>
    <w:rsid w:val="001C079B"/>
    <w:rsid w:val="001C07C2"/>
    <w:rsid w:val="001C07DB"/>
    <w:rsid w:val="001C07FF"/>
    <w:rsid w:val="001C08CE"/>
    <w:rsid w:val="001C0918"/>
    <w:rsid w:val="001C09D2"/>
    <w:rsid w:val="001C0BDF"/>
    <w:rsid w:val="001C1134"/>
    <w:rsid w:val="001C1144"/>
    <w:rsid w:val="001C1151"/>
    <w:rsid w:val="001C1169"/>
    <w:rsid w:val="001C1173"/>
    <w:rsid w:val="001C1248"/>
    <w:rsid w:val="001C12D7"/>
    <w:rsid w:val="001C1467"/>
    <w:rsid w:val="001C1521"/>
    <w:rsid w:val="001C1666"/>
    <w:rsid w:val="001C1697"/>
    <w:rsid w:val="001C16B3"/>
    <w:rsid w:val="001C18A8"/>
    <w:rsid w:val="001C1A61"/>
    <w:rsid w:val="001C1B75"/>
    <w:rsid w:val="001C1C0B"/>
    <w:rsid w:val="001C1CB6"/>
    <w:rsid w:val="001C1D8D"/>
    <w:rsid w:val="001C1EBD"/>
    <w:rsid w:val="001C1F06"/>
    <w:rsid w:val="001C1F66"/>
    <w:rsid w:val="001C1F7D"/>
    <w:rsid w:val="001C20D8"/>
    <w:rsid w:val="001C2160"/>
    <w:rsid w:val="001C2274"/>
    <w:rsid w:val="001C2291"/>
    <w:rsid w:val="001C2297"/>
    <w:rsid w:val="001C23C6"/>
    <w:rsid w:val="001C2446"/>
    <w:rsid w:val="001C2606"/>
    <w:rsid w:val="001C263D"/>
    <w:rsid w:val="001C2822"/>
    <w:rsid w:val="001C285E"/>
    <w:rsid w:val="001C2A36"/>
    <w:rsid w:val="001C2A93"/>
    <w:rsid w:val="001C2B7B"/>
    <w:rsid w:val="001C2CB4"/>
    <w:rsid w:val="001C2D6F"/>
    <w:rsid w:val="001C2D72"/>
    <w:rsid w:val="001C2DCD"/>
    <w:rsid w:val="001C2FF0"/>
    <w:rsid w:val="001C3037"/>
    <w:rsid w:val="001C30AF"/>
    <w:rsid w:val="001C312B"/>
    <w:rsid w:val="001C3156"/>
    <w:rsid w:val="001C3167"/>
    <w:rsid w:val="001C31E9"/>
    <w:rsid w:val="001C3233"/>
    <w:rsid w:val="001C332B"/>
    <w:rsid w:val="001C345D"/>
    <w:rsid w:val="001C348F"/>
    <w:rsid w:val="001C3628"/>
    <w:rsid w:val="001C36C0"/>
    <w:rsid w:val="001C3774"/>
    <w:rsid w:val="001C3882"/>
    <w:rsid w:val="001C3A30"/>
    <w:rsid w:val="001C3A42"/>
    <w:rsid w:val="001C3A4A"/>
    <w:rsid w:val="001C3B72"/>
    <w:rsid w:val="001C3B9E"/>
    <w:rsid w:val="001C3BC1"/>
    <w:rsid w:val="001C3C4A"/>
    <w:rsid w:val="001C3C69"/>
    <w:rsid w:val="001C3C78"/>
    <w:rsid w:val="001C3CE9"/>
    <w:rsid w:val="001C3CF5"/>
    <w:rsid w:val="001C3E2D"/>
    <w:rsid w:val="001C40FA"/>
    <w:rsid w:val="001C416B"/>
    <w:rsid w:val="001C4201"/>
    <w:rsid w:val="001C4223"/>
    <w:rsid w:val="001C42EC"/>
    <w:rsid w:val="001C439C"/>
    <w:rsid w:val="001C43DF"/>
    <w:rsid w:val="001C43FD"/>
    <w:rsid w:val="001C4492"/>
    <w:rsid w:val="001C4499"/>
    <w:rsid w:val="001C44B0"/>
    <w:rsid w:val="001C44E2"/>
    <w:rsid w:val="001C4686"/>
    <w:rsid w:val="001C469D"/>
    <w:rsid w:val="001C4722"/>
    <w:rsid w:val="001C47D1"/>
    <w:rsid w:val="001C4963"/>
    <w:rsid w:val="001C4A73"/>
    <w:rsid w:val="001C4B38"/>
    <w:rsid w:val="001C4B40"/>
    <w:rsid w:val="001C4B96"/>
    <w:rsid w:val="001C4C48"/>
    <w:rsid w:val="001C4C83"/>
    <w:rsid w:val="001C4CBE"/>
    <w:rsid w:val="001C4DF7"/>
    <w:rsid w:val="001C4E65"/>
    <w:rsid w:val="001C5066"/>
    <w:rsid w:val="001C5250"/>
    <w:rsid w:val="001C526C"/>
    <w:rsid w:val="001C52FA"/>
    <w:rsid w:val="001C5381"/>
    <w:rsid w:val="001C5390"/>
    <w:rsid w:val="001C540E"/>
    <w:rsid w:val="001C55A0"/>
    <w:rsid w:val="001C56F5"/>
    <w:rsid w:val="001C5875"/>
    <w:rsid w:val="001C5883"/>
    <w:rsid w:val="001C5AAB"/>
    <w:rsid w:val="001C5D1F"/>
    <w:rsid w:val="001C5DA5"/>
    <w:rsid w:val="001C5DDE"/>
    <w:rsid w:val="001C5ECA"/>
    <w:rsid w:val="001C5ECD"/>
    <w:rsid w:val="001C603A"/>
    <w:rsid w:val="001C6056"/>
    <w:rsid w:val="001C60F7"/>
    <w:rsid w:val="001C623A"/>
    <w:rsid w:val="001C634E"/>
    <w:rsid w:val="001C640B"/>
    <w:rsid w:val="001C64A2"/>
    <w:rsid w:val="001C64B9"/>
    <w:rsid w:val="001C64DD"/>
    <w:rsid w:val="001C6672"/>
    <w:rsid w:val="001C66EE"/>
    <w:rsid w:val="001C6D51"/>
    <w:rsid w:val="001C6D55"/>
    <w:rsid w:val="001C6D89"/>
    <w:rsid w:val="001C702A"/>
    <w:rsid w:val="001C7222"/>
    <w:rsid w:val="001C72DE"/>
    <w:rsid w:val="001C74AC"/>
    <w:rsid w:val="001C75DD"/>
    <w:rsid w:val="001C75FA"/>
    <w:rsid w:val="001C761F"/>
    <w:rsid w:val="001C763B"/>
    <w:rsid w:val="001C76E6"/>
    <w:rsid w:val="001C78CE"/>
    <w:rsid w:val="001C78EA"/>
    <w:rsid w:val="001C7914"/>
    <w:rsid w:val="001C7A97"/>
    <w:rsid w:val="001C7ADB"/>
    <w:rsid w:val="001C7B55"/>
    <w:rsid w:val="001C7B87"/>
    <w:rsid w:val="001C7C2C"/>
    <w:rsid w:val="001C7C31"/>
    <w:rsid w:val="001C7C9A"/>
    <w:rsid w:val="001C7D03"/>
    <w:rsid w:val="001C7DCF"/>
    <w:rsid w:val="001C7FBA"/>
    <w:rsid w:val="001D00BD"/>
    <w:rsid w:val="001D0112"/>
    <w:rsid w:val="001D01B5"/>
    <w:rsid w:val="001D032C"/>
    <w:rsid w:val="001D0373"/>
    <w:rsid w:val="001D0675"/>
    <w:rsid w:val="001D0990"/>
    <w:rsid w:val="001D09EB"/>
    <w:rsid w:val="001D0ACF"/>
    <w:rsid w:val="001D0CAD"/>
    <w:rsid w:val="001D0CBD"/>
    <w:rsid w:val="001D0E9B"/>
    <w:rsid w:val="001D0EBA"/>
    <w:rsid w:val="001D0FF3"/>
    <w:rsid w:val="001D109C"/>
    <w:rsid w:val="001D111D"/>
    <w:rsid w:val="001D130C"/>
    <w:rsid w:val="001D133C"/>
    <w:rsid w:val="001D1394"/>
    <w:rsid w:val="001D14E8"/>
    <w:rsid w:val="001D15F9"/>
    <w:rsid w:val="001D164D"/>
    <w:rsid w:val="001D1670"/>
    <w:rsid w:val="001D17E1"/>
    <w:rsid w:val="001D185D"/>
    <w:rsid w:val="001D18D6"/>
    <w:rsid w:val="001D1967"/>
    <w:rsid w:val="001D19A6"/>
    <w:rsid w:val="001D19DD"/>
    <w:rsid w:val="001D1ACA"/>
    <w:rsid w:val="001D1C3E"/>
    <w:rsid w:val="001D1F51"/>
    <w:rsid w:val="001D1F91"/>
    <w:rsid w:val="001D1FB6"/>
    <w:rsid w:val="001D21E2"/>
    <w:rsid w:val="001D2308"/>
    <w:rsid w:val="001D2445"/>
    <w:rsid w:val="001D2572"/>
    <w:rsid w:val="001D2784"/>
    <w:rsid w:val="001D28A3"/>
    <w:rsid w:val="001D292E"/>
    <w:rsid w:val="001D29E6"/>
    <w:rsid w:val="001D2A73"/>
    <w:rsid w:val="001D2B46"/>
    <w:rsid w:val="001D2BA2"/>
    <w:rsid w:val="001D2BE4"/>
    <w:rsid w:val="001D2C23"/>
    <w:rsid w:val="001D2CF7"/>
    <w:rsid w:val="001D2D38"/>
    <w:rsid w:val="001D2D94"/>
    <w:rsid w:val="001D2DB6"/>
    <w:rsid w:val="001D2E71"/>
    <w:rsid w:val="001D2F87"/>
    <w:rsid w:val="001D31DD"/>
    <w:rsid w:val="001D322C"/>
    <w:rsid w:val="001D327F"/>
    <w:rsid w:val="001D353B"/>
    <w:rsid w:val="001D3553"/>
    <w:rsid w:val="001D3652"/>
    <w:rsid w:val="001D3730"/>
    <w:rsid w:val="001D393E"/>
    <w:rsid w:val="001D39AF"/>
    <w:rsid w:val="001D3A52"/>
    <w:rsid w:val="001D3A81"/>
    <w:rsid w:val="001D3A84"/>
    <w:rsid w:val="001D3AEF"/>
    <w:rsid w:val="001D3BE0"/>
    <w:rsid w:val="001D3BEB"/>
    <w:rsid w:val="001D3C98"/>
    <w:rsid w:val="001D3D34"/>
    <w:rsid w:val="001D3F55"/>
    <w:rsid w:val="001D401E"/>
    <w:rsid w:val="001D4075"/>
    <w:rsid w:val="001D419E"/>
    <w:rsid w:val="001D4232"/>
    <w:rsid w:val="001D43F5"/>
    <w:rsid w:val="001D4448"/>
    <w:rsid w:val="001D4454"/>
    <w:rsid w:val="001D44CB"/>
    <w:rsid w:val="001D4605"/>
    <w:rsid w:val="001D4641"/>
    <w:rsid w:val="001D47E5"/>
    <w:rsid w:val="001D4869"/>
    <w:rsid w:val="001D4916"/>
    <w:rsid w:val="001D4942"/>
    <w:rsid w:val="001D49C8"/>
    <w:rsid w:val="001D4BC4"/>
    <w:rsid w:val="001D4C14"/>
    <w:rsid w:val="001D4CFA"/>
    <w:rsid w:val="001D4F35"/>
    <w:rsid w:val="001D5124"/>
    <w:rsid w:val="001D5244"/>
    <w:rsid w:val="001D5260"/>
    <w:rsid w:val="001D5538"/>
    <w:rsid w:val="001D5629"/>
    <w:rsid w:val="001D5679"/>
    <w:rsid w:val="001D56D5"/>
    <w:rsid w:val="001D56EE"/>
    <w:rsid w:val="001D5775"/>
    <w:rsid w:val="001D5860"/>
    <w:rsid w:val="001D5870"/>
    <w:rsid w:val="001D59C1"/>
    <w:rsid w:val="001D5B59"/>
    <w:rsid w:val="001D5B7D"/>
    <w:rsid w:val="001D5BE3"/>
    <w:rsid w:val="001D5C21"/>
    <w:rsid w:val="001D5D89"/>
    <w:rsid w:val="001D5D97"/>
    <w:rsid w:val="001D5FAB"/>
    <w:rsid w:val="001D60D4"/>
    <w:rsid w:val="001D6127"/>
    <w:rsid w:val="001D615B"/>
    <w:rsid w:val="001D61AA"/>
    <w:rsid w:val="001D63C0"/>
    <w:rsid w:val="001D6496"/>
    <w:rsid w:val="001D68A7"/>
    <w:rsid w:val="001D68FF"/>
    <w:rsid w:val="001D6955"/>
    <w:rsid w:val="001D6975"/>
    <w:rsid w:val="001D6A47"/>
    <w:rsid w:val="001D6AB6"/>
    <w:rsid w:val="001D6B0A"/>
    <w:rsid w:val="001D6C0C"/>
    <w:rsid w:val="001D6F2D"/>
    <w:rsid w:val="001D7004"/>
    <w:rsid w:val="001D731E"/>
    <w:rsid w:val="001D73E0"/>
    <w:rsid w:val="001D74AA"/>
    <w:rsid w:val="001D74BE"/>
    <w:rsid w:val="001D761E"/>
    <w:rsid w:val="001D7728"/>
    <w:rsid w:val="001D7760"/>
    <w:rsid w:val="001D7901"/>
    <w:rsid w:val="001D7B55"/>
    <w:rsid w:val="001D7B86"/>
    <w:rsid w:val="001D7BF0"/>
    <w:rsid w:val="001D7D53"/>
    <w:rsid w:val="001D7E3E"/>
    <w:rsid w:val="001D7F2E"/>
    <w:rsid w:val="001D7FB1"/>
    <w:rsid w:val="001D7FF0"/>
    <w:rsid w:val="001E00FD"/>
    <w:rsid w:val="001E02D2"/>
    <w:rsid w:val="001E03E7"/>
    <w:rsid w:val="001E04BE"/>
    <w:rsid w:val="001E04F6"/>
    <w:rsid w:val="001E054E"/>
    <w:rsid w:val="001E05DF"/>
    <w:rsid w:val="001E0640"/>
    <w:rsid w:val="001E070F"/>
    <w:rsid w:val="001E0718"/>
    <w:rsid w:val="001E0786"/>
    <w:rsid w:val="001E089F"/>
    <w:rsid w:val="001E09B9"/>
    <w:rsid w:val="001E09BF"/>
    <w:rsid w:val="001E09EC"/>
    <w:rsid w:val="001E09F6"/>
    <w:rsid w:val="001E0A0D"/>
    <w:rsid w:val="001E0A7C"/>
    <w:rsid w:val="001E0AF8"/>
    <w:rsid w:val="001E0B7A"/>
    <w:rsid w:val="001E0BDA"/>
    <w:rsid w:val="001E0C50"/>
    <w:rsid w:val="001E0CA0"/>
    <w:rsid w:val="001E0D11"/>
    <w:rsid w:val="001E0D36"/>
    <w:rsid w:val="001E10AC"/>
    <w:rsid w:val="001E10B5"/>
    <w:rsid w:val="001E112F"/>
    <w:rsid w:val="001E1132"/>
    <w:rsid w:val="001E1430"/>
    <w:rsid w:val="001E18DF"/>
    <w:rsid w:val="001E1B1F"/>
    <w:rsid w:val="001E1B34"/>
    <w:rsid w:val="001E1B3E"/>
    <w:rsid w:val="001E1B41"/>
    <w:rsid w:val="001E1B8E"/>
    <w:rsid w:val="001E1D34"/>
    <w:rsid w:val="001E1DBC"/>
    <w:rsid w:val="001E20E2"/>
    <w:rsid w:val="001E2250"/>
    <w:rsid w:val="001E2428"/>
    <w:rsid w:val="001E25E0"/>
    <w:rsid w:val="001E261B"/>
    <w:rsid w:val="001E26ED"/>
    <w:rsid w:val="001E2781"/>
    <w:rsid w:val="001E2953"/>
    <w:rsid w:val="001E2ABC"/>
    <w:rsid w:val="001E2B3B"/>
    <w:rsid w:val="001E2C46"/>
    <w:rsid w:val="001E2CB3"/>
    <w:rsid w:val="001E2D97"/>
    <w:rsid w:val="001E2EB4"/>
    <w:rsid w:val="001E2F78"/>
    <w:rsid w:val="001E2FD5"/>
    <w:rsid w:val="001E307F"/>
    <w:rsid w:val="001E3175"/>
    <w:rsid w:val="001E3181"/>
    <w:rsid w:val="001E34C1"/>
    <w:rsid w:val="001E351D"/>
    <w:rsid w:val="001E371A"/>
    <w:rsid w:val="001E3808"/>
    <w:rsid w:val="001E3975"/>
    <w:rsid w:val="001E3A93"/>
    <w:rsid w:val="001E3A9D"/>
    <w:rsid w:val="001E3B5C"/>
    <w:rsid w:val="001E3BCE"/>
    <w:rsid w:val="001E3CA1"/>
    <w:rsid w:val="001E3E38"/>
    <w:rsid w:val="001E3FA1"/>
    <w:rsid w:val="001E4088"/>
    <w:rsid w:val="001E409F"/>
    <w:rsid w:val="001E4193"/>
    <w:rsid w:val="001E41E3"/>
    <w:rsid w:val="001E4335"/>
    <w:rsid w:val="001E442D"/>
    <w:rsid w:val="001E4558"/>
    <w:rsid w:val="001E455E"/>
    <w:rsid w:val="001E46DE"/>
    <w:rsid w:val="001E470A"/>
    <w:rsid w:val="001E4777"/>
    <w:rsid w:val="001E479A"/>
    <w:rsid w:val="001E4909"/>
    <w:rsid w:val="001E4999"/>
    <w:rsid w:val="001E4A4C"/>
    <w:rsid w:val="001E4A99"/>
    <w:rsid w:val="001E4C74"/>
    <w:rsid w:val="001E4E6C"/>
    <w:rsid w:val="001E4EB7"/>
    <w:rsid w:val="001E4EBF"/>
    <w:rsid w:val="001E4FE2"/>
    <w:rsid w:val="001E50BA"/>
    <w:rsid w:val="001E51D9"/>
    <w:rsid w:val="001E52FF"/>
    <w:rsid w:val="001E5302"/>
    <w:rsid w:val="001E537B"/>
    <w:rsid w:val="001E542D"/>
    <w:rsid w:val="001E54F2"/>
    <w:rsid w:val="001E57B1"/>
    <w:rsid w:val="001E586B"/>
    <w:rsid w:val="001E598B"/>
    <w:rsid w:val="001E5A40"/>
    <w:rsid w:val="001E5A8D"/>
    <w:rsid w:val="001E5C8D"/>
    <w:rsid w:val="001E5E6C"/>
    <w:rsid w:val="001E5EEF"/>
    <w:rsid w:val="001E5F0F"/>
    <w:rsid w:val="001E63C4"/>
    <w:rsid w:val="001E661B"/>
    <w:rsid w:val="001E665D"/>
    <w:rsid w:val="001E66E1"/>
    <w:rsid w:val="001E67A1"/>
    <w:rsid w:val="001E68C6"/>
    <w:rsid w:val="001E695B"/>
    <w:rsid w:val="001E6A43"/>
    <w:rsid w:val="001E6AA7"/>
    <w:rsid w:val="001E6B3A"/>
    <w:rsid w:val="001E6C26"/>
    <w:rsid w:val="001E6C5A"/>
    <w:rsid w:val="001E6D12"/>
    <w:rsid w:val="001E6E3B"/>
    <w:rsid w:val="001E6E98"/>
    <w:rsid w:val="001E70D1"/>
    <w:rsid w:val="001E7361"/>
    <w:rsid w:val="001E7368"/>
    <w:rsid w:val="001E7591"/>
    <w:rsid w:val="001E7634"/>
    <w:rsid w:val="001E768A"/>
    <w:rsid w:val="001E7733"/>
    <w:rsid w:val="001E774B"/>
    <w:rsid w:val="001E78F2"/>
    <w:rsid w:val="001E79C5"/>
    <w:rsid w:val="001E7A48"/>
    <w:rsid w:val="001E7AB9"/>
    <w:rsid w:val="001E7AD6"/>
    <w:rsid w:val="001E7B16"/>
    <w:rsid w:val="001E7BAE"/>
    <w:rsid w:val="001E7C3A"/>
    <w:rsid w:val="001E7CE8"/>
    <w:rsid w:val="001E7D65"/>
    <w:rsid w:val="001F0029"/>
    <w:rsid w:val="001F01AB"/>
    <w:rsid w:val="001F021F"/>
    <w:rsid w:val="001F0390"/>
    <w:rsid w:val="001F04BF"/>
    <w:rsid w:val="001F04D1"/>
    <w:rsid w:val="001F0561"/>
    <w:rsid w:val="001F06B5"/>
    <w:rsid w:val="001F06DF"/>
    <w:rsid w:val="001F072A"/>
    <w:rsid w:val="001F085E"/>
    <w:rsid w:val="001F096A"/>
    <w:rsid w:val="001F0A00"/>
    <w:rsid w:val="001F0A47"/>
    <w:rsid w:val="001F0ABB"/>
    <w:rsid w:val="001F0B71"/>
    <w:rsid w:val="001F0C51"/>
    <w:rsid w:val="001F0D73"/>
    <w:rsid w:val="001F0EDA"/>
    <w:rsid w:val="001F0F02"/>
    <w:rsid w:val="001F0F45"/>
    <w:rsid w:val="001F0F9B"/>
    <w:rsid w:val="001F0FB0"/>
    <w:rsid w:val="001F0FB3"/>
    <w:rsid w:val="001F0FE1"/>
    <w:rsid w:val="001F1056"/>
    <w:rsid w:val="001F1210"/>
    <w:rsid w:val="001F12B6"/>
    <w:rsid w:val="001F12F8"/>
    <w:rsid w:val="001F1482"/>
    <w:rsid w:val="001F14C8"/>
    <w:rsid w:val="001F14FD"/>
    <w:rsid w:val="001F1573"/>
    <w:rsid w:val="001F164B"/>
    <w:rsid w:val="001F16ED"/>
    <w:rsid w:val="001F1803"/>
    <w:rsid w:val="001F181D"/>
    <w:rsid w:val="001F185B"/>
    <w:rsid w:val="001F197A"/>
    <w:rsid w:val="001F1A7C"/>
    <w:rsid w:val="001F1BE5"/>
    <w:rsid w:val="001F1BEA"/>
    <w:rsid w:val="001F1C6B"/>
    <w:rsid w:val="001F1D08"/>
    <w:rsid w:val="001F201C"/>
    <w:rsid w:val="001F2031"/>
    <w:rsid w:val="001F209E"/>
    <w:rsid w:val="001F210B"/>
    <w:rsid w:val="001F21A8"/>
    <w:rsid w:val="001F224E"/>
    <w:rsid w:val="001F2272"/>
    <w:rsid w:val="001F22C0"/>
    <w:rsid w:val="001F2347"/>
    <w:rsid w:val="001F2565"/>
    <w:rsid w:val="001F2574"/>
    <w:rsid w:val="001F25AF"/>
    <w:rsid w:val="001F2647"/>
    <w:rsid w:val="001F27F3"/>
    <w:rsid w:val="001F281F"/>
    <w:rsid w:val="001F2A2B"/>
    <w:rsid w:val="001F2AA7"/>
    <w:rsid w:val="001F2B0C"/>
    <w:rsid w:val="001F2B43"/>
    <w:rsid w:val="001F2C75"/>
    <w:rsid w:val="001F2C8C"/>
    <w:rsid w:val="001F2CB8"/>
    <w:rsid w:val="001F2D78"/>
    <w:rsid w:val="001F2D96"/>
    <w:rsid w:val="001F2EFA"/>
    <w:rsid w:val="001F309F"/>
    <w:rsid w:val="001F30FF"/>
    <w:rsid w:val="001F319A"/>
    <w:rsid w:val="001F3213"/>
    <w:rsid w:val="001F327B"/>
    <w:rsid w:val="001F32C7"/>
    <w:rsid w:val="001F32ED"/>
    <w:rsid w:val="001F33C0"/>
    <w:rsid w:val="001F3473"/>
    <w:rsid w:val="001F3480"/>
    <w:rsid w:val="001F3573"/>
    <w:rsid w:val="001F362B"/>
    <w:rsid w:val="001F3701"/>
    <w:rsid w:val="001F3770"/>
    <w:rsid w:val="001F37F3"/>
    <w:rsid w:val="001F388B"/>
    <w:rsid w:val="001F38EB"/>
    <w:rsid w:val="001F39E5"/>
    <w:rsid w:val="001F3A01"/>
    <w:rsid w:val="001F3B3E"/>
    <w:rsid w:val="001F3B5E"/>
    <w:rsid w:val="001F3D61"/>
    <w:rsid w:val="001F3DD0"/>
    <w:rsid w:val="001F3E65"/>
    <w:rsid w:val="001F3F36"/>
    <w:rsid w:val="001F3FF8"/>
    <w:rsid w:val="001F40A4"/>
    <w:rsid w:val="001F429D"/>
    <w:rsid w:val="001F42A7"/>
    <w:rsid w:val="001F44A1"/>
    <w:rsid w:val="001F4653"/>
    <w:rsid w:val="001F4693"/>
    <w:rsid w:val="001F4873"/>
    <w:rsid w:val="001F4935"/>
    <w:rsid w:val="001F4A04"/>
    <w:rsid w:val="001F4A87"/>
    <w:rsid w:val="001F4B4D"/>
    <w:rsid w:val="001F4D0E"/>
    <w:rsid w:val="001F4D77"/>
    <w:rsid w:val="001F4DCC"/>
    <w:rsid w:val="001F4DDE"/>
    <w:rsid w:val="001F4F78"/>
    <w:rsid w:val="001F4FDB"/>
    <w:rsid w:val="001F509C"/>
    <w:rsid w:val="001F50A2"/>
    <w:rsid w:val="001F5112"/>
    <w:rsid w:val="001F5143"/>
    <w:rsid w:val="001F5189"/>
    <w:rsid w:val="001F5220"/>
    <w:rsid w:val="001F5396"/>
    <w:rsid w:val="001F53AB"/>
    <w:rsid w:val="001F5477"/>
    <w:rsid w:val="001F54C8"/>
    <w:rsid w:val="001F54F2"/>
    <w:rsid w:val="001F5735"/>
    <w:rsid w:val="001F573F"/>
    <w:rsid w:val="001F57FB"/>
    <w:rsid w:val="001F58D1"/>
    <w:rsid w:val="001F59C7"/>
    <w:rsid w:val="001F59F7"/>
    <w:rsid w:val="001F5A05"/>
    <w:rsid w:val="001F5AB9"/>
    <w:rsid w:val="001F5DD3"/>
    <w:rsid w:val="001F5E5E"/>
    <w:rsid w:val="001F5FDA"/>
    <w:rsid w:val="001F5FE9"/>
    <w:rsid w:val="001F5FFA"/>
    <w:rsid w:val="001F61D4"/>
    <w:rsid w:val="001F6253"/>
    <w:rsid w:val="001F6357"/>
    <w:rsid w:val="001F6409"/>
    <w:rsid w:val="001F6421"/>
    <w:rsid w:val="001F64B5"/>
    <w:rsid w:val="001F64FE"/>
    <w:rsid w:val="001F658D"/>
    <w:rsid w:val="001F66E4"/>
    <w:rsid w:val="001F6738"/>
    <w:rsid w:val="001F685D"/>
    <w:rsid w:val="001F6984"/>
    <w:rsid w:val="001F698D"/>
    <w:rsid w:val="001F6A75"/>
    <w:rsid w:val="001F6B34"/>
    <w:rsid w:val="001F6C42"/>
    <w:rsid w:val="001F6DA2"/>
    <w:rsid w:val="001F6EC7"/>
    <w:rsid w:val="001F6F95"/>
    <w:rsid w:val="001F71C6"/>
    <w:rsid w:val="001F71D8"/>
    <w:rsid w:val="001F7248"/>
    <w:rsid w:val="001F7316"/>
    <w:rsid w:val="001F746B"/>
    <w:rsid w:val="001F7487"/>
    <w:rsid w:val="001F748A"/>
    <w:rsid w:val="001F7494"/>
    <w:rsid w:val="001F7589"/>
    <w:rsid w:val="001F77D5"/>
    <w:rsid w:val="001F7849"/>
    <w:rsid w:val="001F7857"/>
    <w:rsid w:val="001F78A9"/>
    <w:rsid w:val="001F78C4"/>
    <w:rsid w:val="001F78DE"/>
    <w:rsid w:val="001F7B43"/>
    <w:rsid w:val="001F7BD0"/>
    <w:rsid w:val="001F7C9D"/>
    <w:rsid w:val="001F7CB1"/>
    <w:rsid w:val="001F7E1C"/>
    <w:rsid w:val="001F7FE7"/>
    <w:rsid w:val="00200024"/>
    <w:rsid w:val="00200062"/>
    <w:rsid w:val="002000BD"/>
    <w:rsid w:val="00200332"/>
    <w:rsid w:val="00200526"/>
    <w:rsid w:val="00200646"/>
    <w:rsid w:val="00200688"/>
    <w:rsid w:val="0020070F"/>
    <w:rsid w:val="002008A0"/>
    <w:rsid w:val="002008B9"/>
    <w:rsid w:val="0020090B"/>
    <w:rsid w:val="002009C9"/>
    <w:rsid w:val="00200A28"/>
    <w:rsid w:val="00200A69"/>
    <w:rsid w:val="00200A73"/>
    <w:rsid w:val="00200B5C"/>
    <w:rsid w:val="00200B74"/>
    <w:rsid w:val="00200BC4"/>
    <w:rsid w:val="00200D52"/>
    <w:rsid w:val="00200DD3"/>
    <w:rsid w:val="00200EA9"/>
    <w:rsid w:val="00200FA4"/>
    <w:rsid w:val="00201233"/>
    <w:rsid w:val="0020129D"/>
    <w:rsid w:val="00201667"/>
    <w:rsid w:val="002017D2"/>
    <w:rsid w:val="002017DE"/>
    <w:rsid w:val="0020185D"/>
    <w:rsid w:val="00201916"/>
    <w:rsid w:val="00201978"/>
    <w:rsid w:val="00201BB8"/>
    <w:rsid w:val="00201D36"/>
    <w:rsid w:val="00201F67"/>
    <w:rsid w:val="0020201E"/>
    <w:rsid w:val="00202067"/>
    <w:rsid w:val="00202156"/>
    <w:rsid w:val="002021B4"/>
    <w:rsid w:val="0020220D"/>
    <w:rsid w:val="0020230C"/>
    <w:rsid w:val="00202337"/>
    <w:rsid w:val="002023A5"/>
    <w:rsid w:val="0020247C"/>
    <w:rsid w:val="0020251C"/>
    <w:rsid w:val="00202593"/>
    <w:rsid w:val="002025A5"/>
    <w:rsid w:val="002025D2"/>
    <w:rsid w:val="00202689"/>
    <w:rsid w:val="00202769"/>
    <w:rsid w:val="002027EA"/>
    <w:rsid w:val="00202939"/>
    <w:rsid w:val="002029ED"/>
    <w:rsid w:val="00202A78"/>
    <w:rsid w:val="00202BFB"/>
    <w:rsid w:val="00202DC0"/>
    <w:rsid w:val="00202E14"/>
    <w:rsid w:val="00202EF2"/>
    <w:rsid w:val="00202FB2"/>
    <w:rsid w:val="0020303F"/>
    <w:rsid w:val="00203090"/>
    <w:rsid w:val="00203114"/>
    <w:rsid w:val="00203258"/>
    <w:rsid w:val="0020334F"/>
    <w:rsid w:val="002033C3"/>
    <w:rsid w:val="002035EE"/>
    <w:rsid w:val="002036DD"/>
    <w:rsid w:val="00203751"/>
    <w:rsid w:val="0020386A"/>
    <w:rsid w:val="00203903"/>
    <w:rsid w:val="00203979"/>
    <w:rsid w:val="00203989"/>
    <w:rsid w:val="00203A35"/>
    <w:rsid w:val="00203B03"/>
    <w:rsid w:val="00203BD7"/>
    <w:rsid w:val="00203CF0"/>
    <w:rsid w:val="00203CF2"/>
    <w:rsid w:val="00203D31"/>
    <w:rsid w:val="00203D94"/>
    <w:rsid w:val="00203DDE"/>
    <w:rsid w:val="00203F73"/>
    <w:rsid w:val="00203FBC"/>
    <w:rsid w:val="00203FD0"/>
    <w:rsid w:val="002042A8"/>
    <w:rsid w:val="002044AC"/>
    <w:rsid w:val="00204623"/>
    <w:rsid w:val="0020468D"/>
    <w:rsid w:val="0020474B"/>
    <w:rsid w:val="0020481B"/>
    <w:rsid w:val="002049A7"/>
    <w:rsid w:val="00204AC6"/>
    <w:rsid w:val="00204B2D"/>
    <w:rsid w:val="00204B46"/>
    <w:rsid w:val="00204C6B"/>
    <w:rsid w:val="00204D2B"/>
    <w:rsid w:val="00204E80"/>
    <w:rsid w:val="00204E94"/>
    <w:rsid w:val="00204EE8"/>
    <w:rsid w:val="00204F0B"/>
    <w:rsid w:val="00205089"/>
    <w:rsid w:val="002050CD"/>
    <w:rsid w:val="00205145"/>
    <w:rsid w:val="00205199"/>
    <w:rsid w:val="002051B2"/>
    <w:rsid w:val="00205282"/>
    <w:rsid w:val="00205334"/>
    <w:rsid w:val="00205392"/>
    <w:rsid w:val="002054E9"/>
    <w:rsid w:val="00205710"/>
    <w:rsid w:val="00205739"/>
    <w:rsid w:val="0020574A"/>
    <w:rsid w:val="002057FD"/>
    <w:rsid w:val="00205951"/>
    <w:rsid w:val="00205A24"/>
    <w:rsid w:val="00205A38"/>
    <w:rsid w:val="00205A48"/>
    <w:rsid w:val="00205C15"/>
    <w:rsid w:val="00205E12"/>
    <w:rsid w:val="00205F6B"/>
    <w:rsid w:val="00206102"/>
    <w:rsid w:val="0020619C"/>
    <w:rsid w:val="002062CF"/>
    <w:rsid w:val="0020630E"/>
    <w:rsid w:val="00206445"/>
    <w:rsid w:val="00206561"/>
    <w:rsid w:val="0020658D"/>
    <w:rsid w:val="002065CC"/>
    <w:rsid w:val="0020672D"/>
    <w:rsid w:val="00206855"/>
    <w:rsid w:val="0020692A"/>
    <w:rsid w:val="00206B93"/>
    <w:rsid w:val="00206BE3"/>
    <w:rsid w:val="00206C75"/>
    <w:rsid w:val="00206C81"/>
    <w:rsid w:val="00206CAA"/>
    <w:rsid w:val="00206E6F"/>
    <w:rsid w:val="00206F5E"/>
    <w:rsid w:val="00207041"/>
    <w:rsid w:val="0020708D"/>
    <w:rsid w:val="002072DD"/>
    <w:rsid w:val="0020745B"/>
    <w:rsid w:val="002074A7"/>
    <w:rsid w:val="00207621"/>
    <w:rsid w:val="00207655"/>
    <w:rsid w:val="002076B9"/>
    <w:rsid w:val="00207766"/>
    <w:rsid w:val="002077F1"/>
    <w:rsid w:val="002079F4"/>
    <w:rsid w:val="00207A81"/>
    <w:rsid w:val="00207B55"/>
    <w:rsid w:val="00207C73"/>
    <w:rsid w:val="00207C7F"/>
    <w:rsid w:val="00207C94"/>
    <w:rsid w:val="00207D10"/>
    <w:rsid w:val="00207DAC"/>
    <w:rsid w:val="00207DC4"/>
    <w:rsid w:val="00207DE9"/>
    <w:rsid w:val="00207DF0"/>
    <w:rsid w:val="00210094"/>
    <w:rsid w:val="002100E1"/>
    <w:rsid w:val="0021016E"/>
    <w:rsid w:val="0021028C"/>
    <w:rsid w:val="002102C7"/>
    <w:rsid w:val="002103A3"/>
    <w:rsid w:val="0021043A"/>
    <w:rsid w:val="002105AC"/>
    <w:rsid w:val="002105EB"/>
    <w:rsid w:val="002107ED"/>
    <w:rsid w:val="00210800"/>
    <w:rsid w:val="0021083E"/>
    <w:rsid w:val="00210921"/>
    <w:rsid w:val="002109E2"/>
    <w:rsid w:val="00210A9C"/>
    <w:rsid w:val="00210AE6"/>
    <w:rsid w:val="00210B59"/>
    <w:rsid w:val="00210B67"/>
    <w:rsid w:val="00210CEA"/>
    <w:rsid w:val="00210D52"/>
    <w:rsid w:val="00210D9E"/>
    <w:rsid w:val="00210E48"/>
    <w:rsid w:val="00210EE2"/>
    <w:rsid w:val="00210F1D"/>
    <w:rsid w:val="00211017"/>
    <w:rsid w:val="00211060"/>
    <w:rsid w:val="00211073"/>
    <w:rsid w:val="0021121B"/>
    <w:rsid w:val="00211238"/>
    <w:rsid w:val="00211307"/>
    <w:rsid w:val="00211308"/>
    <w:rsid w:val="002113D2"/>
    <w:rsid w:val="002115B7"/>
    <w:rsid w:val="0021167F"/>
    <w:rsid w:val="0021172F"/>
    <w:rsid w:val="00211745"/>
    <w:rsid w:val="00211785"/>
    <w:rsid w:val="002117A8"/>
    <w:rsid w:val="0021189B"/>
    <w:rsid w:val="002119CC"/>
    <w:rsid w:val="00211A34"/>
    <w:rsid w:val="00211AA5"/>
    <w:rsid w:val="00211ABE"/>
    <w:rsid w:val="00211BB8"/>
    <w:rsid w:val="00211C12"/>
    <w:rsid w:val="00211C58"/>
    <w:rsid w:val="00211CA4"/>
    <w:rsid w:val="00211DBB"/>
    <w:rsid w:val="00211DF3"/>
    <w:rsid w:val="00211FFF"/>
    <w:rsid w:val="00212141"/>
    <w:rsid w:val="002121A8"/>
    <w:rsid w:val="0021234B"/>
    <w:rsid w:val="002123FE"/>
    <w:rsid w:val="00212537"/>
    <w:rsid w:val="002126B7"/>
    <w:rsid w:val="00212737"/>
    <w:rsid w:val="00212792"/>
    <w:rsid w:val="002128A7"/>
    <w:rsid w:val="00212903"/>
    <w:rsid w:val="00212A6A"/>
    <w:rsid w:val="00212B29"/>
    <w:rsid w:val="00212D13"/>
    <w:rsid w:val="00212D9D"/>
    <w:rsid w:val="00213085"/>
    <w:rsid w:val="002130E9"/>
    <w:rsid w:val="0021316E"/>
    <w:rsid w:val="002132C1"/>
    <w:rsid w:val="002132EA"/>
    <w:rsid w:val="00213369"/>
    <w:rsid w:val="00213641"/>
    <w:rsid w:val="002136CC"/>
    <w:rsid w:val="002136D2"/>
    <w:rsid w:val="00213A79"/>
    <w:rsid w:val="00213ACF"/>
    <w:rsid w:val="00213C00"/>
    <w:rsid w:val="00213D79"/>
    <w:rsid w:val="00213DA6"/>
    <w:rsid w:val="00213E3E"/>
    <w:rsid w:val="00213E93"/>
    <w:rsid w:val="00213EF7"/>
    <w:rsid w:val="00213F71"/>
    <w:rsid w:val="00213FFC"/>
    <w:rsid w:val="0021402F"/>
    <w:rsid w:val="00214030"/>
    <w:rsid w:val="00214071"/>
    <w:rsid w:val="00214086"/>
    <w:rsid w:val="0021443B"/>
    <w:rsid w:val="0021455D"/>
    <w:rsid w:val="002145E0"/>
    <w:rsid w:val="002145F0"/>
    <w:rsid w:val="00214601"/>
    <w:rsid w:val="002146D3"/>
    <w:rsid w:val="002149C8"/>
    <w:rsid w:val="00214A39"/>
    <w:rsid w:val="00214AD0"/>
    <w:rsid w:val="00214B6C"/>
    <w:rsid w:val="00214E7E"/>
    <w:rsid w:val="00214E93"/>
    <w:rsid w:val="00214FDF"/>
    <w:rsid w:val="00215088"/>
    <w:rsid w:val="002150D8"/>
    <w:rsid w:val="0021512D"/>
    <w:rsid w:val="0021515D"/>
    <w:rsid w:val="002151C4"/>
    <w:rsid w:val="002151FE"/>
    <w:rsid w:val="00215200"/>
    <w:rsid w:val="0021526E"/>
    <w:rsid w:val="0021536A"/>
    <w:rsid w:val="00215397"/>
    <w:rsid w:val="00215411"/>
    <w:rsid w:val="002156E3"/>
    <w:rsid w:val="00215828"/>
    <w:rsid w:val="002158DF"/>
    <w:rsid w:val="00215B00"/>
    <w:rsid w:val="00215B25"/>
    <w:rsid w:val="00215BA0"/>
    <w:rsid w:val="00215C3D"/>
    <w:rsid w:val="00215C99"/>
    <w:rsid w:val="00215CB3"/>
    <w:rsid w:val="00215F7F"/>
    <w:rsid w:val="00215F8C"/>
    <w:rsid w:val="00216044"/>
    <w:rsid w:val="002160F0"/>
    <w:rsid w:val="002162F7"/>
    <w:rsid w:val="002162FF"/>
    <w:rsid w:val="0021648A"/>
    <w:rsid w:val="0021654C"/>
    <w:rsid w:val="00216634"/>
    <w:rsid w:val="00216660"/>
    <w:rsid w:val="00216727"/>
    <w:rsid w:val="00216851"/>
    <w:rsid w:val="002168D5"/>
    <w:rsid w:val="002169BF"/>
    <w:rsid w:val="002169ED"/>
    <w:rsid w:val="002169F6"/>
    <w:rsid w:val="00216A32"/>
    <w:rsid w:val="00216AA5"/>
    <w:rsid w:val="00216B49"/>
    <w:rsid w:val="00216D09"/>
    <w:rsid w:val="00216D61"/>
    <w:rsid w:val="00216F11"/>
    <w:rsid w:val="00216FEC"/>
    <w:rsid w:val="00217000"/>
    <w:rsid w:val="002170DD"/>
    <w:rsid w:val="00217190"/>
    <w:rsid w:val="002171C4"/>
    <w:rsid w:val="00217210"/>
    <w:rsid w:val="002174A2"/>
    <w:rsid w:val="00217571"/>
    <w:rsid w:val="002175D7"/>
    <w:rsid w:val="0021760C"/>
    <w:rsid w:val="002176A5"/>
    <w:rsid w:val="002178B2"/>
    <w:rsid w:val="002178D7"/>
    <w:rsid w:val="002178F2"/>
    <w:rsid w:val="00217913"/>
    <w:rsid w:val="0021799C"/>
    <w:rsid w:val="002179E8"/>
    <w:rsid w:val="002179F1"/>
    <w:rsid w:val="00217B60"/>
    <w:rsid w:val="00217C19"/>
    <w:rsid w:val="00217D6E"/>
    <w:rsid w:val="00217DB0"/>
    <w:rsid w:val="00217F6C"/>
    <w:rsid w:val="0022007E"/>
    <w:rsid w:val="00220218"/>
    <w:rsid w:val="0022024C"/>
    <w:rsid w:val="002202D8"/>
    <w:rsid w:val="002203B0"/>
    <w:rsid w:val="00220467"/>
    <w:rsid w:val="002204AB"/>
    <w:rsid w:val="00220590"/>
    <w:rsid w:val="00220765"/>
    <w:rsid w:val="002207A7"/>
    <w:rsid w:val="00220802"/>
    <w:rsid w:val="00220A2C"/>
    <w:rsid w:val="00220ACA"/>
    <w:rsid w:val="00220ACD"/>
    <w:rsid w:val="00220BC5"/>
    <w:rsid w:val="00220E62"/>
    <w:rsid w:val="00220E7A"/>
    <w:rsid w:val="00220F00"/>
    <w:rsid w:val="00220FCF"/>
    <w:rsid w:val="00220FE4"/>
    <w:rsid w:val="00221077"/>
    <w:rsid w:val="002210D2"/>
    <w:rsid w:val="002212B3"/>
    <w:rsid w:val="0022133D"/>
    <w:rsid w:val="002213AE"/>
    <w:rsid w:val="002214A8"/>
    <w:rsid w:val="002214D5"/>
    <w:rsid w:val="00221593"/>
    <w:rsid w:val="002215F4"/>
    <w:rsid w:val="00221631"/>
    <w:rsid w:val="00221756"/>
    <w:rsid w:val="0022181C"/>
    <w:rsid w:val="002218E2"/>
    <w:rsid w:val="00221AAB"/>
    <w:rsid w:val="00221C29"/>
    <w:rsid w:val="00221CC7"/>
    <w:rsid w:val="00221CFF"/>
    <w:rsid w:val="00221D28"/>
    <w:rsid w:val="00221E20"/>
    <w:rsid w:val="00221EC0"/>
    <w:rsid w:val="00221EDA"/>
    <w:rsid w:val="00221F06"/>
    <w:rsid w:val="002220BE"/>
    <w:rsid w:val="002220F1"/>
    <w:rsid w:val="00222172"/>
    <w:rsid w:val="00222207"/>
    <w:rsid w:val="002222BF"/>
    <w:rsid w:val="00222390"/>
    <w:rsid w:val="002224D8"/>
    <w:rsid w:val="002224EA"/>
    <w:rsid w:val="0022252C"/>
    <w:rsid w:val="0022252E"/>
    <w:rsid w:val="00222549"/>
    <w:rsid w:val="00222642"/>
    <w:rsid w:val="00222664"/>
    <w:rsid w:val="002226C9"/>
    <w:rsid w:val="002226D0"/>
    <w:rsid w:val="00222B31"/>
    <w:rsid w:val="00222B72"/>
    <w:rsid w:val="00222C1F"/>
    <w:rsid w:val="00222C8C"/>
    <w:rsid w:val="00222CB2"/>
    <w:rsid w:val="00222D01"/>
    <w:rsid w:val="00222E2A"/>
    <w:rsid w:val="00222E2B"/>
    <w:rsid w:val="00223103"/>
    <w:rsid w:val="0022323F"/>
    <w:rsid w:val="00223266"/>
    <w:rsid w:val="0022327A"/>
    <w:rsid w:val="0022333D"/>
    <w:rsid w:val="0022346F"/>
    <w:rsid w:val="002234EB"/>
    <w:rsid w:val="002234F2"/>
    <w:rsid w:val="002236CF"/>
    <w:rsid w:val="00223885"/>
    <w:rsid w:val="0022388B"/>
    <w:rsid w:val="00223924"/>
    <w:rsid w:val="00223A4D"/>
    <w:rsid w:val="00223A78"/>
    <w:rsid w:val="00223BE2"/>
    <w:rsid w:val="00223C72"/>
    <w:rsid w:val="00223E4C"/>
    <w:rsid w:val="0022423F"/>
    <w:rsid w:val="002242EB"/>
    <w:rsid w:val="002242F9"/>
    <w:rsid w:val="0022435C"/>
    <w:rsid w:val="00224559"/>
    <w:rsid w:val="002245F1"/>
    <w:rsid w:val="002247AE"/>
    <w:rsid w:val="002247BE"/>
    <w:rsid w:val="002247E1"/>
    <w:rsid w:val="00224826"/>
    <w:rsid w:val="002248CE"/>
    <w:rsid w:val="00224BDC"/>
    <w:rsid w:val="00224C7C"/>
    <w:rsid w:val="00224D29"/>
    <w:rsid w:val="00224DCE"/>
    <w:rsid w:val="00224EB8"/>
    <w:rsid w:val="00224EC0"/>
    <w:rsid w:val="00224F37"/>
    <w:rsid w:val="00224F79"/>
    <w:rsid w:val="00224FE0"/>
    <w:rsid w:val="00224FFD"/>
    <w:rsid w:val="002250A9"/>
    <w:rsid w:val="002251DD"/>
    <w:rsid w:val="00225275"/>
    <w:rsid w:val="0022539F"/>
    <w:rsid w:val="00225475"/>
    <w:rsid w:val="002254AC"/>
    <w:rsid w:val="00225625"/>
    <w:rsid w:val="0022569E"/>
    <w:rsid w:val="002256EF"/>
    <w:rsid w:val="00225746"/>
    <w:rsid w:val="0022589D"/>
    <w:rsid w:val="002259CD"/>
    <w:rsid w:val="00225AD6"/>
    <w:rsid w:val="00225B62"/>
    <w:rsid w:val="00225BB6"/>
    <w:rsid w:val="00225C0C"/>
    <w:rsid w:val="00225C55"/>
    <w:rsid w:val="00225CA0"/>
    <w:rsid w:val="00225DC5"/>
    <w:rsid w:val="00225DFD"/>
    <w:rsid w:val="00225EA3"/>
    <w:rsid w:val="00226007"/>
    <w:rsid w:val="00226369"/>
    <w:rsid w:val="002263EF"/>
    <w:rsid w:val="00226415"/>
    <w:rsid w:val="002264C3"/>
    <w:rsid w:val="002265AB"/>
    <w:rsid w:val="002265F6"/>
    <w:rsid w:val="00226675"/>
    <w:rsid w:val="0022696C"/>
    <w:rsid w:val="00226A41"/>
    <w:rsid w:val="00226C12"/>
    <w:rsid w:val="00226C9F"/>
    <w:rsid w:val="00226D4C"/>
    <w:rsid w:val="00226D8B"/>
    <w:rsid w:val="00226E2B"/>
    <w:rsid w:val="00226F31"/>
    <w:rsid w:val="00226F59"/>
    <w:rsid w:val="0022714F"/>
    <w:rsid w:val="002271B2"/>
    <w:rsid w:val="00227240"/>
    <w:rsid w:val="00227266"/>
    <w:rsid w:val="002273FF"/>
    <w:rsid w:val="00227409"/>
    <w:rsid w:val="0022747B"/>
    <w:rsid w:val="002274A3"/>
    <w:rsid w:val="002275DA"/>
    <w:rsid w:val="00227652"/>
    <w:rsid w:val="00227673"/>
    <w:rsid w:val="002276B6"/>
    <w:rsid w:val="002277F4"/>
    <w:rsid w:val="00227825"/>
    <w:rsid w:val="00227A13"/>
    <w:rsid w:val="00227A80"/>
    <w:rsid w:val="00227C09"/>
    <w:rsid w:val="00227C51"/>
    <w:rsid w:val="00227C95"/>
    <w:rsid w:val="00227C97"/>
    <w:rsid w:val="00227D01"/>
    <w:rsid w:val="00227E55"/>
    <w:rsid w:val="00227EAA"/>
    <w:rsid w:val="00227F0B"/>
    <w:rsid w:val="00230296"/>
    <w:rsid w:val="00230474"/>
    <w:rsid w:val="0023055B"/>
    <w:rsid w:val="0023058C"/>
    <w:rsid w:val="002305D6"/>
    <w:rsid w:val="0023085C"/>
    <w:rsid w:val="002308CF"/>
    <w:rsid w:val="0023094F"/>
    <w:rsid w:val="0023096D"/>
    <w:rsid w:val="00230A2E"/>
    <w:rsid w:val="00230AD7"/>
    <w:rsid w:val="00230AF9"/>
    <w:rsid w:val="00230B30"/>
    <w:rsid w:val="00230BDE"/>
    <w:rsid w:val="00230CC0"/>
    <w:rsid w:val="00230E0F"/>
    <w:rsid w:val="00230EA0"/>
    <w:rsid w:val="00230FC8"/>
    <w:rsid w:val="002310A7"/>
    <w:rsid w:val="002310AD"/>
    <w:rsid w:val="002311B9"/>
    <w:rsid w:val="002313E9"/>
    <w:rsid w:val="0023150D"/>
    <w:rsid w:val="00231650"/>
    <w:rsid w:val="00231651"/>
    <w:rsid w:val="002316D8"/>
    <w:rsid w:val="002317F4"/>
    <w:rsid w:val="00231944"/>
    <w:rsid w:val="002319A1"/>
    <w:rsid w:val="00231B76"/>
    <w:rsid w:val="00231BDD"/>
    <w:rsid w:val="00231C20"/>
    <w:rsid w:val="00231CD0"/>
    <w:rsid w:val="00231F6C"/>
    <w:rsid w:val="002320D3"/>
    <w:rsid w:val="0023218F"/>
    <w:rsid w:val="002322F1"/>
    <w:rsid w:val="00232323"/>
    <w:rsid w:val="0023234A"/>
    <w:rsid w:val="002323CC"/>
    <w:rsid w:val="002324CD"/>
    <w:rsid w:val="002324DF"/>
    <w:rsid w:val="00232588"/>
    <w:rsid w:val="002325D8"/>
    <w:rsid w:val="002327DB"/>
    <w:rsid w:val="002327ED"/>
    <w:rsid w:val="00232802"/>
    <w:rsid w:val="0023280E"/>
    <w:rsid w:val="0023282F"/>
    <w:rsid w:val="00232893"/>
    <w:rsid w:val="002328F8"/>
    <w:rsid w:val="00232A0C"/>
    <w:rsid w:val="00232ACF"/>
    <w:rsid w:val="00232AF6"/>
    <w:rsid w:val="00232BA2"/>
    <w:rsid w:val="00232C1C"/>
    <w:rsid w:val="00232D0E"/>
    <w:rsid w:val="00232DD3"/>
    <w:rsid w:val="00232EB2"/>
    <w:rsid w:val="00232F9B"/>
    <w:rsid w:val="002331EC"/>
    <w:rsid w:val="0023330B"/>
    <w:rsid w:val="002333F4"/>
    <w:rsid w:val="0023367F"/>
    <w:rsid w:val="00233687"/>
    <w:rsid w:val="002336A5"/>
    <w:rsid w:val="0023379A"/>
    <w:rsid w:val="00233938"/>
    <w:rsid w:val="00233BF2"/>
    <w:rsid w:val="00233C43"/>
    <w:rsid w:val="00233CD4"/>
    <w:rsid w:val="00233ECA"/>
    <w:rsid w:val="00233FF2"/>
    <w:rsid w:val="002340C0"/>
    <w:rsid w:val="002341FA"/>
    <w:rsid w:val="002342DB"/>
    <w:rsid w:val="002343A1"/>
    <w:rsid w:val="00234454"/>
    <w:rsid w:val="00234545"/>
    <w:rsid w:val="00234549"/>
    <w:rsid w:val="00234556"/>
    <w:rsid w:val="002345E8"/>
    <w:rsid w:val="00234696"/>
    <w:rsid w:val="00234773"/>
    <w:rsid w:val="002347B8"/>
    <w:rsid w:val="00234876"/>
    <w:rsid w:val="0023487B"/>
    <w:rsid w:val="00234918"/>
    <w:rsid w:val="0023494F"/>
    <w:rsid w:val="002349FD"/>
    <w:rsid w:val="00234A8F"/>
    <w:rsid w:val="00234AE5"/>
    <w:rsid w:val="00234B29"/>
    <w:rsid w:val="00234BE1"/>
    <w:rsid w:val="00234C82"/>
    <w:rsid w:val="00234D40"/>
    <w:rsid w:val="00234E92"/>
    <w:rsid w:val="00234F33"/>
    <w:rsid w:val="00235398"/>
    <w:rsid w:val="002353E9"/>
    <w:rsid w:val="00235562"/>
    <w:rsid w:val="002357CF"/>
    <w:rsid w:val="00235A94"/>
    <w:rsid w:val="00235AF8"/>
    <w:rsid w:val="00235B26"/>
    <w:rsid w:val="00235BE1"/>
    <w:rsid w:val="00235BF4"/>
    <w:rsid w:val="00235E77"/>
    <w:rsid w:val="00235EBA"/>
    <w:rsid w:val="00235FF6"/>
    <w:rsid w:val="00236031"/>
    <w:rsid w:val="0023604C"/>
    <w:rsid w:val="00236105"/>
    <w:rsid w:val="002363A0"/>
    <w:rsid w:val="00236585"/>
    <w:rsid w:val="002365AA"/>
    <w:rsid w:val="002366D3"/>
    <w:rsid w:val="00236791"/>
    <w:rsid w:val="002368AD"/>
    <w:rsid w:val="0023692B"/>
    <w:rsid w:val="00236C4B"/>
    <w:rsid w:val="00236C71"/>
    <w:rsid w:val="00236EB5"/>
    <w:rsid w:val="00237113"/>
    <w:rsid w:val="00237160"/>
    <w:rsid w:val="002372BA"/>
    <w:rsid w:val="00237344"/>
    <w:rsid w:val="002373EB"/>
    <w:rsid w:val="0023765D"/>
    <w:rsid w:val="002376A3"/>
    <w:rsid w:val="002376D3"/>
    <w:rsid w:val="002376FA"/>
    <w:rsid w:val="002376FB"/>
    <w:rsid w:val="00237873"/>
    <w:rsid w:val="002378B2"/>
    <w:rsid w:val="00237A03"/>
    <w:rsid w:val="00237A68"/>
    <w:rsid w:val="00237B98"/>
    <w:rsid w:val="00237C2A"/>
    <w:rsid w:val="00237DC6"/>
    <w:rsid w:val="00237F00"/>
    <w:rsid w:val="00240054"/>
    <w:rsid w:val="002401EE"/>
    <w:rsid w:val="00240360"/>
    <w:rsid w:val="00240453"/>
    <w:rsid w:val="00240721"/>
    <w:rsid w:val="00240808"/>
    <w:rsid w:val="00240849"/>
    <w:rsid w:val="002408C3"/>
    <w:rsid w:val="002408F8"/>
    <w:rsid w:val="00240917"/>
    <w:rsid w:val="002409A2"/>
    <w:rsid w:val="00240A0C"/>
    <w:rsid w:val="00240AB6"/>
    <w:rsid w:val="00240B13"/>
    <w:rsid w:val="00240B1D"/>
    <w:rsid w:val="00240B3E"/>
    <w:rsid w:val="00240DF2"/>
    <w:rsid w:val="00240EA0"/>
    <w:rsid w:val="00240EAD"/>
    <w:rsid w:val="00240ED4"/>
    <w:rsid w:val="00240F0E"/>
    <w:rsid w:val="00240F6F"/>
    <w:rsid w:val="0024108B"/>
    <w:rsid w:val="00241414"/>
    <w:rsid w:val="0024145C"/>
    <w:rsid w:val="0024146F"/>
    <w:rsid w:val="002414A7"/>
    <w:rsid w:val="00241697"/>
    <w:rsid w:val="00241A92"/>
    <w:rsid w:val="00241AE0"/>
    <w:rsid w:val="00241AFC"/>
    <w:rsid w:val="00241BDE"/>
    <w:rsid w:val="00241D63"/>
    <w:rsid w:val="00241E13"/>
    <w:rsid w:val="00242045"/>
    <w:rsid w:val="0024209D"/>
    <w:rsid w:val="00242101"/>
    <w:rsid w:val="00242148"/>
    <w:rsid w:val="002421A4"/>
    <w:rsid w:val="0024220F"/>
    <w:rsid w:val="00242317"/>
    <w:rsid w:val="00242321"/>
    <w:rsid w:val="002423A8"/>
    <w:rsid w:val="002423FD"/>
    <w:rsid w:val="0024245B"/>
    <w:rsid w:val="00242511"/>
    <w:rsid w:val="00242516"/>
    <w:rsid w:val="002427E1"/>
    <w:rsid w:val="002428CF"/>
    <w:rsid w:val="002429BF"/>
    <w:rsid w:val="00242AE0"/>
    <w:rsid w:val="00242B98"/>
    <w:rsid w:val="00242C15"/>
    <w:rsid w:val="00242C94"/>
    <w:rsid w:val="00242D0F"/>
    <w:rsid w:val="00242D11"/>
    <w:rsid w:val="00242D2D"/>
    <w:rsid w:val="00242DD2"/>
    <w:rsid w:val="00242DD9"/>
    <w:rsid w:val="00242E9A"/>
    <w:rsid w:val="00243150"/>
    <w:rsid w:val="00243313"/>
    <w:rsid w:val="00243322"/>
    <w:rsid w:val="00243355"/>
    <w:rsid w:val="0024335D"/>
    <w:rsid w:val="002434D1"/>
    <w:rsid w:val="00243520"/>
    <w:rsid w:val="0024359F"/>
    <w:rsid w:val="002435D7"/>
    <w:rsid w:val="002436CC"/>
    <w:rsid w:val="0024374E"/>
    <w:rsid w:val="002437FF"/>
    <w:rsid w:val="00243803"/>
    <w:rsid w:val="0024387E"/>
    <w:rsid w:val="0024398A"/>
    <w:rsid w:val="002439C6"/>
    <w:rsid w:val="002439DB"/>
    <w:rsid w:val="00243B97"/>
    <w:rsid w:val="00243DC8"/>
    <w:rsid w:val="00243EEF"/>
    <w:rsid w:val="0024400E"/>
    <w:rsid w:val="002440C8"/>
    <w:rsid w:val="002440F8"/>
    <w:rsid w:val="0024410A"/>
    <w:rsid w:val="002441AD"/>
    <w:rsid w:val="00244263"/>
    <w:rsid w:val="002442AF"/>
    <w:rsid w:val="00244389"/>
    <w:rsid w:val="00244574"/>
    <w:rsid w:val="00244663"/>
    <w:rsid w:val="0024469B"/>
    <w:rsid w:val="00244895"/>
    <w:rsid w:val="002448DE"/>
    <w:rsid w:val="002448F7"/>
    <w:rsid w:val="00244A0D"/>
    <w:rsid w:val="00244A63"/>
    <w:rsid w:val="00244AE6"/>
    <w:rsid w:val="00244BBD"/>
    <w:rsid w:val="00244C77"/>
    <w:rsid w:val="00244DAA"/>
    <w:rsid w:val="00244FEE"/>
    <w:rsid w:val="002450DB"/>
    <w:rsid w:val="002451B2"/>
    <w:rsid w:val="00245264"/>
    <w:rsid w:val="002452F0"/>
    <w:rsid w:val="002453E8"/>
    <w:rsid w:val="00245491"/>
    <w:rsid w:val="00245500"/>
    <w:rsid w:val="002456AB"/>
    <w:rsid w:val="0024577C"/>
    <w:rsid w:val="002457CA"/>
    <w:rsid w:val="00245903"/>
    <w:rsid w:val="00245A6E"/>
    <w:rsid w:val="00245A9B"/>
    <w:rsid w:val="00245CBF"/>
    <w:rsid w:val="00245CF7"/>
    <w:rsid w:val="00245ECF"/>
    <w:rsid w:val="00246140"/>
    <w:rsid w:val="002462DE"/>
    <w:rsid w:val="002463FE"/>
    <w:rsid w:val="002464A9"/>
    <w:rsid w:val="00246826"/>
    <w:rsid w:val="00246847"/>
    <w:rsid w:val="002468B3"/>
    <w:rsid w:val="002469C4"/>
    <w:rsid w:val="00246A99"/>
    <w:rsid w:val="00246C5C"/>
    <w:rsid w:val="00246C89"/>
    <w:rsid w:val="00246C92"/>
    <w:rsid w:val="00246D80"/>
    <w:rsid w:val="00246DFD"/>
    <w:rsid w:val="00246E01"/>
    <w:rsid w:val="00246E13"/>
    <w:rsid w:val="00246E9E"/>
    <w:rsid w:val="00246F30"/>
    <w:rsid w:val="00246FF1"/>
    <w:rsid w:val="00247170"/>
    <w:rsid w:val="00247244"/>
    <w:rsid w:val="00247426"/>
    <w:rsid w:val="002474BA"/>
    <w:rsid w:val="002478C0"/>
    <w:rsid w:val="002478C2"/>
    <w:rsid w:val="002479F6"/>
    <w:rsid w:val="00247AED"/>
    <w:rsid w:val="00247B36"/>
    <w:rsid w:val="00247B7B"/>
    <w:rsid w:val="00247BFB"/>
    <w:rsid w:val="00247CC2"/>
    <w:rsid w:val="00247D26"/>
    <w:rsid w:val="00247D7E"/>
    <w:rsid w:val="00247DC2"/>
    <w:rsid w:val="00247E31"/>
    <w:rsid w:val="00250017"/>
    <w:rsid w:val="002500EE"/>
    <w:rsid w:val="002501A6"/>
    <w:rsid w:val="00250248"/>
    <w:rsid w:val="002503B3"/>
    <w:rsid w:val="0025041E"/>
    <w:rsid w:val="002505B3"/>
    <w:rsid w:val="00250807"/>
    <w:rsid w:val="00250920"/>
    <w:rsid w:val="00250945"/>
    <w:rsid w:val="002509A9"/>
    <w:rsid w:val="00250A21"/>
    <w:rsid w:val="00250A69"/>
    <w:rsid w:val="00250A80"/>
    <w:rsid w:val="00250BF8"/>
    <w:rsid w:val="00250C60"/>
    <w:rsid w:val="00250CA9"/>
    <w:rsid w:val="00250CCA"/>
    <w:rsid w:val="00250CE6"/>
    <w:rsid w:val="00250E88"/>
    <w:rsid w:val="00250EA8"/>
    <w:rsid w:val="00250EAB"/>
    <w:rsid w:val="00250F3E"/>
    <w:rsid w:val="00250F50"/>
    <w:rsid w:val="00250F5E"/>
    <w:rsid w:val="002510D7"/>
    <w:rsid w:val="0025113F"/>
    <w:rsid w:val="00251243"/>
    <w:rsid w:val="002512FD"/>
    <w:rsid w:val="002514C5"/>
    <w:rsid w:val="00251547"/>
    <w:rsid w:val="00251690"/>
    <w:rsid w:val="002516E7"/>
    <w:rsid w:val="00251846"/>
    <w:rsid w:val="00251A11"/>
    <w:rsid w:val="00251A1C"/>
    <w:rsid w:val="00251A89"/>
    <w:rsid w:val="00251AED"/>
    <w:rsid w:val="00251CB7"/>
    <w:rsid w:val="00251CE8"/>
    <w:rsid w:val="00251D3C"/>
    <w:rsid w:val="00251D73"/>
    <w:rsid w:val="00251E09"/>
    <w:rsid w:val="00252060"/>
    <w:rsid w:val="00252120"/>
    <w:rsid w:val="002523CF"/>
    <w:rsid w:val="002523E0"/>
    <w:rsid w:val="00252488"/>
    <w:rsid w:val="00252515"/>
    <w:rsid w:val="0025259F"/>
    <w:rsid w:val="002528F1"/>
    <w:rsid w:val="00252969"/>
    <w:rsid w:val="00252BF6"/>
    <w:rsid w:val="00252C6C"/>
    <w:rsid w:val="00252CBC"/>
    <w:rsid w:val="00252D9D"/>
    <w:rsid w:val="00253009"/>
    <w:rsid w:val="0025312D"/>
    <w:rsid w:val="00253166"/>
    <w:rsid w:val="00253216"/>
    <w:rsid w:val="002532AD"/>
    <w:rsid w:val="002533FC"/>
    <w:rsid w:val="00253443"/>
    <w:rsid w:val="002534FD"/>
    <w:rsid w:val="0025356E"/>
    <w:rsid w:val="00253583"/>
    <w:rsid w:val="00253633"/>
    <w:rsid w:val="00253873"/>
    <w:rsid w:val="002538D7"/>
    <w:rsid w:val="002538D9"/>
    <w:rsid w:val="00253987"/>
    <w:rsid w:val="002539B0"/>
    <w:rsid w:val="002539DE"/>
    <w:rsid w:val="00253A7E"/>
    <w:rsid w:val="00253BD8"/>
    <w:rsid w:val="00253C48"/>
    <w:rsid w:val="00253CB4"/>
    <w:rsid w:val="00253F50"/>
    <w:rsid w:val="00253F9E"/>
    <w:rsid w:val="00253FC4"/>
    <w:rsid w:val="00253FF6"/>
    <w:rsid w:val="00254120"/>
    <w:rsid w:val="00254130"/>
    <w:rsid w:val="00254175"/>
    <w:rsid w:val="0025421E"/>
    <w:rsid w:val="002542E5"/>
    <w:rsid w:val="002542FF"/>
    <w:rsid w:val="00254589"/>
    <w:rsid w:val="00254628"/>
    <w:rsid w:val="00254982"/>
    <w:rsid w:val="002549C8"/>
    <w:rsid w:val="00254B6C"/>
    <w:rsid w:val="00254BCD"/>
    <w:rsid w:val="00254CA3"/>
    <w:rsid w:val="00254D05"/>
    <w:rsid w:val="00254DE0"/>
    <w:rsid w:val="00254ED6"/>
    <w:rsid w:val="002550E9"/>
    <w:rsid w:val="00255189"/>
    <w:rsid w:val="002552F7"/>
    <w:rsid w:val="00255387"/>
    <w:rsid w:val="00255394"/>
    <w:rsid w:val="0025540F"/>
    <w:rsid w:val="00255469"/>
    <w:rsid w:val="00255485"/>
    <w:rsid w:val="002554BA"/>
    <w:rsid w:val="002554BD"/>
    <w:rsid w:val="0025553D"/>
    <w:rsid w:val="002555A8"/>
    <w:rsid w:val="002557EF"/>
    <w:rsid w:val="0025590A"/>
    <w:rsid w:val="002559AA"/>
    <w:rsid w:val="00255B56"/>
    <w:rsid w:val="00255D5A"/>
    <w:rsid w:val="00255E0E"/>
    <w:rsid w:val="00255E1C"/>
    <w:rsid w:val="00256113"/>
    <w:rsid w:val="00256264"/>
    <w:rsid w:val="0025630F"/>
    <w:rsid w:val="0025631D"/>
    <w:rsid w:val="002563C4"/>
    <w:rsid w:val="002564A6"/>
    <w:rsid w:val="00256534"/>
    <w:rsid w:val="00256625"/>
    <w:rsid w:val="00256668"/>
    <w:rsid w:val="00256692"/>
    <w:rsid w:val="0025695D"/>
    <w:rsid w:val="00256BA6"/>
    <w:rsid w:val="00256C13"/>
    <w:rsid w:val="00256C5B"/>
    <w:rsid w:val="00256DC0"/>
    <w:rsid w:val="00256EC3"/>
    <w:rsid w:val="00256F34"/>
    <w:rsid w:val="00256F6B"/>
    <w:rsid w:val="002570BC"/>
    <w:rsid w:val="002570D2"/>
    <w:rsid w:val="00257138"/>
    <w:rsid w:val="00257140"/>
    <w:rsid w:val="00257239"/>
    <w:rsid w:val="00257253"/>
    <w:rsid w:val="002572CB"/>
    <w:rsid w:val="00257595"/>
    <w:rsid w:val="0025767B"/>
    <w:rsid w:val="002576F2"/>
    <w:rsid w:val="0025786F"/>
    <w:rsid w:val="00257924"/>
    <w:rsid w:val="00257B70"/>
    <w:rsid w:val="00257BE2"/>
    <w:rsid w:val="00257BF5"/>
    <w:rsid w:val="00257C13"/>
    <w:rsid w:val="00257C7C"/>
    <w:rsid w:val="00257E27"/>
    <w:rsid w:val="00257E8D"/>
    <w:rsid w:val="00257F9A"/>
    <w:rsid w:val="002602EC"/>
    <w:rsid w:val="002603F2"/>
    <w:rsid w:val="002608CA"/>
    <w:rsid w:val="002609D8"/>
    <w:rsid w:val="002609FB"/>
    <w:rsid w:val="00260AB1"/>
    <w:rsid w:val="00260AEA"/>
    <w:rsid w:val="00260BD9"/>
    <w:rsid w:val="00260DD5"/>
    <w:rsid w:val="00260DF4"/>
    <w:rsid w:val="00260E14"/>
    <w:rsid w:val="00260F5E"/>
    <w:rsid w:val="00260FB0"/>
    <w:rsid w:val="00261308"/>
    <w:rsid w:val="00261426"/>
    <w:rsid w:val="0026151E"/>
    <w:rsid w:val="002615CA"/>
    <w:rsid w:val="0026169A"/>
    <w:rsid w:val="0026170D"/>
    <w:rsid w:val="00261805"/>
    <w:rsid w:val="00261866"/>
    <w:rsid w:val="00261875"/>
    <w:rsid w:val="00261948"/>
    <w:rsid w:val="00261A9D"/>
    <w:rsid w:val="00261AD3"/>
    <w:rsid w:val="00261E3D"/>
    <w:rsid w:val="00261E84"/>
    <w:rsid w:val="00261F19"/>
    <w:rsid w:val="00261FD0"/>
    <w:rsid w:val="002620AD"/>
    <w:rsid w:val="00262143"/>
    <w:rsid w:val="00262268"/>
    <w:rsid w:val="002623A1"/>
    <w:rsid w:val="0026253A"/>
    <w:rsid w:val="002626D3"/>
    <w:rsid w:val="00262857"/>
    <w:rsid w:val="00262B68"/>
    <w:rsid w:val="00262BAA"/>
    <w:rsid w:val="00262CC8"/>
    <w:rsid w:val="00262D16"/>
    <w:rsid w:val="00262D2A"/>
    <w:rsid w:val="00262D61"/>
    <w:rsid w:val="00262D63"/>
    <w:rsid w:val="00262E55"/>
    <w:rsid w:val="00262F1B"/>
    <w:rsid w:val="00262F1E"/>
    <w:rsid w:val="00263002"/>
    <w:rsid w:val="00263003"/>
    <w:rsid w:val="00263109"/>
    <w:rsid w:val="00263174"/>
    <w:rsid w:val="0026325E"/>
    <w:rsid w:val="00263374"/>
    <w:rsid w:val="002633DD"/>
    <w:rsid w:val="002634C6"/>
    <w:rsid w:val="002636E7"/>
    <w:rsid w:val="00263827"/>
    <w:rsid w:val="002639C4"/>
    <w:rsid w:val="00263A60"/>
    <w:rsid w:val="00263AF2"/>
    <w:rsid w:val="00263B0B"/>
    <w:rsid w:val="00263B7F"/>
    <w:rsid w:val="00263C23"/>
    <w:rsid w:val="00263C38"/>
    <w:rsid w:val="00263CEC"/>
    <w:rsid w:val="00263E6D"/>
    <w:rsid w:val="002640D2"/>
    <w:rsid w:val="00264161"/>
    <w:rsid w:val="002641DC"/>
    <w:rsid w:val="00264277"/>
    <w:rsid w:val="002642CB"/>
    <w:rsid w:val="002644AF"/>
    <w:rsid w:val="00264588"/>
    <w:rsid w:val="002645B9"/>
    <w:rsid w:val="0026460A"/>
    <w:rsid w:val="002647AD"/>
    <w:rsid w:val="0026481D"/>
    <w:rsid w:val="00264864"/>
    <w:rsid w:val="0026488A"/>
    <w:rsid w:val="002648C7"/>
    <w:rsid w:val="002648D9"/>
    <w:rsid w:val="00264A03"/>
    <w:rsid w:val="00264A7A"/>
    <w:rsid w:val="00264A7E"/>
    <w:rsid w:val="00264ABE"/>
    <w:rsid w:val="00264AEB"/>
    <w:rsid w:val="00264C2F"/>
    <w:rsid w:val="00264C52"/>
    <w:rsid w:val="00264DE5"/>
    <w:rsid w:val="00264E1F"/>
    <w:rsid w:val="00264ECE"/>
    <w:rsid w:val="00264ECF"/>
    <w:rsid w:val="00264FF5"/>
    <w:rsid w:val="00265184"/>
    <w:rsid w:val="002651FF"/>
    <w:rsid w:val="00265353"/>
    <w:rsid w:val="002653AA"/>
    <w:rsid w:val="002653FD"/>
    <w:rsid w:val="0026540A"/>
    <w:rsid w:val="00265462"/>
    <w:rsid w:val="0026554C"/>
    <w:rsid w:val="002655D5"/>
    <w:rsid w:val="00265612"/>
    <w:rsid w:val="0026568A"/>
    <w:rsid w:val="002656BF"/>
    <w:rsid w:val="00265748"/>
    <w:rsid w:val="002658A5"/>
    <w:rsid w:val="002658B8"/>
    <w:rsid w:val="00265ACC"/>
    <w:rsid w:val="00265BA4"/>
    <w:rsid w:val="00265E34"/>
    <w:rsid w:val="00265E7E"/>
    <w:rsid w:val="00265FC7"/>
    <w:rsid w:val="00265FED"/>
    <w:rsid w:val="002661FB"/>
    <w:rsid w:val="002662DE"/>
    <w:rsid w:val="00266326"/>
    <w:rsid w:val="00266468"/>
    <w:rsid w:val="00266524"/>
    <w:rsid w:val="002665DB"/>
    <w:rsid w:val="00266731"/>
    <w:rsid w:val="002667C2"/>
    <w:rsid w:val="00266802"/>
    <w:rsid w:val="0026694B"/>
    <w:rsid w:val="0026696F"/>
    <w:rsid w:val="002669A1"/>
    <w:rsid w:val="002669E7"/>
    <w:rsid w:val="00266A77"/>
    <w:rsid w:val="00266ACD"/>
    <w:rsid w:val="00266AFD"/>
    <w:rsid w:val="00266BAB"/>
    <w:rsid w:val="00266C1D"/>
    <w:rsid w:val="00266D9D"/>
    <w:rsid w:val="00266DFA"/>
    <w:rsid w:val="00266E1D"/>
    <w:rsid w:val="00266E96"/>
    <w:rsid w:val="00266EAD"/>
    <w:rsid w:val="0026719E"/>
    <w:rsid w:val="00267288"/>
    <w:rsid w:val="002674EC"/>
    <w:rsid w:val="00267528"/>
    <w:rsid w:val="0026759D"/>
    <w:rsid w:val="0026761F"/>
    <w:rsid w:val="00267676"/>
    <w:rsid w:val="0026771A"/>
    <w:rsid w:val="002677B6"/>
    <w:rsid w:val="00267814"/>
    <w:rsid w:val="002678BF"/>
    <w:rsid w:val="002678D6"/>
    <w:rsid w:val="00267AF6"/>
    <w:rsid w:val="00267B0B"/>
    <w:rsid w:val="00267B29"/>
    <w:rsid w:val="00267D66"/>
    <w:rsid w:val="00267D98"/>
    <w:rsid w:val="00267E16"/>
    <w:rsid w:val="00267E95"/>
    <w:rsid w:val="00267F7E"/>
    <w:rsid w:val="00270053"/>
    <w:rsid w:val="002700E0"/>
    <w:rsid w:val="002701E1"/>
    <w:rsid w:val="00270303"/>
    <w:rsid w:val="002703DE"/>
    <w:rsid w:val="00270448"/>
    <w:rsid w:val="002704E2"/>
    <w:rsid w:val="002705E7"/>
    <w:rsid w:val="002706C6"/>
    <w:rsid w:val="00270BB3"/>
    <w:rsid w:val="00270CA5"/>
    <w:rsid w:val="00270D0E"/>
    <w:rsid w:val="00270D2E"/>
    <w:rsid w:val="00270E03"/>
    <w:rsid w:val="00270E26"/>
    <w:rsid w:val="00270E97"/>
    <w:rsid w:val="00270F1F"/>
    <w:rsid w:val="00270F7D"/>
    <w:rsid w:val="00270FA5"/>
    <w:rsid w:val="002714D3"/>
    <w:rsid w:val="0027151B"/>
    <w:rsid w:val="00271540"/>
    <w:rsid w:val="00271576"/>
    <w:rsid w:val="00271625"/>
    <w:rsid w:val="00271678"/>
    <w:rsid w:val="0027168F"/>
    <w:rsid w:val="00271863"/>
    <w:rsid w:val="0027189F"/>
    <w:rsid w:val="00271A8A"/>
    <w:rsid w:val="00271AEC"/>
    <w:rsid w:val="00271BC7"/>
    <w:rsid w:val="00271C62"/>
    <w:rsid w:val="00271CE7"/>
    <w:rsid w:val="00271D8C"/>
    <w:rsid w:val="00271E19"/>
    <w:rsid w:val="00271EBA"/>
    <w:rsid w:val="00272149"/>
    <w:rsid w:val="0027214D"/>
    <w:rsid w:val="002721D5"/>
    <w:rsid w:val="00272229"/>
    <w:rsid w:val="0027229C"/>
    <w:rsid w:val="00272409"/>
    <w:rsid w:val="002724D2"/>
    <w:rsid w:val="00272531"/>
    <w:rsid w:val="002726CA"/>
    <w:rsid w:val="00272811"/>
    <w:rsid w:val="0027283A"/>
    <w:rsid w:val="00272857"/>
    <w:rsid w:val="0027289C"/>
    <w:rsid w:val="0027290C"/>
    <w:rsid w:val="00272983"/>
    <w:rsid w:val="002729FB"/>
    <w:rsid w:val="00272C1F"/>
    <w:rsid w:val="00272CF8"/>
    <w:rsid w:val="00272D1E"/>
    <w:rsid w:val="00272F59"/>
    <w:rsid w:val="00272FF2"/>
    <w:rsid w:val="0027301E"/>
    <w:rsid w:val="00273076"/>
    <w:rsid w:val="002730D8"/>
    <w:rsid w:val="00273111"/>
    <w:rsid w:val="00273126"/>
    <w:rsid w:val="0027326A"/>
    <w:rsid w:val="0027327B"/>
    <w:rsid w:val="002733AE"/>
    <w:rsid w:val="00273485"/>
    <w:rsid w:val="00273525"/>
    <w:rsid w:val="00273758"/>
    <w:rsid w:val="0027381A"/>
    <w:rsid w:val="00273B21"/>
    <w:rsid w:val="00273B88"/>
    <w:rsid w:val="00273C7D"/>
    <w:rsid w:val="00273E68"/>
    <w:rsid w:val="00273E88"/>
    <w:rsid w:val="00273ECB"/>
    <w:rsid w:val="00273FBD"/>
    <w:rsid w:val="0027420D"/>
    <w:rsid w:val="00274211"/>
    <w:rsid w:val="0027421C"/>
    <w:rsid w:val="0027422C"/>
    <w:rsid w:val="002742CB"/>
    <w:rsid w:val="002743AB"/>
    <w:rsid w:val="002743E4"/>
    <w:rsid w:val="0027443D"/>
    <w:rsid w:val="0027462E"/>
    <w:rsid w:val="0027467C"/>
    <w:rsid w:val="002746FA"/>
    <w:rsid w:val="00274707"/>
    <w:rsid w:val="00274800"/>
    <w:rsid w:val="0027482B"/>
    <w:rsid w:val="002749A9"/>
    <w:rsid w:val="002749AC"/>
    <w:rsid w:val="00274A0F"/>
    <w:rsid w:val="00274B79"/>
    <w:rsid w:val="00274B89"/>
    <w:rsid w:val="00274B90"/>
    <w:rsid w:val="00274CCB"/>
    <w:rsid w:val="00274D96"/>
    <w:rsid w:val="00274DB6"/>
    <w:rsid w:val="00275050"/>
    <w:rsid w:val="00275188"/>
    <w:rsid w:val="00275239"/>
    <w:rsid w:val="0027529F"/>
    <w:rsid w:val="00275345"/>
    <w:rsid w:val="00275379"/>
    <w:rsid w:val="00275565"/>
    <w:rsid w:val="00275570"/>
    <w:rsid w:val="0027559E"/>
    <w:rsid w:val="00275621"/>
    <w:rsid w:val="002757D8"/>
    <w:rsid w:val="00275830"/>
    <w:rsid w:val="00275857"/>
    <w:rsid w:val="00275AD6"/>
    <w:rsid w:val="00275B29"/>
    <w:rsid w:val="00275BBF"/>
    <w:rsid w:val="00275BFE"/>
    <w:rsid w:val="00275C40"/>
    <w:rsid w:val="00275E15"/>
    <w:rsid w:val="00275EBF"/>
    <w:rsid w:val="00275EC3"/>
    <w:rsid w:val="00275F23"/>
    <w:rsid w:val="00275F48"/>
    <w:rsid w:val="00275F7B"/>
    <w:rsid w:val="00275FEF"/>
    <w:rsid w:val="002762EE"/>
    <w:rsid w:val="00276310"/>
    <w:rsid w:val="0027632F"/>
    <w:rsid w:val="00276438"/>
    <w:rsid w:val="0027659A"/>
    <w:rsid w:val="002765A2"/>
    <w:rsid w:val="0027671A"/>
    <w:rsid w:val="00276770"/>
    <w:rsid w:val="002767E2"/>
    <w:rsid w:val="00276855"/>
    <w:rsid w:val="0027687B"/>
    <w:rsid w:val="0027687F"/>
    <w:rsid w:val="00276B9C"/>
    <w:rsid w:val="00276C15"/>
    <w:rsid w:val="00276CFB"/>
    <w:rsid w:val="00276D01"/>
    <w:rsid w:val="00276D3F"/>
    <w:rsid w:val="00276E58"/>
    <w:rsid w:val="00276F86"/>
    <w:rsid w:val="00276FBD"/>
    <w:rsid w:val="00277058"/>
    <w:rsid w:val="002770A0"/>
    <w:rsid w:val="002772B4"/>
    <w:rsid w:val="00277393"/>
    <w:rsid w:val="002773B2"/>
    <w:rsid w:val="002773EE"/>
    <w:rsid w:val="00277635"/>
    <w:rsid w:val="002776F9"/>
    <w:rsid w:val="00277780"/>
    <w:rsid w:val="002777D0"/>
    <w:rsid w:val="00277808"/>
    <w:rsid w:val="0027798C"/>
    <w:rsid w:val="002779D4"/>
    <w:rsid w:val="00277A31"/>
    <w:rsid w:val="00277B21"/>
    <w:rsid w:val="00277C9F"/>
    <w:rsid w:val="00277E42"/>
    <w:rsid w:val="00277F99"/>
    <w:rsid w:val="0028004F"/>
    <w:rsid w:val="0028057E"/>
    <w:rsid w:val="00280868"/>
    <w:rsid w:val="00280936"/>
    <w:rsid w:val="00280A3E"/>
    <w:rsid w:val="00280A65"/>
    <w:rsid w:val="00280AB4"/>
    <w:rsid w:val="00280AC6"/>
    <w:rsid w:val="00280EC4"/>
    <w:rsid w:val="0028127E"/>
    <w:rsid w:val="0028131E"/>
    <w:rsid w:val="002813BE"/>
    <w:rsid w:val="00281401"/>
    <w:rsid w:val="002815B7"/>
    <w:rsid w:val="002815EA"/>
    <w:rsid w:val="002817CE"/>
    <w:rsid w:val="00281883"/>
    <w:rsid w:val="002818EA"/>
    <w:rsid w:val="0028198D"/>
    <w:rsid w:val="002819C7"/>
    <w:rsid w:val="00281A13"/>
    <w:rsid w:val="00281BAB"/>
    <w:rsid w:val="00281C95"/>
    <w:rsid w:val="00281DAE"/>
    <w:rsid w:val="00281EA6"/>
    <w:rsid w:val="00282036"/>
    <w:rsid w:val="002821BA"/>
    <w:rsid w:val="002821F7"/>
    <w:rsid w:val="00282217"/>
    <w:rsid w:val="002822D5"/>
    <w:rsid w:val="002823EB"/>
    <w:rsid w:val="002823F4"/>
    <w:rsid w:val="002824A4"/>
    <w:rsid w:val="00282526"/>
    <w:rsid w:val="002825E3"/>
    <w:rsid w:val="002825E8"/>
    <w:rsid w:val="00282638"/>
    <w:rsid w:val="0028275E"/>
    <w:rsid w:val="00282890"/>
    <w:rsid w:val="0028290A"/>
    <w:rsid w:val="002829A9"/>
    <w:rsid w:val="00282B62"/>
    <w:rsid w:val="00282B68"/>
    <w:rsid w:val="00282BBA"/>
    <w:rsid w:val="00282C7F"/>
    <w:rsid w:val="00282DD7"/>
    <w:rsid w:val="00282E13"/>
    <w:rsid w:val="00282F82"/>
    <w:rsid w:val="00283085"/>
    <w:rsid w:val="002830DC"/>
    <w:rsid w:val="002832ED"/>
    <w:rsid w:val="002833B5"/>
    <w:rsid w:val="0028345F"/>
    <w:rsid w:val="00283484"/>
    <w:rsid w:val="0028357D"/>
    <w:rsid w:val="0028383F"/>
    <w:rsid w:val="002838A1"/>
    <w:rsid w:val="00283A9A"/>
    <w:rsid w:val="00283B54"/>
    <w:rsid w:val="00283C5A"/>
    <w:rsid w:val="00283D62"/>
    <w:rsid w:val="00283DA5"/>
    <w:rsid w:val="00283DB7"/>
    <w:rsid w:val="00283EFF"/>
    <w:rsid w:val="00283F8D"/>
    <w:rsid w:val="00284041"/>
    <w:rsid w:val="0028409B"/>
    <w:rsid w:val="00284264"/>
    <w:rsid w:val="002842FB"/>
    <w:rsid w:val="00284459"/>
    <w:rsid w:val="002844C2"/>
    <w:rsid w:val="002844EB"/>
    <w:rsid w:val="00284619"/>
    <w:rsid w:val="00284632"/>
    <w:rsid w:val="00284752"/>
    <w:rsid w:val="00284828"/>
    <w:rsid w:val="002849E8"/>
    <w:rsid w:val="00284A52"/>
    <w:rsid w:val="00284AD5"/>
    <w:rsid w:val="00284B56"/>
    <w:rsid w:val="00284BC3"/>
    <w:rsid w:val="00285024"/>
    <w:rsid w:val="00285167"/>
    <w:rsid w:val="00285168"/>
    <w:rsid w:val="002851E9"/>
    <w:rsid w:val="00285206"/>
    <w:rsid w:val="00285280"/>
    <w:rsid w:val="002852AD"/>
    <w:rsid w:val="0028538E"/>
    <w:rsid w:val="00285398"/>
    <w:rsid w:val="002853E4"/>
    <w:rsid w:val="0028540B"/>
    <w:rsid w:val="0028541E"/>
    <w:rsid w:val="002854C8"/>
    <w:rsid w:val="002854FF"/>
    <w:rsid w:val="00285697"/>
    <w:rsid w:val="002856B3"/>
    <w:rsid w:val="002856FC"/>
    <w:rsid w:val="002857AE"/>
    <w:rsid w:val="002857E4"/>
    <w:rsid w:val="00285915"/>
    <w:rsid w:val="00285A2C"/>
    <w:rsid w:val="00285A9C"/>
    <w:rsid w:val="00285BBF"/>
    <w:rsid w:val="00285BCF"/>
    <w:rsid w:val="00285D5D"/>
    <w:rsid w:val="00285E38"/>
    <w:rsid w:val="00285FDE"/>
    <w:rsid w:val="00286036"/>
    <w:rsid w:val="00286091"/>
    <w:rsid w:val="00286114"/>
    <w:rsid w:val="00286290"/>
    <w:rsid w:val="002862CB"/>
    <w:rsid w:val="0028632A"/>
    <w:rsid w:val="00286368"/>
    <w:rsid w:val="00286441"/>
    <w:rsid w:val="00286484"/>
    <w:rsid w:val="002867A4"/>
    <w:rsid w:val="002867EE"/>
    <w:rsid w:val="0028682E"/>
    <w:rsid w:val="002869C9"/>
    <w:rsid w:val="00286A70"/>
    <w:rsid w:val="00286B7A"/>
    <w:rsid w:val="00286BB6"/>
    <w:rsid w:val="00286BF7"/>
    <w:rsid w:val="00286DEE"/>
    <w:rsid w:val="00286E52"/>
    <w:rsid w:val="0028704F"/>
    <w:rsid w:val="002871BB"/>
    <w:rsid w:val="0028734F"/>
    <w:rsid w:val="00287428"/>
    <w:rsid w:val="00287493"/>
    <w:rsid w:val="0028757F"/>
    <w:rsid w:val="00287614"/>
    <w:rsid w:val="0028766E"/>
    <w:rsid w:val="002876A7"/>
    <w:rsid w:val="002876B2"/>
    <w:rsid w:val="002876DA"/>
    <w:rsid w:val="00287A65"/>
    <w:rsid w:val="00287B4F"/>
    <w:rsid w:val="00287C2E"/>
    <w:rsid w:val="00287CC2"/>
    <w:rsid w:val="0029003E"/>
    <w:rsid w:val="00290174"/>
    <w:rsid w:val="00290221"/>
    <w:rsid w:val="00290257"/>
    <w:rsid w:val="00290592"/>
    <w:rsid w:val="002905E2"/>
    <w:rsid w:val="00290639"/>
    <w:rsid w:val="002906D6"/>
    <w:rsid w:val="00290757"/>
    <w:rsid w:val="00290826"/>
    <w:rsid w:val="00290872"/>
    <w:rsid w:val="002909C0"/>
    <w:rsid w:val="002909D1"/>
    <w:rsid w:val="00290B3F"/>
    <w:rsid w:val="00290F27"/>
    <w:rsid w:val="00291038"/>
    <w:rsid w:val="002910F6"/>
    <w:rsid w:val="00291231"/>
    <w:rsid w:val="00291246"/>
    <w:rsid w:val="00291267"/>
    <w:rsid w:val="00291418"/>
    <w:rsid w:val="002915E3"/>
    <w:rsid w:val="00291609"/>
    <w:rsid w:val="00291637"/>
    <w:rsid w:val="002916F3"/>
    <w:rsid w:val="002918D8"/>
    <w:rsid w:val="002918F2"/>
    <w:rsid w:val="00291D45"/>
    <w:rsid w:val="00291D91"/>
    <w:rsid w:val="00291FAC"/>
    <w:rsid w:val="00291FC6"/>
    <w:rsid w:val="00292112"/>
    <w:rsid w:val="002921C6"/>
    <w:rsid w:val="00292323"/>
    <w:rsid w:val="0029234E"/>
    <w:rsid w:val="00292397"/>
    <w:rsid w:val="002923B4"/>
    <w:rsid w:val="002923B5"/>
    <w:rsid w:val="002923D5"/>
    <w:rsid w:val="0029245A"/>
    <w:rsid w:val="0029245F"/>
    <w:rsid w:val="00292543"/>
    <w:rsid w:val="002927DE"/>
    <w:rsid w:val="00292858"/>
    <w:rsid w:val="00292878"/>
    <w:rsid w:val="0029293D"/>
    <w:rsid w:val="0029295F"/>
    <w:rsid w:val="00292B98"/>
    <w:rsid w:val="00292C54"/>
    <w:rsid w:val="00292C5D"/>
    <w:rsid w:val="00292C60"/>
    <w:rsid w:val="00292D0D"/>
    <w:rsid w:val="00292E12"/>
    <w:rsid w:val="00292EA3"/>
    <w:rsid w:val="00293149"/>
    <w:rsid w:val="00293167"/>
    <w:rsid w:val="0029316A"/>
    <w:rsid w:val="00293174"/>
    <w:rsid w:val="00293230"/>
    <w:rsid w:val="0029326A"/>
    <w:rsid w:val="00293397"/>
    <w:rsid w:val="00293521"/>
    <w:rsid w:val="002936CE"/>
    <w:rsid w:val="00293867"/>
    <w:rsid w:val="0029386D"/>
    <w:rsid w:val="0029386E"/>
    <w:rsid w:val="00293942"/>
    <w:rsid w:val="002939F9"/>
    <w:rsid w:val="00293A9B"/>
    <w:rsid w:val="00293DFC"/>
    <w:rsid w:val="00293E7A"/>
    <w:rsid w:val="00293F30"/>
    <w:rsid w:val="00294070"/>
    <w:rsid w:val="0029417B"/>
    <w:rsid w:val="00294199"/>
    <w:rsid w:val="002941AD"/>
    <w:rsid w:val="00294241"/>
    <w:rsid w:val="002945C0"/>
    <w:rsid w:val="002946B1"/>
    <w:rsid w:val="0029474F"/>
    <w:rsid w:val="00294963"/>
    <w:rsid w:val="00294BCC"/>
    <w:rsid w:val="00294D79"/>
    <w:rsid w:val="00294E4C"/>
    <w:rsid w:val="00294F28"/>
    <w:rsid w:val="00294F48"/>
    <w:rsid w:val="0029507F"/>
    <w:rsid w:val="0029516B"/>
    <w:rsid w:val="002951BB"/>
    <w:rsid w:val="0029522F"/>
    <w:rsid w:val="00295278"/>
    <w:rsid w:val="002953DF"/>
    <w:rsid w:val="00295451"/>
    <w:rsid w:val="0029551F"/>
    <w:rsid w:val="00295598"/>
    <w:rsid w:val="002956BE"/>
    <w:rsid w:val="002956E7"/>
    <w:rsid w:val="002956EA"/>
    <w:rsid w:val="0029594C"/>
    <w:rsid w:val="002959D7"/>
    <w:rsid w:val="00295A6B"/>
    <w:rsid w:val="00295C10"/>
    <w:rsid w:val="00295D53"/>
    <w:rsid w:val="00295E94"/>
    <w:rsid w:val="0029625A"/>
    <w:rsid w:val="0029633C"/>
    <w:rsid w:val="0029638C"/>
    <w:rsid w:val="0029640E"/>
    <w:rsid w:val="002964D0"/>
    <w:rsid w:val="002964E1"/>
    <w:rsid w:val="002964F7"/>
    <w:rsid w:val="00296565"/>
    <w:rsid w:val="002965B5"/>
    <w:rsid w:val="0029661E"/>
    <w:rsid w:val="0029677E"/>
    <w:rsid w:val="00296825"/>
    <w:rsid w:val="0029699B"/>
    <w:rsid w:val="00296C82"/>
    <w:rsid w:val="00296D19"/>
    <w:rsid w:val="00296D27"/>
    <w:rsid w:val="00296F4D"/>
    <w:rsid w:val="00296F63"/>
    <w:rsid w:val="00296FB8"/>
    <w:rsid w:val="00296FFB"/>
    <w:rsid w:val="00297071"/>
    <w:rsid w:val="002970F0"/>
    <w:rsid w:val="002971C8"/>
    <w:rsid w:val="002972D0"/>
    <w:rsid w:val="00297358"/>
    <w:rsid w:val="0029735A"/>
    <w:rsid w:val="00297386"/>
    <w:rsid w:val="00297818"/>
    <w:rsid w:val="00297892"/>
    <w:rsid w:val="002979CE"/>
    <w:rsid w:val="002979FF"/>
    <w:rsid w:val="00297A94"/>
    <w:rsid w:val="00297B99"/>
    <w:rsid w:val="00297C24"/>
    <w:rsid w:val="00297D52"/>
    <w:rsid w:val="00297E05"/>
    <w:rsid w:val="00297F6E"/>
    <w:rsid w:val="00297F98"/>
    <w:rsid w:val="00297FE9"/>
    <w:rsid w:val="002A006F"/>
    <w:rsid w:val="002A00C7"/>
    <w:rsid w:val="002A00F5"/>
    <w:rsid w:val="002A048B"/>
    <w:rsid w:val="002A04B3"/>
    <w:rsid w:val="002A0923"/>
    <w:rsid w:val="002A0950"/>
    <w:rsid w:val="002A0A39"/>
    <w:rsid w:val="002A0A52"/>
    <w:rsid w:val="002A0A57"/>
    <w:rsid w:val="002A0C05"/>
    <w:rsid w:val="002A0C7E"/>
    <w:rsid w:val="002A0CA7"/>
    <w:rsid w:val="002A0CD4"/>
    <w:rsid w:val="002A0DD9"/>
    <w:rsid w:val="002A0F5C"/>
    <w:rsid w:val="002A0FE6"/>
    <w:rsid w:val="002A1060"/>
    <w:rsid w:val="002A10FC"/>
    <w:rsid w:val="002A130E"/>
    <w:rsid w:val="002A1470"/>
    <w:rsid w:val="002A16A6"/>
    <w:rsid w:val="002A175A"/>
    <w:rsid w:val="002A1760"/>
    <w:rsid w:val="002A17CB"/>
    <w:rsid w:val="002A18BC"/>
    <w:rsid w:val="002A18CD"/>
    <w:rsid w:val="002A1AB6"/>
    <w:rsid w:val="002A1BAF"/>
    <w:rsid w:val="002A1BD7"/>
    <w:rsid w:val="002A1C21"/>
    <w:rsid w:val="002A1DF1"/>
    <w:rsid w:val="002A1E96"/>
    <w:rsid w:val="002A20A0"/>
    <w:rsid w:val="002A212E"/>
    <w:rsid w:val="002A2218"/>
    <w:rsid w:val="002A233E"/>
    <w:rsid w:val="002A2369"/>
    <w:rsid w:val="002A238B"/>
    <w:rsid w:val="002A2405"/>
    <w:rsid w:val="002A2562"/>
    <w:rsid w:val="002A27A6"/>
    <w:rsid w:val="002A2801"/>
    <w:rsid w:val="002A293D"/>
    <w:rsid w:val="002A2B37"/>
    <w:rsid w:val="002A2BDA"/>
    <w:rsid w:val="002A2D7D"/>
    <w:rsid w:val="002A2DF8"/>
    <w:rsid w:val="002A2EB6"/>
    <w:rsid w:val="002A2ED2"/>
    <w:rsid w:val="002A2F81"/>
    <w:rsid w:val="002A2FFE"/>
    <w:rsid w:val="002A3204"/>
    <w:rsid w:val="002A3285"/>
    <w:rsid w:val="002A32CB"/>
    <w:rsid w:val="002A332E"/>
    <w:rsid w:val="002A3437"/>
    <w:rsid w:val="002A3529"/>
    <w:rsid w:val="002A3573"/>
    <w:rsid w:val="002A3666"/>
    <w:rsid w:val="002A37B1"/>
    <w:rsid w:val="002A3828"/>
    <w:rsid w:val="002A3AFA"/>
    <w:rsid w:val="002A3BD2"/>
    <w:rsid w:val="002A3C4B"/>
    <w:rsid w:val="002A3DA0"/>
    <w:rsid w:val="002A3DE6"/>
    <w:rsid w:val="002A3E58"/>
    <w:rsid w:val="002A3EDC"/>
    <w:rsid w:val="002A3EE7"/>
    <w:rsid w:val="002A3EEA"/>
    <w:rsid w:val="002A3F12"/>
    <w:rsid w:val="002A3FCF"/>
    <w:rsid w:val="002A3FF1"/>
    <w:rsid w:val="002A4060"/>
    <w:rsid w:val="002A408F"/>
    <w:rsid w:val="002A423C"/>
    <w:rsid w:val="002A42B7"/>
    <w:rsid w:val="002A42C6"/>
    <w:rsid w:val="002A4330"/>
    <w:rsid w:val="002A44E2"/>
    <w:rsid w:val="002A4682"/>
    <w:rsid w:val="002A476D"/>
    <w:rsid w:val="002A4776"/>
    <w:rsid w:val="002A4789"/>
    <w:rsid w:val="002A498E"/>
    <w:rsid w:val="002A4A48"/>
    <w:rsid w:val="002A4BB2"/>
    <w:rsid w:val="002A4BEC"/>
    <w:rsid w:val="002A4D05"/>
    <w:rsid w:val="002A4D70"/>
    <w:rsid w:val="002A4ED0"/>
    <w:rsid w:val="002A4FA8"/>
    <w:rsid w:val="002A5077"/>
    <w:rsid w:val="002A5287"/>
    <w:rsid w:val="002A54BC"/>
    <w:rsid w:val="002A553F"/>
    <w:rsid w:val="002A561D"/>
    <w:rsid w:val="002A5631"/>
    <w:rsid w:val="002A563D"/>
    <w:rsid w:val="002A56FE"/>
    <w:rsid w:val="002A57B0"/>
    <w:rsid w:val="002A580E"/>
    <w:rsid w:val="002A5847"/>
    <w:rsid w:val="002A58BF"/>
    <w:rsid w:val="002A5A0A"/>
    <w:rsid w:val="002A5AAA"/>
    <w:rsid w:val="002A5BDE"/>
    <w:rsid w:val="002A5C27"/>
    <w:rsid w:val="002A5CAB"/>
    <w:rsid w:val="002A5CCA"/>
    <w:rsid w:val="002A5D0E"/>
    <w:rsid w:val="002A5F02"/>
    <w:rsid w:val="002A6053"/>
    <w:rsid w:val="002A6153"/>
    <w:rsid w:val="002A61E9"/>
    <w:rsid w:val="002A62D2"/>
    <w:rsid w:val="002A633E"/>
    <w:rsid w:val="002A642E"/>
    <w:rsid w:val="002A6563"/>
    <w:rsid w:val="002A65A0"/>
    <w:rsid w:val="002A65E3"/>
    <w:rsid w:val="002A6690"/>
    <w:rsid w:val="002A67B9"/>
    <w:rsid w:val="002A67FF"/>
    <w:rsid w:val="002A6815"/>
    <w:rsid w:val="002A68D3"/>
    <w:rsid w:val="002A6968"/>
    <w:rsid w:val="002A6972"/>
    <w:rsid w:val="002A69D4"/>
    <w:rsid w:val="002A6AFA"/>
    <w:rsid w:val="002A6B50"/>
    <w:rsid w:val="002A6B58"/>
    <w:rsid w:val="002A6BDB"/>
    <w:rsid w:val="002A6BDD"/>
    <w:rsid w:val="002A6BE4"/>
    <w:rsid w:val="002A6C2F"/>
    <w:rsid w:val="002A6CD2"/>
    <w:rsid w:val="002A6CE6"/>
    <w:rsid w:val="002A6ECA"/>
    <w:rsid w:val="002A6EDB"/>
    <w:rsid w:val="002A71B1"/>
    <w:rsid w:val="002A71E3"/>
    <w:rsid w:val="002A7235"/>
    <w:rsid w:val="002A7237"/>
    <w:rsid w:val="002A7261"/>
    <w:rsid w:val="002A7318"/>
    <w:rsid w:val="002A7327"/>
    <w:rsid w:val="002A748C"/>
    <w:rsid w:val="002A74F8"/>
    <w:rsid w:val="002A7615"/>
    <w:rsid w:val="002A7680"/>
    <w:rsid w:val="002A76A8"/>
    <w:rsid w:val="002A774A"/>
    <w:rsid w:val="002A77D6"/>
    <w:rsid w:val="002A785F"/>
    <w:rsid w:val="002A78EC"/>
    <w:rsid w:val="002A7993"/>
    <w:rsid w:val="002A7ACE"/>
    <w:rsid w:val="002A7AE8"/>
    <w:rsid w:val="002A7C24"/>
    <w:rsid w:val="002A7C39"/>
    <w:rsid w:val="002A7D35"/>
    <w:rsid w:val="002A7F2B"/>
    <w:rsid w:val="002A7FD9"/>
    <w:rsid w:val="002B015E"/>
    <w:rsid w:val="002B0182"/>
    <w:rsid w:val="002B0197"/>
    <w:rsid w:val="002B01B4"/>
    <w:rsid w:val="002B01B7"/>
    <w:rsid w:val="002B02FB"/>
    <w:rsid w:val="002B03F5"/>
    <w:rsid w:val="002B03FB"/>
    <w:rsid w:val="002B0437"/>
    <w:rsid w:val="002B04BD"/>
    <w:rsid w:val="002B0626"/>
    <w:rsid w:val="002B067D"/>
    <w:rsid w:val="002B0779"/>
    <w:rsid w:val="002B087B"/>
    <w:rsid w:val="002B08B2"/>
    <w:rsid w:val="002B0AB5"/>
    <w:rsid w:val="002B0AE1"/>
    <w:rsid w:val="002B0D27"/>
    <w:rsid w:val="002B0E53"/>
    <w:rsid w:val="002B0E61"/>
    <w:rsid w:val="002B0E83"/>
    <w:rsid w:val="002B0FBC"/>
    <w:rsid w:val="002B1021"/>
    <w:rsid w:val="002B1283"/>
    <w:rsid w:val="002B12AA"/>
    <w:rsid w:val="002B14BD"/>
    <w:rsid w:val="002B14F8"/>
    <w:rsid w:val="002B1531"/>
    <w:rsid w:val="002B1645"/>
    <w:rsid w:val="002B1754"/>
    <w:rsid w:val="002B175D"/>
    <w:rsid w:val="002B1864"/>
    <w:rsid w:val="002B18AB"/>
    <w:rsid w:val="002B18EF"/>
    <w:rsid w:val="002B1A82"/>
    <w:rsid w:val="002B1AF5"/>
    <w:rsid w:val="002B1D4F"/>
    <w:rsid w:val="002B1EBA"/>
    <w:rsid w:val="002B200C"/>
    <w:rsid w:val="002B2279"/>
    <w:rsid w:val="002B22F2"/>
    <w:rsid w:val="002B262C"/>
    <w:rsid w:val="002B27F4"/>
    <w:rsid w:val="002B282E"/>
    <w:rsid w:val="002B294A"/>
    <w:rsid w:val="002B2963"/>
    <w:rsid w:val="002B2B04"/>
    <w:rsid w:val="002B2B71"/>
    <w:rsid w:val="002B2C1F"/>
    <w:rsid w:val="002B2DA1"/>
    <w:rsid w:val="002B2DFC"/>
    <w:rsid w:val="002B2EDA"/>
    <w:rsid w:val="002B2F4A"/>
    <w:rsid w:val="002B3005"/>
    <w:rsid w:val="002B3139"/>
    <w:rsid w:val="002B3207"/>
    <w:rsid w:val="002B3284"/>
    <w:rsid w:val="002B3319"/>
    <w:rsid w:val="002B3451"/>
    <w:rsid w:val="002B34AB"/>
    <w:rsid w:val="002B34D0"/>
    <w:rsid w:val="002B35BA"/>
    <w:rsid w:val="002B3642"/>
    <w:rsid w:val="002B376A"/>
    <w:rsid w:val="002B3782"/>
    <w:rsid w:val="002B3784"/>
    <w:rsid w:val="002B37C5"/>
    <w:rsid w:val="002B3946"/>
    <w:rsid w:val="002B394B"/>
    <w:rsid w:val="002B395B"/>
    <w:rsid w:val="002B3AB3"/>
    <w:rsid w:val="002B3BB5"/>
    <w:rsid w:val="002B3CA1"/>
    <w:rsid w:val="002B3DB2"/>
    <w:rsid w:val="002B3EF9"/>
    <w:rsid w:val="002B3FCD"/>
    <w:rsid w:val="002B419C"/>
    <w:rsid w:val="002B41B3"/>
    <w:rsid w:val="002B42C2"/>
    <w:rsid w:val="002B43CF"/>
    <w:rsid w:val="002B444C"/>
    <w:rsid w:val="002B4606"/>
    <w:rsid w:val="002B4641"/>
    <w:rsid w:val="002B4B32"/>
    <w:rsid w:val="002B4BD0"/>
    <w:rsid w:val="002B4D24"/>
    <w:rsid w:val="002B4E2C"/>
    <w:rsid w:val="002B50C5"/>
    <w:rsid w:val="002B50CE"/>
    <w:rsid w:val="002B5190"/>
    <w:rsid w:val="002B52D7"/>
    <w:rsid w:val="002B5415"/>
    <w:rsid w:val="002B54DE"/>
    <w:rsid w:val="002B5510"/>
    <w:rsid w:val="002B57B4"/>
    <w:rsid w:val="002B57D4"/>
    <w:rsid w:val="002B58AF"/>
    <w:rsid w:val="002B592A"/>
    <w:rsid w:val="002B5992"/>
    <w:rsid w:val="002B5AB1"/>
    <w:rsid w:val="002B5CB4"/>
    <w:rsid w:val="002B5D03"/>
    <w:rsid w:val="002B5D3D"/>
    <w:rsid w:val="002B5DDC"/>
    <w:rsid w:val="002B5E8D"/>
    <w:rsid w:val="002B5EDF"/>
    <w:rsid w:val="002B5F5C"/>
    <w:rsid w:val="002B627A"/>
    <w:rsid w:val="002B62AF"/>
    <w:rsid w:val="002B62D3"/>
    <w:rsid w:val="002B635B"/>
    <w:rsid w:val="002B6404"/>
    <w:rsid w:val="002B6441"/>
    <w:rsid w:val="002B646B"/>
    <w:rsid w:val="002B64B1"/>
    <w:rsid w:val="002B651E"/>
    <w:rsid w:val="002B6550"/>
    <w:rsid w:val="002B6642"/>
    <w:rsid w:val="002B664C"/>
    <w:rsid w:val="002B67BE"/>
    <w:rsid w:val="002B681F"/>
    <w:rsid w:val="002B685D"/>
    <w:rsid w:val="002B6995"/>
    <w:rsid w:val="002B69AA"/>
    <w:rsid w:val="002B6C0C"/>
    <w:rsid w:val="002B6C5B"/>
    <w:rsid w:val="002B6C6C"/>
    <w:rsid w:val="002B6CAD"/>
    <w:rsid w:val="002B6CE7"/>
    <w:rsid w:val="002B6DED"/>
    <w:rsid w:val="002B6EC4"/>
    <w:rsid w:val="002B6F5B"/>
    <w:rsid w:val="002B717E"/>
    <w:rsid w:val="002B71D7"/>
    <w:rsid w:val="002B72A4"/>
    <w:rsid w:val="002B731B"/>
    <w:rsid w:val="002B73AB"/>
    <w:rsid w:val="002B73D9"/>
    <w:rsid w:val="002B743A"/>
    <w:rsid w:val="002B74F3"/>
    <w:rsid w:val="002B7569"/>
    <w:rsid w:val="002B76B6"/>
    <w:rsid w:val="002B7737"/>
    <w:rsid w:val="002B786A"/>
    <w:rsid w:val="002B7972"/>
    <w:rsid w:val="002B79C5"/>
    <w:rsid w:val="002B79C8"/>
    <w:rsid w:val="002B7CBE"/>
    <w:rsid w:val="002B7EB5"/>
    <w:rsid w:val="002B7F30"/>
    <w:rsid w:val="002B7F67"/>
    <w:rsid w:val="002C00A7"/>
    <w:rsid w:val="002C014E"/>
    <w:rsid w:val="002C0257"/>
    <w:rsid w:val="002C04A0"/>
    <w:rsid w:val="002C0622"/>
    <w:rsid w:val="002C07C1"/>
    <w:rsid w:val="002C08CB"/>
    <w:rsid w:val="002C0B9F"/>
    <w:rsid w:val="002C0BC0"/>
    <w:rsid w:val="002C0BD7"/>
    <w:rsid w:val="002C0C31"/>
    <w:rsid w:val="002C0CAE"/>
    <w:rsid w:val="002C0CCE"/>
    <w:rsid w:val="002C0D0D"/>
    <w:rsid w:val="002C0D3E"/>
    <w:rsid w:val="002C0D64"/>
    <w:rsid w:val="002C0EA5"/>
    <w:rsid w:val="002C0EEA"/>
    <w:rsid w:val="002C0F71"/>
    <w:rsid w:val="002C0FF9"/>
    <w:rsid w:val="002C10AC"/>
    <w:rsid w:val="002C1144"/>
    <w:rsid w:val="002C1263"/>
    <w:rsid w:val="002C14FD"/>
    <w:rsid w:val="002C1561"/>
    <w:rsid w:val="002C16F7"/>
    <w:rsid w:val="002C171A"/>
    <w:rsid w:val="002C172D"/>
    <w:rsid w:val="002C1778"/>
    <w:rsid w:val="002C1826"/>
    <w:rsid w:val="002C19BB"/>
    <w:rsid w:val="002C1B31"/>
    <w:rsid w:val="002C1C9E"/>
    <w:rsid w:val="002C1CAE"/>
    <w:rsid w:val="002C1D06"/>
    <w:rsid w:val="002C1F26"/>
    <w:rsid w:val="002C20AC"/>
    <w:rsid w:val="002C2144"/>
    <w:rsid w:val="002C220A"/>
    <w:rsid w:val="002C2221"/>
    <w:rsid w:val="002C23C7"/>
    <w:rsid w:val="002C23CC"/>
    <w:rsid w:val="002C2573"/>
    <w:rsid w:val="002C26F1"/>
    <w:rsid w:val="002C27A3"/>
    <w:rsid w:val="002C281E"/>
    <w:rsid w:val="002C2842"/>
    <w:rsid w:val="002C2946"/>
    <w:rsid w:val="002C2A94"/>
    <w:rsid w:val="002C2A99"/>
    <w:rsid w:val="002C2AA3"/>
    <w:rsid w:val="002C2AAC"/>
    <w:rsid w:val="002C2C44"/>
    <w:rsid w:val="002C2D35"/>
    <w:rsid w:val="002C2D59"/>
    <w:rsid w:val="002C2E8D"/>
    <w:rsid w:val="002C2E96"/>
    <w:rsid w:val="002C2F00"/>
    <w:rsid w:val="002C2FD3"/>
    <w:rsid w:val="002C2FE4"/>
    <w:rsid w:val="002C30D0"/>
    <w:rsid w:val="002C33E1"/>
    <w:rsid w:val="002C3507"/>
    <w:rsid w:val="002C379D"/>
    <w:rsid w:val="002C37BD"/>
    <w:rsid w:val="002C38AB"/>
    <w:rsid w:val="002C3929"/>
    <w:rsid w:val="002C39A3"/>
    <w:rsid w:val="002C3A0D"/>
    <w:rsid w:val="002C3AD8"/>
    <w:rsid w:val="002C3B4B"/>
    <w:rsid w:val="002C3C56"/>
    <w:rsid w:val="002C3C81"/>
    <w:rsid w:val="002C3CDD"/>
    <w:rsid w:val="002C3CE1"/>
    <w:rsid w:val="002C3DA1"/>
    <w:rsid w:val="002C3E0A"/>
    <w:rsid w:val="002C3E88"/>
    <w:rsid w:val="002C3FD6"/>
    <w:rsid w:val="002C40B6"/>
    <w:rsid w:val="002C411F"/>
    <w:rsid w:val="002C419E"/>
    <w:rsid w:val="002C4264"/>
    <w:rsid w:val="002C42A5"/>
    <w:rsid w:val="002C4633"/>
    <w:rsid w:val="002C467C"/>
    <w:rsid w:val="002C4715"/>
    <w:rsid w:val="002C4A3C"/>
    <w:rsid w:val="002C4AAC"/>
    <w:rsid w:val="002C4AAE"/>
    <w:rsid w:val="002C4BF2"/>
    <w:rsid w:val="002C4C0A"/>
    <w:rsid w:val="002C4C8E"/>
    <w:rsid w:val="002C4CEE"/>
    <w:rsid w:val="002C4D23"/>
    <w:rsid w:val="002C4E1D"/>
    <w:rsid w:val="002C4E9E"/>
    <w:rsid w:val="002C4ECE"/>
    <w:rsid w:val="002C51BF"/>
    <w:rsid w:val="002C51FD"/>
    <w:rsid w:val="002C520A"/>
    <w:rsid w:val="002C528F"/>
    <w:rsid w:val="002C52C8"/>
    <w:rsid w:val="002C5339"/>
    <w:rsid w:val="002C53A5"/>
    <w:rsid w:val="002C53BD"/>
    <w:rsid w:val="002C542B"/>
    <w:rsid w:val="002C5439"/>
    <w:rsid w:val="002C5529"/>
    <w:rsid w:val="002C5646"/>
    <w:rsid w:val="002C58AF"/>
    <w:rsid w:val="002C5A33"/>
    <w:rsid w:val="002C5B09"/>
    <w:rsid w:val="002C5B41"/>
    <w:rsid w:val="002C5DC8"/>
    <w:rsid w:val="002C5F0D"/>
    <w:rsid w:val="002C5F2B"/>
    <w:rsid w:val="002C6106"/>
    <w:rsid w:val="002C6178"/>
    <w:rsid w:val="002C623E"/>
    <w:rsid w:val="002C62A9"/>
    <w:rsid w:val="002C6384"/>
    <w:rsid w:val="002C6530"/>
    <w:rsid w:val="002C6574"/>
    <w:rsid w:val="002C6687"/>
    <w:rsid w:val="002C66E7"/>
    <w:rsid w:val="002C6836"/>
    <w:rsid w:val="002C68D5"/>
    <w:rsid w:val="002C6A26"/>
    <w:rsid w:val="002C6A3E"/>
    <w:rsid w:val="002C6B3A"/>
    <w:rsid w:val="002C6D8A"/>
    <w:rsid w:val="002C7055"/>
    <w:rsid w:val="002C7174"/>
    <w:rsid w:val="002C719A"/>
    <w:rsid w:val="002C71A7"/>
    <w:rsid w:val="002C7352"/>
    <w:rsid w:val="002C735F"/>
    <w:rsid w:val="002C7436"/>
    <w:rsid w:val="002C7502"/>
    <w:rsid w:val="002C754A"/>
    <w:rsid w:val="002C7583"/>
    <w:rsid w:val="002C7594"/>
    <w:rsid w:val="002C76AC"/>
    <w:rsid w:val="002C76DE"/>
    <w:rsid w:val="002C7750"/>
    <w:rsid w:val="002C77ED"/>
    <w:rsid w:val="002C77F7"/>
    <w:rsid w:val="002C7828"/>
    <w:rsid w:val="002C782F"/>
    <w:rsid w:val="002C784C"/>
    <w:rsid w:val="002C78C0"/>
    <w:rsid w:val="002C7CCC"/>
    <w:rsid w:val="002C7D87"/>
    <w:rsid w:val="002C7EB2"/>
    <w:rsid w:val="002C7EBB"/>
    <w:rsid w:val="002C7F24"/>
    <w:rsid w:val="002C7F38"/>
    <w:rsid w:val="002C7F50"/>
    <w:rsid w:val="002C7FB4"/>
    <w:rsid w:val="002C7FD7"/>
    <w:rsid w:val="002D0034"/>
    <w:rsid w:val="002D0048"/>
    <w:rsid w:val="002D019D"/>
    <w:rsid w:val="002D02BF"/>
    <w:rsid w:val="002D02E9"/>
    <w:rsid w:val="002D0351"/>
    <w:rsid w:val="002D03C2"/>
    <w:rsid w:val="002D0418"/>
    <w:rsid w:val="002D05CD"/>
    <w:rsid w:val="002D05D7"/>
    <w:rsid w:val="002D0624"/>
    <w:rsid w:val="002D064B"/>
    <w:rsid w:val="002D076D"/>
    <w:rsid w:val="002D0791"/>
    <w:rsid w:val="002D0872"/>
    <w:rsid w:val="002D08DD"/>
    <w:rsid w:val="002D093C"/>
    <w:rsid w:val="002D09A7"/>
    <w:rsid w:val="002D0AFE"/>
    <w:rsid w:val="002D0B17"/>
    <w:rsid w:val="002D0B65"/>
    <w:rsid w:val="002D0C40"/>
    <w:rsid w:val="002D0CD2"/>
    <w:rsid w:val="002D0CDA"/>
    <w:rsid w:val="002D0D0A"/>
    <w:rsid w:val="002D0D7E"/>
    <w:rsid w:val="002D0DE4"/>
    <w:rsid w:val="002D0EB9"/>
    <w:rsid w:val="002D0F50"/>
    <w:rsid w:val="002D1043"/>
    <w:rsid w:val="002D1132"/>
    <w:rsid w:val="002D11E0"/>
    <w:rsid w:val="002D135C"/>
    <w:rsid w:val="002D1380"/>
    <w:rsid w:val="002D151C"/>
    <w:rsid w:val="002D161E"/>
    <w:rsid w:val="002D179F"/>
    <w:rsid w:val="002D18B7"/>
    <w:rsid w:val="002D18BB"/>
    <w:rsid w:val="002D18C3"/>
    <w:rsid w:val="002D1C78"/>
    <w:rsid w:val="002D1C7B"/>
    <w:rsid w:val="002D2058"/>
    <w:rsid w:val="002D205D"/>
    <w:rsid w:val="002D20E4"/>
    <w:rsid w:val="002D2120"/>
    <w:rsid w:val="002D214A"/>
    <w:rsid w:val="002D216F"/>
    <w:rsid w:val="002D2199"/>
    <w:rsid w:val="002D233F"/>
    <w:rsid w:val="002D23C3"/>
    <w:rsid w:val="002D2481"/>
    <w:rsid w:val="002D2552"/>
    <w:rsid w:val="002D257C"/>
    <w:rsid w:val="002D25EA"/>
    <w:rsid w:val="002D2670"/>
    <w:rsid w:val="002D27B5"/>
    <w:rsid w:val="002D27E6"/>
    <w:rsid w:val="002D2996"/>
    <w:rsid w:val="002D2B7F"/>
    <w:rsid w:val="002D2CF6"/>
    <w:rsid w:val="002D2D00"/>
    <w:rsid w:val="002D2E5D"/>
    <w:rsid w:val="002D2EB7"/>
    <w:rsid w:val="002D2F56"/>
    <w:rsid w:val="002D30D3"/>
    <w:rsid w:val="002D312D"/>
    <w:rsid w:val="002D31D2"/>
    <w:rsid w:val="002D3356"/>
    <w:rsid w:val="002D3399"/>
    <w:rsid w:val="002D3461"/>
    <w:rsid w:val="002D34D9"/>
    <w:rsid w:val="002D35C7"/>
    <w:rsid w:val="002D35CC"/>
    <w:rsid w:val="002D3639"/>
    <w:rsid w:val="002D3660"/>
    <w:rsid w:val="002D36C3"/>
    <w:rsid w:val="002D3723"/>
    <w:rsid w:val="002D3742"/>
    <w:rsid w:val="002D37F7"/>
    <w:rsid w:val="002D3819"/>
    <w:rsid w:val="002D3833"/>
    <w:rsid w:val="002D39A2"/>
    <w:rsid w:val="002D3A28"/>
    <w:rsid w:val="002D3B4C"/>
    <w:rsid w:val="002D3D93"/>
    <w:rsid w:val="002D3E79"/>
    <w:rsid w:val="002D3FB0"/>
    <w:rsid w:val="002D4091"/>
    <w:rsid w:val="002D40F0"/>
    <w:rsid w:val="002D4243"/>
    <w:rsid w:val="002D427E"/>
    <w:rsid w:val="002D45A1"/>
    <w:rsid w:val="002D467F"/>
    <w:rsid w:val="002D47C8"/>
    <w:rsid w:val="002D4875"/>
    <w:rsid w:val="002D4880"/>
    <w:rsid w:val="002D4944"/>
    <w:rsid w:val="002D49CC"/>
    <w:rsid w:val="002D4A40"/>
    <w:rsid w:val="002D4BA5"/>
    <w:rsid w:val="002D4DF7"/>
    <w:rsid w:val="002D4DFC"/>
    <w:rsid w:val="002D4E09"/>
    <w:rsid w:val="002D4F1D"/>
    <w:rsid w:val="002D4FB1"/>
    <w:rsid w:val="002D5031"/>
    <w:rsid w:val="002D5047"/>
    <w:rsid w:val="002D50E5"/>
    <w:rsid w:val="002D51C2"/>
    <w:rsid w:val="002D52DD"/>
    <w:rsid w:val="002D5341"/>
    <w:rsid w:val="002D53CB"/>
    <w:rsid w:val="002D541A"/>
    <w:rsid w:val="002D5424"/>
    <w:rsid w:val="002D5512"/>
    <w:rsid w:val="002D55C0"/>
    <w:rsid w:val="002D55C3"/>
    <w:rsid w:val="002D55F6"/>
    <w:rsid w:val="002D5601"/>
    <w:rsid w:val="002D5725"/>
    <w:rsid w:val="002D5792"/>
    <w:rsid w:val="002D599A"/>
    <w:rsid w:val="002D5AA0"/>
    <w:rsid w:val="002D5AF5"/>
    <w:rsid w:val="002D5B34"/>
    <w:rsid w:val="002D5B54"/>
    <w:rsid w:val="002D5CCF"/>
    <w:rsid w:val="002D5CE5"/>
    <w:rsid w:val="002D5D27"/>
    <w:rsid w:val="002D5DFE"/>
    <w:rsid w:val="002D5E60"/>
    <w:rsid w:val="002D5E81"/>
    <w:rsid w:val="002D5EE7"/>
    <w:rsid w:val="002D5F5C"/>
    <w:rsid w:val="002D5FAE"/>
    <w:rsid w:val="002D601F"/>
    <w:rsid w:val="002D612F"/>
    <w:rsid w:val="002D6322"/>
    <w:rsid w:val="002D635C"/>
    <w:rsid w:val="002D6395"/>
    <w:rsid w:val="002D64F9"/>
    <w:rsid w:val="002D663B"/>
    <w:rsid w:val="002D664E"/>
    <w:rsid w:val="002D6668"/>
    <w:rsid w:val="002D68F1"/>
    <w:rsid w:val="002D6B70"/>
    <w:rsid w:val="002D6C94"/>
    <w:rsid w:val="002D6D8A"/>
    <w:rsid w:val="002D6E17"/>
    <w:rsid w:val="002D6E6D"/>
    <w:rsid w:val="002D6EA3"/>
    <w:rsid w:val="002D70D0"/>
    <w:rsid w:val="002D70D1"/>
    <w:rsid w:val="002D70EB"/>
    <w:rsid w:val="002D7102"/>
    <w:rsid w:val="002D711E"/>
    <w:rsid w:val="002D7181"/>
    <w:rsid w:val="002D734D"/>
    <w:rsid w:val="002D7373"/>
    <w:rsid w:val="002D76DA"/>
    <w:rsid w:val="002D76F8"/>
    <w:rsid w:val="002D77C6"/>
    <w:rsid w:val="002D7917"/>
    <w:rsid w:val="002D795B"/>
    <w:rsid w:val="002D7962"/>
    <w:rsid w:val="002D7992"/>
    <w:rsid w:val="002D7A52"/>
    <w:rsid w:val="002D7A5C"/>
    <w:rsid w:val="002D7B19"/>
    <w:rsid w:val="002D7B60"/>
    <w:rsid w:val="002D7C0A"/>
    <w:rsid w:val="002D7D1D"/>
    <w:rsid w:val="002D7DD6"/>
    <w:rsid w:val="002D7DFF"/>
    <w:rsid w:val="002D7EA8"/>
    <w:rsid w:val="002D7ED6"/>
    <w:rsid w:val="002E0084"/>
    <w:rsid w:val="002E00BA"/>
    <w:rsid w:val="002E0526"/>
    <w:rsid w:val="002E0566"/>
    <w:rsid w:val="002E0577"/>
    <w:rsid w:val="002E07E9"/>
    <w:rsid w:val="002E07EA"/>
    <w:rsid w:val="002E07F5"/>
    <w:rsid w:val="002E0802"/>
    <w:rsid w:val="002E091A"/>
    <w:rsid w:val="002E094C"/>
    <w:rsid w:val="002E0AD4"/>
    <w:rsid w:val="002E0B6B"/>
    <w:rsid w:val="002E0B81"/>
    <w:rsid w:val="002E0BE6"/>
    <w:rsid w:val="002E0C1C"/>
    <w:rsid w:val="002E0C1D"/>
    <w:rsid w:val="002E0C74"/>
    <w:rsid w:val="002E0DB0"/>
    <w:rsid w:val="002E0F4E"/>
    <w:rsid w:val="002E117B"/>
    <w:rsid w:val="002E1294"/>
    <w:rsid w:val="002E1464"/>
    <w:rsid w:val="002E14C6"/>
    <w:rsid w:val="002E15B1"/>
    <w:rsid w:val="002E15DE"/>
    <w:rsid w:val="002E162F"/>
    <w:rsid w:val="002E168F"/>
    <w:rsid w:val="002E1AE9"/>
    <w:rsid w:val="002E1B35"/>
    <w:rsid w:val="002E1BCD"/>
    <w:rsid w:val="002E1C56"/>
    <w:rsid w:val="002E1C66"/>
    <w:rsid w:val="002E1C86"/>
    <w:rsid w:val="002E1C8B"/>
    <w:rsid w:val="002E1CFD"/>
    <w:rsid w:val="002E1D92"/>
    <w:rsid w:val="002E1E20"/>
    <w:rsid w:val="002E1EA6"/>
    <w:rsid w:val="002E1EE4"/>
    <w:rsid w:val="002E1F4A"/>
    <w:rsid w:val="002E20D6"/>
    <w:rsid w:val="002E21B7"/>
    <w:rsid w:val="002E2250"/>
    <w:rsid w:val="002E22B3"/>
    <w:rsid w:val="002E2440"/>
    <w:rsid w:val="002E246D"/>
    <w:rsid w:val="002E24CC"/>
    <w:rsid w:val="002E259A"/>
    <w:rsid w:val="002E25EA"/>
    <w:rsid w:val="002E2659"/>
    <w:rsid w:val="002E27C8"/>
    <w:rsid w:val="002E28D0"/>
    <w:rsid w:val="002E2B13"/>
    <w:rsid w:val="002E2B2D"/>
    <w:rsid w:val="002E2B69"/>
    <w:rsid w:val="002E2BDC"/>
    <w:rsid w:val="002E2D09"/>
    <w:rsid w:val="002E2D53"/>
    <w:rsid w:val="002E2E17"/>
    <w:rsid w:val="002E2EB7"/>
    <w:rsid w:val="002E2EB8"/>
    <w:rsid w:val="002E303E"/>
    <w:rsid w:val="002E312B"/>
    <w:rsid w:val="002E3230"/>
    <w:rsid w:val="002E3238"/>
    <w:rsid w:val="002E3272"/>
    <w:rsid w:val="002E3283"/>
    <w:rsid w:val="002E3393"/>
    <w:rsid w:val="002E33F8"/>
    <w:rsid w:val="002E340A"/>
    <w:rsid w:val="002E363B"/>
    <w:rsid w:val="002E36FC"/>
    <w:rsid w:val="002E372D"/>
    <w:rsid w:val="002E3745"/>
    <w:rsid w:val="002E378E"/>
    <w:rsid w:val="002E37B0"/>
    <w:rsid w:val="002E37FF"/>
    <w:rsid w:val="002E38C0"/>
    <w:rsid w:val="002E390F"/>
    <w:rsid w:val="002E39EC"/>
    <w:rsid w:val="002E3A3A"/>
    <w:rsid w:val="002E3B98"/>
    <w:rsid w:val="002E3BC8"/>
    <w:rsid w:val="002E3C0C"/>
    <w:rsid w:val="002E3DF6"/>
    <w:rsid w:val="002E3EA8"/>
    <w:rsid w:val="002E3F7B"/>
    <w:rsid w:val="002E3FB8"/>
    <w:rsid w:val="002E406D"/>
    <w:rsid w:val="002E4088"/>
    <w:rsid w:val="002E42BA"/>
    <w:rsid w:val="002E42C0"/>
    <w:rsid w:val="002E43AC"/>
    <w:rsid w:val="002E44F7"/>
    <w:rsid w:val="002E44FF"/>
    <w:rsid w:val="002E45D3"/>
    <w:rsid w:val="002E4611"/>
    <w:rsid w:val="002E465E"/>
    <w:rsid w:val="002E4878"/>
    <w:rsid w:val="002E4913"/>
    <w:rsid w:val="002E4970"/>
    <w:rsid w:val="002E4BA8"/>
    <w:rsid w:val="002E4D1B"/>
    <w:rsid w:val="002E4D22"/>
    <w:rsid w:val="002E4E6F"/>
    <w:rsid w:val="002E4E70"/>
    <w:rsid w:val="002E4F85"/>
    <w:rsid w:val="002E4FEE"/>
    <w:rsid w:val="002E501D"/>
    <w:rsid w:val="002E5107"/>
    <w:rsid w:val="002E5130"/>
    <w:rsid w:val="002E51F8"/>
    <w:rsid w:val="002E521E"/>
    <w:rsid w:val="002E52EB"/>
    <w:rsid w:val="002E52F9"/>
    <w:rsid w:val="002E53C7"/>
    <w:rsid w:val="002E5403"/>
    <w:rsid w:val="002E5568"/>
    <w:rsid w:val="002E5574"/>
    <w:rsid w:val="002E56AD"/>
    <w:rsid w:val="002E578D"/>
    <w:rsid w:val="002E58D1"/>
    <w:rsid w:val="002E596E"/>
    <w:rsid w:val="002E5979"/>
    <w:rsid w:val="002E59FE"/>
    <w:rsid w:val="002E5A66"/>
    <w:rsid w:val="002E5ABD"/>
    <w:rsid w:val="002E5B34"/>
    <w:rsid w:val="002E5BD9"/>
    <w:rsid w:val="002E5CAA"/>
    <w:rsid w:val="002E5CEA"/>
    <w:rsid w:val="002E5D93"/>
    <w:rsid w:val="002E5D9B"/>
    <w:rsid w:val="002E5D9E"/>
    <w:rsid w:val="002E5E4D"/>
    <w:rsid w:val="002E5EC3"/>
    <w:rsid w:val="002E6084"/>
    <w:rsid w:val="002E608D"/>
    <w:rsid w:val="002E6156"/>
    <w:rsid w:val="002E6222"/>
    <w:rsid w:val="002E6227"/>
    <w:rsid w:val="002E62B4"/>
    <w:rsid w:val="002E62CE"/>
    <w:rsid w:val="002E635F"/>
    <w:rsid w:val="002E640F"/>
    <w:rsid w:val="002E64C5"/>
    <w:rsid w:val="002E64FF"/>
    <w:rsid w:val="002E660D"/>
    <w:rsid w:val="002E6736"/>
    <w:rsid w:val="002E679C"/>
    <w:rsid w:val="002E67B5"/>
    <w:rsid w:val="002E6B12"/>
    <w:rsid w:val="002E6B65"/>
    <w:rsid w:val="002E6BDC"/>
    <w:rsid w:val="002E6C48"/>
    <w:rsid w:val="002E6C52"/>
    <w:rsid w:val="002E6CCC"/>
    <w:rsid w:val="002E6CED"/>
    <w:rsid w:val="002E6DDB"/>
    <w:rsid w:val="002E6DE6"/>
    <w:rsid w:val="002E6FD6"/>
    <w:rsid w:val="002E71E0"/>
    <w:rsid w:val="002E74C8"/>
    <w:rsid w:val="002E7514"/>
    <w:rsid w:val="002E7602"/>
    <w:rsid w:val="002E764D"/>
    <w:rsid w:val="002E76D6"/>
    <w:rsid w:val="002E7779"/>
    <w:rsid w:val="002E77BA"/>
    <w:rsid w:val="002E78BD"/>
    <w:rsid w:val="002E79D9"/>
    <w:rsid w:val="002E7AC0"/>
    <w:rsid w:val="002E7E17"/>
    <w:rsid w:val="002E7EBC"/>
    <w:rsid w:val="002E7FAC"/>
    <w:rsid w:val="002F020C"/>
    <w:rsid w:val="002F02A3"/>
    <w:rsid w:val="002F03BA"/>
    <w:rsid w:val="002F03FC"/>
    <w:rsid w:val="002F054B"/>
    <w:rsid w:val="002F06E1"/>
    <w:rsid w:val="002F0829"/>
    <w:rsid w:val="002F08FC"/>
    <w:rsid w:val="002F0988"/>
    <w:rsid w:val="002F0AFB"/>
    <w:rsid w:val="002F0B98"/>
    <w:rsid w:val="002F0BD6"/>
    <w:rsid w:val="002F0C9B"/>
    <w:rsid w:val="002F0CE6"/>
    <w:rsid w:val="002F0F2B"/>
    <w:rsid w:val="002F0F36"/>
    <w:rsid w:val="002F0FC0"/>
    <w:rsid w:val="002F1054"/>
    <w:rsid w:val="002F1264"/>
    <w:rsid w:val="002F13E3"/>
    <w:rsid w:val="002F13F4"/>
    <w:rsid w:val="002F148E"/>
    <w:rsid w:val="002F159E"/>
    <w:rsid w:val="002F15B3"/>
    <w:rsid w:val="002F1671"/>
    <w:rsid w:val="002F1868"/>
    <w:rsid w:val="002F194A"/>
    <w:rsid w:val="002F1990"/>
    <w:rsid w:val="002F19BC"/>
    <w:rsid w:val="002F1A2F"/>
    <w:rsid w:val="002F1C15"/>
    <w:rsid w:val="002F1C3C"/>
    <w:rsid w:val="002F1D17"/>
    <w:rsid w:val="002F2156"/>
    <w:rsid w:val="002F224A"/>
    <w:rsid w:val="002F22A7"/>
    <w:rsid w:val="002F22BD"/>
    <w:rsid w:val="002F22F2"/>
    <w:rsid w:val="002F231F"/>
    <w:rsid w:val="002F23A2"/>
    <w:rsid w:val="002F23F1"/>
    <w:rsid w:val="002F24FE"/>
    <w:rsid w:val="002F25A7"/>
    <w:rsid w:val="002F2626"/>
    <w:rsid w:val="002F26FC"/>
    <w:rsid w:val="002F2792"/>
    <w:rsid w:val="002F2794"/>
    <w:rsid w:val="002F2836"/>
    <w:rsid w:val="002F291F"/>
    <w:rsid w:val="002F2965"/>
    <w:rsid w:val="002F2DF7"/>
    <w:rsid w:val="002F2E02"/>
    <w:rsid w:val="002F2E90"/>
    <w:rsid w:val="002F2ED2"/>
    <w:rsid w:val="002F308F"/>
    <w:rsid w:val="002F3163"/>
    <w:rsid w:val="002F3202"/>
    <w:rsid w:val="002F32FD"/>
    <w:rsid w:val="002F331A"/>
    <w:rsid w:val="002F339E"/>
    <w:rsid w:val="002F33D2"/>
    <w:rsid w:val="002F3417"/>
    <w:rsid w:val="002F3547"/>
    <w:rsid w:val="002F35C0"/>
    <w:rsid w:val="002F36ED"/>
    <w:rsid w:val="002F37DF"/>
    <w:rsid w:val="002F3805"/>
    <w:rsid w:val="002F38D6"/>
    <w:rsid w:val="002F3981"/>
    <w:rsid w:val="002F39AD"/>
    <w:rsid w:val="002F3B00"/>
    <w:rsid w:val="002F3B2A"/>
    <w:rsid w:val="002F3BA4"/>
    <w:rsid w:val="002F3CC9"/>
    <w:rsid w:val="002F3D20"/>
    <w:rsid w:val="002F3D44"/>
    <w:rsid w:val="002F3DD6"/>
    <w:rsid w:val="002F3E02"/>
    <w:rsid w:val="002F3E07"/>
    <w:rsid w:val="002F3ED3"/>
    <w:rsid w:val="002F40DD"/>
    <w:rsid w:val="002F40DE"/>
    <w:rsid w:val="002F415B"/>
    <w:rsid w:val="002F4385"/>
    <w:rsid w:val="002F4482"/>
    <w:rsid w:val="002F4487"/>
    <w:rsid w:val="002F45D7"/>
    <w:rsid w:val="002F4658"/>
    <w:rsid w:val="002F4728"/>
    <w:rsid w:val="002F48C8"/>
    <w:rsid w:val="002F4973"/>
    <w:rsid w:val="002F4A97"/>
    <w:rsid w:val="002F4AC5"/>
    <w:rsid w:val="002F4B7F"/>
    <w:rsid w:val="002F4C25"/>
    <w:rsid w:val="002F4C4A"/>
    <w:rsid w:val="002F4D0E"/>
    <w:rsid w:val="002F4E57"/>
    <w:rsid w:val="002F5083"/>
    <w:rsid w:val="002F52B7"/>
    <w:rsid w:val="002F533D"/>
    <w:rsid w:val="002F534B"/>
    <w:rsid w:val="002F53EF"/>
    <w:rsid w:val="002F5444"/>
    <w:rsid w:val="002F544C"/>
    <w:rsid w:val="002F5514"/>
    <w:rsid w:val="002F5551"/>
    <w:rsid w:val="002F5844"/>
    <w:rsid w:val="002F58CC"/>
    <w:rsid w:val="002F592E"/>
    <w:rsid w:val="002F5984"/>
    <w:rsid w:val="002F59B3"/>
    <w:rsid w:val="002F5A19"/>
    <w:rsid w:val="002F5C1D"/>
    <w:rsid w:val="002F5C2A"/>
    <w:rsid w:val="002F5D94"/>
    <w:rsid w:val="002F5F62"/>
    <w:rsid w:val="002F60A3"/>
    <w:rsid w:val="002F60D2"/>
    <w:rsid w:val="002F6328"/>
    <w:rsid w:val="002F6340"/>
    <w:rsid w:val="002F64C8"/>
    <w:rsid w:val="002F65D2"/>
    <w:rsid w:val="002F65DF"/>
    <w:rsid w:val="002F6647"/>
    <w:rsid w:val="002F669A"/>
    <w:rsid w:val="002F66D2"/>
    <w:rsid w:val="002F682E"/>
    <w:rsid w:val="002F68F1"/>
    <w:rsid w:val="002F69C4"/>
    <w:rsid w:val="002F69CA"/>
    <w:rsid w:val="002F6A3F"/>
    <w:rsid w:val="002F6C23"/>
    <w:rsid w:val="002F6D1C"/>
    <w:rsid w:val="002F6DC5"/>
    <w:rsid w:val="002F6E30"/>
    <w:rsid w:val="002F7042"/>
    <w:rsid w:val="002F70E6"/>
    <w:rsid w:val="002F70FA"/>
    <w:rsid w:val="002F712D"/>
    <w:rsid w:val="002F71BB"/>
    <w:rsid w:val="002F7219"/>
    <w:rsid w:val="002F7240"/>
    <w:rsid w:val="002F7246"/>
    <w:rsid w:val="002F73B9"/>
    <w:rsid w:val="002F747E"/>
    <w:rsid w:val="002F761A"/>
    <w:rsid w:val="002F7662"/>
    <w:rsid w:val="002F76C9"/>
    <w:rsid w:val="002F7711"/>
    <w:rsid w:val="002F7841"/>
    <w:rsid w:val="002F785C"/>
    <w:rsid w:val="002F785D"/>
    <w:rsid w:val="002F786F"/>
    <w:rsid w:val="002F7C10"/>
    <w:rsid w:val="002F7CE4"/>
    <w:rsid w:val="002F7D6B"/>
    <w:rsid w:val="002F7DD0"/>
    <w:rsid w:val="002F7E6F"/>
    <w:rsid w:val="002F7E7A"/>
    <w:rsid w:val="002F7F9F"/>
    <w:rsid w:val="0030010C"/>
    <w:rsid w:val="0030022F"/>
    <w:rsid w:val="00300401"/>
    <w:rsid w:val="00300520"/>
    <w:rsid w:val="0030055E"/>
    <w:rsid w:val="003005D7"/>
    <w:rsid w:val="0030065E"/>
    <w:rsid w:val="00300704"/>
    <w:rsid w:val="00300752"/>
    <w:rsid w:val="0030076B"/>
    <w:rsid w:val="003007E9"/>
    <w:rsid w:val="003008BF"/>
    <w:rsid w:val="00300938"/>
    <w:rsid w:val="003009C0"/>
    <w:rsid w:val="00300A2A"/>
    <w:rsid w:val="00300B70"/>
    <w:rsid w:val="00300CC4"/>
    <w:rsid w:val="00300D71"/>
    <w:rsid w:val="00300ECA"/>
    <w:rsid w:val="00300EE3"/>
    <w:rsid w:val="00300F42"/>
    <w:rsid w:val="0030112E"/>
    <w:rsid w:val="0030112F"/>
    <w:rsid w:val="00301373"/>
    <w:rsid w:val="003013D9"/>
    <w:rsid w:val="0030140A"/>
    <w:rsid w:val="003014B3"/>
    <w:rsid w:val="00301504"/>
    <w:rsid w:val="00301545"/>
    <w:rsid w:val="0030154E"/>
    <w:rsid w:val="003015CC"/>
    <w:rsid w:val="0030161D"/>
    <w:rsid w:val="00301636"/>
    <w:rsid w:val="0030166C"/>
    <w:rsid w:val="003016E4"/>
    <w:rsid w:val="003017CF"/>
    <w:rsid w:val="003018C6"/>
    <w:rsid w:val="003018E0"/>
    <w:rsid w:val="00301972"/>
    <w:rsid w:val="0030199A"/>
    <w:rsid w:val="00301B55"/>
    <w:rsid w:val="00301C86"/>
    <w:rsid w:val="00301EA3"/>
    <w:rsid w:val="003020FC"/>
    <w:rsid w:val="003022E8"/>
    <w:rsid w:val="00302362"/>
    <w:rsid w:val="00302522"/>
    <w:rsid w:val="003025FC"/>
    <w:rsid w:val="0030282F"/>
    <w:rsid w:val="00302929"/>
    <w:rsid w:val="0030298C"/>
    <w:rsid w:val="00302AC8"/>
    <w:rsid w:val="00302B8F"/>
    <w:rsid w:val="00302BB6"/>
    <w:rsid w:val="00302CB2"/>
    <w:rsid w:val="00302ED2"/>
    <w:rsid w:val="00302F9E"/>
    <w:rsid w:val="003032A1"/>
    <w:rsid w:val="0030331D"/>
    <w:rsid w:val="003033CC"/>
    <w:rsid w:val="00303657"/>
    <w:rsid w:val="00303707"/>
    <w:rsid w:val="003038C0"/>
    <w:rsid w:val="003038CE"/>
    <w:rsid w:val="00303932"/>
    <w:rsid w:val="0030395C"/>
    <w:rsid w:val="003039CF"/>
    <w:rsid w:val="00303A68"/>
    <w:rsid w:val="00303AC2"/>
    <w:rsid w:val="00303AE5"/>
    <w:rsid w:val="00303B3A"/>
    <w:rsid w:val="00303B96"/>
    <w:rsid w:val="00303BCC"/>
    <w:rsid w:val="00303CF3"/>
    <w:rsid w:val="00303D0D"/>
    <w:rsid w:val="00303D1B"/>
    <w:rsid w:val="00303D1D"/>
    <w:rsid w:val="00303D29"/>
    <w:rsid w:val="00303F25"/>
    <w:rsid w:val="003041E4"/>
    <w:rsid w:val="003042F7"/>
    <w:rsid w:val="003044B1"/>
    <w:rsid w:val="00304856"/>
    <w:rsid w:val="00304B64"/>
    <w:rsid w:val="00304B78"/>
    <w:rsid w:val="00304B8E"/>
    <w:rsid w:val="00304BBD"/>
    <w:rsid w:val="00304C34"/>
    <w:rsid w:val="00304CCD"/>
    <w:rsid w:val="00304DF1"/>
    <w:rsid w:val="00304FAE"/>
    <w:rsid w:val="00305028"/>
    <w:rsid w:val="00305083"/>
    <w:rsid w:val="003051C8"/>
    <w:rsid w:val="0030525B"/>
    <w:rsid w:val="003052B4"/>
    <w:rsid w:val="00305385"/>
    <w:rsid w:val="00305387"/>
    <w:rsid w:val="0030547A"/>
    <w:rsid w:val="003054E5"/>
    <w:rsid w:val="003056D0"/>
    <w:rsid w:val="003057F0"/>
    <w:rsid w:val="003059A6"/>
    <w:rsid w:val="00305A84"/>
    <w:rsid w:val="00305B23"/>
    <w:rsid w:val="00305C1E"/>
    <w:rsid w:val="00305C30"/>
    <w:rsid w:val="00305D63"/>
    <w:rsid w:val="00305DCD"/>
    <w:rsid w:val="00305ECA"/>
    <w:rsid w:val="00305F8B"/>
    <w:rsid w:val="0030602B"/>
    <w:rsid w:val="00306051"/>
    <w:rsid w:val="0030605B"/>
    <w:rsid w:val="00306396"/>
    <w:rsid w:val="0030644E"/>
    <w:rsid w:val="00306539"/>
    <w:rsid w:val="00306589"/>
    <w:rsid w:val="00306683"/>
    <w:rsid w:val="003066EB"/>
    <w:rsid w:val="00306884"/>
    <w:rsid w:val="003068D5"/>
    <w:rsid w:val="003068DA"/>
    <w:rsid w:val="003069DC"/>
    <w:rsid w:val="003069F9"/>
    <w:rsid w:val="00306A0F"/>
    <w:rsid w:val="00306A25"/>
    <w:rsid w:val="00306BD5"/>
    <w:rsid w:val="00306D0C"/>
    <w:rsid w:val="00306EF4"/>
    <w:rsid w:val="00306F84"/>
    <w:rsid w:val="00307045"/>
    <w:rsid w:val="00307092"/>
    <w:rsid w:val="003070DC"/>
    <w:rsid w:val="0030713C"/>
    <w:rsid w:val="003071BE"/>
    <w:rsid w:val="0030721A"/>
    <w:rsid w:val="0030728C"/>
    <w:rsid w:val="00307353"/>
    <w:rsid w:val="003073B1"/>
    <w:rsid w:val="003073E1"/>
    <w:rsid w:val="003074BC"/>
    <w:rsid w:val="003075F7"/>
    <w:rsid w:val="0030790E"/>
    <w:rsid w:val="003079B2"/>
    <w:rsid w:val="00307AB9"/>
    <w:rsid w:val="00307DDD"/>
    <w:rsid w:val="00307DE2"/>
    <w:rsid w:val="00307F23"/>
    <w:rsid w:val="00307FDD"/>
    <w:rsid w:val="0030ED24"/>
    <w:rsid w:val="00310038"/>
    <w:rsid w:val="00310082"/>
    <w:rsid w:val="003100DA"/>
    <w:rsid w:val="00310137"/>
    <w:rsid w:val="003101C7"/>
    <w:rsid w:val="003101CC"/>
    <w:rsid w:val="00310245"/>
    <w:rsid w:val="00310280"/>
    <w:rsid w:val="003102CD"/>
    <w:rsid w:val="003102E3"/>
    <w:rsid w:val="003104AF"/>
    <w:rsid w:val="0031050D"/>
    <w:rsid w:val="00310510"/>
    <w:rsid w:val="00310525"/>
    <w:rsid w:val="00310608"/>
    <w:rsid w:val="003106BA"/>
    <w:rsid w:val="00310728"/>
    <w:rsid w:val="0031080C"/>
    <w:rsid w:val="003108B3"/>
    <w:rsid w:val="003108E1"/>
    <w:rsid w:val="00310926"/>
    <w:rsid w:val="003109ED"/>
    <w:rsid w:val="00310A91"/>
    <w:rsid w:val="00310B34"/>
    <w:rsid w:val="00310B56"/>
    <w:rsid w:val="00310BB4"/>
    <w:rsid w:val="00310BD0"/>
    <w:rsid w:val="00310CC9"/>
    <w:rsid w:val="00310D14"/>
    <w:rsid w:val="00310D1F"/>
    <w:rsid w:val="00310E3A"/>
    <w:rsid w:val="00310EDF"/>
    <w:rsid w:val="00311111"/>
    <w:rsid w:val="0031111A"/>
    <w:rsid w:val="003111C0"/>
    <w:rsid w:val="003111C6"/>
    <w:rsid w:val="00311223"/>
    <w:rsid w:val="003112B1"/>
    <w:rsid w:val="00311303"/>
    <w:rsid w:val="0031136E"/>
    <w:rsid w:val="0031139B"/>
    <w:rsid w:val="00311421"/>
    <w:rsid w:val="0031145F"/>
    <w:rsid w:val="00311462"/>
    <w:rsid w:val="003114BC"/>
    <w:rsid w:val="003114BD"/>
    <w:rsid w:val="0031157C"/>
    <w:rsid w:val="0031162F"/>
    <w:rsid w:val="0031179C"/>
    <w:rsid w:val="003117A4"/>
    <w:rsid w:val="00311A3B"/>
    <w:rsid w:val="00311AC4"/>
    <w:rsid w:val="00311B61"/>
    <w:rsid w:val="00311BD4"/>
    <w:rsid w:val="00311C8C"/>
    <w:rsid w:val="00311EE1"/>
    <w:rsid w:val="00311F20"/>
    <w:rsid w:val="00311FE9"/>
    <w:rsid w:val="00311FF5"/>
    <w:rsid w:val="00312084"/>
    <w:rsid w:val="0031216E"/>
    <w:rsid w:val="003121B0"/>
    <w:rsid w:val="003121E9"/>
    <w:rsid w:val="003122D2"/>
    <w:rsid w:val="00312384"/>
    <w:rsid w:val="0031257F"/>
    <w:rsid w:val="003125DA"/>
    <w:rsid w:val="003125FC"/>
    <w:rsid w:val="00312651"/>
    <w:rsid w:val="003126A5"/>
    <w:rsid w:val="003127B0"/>
    <w:rsid w:val="003127BC"/>
    <w:rsid w:val="00312878"/>
    <w:rsid w:val="0031289E"/>
    <w:rsid w:val="00312A83"/>
    <w:rsid w:val="00312AE9"/>
    <w:rsid w:val="00312CA1"/>
    <w:rsid w:val="00312D8F"/>
    <w:rsid w:val="00312E8F"/>
    <w:rsid w:val="00312FFD"/>
    <w:rsid w:val="00313079"/>
    <w:rsid w:val="003130CC"/>
    <w:rsid w:val="00313348"/>
    <w:rsid w:val="003133A9"/>
    <w:rsid w:val="003133F3"/>
    <w:rsid w:val="0031357E"/>
    <w:rsid w:val="0031359E"/>
    <w:rsid w:val="003136B9"/>
    <w:rsid w:val="00313841"/>
    <w:rsid w:val="003139A2"/>
    <w:rsid w:val="00313A17"/>
    <w:rsid w:val="00313A19"/>
    <w:rsid w:val="00313A1E"/>
    <w:rsid w:val="00313A72"/>
    <w:rsid w:val="00313E08"/>
    <w:rsid w:val="00313E5B"/>
    <w:rsid w:val="00313F38"/>
    <w:rsid w:val="00314082"/>
    <w:rsid w:val="003140DC"/>
    <w:rsid w:val="00314132"/>
    <w:rsid w:val="00314205"/>
    <w:rsid w:val="0031443C"/>
    <w:rsid w:val="00314443"/>
    <w:rsid w:val="00314585"/>
    <w:rsid w:val="003145D4"/>
    <w:rsid w:val="003146AD"/>
    <w:rsid w:val="003146AE"/>
    <w:rsid w:val="003146B0"/>
    <w:rsid w:val="003146B1"/>
    <w:rsid w:val="003146FD"/>
    <w:rsid w:val="00314A00"/>
    <w:rsid w:val="00314A8A"/>
    <w:rsid w:val="00314CB0"/>
    <w:rsid w:val="00314E58"/>
    <w:rsid w:val="00314F38"/>
    <w:rsid w:val="00315178"/>
    <w:rsid w:val="0031529F"/>
    <w:rsid w:val="003152F6"/>
    <w:rsid w:val="00315311"/>
    <w:rsid w:val="00315334"/>
    <w:rsid w:val="0031540D"/>
    <w:rsid w:val="0031547C"/>
    <w:rsid w:val="0031550B"/>
    <w:rsid w:val="00315580"/>
    <w:rsid w:val="0031559B"/>
    <w:rsid w:val="003155D3"/>
    <w:rsid w:val="003155F5"/>
    <w:rsid w:val="00315C17"/>
    <w:rsid w:val="00315D67"/>
    <w:rsid w:val="00315D94"/>
    <w:rsid w:val="00315E32"/>
    <w:rsid w:val="00315E98"/>
    <w:rsid w:val="00315EC7"/>
    <w:rsid w:val="00315EF1"/>
    <w:rsid w:val="0031600E"/>
    <w:rsid w:val="00316037"/>
    <w:rsid w:val="0031604D"/>
    <w:rsid w:val="003160C9"/>
    <w:rsid w:val="00316328"/>
    <w:rsid w:val="003163A4"/>
    <w:rsid w:val="0031643C"/>
    <w:rsid w:val="003165E7"/>
    <w:rsid w:val="0031660B"/>
    <w:rsid w:val="00316616"/>
    <w:rsid w:val="00316664"/>
    <w:rsid w:val="00316682"/>
    <w:rsid w:val="003166FF"/>
    <w:rsid w:val="003167EB"/>
    <w:rsid w:val="00316912"/>
    <w:rsid w:val="00316922"/>
    <w:rsid w:val="003169B2"/>
    <w:rsid w:val="00316C84"/>
    <w:rsid w:val="00316CC3"/>
    <w:rsid w:val="00316D12"/>
    <w:rsid w:val="00316DD8"/>
    <w:rsid w:val="00316DE9"/>
    <w:rsid w:val="00316E50"/>
    <w:rsid w:val="00316EC1"/>
    <w:rsid w:val="00316FFE"/>
    <w:rsid w:val="003172BD"/>
    <w:rsid w:val="003173D8"/>
    <w:rsid w:val="003173DD"/>
    <w:rsid w:val="0031753A"/>
    <w:rsid w:val="00317670"/>
    <w:rsid w:val="00317674"/>
    <w:rsid w:val="00317699"/>
    <w:rsid w:val="003176FB"/>
    <w:rsid w:val="00317720"/>
    <w:rsid w:val="0031773F"/>
    <w:rsid w:val="00317825"/>
    <w:rsid w:val="00317840"/>
    <w:rsid w:val="003178FD"/>
    <w:rsid w:val="00317939"/>
    <w:rsid w:val="003179A4"/>
    <w:rsid w:val="00317A9E"/>
    <w:rsid w:val="00317B44"/>
    <w:rsid w:val="00317C28"/>
    <w:rsid w:val="00317E65"/>
    <w:rsid w:val="00317EFA"/>
    <w:rsid w:val="00317F63"/>
    <w:rsid w:val="00317FFD"/>
    <w:rsid w:val="003200D0"/>
    <w:rsid w:val="003200DE"/>
    <w:rsid w:val="00320151"/>
    <w:rsid w:val="00320294"/>
    <w:rsid w:val="003202C0"/>
    <w:rsid w:val="00320468"/>
    <w:rsid w:val="0032047E"/>
    <w:rsid w:val="003205FE"/>
    <w:rsid w:val="003205FF"/>
    <w:rsid w:val="003206D4"/>
    <w:rsid w:val="00320763"/>
    <w:rsid w:val="0032080B"/>
    <w:rsid w:val="0032099E"/>
    <w:rsid w:val="00320AC0"/>
    <w:rsid w:val="00320B62"/>
    <w:rsid w:val="00320C7D"/>
    <w:rsid w:val="00320CBD"/>
    <w:rsid w:val="00320D40"/>
    <w:rsid w:val="00320E65"/>
    <w:rsid w:val="003210EB"/>
    <w:rsid w:val="0032110D"/>
    <w:rsid w:val="00321127"/>
    <w:rsid w:val="0032124D"/>
    <w:rsid w:val="003212A7"/>
    <w:rsid w:val="00321354"/>
    <w:rsid w:val="003213C0"/>
    <w:rsid w:val="00321476"/>
    <w:rsid w:val="00321488"/>
    <w:rsid w:val="00321489"/>
    <w:rsid w:val="003214CC"/>
    <w:rsid w:val="003214E5"/>
    <w:rsid w:val="003215BF"/>
    <w:rsid w:val="00321645"/>
    <w:rsid w:val="0032172E"/>
    <w:rsid w:val="00321820"/>
    <w:rsid w:val="00321822"/>
    <w:rsid w:val="0032185B"/>
    <w:rsid w:val="0032193B"/>
    <w:rsid w:val="00321BE5"/>
    <w:rsid w:val="00321CBB"/>
    <w:rsid w:val="00321CC3"/>
    <w:rsid w:val="00321DB6"/>
    <w:rsid w:val="00321E2C"/>
    <w:rsid w:val="00321EAD"/>
    <w:rsid w:val="00321F84"/>
    <w:rsid w:val="00321FC1"/>
    <w:rsid w:val="00321FD9"/>
    <w:rsid w:val="0032201F"/>
    <w:rsid w:val="00322077"/>
    <w:rsid w:val="00322089"/>
    <w:rsid w:val="003220F0"/>
    <w:rsid w:val="00322110"/>
    <w:rsid w:val="00322111"/>
    <w:rsid w:val="00322143"/>
    <w:rsid w:val="003221C1"/>
    <w:rsid w:val="00322384"/>
    <w:rsid w:val="00322401"/>
    <w:rsid w:val="00322423"/>
    <w:rsid w:val="00322478"/>
    <w:rsid w:val="003224A8"/>
    <w:rsid w:val="00322545"/>
    <w:rsid w:val="003225C2"/>
    <w:rsid w:val="00322620"/>
    <w:rsid w:val="0032266A"/>
    <w:rsid w:val="0032268B"/>
    <w:rsid w:val="003228AB"/>
    <w:rsid w:val="003228DF"/>
    <w:rsid w:val="003229AF"/>
    <w:rsid w:val="00322B37"/>
    <w:rsid w:val="00322DEC"/>
    <w:rsid w:val="00322F5E"/>
    <w:rsid w:val="00322F68"/>
    <w:rsid w:val="00323141"/>
    <w:rsid w:val="003232D7"/>
    <w:rsid w:val="0032337F"/>
    <w:rsid w:val="00323424"/>
    <w:rsid w:val="003234DB"/>
    <w:rsid w:val="0032381C"/>
    <w:rsid w:val="00323889"/>
    <w:rsid w:val="003239C6"/>
    <w:rsid w:val="003239CA"/>
    <w:rsid w:val="00323B24"/>
    <w:rsid w:val="00323B88"/>
    <w:rsid w:val="00323B8A"/>
    <w:rsid w:val="00323B99"/>
    <w:rsid w:val="00323C98"/>
    <w:rsid w:val="00323D40"/>
    <w:rsid w:val="00323D52"/>
    <w:rsid w:val="00323E7E"/>
    <w:rsid w:val="00323F89"/>
    <w:rsid w:val="00323FD3"/>
    <w:rsid w:val="0032400E"/>
    <w:rsid w:val="00324192"/>
    <w:rsid w:val="003242CF"/>
    <w:rsid w:val="00324315"/>
    <w:rsid w:val="0032437E"/>
    <w:rsid w:val="00324404"/>
    <w:rsid w:val="00324467"/>
    <w:rsid w:val="003244AF"/>
    <w:rsid w:val="00324518"/>
    <w:rsid w:val="00324666"/>
    <w:rsid w:val="003246C9"/>
    <w:rsid w:val="00324704"/>
    <w:rsid w:val="003248FF"/>
    <w:rsid w:val="00324A81"/>
    <w:rsid w:val="00324B77"/>
    <w:rsid w:val="00324C52"/>
    <w:rsid w:val="00324D06"/>
    <w:rsid w:val="00324E14"/>
    <w:rsid w:val="00324E22"/>
    <w:rsid w:val="00324F04"/>
    <w:rsid w:val="00324F37"/>
    <w:rsid w:val="0032502F"/>
    <w:rsid w:val="00325175"/>
    <w:rsid w:val="00325182"/>
    <w:rsid w:val="003251D4"/>
    <w:rsid w:val="0032522B"/>
    <w:rsid w:val="0032528E"/>
    <w:rsid w:val="00325427"/>
    <w:rsid w:val="00325531"/>
    <w:rsid w:val="00325536"/>
    <w:rsid w:val="0032578B"/>
    <w:rsid w:val="003257BA"/>
    <w:rsid w:val="00325853"/>
    <w:rsid w:val="003258BF"/>
    <w:rsid w:val="003258E7"/>
    <w:rsid w:val="00325963"/>
    <w:rsid w:val="003259D1"/>
    <w:rsid w:val="003259FB"/>
    <w:rsid w:val="00325B24"/>
    <w:rsid w:val="00325B6C"/>
    <w:rsid w:val="00325C31"/>
    <w:rsid w:val="00325D1F"/>
    <w:rsid w:val="00325D24"/>
    <w:rsid w:val="00325D25"/>
    <w:rsid w:val="00325D86"/>
    <w:rsid w:val="00325DBC"/>
    <w:rsid w:val="00325DE0"/>
    <w:rsid w:val="00325E01"/>
    <w:rsid w:val="00325F6B"/>
    <w:rsid w:val="00326006"/>
    <w:rsid w:val="0032601E"/>
    <w:rsid w:val="00326306"/>
    <w:rsid w:val="00326370"/>
    <w:rsid w:val="003268AF"/>
    <w:rsid w:val="00326B81"/>
    <w:rsid w:val="00326C0E"/>
    <w:rsid w:val="00326C19"/>
    <w:rsid w:val="00326DBC"/>
    <w:rsid w:val="00327133"/>
    <w:rsid w:val="0032714D"/>
    <w:rsid w:val="003271E0"/>
    <w:rsid w:val="00327580"/>
    <w:rsid w:val="00327604"/>
    <w:rsid w:val="00327650"/>
    <w:rsid w:val="00327722"/>
    <w:rsid w:val="0032788E"/>
    <w:rsid w:val="00327890"/>
    <w:rsid w:val="0032792C"/>
    <w:rsid w:val="00327A6B"/>
    <w:rsid w:val="00327B33"/>
    <w:rsid w:val="00327DF1"/>
    <w:rsid w:val="00327E4C"/>
    <w:rsid w:val="00327E8C"/>
    <w:rsid w:val="00327F02"/>
    <w:rsid w:val="00327F4D"/>
    <w:rsid w:val="00327FB7"/>
    <w:rsid w:val="00330127"/>
    <w:rsid w:val="0033016A"/>
    <w:rsid w:val="003301AE"/>
    <w:rsid w:val="0033025C"/>
    <w:rsid w:val="00330269"/>
    <w:rsid w:val="00330414"/>
    <w:rsid w:val="00330423"/>
    <w:rsid w:val="003304C4"/>
    <w:rsid w:val="0033054C"/>
    <w:rsid w:val="003305DA"/>
    <w:rsid w:val="00330762"/>
    <w:rsid w:val="00330901"/>
    <w:rsid w:val="00330A15"/>
    <w:rsid w:val="00330AF0"/>
    <w:rsid w:val="00330BC9"/>
    <w:rsid w:val="00330C81"/>
    <w:rsid w:val="00330EDE"/>
    <w:rsid w:val="00330EF3"/>
    <w:rsid w:val="00330F77"/>
    <w:rsid w:val="0033116E"/>
    <w:rsid w:val="00331201"/>
    <w:rsid w:val="00331371"/>
    <w:rsid w:val="003313DF"/>
    <w:rsid w:val="00331416"/>
    <w:rsid w:val="00331421"/>
    <w:rsid w:val="00331877"/>
    <w:rsid w:val="00331915"/>
    <w:rsid w:val="00331A1A"/>
    <w:rsid w:val="00331BEC"/>
    <w:rsid w:val="00331C22"/>
    <w:rsid w:val="00331C6D"/>
    <w:rsid w:val="00331CAE"/>
    <w:rsid w:val="00331DC9"/>
    <w:rsid w:val="00331DDD"/>
    <w:rsid w:val="00331DFA"/>
    <w:rsid w:val="00331EF9"/>
    <w:rsid w:val="00331F65"/>
    <w:rsid w:val="00331FBD"/>
    <w:rsid w:val="00332009"/>
    <w:rsid w:val="00332026"/>
    <w:rsid w:val="003320DC"/>
    <w:rsid w:val="00332262"/>
    <w:rsid w:val="0033226E"/>
    <w:rsid w:val="0033228B"/>
    <w:rsid w:val="00332363"/>
    <w:rsid w:val="003324F4"/>
    <w:rsid w:val="0033251F"/>
    <w:rsid w:val="00332550"/>
    <w:rsid w:val="003325CB"/>
    <w:rsid w:val="0033262B"/>
    <w:rsid w:val="0033262E"/>
    <w:rsid w:val="00332665"/>
    <w:rsid w:val="0033272D"/>
    <w:rsid w:val="003327CB"/>
    <w:rsid w:val="00332823"/>
    <w:rsid w:val="003328E1"/>
    <w:rsid w:val="0033293F"/>
    <w:rsid w:val="00332CEF"/>
    <w:rsid w:val="00332DF2"/>
    <w:rsid w:val="00332E0D"/>
    <w:rsid w:val="00332E38"/>
    <w:rsid w:val="0033302D"/>
    <w:rsid w:val="003332BF"/>
    <w:rsid w:val="003332C2"/>
    <w:rsid w:val="003334DD"/>
    <w:rsid w:val="00333633"/>
    <w:rsid w:val="00333751"/>
    <w:rsid w:val="003338F8"/>
    <w:rsid w:val="00333A4F"/>
    <w:rsid w:val="00333B08"/>
    <w:rsid w:val="00333BF1"/>
    <w:rsid w:val="00333C10"/>
    <w:rsid w:val="00333E31"/>
    <w:rsid w:val="00333E79"/>
    <w:rsid w:val="00333ED5"/>
    <w:rsid w:val="00333F91"/>
    <w:rsid w:val="00333FCD"/>
    <w:rsid w:val="00334038"/>
    <w:rsid w:val="00334087"/>
    <w:rsid w:val="00334095"/>
    <w:rsid w:val="003340C2"/>
    <w:rsid w:val="00334135"/>
    <w:rsid w:val="003341D4"/>
    <w:rsid w:val="0033423C"/>
    <w:rsid w:val="003342A9"/>
    <w:rsid w:val="0033430C"/>
    <w:rsid w:val="00334398"/>
    <w:rsid w:val="00334418"/>
    <w:rsid w:val="0033447D"/>
    <w:rsid w:val="00334862"/>
    <w:rsid w:val="00334866"/>
    <w:rsid w:val="0033487D"/>
    <w:rsid w:val="00334935"/>
    <w:rsid w:val="0033494A"/>
    <w:rsid w:val="003349CC"/>
    <w:rsid w:val="00334A39"/>
    <w:rsid w:val="00334A98"/>
    <w:rsid w:val="00334ABE"/>
    <w:rsid w:val="00334B49"/>
    <w:rsid w:val="00334D92"/>
    <w:rsid w:val="003350B9"/>
    <w:rsid w:val="00335344"/>
    <w:rsid w:val="003353AD"/>
    <w:rsid w:val="00335455"/>
    <w:rsid w:val="00335480"/>
    <w:rsid w:val="003354D3"/>
    <w:rsid w:val="00335508"/>
    <w:rsid w:val="00335556"/>
    <w:rsid w:val="003355E1"/>
    <w:rsid w:val="003356EA"/>
    <w:rsid w:val="00335961"/>
    <w:rsid w:val="003359D7"/>
    <w:rsid w:val="00335A15"/>
    <w:rsid w:val="00335AE0"/>
    <w:rsid w:val="00335B2F"/>
    <w:rsid w:val="00335C5F"/>
    <w:rsid w:val="00335D9F"/>
    <w:rsid w:val="00335DBE"/>
    <w:rsid w:val="00335E51"/>
    <w:rsid w:val="00335E73"/>
    <w:rsid w:val="00335F40"/>
    <w:rsid w:val="00335F7D"/>
    <w:rsid w:val="00336170"/>
    <w:rsid w:val="00336191"/>
    <w:rsid w:val="00336199"/>
    <w:rsid w:val="003361A4"/>
    <w:rsid w:val="003361CC"/>
    <w:rsid w:val="00336200"/>
    <w:rsid w:val="00336203"/>
    <w:rsid w:val="0033621B"/>
    <w:rsid w:val="00336229"/>
    <w:rsid w:val="00336358"/>
    <w:rsid w:val="003364BF"/>
    <w:rsid w:val="003364F6"/>
    <w:rsid w:val="0033655D"/>
    <w:rsid w:val="00336616"/>
    <w:rsid w:val="00336677"/>
    <w:rsid w:val="0033667A"/>
    <w:rsid w:val="00336757"/>
    <w:rsid w:val="0033677C"/>
    <w:rsid w:val="00336843"/>
    <w:rsid w:val="003368C3"/>
    <w:rsid w:val="00336908"/>
    <w:rsid w:val="00336D20"/>
    <w:rsid w:val="00336D54"/>
    <w:rsid w:val="00336D7E"/>
    <w:rsid w:val="00336E02"/>
    <w:rsid w:val="00336F14"/>
    <w:rsid w:val="00336FF5"/>
    <w:rsid w:val="00337011"/>
    <w:rsid w:val="003371A8"/>
    <w:rsid w:val="00337255"/>
    <w:rsid w:val="003372F5"/>
    <w:rsid w:val="0033731E"/>
    <w:rsid w:val="0033732A"/>
    <w:rsid w:val="003373BA"/>
    <w:rsid w:val="0033754B"/>
    <w:rsid w:val="003376B7"/>
    <w:rsid w:val="00337776"/>
    <w:rsid w:val="003378BA"/>
    <w:rsid w:val="003378FD"/>
    <w:rsid w:val="00337971"/>
    <w:rsid w:val="00337A17"/>
    <w:rsid w:val="00337AF1"/>
    <w:rsid w:val="00337B80"/>
    <w:rsid w:val="00337BF4"/>
    <w:rsid w:val="00337C0F"/>
    <w:rsid w:val="00337DE9"/>
    <w:rsid w:val="00337DFD"/>
    <w:rsid w:val="00337E9E"/>
    <w:rsid w:val="00337F96"/>
    <w:rsid w:val="0034004D"/>
    <w:rsid w:val="00340132"/>
    <w:rsid w:val="0034016A"/>
    <w:rsid w:val="003401A0"/>
    <w:rsid w:val="003401F4"/>
    <w:rsid w:val="0034028C"/>
    <w:rsid w:val="00340317"/>
    <w:rsid w:val="003403B2"/>
    <w:rsid w:val="003404B1"/>
    <w:rsid w:val="0034054D"/>
    <w:rsid w:val="0034057F"/>
    <w:rsid w:val="0034065B"/>
    <w:rsid w:val="00340663"/>
    <w:rsid w:val="003406AF"/>
    <w:rsid w:val="0034084F"/>
    <w:rsid w:val="00340A4F"/>
    <w:rsid w:val="00340A92"/>
    <w:rsid w:val="00340C9C"/>
    <w:rsid w:val="00340D2B"/>
    <w:rsid w:val="00340E3F"/>
    <w:rsid w:val="00340EFB"/>
    <w:rsid w:val="0034101C"/>
    <w:rsid w:val="003411CB"/>
    <w:rsid w:val="0034123C"/>
    <w:rsid w:val="003412D7"/>
    <w:rsid w:val="003412F7"/>
    <w:rsid w:val="00341304"/>
    <w:rsid w:val="0034134C"/>
    <w:rsid w:val="003413FA"/>
    <w:rsid w:val="00341458"/>
    <w:rsid w:val="003414D8"/>
    <w:rsid w:val="00341607"/>
    <w:rsid w:val="003416A2"/>
    <w:rsid w:val="003416C0"/>
    <w:rsid w:val="00341934"/>
    <w:rsid w:val="0034194A"/>
    <w:rsid w:val="00341951"/>
    <w:rsid w:val="0034199C"/>
    <w:rsid w:val="00341AA5"/>
    <w:rsid w:val="00341B3E"/>
    <w:rsid w:val="00341B9E"/>
    <w:rsid w:val="00341C27"/>
    <w:rsid w:val="00341C71"/>
    <w:rsid w:val="00341CE0"/>
    <w:rsid w:val="00341D61"/>
    <w:rsid w:val="00341DBB"/>
    <w:rsid w:val="003421BD"/>
    <w:rsid w:val="003422C6"/>
    <w:rsid w:val="003422DA"/>
    <w:rsid w:val="0034237E"/>
    <w:rsid w:val="0034256F"/>
    <w:rsid w:val="003426AA"/>
    <w:rsid w:val="003428A4"/>
    <w:rsid w:val="0034294A"/>
    <w:rsid w:val="00342959"/>
    <w:rsid w:val="003429B4"/>
    <w:rsid w:val="00342A77"/>
    <w:rsid w:val="00342C0B"/>
    <w:rsid w:val="00342C34"/>
    <w:rsid w:val="00342C53"/>
    <w:rsid w:val="00342C78"/>
    <w:rsid w:val="00342D16"/>
    <w:rsid w:val="00342D23"/>
    <w:rsid w:val="00342F0C"/>
    <w:rsid w:val="00342F18"/>
    <w:rsid w:val="00342F68"/>
    <w:rsid w:val="00342F89"/>
    <w:rsid w:val="003431BA"/>
    <w:rsid w:val="0034324C"/>
    <w:rsid w:val="003434E7"/>
    <w:rsid w:val="003435B4"/>
    <w:rsid w:val="00343816"/>
    <w:rsid w:val="00343882"/>
    <w:rsid w:val="003438B8"/>
    <w:rsid w:val="003439B4"/>
    <w:rsid w:val="00343A0B"/>
    <w:rsid w:val="00343A4B"/>
    <w:rsid w:val="00343AD3"/>
    <w:rsid w:val="00343AE2"/>
    <w:rsid w:val="00343D35"/>
    <w:rsid w:val="00343D78"/>
    <w:rsid w:val="00343DA0"/>
    <w:rsid w:val="00343DF4"/>
    <w:rsid w:val="00343E46"/>
    <w:rsid w:val="00343F16"/>
    <w:rsid w:val="00343F74"/>
    <w:rsid w:val="00344047"/>
    <w:rsid w:val="0034408F"/>
    <w:rsid w:val="00344234"/>
    <w:rsid w:val="00344340"/>
    <w:rsid w:val="003443B4"/>
    <w:rsid w:val="003443F4"/>
    <w:rsid w:val="003446BF"/>
    <w:rsid w:val="00344793"/>
    <w:rsid w:val="0034481A"/>
    <w:rsid w:val="00344846"/>
    <w:rsid w:val="003449BF"/>
    <w:rsid w:val="00344BA9"/>
    <w:rsid w:val="00344C72"/>
    <w:rsid w:val="00344CC2"/>
    <w:rsid w:val="00344D36"/>
    <w:rsid w:val="00344DF8"/>
    <w:rsid w:val="00344EDA"/>
    <w:rsid w:val="00344F47"/>
    <w:rsid w:val="00344FC2"/>
    <w:rsid w:val="003451BC"/>
    <w:rsid w:val="003451DD"/>
    <w:rsid w:val="003451E2"/>
    <w:rsid w:val="0034524F"/>
    <w:rsid w:val="00345254"/>
    <w:rsid w:val="0034526A"/>
    <w:rsid w:val="00345532"/>
    <w:rsid w:val="00345542"/>
    <w:rsid w:val="00345628"/>
    <w:rsid w:val="003456F1"/>
    <w:rsid w:val="00345746"/>
    <w:rsid w:val="003457A8"/>
    <w:rsid w:val="003457D5"/>
    <w:rsid w:val="003458BF"/>
    <w:rsid w:val="00345AA9"/>
    <w:rsid w:val="00345B96"/>
    <w:rsid w:val="00345C2D"/>
    <w:rsid w:val="00345CEB"/>
    <w:rsid w:val="00345D6C"/>
    <w:rsid w:val="00345E41"/>
    <w:rsid w:val="00345E56"/>
    <w:rsid w:val="00345EB2"/>
    <w:rsid w:val="00345EC9"/>
    <w:rsid w:val="00345F6A"/>
    <w:rsid w:val="00346020"/>
    <w:rsid w:val="003460C6"/>
    <w:rsid w:val="003460F0"/>
    <w:rsid w:val="003462A7"/>
    <w:rsid w:val="003463C1"/>
    <w:rsid w:val="003466DD"/>
    <w:rsid w:val="00346713"/>
    <w:rsid w:val="003467E5"/>
    <w:rsid w:val="00346806"/>
    <w:rsid w:val="003468C4"/>
    <w:rsid w:val="003469F4"/>
    <w:rsid w:val="00346A2E"/>
    <w:rsid w:val="00346B79"/>
    <w:rsid w:val="00346DA2"/>
    <w:rsid w:val="00346F51"/>
    <w:rsid w:val="00347071"/>
    <w:rsid w:val="00347082"/>
    <w:rsid w:val="003470D8"/>
    <w:rsid w:val="003472EF"/>
    <w:rsid w:val="003473C9"/>
    <w:rsid w:val="0034741A"/>
    <w:rsid w:val="003475C8"/>
    <w:rsid w:val="003475FC"/>
    <w:rsid w:val="00347613"/>
    <w:rsid w:val="00347763"/>
    <w:rsid w:val="003477AC"/>
    <w:rsid w:val="003477DC"/>
    <w:rsid w:val="00347837"/>
    <w:rsid w:val="003478A2"/>
    <w:rsid w:val="003478FF"/>
    <w:rsid w:val="00347985"/>
    <w:rsid w:val="003479D2"/>
    <w:rsid w:val="00347AA9"/>
    <w:rsid w:val="00347AB3"/>
    <w:rsid w:val="00347B7C"/>
    <w:rsid w:val="00347BD9"/>
    <w:rsid w:val="00347C58"/>
    <w:rsid w:val="00347CD0"/>
    <w:rsid w:val="00347D19"/>
    <w:rsid w:val="00347D55"/>
    <w:rsid w:val="00347D69"/>
    <w:rsid w:val="00347D6E"/>
    <w:rsid w:val="00347E39"/>
    <w:rsid w:val="00347EBC"/>
    <w:rsid w:val="003500A4"/>
    <w:rsid w:val="003500DD"/>
    <w:rsid w:val="00350178"/>
    <w:rsid w:val="003501B8"/>
    <w:rsid w:val="00350239"/>
    <w:rsid w:val="0035028F"/>
    <w:rsid w:val="003502BF"/>
    <w:rsid w:val="0035043B"/>
    <w:rsid w:val="0035058C"/>
    <w:rsid w:val="00350802"/>
    <w:rsid w:val="00350A41"/>
    <w:rsid w:val="00350A89"/>
    <w:rsid w:val="00350C37"/>
    <w:rsid w:val="00350D89"/>
    <w:rsid w:val="00350DDA"/>
    <w:rsid w:val="00350DE9"/>
    <w:rsid w:val="00350FA2"/>
    <w:rsid w:val="00351074"/>
    <w:rsid w:val="00351097"/>
    <w:rsid w:val="003513D5"/>
    <w:rsid w:val="00351463"/>
    <w:rsid w:val="00351724"/>
    <w:rsid w:val="003517A1"/>
    <w:rsid w:val="003517E1"/>
    <w:rsid w:val="0035181B"/>
    <w:rsid w:val="0035197D"/>
    <w:rsid w:val="00351A52"/>
    <w:rsid w:val="00351AEB"/>
    <w:rsid w:val="00351C50"/>
    <w:rsid w:val="00351C56"/>
    <w:rsid w:val="00351CC1"/>
    <w:rsid w:val="00351D86"/>
    <w:rsid w:val="00351DD9"/>
    <w:rsid w:val="00351DF7"/>
    <w:rsid w:val="00351FE2"/>
    <w:rsid w:val="00352039"/>
    <w:rsid w:val="003520C0"/>
    <w:rsid w:val="003520E1"/>
    <w:rsid w:val="00352445"/>
    <w:rsid w:val="00352603"/>
    <w:rsid w:val="0035266B"/>
    <w:rsid w:val="00352712"/>
    <w:rsid w:val="003527B4"/>
    <w:rsid w:val="003527E9"/>
    <w:rsid w:val="00352836"/>
    <w:rsid w:val="003528B6"/>
    <w:rsid w:val="003528EB"/>
    <w:rsid w:val="003529CA"/>
    <w:rsid w:val="00352A94"/>
    <w:rsid w:val="00352AC9"/>
    <w:rsid w:val="00352C38"/>
    <w:rsid w:val="00352C3A"/>
    <w:rsid w:val="00352C58"/>
    <w:rsid w:val="00352D4E"/>
    <w:rsid w:val="00352EA5"/>
    <w:rsid w:val="00352F72"/>
    <w:rsid w:val="003530BA"/>
    <w:rsid w:val="00353225"/>
    <w:rsid w:val="003532F0"/>
    <w:rsid w:val="003533EC"/>
    <w:rsid w:val="00353495"/>
    <w:rsid w:val="003534E4"/>
    <w:rsid w:val="00353512"/>
    <w:rsid w:val="003535C1"/>
    <w:rsid w:val="00353788"/>
    <w:rsid w:val="003537E1"/>
    <w:rsid w:val="00353830"/>
    <w:rsid w:val="0035393A"/>
    <w:rsid w:val="00353A50"/>
    <w:rsid w:val="00353A8C"/>
    <w:rsid w:val="00353B0C"/>
    <w:rsid w:val="00353B2E"/>
    <w:rsid w:val="00353CD5"/>
    <w:rsid w:val="00353D0D"/>
    <w:rsid w:val="00353D40"/>
    <w:rsid w:val="00353E64"/>
    <w:rsid w:val="00353F35"/>
    <w:rsid w:val="00353FE7"/>
    <w:rsid w:val="003540E1"/>
    <w:rsid w:val="003540E5"/>
    <w:rsid w:val="003541C6"/>
    <w:rsid w:val="0035422D"/>
    <w:rsid w:val="00354252"/>
    <w:rsid w:val="00354257"/>
    <w:rsid w:val="00354341"/>
    <w:rsid w:val="00354396"/>
    <w:rsid w:val="003543A3"/>
    <w:rsid w:val="00354444"/>
    <w:rsid w:val="0035459B"/>
    <w:rsid w:val="0035466A"/>
    <w:rsid w:val="003546A0"/>
    <w:rsid w:val="00354734"/>
    <w:rsid w:val="003547D6"/>
    <w:rsid w:val="00354A9C"/>
    <w:rsid w:val="00354AF8"/>
    <w:rsid w:val="00354E67"/>
    <w:rsid w:val="00354ECB"/>
    <w:rsid w:val="00354EE6"/>
    <w:rsid w:val="00354F0D"/>
    <w:rsid w:val="00354FB2"/>
    <w:rsid w:val="0035506B"/>
    <w:rsid w:val="003550AC"/>
    <w:rsid w:val="0035527B"/>
    <w:rsid w:val="003553A2"/>
    <w:rsid w:val="00355502"/>
    <w:rsid w:val="0035569B"/>
    <w:rsid w:val="0035580D"/>
    <w:rsid w:val="00355960"/>
    <w:rsid w:val="00355964"/>
    <w:rsid w:val="00355A3D"/>
    <w:rsid w:val="00355AEE"/>
    <w:rsid w:val="00355DEF"/>
    <w:rsid w:val="00355E41"/>
    <w:rsid w:val="00355E8C"/>
    <w:rsid w:val="00355ED8"/>
    <w:rsid w:val="00356043"/>
    <w:rsid w:val="0035607D"/>
    <w:rsid w:val="00356151"/>
    <w:rsid w:val="00356176"/>
    <w:rsid w:val="003561C5"/>
    <w:rsid w:val="0035621B"/>
    <w:rsid w:val="0035625D"/>
    <w:rsid w:val="0035649E"/>
    <w:rsid w:val="003565B5"/>
    <w:rsid w:val="00356802"/>
    <w:rsid w:val="0035685E"/>
    <w:rsid w:val="003568CE"/>
    <w:rsid w:val="003568EC"/>
    <w:rsid w:val="00356950"/>
    <w:rsid w:val="003569A0"/>
    <w:rsid w:val="00356A2E"/>
    <w:rsid w:val="00356A48"/>
    <w:rsid w:val="00356A95"/>
    <w:rsid w:val="00356AB3"/>
    <w:rsid w:val="00356ABF"/>
    <w:rsid w:val="00356B41"/>
    <w:rsid w:val="00356E02"/>
    <w:rsid w:val="00356E91"/>
    <w:rsid w:val="00356E9D"/>
    <w:rsid w:val="00356F91"/>
    <w:rsid w:val="003570C0"/>
    <w:rsid w:val="0035712C"/>
    <w:rsid w:val="003571A6"/>
    <w:rsid w:val="003571CE"/>
    <w:rsid w:val="00357223"/>
    <w:rsid w:val="003572EC"/>
    <w:rsid w:val="003573D2"/>
    <w:rsid w:val="003573E8"/>
    <w:rsid w:val="00357599"/>
    <w:rsid w:val="003575AA"/>
    <w:rsid w:val="003575C5"/>
    <w:rsid w:val="00357773"/>
    <w:rsid w:val="003577A8"/>
    <w:rsid w:val="0035783B"/>
    <w:rsid w:val="00357851"/>
    <w:rsid w:val="0035787F"/>
    <w:rsid w:val="003578E5"/>
    <w:rsid w:val="003579BD"/>
    <w:rsid w:val="003579E0"/>
    <w:rsid w:val="00357AD8"/>
    <w:rsid w:val="00357B23"/>
    <w:rsid w:val="00357B26"/>
    <w:rsid w:val="00357B2C"/>
    <w:rsid w:val="00357B75"/>
    <w:rsid w:val="00357BA3"/>
    <w:rsid w:val="00357C07"/>
    <w:rsid w:val="00357C4B"/>
    <w:rsid w:val="00357C50"/>
    <w:rsid w:val="00357CD4"/>
    <w:rsid w:val="00357E0A"/>
    <w:rsid w:val="00357F8E"/>
    <w:rsid w:val="00360163"/>
    <w:rsid w:val="00360320"/>
    <w:rsid w:val="003603CA"/>
    <w:rsid w:val="00360436"/>
    <w:rsid w:val="00360437"/>
    <w:rsid w:val="003604EE"/>
    <w:rsid w:val="00360546"/>
    <w:rsid w:val="0036054B"/>
    <w:rsid w:val="00360553"/>
    <w:rsid w:val="003606BF"/>
    <w:rsid w:val="003606F7"/>
    <w:rsid w:val="0036072B"/>
    <w:rsid w:val="00360BA6"/>
    <w:rsid w:val="00360C5C"/>
    <w:rsid w:val="00360D17"/>
    <w:rsid w:val="00360D18"/>
    <w:rsid w:val="00360F44"/>
    <w:rsid w:val="00360FFB"/>
    <w:rsid w:val="0036102F"/>
    <w:rsid w:val="00361042"/>
    <w:rsid w:val="00361044"/>
    <w:rsid w:val="003610FB"/>
    <w:rsid w:val="003611CD"/>
    <w:rsid w:val="00361337"/>
    <w:rsid w:val="003613A7"/>
    <w:rsid w:val="003613F6"/>
    <w:rsid w:val="00361470"/>
    <w:rsid w:val="003614DB"/>
    <w:rsid w:val="00361768"/>
    <w:rsid w:val="003617B1"/>
    <w:rsid w:val="003617FE"/>
    <w:rsid w:val="0036183B"/>
    <w:rsid w:val="00361886"/>
    <w:rsid w:val="00361898"/>
    <w:rsid w:val="00361BE0"/>
    <w:rsid w:val="00361CF4"/>
    <w:rsid w:val="00361DDC"/>
    <w:rsid w:val="00361F30"/>
    <w:rsid w:val="00361F76"/>
    <w:rsid w:val="00361F7B"/>
    <w:rsid w:val="00361FFB"/>
    <w:rsid w:val="00362003"/>
    <w:rsid w:val="0036208E"/>
    <w:rsid w:val="00362090"/>
    <w:rsid w:val="003620E5"/>
    <w:rsid w:val="00362130"/>
    <w:rsid w:val="00362135"/>
    <w:rsid w:val="003622A4"/>
    <w:rsid w:val="00362338"/>
    <w:rsid w:val="00362376"/>
    <w:rsid w:val="00362384"/>
    <w:rsid w:val="00362394"/>
    <w:rsid w:val="003623E7"/>
    <w:rsid w:val="0036241B"/>
    <w:rsid w:val="003624AB"/>
    <w:rsid w:val="003624EB"/>
    <w:rsid w:val="003625C2"/>
    <w:rsid w:val="0036269E"/>
    <w:rsid w:val="003626F8"/>
    <w:rsid w:val="00362756"/>
    <w:rsid w:val="0036277E"/>
    <w:rsid w:val="003627DD"/>
    <w:rsid w:val="00362843"/>
    <w:rsid w:val="00362854"/>
    <w:rsid w:val="0036295E"/>
    <w:rsid w:val="0036297D"/>
    <w:rsid w:val="003629F6"/>
    <w:rsid w:val="00362A69"/>
    <w:rsid w:val="00362AD6"/>
    <w:rsid w:val="00362BC7"/>
    <w:rsid w:val="00362CDE"/>
    <w:rsid w:val="00362D49"/>
    <w:rsid w:val="00362F4C"/>
    <w:rsid w:val="00362F8D"/>
    <w:rsid w:val="00362FE9"/>
    <w:rsid w:val="00363077"/>
    <w:rsid w:val="00363088"/>
    <w:rsid w:val="003630F7"/>
    <w:rsid w:val="003631A9"/>
    <w:rsid w:val="00363266"/>
    <w:rsid w:val="003633D0"/>
    <w:rsid w:val="00363470"/>
    <w:rsid w:val="003634D2"/>
    <w:rsid w:val="00363552"/>
    <w:rsid w:val="00363749"/>
    <w:rsid w:val="00363A3C"/>
    <w:rsid w:val="00363A83"/>
    <w:rsid w:val="00363B4A"/>
    <w:rsid w:val="00363C14"/>
    <w:rsid w:val="00363D50"/>
    <w:rsid w:val="00363D9F"/>
    <w:rsid w:val="00363DC4"/>
    <w:rsid w:val="00363E5A"/>
    <w:rsid w:val="00364106"/>
    <w:rsid w:val="0036428A"/>
    <w:rsid w:val="003642E2"/>
    <w:rsid w:val="003642E8"/>
    <w:rsid w:val="0036437B"/>
    <w:rsid w:val="003643E8"/>
    <w:rsid w:val="003644B2"/>
    <w:rsid w:val="00364579"/>
    <w:rsid w:val="0036461B"/>
    <w:rsid w:val="003646B2"/>
    <w:rsid w:val="003646DB"/>
    <w:rsid w:val="0036487F"/>
    <w:rsid w:val="00364881"/>
    <w:rsid w:val="00364912"/>
    <w:rsid w:val="003649C3"/>
    <w:rsid w:val="003649D9"/>
    <w:rsid w:val="003649E8"/>
    <w:rsid w:val="00364B0C"/>
    <w:rsid w:val="00364C05"/>
    <w:rsid w:val="00364C4D"/>
    <w:rsid w:val="00364CDA"/>
    <w:rsid w:val="00364D7E"/>
    <w:rsid w:val="00364E54"/>
    <w:rsid w:val="00364F2A"/>
    <w:rsid w:val="00364F54"/>
    <w:rsid w:val="00364F83"/>
    <w:rsid w:val="00365017"/>
    <w:rsid w:val="00365049"/>
    <w:rsid w:val="00365161"/>
    <w:rsid w:val="0036521E"/>
    <w:rsid w:val="00365254"/>
    <w:rsid w:val="00365331"/>
    <w:rsid w:val="0036533D"/>
    <w:rsid w:val="003653A4"/>
    <w:rsid w:val="00365428"/>
    <w:rsid w:val="00365534"/>
    <w:rsid w:val="003655B4"/>
    <w:rsid w:val="003658D9"/>
    <w:rsid w:val="003659A9"/>
    <w:rsid w:val="003659EA"/>
    <w:rsid w:val="00365B12"/>
    <w:rsid w:val="00365CC9"/>
    <w:rsid w:val="00365CD3"/>
    <w:rsid w:val="00365D32"/>
    <w:rsid w:val="00365FB8"/>
    <w:rsid w:val="00366037"/>
    <w:rsid w:val="0036605A"/>
    <w:rsid w:val="00366234"/>
    <w:rsid w:val="00366288"/>
    <w:rsid w:val="00366392"/>
    <w:rsid w:val="00366479"/>
    <w:rsid w:val="00366664"/>
    <w:rsid w:val="0036670F"/>
    <w:rsid w:val="00366726"/>
    <w:rsid w:val="0036675D"/>
    <w:rsid w:val="003668AB"/>
    <w:rsid w:val="00366B93"/>
    <w:rsid w:val="00366BA8"/>
    <w:rsid w:val="00366D08"/>
    <w:rsid w:val="00366D50"/>
    <w:rsid w:val="00366DAC"/>
    <w:rsid w:val="00366DB3"/>
    <w:rsid w:val="00366E58"/>
    <w:rsid w:val="00366F16"/>
    <w:rsid w:val="00367173"/>
    <w:rsid w:val="00367178"/>
    <w:rsid w:val="00367292"/>
    <w:rsid w:val="003672EA"/>
    <w:rsid w:val="00367376"/>
    <w:rsid w:val="00367435"/>
    <w:rsid w:val="00367514"/>
    <w:rsid w:val="0036761F"/>
    <w:rsid w:val="0036763F"/>
    <w:rsid w:val="0036768F"/>
    <w:rsid w:val="003676E0"/>
    <w:rsid w:val="0036783A"/>
    <w:rsid w:val="00367896"/>
    <w:rsid w:val="003678F0"/>
    <w:rsid w:val="003679C6"/>
    <w:rsid w:val="00367A33"/>
    <w:rsid w:val="00367A3F"/>
    <w:rsid w:val="00367A83"/>
    <w:rsid w:val="00367B4D"/>
    <w:rsid w:val="00367F98"/>
    <w:rsid w:val="00367FFD"/>
    <w:rsid w:val="00370005"/>
    <w:rsid w:val="00370028"/>
    <w:rsid w:val="0037015C"/>
    <w:rsid w:val="003702D9"/>
    <w:rsid w:val="003702F0"/>
    <w:rsid w:val="0037034D"/>
    <w:rsid w:val="003703A8"/>
    <w:rsid w:val="003703CF"/>
    <w:rsid w:val="003705FF"/>
    <w:rsid w:val="00370618"/>
    <w:rsid w:val="0037062A"/>
    <w:rsid w:val="003706FE"/>
    <w:rsid w:val="00370764"/>
    <w:rsid w:val="003707D6"/>
    <w:rsid w:val="00370867"/>
    <w:rsid w:val="003709B6"/>
    <w:rsid w:val="00370A2C"/>
    <w:rsid w:val="00370A6C"/>
    <w:rsid w:val="00370B4E"/>
    <w:rsid w:val="00370B99"/>
    <w:rsid w:val="00370BF2"/>
    <w:rsid w:val="00370C11"/>
    <w:rsid w:val="00370F23"/>
    <w:rsid w:val="00370FFA"/>
    <w:rsid w:val="00371060"/>
    <w:rsid w:val="003710DB"/>
    <w:rsid w:val="003710DD"/>
    <w:rsid w:val="00371150"/>
    <w:rsid w:val="00371189"/>
    <w:rsid w:val="003711E9"/>
    <w:rsid w:val="00371285"/>
    <w:rsid w:val="003713D1"/>
    <w:rsid w:val="003713E1"/>
    <w:rsid w:val="00371445"/>
    <w:rsid w:val="0037148F"/>
    <w:rsid w:val="003714FF"/>
    <w:rsid w:val="0037153C"/>
    <w:rsid w:val="00371617"/>
    <w:rsid w:val="00371650"/>
    <w:rsid w:val="003716CE"/>
    <w:rsid w:val="00371770"/>
    <w:rsid w:val="003718A8"/>
    <w:rsid w:val="003718B2"/>
    <w:rsid w:val="00371B09"/>
    <w:rsid w:val="00371F96"/>
    <w:rsid w:val="00371FBE"/>
    <w:rsid w:val="00371FCB"/>
    <w:rsid w:val="00371FFB"/>
    <w:rsid w:val="0037207A"/>
    <w:rsid w:val="0037222C"/>
    <w:rsid w:val="0037227A"/>
    <w:rsid w:val="003724D9"/>
    <w:rsid w:val="0037252E"/>
    <w:rsid w:val="00372676"/>
    <w:rsid w:val="0037272E"/>
    <w:rsid w:val="0037279B"/>
    <w:rsid w:val="003728F2"/>
    <w:rsid w:val="00372909"/>
    <w:rsid w:val="00372A32"/>
    <w:rsid w:val="00372AF7"/>
    <w:rsid w:val="00372CF6"/>
    <w:rsid w:val="00372D94"/>
    <w:rsid w:val="00372E0B"/>
    <w:rsid w:val="00372E0F"/>
    <w:rsid w:val="00372E98"/>
    <w:rsid w:val="00372EDA"/>
    <w:rsid w:val="00372F31"/>
    <w:rsid w:val="00372F5B"/>
    <w:rsid w:val="00372FA9"/>
    <w:rsid w:val="003732A2"/>
    <w:rsid w:val="003732D6"/>
    <w:rsid w:val="00373398"/>
    <w:rsid w:val="00373426"/>
    <w:rsid w:val="0037346E"/>
    <w:rsid w:val="0037363B"/>
    <w:rsid w:val="0037369C"/>
    <w:rsid w:val="003736A6"/>
    <w:rsid w:val="003736E2"/>
    <w:rsid w:val="00373743"/>
    <w:rsid w:val="00373B9D"/>
    <w:rsid w:val="00373BF3"/>
    <w:rsid w:val="00373CBB"/>
    <w:rsid w:val="00373DA7"/>
    <w:rsid w:val="00373E2A"/>
    <w:rsid w:val="00373E9E"/>
    <w:rsid w:val="00373F1E"/>
    <w:rsid w:val="00373FA6"/>
    <w:rsid w:val="0037400F"/>
    <w:rsid w:val="0037402D"/>
    <w:rsid w:val="00374169"/>
    <w:rsid w:val="00374223"/>
    <w:rsid w:val="00374265"/>
    <w:rsid w:val="003742E3"/>
    <w:rsid w:val="003743AF"/>
    <w:rsid w:val="003743FD"/>
    <w:rsid w:val="00374473"/>
    <w:rsid w:val="00374481"/>
    <w:rsid w:val="003744B8"/>
    <w:rsid w:val="003744C6"/>
    <w:rsid w:val="00374632"/>
    <w:rsid w:val="003746A9"/>
    <w:rsid w:val="00374745"/>
    <w:rsid w:val="003747D5"/>
    <w:rsid w:val="003748B4"/>
    <w:rsid w:val="003749CE"/>
    <w:rsid w:val="00374F09"/>
    <w:rsid w:val="003750E2"/>
    <w:rsid w:val="003750E6"/>
    <w:rsid w:val="00375540"/>
    <w:rsid w:val="003755A3"/>
    <w:rsid w:val="003755EE"/>
    <w:rsid w:val="00375753"/>
    <w:rsid w:val="00375812"/>
    <w:rsid w:val="00375907"/>
    <w:rsid w:val="00375944"/>
    <w:rsid w:val="00375993"/>
    <w:rsid w:val="00375BB8"/>
    <w:rsid w:val="00375BC3"/>
    <w:rsid w:val="00375BF8"/>
    <w:rsid w:val="00375D25"/>
    <w:rsid w:val="00375D37"/>
    <w:rsid w:val="00375DE3"/>
    <w:rsid w:val="00375EDC"/>
    <w:rsid w:val="00375F34"/>
    <w:rsid w:val="00375F86"/>
    <w:rsid w:val="003761B1"/>
    <w:rsid w:val="003761DE"/>
    <w:rsid w:val="003764C9"/>
    <w:rsid w:val="003765C7"/>
    <w:rsid w:val="00376659"/>
    <w:rsid w:val="0037671C"/>
    <w:rsid w:val="00376739"/>
    <w:rsid w:val="0037688E"/>
    <w:rsid w:val="003768FF"/>
    <w:rsid w:val="00376905"/>
    <w:rsid w:val="0037691F"/>
    <w:rsid w:val="00376927"/>
    <w:rsid w:val="00376980"/>
    <w:rsid w:val="003769FA"/>
    <w:rsid w:val="00376A76"/>
    <w:rsid w:val="00376CC2"/>
    <w:rsid w:val="00376DA0"/>
    <w:rsid w:val="00376E67"/>
    <w:rsid w:val="0037700F"/>
    <w:rsid w:val="00377092"/>
    <w:rsid w:val="003770AA"/>
    <w:rsid w:val="00377100"/>
    <w:rsid w:val="0037710A"/>
    <w:rsid w:val="0037726A"/>
    <w:rsid w:val="003772D6"/>
    <w:rsid w:val="00377396"/>
    <w:rsid w:val="00377492"/>
    <w:rsid w:val="003775EC"/>
    <w:rsid w:val="00377624"/>
    <w:rsid w:val="0037763F"/>
    <w:rsid w:val="0037769F"/>
    <w:rsid w:val="00377704"/>
    <w:rsid w:val="0037797B"/>
    <w:rsid w:val="003779B9"/>
    <w:rsid w:val="003779D0"/>
    <w:rsid w:val="00377A99"/>
    <w:rsid w:val="00377C66"/>
    <w:rsid w:val="00377E70"/>
    <w:rsid w:val="00377FE3"/>
    <w:rsid w:val="00380005"/>
    <w:rsid w:val="0038001E"/>
    <w:rsid w:val="0038007C"/>
    <w:rsid w:val="0038007E"/>
    <w:rsid w:val="00380086"/>
    <w:rsid w:val="0038011F"/>
    <w:rsid w:val="0038018B"/>
    <w:rsid w:val="003801F9"/>
    <w:rsid w:val="0038029E"/>
    <w:rsid w:val="003802DB"/>
    <w:rsid w:val="003802FE"/>
    <w:rsid w:val="0038034F"/>
    <w:rsid w:val="0038047E"/>
    <w:rsid w:val="00380487"/>
    <w:rsid w:val="0038066D"/>
    <w:rsid w:val="0038087C"/>
    <w:rsid w:val="00380989"/>
    <w:rsid w:val="00380ABA"/>
    <w:rsid w:val="00380AE1"/>
    <w:rsid w:val="00380B30"/>
    <w:rsid w:val="00380C2B"/>
    <w:rsid w:val="00380E14"/>
    <w:rsid w:val="00380E7D"/>
    <w:rsid w:val="00380E87"/>
    <w:rsid w:val="00380EA1"/>
    <w:rsid w:val="00380F1A"/>
    <w:rsid w:val="00380FC8"/>
    <w:rsid w:val="003811C0"/>
    <w:rsid w:val="003812B3"/>
    <w:rsid w:val="003812BF"/>
    <w:rsid w:val="0038182A"/>
    <w:rsid w:val="00381872"/>
    <w:rsid w:val="00381A59"/>
    <w:rsid w:val="00381B05"/>
    <w:rsid w:val="00381C65"/>
    <w:rsid w:val="00381D3B"/>
    <w:rsid w:val="00381D81"/>
    <w:rsid w:val="00381E78"/>
    <w:rsid w:val="00381EF4"/>
    <w:rsid w:val="00381F10"/>
    <w:rsid w:val="00381F6E"/>
    <w:rsid w:val="003820C0"/>
    <w:rsid w:val="00382127"/>
    <w:rsid w:val="0038225E"/>
    <w:rsid w:val="003824B0"/>
    <w:rsid w:val="003824DB"/>
    <w:rsid w:val="003824E6"/>
    <w:rsid w:val="003824FF"/>
    <w:rsid w:val="0038250A"/>
    <w:rsid w:val="0038254B"/>
    <w:rsid w:val="00382665"/>
    <w:rsid w:val="00382837"/>
    <w:rsid w:val="00382A38"/>
    <w:rsid w:val="00382A3A"/>
    <w:rsid w:val="00382A90"/>
    <w:rsid w:val="00382A97"/>
    <w:rsid w:val="00382AEE"/>
    <w:rsid w:val="00382BD9"/>
    <w:rsid w:val="00382CE6"/>
    <w:rsid w:val="00382E0D"/>
    <w:rsid w:val="00382E12"/>
    <w:rsid w:val="00382E40"/>
    <w:rsid w:val="00382E5F"/>
    <w:rsid w:val="00382F1D"/>
    <w:rsid w:val="00382FCF"/>
    <w:rsid w:val="003830AC"/>
    <w:rsid w:val="003830B1"/>
    <w:rsid w:val="003830B6"/>
    <w:rsid w:val="003830F0"/>
    <w:rsid w:val="00383216"/>
    <w:rsid w:val="00383399"/>
    <w:rsid w:val="003835C1"/>
    <w:rsid w:val="0038374D"/>
    <w:rsid w:val="0038375B"/>
    <w:rsid w:val="003837CD"/>
    <w:rsid w:val="003838BF"/>
    <w:rsid w:val="00383A49"/>
    <w:rsid w:val="00383A4B"/>
    <w:rsid w:val="00383B0B"/>
    <w:rsid w:val="00383DA7"/>
    <w:rsid w:val="00383E01"/>
    <w:rsid w:val="00383EBD"/>
    <w:rsid w:val="00383F44"/>
    <w:rsid w:val="00383FCF"/>
    <w:rsid w:val="0038408E"/>
    <w:rsid w:val="0038412F"/>
    <w:rsid w:val="0038414E"/>
    <w:rsid w:val="003841D5"/>
    <w:rsid w:val="0038431F"/>
    <w:rsid w:val="00384321"/>
    <w:rsid w:val="00384487"/>
    <w:rsid w:val="0038473E"/>
    <w:rsid w:val="00384742"/>
    <w:rsid w:val="0038498F"/>
    <w:rsid w:val="003849DE"/>
    <w:rsid w:val="00384A2D"/>
    <w:rsid w:val="00384C02"/>
    <w:rsid w:val="00384C14"/>
    <w:rsid w:val="00384C65"/>
    <w:rsid w:val="00384CE5"/>
    <w:rsid w:val="00384CEF"/>
    <w:rsid w:val="00384D56"/>
    <w:rsid w:val="00384E77"/>
    <w:rsid w:val="00384E90"/>
    <w:rsid w:val="0038517F"/>
    <w:rsid w:val="00385250"/>
    <w:rsid w:val="003852AD"/>
    <w:rsid w:val="0038537B"/>
    <w:rsid w:val="0038570D"/>
    <w:rsid w:val="00385728"/>
    <w:rsid w:val="00385771"/>
    <w:rsid w:val="003857A5"/>
    <w:rsid w:val="00385870"/>
    <w:rsid w:val="00385D6F"/>
    <w:rsid w:val="00385F20"/>
    <w:rsid w:val="003862F4"/>
    <w:rsid w:val="00386350"/>
    <w:rsid w:val="00386367"/>
    <w:rsid w:val="003863CE"/>
    <w:rsid w:val="003863F9"/>
    <w:rsid w:val="00386472"/>
    <w:rsid w:val="0038648F"/>
    <w:rsid w:val="003864C4"/>
    <w:rsid w:val="003864CD"/>
    <w:rsid w:val="003865AC"/>
    <w:rsid w:val="003865E4"/>
    <w:rsid w:val="00386610"/>
    <w:rsid w:val="00386673"/>
    <w:rsid w:val="003866AE"/>
    <w:rsid w:val="003866E5"/>
    <w:rsid w:val="003866FB"/>
    <w:rsid w:val="0038675B"/>
    <w:rsid w:val="00386832"/>
    <w:rsid w:val="00386984"/>
    <w:rsid w:val="00386A2D"/>
    <w:rsid w:val="00386A87"/>
    <w:rsid w:val="00386ADB"/>
    <w:rsid w:val="00386B1B"/>
    <w:rsid w:val="00386BEE"/>
    <w:rsid w:val="00386CB2"/>
    <w:rsid w:val="00386D74"/>
    <w:rsid w:val="00386EB9"/>
    <w:rsid w:val="00386FBB"/>
    <w:rsid w:val="0038718B"/>
    <w:rsid w:val="00387262"/>
    <w:rsid w:val="003872D9"/>
    <w:rsid w:val="00387692"/>
    <w:rsid w:val="00387770"/>
    <w:rsid w:val="0038777E"/>
    <w:rsid w:val="003877C8"/>
    <w:rsid w:val="00387805"/>
    <w:rsid w:val="00387921"/>
    <w:rsid w:val="003879BB"/>
    <w:rsid w:val="00387ABE"/>
    <w:rsid w:val="00387B36"/>
    <w:rsid w:val="00387B4D"/>
    <w:rsid w:val="00387BB6"/>
    <w:rsid w:val="00387D1D"/>
    <w:rsid w:val="00387DD7"/>
    <w:rsid w:val="00387DFF"/>
    <w:rsid w:val="00387F2B"/>
    <w:rsid w:val="00387FE8"/>
    <w:rsid w:val="003900AC"/>
    <w:rsid w:val="003900BB"/>
    <w:rsid w:val="00390137"/>
    <w:rsid w:val="0039016F"/>
    <w:rsid w:val="003903CB"/>
    <w:rsid w:val="0039046E"/>
    <w:rsid w:val="00390896"/>
    <w:rsid w:val="003909C5"/>
    <w:rsid w:val="00390AF3"/>
    <w:rsid w:val="00390D7B"/>
    <w:rsid w:val="00390E6F"/>
    <w:rsid w:val="00390ECD"/>
    <w:rsid w:val="00390EE0"/>
    <w:rsid w:val="00391020"/>
    <w:rsid w:val="00391077"/>
    <w:rsid w:val="003911CF"/>
    <w:rsid w:val="00391353"/>
    <w:rsid w:val="003913C9"/>
    <w:rsid w:val="003913DE"/>
    <w:rsid w:val="00391501"/>
    <w:rsid w:val="0039164C"/>
    <w:rsid w:val="00391ACC"/>
    <w:rsid w:val="00391BD4"/>
    <w:rsid w:val="00391BDC"/>
    <w:rsid w:val="00391D06"/>
    <w:rsid w:val="00391E46"/>
    <w:rsid w:val="00391EEA"/>
    <w:rsid w:val="0039207A"/>
    <w:rsid w:val="0039208C"/>
    <w:rsid w:val="0039211C"/>
    <w:rsid w:val="00392260"/>
    <w:rsid w:val="003922D5"/>
    <w:rsid w:val="0039249B"/>
    <w:rsid w:val="00392556"/>
    <w:rsid w:val="0039261E"/>
    <w:rsid w:val="00392651"/>
    <w:rsid w:val="00392670"/>
    <w:rsid w:val="003926A3"/>
    <w:rsid w:val="003926F6"/>
    <w:rsid w:val="00392741"/>
    <w:rsid w:val="00392853"/>
    <w:rsid w:val="003928F7"/>
    <w:rsid w:val="00392A33"/>
    <w:rsid w:val="00392A56"/>
    <w:rsid w:val="00392AA4"/>
    <w:rsid w:val="00392C27"/>
    <w:rsid w:val="00392C9E"/>
    <w:rsid w:val="00392E62"/>
    <w:rsid w:val="00393049"/>
    <w:rsid w:val="00393136"/>
    <w:rsid w:val="0039335A"/>
    <w:rsid w:val="00393440"/>
    <w:rsid w:val="003937C8"/>
    <w:rsid w:val="0039380A"/>
    <w:rsid w:val="00393941"/>
    <w:rsid w:val="00393B0A"/>
    <w:rsid w:val="00393B95"/>
    <w:rsid w:val="00393D65"/>
    <w:rsid w:val="00393DF3"/>
    <w:rsid w:val="00393E2A"/>
    <w:rsid w:val="00393EC0"/>
    <w:rsid w:val="00393F1A"/>
    <w:rsid w:val="00393F3B"/>
    <w:rsid w:val="003941CB"/>
    <w:rsid w:val="003942B6"/>
    <w:rsid w:val="003943AB"/>
    <w:rsid w:val="003947C0"/>
    <w:rsid w:val="00394844"/>
    <w:rsid w:val="00394A27"/>
    <w:rsid w:val="00394DA1"/>
    <w:rsid w:val="00394DDD"/>
    <w:rsid w:val="003950F8"/>
    <w:rsid w:val="00395141"/>
    <w:rsid w:val="003951ED"/>
    <w:rsid w:val="003952C5"/>
    <w:rsid w:val="00395344"/>
    <w:rsid w:val="003953BE"/>
    <w:rsid w:val="003953FF"/>
    <w:rsid w:val="00395434"/>
    <w:rsid w:val="003959C7"/>
    <w:rsid w:val="003959E4"/>
    <w:rsid w:val="00395A41"/>
    <w:rsid w:val="00395AF7"/>
    <w:rsid w:val="00395D22"/>
    <w:rsid w:val="00395E43"/>
    <w:rsid w:val="00395E82"/>
    <w:rsid w:val="00395EF3"/>
    <w:rsid w:val="00395F43"/>
    <w:rsid w:val="00395F46"/>
    <w:rsid w:val="003960CF"/>
    <w:rsid w:val="003960D4"/>
    <w:rsid w:val="003963AB"/>
    <w:rsid w:val="0039646A"/>
    <w:rsid w:val="003964C0"/>
    <w:rsid w:val="003964EC"/>
    <w:rsid w:val="00396552"/>
    <w:rsid w:val="00396556"/>
    <w:rsid w:val="003965D7"/>
    <w:rsid w:val="0039664A"/>
    <w:rsid w:val="0039675B"/>
    <w:rsid w:val="00396830"/>
    <w:rsid w:val="00396863"/>
    <w:rsid w:val="00396A43"/>
    <w:rsid w:val="00396A75"/>
    <w:rsid w:val="00396AE8"/>
    <w:rsid w:val="00396B64"/>
    <w:rsid w:val="00396B76"/>
    <w:rsid w:val="00396C58"/>
    <w:rsid w:val="00396E49"/>
    <w:rsid w:val="00396E95"/>
    <w:rsid w:val="00396F74"/>
    <w:rsid w:val="00397037"/>
    <w:rsid w:val="003970FF"/>
    <w:rsid w:val="00397255"/>
    <w:rsid w:val="003972E7"/>
    <w:rsid w:val="0039737E"/>
    <w:rsid w:val="0039737F"/>
    <w:rsid w:val="003973B5"/>
    <w:rsid w:val="003974F8"/>
    <w:rsid w:val="00397658"/>
    <w:rsid w:val="003976D2"/>
    <w:rsid w:val="00397719"/>
    <w:rsid w:val="0039794E"/>
    <w:rsid w:val="00397C93"/>
    <w:rsid w:val="00397CB1"/>
    <w:rsid w:val="00397CDE"/>
    <w:rsid w:val="00397E40"/>
    <w:rsid w:val="00397E65"/>
    <w:rsid w:val="00397ED8"/>
    <w:rsid w:val="00397EE3"/>
    <w:rsid w:val="00397FA0"/>
    <w:rsid w:val="003A00D9"/>
    <w:rsid w:val="003A01CA"/>
    <w:rsid w:val="003A01DB"/>
    <w:rsid w:val="003A0201"/>
    <w:rsid w:val="003A0491"/>
    <w:rsid w:val="003A04D4"/>
    <w:rsid w:val="003A0520"/>
    <w:rsid w:val="003A0713"/>
    <w:rsid w:val="003A074C"/>
    <w:rsid w:val="003A0959"/>
    <w:rsid w:val="003A0B40"/>
    <w:rsid w:val="003A0B45"/>
    <w:rsid w:val="003A0B71"/>
    <w:rsid w:val="003A0B9F"/>
    <w:rsid w:val="003A0C2A"/>
    <w:rsid w:val="003A0DEC"/>
    <w:rsid w:val="003A0E0C"/>
    <w:rsid w:val="003A0FCD"/>
    <w:rsid w:val="003A105E"/>
    <w:rsid w:val="003A12A2"/>
    <w:rsid w:val="003A1371"/>
    <w:rsid w:val="003A1421"/>
    <w:rsid w:val="003A14DD"/>
    <w:rsid w:val="003A153E"/>
    <w:rsid w:val="003A166C"/>
    <w:rsid w:val="003A16E1"/>
    <w:rsid w:val="003A193C"/>
    <w:rsid w:val="003A1951"/>
    <w:rsid w:val="003A19C4"/>
    <w:rsid w:val="003A1A4B"/>
    <w:rsid w:val="003A1AF5"/>
    <w:rsid w:val="003A1AFC"/>
    <w:rsid w:val="003A1C06"/>
    <w:rsid w:val="003A1CED"/>
    <w:rsid w:val="003A1E7F"/>
    <w:rsid w:val="003A1F22"/>
    <w:rsid w:val="003A1FEA"/>
    <w:rsid w:val="003A200C"/>
    <w:rsid w:val="003A20DC"/>
    <w:rsid w:val="003A22A2"/>
    <w:rsid w:val="003A23D3"/>
    <w:rsid w:val="003A2437"/>
    <w:rsid w:val="003A2476"/>
    <w:rsid w:val="003A2525"/>
    <w:rsid w:val="003A252C"/>
    <w:rsid w:val="003A258E"/>
    <w:rsid w:val="003A2619"/>
    <w:rsid w:val="003A266B"/>
    <w:rsid w:val="003A27CC"/>
    <w:rsid w:val="003A2819"/>
    <w:rsid w:val="003A2829"/>
    <w:rsid w:val="003A2836"/>
    <w:rsid w:val="003A2862"/>
    <w:rsid w:val="003A2885"/>
    <w:rsid w:val="003A2A40"/>
    <w:rsid w:val="003A2ADA"/>
    <w:rsid w:val="003A2B40"/>
    <w:rsid w:val="003A2BAB"/>
    <w:rsid w:val="003A2BFC"/>
    <w:rsid w:val="003A2C37"/>
    <w:rsid w:val="003A2C3B"/>
    <w:rsid w:val="003A2D04"/>
    <w:rsid w:val="003A2E01"/>
    <w:rsid w:val="003A301F"/>
    <w:rsid w:val="003A3090"/>
    <w:rsid w:val="003A32BF"/>
    <w:rsid w:val="003A32F8"/>
    <w:rsid w:val="003A3338"/>
    <w:rsid w:val="003A333A"/>
    <w:rsid w:val="003A33C7"/>
    <w:rsid w:val="003A3483"/>
    <w:rsid w:val="003A34AF"/>
    <w:rsid w:val="003A34B6"/>
    <w:rsid w:val="003A3540"/>
    <w:rsid w:val="003A3648"/>
    <w:rsid w:val="003A365C"/>
    <w:rsid w:val="003A3840"/>
    <w:rsid w:val="003A38AE"/>
    <w:rsid w:val="003A3931"/>
    <w:rsid w:val="003A3BD1"/>
    <w:rsid w:val="003A3CF2"/>
    <w:rsid w:val="003A3E4E"/>
    <w:rsid w:val="003A3E94"/>
    <w:rsid w:val="003A3F06"/>
    <w:rsid w:val="003A4041"/>
    <w:rsid w:val="003A4154"/>
    <w:rsid w:val="003A41A1"/>
    <w:rsid w:val="003A421A"/>
    <w:rsid w:val="003A42C8"/>
    <w:rsid w:val="003A44CD"/>
    <w:rsid w:val="003A45E8"/>
    <w:rsid w:val="003A4695"/>
    <w:rsid w:val="003A46BD"/>
    <w:rsid w:val="003A471B"/>
    <w:rsid w:val="003A47C7"/>
    <w:rsid w:val="003A48CC"/>
    <w:rsid w:val="003A493B"/>
    <w:rsid w:val="003A49C6"/>
    <w:rsid w:val="003A4A32"/>
    <w:rsid w:val="003A4ADB"/>
    <w:rsid w:val="003A4B56"/>
    <w:rsid w:val="003A4C28"/>
    <w:rsid w:val="003A4CCF"/>
    <w:rsid w:val="003A4D60"/>
    <w:rsid w:val="003A4E87"/>
    <w:rsid w:val="003A4F21"/>
    <w:rsid w:val="003A4F8A"/>
    <w:rsid w:val="003A4FA1"/>
    <w:rsid w:val="003A50B3"/>
    <w:rsid w:val="003A50C9"/>
    <w:rsid w:val="003A50F3"/>
    <w:rsid w:val="003A5416"/>
    <w:rsid w:val="003A55C6"/>
    <w:rsid w:val="003A5615"/>
    <w:rsid w:val="003A568A"/>
    <w:rsid w:val="003A56A9"/>
    <w:rsid w:val="003A573D"/>
    <w:rsid w:val="003A57B0"/>
    <w:rsid w:val="003A58F8"/>
    <w:rsid w:val="003A593B"/>
    <w:rsid w:val="003A5A8B"/>
    <w:rsid w:val="003A5AFD"/>
    <w:rsid w:val="003A5B7F"/>
    <w:rsid w:val="003A5BBD"/>
    <w:rsid w:val="003A5BE5"/>
    <w:rsid w:val="003A5C9E"/>
    <w:rsid w:val="003A5CDC"/>
    <w:rsid w:val="003A5CF3"/>
    <w:rsid w:val="003A5D4E"/>
    <w:rsid w:val="003A5D8B"/>
    <w:rsid w:val="003A6006"/>
    <w:rsid w:val="003A6087"/>
    <w:rsid w:val="003A6102"/>
    <w:rsid w:val="003A617D"/>
    <w:rsid w:val="003A617E"/>
    <w:rsid w:val="003A625B"/>
    <w:rsid w:val="003A62E3"/>
    <w:rsid w:val="003A6380"/>
    <w:rsid w:val="003A6439"/>
    <w:rsid w:val="003A646A"/>
    <w:rsid w:val="003A648E"/>
    <w:rsid w:val="003A6527"/>
    <w:rsid w:val="003A6669"/>
    <w:rsid w:val="003A66C5"/>
    <w:rsid w:val="003A6735"/>
    <w:rsid w:val="003A68F5"/>
    <w:rsid w:val="003A6963"/>
    <w:rsid w:val="003A696F"/>
    <w:rsid w:val="003A6A86"/>
    <w:rsid w:val="003A6B2D"/>
    <w:rsid w:val="003A6B9E"/>
    <w:rsid w:val="003A6BF7"/>
    <w:rsid w:val="003A6BFA"/>
    <w:rsid w:val="003A6E39"/>
    <w:rsid w:val="003A6FF1"/>
    <w:rsid w:val="003A6FF9"/>
    <w:rsid w:val="003A71EA"/>
    <w:rsid w:val="003A7209"/>
    <w:rsid w:val="003A7254"/>
    <w:rsid w:val="003A72CB"/>
    <w:rsid w:val="003A73C9"/>
    <w:rsid w:val="003A7505"/>
    <w:rsid w:val="003A7585"/>
    <w:rsid w:val="003A7674"/>
    <w:rsid w:val="003A7858"/>
    <w:rsid w:val="003A7A25"/>
    <w:rsid w:val="003A7A33"/>
    <w:rsid w:val="003A7A91"/>
    <w:rsid w:val="003A7AA9"/>
    <w:rsid w:val="003A7CDA"/>
    <w:rsid w:val="003A7D98"/>
    <w:rsid w:val="003A7F9F"/>
    <w:rsid w:val="003B015B"/>
    <w:rsid w:val="003B0208"/>
    <w:rsid w:val="003B0220"/>
    <w:rsid w:val="003B0224"/>
    <w:rsid w:val="003B027B"/>
    <w:rsid w:val="003B02C3"/>
    <w:rsid w:val="003B04D8"/>
    <w:rsid w:val="003B054D"/>
    <w:rsid w:val="003B0643"/>
    <w:rsid w:val="003B074C"/>
    <w:rsid w:val="003B075B"/>
    <w:rsid w:val="003B0810"/>
    <w:rsid w:val="003B08FE"/>
    <w:rsid w:val="003B0907"/>
    <w:rsid w:val="003B0A7F"/>
    <w:rsid w:val="003B0A91"/>
    <w:rsid w:val="003B0AB7"/>
    <w:rsid w:val="003B0BDA"/>
    <w:rsid w:val="003B0C79"/>
    <w:rsid w:val="003B0ECA"/>
    <w:rsid w:val="003B1119"/>
    <w:rsid w:val="003B1167"/>
    <w:rsid w:val="003B1216"/>
    <w:rsid w:val="003B14BD"/>
    <w:rsid w:val="003B1588"/>
    <w:rsid w:val="003B1633"/>
    <w:rsid w:val="003B1793"/>
    <w:rsid w:val="003B195F"/>
    <w:rsid w:val="003B19BE"/>
    <w:rsid w:val="003B19E4"/>
    <w:rsid w:val="003B1AE0"/>
    <w:rsid w:val="003B1AFE"/>
    <w:rsid w:val="003B1B4E"/>
    <w:rsid w:val="003B1D67"/>
    <w:rsid w:val="003B1EC3"/>
    <w:rsid w:val="003B1FC4"/>
    <w:rsid w:val="003B2009"/>
    <w:rsid w:val="003B20A2"/>
    <w:rsid w:val="003B20E0"/>
    <w:rsid w:val="003B2146"/>
    <w:rsid w:val="003B21B2"/>
    <w:rsid w:val="003B23BB"/>
    <w:rsid w:val="003B2607"/>
    <w:rsid w:val="003B2619"/>
    <w:rsid w:val="003B26D8"/>
    <w:rsid w:val="003B2A4A"/>
    <w:rsid w:val="003B2A9F"/>
    <w:rsid w:val="003B2D11"/>
    <w:rsid w:val="003B2DB7"/>
    <w:rsid w:val="003B2E51"/>
    <w:rsid w:val="003B2E57"/>
    <w:rsid w:val="003B2F57"/>
    <w:rsid w:val="003B309B"/>
    <w:rsid w:val="003B3244"/>
    <w:rsid w:val="003B3267"/>
    <w:rsid w:val="003B3294"/>
    <w:rsid w:val="003B33E2"/>
    <w:rsid w:val="003B3452"/>
    <w:rsid w:val="003B3897"/>
    <w:rsid w:val="003B38C2"/>
    <w:rsid w:val="003B38F2"/>
    <w:rsid w:val="003B3A13"/>
    <w:rsid w:val="003B3A37"/>
    <w:rsid w:val="003B3ABC"/>
    <w:rsid w:val="003B3ACC"/>
    <w:rsid w:val="003B3B81"/>
    <w:rsid w:val="003B3BF5"/>
    <w:rsid w:val="003B3BFF"/>
    <w:rsid w:val="003B3C1B"/>
    <w:rsid w:val="003B3CD1"/>
    <w:rsid w:val="003B3E2A"/>
    <w:rsid w:val="003B3EDE"/>
    <w:rsid w:val="003B3F85"/>
    <w:rsid w:val="003B4098"/>
    <w:rsid w:val="003B417F"/>
    <w:rsid w:val="003B4312"/>
    <w:rsid w:val="003B43BE"/>
    <w:rsid w:val="003B4473"/>
    <w:rsid w:val="003B448D"/>
    <w:rsid w:val="003B4619"/>
    <w:rsid w:val="003B464D"/>
    <w:rsid w:val="003B46C5"/>
    <w:rsid w:val="003B4767"/>
    <w:rsid w:val="003B484A"/>
    <w:rsid w:val="003B4A77"/>
    <w:rsid w:val="003B4AEB"/>
    <w:rsid w:val="003B4D5D"/>
    <w:rsid w:val="003B5082"/>
    <w:rsid w:val="003B50B1"/>
    <w:rsid w:val="003B50D6"/>
    <w:rsid w:val="003B515B"/>
    <w:rsid w:val="003B52E8"/>
    <w:rsid w:val="003B533E"/>
    <w:rsid w:val="003B539A"/>
    <w:rsid w:val="003B5483"/>
    <w:rsid w:val="003B5692"/>
    <w:rsid w:val="003B5746"/>
    <w:rsid w:val="003B58CB"/>
    <w:rsid w:val="003B5A34"/>
    <w:rsid w:val="003B5B68"/>
    <w:rsid w:val="003B5D02"/>
    <w:rsid w:val="003B5D0B"/>
    <w:rsid w:val="003B5D8F"/>
    <w:rsid w:val="003B5E0F"/>
    <w:rsid w:val="003B5ECF"/>
    <w:rsid w:val="003B5EE0"/>
    <w:rsid w:val="003B5F30"/>
    <w:rsid w:val="003B5FB6"/>
    <w:rsid w:val="003B5FDD"/>
    <w:rsid w:val="003B6332"/>
    <w:rsid w:val="003B6365"/>
    <w:rsid w:val="003B6366"/>
    <w:rsid w:val="003B63C9"/>
    <w:rsid w:val="003B649A"/>
    <w:rsid w:val="003B6576"/>
    <w:rsid w:val="003B6758"/>
    <w:rsid w:val="003B6759"/>
    <w:rsid w:val="003B68FA"/>
    <w:rsid w:val="003B6A78"/>
    <w:rsid w:val="003B6A9C"/>
    <w:rsid w:val="003B6BD6"/>
    <w:rsid w:val="003B6CDB"/>
    <w:rsid w:val="003B6D74"/>
    <w:rsid w:val="003B6E18"/>
    <w:rsid w:val="003B6E1F"/>
    <w:rsid w:val="003B6E9A"/>
    <w:rsid w:val="003B6EED"/>
    <w:rsid w:val="003B6EF9"/>
    <w:rsid w:val="003B6F14"/>
    <w:rsid w:val="003B6FF8"/>
    <w:rsid w:val="003B703E"/>
    <w:rsid w:val="003B7078"/>
    <w:rsid w:val="003B707B"/>
    <w:rsid w:val="003B70C8"/>
    <w:rsid w:val="003B73D3"/>
    <w:rsid w:val="003B746C"/>
    <w:rsid w:val="003B7844"/>
    <w:rsid w:val="003B78FC"/>
    <w:rsid w:val="003B7A8A"/>
    <w:rsid w:val="003B7BC7"/>
    <w:rsid w:val="003B7F1C"/>
    <w:rsid w:val="003B7F6F"/>
    <w:rsid w:val="003C01D1"/>
    <w:rsid w:val="003C01E3"/>
    <w:rsid w:val="003C022F"/>
    <w:rsid w:val="003C0255"/>
    <w:rsid w:val="003C0293"/>
    <w:rsid w:val="003C043C"/>
    <w:rsid w:val="003C04B1"/>
    <w:rsid w:val="003C0624"/>
    <w:rsid w:val="003C075B"/>
    <w:rsid w:val="003C0949"/>
    <w:rsid w:val="003C0995"/>
    <w:rsid w:val="003C0999"/>
    <w:rsid w:val="003C09AF"/>
    <w:rsid w:val="003C0A58"/>
    <w:rsid w:val="003C0B38"/>
    <w:rsid w:val="003C0C62"/>
    <w:rsid w:val="003C0D14"/>
    <w:rsid w:val="003C0D72"/>
    <w:rsid w:val="003C0F48"/>
    <w:rsid w:val="003C0FD8"/>
    <w:rsid w:val="003C10A0"/>
    <w:rsid w:val="003C10D9"/>
    <w:rsid w:val="003C12B9"/>
    <w:rsid w:val="003C1361"/>
    <w:rsid w:val="003C178E"/>
    <w:rsid w:val="003C1841"/>
    <w:rsid w:val="003C1966"/>
    <w:rsid w:val="003C19CC"/>
    <w:rsid w:val="003C1A08"/>
    <w:rsid w:val="003C1BFD"/>
    <w:rsid w:val="003C1CA4"/>
    <w:rsid w:val="003C1D4F"/>
    <w:rsid w:val="003C1DAA"/>
    <w:rsid w:val="003C200D"/>
    <w:rsid w:val="003C20F3"/>
    <w:rsid w:val="003C2117"/>
    <w:rsid w:val="003C232B"/>
    <w:rsid w:val="003C2346"/>
    <w:rsid w:val="003C23B4"/>
    <w:rsid w:val="003C23E7"/>
    <w:rsid w:val="003C251D"/>
    <w:rsid w:val="003C2628"/>
    <w:rsid w:val="003C2659"/>
    <w:rsid w:val="003C26DC"/>
    <w:rsid w:val="003C27A9"/>
    <w:rsid w:val="003C2847"/>
    <w:rsid w:val="003C28D8"/>
    <w:rsid w:val="003C2A2B"/>
    <w:rsid w:val="003C2AEA"/>
    <w:rsid w:val="003C2B6E"/>
    <w:rsid w:val="003C2D3F"/>
    <w:rsid w:val="003C2DB9"/>
    <w:rsid w:val="003C2E12"/>
    <w:rsid w:val="003C2E27"/>
    <w:rsid w:val="003C2E3E"/>
    <w:rsid w:val="003C2FF8"/>
    <w:rsid w:val="003C30D0"/>
    <w:rsid w:val="003C311B"/>
    <w:rsid w:val="003C3374"/>
    <w:rsid w:val="003C339F"/>
    <w:rsid w:val="003C3404"/>
    <w:rsid w:val="003C34B9"/>
    <w:rsid w:val="003C35D6"/>
    <w:rsid w:val="003C35EA"/>
    <w:rsid w:val="003C36A3"/>
    <w:rsid w:val="003C36F8"/>
    <w:rsid w:val="003C3731"/>
    <w:rsid w:val="003C3863"/>
    <w:rsid w:val="003C3885"/>
    <w:rsid w:val="003C3953"/>
    <w:rsid w:val="003C3A4A"/>
    <w:rsid w:val="003C3AE1"/>
    <w:rsid w:val="003C3C44"/>
    <w:rsid w:val="003C3E42"/>
    <w:rsid w:val="003C3EF3"/>
    <w:rsid w:val="003C4044"/>
    <w:rsid w:val="003C4432"/>
    <w:rsid w:val="003C44B0"/>
    <w:rsid w:val="003C457A"/>
    <w:rsid w:val="003C474F"/>
    <w:rsid w:val="003C47BF"/>
    <w:rsid w:val="003C48BB"/>
    <w:rsid w:val="003C4A10"/>
    <w:rsid w:val="003C4A68"/>
    <w:rsid w:val="003C4BC9"/>
    <w:rsid w:val="003C4CA1"/>
    <w:rsid w:val="003C4DB3"/>
    <w:rsid w:val="003C4F3C"/>
    <w:rsid w:val="003C5068"/>
    <w:rsid w:val="003C5123"/>
    <w:rsid w:val="003C519D"/>
    <w:rsid w:val="003C51BD"/>
    <w:rsid w:val="003C529B"/>
    <w:rsid w:val="003C535E"/>
    <w:rsid w:val="003C5408"/>
    <w:rsid w:val="003C5428"/>
    <w:rsid w:val="003C5476"/>
    <w:rsid w:val="003C5504"/>
    <w:rsid w:val="003C5552"/>
    <w:rsid w:val="003C5649"/>
    <w:rsid w:val="003C5742"/>
    <w:rsid w:val="003C5769"/>
    <w:rsid w:val="003C579D"/>
    <w:rsid w:val="003C58ED"/>
    <w:rsid w:val="003C590F"/>
    <w:rsid w:val="003C59DF"/>
    <w:rsid w:val="003C5BEE"/>
    <w:rsid w:val="003C5C34"/>
    <w:rsid w:val="003C5E13"/>
    <w:rsid w:val="003C5E85"/>
    <w:rsid w:val="003C5F08"/>
    <w:rsid w:val="003C5F3E"/>
    <w:rsid w:val="003C604A"/>
    <w:rsid w:val="003C6259"/>
    <w:rsid w:val="003C6304"/>
    <w:rsid w:val="003C63BB"/>
    <w:rsid w:val="003C63C4"/>
    <w:rsid w:val="003C63CD"/>
    <w:rsid w:val="003C6447"/>
    <w:rsid w:val="003C6544"/>
    <w:rsid w:val="003C6548"/>
    <w:rsid w:val="003C65D2"/>
    <w:rsid w:val="003C6609"/>
    <w:rsid w:val="003C665D"/>
    <w:rsid w:val="003C6667"/>
    <w:rsid w:val="003C67CC"/>
    <w:rsid w:val="003C68D5"/>
    <w:rsid w:val="003C6AE0"/>
    <w:rsid w:val="003C6DCD"/>
    <w:rsid w:val="003C6E57"/>
    <w:rsid w:val="003C72B6"/>
    <w:rsid w:val="003C7458"/>
    <w:rsid w:val="003C7470"/>
    <w:rsid w:val="003C7474"/>
    <w:rsid w:val="003C756E"/>
    <w:rsid w:val="003C7899"/>
    <w:rsid w:val="003C79F7"/>
    <w:rsid w:val="003C7A58"/>
    <w:rsid w:val="003C7AD5"/>
    <w:rsid w:val="003C7B21"/>
    <w:rsid w:val="003C7BAC"/>
    <w:rsid w:val="003C7C3B"/>
    <w:rsid w:val="003C7D63"/>
    <w:rsid w:val="003C7F1C"/>
    <w:rsid w:val="003C7F27"/>
    <w:rsid w:val="003C7FAE"/>
    <w:rsid w:val="003C7FDE"/>
    <w:rsid w:val="003D004B"/>
    <w:rsid w:val="003D0067"/>
    <w:rsid w:val="003D00D3"/>
    <w:rsid w:val="003D0136"/>
    <w:rsid w:val="003D014B"/>
    <w:rsid w:val="003D014C"/>
    <w:rsid w:val="003D0215"/>
    <w:rsid w:val="003D0300"/>
    <w:rsid w:val="003D03A6"/>
    <w:rsid w:val="003D03EA"/>
    <w:rsid w:val="003D0535"/>
    <w:rsid w:val="003D055F"/>
    <w:rsid w:val="003D0590"/>
    <w:rsid w:val="003D05B1"/>
    <w:rsid w:val="003D05BA"/>
    <w:rsid w:val="003D0635"/>
    <w:rsid w:val="003D07F1"/>
    <w:rsid w:val="003D0859"/>
    <w:rsid w:val="003D08C5"/>
    <w:rsid w:val="003D09F9"/>
    <w:rsid w:val="003D0A15"/>
    <w:rsid w:val="003D0A38"/>
    <w:rsid w:val="003D0AD1"/>
    <w:rsid w:val="003D0AE3"/>
    <w:rsid w:val="003D0C36"/>
    <w:rsid w:val="003D0D1D"/>
    <w:rsid w:val="003D0E29"/>
    <w:rsid w:val="003D0E3F"/>
    <w:rsid w:val="003D0E95"/>
    <w:rsid w:val="003D0EA6"/>
    <w:rsid w:val="003D0EA8"/>
    <w:rsid w:val="003D0F69"/>
    <w:rsid w:val="003D0FC6"/>
    <w:rsid w:val="003D1106"/>
    <w:rsid w:val="003D1141"/>
    <w:rsid w:val="003D128C"/>
    <w:rsid w:val="003D129F"/>
    <w:rsid w:val="003D1308"/>
    <w:rsid w:val="003D1589"/>
    <w:rsid w:val="003D160E"/>
    <w:rsid w:val="003D1B7C"/>
    <w:rsid w:val="003D1CA2"/>
    <w:rsid w:val="003D1CC3"/>
    <w:rsid w:val="003D1D88"/>
    <w:rsid w:val="003D1DF1"/>
    <w:rsid w:val="003D1EE6"/>
    <w:rsid w:val="003D1FF0"/>
    <w:rsid w:val="003D22DF"/>
    <w:rsid w:val="003D2326"/>
    <w:rsid w:val="003D235D"/>
    <w:rsid w:val="003D2455"/>
    <w:rsid w:val="003D2594"/>
    <w:rsid w:val="003D276E"/>
    <w:rsid w:val="003D278D"/>
    <w:rsid w:val="003D27D3"/>
    <w:rsid w:val="003D27F7"/>
    <w:rsid w:val="003D281D"/>
    <w:rsid w:val="003D2878"/>
    <w:rsid w:val="003D292F"/>
    <w:rsid w:val="003D2956"/>
    <w:rsid w:val="003D2A79"/>
    <w:rsid w:val="003D2B92"/>
    <w:rsid w:val="003D2BAD"/>
    <w:rsid w:val="003D2BB8"/>
    <w:rsid w:val="003D2C0F"/>
    <w:rsid w:val="003D2E84"/>
    <w:rsid w:val="003D3292"/>
    <w:rsid w:val="003D32D6"/>
    <w:rsid w:val="003D3491"/>
    <w:rsid w:val="003D35C3"/>
    <w:rsid w:val="003D366B"/>
    <w:rsid w:val="003D3686"/>
    <w:rsid w:val="003D36F3"/>
    <w:rsid w:val="003D38CE"/>
    <w:rsid w:val="003D38EF"/>
    <w:rsid w:val="003D39E4"/>
    <w:rsid w:val="003D3A5C"/>
    <w:rsid w:val="003D3CF0"/>
    <w:rsid w:val="003D3E9A"/>
    <w:rsid w:val="003D3F73"/>
    <w:rsid w:val="003D4029"/>
    <w:rsid w:val="003D413D"/>
    <w:rsid w:val="003D41F4"/>
    <w:rsid w:val="003D42EC"/>
    <w:rsid w:val="003D4461"/>
    <w:rsid w:val="003D4586"/>
    <w:rsid w:val="003D4606"/>
    <w:rsid w:val="003D46E9"/>
    <w:rsid w:val="003D46EF"/>
    <w:rsid w:val="003D470A"/>
    <w:rsid w:val="003D477D"/>
    <w:rsid w:val="003D4B2D"/>
    <w:rsid w:val="003D4BCC"/>
    <w:rsid w:val="003D4BD2"/>
    <w:rsid w:val="003D4BF5"/>
    <w:rsid w:val="003D4D4E"/>
    <w:rsid w:val="003D4FCD"/>
    <w:rsid w:val="003D5134"/>
    <w:rsid w:val="003D5144"/>
    <w:rsid w:val="003D52BB"/>
    <w:rsid w:val="003D52BF"/>
    <w:rsid w:val="003D52D6"/>
    <w:rsid w:val="003D532B"/>
    <w:rsid w:val="003D5442"/>
    <w:rsid w:val="003D5652"/>
    <w:rsid w:val="003D5697"/>
    <w:rsid w:val="003D5797"/>
    <w:rsid w:val="003D5883"/>
    <w:rsid w:val="003D5B8D"/>
    <w:rsid w:val="003D5BAD"/>
    <w:rsid w:val="003D5DD2"/>
    <w:rsid w:val="003D5E90"/>
    <w:rsid w:val="003D5FD2"/>
    <w:rsid w:val="003D5FE1"/>
    <w:rsid w:val="003D6178"/>
    <w:rsid w:val="003D6439"/>
    <w:rsid w:val="003D654D"/>
    <w:rsid w:val="003D6653"/>
    <w:rsid w:val="003D6909"/>
    <w:rsid w:val="003D69B1"/>
    <w:rsid w:val="003D69F3"/>
    <w:rsid w:val="003D6B25"/>
    <w:rsid w:val="003D6C04"/>
    <w:rsid w:val="003D6C6C"/>
    <w:rsid w:val="003D6C6E"/>
    <w:rsid w:val="003D6CD5"/>
    <w:rsid w:val="003D6CF9"/>
    <w:rsid w:val="003D6E6D"/>
    <w:rsid w:val="003D6F82"/>
    <w:rsid w:val="003D720F"/>
    <w:rsid w:val="003D7549"/>
    <w:rsid w:val="003D771B"/>
    <w:rsid w:val="003D785B"/>
    <w:rsid w:val="003D7860"/>
    <w:rsid w:val="003D7B49"/>
    <w:rsid w:val="003D7E05"/>
    <w:rsid w:val="003D7F44"/>
    <w:rsid w:val="003D7FF8"/>
    <w:rsid w:val="003E0143"/>
    <w:rsid w:val="003E02AA"/>
    <w:rsid w:val="003E04AD"/>
    <w:rsid w:val="003E05B9"/>
    <w:rsid w:val="003E071A"/>
    <w:rsid w:val="003E0741"/>
    <w:rsid w:val="003E07A0"/>
    <w:rsid w:val="003E0809"/>
    <w:rsid w:val="003E082A"/>
    <w:rsid w:val="003E09E3"/>
    <w:rsid w:val="003E0B1F"/>
    <w:rsid w:val="003E0CDD"/>
    <w:rsid w:val="003E0EF9"/>
    <w:rsid w:val="003E0EFB"/>
    <w:rsid w:val="003E0F4A"/>
    <w:rsid w:val="003E0F9A"/>
    <w:rsid w:val="003E10A2"/>
    <w:rsid w:val="003E11B5"/>
    <w:rsid w:val="003E11EA"/>
    <w:rsid w:val="003E12DC"/>
    <w:rsid w:val="003E15B3"/>
    <w:rsid w:val="003E1686"/>
    <w:rsid w:val="003E17BC"/>
    <w:rsid w:val="003E17D3"/>
    <w:rsid w:val="003E19C9"/>
    <w:rsid w:val="003E19DA"/>
    <w:rsid w:val="003E19E7"/>
    <w:rsid w:val="003E1CAE"/>
    <w:rsid w:val="003E1D67"/>
    <w:rsid w:val="003E1DE7"/>
    <w:rsid w:val="003E203A"/>
    <w:rsid w:val="003E219B"/>
    <w:rsid w:val="003E2215"/>
    <w:rsid w:val="003E2261"/>
    <w:rsid w:val="003E230B"/>
    <w:rsid w:val="003E233F"/>
    <w:rsid w:val="003E2349"/>
    <w:rsid w:val="003E23AD"/>
    <w:rsid w:val="003E25A1"/>
    <w:rsid w:val="003E25B7"/>
    <w:rsid w:val="003E2627"/>
    <w:rsid w:val="003E2662"/>
    <w:rsid w:val="003E274D"/>
    <w:rsid w:val="003E27D2"/>
    <w:rsid w:val="003E282D"/>
    <w:rsid w:val="003E2936"/>
    <w:rsid w:val="003E297A"/>
    <w:rsid w:val="003E2A1C"/>
    <w:rsid w:val="003E2A53"/>
    <w:rsid w:val="003E2ACC"/>
    <w:rsid w:val="003E2B21"/>
    <w:rsid w:val="003E2BA9"/>
    <w:rsid w:val="003E2BC5"/>
    <w:rsid w:val="003E2C4B"/>
    <w:rsid w:val="003E2CB9"/>
    <w:rsid w:val="003E2D21"/>
    <w:rsid w:val="003E2D9A"/>
    <w:rsid w:val="003E2DE6"/>
    <w:rsid w:val="003E2DF7"/>
    <w:rsid w:val="003E2E87"/>
    <w:rsid w:val="003E2EC6"/>
    <w:rsid w:val="003E2FFF"/>
    <w:rsid w:val="003E3036"/>
    <w:rsid w:val="003E309D"/>
    <w:rsid w:val="003E33A5"/>
    <w:rsid w:val="003E3420"/>
    <w:rsid w:val="003E3452"/>
    <w:rsid w:val="003E3480"/>
    <w:rsid w:val="003E36C3"/>
    <w:rsid w:val="003E36C9"/>
    <w:rsid w:val="003E3713"/>
    <w:rsid w:val="003E3891"/>
    <w:rsid w:val="003E395F"/>
    <w:rsid w:val="003E3ADB"/>
    <w:rsid w:val="003E3B71"/>
    <w:rsid w:val="003E3B7A"/>
    <w:rsid w:val="003E3CB6"/>
    <w:rsid w:val="003E3CE4"/>
    <w:rsid w:val="003E3DB7"/>
    <w:rsid w:val="003E3DB9"/>
    <w:rsid w:val="003E3DE4"/>
    <w:rsid w:val="003E3F2E"/>
    <w:rsid w:val="003E3FBC"/>
    <w:rsid w:val="003E400B"/>
    <w:rsid w:val="003E4033"/>
    <w:rsid w:val="003E42A7"/>
    <w:rsid w:val="003E4535"/>
    <w:rsid w:val="003E46FE"/>
    <w:rsid w:val="003E4ADF"/>
    <w:rsid w:val="003E4B0F"/>
    <w:rsid w:val="003E4C36"/>
    <w:rsid w:val="003E4C56"/>
    <w:rsid w:val="003E4F66"/>
    <w:rsid w:val="003E4FA1"/>
    <w:rsid w:val="003E519B"/>
    <w:rsid w:val="003E5260"/>
    <w:rsid w:val="003E52B4"/>
    <w:rsid w:val="003E540B"/>
    <w:rsid w:val="003E5479"/>
    <w:rsid w:val="003E548C"/>
    <w:rsid w:val="003E5502"/>
    <w:rsid w:val="003E5518"/>
    <w:rsid w:val="003E5534"/>
    <w:rsid w:val="003E559C"/>
    <w:rsid w:val="003E55B1"/>
    <w:rsid w:val="003E5727"/>
    <w:rsid w:val="003E5753"/>
    <w:rsid w:val="003E57EA"/>
    <w:rsid w:val="003E57F7"/>
    <w:rsid w:val="003E5843"/>
    <w:rsid w:val="003E58E6"/>
    <w:rsid w:val="003E5A15"/>
    <w:rsid w:val="003E5A74"/>
    <w:rsid w:val="003E5C1E"/>
    <w:rsid w:val="003E5C85"/>
    <w:rsid w:val="003E5D2B"/>
    <w:rsid w:val="003E5D40"/>
    <w:rsid w:val="003E5DD6"/>
    <w:rsid w:val="003E5F34"/>
    <w:rsid w:val="003E60A5"/>
    <w:rsid w:val="003E60E0"/>
    <w:rsid w:val="003E6191"/>
    <w:rsid w:val="003E62CC"/>
    <w:rsid w:val="003E6415"/>
    <w:rsid w:val="003E646A"/>
    <w:rsid w:val="003E6653"/>
    <w:rsid w:val="003E66D3"/>
    <w:rsid w:val="003E66E0"/>
    <w:rsid w:val="003E67DE"/>
    <w:rsid w:val="003E67F0"/>
    <w:rsid w:val="003E683E"/>
    <w:rsid w:val="003E69B1"/>
    <w:rsid w:val="003E69B7"/>
    <w:rsid w:val="003E69C4"/>
    <w:rsid w:val="003E69E1"/>
    <w:rsid w:val="003E6E26"/>
    <w:rsid w:val="003E6E31"/>
    <w:rsid w:val="003E7056"/>
    <w:rsid w:val="003E707E"/>
    <w:rsid w:val="003E708C"/>
    <w:rsid w:val="003E70E6"/>
    <w:rsid w:val="003E714A"/>
    <w:rsid w:val="003E72EC"/>
    <w:rsid w:val="003E7313"/>
    <w:rsid w:val="003E7345"/>
    <w:rsid w:val="003E7354"/>
    <w:rsid w:val="003E74F1"/>
    <w:rsid w:val="003E7623"/>
    <w:rsid w:val="003E773A"/>
    <w:rsid w:val="003E7759"/>
    <w:rsid w:val="003E77B3"/>
    <w:rsid w:val="003E7823"/>
    <w:rsid w:val="003E7833"/>
    <w:rsid w:val="003E78B1"/>
    <w:rsid w:val="003E78C6"/>
    <w:rsid w:val="003E791F"/>
    <w:rsid w:val="003E798A"/>
    <w:rsid w:val="003E79C1"/>
    <w:rsid w:val="003E7AA0"/>
    <w:rsid w:val="003E7AF0"/>
    <w:rsid w:val="003E7B49"/>
    <w:rsid w:val="003E7C28"/>
    <w:rsid w:val="003E7D31"/>
    <w:rsid w:val="003E7DE4"/>
    <w:rsid w:val="003E7EB3"/>
    <w:rsid w:val="003F0222"/>
    <w:rsid w:val="003F0236"/>
    <w:rsid w:val="003F0396"/>
    <w:rsid w:val="003F0538"/>
    <w:rsid w:val="003F0574"/>
    <w:rsid w:val="003F0838"/>
    <w:rsid w:val="003F099D"/>
    <w:rsid w:val="003F09A2"/>
    <w:rsid w:val="003F09EE"/>
    <w:rsid w:val="003F0A7B"/>
    <w:rsid w:val="003F0C15"/>
    <w:rsid w:val="003F0D0C"/>
    <w:rsid w:val="003F0DD0"/>
    <w:rsid w:val="003F0E0E"/>
    <w:rsid w:val="003F0E79"/>
    <w:rsid w:val="003F0F17"/>
    <w:rsid w:val="003F0F95"/>
    <w:rsid w:val="003F10AD"/>
    <w:rsid w:val="003F10DE"/>
    <w:rsid w:val="003F11FB"/>
    <w:rsid w:val="003F1203"/>
    <w:rsid w:val="003F122F"/>
    <w:rsid w:val="003F13CE"/>
    <w:rsid w:val="003F1467"/>
    <w:rsid w:val="003F151F"/>
    <w:rsid w:val="003F1568"/>
    <w:rsid w:val="003F1789"/>
    <w:rsid w:val="003F17AC"/>
    <w:rsid w:val="003F19D0"/>
    <w:rsid w:val="003F1A5E"/>
    <w:rsid w:val="003F1BD9"/>
    <w:rsid w:val="003F1C39"/>
    <w:rsid w:val="003F1C67"/>
    <w:rsid w:val="003F1F08"/>
    <w:rsid w:val="003F210E"/>
    <w:rsid w:val="003F226F"/>
    <w:rsid w:val="003F23CC"/>
    <w:rsid w:val="003F2408"/>
    <w:rsid w:val="003F24BC"/>
    <w:rsid w:val="003F2516"/>
    <w:rsid w:val="003F2543"/>
    <w:rsid w:val="003F262C"/>
    <w:rsid w:val="003F2791"/>
    <w:rsid w:val="003F27C4"/>
    <w:rsid w:val="003F2AE4"/>
    <w:rsid w:val="003F2BCF"/>
    <w:rsid w:val="003F2E27"/>
    <w:rsid w:val="003F2EBD"/>
    <w:rsid w:val="003F304A"/>
    <w:rsid w:val="003F309D"/>
    <w:rsid w:val="003F3181"/>
    <w:rsid w:val="003F32F8"/>
    <w:rsid w:val="003F33ED"/>
    <w:rsid w:val="003F3460"/>
    <w:rsid w:val="003F3510"/>
    <w:rsid w:val="003F35CD"/>
    <w:rsid w:val="003F35F2"/>
    <w:rsid w:val="003F3603"/>
    <w:rsid w:val="003F366E"/>
    <w:rsid w:val="003F36D6"/>
    <w:rsid w:val="003F37F6"/>
    <w:rsid w:val="003F38ED"/>
    <w:rsid w:val="003F3964"/>
    <w:rsid w:val="003F3A29"/>
    <w:rsid w:val="003F3ABC"/>
    <w:rsid w:val="003F3B6A"/>
    <w:rsid w:val="003F3B6C"/>
    <w:rsid w:val="003F3BFE"/>
    <w:rsid w:val="003F3C45"/>
    <w:rsid w:val="003F3F49"/>
    <w:rsid w:val="003F400E"/>
    <w:rsid w:val="003F4124"/>
    <w:rsid w:val="003F415E"/>
    <w:rsid w:val="003F41F3"/>
    <w:rsid w:val="003F4415"/>
    <w:rsid w:val="003F44D3"/>
    <w:rsid w:val="003F4500"/>
    <w:rsid w:val="003F4586"/>
    <w:rsid w:val="003F4619"/>
    <w:rsid w:val="003F47CA"/>
    <w:rsid w:val="003F47FA"/>
    <w:rsid w:val="003F4990"/>
    <w:rsid w:val="003F49F9"/>
    <w:rsid w:val="003F4AAC"/>
    <w:rsid w:val="003F4C8B"/>
    <w:rsid w:val="003F4CC3"/>
    <w:rsid w:val="003F4E13"/>
    <w:rsid w:val="003F4EFD"/>
    <w:rsid w:val="003F4F25"/>
    <w:rsid w:val="003F4F32"/>
    <w:rsid w:val="003F503F"/>
    <w:rsid w:val="003F505C"/>
    <w:rsid w:val="003F526C"/>
    <w:rsid w:val="003F5306"/>
    <w:rsid w:val="003F5447"/>
    <w:rsid w:val="003F545F"/>
    <w:rsid w:val="003F548D"/>
    <w:rsid w:val="003F54BD"/>
    <w:rsid w:val="003F5662"/>
    <w:rsid w:val="003F5737"/>
    <w:rsid w:val="003F5752"/>
    <w:rsid w:val="003F57B2"/>
    <w:rsid w:val="003F5853"/>
    <w:rsid w:val="003F587E"/>
    <w:rsid w:val="003F5985"/>
    <w:rsid w:val="003F5987"/>
    <w:rsid w:val="003F59E5"/>
    <w:rsid w:val="003F5A81"/>
    <w:rsid w:val="003F5A85"/>
    <w:rsid w:val="003F5AE4"/>
    <w:rsid w:val="003F5B5C"/>
    <w:rsid w:val="003F5D83"/>
    <w:rsid w:val="003F5FAC"/>
    <w:rsid w:val="003F6041"/>
    <w:rsid w:val="003F61D7"/>
    <w:rsid w:val="003F62B5"/>
    <w:rsid w:val="003F642B"/>
    <w:rsid w:val="003F6569"/>
    <w:rsid w:val="003F65E8"/>
    <w:rsid w:val="003F6663"/>
    <w:rsid w:val="003F6673"/>
    <w:rsid w:val="003F670C"/>
    <w:rsid w:val="003F67BD"/>
    <w:rsid w:val="003F69BC"/>
    <w:rsid w:val="003F6A5D"/>
    <w:rsid w:val="003F6B58"/>
    <w:rsid w:val="003F6C30"/>
    <w:rsid w:val="003F6DFA"/>
    <w:rsid w:val="003F70A6"/>
    <w:rsid w:val="003F71D0"/>
    <w:rsid w:val="003F7327"/>
    <w:rsid w:val="003F7499"/>
    <w:rsid w:val="003F7604"/>
    <w:rsid w:val="003F7625"/>
    <w:rsid w:val="003F7731"/>
    <w:rsid w:val="003F77A1"/>
    <w:rsid w:val="003F77FB"/>
    <w:rsid w:val="003F7867"/>
    <w:rsid w:val="003F7887"/>
    <w:rsid w:val="003F78B0"/>
    <w:rsid w:val="003F794C"/>
    <w:rsid w:val="003F7BE6"/>
    <w:rsid w:val="003F7D02"/>
    <w:rsid w:val="003F7D61"/>
    <w:rsid w:val="003F7DF1"/>
    <w:rsid w:val="003F7E64"/>
    <w:rsid w:val="003F7F98"/>
    <w:rsid w:val="0040000F"/>
    <w:rsid w:val="00400044"/>
    <w:rsid w:val="004001A0"/>
    <w:rsid w:val="004001AF"/>
    <w:rsid w:val="00400227"/>
    <w:rsid w:val="0040023E"/>
    <w:rsid w:val="0040028C"/>
    <w:rsid w:val="004003B6"/>
    <w:rsid w:val="00400410"/>
    <w:rsid w:val="00400542"/>
    <w:rsid w:val="00400568"/>
    <w:rsid w:val="0040060F"/>
    <w:rsid w:val="00400830"/>
    <w:rsid w:val="00400867"/>
    <w:rsid w:val="004008A7"/>
    <w:rsid w:val="004009D5"/>
    <w:rsid w:val="00400B1E"/>
    <w:rsid w:val="00400BA0"/>
    <w:rsid w:val="00400BAD"/>
    <w:rsid w:val="00400BC4"/>
    <w:rsid w:val="00400DE5"/>
    <w:rsid w:val="00400E97"/>
    <w:rsid w:val="00400EC6"/>
    <w:rsid w:val="00400ED1"/>
    <w:rsid w:val="00400F91"/>
    <w:rsid w:val="004010DF"/>
    <w:rsid w:val="0040113F"/>
    <w:rsid w:val="0040114E"/>
    <w:rsid w:val="004011F8"/>
    <w:rsid w:val="00401228"/>
    <w:rsid w:val="00401267"/>
    <w:rsid w:val="00401276"/>
    <w:rsid w:val="004012DC"/>
    <w:rsid w:val="004012FA"/>
    <w:rsid w:val="00401330"/>
    <w:rsid w:val="00401379"/>
    <w:rsid w:val="00401470"/>
    <w:rsid w:val="004014B7"/>
    <w:rsid w:val="004014E5"/>
    <w:rsid w:val="004015E7"/>
    <w:rsid w:val="004016D9"/>
    <w:rsid w:val="0040177B"/>
    <w:rsid w:val="004018E2"/>
    <w:rsid w:val="00401904"/>
    <w:rsid w:val="0040193D"/>
    <w:rsid w:val="00401AB8"/>
    <w:rsid w:val="00401B87"/>
    <w:rsid w:val="00401CAA"/>
    <w:rsid w:val="00401F44"/>
    <w:rsid w:val="00402095"/>
    <w:rsid w:val="004020B2"/>
    <w:rsid w:val="00402385"/>
    <w:rsid w:val="0040238D"/>
    <w:rsid w:val="00402441"/>
    <w:rsid w:val="00402498"/>
    <w:rsid w:val="004024C0"/>
    <w:rsid w:val="004024D5"/>
    <w:rsid w:val="0040251D"/>
    <w:rsid w:val="0040253B"/>
    <w:rsid w:val="0040255C"/>
    <w:rsid w:val="00402686"/>
    <w:rsid w:val="0040268E"/>
    <w:rsid w:val="004026BC"/>
    <w:rsid w:val="00402727"/>
    <w:rsid w:val="0040278B"/>
    <w:rsid w:val="0040287A"/>
    <w:rsid w:val="004029C9"/>
    <w:rsid w:val="004029F5"/>
    <w:rsid w:val="00402BAA"/>
    <w:rsid w:val="00402BD5"/>
    <w:rsid w:val="00402D7B"/>
    <w:rsid w:val="00402E06"/>
    <w:rsid w:val="00403029"/>
    <w:rsid w:val="00403080"/>
    <w:rsid w:val="0040313E"/>
    <w:rsid w:val="00403140"/>
    <w:rsid w:val="00403170"/>
    <w:rsid w:val="00403197"/>
    <w:rsid w:val="00403330"/>
    <w:rsid w:val="0040343F"/>
    <w:rsid w:val="00403566"/>
    <w:rsid w:val="004035B0"/>
    <w:rsid w:val="00403641"/>
    <w:rsid w:val="004036AE"/>
    <w:rsid w:val="0040383B"/>
    <w:rsid w:val="004039A4"/>
    <w:rsid w:val="00403A2D"/>
    <w:rsid w:val="00403B95"/>
    <w:rsid w:val="00403BE3"/>
    <w:rsid w:val="00403C36"/>
    <w:rsid w:val="00403C5C"/>
    <w:rsid w:val="00403D8E"/>
    <w:rsid w:val="00403E8A"/>
    <w:rsid w:val="0040404B"/>
    <w:rsid w:val="00404109"/>
    <w:rsid w:val="004042E6"/>
    <w:rsid w:val="004044A3"/>
    <w:rsid w:val="00404652"/>
    <w:rsid w:val="0040471F"/>
    <w:rsid w:val="00404780"/>
    <w:rsid w:val="00404785"/>
    <w:rsid w:val="004047A5"/>
    <w:rsid w:val="004048B6"/>
    <w:rsid w:val="00404974"/>
    <w:rsid w:val="00404980"/>
    <w:rsid w:val="0040499C"/>
    <w:rsid w:val="00404A93"/>
    <w:rsid w:val="00404ADF"/>
    <w:rsid w:val="00404D01"/>
    <w:rsid w:val="00404FDA"/>
    <w:rsid w:val="0040514E"/>
    <w:rsid w:val="00405208"/>
    <w:rsid w:val="0040530C"/>
    <w:rsid w:val="00405611"/>
    <w:rsid w:val="0040565F"/>
    <w:rsid w:val="004056B3"/>
    <w:rsid w:val="00405786"/>
    <w:rsid w:val="00405922"/>
    <w:rsid w:val="00405983"/>
    <w:rsid w:val="00405AB0"/>
    <w:rsid w:val="00405AB6"/>
    <w:rsid w:val="00405ADB"/>
    <w:rsid w:val="00405B64"/>
    <w:rsid w:val="00405BCB"/>
    <w:rsid w:val="00405BE8"/>
    <w:rsid w:val="00405BEC"/>
    <w:rsid w:val="00405C36"/>
    <w:rsid w:val="00405E99"/>
    <w:rsid w:val="00405F73"/>
    <w:rsid w:val="00405FB8"/>
    <w:rsid w:val="00405FE4"/>
    <w:rsid w:val="0040607A"/>
    <w:rsid w:val="00406112"/>
    <w:rsid w:val="00406119"/>
    <w:rsid w:val="0040625A"/>
    <w:rsid w:val="00406281"/>
    <w:rsid w:val="00406663"/>
    <w:rsid w:val="0040676C"/>
    <w:rsid w:val="004067B1"/>
    <w:rsid w:val="0040681A"/>
    <w:rsid w:val="004068B2"/>
    <w:rsid w:val="004068B6"/>
    <w:rsid w:val="00406C00"/>
    <w:rsid w:val="00406C4E"/>
    <w:rsid w:val="00406D8A"/>
    <w:rsid w:val="00406ECC"/>
    <w:rsid w:val="00406FF3"/>
    <w:rsid w:val="00406FF4"/>
    <w:rsid w:val="0040704F"/>
    <w:rsid w:val="00407086"/>
    <w:rsid w:val="00407178"/>
    <w:rsid w:val="00407352"/>
    <w:rsid w:val="00407460"/>
    <w:rsid w:val="004074F6"/>
    <w:rsid w:val="004075D5"/>
    <w:rsid w:val="004076F1"/>
    <w:rsid w:val="0040772D"/>
    <w:rsid w:val="00407848"/>
    <w:rsid w:val="00407ACF"/>
    <w:rsid w:val="00407B06"/>
    <w:rsid w:val="00407B32"/>
    <w:rsid w:val="00407B3C"/>
    <w:rsid w:val="00407BEF"/>
    <w:rsid w:val="00407EFD"/>
    <w:rsid w:val="00410161"/>
    <w:rsid w:val="00410347"/>
    <w:rsid w:val="00410382"/>
    <w:rsid w:val="00410449"/>
    <w:rsid w:val="0041053D"/>
    <w:rsid w:val="00410648"/>
    <w:rsid w:val="004107BB"/>
    <w:rsid w:val="004107FA"/>
    <w:rsid w:val="00410930"/>
    <w:rsid w:val="0041095A"/>
    <w:rsid w:val="00410A13"/>
    <w:rsid w:val="00410A40"/>
    <w:rsid w:val="00410B44"/>
    <w:rsid w:val="00410BFE"/>
    <w:rsid w:val="00410DBB"/>
    <w:rsid w:val="00410DC3"/>
    <w:rsid w:val="00410E75"/>
    <w:rsid w:val="00410F0F"/>
    <w:rsid w:val="004112E5"/>
    <w:rsid w:val="004113A2"/>
    <w:rsid w:val="00411408"/>
    <w:rsid w:val="00411428"/>
    <w:rsid w:val="00411482"/>
    <w:rsid w:val="004114D4"/>
    <w:rsid w:val="0041155F"/>
    <w:rsid w:val="0041159D"/>
    <w:rsid w:val="004117AF"/>
    <w:rsid w:val="00411813"/>
    <w:rsid w:val="004118D8"/>
    <w:rsid w:val="00411B58"/>
    <w:rsid w:val="00411B92"/>
    <w:rsid w:val="00411B99"/>
    <w:rsid w:val="00411C2B"/>
    <w:rsid w:val="00411C72"/>
    <w:rsid w:val="00411DD0"/>
    <w:rsid w:val="00411E11"/>
    <w:rsid w:val="00411EAC"/>
    <w:rsid w:val="00411EEE"/>
    <w:rsid w:val="00411F3F"/>
    <w:rsid w:val="00411FAC"/>
    <w:rsid w:val="00411FF6"/>
    <w:rsid w:val="00412113"/>
    <w:rsid w:val="0041213C"/>
    <w:rsid w:val="00412143"/>
    <w:rsid w:val="0041216E"/>
    <w:rsid w:val="00412171"/>
    <w:rsid w:val="004121CF"/>
    <w:rsid w:val="00412243"/>
    <w:rsid w:val="004122E5"/>
    <w:rsid w:val="0041237A"/>
    <w:rsid w:val="004124D0"/>
    <w:rsid w:val="0041252D"/>
    <w:rsid w:val="0041256C"/>
    <w:rsid w:val="0041269B"/>
    <w:rsid w:val="00412748"/>
    <w:rsid w:val="004127D9"/>
    <w:rsid w:val="00412903"/>
    <w:rsid w:val="00412928"/>
    <w:rsid w:val="004129EA"/>
    <w:rsid w:val="00412A62"/>
    <w:rsid w:val="00412A64"/>
    <w:rsid w:val="00412A99"/>
    <w:rsid w:val="00412BA4"/>
    <w:rsid w:val="00412BB3"/>
    <w:rsid w:val="00412C6B"/>
    <w:rsid w:val="00412D4D"/>
    <w:rsid w:val="00412DBB"/>
    <w:rsid w:val="004130D1"/>
    <w:rsid w:val="004130D7"/>
    <w:rsid w:val="00413161"/>
    <w:rsid w:val="004132ED"/>
    <w:rsid w:val="004133C1"/>
    <w:rsid w:val="0041354C"/>
    <w:rsid w:val="004135B1"/>
    <w:rsid w:val="00413612"/>
    <w:rsid w:val="004137D2"/>
    <w:rsid w:val="00413804"/>
    <w:rsid w:val="00413937"/>
    <w:rsid w:val="00413992"/>
    <w:rsid w:val="004139B6"/>
    <w:rsid w:val="00413A56"/>
    <w:rsid w:val="00413A87"/>
    <w:rsid w:val="00413AC5"/>
    <w:rsid w:val="00413B3F"/>
    <w:rsid w:val="00413C1B"/>
    <w:rsid w:val="00413C3B"/>
    <w:rsid w:val="00413C7F"/>
    <w:rsid w:val="00413CA6"/>
    <w:rsid w:val="00413D6D"/>
    <w:rsid w:val="00413DDF"/>
    <w:rsid w:val="00413FCA"/>
    <w:rsid w:val="00414003"/>
    <w:rsid w:val="00414038"/>
    <w:rsid w:val="00414097"/>
    <w:rsid w:val="0041422A"/>
    <w:rsid w:val="0041459D"/>
    <w:rsid w:val="0041462E"/>
    <w:rsid w:val="00414707"/>
    <w:rsid w:val="00414824"/>
    <w:rsid w:val="00414826"/>
    <w:rsid w:val="00414836"/>
    <w:rsid w:val="00414947"/>
    <w:rsid w:val="00414A07"/>
    <w:rsid w:val="00414ADD"/>
    <w:rsid w:val="00414C8E"/>
    <w:rsid w:val="00414CA8"/>
    <w:rsid w:val="00414D03"/>
    <w:rsid w:val="00414DA3"/>
    <w:rsid w:val="00414E77"/>
    <w:rsid w:val="00415004"/>
    <w:rsid w:val="004150F3"/>
    <w:rsid w:val="00415104"/>
    <w:rsid w:val="0041526B"/>
    <w:rsid w:val="0041527D"/>
    <w:rsid w:val="00415338"/>
    <w:rsid w:val="0041534B"/>
    <w:rsid w:val="0041546A"/>
    <w:rsid w:val="0041549B"/>
    <w:rsid w:val="00415502"/>
    <w:rsid w:val="00415548"/>
    <w:rsid w:val="00415654"/>
    <w:rsid w:val="00415696"/>
    <w:rsid w:val="0041573F"/>
    <w:rsid w:val="004157D9"/>
    <w:rsid w:val="00415819"/>
    <w:rsid w:val="00415B7A"/>
    <w:rsid w:val="00415B84"/>
    <w:rsid w:val="00415C18"/>
    <w:rsid w:val="00415C75"/>
    <w:rsid w:val="00415E48"/>
    <w:rsid w:val="00415F30"/>
    <w:rsid w:val="00415F87"/>
    <w:rsid w:val="00415FA1"/>
    <w:rsid w:val="004161A5"/>
    <w:rsid w:val="00416356"/>
    <w:rsid w:val="00416380"/>
    <w:rsid w:val="004163B2"/>
    <w:rsid w:val="004164BE"/>
    <w:rsid w:val="004164DD"/>
    <w:rsid w:val="004166B9"/>
    <w:rsid w:val="004166D7"/>
    <w:rsid w:val="00416833"/>
    <w:rsid w:val="0041685E"/>
    <w:rsid w:val="004168A3"/>
    <w:rsid w:val="00416901"/>
    <w:rsid w:val="00416A2B"/>
    <w:rsid w:val="00416AC1"/>
    <w:rsid w:val="00416B5F"/>
    <w:rsid w:val="00416B65"/>
    <w:rsid w:val="00416BEF"/>
    <w:rsid w:val="00416C34"/>
    <w:rsid w:val="00416C8E"/>
    <w:rsid w:val="00416DF0"/>
    <w:rsid w:val="00416F65"/>
    <w:rsid w:val="00416F66"/>
    <w:rsid w:val="00416FB1"/>
    <w:rsid w:val="00416FD2"/>
    <w:rsid w:val="004170C0"/>
    <w:rsid w:val="0041710A"/>
    <w:rsid w:val="00417149"/>
    <w:rsid w:val="00417289"/>
    <w:rsid w:val="00417332"/>
    <w:rsid w:val="0041733D"/>
    <w:rsid w:val="004173CD"/>
    <w:rsid w:val="004173E4"/>
    <w:rsid w:val="0041756A"/>
    <w:rsid w:val="00417899"/>
    <w:rsid w:val="0041791C"/>
    <w:rsid w:val="00417AE7"/>
    <w:rsid w:val="00417AFF"/>
    <w:rsid w:val="00417B2E"/>
    <w:rsid w:val="00417BC1"/>
    <w:rsid w:val="00417DFB"/>
    <w:rsid w:val="00417E15"/>
    <w:rsid w:val="00417E5B"/>
    <w:rsid w:val="00420009"/>
    <w:rsid w:val="00420101"/>
    <w:rsid w:val="00420167"/>
    <w:rsid w:val="004201B5"/>
    <w:rsid w:val="004201C0"/>
    <w:rsid w:val="004201F1"/>
    <w:rsid w:val="00420372"/>
    <w:rsid w:val="00420395"/>
    <w:rsid w:val="00420401"/>
    <w:rsid w:val="004204B5"/>
    <w:rsid w:val="00420587"/>
    <w:rsid w:val="004205F6"/>
    <w:rsid w:val="0042066D"/>
    <w:rsid w:val="00420736"/>
    <w:rsid w:val="0042099F"/>
    <w:rsid w:val="00420A96"/>
    <w:rsid w:val="00420AC8"/>
    <w:rsid w:val="00420DB0"/>
    <w:rsid w:val="00420DEE"/>
    <w:rsid w:val="00420EF4"/>
    <w:rsid w:val="00420F43"/>
    <w:rsid w:val="0042104F"/>
    <w:rsid w:val="00421088"/>
    <w:rsid w:val="004210B0"/>
    <w:rsid w:val="004212F9"/>
    <w:rsid w:val="00421334"/>
    <w:rsid w:val="00421414"/>
    <w:rsid w:val="0042161B"/>
    <w:rsid w:val="0042167F"/>
    <w:rsid w:val="004216A2"/>
    <w:rsid w:val="00421864"/>
    <w:rsid w:val="004218FD"/>
    <w:rsid w:val="00421917"/>
    <w:rsid w:val="00421A51"/>
    <w:rsid w:val="00421D38"/>
    <w:rsid w:val="00421D3D"/>
    <w:rsid w:val="00421D8A"/>
    <w:rsid w:val="00421DD6"/>
    <w:rsid w:val="00421ECE"/>
    <w:rsid w:val="00421EEA"/>
    <w:rsid w:val="00421F2F"/>
    <w:rsid w:val="00422015"/>
    <w:rsid w:val="004220D0"/>
    <w:rsid w:val="004221AF"/>
    <w:rsid w:val="004221F7"/>
    <w:rsid w:val="0042220F"/>
    <w:rsid w:val="00422358"/>
    <w:rsid w:val="0042241D"/>
    <w:rsid w:val="00422486"/>
    <w:rsid w:val="0042255B"/>
    <w:rsid w:val="00422567"/>
    <w:rsid w:val="0042257F"/>
    <w:rsid w:val="00422611"/>
    <w:rsid w:val="00422818"/>
    <w:rsid w:val="0042291A"/>
    <w:rsid w:val="004229BA"/>
    <w:rsid w:val="004229D8"/>
    <w:rsid w:val="004229E0"/>
    <w:rsid w:val="00422D22"/>
    <w:rsid w:val="00422D48"/>
    <w:rsid w:val="00422E9E"/>
    <w:rsid w:val="004230C0"/>
    <w:rsid w:val="00423179"/>
    <w:rsid w:val="0042323A"/>
    <w:rsid w:val="00423297"/>
    <w:rsid w:val="004232A2"/>
    <w:rsid w:val="00423352"/>
    <w:rsid w:val="0042346C"/>
    <w:rsid w:val="00423507"/>
    <w:rsid w:val="0042351D"/>
    <w:rsid w:val="0042387F"/>
    <w:rsid w:val="00423934"/>
    <w:rsid w:val="004239FD"/>
    <w:rsid w:val="00423A8E"/>
    <w:rsid w:val="00423AB6"/>
    <w:rsid w:val="00423B18"/>
    <w:rsid w:val="00423C24"/>
    <w:rsid w:val="00423DA5"/>
    <w:rsid w:val="00423E4B"/>
    <w:rsid w:val="00423E6F"/>
    <w:rsid w:val="00423E95"/>
    <w:rsid w:val="00423FB1"/>
    <w:rsid w:val="00423FEA"/>
    <w:rsid w:val="0042404A"/>
    <w:rsid w:val="004241F3"/>
    <w:rsid w:val="0042428C"/>
    <w:rsid w:val="0042431E"/>
    <w:rsid w:val="00424349"/>
    <w:rsid w:val="00424534"/>
    <w:rsid w:val="0042455F"/>
    <w:rsid w:val="0042490B"/>
    <w:rsid w:val="00424984"/>
    <w:rsid w:val="004249FE"/>
    <w:rsid w:val="00424A5A"/>
    <w:rsid w:val="00424B03"/>
    <w:rsid w:val="00424B3F"/>
    <w:rsid w:val="00424BE0"/>
    <w:rsid w:val="00424C33"/>
    <w:rsid w:val="00424D0C"/>
    <w:rsid w:val="00424D49"/>
    <w:rsid w:val="00424DBF"/>
    <w:rsid w:val="00424EC5"/>
    <w:rsid w:val="00424FE2"/>
    <w:rsid w:val="0042504B"/>
    <w:rsid w:val="00425095"/>
    <w:rsid w:val="004251F0"/>
    <w:rsid w:val="0042520A"/>
    <w:rsid w:val="00425372"/>
    <w:rsid w:val="004253F6"/>
    <w:rsid w:val="00425405"/>
    <w:rsid w:val="004254A1"/>
    <w:rsid w:val="00425562"/>
    <w:rsid w:val="004255C4"/>
    <w:rsid w:val="004256E2"/>
    <w:rsid w:val="004257D7"/>
    <w:rsid w:val="004257FA"/>
    <w:rsid w:val="00425901"/>
    <w:rsid w:val="00425A79"/>
    <w:rsid w:val="00425BAA"/>
    <w:rsid w:val="00425D64"/>
    <w:rsid w:val="00425E11"/>
    <w:rsid w:val="00425E1A"/>
    <w:rsid w:val="00425EF3"/>
    <w:rsid w:val="00425FE2"/>
    <w:rsid w:val="00426035"/>
    <w:rsid w:val="00426070"/>
    <w:rsid w:val="00426246"/>
    <w:rsid w:val="004262A5"/>
    <w:rsid w:val="00426445"/>
    <w:rsid w:val="00426474"/>
    <w:rsid w:val="004264B5"/>
    <w:rsid w:val="004264F9"/>
    <w:rsid w:val="00426558"/>
    <w:rsid w:val="0042663A"/>
    <w:rsid w:val="00426A2E"/>
    <w:rsid w:val="00426AC8"/>
    <w:rsid w:val="00426C19"/>
    <w:rsid w:val="00426D28"/>
    <w:rsid w:val="00426EF0"/>
    <w:rsid w:val="00426F68"/>
    <w:rsid w:val="00427077"/>
    <w:rsid w:val="0042709E"/>
    <w:rsid w:val="00427173"/>
    <w:rsid w:val="004271C9"/>
    <w:rsid w:val="004272B7"/>
    <w:rsid w:val="004273E3"/>
    <w:rsid w:val="00427442"/>
    <w:rsid w:val="0042748B"/>
    <w:rsid w:val="00427756"/>
    <w:rsid w:val="004277F3"/>
    <w:rsid w:val="004277FD"/>
    <w:rsid w:val="0042783E"/>
    <w:rsid w:val="004278CC"/>
    <w:rsid w:val="00427C70"/>
    <w:rsid w:val="00427E85"/>
    <w:rsid w:val="00427F6B"/>
    <w:rsid w:val="00427F7A"/>
    <w:rsid w:val="00427FBC"/>
    <w:rsid w:val="0043016F"/>
    <w:rsid w:val="004301AF"/>
    <w:rsid w:val="004301F9"/>
    <w:rsid w:val="00430226"/>
    <w:rsid w:val="0043045E"/>
    <w:rsid w:val="0043049B"/>
    <w:rsid w:val="00430564"/>
    <w:rsid w:val="0043065D"/>
    <w:rsid w:val="004306B3"/>
    <w:rsid w:val="004307B1"/>
    <w:rsid w:val="0043087C"/>
    <w:rsid w:val="00430916"/>
    <w:rsid w:val="004309F7"/>
    <w:rsid w:val="00430AA8"/>
    <w:rsid w:val="00430B03"/>
    <w:rsid w:val="00430B21"/>
    <w:rsid w:val="00430B2E"/>
    <w:rsid w:val="00430B79"/>
    <w:rsid w:val="00430CF3"/>
    <w:rsid w:val="00430D33"/>
    <w:rsid w:val="00430F56"/>
    <w:rsid w:val="00430FE8"/>
    <w:rsid w:val="00431019"/>
    <w:rsid w:val="004314C9"/>
    <w:rsid w:val="00431520"/>
    <w:rsid w:val="004315A3"/>
    <w:rsid w:val="00431885"/>
    <w:rsid w:val="004318B3"/>
    <w:rsid w:val="00431909"/>
    <w:rsid w:val="00431965"/>
    <w:rsid w:val="00431AB6"/>
    <w:rsid w:val="00431B42"/>
    <w:rsid w:val="00431B51"/>
    <w:rsid w:val="00431B63"/>
    <w:rsid w:val="00431B67"/>
    <w:rsid w:val="00431B96"/>
    <w:rsid w:val="00431B99"/>
    <w:rsid w:val="00431C0E"/>
    <w:rsid w:val="00431D35"/>
    <w:rsid w:val="00431E35"/>
    <w:rsid w:val="00431FD5"/>
    <w:rsid w:val="00432274"/>
    <w:rsid w:val="004322AD"/>
    <w:rsid w:val="00432322"/>
    <w:rsid w:val="004323EA"/>
    <w:rsid w:val="00432490"/>
    <w:rsid w:val="0043252F"/>
    <w:rsid w:val="004325A5"/>
    <w:rsid w:val="004326F9"/>
    <w:rsid w:val="0043273C"/>
    <w:rsid w:val="004328BE"/>
    <w:rsid w:val="0043292F"/>
    <w:rsid w:val="00432A10"/>
    <w:rsid w:val="00432A82"/>
    <w:rsid w:val="00432ABF"/>
    <w:rsid w:val="00432ADF"/>
    <w:rsid w:val="00432C34"/>
    <w:rsid w:val="00432CAB"/>
    <w:rsid w:val="00432D1E"/>
    <w:rsid w:val="00432E15"/>
    <w:rsid w:val="00432E1D"/>
    <w:rsid w:val="00432F07"/>
    <w:rsid w:val="00433170"/>
    <w:rsid w:val="0043319B"/>
    <w:rsid w:val="004332E7"/>
    <w:rsid w:val="00433504"/>
    <w:rsid w:val="004336BB"/>
    <w:rsid w:val="00433741"/>
    <w:rsid w:val="004337FF"/>
    <w:rsid w:val="0043392D"/>
    <w:rsid w:val="004339E3"/>
    <w:rsid w:val="00433A3E"/>
    <w:rsid w:val="00433A66"/>
    <w:rsid w:val="00433A9A"/>
    <w:rsid w:val="00433AF1"/>
    <w:rsid w:val="00433BCF"/>
    <w:rsid w:val="00433E01"/>
    <w:rsid w:val="00433E5D"/>
    <w:rsid w:val="00433ED2"/>
    <w:rsid w:val="00433EDE"/>
    <w:rsid w:val="004340EB"/>
    <w:rsid w:val="00434271"/>
    <w:rsid w:val="00434383"/>
    <w:rsid w:val="004344CC"/>
    <w:rsid w:val="0043452A"/>
    <w:rsid w:val="00434682"/>
    <w:rsid w:val="00434738"/>
    <w:rsid w:val="004347CC"/>
    <w:rsid w:val="004347EF"/>
    <w:rsid w:val="00434979"/>
    <w:rsid w:val="00434A71"/>
    <w:rsid w:val="00434AA3"/>
    <w:rsid w:val="00434B21"/>
    <w:rsid w:val="00434BBF"/>
    <w:rsid w:val="00434CD6"/>
    <w:rsid w:val="00434CF4"/>
    <w:rsid w:val="00434D68"/>
    <w:rsid w:val="00434E7B"/>
    <w:rsid w:val="00434EBB"/>
    <w:rsid w:val="00434FF6"/>
    <w:rsid w:val="004351C1"/>
    <w:rsid w:val="00435207"/>
    <w:rsid w:val="004352D9"/>
    <w:rsid w:val="004352ED"/>
    <w:rsid w:val="00435374"/>
    <w:rsid w:val="00435386"/>
    <w:rsid w:val="00435404"/>
    <w:rsid w:val="0043544F"/>
    <w:rsid w:val="0043548D"/>
    <w:rsid w:val="004354E0"/>
    <w:rsid w:val="004355D6"/>
    <w:rsid w:val="00435681"/>
    <w:rsid w:val="00435768"/>
    <w:rsid w:val="00435945"/>
    <w:rsid w:val="00435951"/>
    <w:rsid w:val="004359C2"/>
    <w:rsid w:val="00435A1E"/>
    <w:rsid w:val="00435AB1"/>
    <w:rsid w:val="00435AF5"/>
    <w:rsid w:val="00435B13"/>
    <w:rsid w:val="00435BD5"/>
    <w:rsid w:val="00435D3A"/>
    <w:rsid w:val="00435D93"/>
    <w:rsid w:val="00435DDE"/>
    <w:rsid w:val="00435E39"/>
    <w:rsid w:val="0043607C"/>
    <w:rsid w:val="004360EA"/>
    <w:rsid w:val="00436131"/>
    <w:rsid w:val="004361C1"/>
    <w:rsid w:val="004361F5"/>
    <w:rsid w:val="004362C0"/>
    <w:rsid w:val="0043634B"/>
    <w:rsid w:val="00436447"/>
    <w:rsid w:val="004364EF"/>
    <w:rsid w:val="004366F5"/>
    <w:rsid w:val="00436807"/>
    <w:rsid w:val="0043689E"/>
    <w:rsid w:val="0043697B"/>
    <w:rsid w:val="004369F9"/>
    <w:rsid w:val="00436A06"/>
    <w:rsid w:val="00436AC8"/>
    <w:rsid w:val="00436B73"/>
    <w:rsid w:val="00436C49"/>
    <w:rsid w:val="00436D5E"/>
    <w:rsid w:val="00436D76"/>
    <w:rsid w:val="00436E18"/>
    <w:rsid w:val="00436E85"/>
    <w:rsid w:val="00436F47"/>
    <w:rsid w:val="00437015"/>
    <w:rsid w:val="0043702B"/>
    <w:rsid w:val="00437090"/>
    <w:rsid w:val="00437135"/>
    <w:rsid w:val="004371FC"/>
    <w:rsid w:val="00437313"/>
    <w:rsid w:val="004373A1"/>
    <w:rsid w:val="004373D3"/>
    <w:rsid w:val="0043753B"/>
    <w:rsid w:val="00437547"/>
    <w:rsid w:val="004375BB"/>
    <w:rsid w:val="004375DF"/>
    <w:rsid w:val="0043761C"/>
    <w:rsid w:val="00437723"/>
    <w:rsid w:val="00437862"/>
    <w:rsid w:val="004379A4"/>
    <w:rsid w:val="004379F6"/>
    <w:rsid w:val="00437BA9"/>
    <w:rsid w:val="00437BBD"/>
    <w:rsid w:val="00437C69"/>
    <w:rsid w:val="00437C9C"/>
    <w:rsid w:val="00437D1C"/>
    <w:rsid w:val="00437D8C"/>
    <w:rsid w:val="00437F0E"/>
    <w:rsid w:val="00437F6B"/>
    <w:rsid w:val="0044005B"/>
    <w:rsid w:val="00440146"/>
    <w:rsid w:val="00440274"/>
    <w:rsid w:val="0044027C"/>
    <w:rsid w:val="0044032A"/>
    <w:rsid w:val="00440697"/>
    <w:rsid w:val="0044073F"/>
    <w:rsid w:val="00440842"/>
    <w:rsid w:val="004409A0"/>
    <w:rsid w:val="00440A54"/>
    <w:rsid w:val="00440BFA"/>
    <w:rsid w:val="00440C48"/>
    <w:rsid w:val="00440D4D"/>
    <w:rsid w:val="00440E0F"/>
    <w:rsid w:val="00440E2B"/>
    <w:rsid w:val="00440F8B"/>
    <w:rsid w:val="0044104B"/>
    <w:rsid w:val="00441084"/>
    <w:rsid w:val="00441096"/>
    <w:rsid w:val="00441336"/>
    <w:rsid w:val="0044153D"/>
    <w:rsid w:val="00441907"/>
    <w:rsid w:val="0044191A"/>
    <w:rsid w:val="00441943"/>
    <w:rsid w:val="0044198B"/>
    <w:rsid w:val="00441A05"/>
    <w:rsid w:val="00441AED"/>
    <w:rsid w:val="00441BE0"/>
    <w:rsid w:val="00441C5E"/>
    <w:rsid w:val="00441CB6"/>
    <w:rsid w:val="00441CCE"/>
    <w:rsid w:val="00441D7E"/>
    <w:rsid w:val="00441DCE"/>
    <w:rsid w:val="00441E0F"/>
    <w:rsid w:val="00441E27"/>
    <w:rsid w:val="00441E8D"/>
    <w:rsid w:val="00441F88"/>
    <w:rsid w:val="00441F9D"/>
    <w:rsid w:val="00441FA6"/>
    <w:rsid w:val="00441FEB"/>
    <w:rsid w:val="00442004"/>
    <w:rsid w:val="00442035"/>
    <w:rsid w:val="004420CC"/>
    <w:rsid w:val="00442186"/>
    <w:rsid w:val="00442247"/>
    <w:rsid w:val="004423BB"/>
    <w:rsid w:val="00442526"/>
    <w:rsid w:val="0044258C"/>
    <w:rsid w:val="004425FC"/>
    <w:rsid w:val="0044273D"/>
    <w:rsid w:val="00442777"/>
    <w:rsid w:val="004427F1"/>
    <w:rsid w:val="00442811"/>
    <w:rsid w:val="0044290E"/>
    <w:rsid w:val="00442A74"/>
    <w:rsid w:val="00442A91"/>
    <w:rsid w:val="00442AFF"/>
    <w:rsid w:val="00442B1E"/>
    <w:rsid w:val="00442B8E"/>
    <w:rsid w:val="00442C1D"/>
    <w:rsid w:val="00442CC5"/>
    <w:rsid w:val="00442E63"/>
    <w:rsid w:val="00442FAF"/>
    <w:rsid w:val="004430EE"/>
    <w:rsid w:val="004430FD"/>
    <w:rsid w:val="00443114"/>
    <w:rsid w:val="004431B8"/>
    <w:rsid w:val="00443249"/>
    <w:rsid w:val="004432CD"/>
    <w:rsid w:val="004433B3"/>
    <w:rsid w:val="0044349D"/>
    <w:rsid w:val="004434A5"/>
    <w:rsid w:val="00443500"/>
    <w:rsid w:val="004435C6"/>
    <w:rsid w:val="004439AD"/>
    <w:rsid w:val="00443D94"/>
    <w:rsid w:val="00443E02"/>
    <w:rsid w:val="00443E4E"/>
    <w:rsid w:val="00443ECB"/>
    <w:rsid w:val="00443F15"/>
    <w:rsid w:val="0044409C"/>
    <w:rsid w:val="0044416E"/>
    <w:rsid w:val="0044419E"/>
    <w:rsid w:val="0044421E"/>
    <w:rsid w:val="0044423A"/>
    <w:rsid w:val="00444290"/>
    <w:rsid w:val="0044435D"/>
    <w:rsid w:val="004443DD"/>
    <w:rsid w:val="004446FB"/>
    <w:rsid w:val="00444736"/>
    <w:rsid w:val="00444751"/>
    <w:rsid w:val="0044498B"/>
    <w:rsid w:val="00444B27"/>
    <w:rsid w:val="00444B68"/>
    <w:rsid w:val="00444BAF"/>
    <w:rsid w:val="00444D66"/>
    <w:rsid w:val="00444DC7"/>
    <w:rsid w:val="00444E9D"/>
    <w:rsid w:val="00444EE0"/>
    <w:rsid w:val="00444FB3"/>
    <w:rsid w:val="00444FDC"/>
    <w:rsid w:val="00444FE1"/>
    <w:rsid w:val="004450B7"/>
    <w:rsid w:val="004450E2"/>
    <w:rsid w:val="00445264"/>
    <w:rsid w:val="00445268"/>
    <w:rsid w:val="0044550D"/>
    <w:rsid w:val="00445786"/>
    <w:rsid w:val="004458C7"/>
    <w:rsid w:val="004458F3"/>
    <w:rsid w:val="00445AF4"/>
    <w:rsid w:val="00445B0F"/>
    <w:rsid w:val="00445C04"/>
    <w:rsid w:val="00445C1B"/>
    <w:rsid w:val="00445C25"/>
    <w:rsid w:val="00445C3F"/>
    <w:rsid w:val="00445E58"/>
    <w:rsid w:val="00445EC3"/>
    <w:rsid w:val="00445EC4"/>
    <w:rsid w:val="00445F0A"/>
    <w:rsid w:val="00445F6A"/>
    <w:rsid w:val="00446030"/>
    <w:rsid w:val="00446093"/>
    <w:rsid w:val="004460A0"/>
    <w:rsid w:val="004461C1"/>
    <w:rsid w:val="0044635F"/>
    <w:rsid w:val="00446610"/>
    <w:rsid w:val="004466B2"/>
    <w:rsid w:val="00446702"/>
    <w:rsid w:val="00446735"/>
    <w:rsid w:val="004467B2"/>
    <w:rsid w:val="004468CB"/>
    <w:rsid w:val="00446B1F"/>
    <w:rsid w:val="00446CD8"/>
    <w:rsid w:val="00446D99"/>
    <w:rsid w:val="00446DCB"/>
    <w:rsid w:val="00446E37"/>
    <w:rsid w:val="00446ECD"/>
    <w:rsid w:val="00446F36"/>
    <w:rsid w:val="00447168"/>
    <w:rsid w:val="004471ED"/>
    <w:rsid w:val="004472A3"/>
    <w:rsid w:val="004472DD"/>
    <w:rsid w:val="00447435"/>
    <w:rsid w:val="004475F5"/>
    <w:rsid w:val="0044780F"/>
    <w:rsid w:val="0044795B"/>
    <w:rsid w:val="004479B1"/>
    <w:rsid w:val="004479BC"/>
    <w:rsid w:val="004479F0"/>
    <w:rsid w:val="00447BDE"/>
    <w:rsid w:val="00447C4C"/>
    <w:rsid w:val="00447D4C"/>
    <w:rsid w:val="00447D64"/>
    <w:rsid w:val="00447E00"/>
    <w:rsid w:val="00447E98"/>
    <w:rsid w:val="00447FBE"/>
    <w:rsid w:val="00447FD4"/>
    <w:rsid w:val="00447FE8"/>
    <w:rsid w:val="00450058"/>
    <w:rsid w:val="0045005C"/>
    <w:rsid w:val="004501C0"/>
    <w:rsid w:val="004501DF"/>
    <w:rsid w:val="0045022A"/>
    <w:rsid w:val="0045042B"/>
    <w:rsid w:val="00450441"/>
    <w:rsid w:val="004504B6"/>
    <w:rsid w:val="0045051C"/>
    <w:rsid w:val="0045051F"/>
    <w:rsid w:val="00450592"/>
    <w:rsid w:val="0045070C"/>
    <w:rsid w:val="00450784"/>
    <w:rsid w:val="004507B5"/>
    <w:rsid w:val="00450961"/>
    <w:rsid w:val="00450A1D"/>
    <w:rsid w:val="00450B8A"/>
    <w:rsid w:val="00450C93"/>
    <w:rsid w:val="00450D73"/>
    <w:rsid w:val="00450D79"/>
    <w:rsid w:val="00450E54"/>
    <w:rsid w:val="00450F48"/>
    <w:rsid w:val="00451043"/>
    <w:rsid w:val="00451129"/>
    <w:rsid w:val="00451299"/>
    <w:rsid w:val="004513F7"/>
    <w:rsid w:val="0045142D"/>
    <w:rsid w:val="00451486"/>
    <w:rsid w:val="004515B0"/>
    <w:rsid w:val="00451671"/>
    <w:rsid w:val="004516AB"/>
    <w:rsid w:val="0045178C"/>
    <w:rsid w:val="004517A5"/>
    <w:rsid w:val="00451889"/>
    <w:rsid w:val="00451A57"/>
    <w:rsid w:val="00451A60"/>
    <w:rsid w:val="00451A8B"/>
    <w:rsid w:val="00451AA3"/>
    <w:rsid w:val="00451D3E"/>
    <w:rsid w:val="00451DCB"/>
    <w:rsid w:val="00451DEF"/>
    <w:rsid w:val="00451EE2"/>
    <w:rsid w:val="00451F75"/>
    <w:rsid w:val="00451FD2"/>
    <w:rsid w:val="00451FE0"/>
    <w:rsid w:val="00452295"/>
    <w:rsid w:val="00452348"/>
    <w:rsid w:val="00452465"/>
    <w:rsid w:val="00452522"/>
    <w:rsid w:val="004525C6"/>
    <w:rsid w:val="004526CA"/>
    <w:rsid w:val="00452898"/>
    <w:rsid w:val="004528A4"/>
    <w:rsid w:val="00452923"/>
    <w:rsid w:val="00452A91"/>
    <w:rsid w:val="00452B11"/>
    <w:rsid w:val="00452BA3"/>
    <w:rsid w:val="00452C33"/>
    <w:rsid w:val="00452D95"/>
    <w:rsid w:val="00452E79"/>
    <w:rsid w:val="00452EDF"/>
    <w:rsid w:val="00452F71"/>
    <w:rsid w:val="00452F72"/>
    <w:rsid w:val="00453149"/>
    <w:rsid w:val="0045325E"/>
    <w:rsid w:val="0045326F"/>
    <w:rsid w:val="0045329C"/>
    <w:rsid w:val="004532B9"/>
    <w:rsid w:val="0045336A"/>
    <w:rsid w:val="00453602"/>
    <w:rsid w:val="00453658"/>
    <w:rsid w:val="004536AE"/>
    <w:rsid w:val="00453705"/>
    <w:rsid w:val="00453722"/>
    <w:rsid w:val="004538E5"/>
    <w:rsid w:val="0045399D"/>
    <w:rsid w:val="00453A69"/>
    <w:rsid w:val="00453BBC"/>
    <w:rsid w:val="00453C02"/>
    <w:rsid w:val="00453E6B"/>
    <w:rsid w:val="00453F75"/>
    <w:rsid w:val="00453FEE"/>
    <w:rsid w:val="0045413F"/>
    <w:rsid w:val="0045429D"/>
    <w:rsid w:val="00454337"/>
    <w:rsid w:val="004543EA"/>
    <w:rsid w:val="00454503"/>
    <w:rsid w:val="00454527"/>
    <w:rsid w:val="00454726"/>
    <w:rsid w:val="004547A5"/>
    <w:rsid w:val="00454837"/>
    <w:rsid w:val="00454A52"/>
    <w:rsid w:val="00454A5D"/>
    <w:rsid w:val="00454A68"/>
    <w:rsid w:val="00454B60"/>
    <w:rsid w:val="00454C08"/>
    <w:rsid w:val="00454D10"/>
    <w:rsid w:val="00454DCA"/>
    <w:rsid w:val="00454DF2"/>
    <w:rsid w:val="00454F00"/>
    <w:rsid w:val="0045508E"/>
    <w:rsid w:val="004550B1"/>
    <w:rsid w:val="004550FB"/>
    <w:rsid w:val="0045517C"/>
    <w:rsid w:val="00455193"/>
    <w:rsid w:val="00455210"/>
    <w:rsid w:val="004553D1"/>
    <w:rsid w:val="0045544C"/>
    <w:rsid w:val="00455514"/>
    <w:rsid w:val="00455584"/>
    <w:rsid w:val="004555CE"/>
    <w:rsid w:val="00455705"/>
    <w:rsid w:val="00455796"/>
    <w:rsid w:val="004557AD"/>
    <w:rsid w:val="0045580F"/>
    <w:rsid w:val="0045597B"/>
    <w:rsid w:val="004559B1"/>
    <w:rsid w:val="00455AA1"/>
    <w:rsid w:val="00455CD4"/>
    <w:rsid w:val="00455CF9"/>
    <w:rsid w:val="00455D23"/>
    <w:rsid w:val="0045601A"/>
    <w:rsid w:val="00456074"/>
    <w:rsid w:val="00456149"/>
    <w:rsid w:val="00456252"/>
    <w:rsid w:val="0045625D"/>
    <w:rsid w:val="0045649B"/>
    <w:rsid w:val="00456525"/>
    <w:rsid w:val="00456669"/>
    <w:rsid w:val="004566BB"/>
    <w:rsid w:val="0045670C"/>
    <w:rsid w:val="00456752"/>
    <w:rsid w:val="0045676C"/>
    <w:rsid w:val="00456826"/>
    <w:rsid w:val="00456837"/>
    <w:rsid w:val="00456866"/>
    <w:rsid w:val="00456B94"/>
    <w:rsid w:val="00456BAB"/>
    <w:rsid w:val="00456C14"/>
    <w:rsid w:val="00457032"/>
    <w:rsid w:val="004570A9"/>
    <w:rsid w:val="004570DA"/>
    <w:rsid w:val="004570F4"/>
    <w:rsid w:val="004574BC"/>
    <w:rsid w:val="004574DD"/>
    <w:rsid w:val="004575BB"/>
    <w:rsid w:val="004575FA"/>
    <w:rsid w:val="004575FD"/>
    <w:rsid w:val="0045761A"/>
    <w:rsid w:val="0045766E"/>
    <w:rsid w:val="00457AFD"/>
    <w:rsid w:val="00457B16"/>
    <w:rsid w:val="00457B9C"/>
    <w:rsid w:val="00457C98"/>
    <w:rsid w:val="00457CAE"/>
    <w:rsid w:val="00457CDA"/>
    <w:rsid w:val="00457CE1"/>
    <w:rsid w:val="00457D63"/>
    <w:rsid w:val="00457EE2"/>
    <w:rsid w:val="0045BE25"/>
    <w:rsid w:val="00460740"/>
    <w:rsid w:val="00460759"/>
    <w:rsid w:val="00460787"/>
    <w:rsid w:val="004607D3"/>
    <w:rsid w:val="00460B47"/>
    <w:rsid w:val="00460B5E"/>
    <w:rsid w:val="00460DBC"/>
    <w:rsid w:val="004610C4"/>
    <w:rsid w:val="00461125"/>
    <w:rsid w:val="0046114F"/>
    <w:rsid w:val="004612B3"/>
    <w:rsid w:val="00461312"/>
    <w:rsid w:val="00461394"/>
    <w:rsid w:val="004614B9"/>
    <w:rsid w:val="004614D7"/>
    <w:rsid w:val="004614F3"/>
    <w:rsid w:val="00461633"/>
    <w:rsid w:val="004617D8"/>
    <w:rsid w:val="004618E2"/>
    <w:rsid w:val="0046194E"/>
    <w:rsid w:val="004619AB"/>
    <w:rsid w:val="00461A66"/>
    <w:rsid w:val="00461B75"/>
    <w:rsid w:val="00461B7E"/>
    <w:rsid w:val="00461C99"/>
    <w:rsid w:val="00461CFA"/>
    <w:rsid w:val="00461CFC"/>
    <w:rsid w:val="00461D3E"/>
    <w:rsid w:val="00461E57"/>
    <w:rsid w:val="00461F3C"/>
    <w:rsid w:val="00461FA1"/>
    <w:rsid w:val="004620DF"/>
    <w:rsid w:val="004620F5"/>
    <w:rsid w:val="0046213A"/>
    <w:rsid w:val="004621C1"/>
    <w:rsid w:val="00462289"/>
    <w:rsid w:val="004622D5"/>
    <w:rsid w:val="004622E4"/>
    <w:rsid w:val="004622EB"/>
    <w:rsid w:val="00462307"/>
    <w:rsid w:val="004623D2"/>
    <w:rsid w:val="0046245C"/>
    <w:rsid w:val="00462655"/>
    <w:rsid w:val="00462725"/>
    <w:rsid w:val="00462761"/>
    <w:rsid w:val="00462781"/>
    <w:rsid w:val="00462800"/>
    <w:rsid w:val="00462993"/>
    <w:rsid w:val="00462BEE"/>
    <w:rsid w:val="00462CA9"/>
    <w:rsid w:val="00462DFA"/>
    <w:rsid w:val="00462E07"/>
    <w:rsid w:val="00463093"/>
    <w:rsid w:val="0046310D"/>
    <w:rsid w:val="00463126"/>
    <w:rsid w:val="00463370"/>
    <w:rsid w:val="00463398"/>
    <w:rsid w:val="004633E1"/>
    <w:rsid w:val="0046342F"/>
    <w:rsid w:val="004635FE"/>
    <w:rsid w:val="00463618"/>
    <w:rsid w:val="004638E4"/>
    <w:rsid w:val="0046394E"/>
    <w:rsid w:val="00463AF5"/>
    <w:rsid w:val="00463B0A"/>
    <w:rsid w:val="00463E63"/>
    <w:rsid w:val="00463EE0"/>
    <w:rsid w:val="0046402B"/>
    <w:rsid w:val="004640FD"/>
    <w:rsid w:val="00464163"/>
    <w:rsid w:val="00464183"/>
    <w:rsid w:val="00464335"/>
    <w:rsid w:val="00464393"/>
    <w:rsid w:val="004643B8"/>
    <w:rsid w:val="00464491"/>
    <w:rsid w:val="004644FE"/>
    <w:rsid w:val="0046467E"/>
    <w:rsid w:val="004646A6"/>
    <w:rsid w:val="0046475D"/>
    <w:rsid w:val="004647A6"/>
    <w:rsid w:val="0046495E"/>
    <w:rsid w:val="00464986"/>
    <w:rsid w:val="00464B90"/>
    <w:rsid w:val="00464D32"/>
    <w:rsid w:val="00464D94"/>
    <w:rsid w:val="00464FA4"/>
    <w:rsid w:val="00464FAD"/>
    <w:rsid w:val="004651AE"/>
    <w:rsid w:val="004651C8"/>
    <w:rsid w:val="00465213"/>
    <w:rsid w:val="00465225"/>
    <w:rsid w:val="0046531C"/>
    <w:rsid w:val="00465328"/>
    <w:rsid w:val="00465343"/>
    <w:rsid w:val="004653CD"/>
    <w:rsid w:val="00465462"/>
    <w:rsid w:val="004654AB"/>
    <w:rsid w:val="00465639"/>
    <w:rsid w:val="004656FB"/>
    <w:rsid w:val="004656FE"/>
    <w:rsid w:val="00465721"/>
    <w:rsid w:val="004658AC"/>
    <w:rsid w:val="00465963"/>
    <w:rsid w:val="00465A1F"/>
    <w:rsid w:val="00465A6B"/>
    <w:rsid w:val="00465A95"/>
    <w:rsid w:val="00465B38"/>
    <w:rsid w:val="00465B65"/>
    <w:rsid w:val="00465BCC"/>
    <w:rsid w:val="00465D5F"/>
    <w:rsid w:val="004660FC"/>
    <w:rsid w:val="004661F7"/>
    <w:rsid w:val="004662BF"/>
    <w:rsid w:val="00466369"/>
    <w:rsid w:val="0046646D"/>
    <w:rsid w:val="00466478"/>
    <w:rsid w:val="00466554"/>
    <w:rsid w:val="0046655E"/>
    <w:rsid w:val="00466580"/>
    <w:rsid w:val="00466823"/>
    <w:rsid w:val="0046688B"/>
    <w:rsid w:val="00466892"/>
    <w:rsid w:val="0046693D"/>
    <w:rsid w:val="00466A09"/>
    <w:rsid w:val="00466B13"/>
    <w:rsid w:val="00466BB9"/>
    <w:rsid w:val="00466CBA"/>
    <w:rsid w:val="00466E61"/>
    <w:rsid w:val="00466EC3"/>
    <w:rsid w:val="00467012"/>
    <w:rsid w:val="0046714E"/>
    <w:rsid w:val="00467165"/>
    <w:rsid w:val="00467184"/>
    <w:rsid w:val="00467275"/>
    <w:rsid w:val="004672D7"/>
    <w:rsid w:val="00467324"/>
    <w:rsid w:val="00467625"/>
    <w:rsid w:val="00467720"/>
    <w:rsid w:val="0046780C"/>
    <w:rsid w:val="00467865"/>
    <w:rsid w:val="004678A5"/>
    <w:rsid w:val="00467919"/>
    <w:rsid w:val="004679DF"/>
    <w:rsid w:val="00467A65"/>
    <w:rsid w:val="00467A93"/>
    <w:rsid w:val="00467A96"/>
    <w:rsid w:val="00467AAC"/>
    <w:rsid w:val="00467B3F"/>
    <w:rsid w:val="00467B8F"/>
    <w:rsid w:val="00467BDF"/>
    <w:rsid w:val="00467C8E"/>
    <w:rsid w:val="00467DA3"/>
    <w:rsid w:val="00467EC4"/>
    <w:rsid w:val="00467F87"/>
    <w:rsid w:val="00467FB3"/>
    <w:rsid w:val="0047007B"/>
    <w:rsid w:val="004701ED"/>
    <w:rsid w:val="0047028A"/>
    <w:rsid w:val="004702B0"/>
    <w:rsid w:val="00470525"/>
    <w:rsid w:val="0047064A"/>
    <w:rsid w:val="0047071A"/>
    <w:rsid w:val="00470942"/>
    <w:rsid w:val="004709D9"/>
    <w:rsid w:val="00470A34"/>
    <w:rsid w:val="00470ADD"/>
    <w:rsid w:val="00470AFA"/>
    <w:rsid w:val="00470BB7"/>
    <w:rsid w:val="00470E2B"/>
    <w:rsid w:val="00470EDE"/>
    <w:rsid w:val="00470F1F"/>
    <w:rsid w:val="00470F25"/>
    <w:rsid w:val="00471126"/>
    <w:rsid w:val="00471135"/>
    <w:rsid w:val="00471171"/>
    <w:rsid w:val="004711DE"/>
    <w:rsid w:val="0047121A"/>
    <w:rsid w:val="0047129A"/>
    <w:rsid w:val="004712A0"/>
    <w:rsid w:val="004712E8"/>
    <w:rsid w:val="004713B3"/>
    <w:rsid w:val="004713FE"/>
    <w:rsid w:val="00471528"/>
    <w:rsid w:val="00471638"/>
    <w:rsid w:val="00471670"/>
    <w:rsid w:val="004716AF"/>
    <w:rsid w:val="004716E3"/>
    <w:rsid w:val="004717EB"/>
    <w:rsid w:val="004717F1"/>
    <w:rsid w:val="00471B13"/>
    <w:rsid w:val="00471B85"/>
    <w:rsid w:val="00471BE5"/>
    <w:rsid w:val="00471CC2"/>
    <w:rsid w:val="00471DA0"/>
    <w:rsid w:val="00472031"/>
    <w:rsid w:val="00472035"/>
    <w:rsid w:val="004720D8"/>
    <w:rsid w:val="0047217F"/>
    <w:rsid w:val="004721BD"/>
    <w:rsid w:val="004722C4"/>
    <w:rsid w:val="00472398"/>
    <w:rsid w:val="00472792"/>
    <w:rsid w:val="00472866"/>
    <w:rsid w:val="00472A17"/>
    <w:rsid w:val="00472A79"/>
    <w:rsid w:val="00472AB0"/>
    <w:rsid w:val="00472AF6"/>
    <w:rsid w:val="00472B25"/>
    <w:rsid w:val="00472ED4"/>
    <w:rsid w:val="00472F13"/>
    <w:rsid w:val="0047313E"/>
    <w:rsid w:val="00473478"/>
    <w:rsid w:val="00473499"/>
    <w:rsid w:val="004736B2"/>
    <w:rsid w:val="00473713"/>
    <w:rsid w:val="00473776"/>
    <w:rsid w:val="004739AA"/>
    <w:rsid w:val="00473B30"/>
    <w:rsid w:val="00473BCB"/>
    <w:rsid w:val="00473BDA"/>
    <w:rsid w:val="00473DDE"/>
    <w:rsid w:val="00473E46"/>
    <w:rsid w:val="00473EFD"/>
    <w:rsid w:val="004740E2"/>
    <w:rsid w:val="004740F4"/>
    <w:rsid w:val="0047432A"/>
    <w:rsid w:val="00474372"/>
    <w:rsid w:val="004744EB"/>
    <w:rsid w:val="004744EC"/>
    <w:rsid w:val="00474514"/>
    <w:rsid w:val="004746DF"/>
    <w:rsid w:val="0047477E"/>
    <w:rsid w:val="004747DC"/>
    <w:rsid w:val="004747EB"/>
    <w:rsid w:val="0047485B"/>
    <w:rsid w:val="004748EE"/>
    <w:rsid w:val="00474963"/>
    <w:rsid w:val="00474B11"/>
    <w:rsid w:val="00474D4B"/>
    <w:rsid w:val="00474DA1"/>
    <w:rsid w:val="00474E81"/>
    <w:rsid w:val="00474E88"/>
    <w:rsid w:val="00474EB1"/>
    <w:rsid w:val="00474F14"/>
    <w:rsid w:val="00474F3A"/>
    <w:rsid w:val="00474F46"/>
    <w:rsid w:val="00475074"/>
    <w:rsid w:val="00475086"/>
    <w:rsid w:val="0047509F"/>
    <w:rsid w:val="00475146"/>
    <w:rsid w:val="004751AE"/>
    <w:rsid w:val="004753A0"/>
    <w:rsid w:val="00475450"/>
    <w:rsid w:val="004754C0"/>
    <w:rsid w:val="00475722"/>
    <w:rsid w:val="0047574E"/>
    <w:rsid w:val="00475805"/>
    <w:rsid w:val="00475950"/>
    <w:rsid w:val="00475992"/>
    <w:rsid w:val="00475A20"/>
    <w:rsid w:val="00475B86"/>
    <w:rsid w:val="00475B91"/>
    <w:rsid w:val="00475C50"/>
    <w:rsid w:val="00475C8F"/>
    <w:rsid w:val="00475F12"/>
    <w:rsid w:val="00475F4E"/>
    <w:rsid w:val="0047613E"/>
    <w:rsid w:val="004761EB"/>
    <w:rsid w:val="0047628F"/>
    <w:rsid w:val="004765BA"/>
    <w:rsid w:val="0047672C"/>
    <w:rsid w:val="004767CD"/>
    <w:rsid w:val="004768F1"/>
    <w:rsid w:val="00476914"/>
    <w:rsid w:val="00476967"/>
    <w:rsid w:val="00476998"/>
    <w:rsid w:val="004769FA"/>
    <w:rsid w:val="00476A19"/>
    <w:rsid w:val="00476A3F"/>
    <w:rsid w:val="00476ABF"/>
    <w:rsid w:val="00476B3B"/>
    <w:rsid w:val="00476B5E"/>
    <w:rsid w:val="00476C14"/>
    <w:rsid w:val="00476C1B"/>
    <w:rsid w:val="00476D6B"/>
    <w:rsid w:val="00476F2A"/>
    <w:rsid w:val="00476F5B"/>
    <w:rsid w:val="00476FF6"/>
    <w:rsid w:val="00477012"/>
    <w:rsid w:val="00477186"/>
    <w:rsid w:val="0047718D"/>
    <w:rsid w:val="0047743E"/>
    <w:rsid w:val="0047759B"/>
    <w:rsid w:val="00477803"/>
    <w:rsid w:val="00477855"/>
    <w:rsid w:val="0047785D"/>
    <w:rsid w:val="004778B7"/>
    <w:rsid w:val="0047798C"/>
    <w:rsid w:val="00477B65"/>
    <w:rsid w:val="00477CAE"/>
    <w:rsid w:val="00477D23"/>
    <w:rsid w:val="00477EBD"/>
    <w:rsid w:val="00477F1E"/>
    <w:rsid w:val="00477F3E"/>
    <w:rsid w:val="00480013"/>
    <w:rsid w:val="004801FF"/>
    <w:rsid w:val="004802F6"/>
    <w:rsid w:val="00480344"/>
    <w:rsid w:val="0048039E"/>
    <w:rsid w:val="004804F3"/>
    <w:rsid w:val="00480706"/>
    <w:rsid w:val="0048074A"/>
    <w:rsid w:val="004808BA"/>
    <w:rsid w:val="004809C1"/>
    <w:rsid w:val="00480A21"/>
    <w:rsid w:val="00480A91"/>
    <w:rsid w:val="00480C30"/>
    <w:rsid w:val="00480C3C"/>
    <w:rsid w:val="00480C84"/>
    <w:rsid w:val="00480D44"/>
    <w:rsid w:val="00480F93"/>
    <w:rsid w:val="00481028"/>
    <w:rsid w:val="004810DF"/>
    <w:rsid w:val="004810E8"/>
    <w:rsid w:val="0048115F"/>
    <w:rsid w:val="00481352"/>
    <w:rsid w:val="004813C9"/>
    <w:rsid w:val="0048146D"/>
    <w:rsid w:val="00481490"/>
    <w:rsid w:val="00481878"/>
    <w:rsid w:val="0048189C"/>
    <w:rsid w:val="00481949"/>
    <w:rsid w:val="0048199E"/>
    <w:rsid w:val="00481A72"/>
    <w:rsid w:val="00481B36"/>
    <w:rsid w:val="00481B88"/>
    <w:rsid w:val="00481C2D"/>
    <w:rsid w:val="00481C34"/>
    <w:rsid w:val="00481D01"/>
    <w:rsid w:val="00481D6E"/>
    <w:rsid w:val="00481EA6"/>
    <w:rsid w:val="00481FF6"/>
    <w:rsid w:val="0048201A"/>
    <w:rsid w:val="0048232A"/>
    <w:rsid w:val="004823EF"/>
    <w:rsid w:val="004824A8"/>
    <w:rsid w:val="00482534"/>
    <w:rsid w:val="004825A8"/>
    <w:rsid w:val="004825E5"/>
    <w:rsid w:val="004828B2"/>
    <w:rsid w:val="0048298C"/>
    <w:rsid w:val="004829C9"/>
    <w:rsid w:val="004829D7"/>
    <w:rsid w:val="00482B1F"/>
    <w:rsid w:val="00482E92"/>
    <w:rsid w:val="00482EBB"/>
    <w:rsid w:val="00482F1D"/>
    <w:rsid w:val="00482F5A"/>
    <w:rsid w:val="00482FFD"/>
    <w:rsid w:val="00483027"/>
    <w:rsid w:val="004830B9"/>
    <w:rsid w:val="0048315F"/>
    <w:rsid w:val="0048319A"/>
    <w:rsid w:val="004832B9"/>
    <w:rsid w:val="00483307"/>
    <w:rsid w:val="00483317"/>
    <w:rsid w:val="00483327"/>
    <w:rsid w:val="00483330"/>
    <w:rsid w:val="0048369A"/>
    <w:rsid w:val="004836D2"/>
    <w:rsid w:val="004836E4"/>
    <w:rsid w:val="00483779"/>
    <w:rsid w:val="00483796"/>
    <w:rsid w:val="00483930"/>
    <w:rsid w:val="00483AA1"/>
    <w:rsid w:val="00483BE3"/>
    <w:rsid w:val="00483C23"/>
    <w:rsid w:val="00483D5D"/>
    <w:rsid w:val="00483E60"/>
    <w:rsid w:val="00483F08"/>
    <w:rsid w:val="00483F19"/>
    <w:rsid w:val="00483FE0"/>
    <w:rsid w:val="00483FE9"/>
    <w:rsid w:val="00483FFB"/>
    <w:rsid w:val="00484012"/>
    <w:rsid w:val="00484072"/>
    <w:rsid w:val="004840D9"/>
    <w:rsid w:val="0048421D"/>
    <w:rsid w:val="0048423E"/>
    <w:rsid w:val="00484287"/>
    <w:rsid w:val="00484329"/>
    <w:rsid w:val="00484412"/>
    <w:rsid w:val="00484420"/>
    <w:rsid w:val="00484437"/>
    <w:rsid w:val="0048451E"/>
    <w:rsid w:val="004845B1"/>
    <w:rsid w:val="00484689"/>
    <w:rsid w:val="0048468E"/>
    <w:rsid w:val="0048473F"/>
    <w:rsid w:val="00484777"/>
    <w:rsid w:val="004848CF"/>
    <w:rsid w:val="004848EF"/>
    <w:rsid w:val="004849CF"/>
    <w:rsid w:val="00484A08"/>
    <w:rsid w:val="00484B76"/>
    <w:rsid w:val="00484D40"/>
    <w:rsid w:val="00484EFD"/>
    <w:rsid w:val="00484FD7"/>
    <w:rsid w:val="004851F8"/>
    <w:rsid w:val="0048531A"/>
    <w:rsid w:val="004855EF"/>
    <w:rsid w:val="004856BB"/>
    <w:rsid w:val="004857AD"/>
    <w:rsid w:val="00485858"/>
    <w:rsid w:val="004858F8"/>
    <w:rsid w:val="00485A44"/>
    <w:rsid w:val="00485AA4"/>
    <w:rsid w:val="00485B6B"/>
    <w:rsid w:val="00485B83"/>
    <w:rsid w:val="00485B88"/>
    <w:rsid w:val="00485D47"/>
    <w:rsid w:val="00485DB3"/>
    <w:rsid w:val="00485F5B"/>
    <w:rsid w:val="00485F7C"/>
    <w:rsid w:val="004860D5"/>
    <w:rsid w:val="004860EE"/>
    <w:rsid w:val="00486104"/>
    <w:rsid w:val="0048619E"/>
    <w:rsid w:val="004862B6"/>
    <w:rsid w:val="004862D4"/>
    <w:rsid w:val="004862EE"/>
    <w:rsid w:val="00486457"/>
    <w:rsid w:val="00486465"/>
    <w:rsid w:val="00486472"/>
    <w:rsid w:val="00486488"/>
    <w:rsid w:val="004864D6"/>
    <w:rsid w:val="00486505"/>
    <w:rsid w:val="0048654C"/>
    <w:rsid w:val="0048669E"/>
    <w:rsid w:val="00486798"/>
    <w:rsid w:val="00486820"/>
    <w:rsid w:val="0048683A"/>
    <w:rsid w:val="0048689D"/>
    <w:rsid w:val="00486A5D"/>
    <w:rsid w:val="00486D31"/>
    <w:rsid w:val="00486D58"/>
    <w:rsid w:val="00486E86"/>
    <w:rsid w:val="004870AE"/>
    <w:rsid w:val="004870B5"/>
    <w:rsid w:val="00487142"/>
    <w:rsid w:val="004871EF"/>
    <w:rsid w:val="00487224"/>
    <w:rsid w:val="0048745A"/>
    <w:rsid w:val="00487611"/>
    <w:rsid w:val="004876BA"/>
    <w:rsid w:val="00487836"/>
    <w:rsid w:val="0048791C"/>
    <w:rsid w:val="0048797E"/>
    <w:rsid w:val="00487AF6"/>
    <w:rsid w:val="00487B10"/>
    <w:rsid w:val="00487C48"/>
    <w:rsid w:val="00487CFB"/>
    <w:rsid w:val="00487D1A"/>
    <w:rsid w:val="00487DC0"/>
    <w:rsid w:val="00487E6C"/>
    <w:rsid w:val="00487EEC"/>
    <w:rsid w:val="004900B2"/>
    <w:rsid w:val="00490183"/>
    <w:rsid w:val="00490236"/>
    <w:rsid w:val="00490243"/>
    <w:rsid w:val="004903C2"/>
    <w:rsid w:val="00490419"/>
    <w:rsid w:val="0049069B"/>
    <w:rsid w:val="004907C6"/>
    <w:rsid w:val="004908F9"/>
    <w:rsid w:val="00490978"/>
    <w:rsid w:val="00490A54"/>
    <w:rsid w:val="00490A6C"/>
    <w:rsid w:val="00490AA2"/>
    <w:rsid w:val="0049122E"/>
    <w:rsid w:val="004912E6"/>
    <w:rsid w:val="00491406"/>
    <w:rsid w:val="00491494"/>
    <w:rsid w:val="0049151A"/>
    <w:rsid w:val="0049153B"/>
    <w:rsid w:val="00491641"/>
    <w:rsid w:val="00491652"/>
    <w:rsid w:val="00491663"/>
    <w:rsid w:val="004916B4"/>
    <w:rsid w:val="00491773"/>
    <w:rsid w:val="004917B3"/>
    <w:rsid w:val="004917E3"/>
    <w:rsid w:val="00491802"/>
    <w:rsid w:val="00491842"/>
    <w:rsid w:val="0049193E"/>
    <w:rsid w:val="004919E2"/>
    <w:rsid w:val="00491A5C"/>
    <w:rsid w:val="00491B07"/>
    <w:rsid w:val="00491CB9"/>
    <w:rsid w:val="00491D08"/>
    <w:rsid w:val="00491DFF"/>
    <w:rsid w:val="00491E11"/>
    <w:rsid w:val="00491E39"/>
    <w:rsid w:val="00491E93"/>
    <w:rsid w:val="004920AE"/>
    <w:rsid w:val="004922A9"/>
    <w:rsid w:val="004922D5"/>
    <w:rsid w:val="00492449"/>
    <w:rsid w:val="004926FC"/>
    <w:rsid w:val="0049276D"/>
    <w:rsid w:val="00492789"/>
    <w:rsid w:val="004928F1"/>
    <w:rsid w:val="0049297F"/>
    <w:rsid w:val="00492A4B"/>
    <w:rsid w:val="00492B72"/>
    <w:rsid w:val="00492D0D"/>
    <w:rsid w:val="00492D2E"/>
    <w:rsid w:val="00492DBF"/>
    <w:rsid w:val="00492E1C"/>
    <w:rsid w:val="00492E20"/>
    <w:rsid w:val="00492E85"/>
    <w:rsid w:val="00492FA7"/>
    <w:rsid w:val="00493018"/>
    <w:rsid w:val="004932CD"/>
    <w:rsid w:val="00493309"/>
    <w:rsid w:val="004933EE"/>
    <w:rsid w:val="00493820"/>
    <w:rsid w:val="00493839"/>
    <w:rsid w:val="004938A7"/>
    <w:rsid w:val="00493A52"/>
    <w:rsid w:val="00493A6F"/>
    <w:rsid w:val="00493BD0"/>
    <w:rsid w:val="00493D66"/>
    <w:rsid w:val="00493EDD"/>
    <w:rsid w:val="00493F0C"/>
    <w:rsid w:val="00493F80"/>
    <w:rsid w:val="004940C9"/>
    <w:rsid w:val="004940FB"/>
    <w:rsid w:val="004941F2"/>
    <w:rsid w:val="0049422C"/>
    <w:rsid w:val="0049425D"/>
    <w:rsid w:val="0049440F"/>
    <w:rsid w:val="0049447B"/>
    <w:rsid w:val="004944F3"/>
    <w:rsid w:val="00494655"/>
    <w:rsid w:val="0049466F"/>
    <w:rsid w:val="00494853"/>
    <w:rsid w:val="00494882"/>
    <w:rsid w:val="004948C8"/>
    <w:rsid w:val="004948D5"/>
    <w:rsid w:val="004949D9"/>
    <w:rsid w:val="00494A22"/>
    <w:rsid w:val="00494B11"/>
    <w:rsid w:val="00494B7A"/>
    <w:rsid w:val="00494BB6"/>
    <w:rsid w:val="00494C39"/>
    <w:rsid w:val="00494C72"/>
    <w:rsid w:val="00494CC8"/>
    <w:rsid w:val="00494CDD"/>
    <w:rsid w:val="00494CE9"/>
    <w:rsid w:val="00494E7D"/>
    <w:rsid w:val="0049500D"/>
    <w:rsid w:val="004950BA"/>
    <w:rsid w:val="004951A9"/>
    <w:rsid w:val="004952E1"/>
    <w:rsid w:val="0049537D"/>
    <w:rsid w:val="004953A4"/>
    <w:rsid w:val="004953C2"/>
    <w:rsid w:val="00495465"/>
    <w:rsid w:val="004957F7"/>
    <w:rsid w:val="0049581B"/>
    <w:rsid w:val="00495921"/>
    <w:rsid w:val="00495970"/>
    <w:rsid w:val="00495BCF"/>
    <w:rsid w:val="00495C7A"/>
    <w:rsid w:val="00495C7E"/>
    <w:rsid w:val="00495C97"/>
    <w:rsid w:val="00495E79"/>
    <w:rsid w:val="00496019"/>
    <w:rsid w:val="00496094"/>
    <w:rsid w:val="004961B4"/>
    <w:rsid w:val="00496281"/>
    <w:rsid w:val="004962D0"/>
    <w:rsid w:val="0049653D"/>
    <w:rsid w:val="0049678E"/>
    <w:rsid w:val="004967ED"/>
    <w:rsid w:val="00496852"/>
    <w:rsid w:val="00496899"/>
    <w:rsid w:val="004969CF"/>
    <w:rsid w:val="00496A42"/>
    <w:rsid w:val="00496B40"/>
    <w:rsid w:val="00496C05"/>
    <w:rsid w:val="00496CE1"/>
    <w:rsid w:val="00496D88"/>
    <w:rsid w:val="00496E86"/>
    <w:rsid w:val="00497015"/>
    <w:rsid w:val="00497094"/>
    <w:rsid w:val="0049713F"/>
    <w:rsid w:val="004971F7"/>
    <w:rsid w:val="00497246"/>
    <w:rsid w:val="00497286"/>
    <w:rsid w:val="0049734A"/>
    <w:rsid w:val="00497377"/>
    <w:rsid w:val="00497418"/>
    <w:rsid w:val="004974B2"/>
    <w:rsid w:val="0049754E"/>
    <w:rsid w:val="0049755D"/>
    <w:rsid w:val="00497560"/>
    <w:rsid w:val="00497599"/>
    <w:rsid w:val="00497680"/>
    <w:rsid w:val="004976E4"/>
    <w:rsid w:val="004978C2"/>
    <w:rsid w:val="004979A5"/>
    <w:rsid w:val="004979C3"/>
    <w:rsid w:val="00497A63"/>
    <w:rsid w:val="00497B6A"/>
    <w:rsid w:val="00497B9F"/>
    <w:rsid w:val="00497CAF"/>
    <w:rsid w:val="00497D96"/>
    <w:rsid w:val="00497DD5"/>
    <w:rsid w:val="00497E04"/>
    <w:rsid w:val="004A009C"/>
    <w:rsid w:val="004A0214"/>
    <w:rsid w:val="004A0246"/>
    <w:rsid w:val="004A0254"/>
    <w:rsid w:val="004A02F7"/>
    <w:rsid w:val="004A031C"/>
    <w:rsid w:val="004A0415"/>
    <w:rsid w:val="004A0613"/>
    <w:rsid w:val="004A0659"/>
    <w:rsid w:val="004A06F4"/>
    <w:rsid w:val="004A0715"/>
    <w:rsid w:val="004A07C6"/>
    <w:rsid w:val="004A0982"/>
    <w:rsid w:val="004A09DE"/>
    <w:rsid w:val="004A0A4E"/>
    <w:rsid w:val="004A0A90"/>
    <w:rsid w:val="004A0BDA"/>
    <w:rsid w:val="004A0E18"/>
    <w:rsid w:val="004A0F22"/>
    <w:rsid w:val="004A0FA2"/>
    <w:rsid w:val="004A0FA6"/>
    <w:rsid w:val="004A1048"/>
    <w:rsid w:val="004A1068"/>
    <w:rsid w:val="004A107E"/>
    <w:rsid w:val="004A10C5"/>
    <w:rsid w:val="004A1105"/>
    <w:rsid w:val="004A118A"/>
    <w:rsid w:val="004A120C"/>
    <w:rsid w:val="004A1340"/>
    <w:rsid w:val="004A1353"/>
    <w:rsid w:val="004A136B"/>
    <w:rsid w:val="004A13AB"/>
    <w:rsid w:val="004A1479"/>
    <w:rsid w:val="004A15E7"/>
    <w:rsid w:val="004A164F"/>
    <w:rsid w:val="004A1848"/>
    <w:rsid w:val="004A1A0D"/>
    <w:rsid w:val="004A1A83"/>
    <w:rsid w:val="004A1B4D"/>
    <w:rsid w:val="004A1C72"/>
    <w:rsid w:val="004A1CE0"/>
    <w:rsid w:val="004A1D73"/>
    <w:rsid w:val="004A1D7A"/>
    <w:rsid w:val="004A1F7A"/>
    <w:rsid w:val="004A21FA"/>
    <w:rsid w:val="004A2292"/>
    <w:rsid w:val="004A22C7"/>
    <w:rsid w:val="004A2306"/>
    <w:rsid w:val="004A235C"/>
    <w:rsid w:val="004A2366"/>
    <w:rsid w:val="004A25B2"/>
    <w:rsid w:val="004A2659"/>
    <w:rsid w:val="004A27DC"/>
    <w:rsid w:val="004A280A"/>
    <w:rsid w:val="004A2937"/>
    <w:rsid w:val="004A2B1F"/>
    <w:rsid w:val="004A2B39"/>
    <w:rsid w:val="004A2C5E"/>
    <w:rsid w:val="004A2D31"/>
    <w:rsid w:val="004A3050"/>
    <w:rsid w:val="004A330A"/>
    <w:rsid w:val="004A331B"/>
    <w:rsid w:val="004A33B2"/>
    <w:rsid w:val="004A3570"/>
    <w:rsid w:val="004A357B"/>
    <w:rsid w:val="004A359A"/>
    <w:rsid w:val="004A35A7"/>
    <w:rsid w:val="004A362E"/>
    <w:rsid w:val="004A368F"/>
    <w:rsid w:val="004A373A"/>
    <w:rsid w:val="004A374D"/>
    <w:rsid w:val="004A3752"/>
    <w:rsid w:val="004A37F2"/>
    <w:rsid w:val="004A3860"/>
    <w:rsid w:val="004A38B7"/>
    <w:rsid w:val="004A395B"/>
    <w:rsid w:val="004A39B0"/>
    <w:rsid w:val="004A3A47"/>
    <w:rsid w:val="004A3FE7"/>
    <w:rsid w:val="004A4061"/>
    <w:rsid w:val="004A4096"/>
    <w:rsid w:val="004A40CF"/>
    <w:rsid w:val="004A40E6"/>
    <w:rsid w:val="004A42F8"/>
    <w:rsid w:val="004A434D"/>
    <w:rsid w:val="004A43E9"/>
    <w:rsid w:val="004A444D"/>
    <w:rsid w:val="004A445E"/>
    <w:rsid w:val="004A44DB"/>
    <w:rsid w:val="004A454A"/>
    <w:rsid w:val="004A456F"/>
    <w:rsid w:val="004A46D3"/>
    <w:rsid w:val="004A475F"/>
    <w:rsid w:val="004A4892"/>
    <w:rsid w:val="004A4902"/>
    <w:rsid w:val="004A4951"/>
    <w:rsid w:val="004A495D"/>
    <w:rsid w:val="004A4988"/>
    <w:rsid w:val="004A4A5A"/>
    <w:rsid w:val="004A4B34"/>
    <w:rsid w:val="004A4C3D"/>
    <w:rsid w:val="004A4DBE"/>
    <w:rsid w:val="004A501C"/>
    <w:rsid w:val="004A5097"/>
    <w:rsid w:val="004A509A"/>
    <w:rsid w:val="004A511F"/>
    <w:rsid w:val="004A517A"/>
    <w:rsid w:val="004A5418"/>
    <w:rsid w:val="004A54C3"/>
    <w:rsid w:val="004A5719"/>
    <w:rsid w:val="004A5754"/>
    <w:rsid w:val="004A58D5"/>
    <w:rsid w:val="004A59F0"/>
    <w:rsid w:val="004A5BAF"/>
    <w:rsid w:val="004A5C3A"/>
    <w:rsid w:val="004A5D55"/>
    <w:rsid w:val="004A5DA3"/>
    <w:rsid w:val="004A5E73"/>
    <w:rsid w:val="004A5F33"/>
    <w:rsid w:val="004A6020"/>
    <w:rsid w:val="004A607A"/>
    <w:rsid w:val="004A60B7"/>
    <w:rsid w:val="004A6213"/>
    <w:rsid w:val="004A6275"/>
    <w:rsid w:val="004A62A2"/>
    <w:rsid w:val="004A6317"/>
    <w:rsid w:val="004A632A"/>
    <w:rsid w:val="004A634C"/>
    <w:rsid w:val="004A6353"/>
    <w:rsid w:val="004A64B8"/>
    <w:rsid w:val="004A6522"/>
    <w:rsid w:val="004A6621"/>
    <w:rsid w:val="004A6697"/>
    <w:rsid w:val="004A6736"/>
    <w:rsid w:val="004A6921"/>
    <w:rsid w:val="004A69EA"/>
    <w:rsid w:val="004A6A4B"/>
    <w:rsid w:val="004A6B87"/>
    <w:rsid w:val="004A6D93"/>
    <w:rsid w:val="004A6E1E"/>
    <w:rsid w:val="004A6F1B"/>
    <w:rsid w:val="004A6F4A"/>
    <w:rsid w:val="004A70B9"/>
    <w:rsid w:val="004A74BC"/>
    <w:rsid w:val="004A74DB"/>
    <w:rsid w:val="004A756E"/>
    <w:rsid w:val="004A78A6"/>
    <w:rsid w:val="004A78BD"/>
    <w:rsid w:val="004A79A0"/>
    <w:rsid w:val="004A7A7F"/>
    <w:rsid w:val="004A7A98"/>
    <w:rsid w:val="004A7B65"/>
    <w:rsid w:val="004A7C89"/>
    <w:rsid w:val="004A7CAE"/>
    <w:rsid w:val="004A7EB5"/>
    <w:rsid w:val="004A7F50"/>
    <w:rsid w:val="004B02A0"/>
    <w:rsid w:val="004B0302"/>
    <w:rsid w:val="004B0405"/>
    <w:rsid w:val="004B0998"/>
    <w:rsid w:val="004B09B5"/>
    <w:rsid w:val="004B09E0"/>
    <w:rsid w:val="004B0AC7"/>
    <w:rsid w:val="004B0BE7"/>
    <w:rsid w:val="004B0E25"/>
    <w:rsid w:val="004B0E59"/>
    <w:rsid w:val="004B111B"/>
    <w:rsid w:val="004B1131"/>
    <w:rsid w:val="004B1161"/>
    <w:rsid w:val="004B1299"/>
    <w:rsid w:val="004B130F"/>
    <w:rsid w:val="004B14D1"/>
    <w:rsid w:val="004B1572"/>
    <w:rsid w:val="004B1625"/>
    <w:rsid w:val="004B1726"/>
    <w:rsid w:val="004B1751"/>
    <w:rsid w:val="004B18CD"/>
    <w:rsid w:val="004B199F"/>
    <w:rsid w:val="004B1B04"/>
    <w:rsid w:val="004B1CE0"/>
    <w:rsid w:val="004B1D55"/>
    <w:rsid w:val="004B1D77"/>
    <w:rsid w:val="004B1E93"/>
    <w:rsid w:val="004B1EF1"/>
    <w:rsid w:val="004B1FB1"/>
    <w:rsid w:val="004B20CC"/>
    <w:rsid w:val="004B2119"/>
    <w:rsid w:val="004B2288"/>
    <w:rsid w:val="004B2530"/>
    <w:rsid w:val="004B2549"/>
    <w:rsid w:val="004B25DB"/>
    <w:rsid w:val="004B2772"/>
    <w:rsid w:val="004B27A8"/>
    <w:rsid w:val="004B27D0"/>
    <w:rsid w:val="004B2808"/>
    <w:rsid w:val="004B2928"/>
    <w:rsid w:val="004B299F"/>
    <w:rsid w:val="004B2A9E"/>
    <w:rsid w:val="004B2C98"/>
    <w:rsid w:val="004B2CA0"/>
    <w:rsid w:val="004B2D52"/>
    <w:rsid w:val="004B2E0D"/>
    <w:rsid w:val="004B2E20"/>
    <w:rsid w:val="004B2ECB"/>
    <w:rsid w:val="004B315F"/>
    <w:rsid w:val="004B3262"/>
    <w:rsid w:val="004B3300"/>
    <w:rsid w:val="004B333B"/>
    <w:rsid w:val="004B3364"/>
    <w:rsid w:val="004B338E"/>
    <w:rsid w:val="004B354B"/>
    <w:rsid w:val="004B3637"/>
    <w:rsid w:val="004B3AA5"/>
    <w:rsid w:val="004B3AD1"/>
    <w:rsid w:val="004B3BB4"/>
    <w:rsid w:val="004B3C26"/>
    <w:rsid w:val="004B3E0E"/>
    <w:rsid w:val="004B3E14"/>
    <w:rsid w:val="004B3E3B"/>
    <w:rsid w:val="004B3E8A"/>
    <w:rsid w:val="004B3F7E"/>
    <w:rsid w:val="004B3F97"/>
    <w:rsid w:val="004B3F9E"/>
    <w:rsid w:val="004B3FA2"/>
    <w:rsid w:val="004B3FA8"/>
    <w:rsid w:val="004B405D"/>
    <w:rsid w:val="004B40B3"/>
    <w:rsid w:val="004B41BD"/>
    <w:rsid w:val="004B423B"/>
    <w:rsid w:val="004B4373"/>
    <w:rsid w:val="004B449E"/>
    <w:rsid w:val="004B4585"/>
    <w:rsid w:val="004B45F7"/>
    <w:rsid w:val="004B45FF"/>
    <w:rsid w:val="004B462F"/>
    <w:rsid w:val="004B473B"/>
    <w:rsid w:val="004B477D"/>
    <w:rsid w:val="004B47BC"/>
    <w:rsid w:val="004B487E"/>
    <w:rsid w:val="004B494A"/>
    <w:rsid w:val="004B4A76"/>
    <w:rsid w:val="004B4AEC"/>
    <w:rsid w:val="004B4D03"/>
    <w:rsid w:val="004B4DA7"/>
    <w:rsid w:val="004B4DB5"/>
    <w:rsid w:val="004B4E91"/>
    <w:rsid w:val="004B4FBB"/>
    <w:rsid w:val="004B50EC"/>
    <w:rsid w:val="004B522E"/>
    <w:rsid w:val="004B5262"/>
    <w:rsid w:val="004B5469"/>
    <w:rsid w:val="004B54FB"/>
    <w:rsid w:val="004B552B"/>
    <w:rsid w:val="004B55BA"/>
    <w:rsid w:val="004B55DB"/>
    <w:rsid w:val="004B575B"/>
    <w:rsid w:val="004B5797"/>
    <w:rsid w:val="004B57B0"/>
    <w:rsid w:val="004B57CC"/>
    <w:rsid w:val="004B58A1"/>
    <w:rsid w:val="004B5917"/>
    <w:rsid w:val="004B5986"/>
    <w:rsid w:val="004B5BA5"/>
    <w:rsid w:val="004B5BB5"/>
    <w:rsid w:val="004B5C46"/>
    <w:rsid w:val="004B5EAA"/>
    <w:rsid w:val="004B5EF3"/>
    <w:rsid w:val="004B5FE0"/>
    <w:rsid w:val="004B60C2"/>
    <w:rsid w:val="004B60F6"/>
    <w:rsid w:val="004B611D"/>
    <w:rsid w:val="004B6120"/>
    <w:rsid w:val="004B612B"/>
    <w:rsid w:val="004B6195"/>
    <w:rsid w:val="004B6200"/>
    <w:rsid w:val="004B6249"/>
    <w:rsid w:val="004B636F"/>
    <w:rsid w:val="004B64C4"/>
    <w:rsid w:val="004B64E8"/>
    <w:rsid w:val="004B6504"/>
    <w:rsid w:val="004B6682"/>
    <w:rsid w:val="004B66F1"/>
    <w:rsid w:val="004B67EA"/>
    <w:rsid w:val="004B697F"/>
    <w:rsid w:val="004B6ABE"/>
    <w:rsid w:val="004B6B49"/>
    <w:rsid w:val="004B6C7E"/>
    <w:rsid w:val="004B6DFF"/>
    <w:rsid w:val="004B6E00"/>
    <w:rsid w:val="004B6F97"/>
    <w:rsid w:val="004B7000"/>
    <w:rsid w:val="004B7075"/>
    <w:rsid w:val="004B715C"/>
    <w:rsid w:val="004B7235"/>
    <w:rsid w:val="004B72B5"/>
    <w:rsid w:val="004B7307"/>
    <w:rsid w:val="004B7381"/>
    <w:rsid w:val="004B73AE"/>
    <w:rsid w:val="004B740C"/>
    <w:rsid w:val="004B74A6"/>
    <w:rsid w:val="004B74BC"/>
    <w:rsid w:val="004B76D2"/>
    <w:rsid w:val="004B774A"/>
    <w:rsid w:val="004B7767"/>
    <w:rsid w:val="004B7846"/>
    <w:rsid w:val="004B78A3"/>
    <w:rsid w:val="004B7965"/>
    <w:rsid w:val="004B7AAD"/>
    <w:rsid w:val="004B7AB0"/>
    <w:rsid w:val="004B7D6E"/>
    <w:rsid w:val="004B7E44"/>
    <w:rsid w:val="004C00BE"/>
    <w:rsid w:val="004C0145"/>
    <w:rsid w:val="004C019B"/>
    <w:rsid w:val="004C01C5"/>
    <w:rsid w:val="004C0258"/>
    <w:rsid w:val="004C0296"/>
    <w:rsid w:val="004C033D"/>
    <w:rsid w:val="004C03A1"/>
    <w:rsid w:val="004C047A"/>
    <w:rsid w:val="004C05F6"/>
    <w:rsid w:val="004C066F"/>
    <w:rsid w:val="004C076A"/>
    <w:rsid w:val="004C0883"/>
    <w:rsid w:val="004C0A6B"/>
    <w:rsid w:val="004C0AF9"/>
    <w:rsid w:val="004C0B97"/>
    <w:rsid w:val="004C0CFF"/>
    <w:rsid w:val="004C0D01"/>
    <w:rsid w:val="004C0E3E"/>
    <w:rsid w:val="004C0E69"/>
    <w:rsid w:val="004C0F10"/>
    <w:rsid w:val="004C0FF9"/>
    <w:rsid w:val="004C10C0"/>
    <w:rsid w:val="004C111A"/>
    <w:rsid w:val="004C117A"/>
    <w:rsid w:val="004C1185"/>
    <w:rsid w:val="004C11BC"/>
    <w:rsid w:val="004C122F"/>
    <w:rsid w:val="004C1248"/>
    <w:rsid w:val="004C13C5"/>
    <w:rsid w:val="004C144F"/>
    <w:rsid w:val="004C1A84"/>
    <w:rsid w:val="004C1AF5"/>
    <w:rsid w:val="004C1B3D"/>
    <w:rsid w:val="004C1C7F"/>
    <w:rsid w:val="004C1C88"/>
    <w:rsid w:val="004C1DDF"/>
    <w:rsid w:val="004C1ED7"/>
    <w:rsid w:val="004C2022"/>
    <w:rsid w:val="004C2071"/>
    <w:rsid w:val="004C20E6"/>
    <w:rsid w:val="004C224D"/>
    <w:rsid w:val="004C2328"/>
    <w:rsid w:val="004C25E1"/>
    <w:rsid w:val="004C28AA"/>
    <w:rsid w:val="004C29CA"/>
    <w:rsid w:val="004C2A1F"/>
    <w:rsid w:val="004C2E0B"/>
    <w:rsid w:val="004C2EDD"/>
    <w:rsid w:val="004C2F6C"/>
    <w:rsid w:val="004C2F6D"/>
    <w:rsid w:val="004C2FBB"/>
    <w:rsid w:val="004C303D"/>
    <w:rsid w:val="004C31E4"/>
    <w:rsid w:val="004C346E"/>
    <w:rsid w:val="004C34D3"/>
    <w:rsid w:val="004C3633"/>
    <w:rsid w:val="004C37C1"/>
    <w:rsid w:val="004C380F"/>
    <w:rsid w:val="004C3866"/>
    <w:rsid w:val="004C3884"/>
    <w:rsid w:val="004C38D2"/>
    <w:rsid w:val="004C38F4"/>
    <w:rsid w:val="004C3A06"/>
    <w:rsid w:val="004C3AC5"/>
    <w:rsid w:val="004C3C57"/>
    <w:rsid w:val="004C3D4D"/>
    <w:rsid w:val="004C3E81"/>
    <w:rsid w:val="004C411C"/>
    <w:rsid w:val="004C419B"/>
    <w:rsid w:val="004C4241"/>
    <w:rsid w:val="004C42D8"/>
    <w:rsid w:val="004C42DE"/>
    <w:rsid w:val="004C43E1"/>
    <w:rsid w:val="004C4445"/>
    <w:rsid w:val="004C45C1"/>
    <w:rsid w:val="004C45D4"/>
    <w:rsid w:val="004C4666"/>
    <w:rsid w:val="004C498C"/>
    <w:rsid w:val="004C4A7A"/>
    <w:rsid w:val="004C4C82"/>
    <w:rsid w:val="004C51AA"/>
    <w:rsid w:val="004C51CF"/>
    <w:rsid w:val="004C52B7"/>
    <w:rsid w:val="004C53BE"/>
    <w:rsid w:val="004C54C2"/>
    <w:rsid w:val="004C5529"/>
    <w:rsid w:val="004C5590"/>
    <w:rsid w:val="004C559D"/>
    <w:rsid w:val="004C563B"/>
    <w:rsid w:val="004C56DF"/>
    <w:rsid w:val="004C5711"/>
    <w:rsid w:val="004C58D9"/>
    <w:rsid w:val="004C597F"/>
    <w:rsid w:val="004C59D6"/>
    <w:rsid w:val="004C59F2"/>
    <w:rsid w:val="004C59FA"/>
    <w:rsid w:val="004C5A04"/>
    <w:rsid w:val="004C5A62"/>
    <w:rsid w:val="004C5ABB"/>
    <w:rsid w:val="004C5C23"/>
    <w:rsid w:val="004C5C5D"/>
    <w:rsid w:val="004C5CED"/>
    <w:rsid w:val="004C5D88"/>
    <w:rsid w:val="004C5DBE"/>
    <w:rsid w:val="004C6021"/>
    <w:rsid w:val="004C6080"/>
    <w:rsid w:val="004C6081"/>
    <w:rsid w:val="004C6322"/>
    <w:rsid w:val="004C6330"/>
    <w:rsid w:val="004C63F8"/>
    <w:rsid w:val="004C643D"/>
    <w:rsid w:val="004C64D2"/>
    <w:rsid w:val="004C65DC"/>
    <w:rsid w:val="004C69CA"/>
    <w:rsid w:val="004C6AA8"/>
    <w:rsid w:val="004C6AD8"/>
    <w:rsid w:val="004C6B47"/>
    <w:rsid w:val="004C6BC6"/>
    <w:rsid w:val="004C6CED"/>
    <w:rsid w:val="004C6E50"/>
    <w:rsid w:val="004C6F5D"/>
    <w:rsid w:val="004C7400"/>
    <w:rsid w:val="004C7454"/>
    <w:rsid w:val="004C7479"/>
    <w:rsid w:val="004C74D0"/>
    <w:rsid w:val="004C75DE"/>
    <w:rsid w:val="004C75EC"/>
    <w:rsid w:val="004C7874"/>
    <w:rsid w:val="004C787F"/>
    <w:rsid w:val="004C795B"/>
    <w:rsid w:val="004C799D"/>
    <w:rsid w:val="004C7AA9"/>
    <w:rsid w:val="004C7BB0"/>
    <w:rsid w:val="004C7C9F"/>
    <w:rsid w:val="004C7CA1"/>
    <w:rsid w:val="004C7CAD"/>
    <w:rsid w:val="004C7D09"/>
    <w:rsid w:val="004C7D10"/>
    <w:rsid w:val="004C7DD2"/>
    <w:rsid w:val="004C7E35"/>
    <w:rsid w:val="004C7EB2"/>
    <w:rsid w:val="004D00C9"/>
    <w:rsid w:val="004D00E7"/>
    <w:rsid w:val="004D00F4"/>
    <w:rsid w:val="004D011C"/>
    <w:rsid w:val="004D012C"/>
    <w:rsid w:val="004D049E"/>
    <w:rsid w:val="004D04EF"/>
    <w:rsid w:val="004D066A"/>
    <w:rsid w:val="004D07D6"/>
    <w:rsid w:val="004D0818"/>
    <w:rsid w:val="004D08AA"/>
    <w:rsid w:val="004D08F9"/>
    <w:rsid w:val="004D09A7"/>
    <w:rsid w:val="004D0A58"/>
    <w:rsid w:val="004D0A71"/>
    <w:rsid w:val="004D0B2A"/>
    <w:rsid w:val="004D0B37"/>
    <w:rsid w:val="004D0BCB"/>
    <w:rsid w:val="004D0BDD"/>
    <w:rsid w:val="004D0C12"/>
    <w:rsid w:val="004D0C75"/>
    <w:rsid w:val="004D10F1"/>
    <w:rsid w:val="004D10FB"/>
    <w:rsid w:val="004D1242"/>
    <w:rsid w:val="004D1277"/>
    <w:rsid w:val="004D1344"/>
    <w:rsid w:val="004D1380"/>
    <w:rsid w:val="004D1393"/>
    <w:rsid w:val="004D1436"/>
    <w:rsid w:val="004D143E"/>
    <w:rsid w:val="004D14AF"/>
    <w:rsid w:val="004D157B"/>
    <w:rsid w:val="004D1623"/>
    <w:rsid w:val="004D1726"/>
    <w:rsid w:val="004D1741"/>
    <w:rsid w:val="004D17C9"/>
    <w:rsid w:val="004D1887"/>
    <w:rsid w:val="004D18B9"/>
    <w:rsid w:val="004D18F7"/>
    <w:rsid w:val="004D18FC"/>
    <w:rsid w:val="004D195D"/>
    <w:rsid w:val="004D1A57"/>
    <w:rsid w:val="004D1B16"/>
    <w:rsid w:val="004D1B58"/>
    <w:rsid w:val="004D1BFC"/>
    <w:rsid w:val="004D1C77"/>
    <w:rsid w:val="004D1CB5"/>
    <w:rsid w:val="004D1CDF"/>
    <w:rsid w:val="004D1DCD"/>
    <w:rsid w:val="004D1DFD"/>
    <w:rsid w:val="004D1F2E"/>
    <w:rsid w:val="004D1F9B"/>
    <w:rsid w:val="004D2017"/>
    <w:rsid w:val="004D2040"/>
    <w:rsid w:val="004D20C4"/>
    <w:rsid w:val="004D20F0"/>
    <w:rsid w:val="004D21C8"/>
    <w:rsid w:val="004D2209"/>
    <w:rsid w:val="004D2256"/>
    <w:rsid w:val="004D23AA"/>
    <w:rsid w:val="004D2416"/>
    <w:rsid w:val="004D24DA"/>
    <w:rsid w:val="004D2550"/>
    <w:rsid w:val="004D2720"/>
    <w:rsid w:val="004D2766"/>
    <w:rsid w:val="004D27AE"/>
    <w:rsid w:val="004D2828"/>
    <w:rsid w:val="004D2861"/>
    <w:rsid w:val="004D2A5C"/>
    <w:rsid w:val="004D2B03"/>
    <w:rsid w:val="004D2B0F"/>
    <w:rsid w:val="004D2D48"/>
    <w:rsid w:val="004D2E5F"/>
    <w:rsid w:val="004D2E65"/>
    <w:rsid w:val="004D2FFF"/>
    <w:rsid w:val="004D30A8"/>
    <w:rsid w:val="004D3254"/>
    <w:rsid w:val="004D32CB"/>
    <w:rsid w:val="004D34A9"/>
    <w:rsid w:val="004D3509"/>
    <w:rsid w:val="004D360C"/>
    <w:rsid w:val="004D3772"/>
    <w:rsid w:val="004D380B"/>
    <w:rsid w:val="004D3922"/>
    <w:rsid w:val="004D3977"/>
    <w:rsid w:val="004D39BB"/>
    <w:rsid w:val="004D3C1E"/>
    <w:rsid w:val="004D3CF4"/>
    <w:rsid w:val="004D3D2F"/>
    <w:rsid w:val="004D3D37"/>
    <w:rsid w:val="004D3E27"/>
    <w:rsid w:val="004D3EAA"/>
    <w:rsid w:val="004D3EE2"/>
    <w:rsid w:val="004D3F1D"/>
    <w:rsid w:val="004D40D4"/>
    <w:rsid w:val="004D40E6"/>
    <w:rsid w:val="004D4120"/>
    <w:rsid w:val="004D4320"/>
    <w:rsid w:val="004D43EC"/>
    <w:rsid w:val="004D43ED"/>
    <w:rsid w:val="004D4561"/>
    <w:rsid w:val="004D456C"/>
    <w:rsid w:val="004D45CF"/>
    <w:rsid w:val="004D46DB"/>
    <w:rsid w:val="004D476E"/>
    <w:rsid w:val="004D480E"/>
    <w:rsid w:val="004D4A0C"/>
    <w:rsid w:val="004D4A85"/>
    <w:rsid w:val="004D4B23"/>
    <w:rsid w:val="004D4C6F"/>
    <w:rsid w:val="004D4CE7"/>
    <w:rsid w:val="004D4D24"/>
    <w:rsid w:val="004D4E5A"/>
    <w:rsid w:val="004D4F46"/>
    <w:rsid w:val="004D4F95"/>
    <w:rsid w:val="004D5172"/>
    <w:rsid w:val="004D51D2"/>
    <w:rsid w:val="004D5246"/>
    <w:rsid w:val="004D5291"/>
    <w:rsid w:val="004D55DF"/>
    <w:rsid w:val="004D55F2"/>
    <w:rsid w:val="004D5697"/>
    <w:rsid w:val="004D5744"/>
    <w:rsid w:val="004D5819"/>
    <w:rsid w:val="004D59CA"/>
    <w:rsid w:val="004D5A76"/>
    <w:rsid w:val="004D5B44"/>
    <w:rsid w:val="004D5E1D"/>
    <w:rsid w:val="004D5F45"/>
    <w:rsid w:val="004D5FA1"/>
    <w:rsid w:val="004D6011"/>
    <w:rsid w:val="004D604B"/>
    <w:rsid w:val="004D60FE"/>
    <w:rsid w:val="004D62C4"/>
    <w:rsid w:val="004D64E6"/>
    <w:rsid w:val="004D64E8"/>
    <w:rsid w:val="004D6567"/>
    <w:rsid w:val="004D663A"/>
    <w:rsid w:val="004D6659"/>
    <w:rsid w:val="004D66EB"/>
    <w:rsid w:val="004D67C7"/>
    <w:rsid w:val="004D691D"/>
    <w:rsid w:val="004D69DE"/>
    <w:rsid w:val="004D6AB5"/>
    <w:rsid w:val="004D6BF4"/>
    <w:rsid w:val="004D6E85"/>
    <w:rsid w:val="004D7017"/>
    <w:rsid w:val="004D70C7"/>
    <w:rsid w:val="004D7103"/>
    <w:rsid w:val="004D732F"/>
    <w:rsid w:val="004D741B"/>
    <w:rsid w:val="004D74E1"/>
    <w:rsid w:val="004D75D0"/>
    <w:rsid w:val="004D7639"/>
    <w:rsid w:val="004D767E"/>
    <w:rsid w:val="004D76C0"/>
    <w:rsid w:val="004D77FE"/>
    <w:rsid w:val="004D78EA"/>
    <w:rsid w:val="004D7997"/>
    <w:rsid w:val="004D79F9"/>
    <w:rsid w:val="004D7A1B"/>
    <w:rsid w:val="004D7A77"/>
    <w:rsid w:val="004D7AA1"/>
    <w:rsid w:val="004D7CE2"/>
    <w:rsid w:val="004D7CE6"/>
    <w:rsid w:val="004D7D54"/>
    <w:rsid w:val="004D7DAF"/>
    <w:rsid w:val="004D7DB7"/>
    <w:rsid w:val="004D7E1C"/>
    <w:rsid w:val="004D7ECD"/>
    <w:rsid w:val="004D7F40"/>
    <w:rsid w:val="004E004D"/>
    <w:rsid w:val="004E0140"/>
    <w:rsid w:val="004E03CE"/>
    <w:rsid w:val="004E0440"/>
    <w:rsid w:val="004E0492"/>
    <w:rsid w:val="004E0715"/>
    <w:rsid w:val="004E0820"/>
    <w:rsid w:val="004E0866"/>
    <w:rsid w:val="004E0875"/>
    <w:rsid w:val="004E08B1"/>
    <w:rsid w:val="004E08C7"/>
    <w:rsid w:val="004E08CB"/>
    <w:rsid w:val="004E099B"/>
    <w:rsid w:val="004E09B4"/>
    <w:rsid w:val="004E09FE"/>
    <w:rsid w:val="004E0A34"/>
    <w:rsid w:val="004E0C3A"/>
    <w:rsid w:val="004E0C7E"/>
    <w:rsid w:val="004E0DE0"/>
    <w:rsid w:val="004E0ED1"/>
    <w:rsid w:val="004E0F71"/>
    <w:rsid w:val="004E0FD1"/>
    <w:rsid w:val="004E12E9"/>
    <w:rsid w:val="004E13B8"/>
    <w:rsid w:val="004E13E4"/>
    <w:rsid w:val="004E1487"/>
    <w:rsid w:val="004E14B4"/>
    <w:rsid w:val="004E156B"/>
    <w:rsid w:val="004E1590"/>
    <w:rsid w:val="004E15F1"/>
    <w:rsid w:val="004E16F2"/>
    <w:rsid w:val="004E1723"/>
    <w:rsid w:val="004E1752"/>
    <w:rsid w:val="004E1798"/>
    <w:rsid w:val="004E18F4"/>
    <w:rsid w:val="004E18F7"/>
    <w:rsid w:val="004E1911"/>
    <w:rsid w:val="004E19D5"/>
    <w:rsid w:val="004E1B1B"/>
    <w:rsid w:val="004E1C2C"/>
    <w:rsid w:val="004E1C69"/>
    <w:rsid w:val="004E1D41"/>
    <w:rsid w:val="004E1DEC"/>
    <w:rsid w:val="004E1E6E"/>
    <w:rsid w:val="004E1F1E"/>
    <w:rsid w:val="004E2083"/>
    <w:rsid w:val="004E228D"/>
    <w:rsid w:val="004E22C6"/>
    <w:rsid w:val="004E244E"/>
    <w:rsid w:val="004E24EB"/>
    <w:rsid w:val="004E2599"/>
    <w:rsid w:val="004E2798"/>
    <w:rsid w:val="004E283C"/>
    <w:rsid w:val="004E287E"/>
    <w:rsid w:val="004E28E8"/>
    <w:rsid w:val="004E298D"/>
    <w:rsid w:val="004E29A3"/>
    <w:rsid w:val="004E2B25"/>
    <w:rsid w:val="004E2BEA"/>
    <w:rsid w:val="004E2D16"/>
    <w:rsid w:val="004E2E47"/>
    <w:rsid w:val="004E2E5E"/>
    <w:rsid w:val="004E2E98"/>
    <w:rsid w:val="004E2E9F"/>
    <w:rsid w:val="004E301D"/>
    <w:rsid w:val="004E3281"/>
    <w:rsid w:val="004E32F9"/>
    <w:rsid w:val="004E33EF"/>
    <w:rsid w:val="004E3447"/>
    <w:rsid w:val="004E3460"/>
    <w:rsid w:val="004E3475"/>
    <w:rsid w:val="004E34C7"/>
    <w:rsid w:val="004E34E4"/>
    <w:rsid w:val="004E34F5"/>
    <w:rsid w:val="004E3550"/>
    <w:rsid w:val="004E35A8"/>
    <w:rsid w:val="004E36F0"/>
    <w:rsid w:val="004E397E"/>
    <w:rsid w:val="004E39CD"/>
    <w:rsid w:val="004E39E7"/>
    <w:rsid w:val="004E3A73"/>
    <w:rsid w:val="004E3A8A"/>
    <w:rsid w:val="004E3B25"/>
    <w:rsid w:val="004E3B94"/>
    <w:rsid w:val="004E3B97"/>
    <w:rsid w:val="004E3BB5"/>
    <w:rsid w:val="004E3FEA"/>
    <w:rsid w:val="004E4069"/>
    <w:rsid w:val="004E427F"/>
    <w:rsid w:val="004E43B3"/>
    <w:rsid w:val="004E4613"/>
    <w:rsid w:val="004E461D"/>
    <w:rsid w:val="004E4650"/>
    <w:rsid w:val="004E4653"/>
    <w:rsid w:val="004E477B"/>
    <w:rsid w:val="004E4784"/>
    <w:rsid w:val="004E484D"/>
    <w:rsid w:val="004E48C8"/>
    <w:rsid w:val="004E4A1E"/>
    <w:rsid w:val="004E4A66"/>
    <w:rsid w:val="004E4B6E"/>
    <w:rsid w:val="004E4CD0"/>
    <w:rsid w:val="004E4DE6"/>
    <w:rsid w:val="004E4EDB"/>
    <w:rsid w:val="004E4F45"/>
    <w:rsid w:val="004E50DA"/>
    <w:rsid w:val="004E5122"/>
    <w:rsid w:val="004E519F"/>
    <w:rsid w:val="004E51BB"/>
    <w:rsid w:val="004E5469"/>
    <w:rsid w:val="004E55B0"/>
    <w:rsid w:val="004E5748"/>
    <w:rsid w:val="004E58F8"/>
    <w:rsid w:val="004E5915"/>
    <w:rsid w:val="004E593E"/>
    <w:rsid w:val="004E596A"/>
    <w:rsid w:val="004E59E5"/>
    <w:rsid w:val="004E5D22"/>
    <w:rsid w:val="004E5E34"/>
    <w:rsid w:val="004E5E5D"/>
    <w:rsid w:val="004E5EAB"/>
    <w:rsid w:val="004E5FA9"/>
    <w:rsid w:val="004E608F"/>
    <w:rsid w:val="004E60C4"/>
    <w:rsid w:val="004E60DB"/>
    <w:rsid w:val="004E6115"/>
    <w:rsid w:val="004E64E1"/>
    <w:rsid w:val="004E6567"/>
    <w:rsid w:val="004E6617"/>
    <w:rsid w:val="004E66B2"/>
    <w:rsid w:val="004E6768"/>
    <w:rsid w:val="004E681E"/>
    <w:rsid w:val="004E685B"/>
    <w:rsid w:val="004E6967"/>
    <w:rsid w:val="004E6A84"/>
    <w:rsid w:val="004E6C52"/>
    <w:rsid w:val="004E6CE4"/>
    <w:rsid w:val="004E6E4B"/>
    <w:rsid w:val="004E6ED4"/>
    <w:rsid w:val="004E6F10"/>
    <w:rsid w:val="004E6F67"/>
    <w:rsid w:val="004E6FB1"/>
    <w:rsid w:val="004E70A6"/>
    <w:rsid w:val="004E7563"/>
    <w:rsid w:val="004E76EE"/>
    <w:rsid w:val="004E77AA"/>
    <w:rsid w:val="004E7A62"/>
    <w:rsid w:val="004E7D6B"/>
    <w:rsid w:val="004E7D9A"/>
    <w:rsid w:val="004E7E45"/>
    <w:rsid w:val="004F0085"/>
    <w:rsid w:val="004F00D6"/>
    <w:rsid w:val="004F016B"/>
    <w:rsid w:val="004F01FD"/>
    <w:rsid w:val="004F027D"/>
    <w:rsid w:val="004F028A"/>
    <w:rsid w:val="004F03AB"/>
    <w:rsid w:val="004F03EE"/>
    <w:rsid w:val="004F0476"/>
    <w:rsid w:val="004F04A4"/>
    <w:rsid w:val="004F05EF"/>
    <w:rsid w:val="004F05FF"/>
    <w:rsid w:val="004F09B2"/>
    <w:rsid w:val="004F0A62"/>
    <w:rsid w:val="004F0A6A"/>
    <w:rsid w:val="004F0BA0"/>
    <w:rsid w:val="004F0C22"/>
    <w:rsid w:val="004F0C71"/>
    <w:rsid w:val="004F0CC6"/>
    <w:rsid w:val="004F0DE6"/>
    <w:rsid w:val="004F1035"/>
    <w:rsid w:val="004F1090"/>
    <w:rsid w:val="004F117B"/>
    <w:rsid w:val="004F117C"/>
    <w:rsid w:val="004F11F4"/>
    <w:rsid w:val="004F1286"/>
    <w:rsid w:val="004F132A"/>
    <w:rsid w:val="004F1381"/>
    <w:rsid w:val="004F13AD"/>
    <w:rsid w:val="004F13EB"/>
    <w:rsid w:val="004F15A5"/>
    <w:rsid w:val="004F16EE"/>
    <w:rsid w:val="004F1728"/>
    <w:rsid w:val="004F1751"/>
    <w:rsid w:val="004F181F"/>
    <w:rsid w:val="004F1A3B"/>
    <w:rsid w:val="004F1AEB"/>
    <w:rsid w:val="004F1BB3"/>
    <w:rsid w:val="004F1BE0"/>
    <w:rsid w:val="004F1C65"/>
    <w:rsid w:val="004F1C7C"/>
    <w:rsid w:val="004F1CAB"/>
    <w:rsid w:val="004F1CE7"/>
    <w:rsid w:val="004F1D52"/>
    <w:rsid w:val="004F1D73"/>
    <w:rsid w:val="004F1DA2"/>
    <w:rsid w:val="004F1E30"/>
    <w:rsid w:val="004F1FAF"/>
    <w:rsid w:val="004F204D"/>
    <w:rsid w:val="004F2078"/>
    <w:rsid w:val="004F20FA"/>
    <w:rsid w:val="004F2205"/>
    <w:rsid w:val="004F2278"/>
    <w:rsid w:val="004F22FB"/>
    <w:rsid w:val="004F232F"/>
    <w:rsid w:val="004F2355"/>
    <w:rsid w:val="004F24E7"/>
    <w:rsid w:val="004F2525"/>
    <w:rsid w:val="004F2543"/>
    <w:rsid w:val="004F270C"/>
    <w:rsid w:val="004F2808"/>
    <w:rsid w:val="004F298F"/>
    <w:rsid w:val="004F29A5"/>
    <w:rsid w:val="004F2A13"/>
    <w:rsid w:val="004F2B4B"/>
    <w:rsid w:val="004F2B7A"/>
    <w:rsid w:val="004F2C50"/>
    <w:rsid w:val="004F2CB8"/>
    <w:rsid w:val="004F2D3F"/>
    <w:rsid w:val="004F2DF6"/>
    <w:rsid w:val="004F2E52"/>
    <w:rsid w:val="004F2F66"/>
    <w:rsid w:val="004F3014"/>
    <w:rsid w:val="004F305D"/>
    <w:rsid w:val="004F30C6"/>
    <w:rsid w:val="004F3141"/>
    <w:rsid w:val="004F3289"/>
    <w:rsid w:val="004F328D"/>
    <w:rsid w:val="004F3337"/>
    <w:rsid w:val="004F33C1"/>
    <w:rsid w:val="004F3530"/>
    <w:rsid w:val="004F355D"/>
    <w:rsid w:val="004F356E"/>
    <w:rsid w:val="004F36FD"/>
    <w:rsid w:val="004F38C6"/>
    <w:rsid w:val="004F39E8"/>
    <w:rsid w:val="004F3A1F"/>
    <w:rsid w:val="004F3A38"/>
    <w:rsid w:val="004F3AC1"/>
    <w:rsid w:val="004F3BDA"/>
    <w:rsid w:val="004F3CA3"/>
    <w:rsid w:val="004F3D40"/>
    <w:rsid w:val="004F3EE0"/>
    <w:rsid w:val="004F4065"/>
    <w:rsid w:val="004F4069"/>
    <w:rsid w:val="004F40F3"/>
    <w:rsid w:val="004F41BD"/>
    <w:rsid w:val="004F4263"/>
    <w:rsid w:val="004F4379"/>
    <w:rsid w:val="004F45C0"/>
    <w:rsid w:val="004F46B9"/>
    <w:rsid w:val="004F47AA"/>
    <w:rsid w:val="004F484A"/>
    <w:rsid w:val="004F4880"/>
    <w:rsid w:val="004F4A2B"/>
    <w:rsid w:val="004F4BD3"/>
    <w:rsid w:val="004F4CC4"/>
    <w:rsid w:val="004F4D42"/>
    <w:rsid w:val="004F4DA5"/>
    <w:rsid w:val="004F4DE7"/>
    <w:rsid w:val="004F4F67"/>
    <w:rsid w:val="004F508D"/>
    <w:rsid w:val="004F518B"/>
    <w:rsid w:val="004F51A8"/>
    <w:rsid w:val="004F51E7"/>
    <w:rsid w:val="004F53F1"/>
    <w:rsid w:val="004F54A8"/>
    <w:rsid w:val="004F54C8"/>
    <w:rsid w:val="004F54CD"/>
    <w:rsid w:val="004F5724"/>
    <w:rsid w:val="004F573E"/>
    <w:rsid w:val="004F5770"/>
    <w:rsid w:val="004F59AC"/>
    <w:rsid w:val="004F5A2C"/>
    <w:rsid w:val="004F5ABE"/>
    <w:rsid w:val="004F5B30"/>
    <w:rsid w:val="004F5BC3"/>
    <w:rsid w:val="004F5BD1"/>
    <w:rsid w:val="004F5CE4"/>
    <w:rsid w:val="004F5D34"/>
    <w:rsid w:val="004F5FCD"/>
    <w:rsid w:val="004F604C"/>
    <w:rsid w:val="004F606A"/>
    <w:rsid w:val="004F619B"/>
    <w:rsid w:val="004F623E"/>
    <w:rsid w:val="004F63B9"/>
    <w:rsid w:val="004F63D7"/>
    <w:rsid w:val="004F64CA"/>
    <w:rsid w:val="004F6509"/>
    <w:rsid w:val="004F65ED"/>
    <w:rsid w:val="004F6624"/>
    <w:rsid w:val="004F6693"/>
    <w:rsid w:val="004F669A"/>
    <w:rsid w:val="004F6791"/>
    <w:rsid w:val="004F6814"/>
    <w:rsid w:val="004F6AD3"/>
    <w:rsid w:val="004F6C0E"/>
    <w:rsid w:val="004F6C71"/>
    <w:rsid w:val="004F6C7A"/>
    <w:rsid w:val="004F6C8D"/>
    <w:rsid w:val="004F6CAA"/>
    <w:rsid w:val="004F6CC8"/>
    <w:rsid w:val="004F6E91"/>
    <w:rsid w:val="004F6EC2"/>
    <w:rsid w:val="004F6F54"/>
    <w:rsid w:val="004F6FE6"/>
    <w:rsid w:val="004F7205"/>
    <w:rsid w:val="004F7226"/>
    <w:rsid w:val="004F727C"/>
    <w:rsid w:val="004F7337"/>
    <w:rsid w:val="004F740F"/>
    <w:rsid w:val="004F7649"/>
    <w:rsid w:val="004F7668"/>
    <w:rsid w:val="004F7722"/>
    <w:rsid w:val="004F7777"/>
    <w:rsid w:val="004F786F"/>
    <w:rsid w:val="004F7941"/>
    <w:rsid w:val="004F7A49"/>
    <w:rsid w:val="004F7A65"/>
    <w:rsid w:val="004F7AB0"/>
    <w:rsid w:val="004F7BD7"/>
    <w:rsid w:val="004F7C06"/>
    <w:rsid w:val="004F7D06"/>
    <w:rsid w:val="004F7D64"/>
    <w:rsid w:val="004F7E63"/>
    <w:rsid w:val="004F7FAE"/>
    <w:rsid w:val="0050024B"/>
    <w:rsid w:val="005002C8"/>
    <w:rsid w:val="005004A6"/>
    <w:rsid w:val="005006A4"/>
    <w:rsid w:val="005006D8"/>
    <w:rsid w:val="0050073A"/>
    <w:rsid w:val="00500798"/>
    <w:rsid w:val="005008A8"/>
    <w:rsid w:val="00500A02"/>
    <w:rsid w:val="00500A7C"/>
    <w:rsid w:val="00500AB2"/>
    <w:rsid w:val="00500CA4"/>
    <w:rsid w:val="00500CB9"/>
    <w:rsid w:val="00500D51"/>
    <w:rsid w:val="00500DFC"/>
    <w:rsid w:val="00500FF3"/>
    <w:rsid w:val="0050108B"/>
    <w:rsid w:val="005010B3"/>
    <w:rsid w:val="005010D6"/>
    <w:rsid w:val="00501114"/>
    <w:rsid w:val="005012F7"/>
    <w:rsid w:val="00501371"/>
    <w:rsid w:val="005015B5"/>
    <w:rsid w:val="00501868"/>
    <w:rsid w:val="00501924"/>
    <w:rsid w:val="00501987"/>
    <w:rsid w:val="005019BE"/>
    <w:rsid w:val="005019F5"/>
    <w:rsid w:val="00501B80"/>
    <w:rsid w:val="00501F5C"/>
    <w:rsid w:val="00501F89"/>
    <w:rsid w:val="00502089"/>
    <w:rsid w:val="005021B6"/>
    <w:rsid w:val="005021E3"/>
    <w:rsid w:val="00502202"/>
    <w:rsid w:val="0050220B"/>
    <w:rsid w:val="005022F9"/>
    <w:rsid w:val="0050231A"/>
    <w:rsid w:val="0050239C"/>
    <w:rsid w:val="00502451"/>
    <w:rsid w:val="00502549"/>
    <w:rsid w:val="005026BB"/>
    <w:rsid w:val="00502729"/>
    <w:rsid w:val="00502897"/>
    <w:rsid w:val="00502995"/>
    <w:rsid w:val="005029A8"/>
    <w:rsid w:val="005029FF"/>
    <w:rsid w:val="00502B46"/>
    <w:rsid w:val="00502BA5"/>
    <w:rsid w:val="00502CFA"/>
    <w:rsid w:val="00502D76"/>
    <w:rsid w:val="00502F50"/>
    <w:rsid w:val="005030B2"/>
    <w:rsid w:val="00503156"/>
    <w:rsid w:val="005031AE"/>
    <w:rsid w:val="005031B5"/>
    <w:rsid w:val="00503526"/>
    <w:rsid w:val="005035B3"/>
    <w:rsid w:val="0050362B"/>
    <w:rsid w:val="00503662"/>
    <w:rsid w:val="0050370D"/>
    <w:rsid w:val="00503725"/>
    <w:rsid w:val="00503759"/>
    <w:rsid w:val="005037A4"/>
    <w:rsid w:val="005037CF"/>
    <w:rsid w:val="005037D7"/>
    <w:rsid w:val="0050385F"/>
    <w:rsid w:val="00503918"/>
    <w:rsid w:val="00503B88"/>
    <w:rsid w:val="00503C7A"/>
    <w:rsid w:val="00503DE0"/>
    <w:rsid w:val="00503EC0"/>
    <w:rsid w:val="00504074"/>
    <w:rsid w:val="00504198"/>
    <w:rsid w:val="00504269"/>
    <w:rsid w:val="00504431"/>
    <w:rsid w:val="00504448"/>
    <w:rsid w:val="00504534"/>
    <w:rsid w:val="00504551"/>
    <w:rsid w:val="00504574"/>
    <w:rsid w:val="0050465F"/>
    <w:rsid w:val="005047F9"/>
    <w:rsid w:val="0050487B"/>
    <w:rsid w:val="00504B2D"/>
    <w:rsid w:val="00504B5D"/>
    <w:rsid w:val="00504B7B"/>
    <w:rsid w:val="00504C85"/>
    <w:rsid w:val="00504E27"/>
    <w:rsid w:val="00504E3A"/>
    <w:rsid w:val="00504EFA"/>
    <w:rsid w:val="00504F48"/>
    <w:rsid w:val="00504F73"/>
    <w:rsid w:val="00504FF1"/>
    <w:rsid w:val="005050F5"/>
    <w:rsid w:val="005050FA"/>
    <w:rsid w:val="00505184"/>
    <w:rsid w:val="0050522B"/>
    <w:rsid w:val="005052F5"/>
    <w:rsid w:val="005053C3"/>
    <w:rsid w:val="005053C7"/>
    <w:rsid w:val="005054BC"/>
    <w:rsid w:val="005054C9"/>
    <w:rsid w:val="00505568"/>
    <w:rsid w:val="005055FF"/>
    <w:rsid w:val="005058B8"/>
    <w:rsid w:val="00505987"/>
    <w:rsid w:val="00505A19"/>
    <w:rsid w:val="00505A25"/>
    <w:rsid w:val="00505B0F"/>
    <w:rsid w:val="00505E96"/>
    <w:rsid w:val="0050600D"/>
    <w:rsid w:val="00506056"/>
    <w:rsid w:val="005060BC"/>
    <w:rsid w:val="00506179"/>
    <w:rsid w:val="0050620E"/>
    <w:rsid w:val="0050625D"/>
    <w:rsid w:val="00506631"/>
    <w:rsid w:val="00506634"/>
    <w:rsid w:val="00506728"/>
    <w:rsid w:val="00506759"/>
    <w:rsid w:val="00506892"/>
    <w:rsid w:val="005068DF"/>
    <w:rsid w:val="00506ACE"/>
    <w:rsid w:val="00506B46"/>
    <w:rsid w:val="00506BBF"/>
    <w:rsid w:val="00506BC1"/>
    <w:rsid w:val="00506C04"/>
    <w:rsid w:val="00506C9A"/>
    <w:rsid w:val="00506D3C"/>
    <w:rsid w:val="00506DDC"/>
    <w:rsid w:val="00506EA1"/>
    <w:rsid w:val="00506FB8"/>
    <w:rsid w:val="0050712F"/>
    <w:rsid w:val="0050717C"/>
    <w:rsid w:val="00507235"/>
    <w:rsid w:val="00507333"/>
    <w:rsid w:val="0050741A"/>
    <w:rsid w:val="0050744A"/>
    <w:rsid w:val="00507526"/>
    <w:rsid w:val="0050757A"/>
    <w:rsid w:val="005075B1"/>
    <w:rsid w:val="00507784"/>
    <w:rsid w:val="005077DF"/>
    <w:rsid w:val="00507832"/>
    <w:rsid w:val="0050785F"/>
    <w:rsid w:val="005078EC"/>
    <w:rsid w:val="005079C1"/>
    <w:rsid w:val="005079DA"/>
    <w:rsid w:val="00507A2D"/>
    <w:rsid w:val="00507C4A"/>
    <w:rsid w:val="00507C5F"/>
    <w:rsid w:val="00507D1C"/>
    <w:rsid w:val="00507D27"/>
    <w:rsid w:val="00507D96"/>
    <w:rsid w:val="00507F79"/>
    <w:rsid w:val="00507FB5"/>
    <w:rsid w:val="00507FD4"/>
    <w:rsid w:val="00507FF3"/>
    <w:rsid w:val="005100F8"/>
    <w:rsid w:val="0051011E"/>
    <w:rsid w:val="00510136"/>
    <w:rsid w:val="00510174"/>
    <w:rsid w:val="00510237"/>
    <w:rsid w:val="0051032C"/>
    <w:rsid w:val="005103BF"/>
    <w:rsid w:val="00510696"/>
    <w:rsid w:val="005106A4"/>
    <w:rsid w:val="0051070D"/>
    <w:rsid w:val="00510A8D"/>
    <w:rsid w:val="00510AA4"/>
    <w:rsid w:val="00510B96"/>
    <w:rsid w:val="00510D11"/>
    <w:rsid w:val="00510E25"/>
    <w:rsid w:val="00510F7D"/>
    <w:rsid w:val="00510FBB"/>
    <w:rsid w:val="00510FDA"/>
    <w:rsid w:val="00511058"/>
    <w:rsid w:val="00511542"/>
    <w:rsid w:val="005115C4"/>
    <w:rsid w:val="00511638"/>
    <w:rsid w:val="00511697"/>
    <w:rsid w:val="0051169A"/>
    <w:rsid w:val="0051170D"/>
    <w:rsid w:val="005117EA"/>
    <w:rsid w:val="005118DC"/>
    <w:rsid w:val="00511A83"/>
    <w:rsid w:val="00511B7F"/>
    <w:rsid w:val="00511B86"/>
    <w:rsid w:val="00511BD5"/>
    <w:rsid w:val="00511FBC"/>
    <w:rsid w:val="00511FD7"/>
    <w:rsid w:val="0051209E"/>
    <w:rsid w:val="005120D8"/>
    <w:rsid w:val="005120F5"/>
    <w:rsid w:val="005121EC"/>
    <w:rsid w:val="00512322"/>
    <w:rsid w:val="00512455"/>
    <w:rsid w:val="0051245A"/>
    <w:rsid w:val="005124F7"/>
    <w:rsid w:val="005125CB"/>
    <w:rsid w:val="005126DA"/>
    <w:rsid w:val="005128FE"/>
    <w:rsid w:val="00512B8D"/>
    <w:rsid w:val="00512BEF"/>
    <w:rsid w:val="00512F59"/>
    <w:rsid w:val="00512F90"/>
    <w:rsid w:val="00512FFE"/>
    <w:rsid w:val="00513074"/>
    <w:rsid w:val="00513097"/>
    <w:rsid w:val="005130A1"/>
    <w:rsid w:val="0051326D"/>
    <w:rsid w:val="00513340"/>
    <w:rsid w:val="005133D2"/>
    <w:rsid w:val="005133EB"/>
    <w:rsid w:val="005135B8"/>
    <w:rsid w:val="0051367A"/>
    <w:rsid w:val="0051375C"/>
    <w:rsid w:val="005137B4"/>
    <w:rsid w:val="005138A4"/>
    <w:rsid w:val="005138C1"/>
    <w:rsid w:val="00513A0C"/>
    <w:rsid w:val="00513A5D"/>
    <w:rsid w:val="00513A7C"/>
    <w:rsid w:val="00513ADD"/>
    <w:rsid w:val="00513B2D"/>
    <w:rsid w:val="00513B69"/>
    <w:rsid w:val="00513BF4"/>
    <w:rsid w:val="00513C57"/>
    <w:rsid w:val="00513DEB"/>
    <w:rsid w:val="00513E6F"/>
    <w:rsid w:val="00513F67"/>
    <w:rsid w:val="0051402D"/>
    <w:rsid w:val="0051405D"/>
    <w:rsid w:val="005141D8"/>
    <w:rsid w:val="00514296"/>
    <w:rsid w:val="00514298"/>
    <w:rsid w:val="0051432F"/>
    <w:rsid w:val="005143C7"/>
    <w:rsid w:val="005143D3"/>
    <w:rsid w:val="0051442B"/>
    <w:rsid w:val="00514685"/>
    <w:rsid w:val="005146BF"/>
    <w:rsid w:val="005146F6"/>
    <w:rsid w:val="00514965"/>
    <w:rsid w:val="00514A2B"/>
    <w:rsid w:val="00514A64"/>
    <w:rsid w:val="00514BEB"/>
    <w:rsid w:val="00514C80"/>
    <w:rsid w:val="00514DD6"/>
    <w:rsid w:val="005151C1"/>
    <w:rsid w:val="00515285"/>
    <w:rsid w:val="00515372"/>
    <w:rsid w:val="005153DF"/>
    <w:rsid w:val="00515587"/>
    <w:rsid w:val="005155B8"/>
    <w:rsid w:val="00515814"/>
    <w:rsid w:val="00515976"/>
    <w:rsid w:val="005159E0"/>
    <w:rsid w:val="00515AC9"/>
    <w:rsid w:val="00515C25"/>
    <w:rsid w:val="00515D98"/>
    <w:rsid w:val="00515FDC"/>
    <w:rsid w:val="00516033"/>
    <w:rsid w:val="0051634F"/>
    <w:rsid w:val="00516375"/>
    <w:rsid w:val="005166B1"/>
    <w:rsid w:val="005167D0"/>
    <w:rsid w:val="005167FF"/>
    <w:rsid w:val="005168FB"/>
    <w:rsid w:val="00516AB4"/>
    <w:rsid w:val="00516C15"/>
    <w:rsid w:val="00516C48"/>
    <w:rsid w:val="00516C4E"/>
    <w:rsid w:val="00516CC2"/>
    <w:rsid w:val="00516DB9"/>
    <w:rsid w:val="00516F79"/>
    <w:rsid w:val="00517061"/>
    <w:rsid w:val="00517231"/>
    <w:rsid w:val="005173DA"/>
    <w:rsid w:val="0051741A"/>
    <w:rsid w:val="0051747A"/>
    <w:rsid w:val="00517539"/>
    <w:rsid w:val="0051763E"/>
    <w:rsid w:val="00517674"/>
    <w:rsid w:val="005176A0"/>
    <w:rsid w:val="0051778E"/>
    <w:rsid w:val="00517795"/>
    <w:rsid w:val="00517849"/>
    <w:rsid w:val="0051788E"/>
    <w:rsid w:val="00517929"/>
    <w:rsid w:val="00517935"/>
    <w:rsid w:val="005179D2"/>
    <w:rsid w:val="00517BD1"/>
    <w:rsid w:val="00517C62"/>
    <w:rsid w:val="00517E07"/>
    <w:rsid w:val="00517EDB"/>
    <w:rsid w:val="00520038"/>
    <w:rsid w:val="0052006E"/>
    <w:rsid w:val="00520075"/>
    <w:rsid w:val="005201D8"/>
    <w:rsid w:val="00520249"/>
    <w:rsid w:val="0052033A"/>
    <w:rsid w:val="005205D3"/>
    <w:rsid w:val="005206C4"/>
    <w:rsid w:val="0052077D"/>
    <w:rsid w:val="00520811"/>
    <w:rsid w:val="00520936"/>
    <w:rsid w:val="005209C5"/>
    <w:rsid w:val="00520C8C"/>
    <w:rsid w:val="00520CA5"/>
    <w:rsid w:val="00520CFA"/>
    <w:rsid w:val="00520DD8"/>
    <w:rsid w:val="00520E89"/>
    <w:rsid w:val="00520F0A"/>
    <w:rsid w:val="00520FAD"/>
    <w:rsid w:val="005210E7"/>
    <w:rsid w:val="00521123"/>
    <w:rsid w:val="0052114E"/>
    <w:rsid w:val="0052121D"/>
    <w:rsid w:val="005212E0"/>
    <w:rsid w:val="005214F1"/>
    <w:rsid w:val="0052178C"/>
    <w:rsid w:val="00521A22"/>
    <w:rsid w:val="00521A4D"/>
    <w:rsid w:val="00521A89"/>
    <w:rsid w:val="00521B3F"/>
    <w:rsid w:val="00521BD9"/>
    <w:rsid w:val="00521BF7"/>
    <w:rsid w:val="00521CAF"/>
    <w:rsid w:val="00521CFA"/>
    <w:rsid w:val="00521D03"/>
    <w:rsid w:val="00521E0E"/>
    <w:rsid w:val="005220AC"/>
    <w:rsid w:val="00522115"/>
    <w:rsid w:val="00522169"/>
    <w:rsid w:val="005224FE"/>
    <w:rsid w:val="0052254F"/>
    <w:rsid w:val="0052256C"/>
    <w:rsid w:val="0052258B"/>
    <w:rsid w:val="005225A0"/>
    <w:rsid w:val="00522616"/>
    <w:rsid w:val="005226EF"/>
    <w:rsid w:val="00522710"/>
    <w:rsid w:val="00522728"/>
    <w:rsid w:val="0052288C"/>
    <w:rsid w:val="005228BB"/>
    <w:rsid w:val="00522AA9"/>
    <w:rsid w:val="00522B3F"/>
    <w:rsid w:val="00522BEB"/>
    <w:rsid w:val="00522C12"/>
    <w:rsid w:val="00522C20"/>
    <w:rsid w:val="00522C5F"/>
    <w:rsid w:val="00522EEA"/>
    <w:rsid w:val="00522F0B"/>
    <w:rsid w:val="00522FB6"/>
    <w:rsid w:val="005230C9"/>
    <w:rsid w:val="0052315A"/>
    <w:rsid w:val="005232B1"/>
    <w:rsid w:val="005232BA"/>
    <w:rsid w:val="00523321"/>
    <w:rsid w:val="00523329"/>
    <w:rsid w:val="005233CA"/>
    <w:rsid w:val="0052366A"/>
    <w:rsid w:val="00523696"/>
    <w:rsid w:val="00523747"/>
    <w:rsid w:val="005237D5"/>
    <w:rsid w:val="00523834"/>
    <w:rsid w:val="005238C9"/>
    <w:rsid w:val="00523940"/>
    <w:rsid w:val="005239DE"/>
    <w:rsid w:val="00523AEE"/>
    <w:rsid w:val="00523B1A"/>
    <w:rsid w:val="00523B53"/>
    <w:rsid w:val="00523C43"/>
    <w:rsid w:val="00523D45"/>
    <w:rsid w:val="00523DA3"/>
    <w:rsid w:val="00523E44"/>
    <w:rsid w:val="00523EA9"/>
    <w:rsid w:val="00523FBB"/>
    <w:rsid w:val="00523FED"/>
    <w:rsid w:val="005241C7"/>
    <w:rsid w:val="00524383"/>
    <w:rsid w:val="0052445C"/>
    <w:rsid w:val="00524568"/>
    <w:rsid w:val="005246D3"/>
    <w:rsid w:val="00524785"/>
    <w:rsid w:val="0052478C"/>
    <w:rsid w:val="005247F9"/>
    <w:rsid w:val="00524A02"/>
    <w:rsid w:val="00524B3C"/>
    <w:rsid w:val="00524BFB"/>
    <w:rsid w:val="00524C07"/>
    <w:rsid w:val="00524D5F"/>
    <w:rsid w:val="00524F67"/>
    <w:rsid w:val="00525157"/>
    <w:rsid w:val="005251AC"/>
    <w:rsid w:val="005251EA"/>
    <w:rsid w:val="005251EF"/>
    <w:rsid w:val="00525246"/>
    <w:rsid w:val="005252B7"/>
    <w:rsid w:val="00525342"/>
    <w:rsid w:val="00525438"/>
    <w:rsid w:val="00525450"/>
    <w:rsid w:val="005254A6"/>
    <w:rsid w:val="005255A2"/>
    <w:rsid w:val="0052564C"/>
    <w:rsid w:val="00525C14"/>
    <w:rsid w:val="00525CC3"/>
    <w:rsid w:val="00525E91"/>
    <w:rsid w:val="00525E94"/>
    <w:rsid w:val="00525F59"/>
    <w:rsid w:val="00525F64"/>
    <w:rsid w:val="00525F66"/>
    <w:rsid w:val="00525F77"/>
    <w:rsid w:val="00525FBA"/>
    <w:rsid w:val="0052600A"/>
    <w:rsid w:val="00526075"/>
    <w:rsid w:val="005260CF"/>
    <w:rsid w:val="00526178"/>
    <w:rsid w:val="00526204"/>
    <w:rsid w:val="0052623F"/>
    <w:rsid w:val="0052629B"/>
    <w:rsid w:val="0052636A"/>
    <w:rsid w:val="005263D4"/>
    <w:rsid w:val="00526431"/>
    <w:rsid w:val="005265A3"/>
    <w:rsid w:val="005265D3"/>
    <w:rsid w:val="00526629"/>
    <w:rsid w:val="00526671"/>
    <w:rsid w:val="005266A4"/>
    <w:rsid w:val="00526860"/>
    <w:rsid w:val="00526983"/>
    <w:rsid w:val="005269AA"/>
    <w:rsid w:val="005269B4"/>
    <w:rsid w:val="00526AA5"/>
    <w:rsid w:val="00526AD6"/>
    <w:rsid w:val="00526B83"/>
    <w:rsid w:val="00526B9C"/>
    <w:rsid w:val="00526D40"/>
    <w:rsid w:val="00526E21"/>
    <w:rsid w:val="00526E73"/>
    <w:rsid w:val="00526EA6"/>
    <w:rsid w:val="00526F88"/>
    <w:rsid w:val="00526F89"/>
    <w:rsid w:val="0052727D"/>
    <w:rsid w:val="00527305"/>
    <w:rsid w:val="005273AD"/>
    <w:rsid w:val="00527472"/>
    <w:rsid w:val="005274A5"/>
    <w:rsid w:val="005275CA"/>
    <w:rsid w:val="0052770D"/>
    <w:rsid w:val="00527974"/>
    <w:rsid w:val="00527A1E"/>
    <w:rsid w:val="00527B54"/>
    <w:rsid w:val="00527BC1"/>
    <w:rsid w:val="00527CEA"/>
    <w:rsid w:val="00527D74"/>
    <w:rsid w:val="00527D79"/>
    <w:rsid w:val="00530013"/>
    <w:rsid w:val="005301A5"/>
    <w:rsid w:val="005301EE"/>
    <w:rsid w:val="00530207"/>
    <w:rsid w:val="005302DC"/>
    <w:rsid w:val="005302EA"/>
    <w:rsid w:val="005303DE"/>
    <w:rsid w:val="0053044D"/>
    <w:rsid w:val="0053064C"/>
    <w:rsid w:val="00530685"/>
    <w:rsid w:val="0053073E"/>
    <w:rsid w:val="005307A4"/>
    <w:rsid w:val="005309A9"/>
    <w:rsid w:val="005309D6"/>
    <w:rsid w:val="00530A2E"/>
    <w:rsid w:val="00530B78"/>
    <w:rsid w:val="00530B95"/>
    <w:rsid w:val="00530C3E"/>
    <w:rsid w:val="00530C48"/>
    <w:rsid w:val="00530C78"/>
    <w:rsid w:val="00530CAA"/>
    <w:rsid w:val="00530CF7"/>
    <w:rsid w:val="00530E31"/>
    <w:rsid w:val="00530EA7"/>
    <w:rsid w:val="00530F2E"/>
    <w:rsid w:val="00530F89"/>
    <w:rsid w:val="00530F99"/>
    <w:rsid w:val="00531257"/>
    <w:rsid w:val="005312E7"/>
    <w:rsid w:val="005313C9"/>
    <w:rsid w:val="0053142A"/>
    <w:rsid w:val="0053155E"/>
    <w:rsid w:val="00531583"/>
    <w:rsid w:val="005315C4"/>
    <w:rsid w:val="00531999"/>
    <w:rsid w:val="00531A1B"/>
    <w:rsid w:val="00531A87"/>
    <w:rsid w:val="00531A99"/>
    <w:rsid w:val="00531AC9"/>
    <w:rsid w:val="00531B18"/>
    <w:rsid w:val="00531C38"/>
    <w:rsid w:val="00531D09"/>
    <w:rsid w:val="00531EAF"/>
    <w:rsid w:val="005320C8"/>
    <w:rsid w:val="0053219E"/>
    <w:rsid w:val="005321DD"/>
    <w:rsid w:val="005321FC"/>
    <w:rsid w:val="0053229A"/>
    <w:rsid w:val="0053231D"/>
    <w:rsid w:val="0053232F"/>
    <w:rsid w:val="0053233D"/>
    <w:rsid w:val="0053249F"/>
    <w:rsid w:val="005324CF"/>
    <w:rsid w:val="005324DA"/>
    <w:rsid w:val="005325BA"/>
    <w:rsid w:val="005325E3"/>
    <w:rsid w:val="005325F0"/>
    <w:rsid w:val="0053265F"/>
    <w:rsid w:val="00532709"/>
    <w:rsid w:val="005327F7"/>
    <w:rsid w:val="0053282F"/>
    <w:rsid w:val="00532A16"/>
    <w:rsid w:val="00532AB7"/>
    <w:rsid w:val="00532D03"/>
    <w:rsid w:val="00532D32"/>
    <w:rsid w:val="00532DE3"/>
    <w:rsid w:val="00532E04"/>
    <w:rsid w:val="00532EA6"/>
    <w:rsid w:val="00532F62"/>
    <w:rsid w:val="00532F8E"/>
    <w:rsid w:val="0053305B"/>
    <w:rsid w:val="00533155"/>
    <w:rsid w:val="005331B2"/>
    <w:rsid w:val="0053321B"/>
    <w:rsid w:val="005332D2"/>
    <w:rsid w:val="00533435"/>
    <w:rsid w:val="0053347A"/>
    <w:rsid w:val="00533593"/>
    <w:rsid w:val="005335D2"/>
    <w:rsid w:val="00533679"/>
    <w:rsid w:val="005336CF"/>
    <w:rsid w:val="005339F7"/>
    <w:rsid w:val="005339F8"/>
    <w:rsid w:val="00533A44"/>
    <w:rsid w:val="00533A94"/>
    <w:rsid w:val="00533AB0"/>
    <w:rsid w:val="00533ACE"/>
    <w:rsid w:val="00533B3E"/>
    <w:rsid w:val="00533B4A"/>
    <w:rsid w:val="00533CEB"/>
    <w:rsid w:val="00533D6B"/>
    <w:rsid w:val="00533D79"/>
    <w:rsid w:val="00533D9C"/>
    <w:rsid w:val="00533E3E"/>
    <w:rsid w:val="00533EC9"/>
    <w:rsid w:val="00534084"/>
    <w:rsid w:val="00534156"/>
    <w:rsid w:val="0053444C"/>
    <w:rsid w:val="00534465"/>
    <w:rsid w:val="005344C4"/>
    <w:rsid w:val="005344D9"/>
    <w:rsid w:val="005344FD"/>
    <w:rsid w:val="005346F9"/>
    <w:rsid w:val="005347D4"/>
    <w:rsid w:val="0053494C"/>
    <w:rsid w:val="005349CF"/>
    <w:rsid w:val="005349DB"/>
    <w:rsid w:val="00534A37"/>
    <w:rsid w:val="00534C32"/>
    <w:rsid w:val="00534D4D"/>
    <w:rsid w:val="00534DD5"/>
    <w:rsid w:val="00534DED"/>
    <w:rsid w:val="00534F69"/>
    <w:rsid w:val="00534F9E"/>
    <w:rsid w:val="0053500F"/>
    <w:rsid w:val="00535121"/>
    <w:rsid w:val="00535208"/>
    <w:rsid w:val="00535290"/>
    <w:rsid w:val="0053542B"/>
    <w:rsid w:val="005354C4"/>
    <w:rsid w:val="005355AE"/>
    <w:rsid w:val="005355CC"/>
    <w:rsid w:val="0053560B"/>
    <w:rsid w:val="0053561C"/>
    <w:rsid w:val="0053564A"/>
    <w:rsid w:val="005356AC"/>
    <w:rsid w:val="0053587C"/>
    <w:rsid w:val="00535909"/>
    <w:rsid w:val="0053597B"/>
    <w:rsid w:val="005359B6"/>
    <w:rsid w:val="005359FE"/>
    <w:rsid w:val="00535A44"/>
    <w:rsid w:val="00535B14"/>
    <w:rsid w:val="00535B15"/>
    <w:rsid w:val="00535B2E"/>
    <w:rsid w:val="00535D39"/>
    <w:rsid w:val="00535D4F"/>
    <w:rsid w:val="00535D5B"/>
    <w:rsid w:val="00535D9F"/>
    <w:rsid w:val="00535F42"/>
    <w:rsid w:val="00535FAB"/>
    <w:rsid w:val="00536053"/>
    <w:rsid w:val="0053614F"/>
    <w:rsid w:val="00536150"/>
    <w:rsid w:val="00536157"/>
    <w:rsid w:val="005361CE"/>
    <w:rsid w:val="005361F0"/>
    <w:rsid w:val="00536380"/>
    <w:rsid w:val="005364D0"/>
    <w:rsid w:val="00536637"/>
    <w:rsid w:val="00536652"/>
    <w:rsid w:val="00536680"/>
    <w:rsid w:val="005366C1"/>
    <w:rsid w:val="00536742"/>
    <w:rsid w:val="005368CD"/>
    <w:rsid w:val="0053693E"/>
    <w:rsid w:val="00536B66"/>
    <w:rsid w:val="00536BD5"/>
    <w:rsid w:val="00536BE0"/>
    <w:rsid w:val="00536C9C"/>
    <w:rsid w:val="00536D77"/>
    <w:rsid w:val="00536DB8"/>
    <w:rsid w:val="00536E22"/>
    <w:rsid w:val="00536E86"/>
    <w:rsid w:val="005370B9"/>
    <w:rsid w:val="005371F0"/>
    <w:rsid w:val="0053738C"/>
    <w:rsid w:val="00537490"/>
    <w:rsid w:val="00537546"/>
    <w:rsid w:val="00537570"/>
    <w:rsid w:val="00537573"/>
    <w:rsid w:val="00537727"/>
    <w:rsid w:val="005377AF"/>
    <w:rsid w:val="00537938"/>
    <w:rsid w:val="00537AC7"/>
    <w:rsid w:val="00537B12"/>
    <w:rsid w:val="00537B35"/>
    <w:rsid w:val="00537B38"/>
    <w:rsid w:val="00537B76"/>
    <w:rsid w:val="00537CAB"/>
    <w:rsid w:val="00540051"/>
    <w:rsid w:val="005400D6"/>
    <w:rsid w:val="005402B6"/>
    <w:rsid w:val="0054034E"/>
    <w:rsid w:val="00540454"/>
    <w:rsid w:val="00540482"/>
    <w:rsid w:val="005404BA"/>
    <w:rsid w:val="00540573"/>
    <w:rsid w:val="005405C0"/>
    <w:rsid w:val="0054077C"/>
    <w:rsid w:val="0054083C"/>
    <w:rsid w:val="00540A57"/>
    <w:rsid w:val="00540AF4"/>
    <w:rsid w:val="00540C62"/>
    <w:rsid w:val="00540C98"/>
    <w:rsid w:val="00540D2E"/>
    <w:rsid w:val="00540FE6"/>
    <w:rsid w:val="00540FFA"/>
    <w:rsid w:val="00541064"/>
    <w:rsid w:val="005410A5"/>
    <w:rsid w:val="005410C0"/>
    <w:rsid w:val="005411B5"/>
    <w:rsid w:val="0054122C"/>
    <w:rsid w:val="00541231"/>
    <w:rsid w:val="00541248"/>
    <w:rsid w:val="005412A8"/>
    <w:rsid w:val="005414D8"/>
    <w:rsid w:val="0054152D"/>
    <w:rsid w:val="00541564"/>
    <w:rsid w:val="00541646"/>
    <w:rsid w:val="0054165E"/>
    <w:rsid w:val="00541814"/>
    <w:rsid w:val="00541823"/>
    <w:rsid w:val="0054186E"/>
    <w:rsid w:val="0054187F"/>
    <w:rsid w:val="0054190A"/>
    <w:rsid w:val="00541984"/>
    <w:rsid w:val="005419C4"/>
    <w:rsid w:val="00541C24"/>
    <w:rsid w:val="00541C51"/>
    <w:rsid w:val="00541EAD"/>
    <w:rsid w:val="0054238D"/>
    <w:rsid w:val="00542500"/>
    <w:rsid w:val="0054250F"/>
    <w:rsid w:val="005425AE"/>
    <w:rsid w:val="005425C5"/>
    <w:rsid w:val="00542623"/>
    <w:rsid w:val="0054265B"/>
    <w:rsid w:val="005427BE"/>
    <w:rsid w:val="005427BF"/>
    <w:rsid w:val="0054284E"/>
    <w:rsid w:val="005428C8"/>
    <w:rsid w:val="00542D4C"/>
    <w:rsid w:val="00542DD6"/>
    <w:rsid w:val="00542E3F"/>
    <w:rsid w:val="00542EB2"/>
    <w:rsid w:val="005431ED"/>
    <w:rsid w:val="0054322B"/>
    <w:rsid w:val="005433B6"/>
    <w:rsid w:val="00543506"/>
    <w:rsid w:val="0054353D"/>
    <w:rsid w:val="0054354B"/>
    <w:rsid w:val="005435C2"/>
    <w:rsid w:val="0054364D"/>
    <w:rsid w:val="005436AD"/>
    <w:rsid w:val="00543726"/>
    <w:rsid w:val="0054389D"/>
    <w:rsid w:val="00543913"/>
    <w:rsid w:val="00543A70"/>
    <w:rsid w:val="00543AF3"/>
    <w:rsid w:val="00543B32"/>
    <w:rsid w:val="00543C07"/>
    <w:rsid w:val="00543DBB"/>
    <w:rsid w:val="00543E09"/>
    <w:rsid w:val="00543E58"/>
    <w:rsid w:val="005440C7"/>
    <w:rsid w:val="005440D3"/>
    <w:rsid w:val="0054418B"/>
    <w:rsid w:val="005441D5"/>
    <w:rsid w:val="0054427E"/>
    <w:rsid w:val="00544460"/>
    <w:rsid w:val="00544702"/>
    <w:rsid w:val="00544760"/>
    <w:rsid w:val="005447A3"/>
    <w:rsid w:val="00544898"/>
    <w:rsid w:val="005448C4"/>
    <w:rsid w:val="005449F0"/>
    <w:rsid w:val="00544C8D"/>
    <w:rsid w:val="00544D8B"/>
    <w:rsid w:val="00544DAA"/>
    <w:rsid w:val="00544DAB"/>
    <w:rsid w:val="00544F75"/>
    <w:rsid w:val="00544FD2"/>
    <w:rsid w:val="00545098"/>
    <w:rsid w:val="005450C2"/>
    <w:rsid w:val="00545191"/>
    <w:rsid w:val="005452C0"/>
    <w:rsid w:val="005452EA"/>
    <w:rsid w:val="005453C1"/>
    <w:rsid w:val="005453C6"/>
    <w:rsid w:val="00545413"/>
    <w:rsid w:val="00545479"/>
    <w:rsid w:val="005455A8"/>
    <w:rsid w:val="005455E0"/>
    <w:rsid w:val="00545607"/>
    <w:rsid w:val="00545632"/>
    <w:rsid w:val="00545661"/>
    <w:rsid w:val="00545710"/>
    <w:rsid w:val="005457C7"/>
    <w:rsid w:val="00545969"/>
    <w:rsid w:val="005459F6"/>
    <w:rsid w:val="00545AAE"/>
    <w:rsid w:val="00545BC1"/>
    <w:rsid w:val="00545C7D"/>
    <w:rsid w:val="00545D20"/>
    <w:rsid w:val="00545DB5"/>
    <w:rsid w:val="00545EB5"/>
    <w:rsid w:val="00545F41"/>
    <w:rsid w:val="00545F9D"/>
    <w:rsid w:val="00545FA2"/>
    <w:rsid w:val="0054623A"/>
    <w:rsid w:val="005463E1"/>
    <w:rsid w:val="00546463"/>
    <w:rsid w:val="00546465"/>
    <w:rsid w:val="0054648E"/>
    <w:rsid w:val="0054649D"/>
    <w:rsid w:val="005464A7"/>
    <w:rsid w:val="0054654E"/>
    <w:rsid w:val="005465EB"/>
    <w:rsid w:val="0054663D"/>
    <w:rsid w:val="00546645"/>
    <w:rsid w:val="005466D3"/>
    <w:rsid w:val="005466F6"/>
    <w:rsid w:val="0054688C"/>
    <w:rsid w:val="00546922"/>
    <w:rsid w:val="00546991"/>
    <w:rsid w:val="00546A66"/>
    <w:rsid w:val="00546B70"/>
    <w:rsid w:val="00546B92"/>
    <w:rsid w:val="00546BF9"/>
    <w:rsid w:val="00546D11"/>
    <w:rsid w:val="00546EBA"/>
    <w:rsid w:val="00546FAF"/>
    <w:rsid w:val="005470DF"/>
    <w:rsid w:val="0054712A"/>
    <w:rsid w:val="00547155"/>
    <w:rsid w:val="0054724C"/>
    <w:rsid w:val="005472A8"/>
    <w:rsid w:val="005472DE"/>
    <w:rsid w:val="00547305"/>
    <w:rsid w:val="005473A0"/>
    <w:rsid w:val="00547422"/>
    <w:rsid w:val="00547436"/>
    <w:rsid w:val="00547477"/>
    <w:rsid w:val="005474A7"/>
    <w:rsid w:val="00547638"/>
    <w:rsid w:val="00547663"/>
    <w:rsid w:val="005476BA"/>
    <w:rsid w:val="00547952"/>
    <w:rsid w:val="00547973"/>
    <w:rsid w:val="00547976"/>
    <w:rsid w:val="005479C8"/>
    <w:rsid w:val="00547A37"/>
    <w:rsid w:val="00547A81"/>
    <w:rsid w:val="00547BC5"/>
    <w:rsid w:val="00547CD5"/>
    <w:rsid w:val="00547D83"/>
    <w:rsid w:val="00547DF9"/>
    <w:rsid w:val="00547F5B"/>
    <w:rsid w:val="00550044"/>
    <w:rsid w:val="00550066"/>
    <w:rsid w:val="0055006B"/>
    <w:rsid w:val="0055022C"/>
    <w:rsid w:val="00550307"/>
    <w:rsid w:val="00550460"/>
    <w:rsid w:val="0055049D"/>
    <w:rsid w:val="0055059E"/>
    <w:rsid w:val="0055078A"/>
    <w:rsid w:val="005507A5"/>
    <w:rsid w:val="0055098F"/>
    <w:rsid w:val="00550A3B"/>
    <w:rsid w:val="00550BDC"/>
    <w:rsid w:val="00550DAB"/>
    <w:rsid w:val="00550E7B"/>
    <w:rsid w:val="00550FFC"/>
    <w:rsid w:val="0055101F"/>
    <w:rsid w:val="00551148"/>
    <w:rsid w:val="0055117A"/>
    <w:rsid w:val="00551234"/>
    <w:rsid w:val="00551352"/>
    <w:rsid w:val="0055140A"/>
    <w:rsid w:val="0055147C"/>
    <w:rsid w:val="005514DF"/>
    <w:rsid w:val="00551555"/>
    <w:rsid w:val="0055166A"/>
    <w:rsid w:val="00551713"/>
    <w:rsid w:val="00551859"/>
    <w:rsid w:val="005519A5"/>
    <w:rsid w:val="00551A33"/>
    <w:rsid w:val="00551B39"/>
    <w:rsid w:val="00551B3A"/>
    <w:rsid w:val="00551C70"/>
    <w:rsid w:val="00551CA2"/>
    <w:rsid w:val="00551D81"/>
    <w:rsid w:val="00551DD4"/>
    <w:rsid w:val="00551FC3"/>
    <w:rsid w:val="00552067"/>
    <w:rsid w:val="00552194"/>
    <w:rsid w:val="005521F3"/>
    <w:rsid w:val="0055245C"/>
    <w:rsid w:val="005524BA"/>
    <w:rsid w:val="0055279C"/>
    <w:rsid w:val="005528B6"/>
    <w:rsid w:val="005528D8"/>
    <w:rsid w:val="00552957"/>
    <w:rsid w:val="00552974"/>
    <w:rsid w:val="00552A2E"/>
    <w:rsid w:val="00552A77"/>
    <w:rsid w:val="00552B33"/>
    <w:rsid w:val="00552B61"/>
    <w:rsid w:val="00552C12"/>
    <w:rsid w:val="00552C24"/>
    <w:rsid w:val="00552C3E"/>
    <w:rsid w:val="00552C70"/>
    <w:rsid w:val="00552CC8"/>
    <w:rsid w:val="00552CDE"/>
    <w:rsid w:val="00552D00"/>
    <w:rsid w:val="00552DB0"/>
    <w:rsid w:val="00552DE2"/>
    <w:rsid w:val="00552ED8"/>
    <w:rsid w:val="00553062"/>
    <w:rsid w:val="0055306C"/>
    <w:rsid w:val="00553110"/>
    <w:rsid w:val="00553256"/>
    <w:rsid w:val="00553263"/>
    <w:rsid w:val="005533CF"/>
    <w:rsid w:val="005533D6"/>
    <w:rsid w:val="0055346A"/>
    <w:rsid w:val="0055356F"/>
    <w:rsid w:val="00553570"/>
    <w:rsid w:val="005535AC"/>
    <w:rsid w:val="005536E9"/>
    <w:rsid w:val="00553888"/>
    <w:rsid w:val="00553947"/>
    <w:rsid w:val="00553A99"/>
    <w:rsid w:val="00553B34"/>
    <w:rsid w:val="00553B57"/>
    <w:rsid w:val="00553C07"/>
    <w:rsid w:val="00553C53"/>
    <w:rsid w:val="00553F49"/>
    <w:rsid w:val="00553F8E"/>
    <w:rsid w:val="005540E2"/>
    <w:rsid w:val="005540EB"/>
    <w:rsid w:val="0055416F"/>
    <w:rsid w:val="005542B6"/>
    <w:rsid w:val="0055447B"/>
    <w:rsid w:val="00554668"/>
    <w:rsid w:val="005546D6"/>
    <w:rsid w:val="00554744"/>
    <w:rsid w:val="0055474F"/>
    <w:rsid w:val="0055479B"/>
    <w:rsid w:val="005547A8"/>
    <w:rsid w:val="00554848"/>
    <w:rsid w:val="00554969"/>
    <w:rsid w:val="00554993"/>
    <w:rsid w:val="00554BC6"/>
    <w:rsid w:val="00554BF7"/>
    <w:rsid w:val="00554C2C"/>
    <w:rsid w:val="00554C3C"/>
    <w:rsid w:val="00554CF9"/>
    <w:rsid w:val="00554D33"/>
    <w:rsid w:val="00554D3B"/>
    <w:rsid w:val="00554D9F"/>
    <w:rsid w:val="00554EBB"/>
    <w:rsid w:val="00554EBE"/>
    <w:rsid w:val="00554F5E"/>
    <w:rsid w:val="00554F93"/>
    <w:rsid w:val="00554FED"/>
    <w:rsid w:val="0055500D"/>
    <w:rsid w:val="005551B7"/>
    <w:rsid w:val="005551B9"/>
    <w:rsid w:val="0055526E"/>
    <w:rsid w:val="0055529C"/>
    <w:rsid w:val="00555320"/>
    <w:rsid w:val="00555425"/>
    <w:rsid w:val="0055573F"/>
    <w:rsid w:val="00555991"/>
    <w:rsid w:val="00555A9A"/>
    <w:rsid w:val="00555AF7"/>
    <w:rsid w:val="00555B43"/>
    <w:rsid w:val="00555BCD"/>
    <w:rsid w:val="00555CE7"/>
    <w:rsid w:val="00555D8D"/>
    <w:rsid w:val="00556406"/>
    <w:rsid w:val="00556419"/>
    <w:rsid w:val="005564B3"/>
    <w:rsid w:val="005565C8"/>
    <w:rsid w:val="00556655"/>
    <w:rsid w:val="0055677D"/>
    <w:rsid w:val="005567F7"/>
    <w:rsid w:val="0055682F"/>
    <w:rsid w:val="0055684A"/>
    <w:rsid w:val="005568F8"/>
    <w:rsid w:val="00556BBD"/>
    <w:rsid w:val="00556BEB"/>
    <w:rsid w:val="00556C21"/>
    <w:rsid w:val="00556F2A"/>
    <w:rsid w:val="00556FB6"/>
    <w:rsid w:val="00557003"/>
    <w:rsid w:val="00557008"/>
    <w:rsid w:val="0055726A"/>
    <w:rsid w:val="00557313"/>
    <w:rsid w:val="00557400"/>
    <w:rsid w:val="005574A5"/>
    <w:rsid w:val="0055755B"/>
    <w:rsid w:val="005575A2"/>
    <w:rsid w:val="005575E5"/>
    <w:rsid w:val="0055777C"/>
    <w:rsid w:val="0055780D"/>
    <w:rsid w:val="00557891"/>
    <w:rsid w:val="005579DD"/>
    <w:rsid w:val="00557ACC"/>
    <w:rsid w:val="00557BE6"/>
    <w:rsid w:val="00557CE2"/>
    <w:rsid w:val="00557D07"/>
    <w:rsid w:val="00557D0B"/>
    <w:rsid w:val="00557DC7"/>
    <w:rsid w:val="00557E05"/>
    <w:rsid w:val="00557E32"/>
    <w:rsid w:val="00557EF4"/>
    <w:rsid w:val="00557F0E"/>
    <w:rsid w:val="00557F57"/>
    <w:rsid w:val="00557F7E"/>
    <w:rsid w:val="0056005A"/>
    <w:rsid w:val="0056005D"/>
    <w:rsid w:val="00560469"/>
    <w:rsid w:val="00560519"/>
    <w:rsid w:val="00560619"/>
    <w:rsid w:val="005606F1"/>
    <w:rsid w:val="005607CA"/>
    <w:rsid w:val="00560A65"/>
    <w:rsid w:val="00560AA0"/>
    <w:rsid w:val="00560BEA"/>
    <w:rsid w:val="00560FEB"/>
    <w:rsid w:val="005612CF"/>
    <w:rsid w:val="00561401"/>
    <w:rsid w:val="0056168F"/>
    <w:rsid w:val="00561727"/>
    <w:rsid w:val="00561792"/>
    <w:rsid w:val="00561826"/>
    <w:rsid w:val="005619EF"/>
    <w:rsid w:val="00561AC5"/>
    <w:rsid w:val="00561AD7"/>
    <w:rsid w:val="00561AE5"/>
    <w:rsid w:val="00561C6A"/>
    <w:rsid w:val="00561CDB"/>
    <w:rsid w:val="00561D3B"/>
    <w:rsid w:val="00561E7C"/>
    <w:rsid w:val="00561F2C"/>
    <w:rsid w:val="00561FCB"/>
    <w:rsid w:val="00561FF7"/>
    <w:rsid w:val="0056201B"/>
    <w:rsid w:val="00562154"/>
    <w:rsid w:val="0056223B"/>
    <w:rsid w:val="0056236D"/>
    <w:rsid w:val="0056244A"/>
    <w:rsid w:val="00562465"/>
    <w:rsid w:val="005625CA"/>
    <w:rsid w:val="0056260E"/>
    <w:rsid w:val="00562668"/>
    <w:rsid w:val="00562681"/>
    <w:rsid w:val="00562799"/>
    <w:rsid w:val="005628A3"/>
    <w:rsid w:val="00562A6D"/>
    <w:rsid w:val="00562A98"/>
    <w:rsid w:val="00562BA4"/>
    <w:rsid w:val="00562CD5"/>
    <w:rsid w:val="00562D3D"/>
    <w:rsid w:val="00562E38"/>
    <w:rsid w:val="00562E54"/>
    <w:rsid w:val="00562E8B"/>
    <w:rsid w:val="00562EA8"/>
    <w:rsid w:val="00562EFD"/>
    <w:rsid w:val="00563100"/>
    <w:rsid w:val="0056325D"/>
    <w:rsid w:val="005632B2"/>
    <w:rsid w:val="005632BF"/>
    <w:rsid w:val="0056333B"/>
    <w:rsid w:val="005635FD"/>
    <w:rsid w:val="00563800"/>
    <w:rsid w:val="005638D2"/>
    <w:rsid w:val="005638E3"/>
    <w:rsid w:val="00563A40"/>
    <w:rsid w:val="00563AB5"/>
    <w:rsid w:val="00563B2F"/>
    <w:rsid w:val="00563BC0"/>
    <w:rsid w:val="00563C81"/>
    <w:rsid w:val="00563D94"/>
    <w:rsid w:val="00563EDD"/>
    <w:rsid w:val="00563F73"/>
    <w:rsid w:val="00563FF4"/>
    <w:rsid w:val="0056401A"/>
    <w:rsid w:val="00564028"/>
    <w:rsid w:val="00564047"/>
    <w:rsid w:val="005640BB"/>
    <w:rsid w:val="00564155"/>
    <w:rsid w:val="005642A0"/>
    <w:rsid w:val="005643D2"/>
    <w:rsid w:val="00564421"/>
    <w:rsid w:val="00564469"/>
    <w:rsid w:val="005644F5"/>
    <w:rsid w:val="00564595"/>
    <w:rsid w:val="00564676"/>
    <w:rsid w:val="005646FD"/>
    <w:rsid w:val="0056477C"/>
    <w:rsid w:val="0056489D"/>
    <w:rsid w:val="0056490B"/>
    <w:rsid w:val="005649AD"/>
    <w:rsid w:val="00564AA8"/>
    <w:rsid w:val="00564ACD"/>
    <w:rsid w:val="00564BF8"/>
    <w:rsid w:val="00564C83"/>
    <w:rsid w:val="00564D14"/>
    <w:rsid w:val="0056505C"/>
    <w:rsid w:val="005650DE"/>
    <w:rsid w:val="00565239"/>
    <w:rsid w:val="0056529D"/>
    <w:rsid w:val="00565328"/>
    <w:rsid w:val="0056533E"/>
    <w:rsid w:val="00565555"/>
    <w:rsid w:val="00565687"/>
    <w:rsid w:val="005656A7"/>
    <w:rsid w:val="005656EF"/>
    <w:rsid w:val="0056572E"/>
    <w:rsid w:val="0056581C"/>
    <w:rsid w:val="00565A8E"/>
    <w:rsid w:val="00565B55"/>
    <w:rsid w:val="00565BBF"/>
    <w:rsid w:val="00565DC2"/>
    <w:rsid w:val="00565DED"/>
    <w:rsid w:val="00565DF7"/>
    <w:rsid w:val="00565F1B"/>
    <w:rsid w:val="00565F98"/>
    <w:rsid w:val="005660B4"/>
    <w:rsid w:val="005661B6"/>
    <w:rsid w:val="0056625B"/>
    <w:rsid w:val="005662C8"/>
    <w:rsid w:val="0056631E"/>
    <w:rsid w:val="00566321"/>
    <w:rsid w:val="005663BE"/>
    <w:rsid w:val="005667BC"/>
    <w:rsid w:val="00566839"/>
    <w:rsid w:val="0056693A"/>
    <w:rsid w:val="00566966"/>
    <w:rsid w:val="0056696B"/>
    <w:rsid w:val="005669A4"/>
    <w:rsid w:val="00566A71"/>
    <w:rsid w:val="00566AFE"/>
    <w:rsid w:val="00566B36"/>
    <w:rsid w:val="00566CD1"/>
    <w:rsid w:val="00566DA3"/>
    <w:rsid w:val="00566F0F"/>
    <w:rsid w:val="00566FA8"/>
    <w:rsid w:val="0056720C"/>
    <w:rsid w:val="00567390"/>
    <w:rsid w:val="005673B9"/>
    <w:rsid w:val="00567473"/>
    <w:rsid w:val="005674FC"/>
    <w:rsid w:val="00567503"/>
    <w:rsid w:val="005676D6"/>
    <w:rsid w:val="0056779D"/>
    <w:rsid w:val="005677DB"/>
    <w:rsid w:val="005679D9"/>
    <w:rsid w:val="005679F0"/>
    <w:rsid w:val="00567B29"/>
    <w:rsid w:val="00567C82"/>
    <w:rsid w:val="00567D15"/>
    <w:rsid w:val="00567D85"/>
    <w:rsid w:val="00567DBA"/>
    <w:rsid w:val="00567E4D"/>
    <w:rsid w:val="00567E63"/>
    <w:rsid w:val="00567F17"/>
    <w:rsid w:val="0057006D"/>
    <w:rsid w:val="005702D5"/>
    <w:rsid w:val="00570343"/>
    <w:rsid w:val="005703A2"/>
    <w:rsid w:val="00570518"/>
    <w:rsid w:val="00570595"/>
    <w:rsid w:val="00570634"/>
    <w:rsid w:val="00570785"/>
    <w:rsid w:val="0057081C"/>
    <w:rsid w:val="00570A80"/>
    <w:rsid w:val="00570B37"/>
    <w:rsid w:val="00570BCC"/>
    <w:rsid w:val="00570CA4"/>
    <w:rsid w:val="00570D46"/>
    <w:rsid w:val="00570D76"/>
    <w:rsid w:val="00570D7D"/>
    <w:rsid w:val="00570DE7"/>
    <w:rsid w:val="00570ECD"/>
    <w:rsid w:val="00571105"/>
    <w:rsid w:val="00571237"/>
    <w:rsid w:val="00571275"/>
    <w:rsid w:val="0057130F"/>
    <w:rsid w:val="00571345"/>
    <w:rsid w:val="005716E2"/>
    <w:rsid w:val="00571781"/>
    <w:rsid w:val="005717B9"/>
    <w:rsid w:val="005717CC"/>
    <w:rsid w:val="005718EA"/>
    <w:rsid w:val="00571924"/>
    <w:rsid w:val="005719D3"/>
    <w:rsid w:val="00571AE5"/>
    <w:rsid w:val="00571C2F"/>
    <w:rsid w:val="00571CDB"/>
    <w:rsid w:val="00571D8C"/>
    <w:rsid w:val="00571DA2"/>
    <w:rsid w:val="00572001"/>
    <w:rsid w:val="0057201D"/>
    <w:rsid w:val="005720B0"/>
    <w:rsid w:val="005721A7"/>
    <w:rsid w:val="00572241"/>
    <w:rsid w:val="00572318"/>
    <w:rsid w:val="005723CA"/>
    <w:rsid w:val="005723D3"/>
    <w:rsid w:val="00572512"/>
    <w:rsid w:val="00572C88"/>
    <w:rsid w:val="00572CE9"/>
    <w:rsid w:val="00572D91"/>
    <w:rsid w:val="00572D9E"/>
    <w:rsid w:val="00573201"/>
    <w:rsid w:val="0057335D"/>
    <w:rsid w:val="00573399"/>
    <w:rsid w:val="00573525"/>
    <w:rsid w:val="005736CE"/>
    <w:rsid w:val="00573807"/>
    <w:rsid w:val="005738C2"/>
    <w:rsid w:val="005739C2"/>
    <w:rsid w:val="005739FB"/>
    <w:rsid w:val="00573B62"/>
    <w:rsid w:val="00573BE8"/>
    <w:rsid w:val="00573E12"/>
    <w:rsid w:val="00573E65"/>
    <w:rsid w:val="00573F45"/>
    <w:rsid w:val="00573F6D"/>
    <w:rsid w:val="00574180"/>
    <w:rsid w:val="005741A5"/>
    <w:rsid w:val="005741E6"/>
    <w:rsid w:val="00574272"/>
    <w:rsid w:val="0057429A"/>
    <w:rsid w:val="005742B3"/>
    <w:rsid w:val="00574324"/>
    <w:rsid w:val="00574407"/>
    <w:rsid w:val="00574520"/>
    <w:rsid w:val="00574743"/>
    <w:rsid w:val="00574B35"/>
    <w:rsid w:val="00574C53"/>
    <w:rsid w:val="00574E04"/>
    <w:rsid w:val="00574F4A"/>
    <w:rsid w:val="00574FA7"/>
    <w:rsid w:val="005751E6"/>
    <w:rsid w:val="00575300"/>
    <w:rsid w:val="0057545F"/>
    <w:rsid w:val="00575576"/>
    <w:rsid w:val="005755F7"/>
    <w:rsid w:val="0057567B"/>
    <w:rsid w:val="005756AB"/>
    <w:rsid w:val="00575766"/>
    <w:rsid w:val="005757B7"/>
    <w:rsid w:val="005759CD"/>
    <w:rsid w:val="00575A6E"/>
    <w:rsid w:val="00575BE0"/>
    <w:rsid w:val="00575C87"/>
    <w:rsid w:val="00575C9C"/>
    <w:rsid w:val="00575D74"/>
    <w:rsid w:val="00575E2F"/>
    <w:rsid w:val="00575F5C"/>
    <w:rsid w:val="00575FEB"/>
    <w:rsid w:val="0057602E"/>
    <w:rsid w:val="005760D4"/>
    <w:rsid w:val="00576170"/>
    <w:rsid w:val="00576184"/>
    <w:rsid w:val="005761A0"/>
    <w:rsid w:val="005762A8"/>
    <w:rsid w:val="005763E2"/>
    <w:rsid w:val="005763FF"/>
    <w:rsid w:val="005764C7"/>
    <w:rsid w:val="005764E3"/>
    <w:rsid w:val="00576593"/>
    <w:rsid w:val="005765AC"/>
    <w:rsid w:val="0057660A"/>
    <w:rsid w:val="00576650"/>
    <w:rsid w:val="00576773"/>
    <w:rsid w:val="00576899"/>
    <w:rsid w:val="005768BF"/>
    <w:rsid w:val="00576A75"/>
    <w:rsid w:val="00576B32"/>
    <w:rsid w:val="00576B9C"/>
    <w:rsid w:val="00576D5B"/>
    <w:rsid w:val="00576ED8"/>
    <w:rsid w:val="00576EE3"/>
    <w:rsid w:val="005771A9"/>
    <w:rsid w:val="005771ED"/>
    <w:rsid w:val="00577263"/>
    <w:rsid w:val="00577276"/>
    <w:rsid w:val="00577279"/>
    <w:rsid w:val="00577328"/>
    <w:rsid w:val="005773D8"/>
    <w:rsid w:val="005773F3"/>
    <w:rsid w:val="00577468"/>
    <w:rsid w:val="005774BA"/>
    <w:rsid w:val="0057779A"/>
    <w:rsid w:val="005778CC"/>
    <w:rsid w:val="00577A86"/>
    <w:rsid w:val="00577B1C"/>
    <w:rsid w:val="00577BF1"/>
    <w:rsid w:val="00577DBF"/>
    <w:rsid w:val="00577E02"/>
    <w:rsid w:val="00577E6A"/>
    <w:rsid w:val="00577E7C"/>
    <w:rsid w:val="00577E9E"/>
    <w:rsid w:val="00577FB6"/>
    <w:rsid w:val="00577FD9"/>
    <w:rsid w:val="0058020B"/>
    <w:rsid w:val="005803E1"/>
    <w:rsid w:val="00580413"/>
    <w:rsid w:val="00580576"/>
    <w:rsid w:val="005805A2"/>
    <w:rsid w:val="00580601"/>
    <w:rsid w:val="005807A1"/>
    <w:rsid w:val="0058084F"/>
    <w:rsid w:val="005808DB"/>
    <w:rsid w:val="0058092B"/>
    <w:rsid w:val="00580934"/>
    <w:rsid w:val="00580A2A"/>
    <w:rsid w:val="00580A94"/>
    <w:rsid w:val="00580AE0"/>
    <w:rsid w:val="00580AF4"/>
    <w:rsid w:val="00580B16"/>
    <w:rsid w:val="00580BF6"/>
    <w:rsid w:val="00580BFD"/>
    <w:rsid w:val="00580D13"/>
    <w:rsid w:val="00580E0E"/>
    <w:rsid w:val="00580E50"/>
    <w:rsid w:val="00580ED3"/>
    <w:rsid w:val="00580F43"/>
    <w:rsid w:val="0058104F"/>
    <w:rsid w:val="005810ED"/>
    <w:rsid w:val="005811B9"/>
    <w:rsid w:val="00581357"/>
    <w:rsid w:val="0058139C"/>
    <w:rsid w:val="0058147B"/>
    <w:rsid w:val="00581530"/>
    <w:rsid w:val="00581568"/>
    <w:rsid w:val="0058173C"/>
    <w:rsid w:val="0058188C"/>
    <w:rsid w:val="005819B9"/>
    <w:rsid w:val="005819EF"/>
    <w:rsid w:val="00581A1E"/>
    <w:rsid w:val="00581B69"/>
    <w:rsid w:val="00581DD0"/>
    <w:rsid w:val="00581F63"/>
    <w:rsid w:val="00582350"/>
    <w:rsid w:val="005823A4"/>
    <w:rsid w:val="00582437"/>
    <w:rsid w:val="0058245C"/>
    <w:rsid w:val="00582493"/>
    <w:rsid w:val="00582567"/>
    <w:rsid w:val="005825E9"/>
    <w:rsid w:val="00582AA3"/>
    <w:rsid w:val="00582B8B"/>
    <w:rsid w:val="00582CC7"/>
    <w:rsid w:val="00582CE6"/>
    <w:rsid w:val="00582D3A"/>
    <w:rsid w:val="00582D89"/>
    <w:rsid w:val="00582DFD"/>
    <w:rsid w:val="00582E83"/>
    <w:rsid w:val="00582F93"/>
    <w:rsid w:val="0058304C"/>
    <w:rsid w:val="005830F7"/>
    <w:rsid w:val="0058314F"/>
    <w:rsid w:val="0058329D"/>
    <w:rsid w:val="00583395"/>
    <w:rsid w:val="005836D0"/>
    <w:rsid w:val="005836F2"/>
    <w:rsid w:val="0058372B"/>
    <w:rsid w:val="005837F0"/>
    <w:rsid w:val="00583994"/>
    <w:rsid w:val="00583B0D"/>
    <w:rsid w:val="00583D2F"/>
    <w:rsid w:val="00583D36"/>
    <w:rsid w:val="00584249"/>
    <w:rsid w:val="005842A3"/>
    <w:rsid w:val="005842B6"/>
    <w:rsid w:val="005845DD"/>
    <w:rsid w:val="005845F1"/>
    <w:rsid w:val="00584618"/>
    <w:rsid w:val="00584776"/>
    <w:rsid w:val="00584888"/>
    <w:rsid w:val="005848F6"/>
    <w:rsid w:val="00584B41"/>
    <w:rsid w:val="00584BCB"/>
    <w:rsid w:val="00584C56"/>
    <w:rsid w:val="00584CCC"/>
    <w:rsid w:val="00584D0A"/>
    <w:rsid w:val="00584E3C"/>
    <w:rsid w:val="00584EF4"/>
    <w:rsid w:val="00584F8D"/>
    <w:rsid w:val="0058504B"/>
    <w:rsid w:val="00585131"/>
    <w:rsid w:val="00585143"/>
    <w:rsid w:val="00585206"/>
    <w:rsid w:val="00585246"/>
    <w:rsid w:val="0058525A"/>
    <w:rsid w:val="00585386"/>
    <w:rsid w:val="005854AF"/>
    <w:rsid w:val="005855C9"/>
    <w:rsid w:val="005855E2"/>
    <w:rsid w:val="00585637"/>
    <w:rsid w:val="00585832"/>
    <w:rsid w:val="00585A1F"/>
    <w:rsid w:val="00585A68"/>
    <w:rsid w:val="00585A8F"/>
    <w:rsid w:val="00585BDF"/>
    <w:rsid w:val="00585E8B"/>
    <w:rsid w:val="00585F18"/>
    <w:rsid w:val="00585FB4"/>
    <w:rsid w:val="0058605F"/>
    <w:rsid w:val="005860A6"/>
    <w:rsid w:val="0058617D"/>
    <w:rsid w:val="005862E7"/>
    <w:rsid w:val="005862F7"/>
    <w:rsid w:val="00586304"/>
    <w:rsid w:val="005863AD"/>
    <w:rsid w:val="005863D6"/>
    <w:rsid w:val="00586475"/>
    <w:rsid w:val="005865C1"/>
    <w:rsid w:val="005865C6"/>
    <w:rsid w:val="00586619"/>
    <w:rsid w:val="0058681A"/>
    <w:rsid w:val="00586844"/>
    <w:rsid w:val="00586884"/>
    <w:rsid w:val="005868E8"/>
    <w:rsid w:val="005868F2"/>
    <w:rsid w:val="00586996"/>
    <w:rsid w:val="00586A7D"/>
    <w:rsid w:val="00586CDD"/>
    <w:rsid w:val="00586D21"/>
    <w:rsid w:val="00586DFC"/>
    <w:rsid w:val="00586F31"/>
    <w:rsid w:val="00586FDC"/>
    <w:rsid w:val="00587137"/>
    <w:rsid w:val="0058718E"/>
    <w:rsid w:val="005871BD"/>
    <w:rsid w:val="0058723A"/>
    <w:rsid w:val="005872AF"/>
    <w:rsid w:val="005874EA"/>
    <w:rsid w:val="005876ED"/>
    <w:rsid w:val="005876FB"/>
    <w:rsid w:val="005877B9"/>
    <w:rsid w:val="00587873"/>
    <w:rsid w:val="00587924"/>
    <w:rsid w:val="00587A85"/>
    <w:rsid w:val="00587A93"/>
    <w:rsid w:val="00587C52"/>
    <w:rsid w:val="00587D90"/>
    <w:rsid w:val="0059008C"/>
    <w:rsid w:val="00590170"/>
    <w:rsid w:val="005902C4"/>
    <w:rsid w:val="005902F3"/>
    <w:rsid w:val="00590369"/>
    <w:rsid w:val="00590620"/>
    <w:rsid w:val="00590655"/>
    <w:rsid w:val="005906A6"/>
    <w:rsid w:val="00590713"/>
    <w:rsid w:val="005907F9"/>
    <w:rsid w:val="00590918"/>
    <w:rsid w:val="005909E3"/>
    <w:rsid w:val="00590A7D"/>
    <w:rsid w:val="00590A9F"/>
    <w:rsid w:val="00590BF1"/>
    <w:rsid w:val="00590C54"/>
    <w:rsid w:val="00590E8F"/>
    <w:rsid w:val="00591072"/>
    <w:rsid w:val="0059107B"/>
    <w:rsid w:val="005910AF"/>
    <w:rsid w:val="0059115F"/>
    <w:rsid w:val="005911A9"/>
    <w:rsid w:val="0059129B"/>
    <w:rsid w:val="00591311"/>
    <w:rsid w:val="00591335"/>
    <w:rsid w:val="00591617"/>
    <w:rsid w:val="005916E0"/>
    <w:rsid w:val="0059171C"/>
    <w:rsid w:val="0059190A"/>
    <w:rsid w:val="0059199A"/>
    <w:rsid w:val="00591A54"/>
    <w:rsid w:val="00591B09"/>
    <w:rsid w:val="00591B3C"/>
    <w:rsid w:val="00591B5A"/>
    <w:rsid w:val="00591D52"/>
    <w:rsid w:val="00591E28"/>
    <w:rsid w:val="00591E4C"/>
    <w:rsid w:val="00592009"/>
    <w:rsid w:val="00592143"/>
    <w:rsid w:val="00592377"/>
    <w:rsid w:val="00592529"/>
    <w:rsid w:val="00592542"/>
    <w:rsid w:val="00592560"/>
    <w:rsid w:val="0059257F"/>
    <w:rsid w:val="005927D2"/>
    <w:rsid w:val="005927E1"/>
    <w:rsid w:val="005927F0"/>
    <w:rsid w:val="005928A0"/>
    <w:rsid w:val="00592B9F"/>
    <w:rsid w:val="00592BBD"/>
    <w:rsid w:val="00592C0C"/>
    <w:rsid w:val="00592D3B"/>
    <w:rsid w:val="00592D3D"/>
    <w:rsid w:val="00592E97"/>
    <w:rsid w:val="00592FFD"/>
    <w:rsid w:val="0059302E"/>
    <w:rsid w:val="005931EC"/>
    <w:rsid w:val="00593222"/>
    <w:rsid w:val="00593282"/>
    <w:rsid w:val="0059328F"/>
    <w:rsid w:val="0059337C"/>
    <w:rsid w:val="005933DE"/>
    <w:rsid w:val="005934EA"/>
    <w:rsid w:val="005934FC"/>
    <w:rsid w:val="0059350C"/>
    <w:rsid w:val="00593532"/>
    <w:rsid w:val="00593892"/>
    <w:rsid w:val="0059392E"/>
    <w:rsid w:val="00593AC2"/>
    <w:rsid w:val="00593B0A"/>
    <w:rsid w:val="00593C5A"/>
    <w:rsid w:val="00593C94"/>
    <w:rsid w:val="00593CA4"/>
    <w:rsid w:val="00593D7E"/>
    <w:rsid w:val="00593E31"/>
    <w:rsid w:val="00593E4C"/>
    <w:rsid w:val="00593E54"/>
    <w:rsid w:val="00593EAF"/>
    <w:rsid w:val="00593F79"/>
    <w:rsid w:val="00594021"/>
    <w:rsid w:val="0059405A"/>
    <w:rsid w:val="005940D4"/>
    <w:rsid w:val="005940D6"/>
    <w:rsid w:val="00594167"/>
    <w:rsid w:val="005941A8"/>
    <w:rsid w:val="005941EC"/>
    <w:rsid w:val="005943DB"/>
    <w:rsid w:val="005943F3"/>
    <w:rsid w:val="005943FC"/>
    <w:rsid w:val="00594487"/>
    <w:rsid w:val="0059466A"/>
    <w:rsid w:val="005948C5"/>
    <w:rsid w:val="005948F9"/>
    <w:rsid w:val="00594949"/>
    <w:rsid w:val="00594986"/>
    <w:rsid w:val="00594AD0"/>
    <w:rsid w:val="00594AD5"/>
    <w:rsid w:val="00594AE9"/>
    <w:rsid w:val="00594C44"/>
    <w:rsid w:val="00594CE7"/>
    <w:rsid w:val="00594CE9"/>
    <w:rsid w:val="00594D9D"/>
    <w:rsid w:val="00594E72"/>
    <w:rsid w:val="00594F46"/>
    <w:rsid w:val="00594FB9"/>
    <w:rsid w:val="005951CF"/>
    <w:rsid w:val="005951DA"/>
    <w:rsid w:val="00595237"/>
    <w:rsid w:val="00595301"/>
    <w:rsid w:val="00595337"/>
    <w:rsid w:val="00595572"/>
    <w:rsid w:val="005957AB"/>
    <w:rsid w:val="0059582D"/>
    <w:rsid w:val="00595909"/>
    <w:rsid w:val="00595A0A"/>
    <w:rsid w:val="00595AA2"/>
    <w:rsid w:val="00595AB4"/>
    <w:rsid w:val="00595B64"/>
    <w:rsid w:val="00595BA6"/>
    <w:rsid w:val="00595C1E"/>
    <w:rsid w:val="00595E09"/>
    <w:rsid w:val="00596000"/>
    <w:rsid w:val="00596165"/>
    <w:rsid w:val="00596400"/>
    <w:rsid w:val="0059641D"/>
    <w:rsid w:val="005965C6"/>
    <w:rsid w:val="005965C8"/>
    <w:rsid w:val="005965D6"/>
    <w:rsid w:val="00596601"/>
    <w:rsid w:val="00596635"/>
    <w:rsid w:val="005966E3"/>
    <w:rsid w:val="005966EE"/>
    <w:rsid w:val="005966FF"/>
    <w:rsid w:val="0059673C"/>
    <w:rsid w:val="00596774"/>
    <w:rsid w:val="005967E0"/>
    <w:rsid w:val="005968CF"/>
    <w:rsid w:val="00596948"/>
    <w:rsid w:val="00596953"/>
    <w:rsid w:val="00596967"/>
    <w:rsid w:val="005969A8"/>
    <w:rsid w:val="00596A03"/>
    <w:rsid w:val="00596A97"/>
    <w:rsid w:val="00596ABC"/>
    <w:rsid w:val="00596ACA"/>
    <w:rsid w:val="00596AD0"/>
    <w:rsid w:val="00596AE6"/>
    <w:rsid w:val="00596B51"/>
    <w:rsid w:val="00596C00"/>
    <w:rsid w:val="00596C3B"/>
    <w:rsid w:val="00596CE9"/>
    <w:rsid w:val="00596D39"/>
    <w:rsid w:val="00596FA9"/>
    <w:rsid w:val="00596FCB"/>
    <w:rsid w:val="0059707A"/>
    <w:rsid w:val="00597080"/>
    <w:rsid w:val="005971A4"/>
    <w:rsid w:val="0059725D"/>
    <w:rsid w:val="0059732E"/>
    <w:rsid w:val="00597579"/>
    <w:rsid w:val="00597611"/>
    <w:rsid w:val="0059774D"/>
    <w:rsid w:val="00597889"/>
    <w:rsid w:val="00597A6D"/>
    <w:rsid w:val="00597B2A"/>
    <w:rsid w:val="00597B49"/>
    <w:rsid w:val="00597B55"/>
    <w:rsid w:val="00597BA6"/>
    <w:rsid w:val="00597C19"/>
    <w:rsid w:val="00597D40"/>
    <w:rsid w:val="00597D6A"/>
    <w:rsid w:val="00597E4D"/>
    <w:rsid w:val="00597F28"/>
    <w:rsid w:val="00597F6C"/>
    <w:rsid w:val="005A0042"/>
    <w:rsid w:val="005A03D6"/>
    <w:rsid w:val="005A0519"/>
    <w:rsid w:val="005A066A"/>
    <w:rsid w:val="005A0695"/>
    <w:rsid w:val="005A0A42"/>
    <w:rsid w:val="005A0BA9"/>
    <w:rsid w:val="005A0C04"/>
    <w:rsid w:val="005A0C3E"/>
    <w:rsid w:val="005A0C7A"/>
    <w:rsid w:val="005A0E65"/>
    <w:rsid w:val="005A0EDC"/>
    <w:rsid w:val="005A102B"/>
    <w:rsid w:val="005A109E"/>
    <w:rsid w:val="005A110D"/>
    <w:rsid w:val="005A13E0"/>
    <w:rsid w:val="005A14B9"/>
    <w:rsid w:val="005A1540"/>
    <w:rsid w:val="005A15C7"/>
    <w:rsid w:val="005A15DA"/>
    <w:rsid w:val="005A1600"/>
    <w:rsid w:val="005A173D"/>
    <w:rsid w:val="005A1815"/>
    <w:rsid w:val="005A1818"/>
    <w:rsid w:val="005A1A75"/>
    <w:rsid w:val="005A1A96"/>
    <w:rsid w:val="005A1B37"/>
    <w:rsid w:val="005A1BBE"/>
    <w:rsid w:val="005A1C44"/>
    <w:rsid w:val="005A1C4C"/>
    <w:rsid w:val="005A1C6D"/>
    <w:rsid w:val="005A1C89"/>
    <w:rsid w:val="005A1E4A"/>
    <w:rsid w:val="005A1F11"/>
    <w:rsid w:val="005A1FBE"/>
    <w:rsid w:val="005A20F9"/>
    <w:rsid w:val="005A2252"/>
    <w:rsid w:val="005A2382"/>
    <w:rsid w:val="005A25E4"/>
    <w:rsid w:val="005A2A5A"/>
    <w:rsid w:val="005A2BD2"/>
    <w:rsid w:val="005A2E98"/>
    <w:rsid w:val="005A2FD7"/>
    <w:rsid w:val="005A307A"/>
    <w:rsid w:val="005A316F"/>
    <w:rsid w:val="005A331A"/>
    <w:rsid w:val="005A33B6"/>
    <w:rsid w:val="005A33CF"/>
    <w:rsid w:val="005A35B4"/>
    <w:rsid w:val="005A375A"/>
    <w:rsid w:val="005A37BE"/>
    <w:rsid w:val="005A3867"/>
    <w:rsid w:val="005A392B"/>
    <w:rsid w:val="005A3960"/>
    <w:rsid w:val="005A3A5E"/>
    <w:rsid w:val="005A3AD1"/>
    <w:rsid w:val="005A3BB7"/>
    <w:rsid w:val="005A3C0F"/>
    <w:rsid w:val="005A3C70"/>
    <w:rsid w:val="005A3D71"/>
    <w:rsid w:val="005A3EB8"/>
    <w:rsid w:val="005A3F1C"/>
    <w:rsid w:val="005A4036"/>
    <w:rsid w:val="005A40F0"/>
    <w:rsid w:val="005A4240"/>
    <w:rsid w:val="005A4242"/>
    <w:rsid w:val="005A432E"/>
    <w:rsid w:val="005A451C"/>
    <w:rsid w:val="005A459A"/>
    <w:rsid w:val="005A466F"/>
    <w:rsid w:val="005A46B3"/>
    <w:rsid w:val="005A475D"/>
    <w:rsid w:val="005A4915"/>
    <w:rsid w:val="005A4918"/>
    <w:rsid w:val="005A4999"/>
    <w:rsid w:val="005A4B0F"/>
    <w:rsid w:val="005A4D67"/>
    <w:rsid w:val="005A4DD8"/>
    <w:rsid w:val="005A4E24"/>
    <w:rsid w:val="005A4E85"/>
    <w:rsid w:val="005A4F19"/>
    <w:rsid w:val="005A4F82"/>
    <w:rsid w:val="005A4F84"/>
    <w:rsid w:val="005A501C"/>
    <w:rsid w:val="005A5079"/>
    <w:rsid w:val="005A50A6"/>
    <w:rsid w:val="005A50BB"/>
    <w:rsid w:val="005A50C0"/>
    <w:rsid w:val="005A50D7"/>
    <w:rsid w:val="005A521A"/>
    <w:rsid w:val="005A5226"/>
    <w:rsid w:val="005A52E3"/>
    <w:rsid w:val="005A5635"/>
    <w:rsid w:val="005A5AF0"/>
    <w:rsid w:val="005A5AF7"/>
    <w:rsid w:val="005A5B17"/>
    <w:rsid w:val="005A5CC0"/>
    <w:rsid w:val="005A5DA3"/>
    <w:rsid w:val="005A5DAE"/>
    <w:rsid w:val="005A5E17"/>
    <w:rsid w:val="005A5E9A"/>
    <w:rsid w:val="005A5F64"/>
    <w:rsid w:val="005A5FC7"/>
    <w:rsid w:val="005A617B"/>
    <w:rsid w:val="005A632D"/>
    <w:rsid w:val="005A6543"/>
    <w:rsid w:val="005A65EE"/>
    <w:rsid w:val="005A66A7"/>
    <w:rsid w:val="005A680B"/>
    <w:rsid w:val="005A68AD"/>
    <w:rsid w:val="005A6C8F"/>
    <w:rsid w:val="005A6CBC"/>
    <w:rsid w:val="005A6CC6"/>
    <w:rsid w:val="005A6CED"/>
    <w:rsid w:val="005A6F94"/>
    <w:rsid w:val="005A7401"/>
    <w:rsid w:val="005A7790"/>
    <w:rsid w:val="005A77C8"/>
    <w:rsid w:val="005A794A"/>
    <w:rsid w:val="005A79EE"/>
    <w:rsid w:val="005A7B4C"/>
    <w:rsid w:val="005A7B50"/>
    <w:rsid w:val="005A7C61"/>
    <w:rsid w:val="005A7E00"/>
    <w:rsid w:val="005A7E87"/>
    <w:rsid w:val="005A7ED1"/>
    <w:rsid w:val="005B0192"/>
    <w:rsid w:val="005B02B8"/>
    <w:rsid w:val="005B041B"/>
    <w:rsid w:val="005B051D"/>
    <w:rsid w:val="005B055E"/>
    <w:rsid w:val="005B08B7"/>
    <w:rsid w:val="005B091F"/>
    <w:rsid w:val="005B0924"/>
    <w:rsid w:val="005B0BF8"/>
    <w:rsid w:val="005B0E43"/>
    <w:rsid w:val="005B1051"/>
    <w:rsid w:val="005B10FA"/>
    <w:rsid w:val="005B112E"/>
    <w:rsid w:val="005B12FF"/>
    <w:rsid w:val="005B1341"/>
    <w:rsid w:val="005B13F5"/>
    <w:rsid w:val="005B1433"/>
    <w:rsid w:val="005B1448"/>
    <w:rsid w:val="005B156C"/>
    <w:rsid w:val="005B160E"/>
    <w:rsid w:val="005B167F"/>
    <w:rsid w:val="005B16FF"/>
    <w:rsid w:val="005B1708"/>
    <w:rsid w:val="005B177E"/>
    <w:rsid w:val="005B18D5"/>
    <w:rsid w:val="005B1903"/>
    <w:rsid w:val="005B1906"/>
    <w:rsid w:val="005B1983"/>
    <w:rsid w:val="005B19F5"/>
    <w:rsid w:val="005B1A01"/>
    <w:rsid w:val="005B1C9A"/>
    <w:rsid w:val="005B1D02"/>
    <w:rsid w:val="005B1D1A"/>
    <w:rsid w:val="005B20D1"/>
    <w:rsid w:val="005B2144"/>
    <w:rsid w:val="005B22B4"/>
    <w:rsid w:val="005B236A"/>
    <w:rsid w:val="005B244F"/>
    <w:rsid w:val="005B2576"/>
    <w:rsid w:val="005B26E4"/>
    <w:rsid w:val="005B277E"/>
    <w:rsid w:val="005B27E0"/>
    <w:rsid w:val="005B291E"/>
    <w:rsid w:val="005B2A29"/>
    <w:rsid w:val="005B2B03"/>
    <w:rsid w:val="005B2C68"/>
    <w:rsid w:val="005B2D0E"/>
    <w:rsid w:val="005B2DB0"/>
    <w:rsid w:val="005B2E95"/>
    <w:rsid w:val="005B2E97"/>
    <w:rsid w:val="005B3087"/>
    <w:rsid w:val="005B3223"/>
    <w:rsid w:val="005B3259"/>
    <w:rsid w:val="005B342D"/>
    <w:rsid w:val="005B343C"/>
    <w:rsid w:val="005B3785"/>
    <w:rsid w:val="005B379D"/>
    <w:rsid w:val="005B37EE"/>
    <w:rsid w:val="005B394A"/>
    <w:rsid w:val="005B3B36"/>
    <w:rsid w:val="005B3CE0"/>
    <w:rsid w:val="005B3D32"/>
    <w:rsid w:val="005B3EA6"/>
    <w:rsid w:val="005B3F97"/>
    <w:rsid w:val="005B42D5"/>
    <w:rsid w:val="005B436E"/>
    <w:rsid w:val="005B4430"/>
    <w:rsid w:val="005B469B"/>
    <w:rsid w:val="005B48F3"/>
    <w:rsid w:val="005B4934"/>
    <w:rsid w:val="005B4991"/>
    <w:rsid w:val="005B4A58"/>
    <w:rsid w:val="005B4AD2"/>
    <w:rsid w:val="005B4CA9"/>
    <w:rsid w:val="005B4D76"/>
    <w:rsid w:val="005B4E7A"/>
    <w:rsid w:val="005B4E8F"/>
    <w:rsid w:val="005B4FAF"/>
    <w:rsid w:val="005B4FD6"/>
    <w:rsid w:val="005B501C"/>
    <w:rsid w:val="005B526D"/>
    <w:rsid w:val="005B5289"/>
    <w:rsid w:val="005B52DF"/>
    <w:rsid w:val="005B5345"/>
    <w:rsid w:val="005B537F"/>
    <w:rsid w:val="005B539D"/>
    <w:rsid w:val="005B53DE"/>
    <w:rsid w:val="005B5547"/>
    <w:rsid w:val="005B557D"/>
    <w:rsid w:val="005B56A9"/>
    <w:rsid w:val="005B5791"/>
    <w:rsid w:val="005B5A0A"/>
    <w:rsid w:val="005B5A44"/>
    <w:rsid w:val="005B5AA6"/>
    <w:rsid w:val="005B5BAD"/>
    <w:rsid w:val="005B5D10"/>
    <w:rsid w:val="005B5D9F"/>
    <w:rsid w:val="005B60DA"/>
    <w:rsid w:val="005B61B6"/>
    <w:rsid w:val="005B62A4"/>
    <w:rsid w:val="005B62EB"/>
    <w:rsid w:val="005B63C1"/>
    <w:rsid w:val="005B6479"/>
    <w:rsid w:val="005B64E7"/>
    <w:rsid w:val="005B666B"/>
    <w:rsid w:val="005B66DF"/>
    <w:rsid w:val="005B6732"/>
    <w:rsid w:val="005B6756"/>
    <w:rsid w:val="005B68CF"/>
    <w:rsid w:val="005B6902"/>
    <w:rsid w:val="005B6AD1"/>
    <w:rsid w:val="005B6B3C"/>
    <w:rsid w:val="005B6C31"/>
    <w:rsid w:val="005B6D3A"/>
    <w:rsid w:val="005B6E8D"/>
    <w:rsid w:val="005B6F46"/>
    <w:rsid w:val="005B7218"/>
    <w:rsid w:val="005B722E"/>
    <w:rsid w:val="005B7233"/>
    <w:rsid w:val="005B729B"/>
    <w:rsid w:val="005B73C2"/>
    <w:rsid w:val="005B74F9"/>
    <w:rsid w:val="005B7508"/>
    <w:rsid w:val="005B7576"/>
    <w:rsid w:val="005B7686"/>
    <w:rsid w:val="005B78BA"/>
    <w:rsid w:val="005B7AEA"/>
    <w:rsid w:val="005B7C67"/>
    <w:rsid w:val="005B7D22"/>
    <w:rsid w:val="005B7DC7"/>
    <w:rsid w:val="005B7FCD"/>
    <w:rsid w:val="005C00C8"/>
    <w:rsid w:val="005C01B1"/>
    <w:rsid w:val="005C01BA"/>
    <w:rsid w:val="005C0222"/>
    <w:rsid w:val="005C02F0"/>
    <w:rsid w:val="005C0327"/>
    <w:rsid w:val="005C03B1"/>
    <w:rsid w:val="005C03B7"/>
    <w:rsid w:val="005C046B"/>
    <w:rsid w:val="005C0535"/>
    <w:rsid w:val="005C0562"/>
    <w:rsid w:val="005C0570"/>
    <w:rsid w:val="005C06A4"/>
    <w:rsid w:val="005C07FB"/>
    <w:rsid w:val="005C0A8E"/>
    <w:rsid w:val="005C0B4E"/>
    <w:rsid w:val="005C0BE5"/>
    <w:rsid w:val="005C0C9D"/>
    <w:rsid w:val="005C0DCF"/>
    <w:rsid w:val="005C0F32"/>
    <w:rsid w:val="005C102E"/>
    <w:rsid w:val="005C1040"/>
    <w:rsid w:val="005C119D"/>
    <w:rsid w:val="005C1207"/>
    <w:rsid w:val="005C1303"/>
    <w:rsid w:val="005C1365"/>
    <w:rsid w:val="005C13AA"/>
    <w:rsid w:val="005C1410"/>
    <w:rsid w:val="005C14D3"/>
    <w:rsid w:val="005C15C4"/>
    <w:rsid w:val="005C15EA"/>
    <w:rsid w:val="005C17A4"/>
    <w:rsid w:val="005C17C1"/>
    <w:rsid w:val="005C185A"/>
    <w:rsid w:val="005C186F"/>
    <w:rsid w:val="005C1894"/>
    <w:rsid w:val="005C1980"/>
    <w:rsid w:val="005C199E"/>
    <w:rsid w:val="005C1BF1"/>
    <w:rsid w:val="005C1C80"/>
    <w:rsid w:val="005C1CAF"/>
    <w:rsid w:val="005C1CBC"/>
    <w:rsid w:val="005C1D1D"/>
    <w:rsid w:val="005C1D50"/>
    <w:rsid w:val="005C1DFF"/>
    <w:rsid w:val="005C1E07"/>
    <w:rsid w:val="005C1ED2"/>
    <w:rsid w:val="005C2014"/>
    <w:rsid w:val="005C2095"/>
    <w:rsid w:val="005C20C9"/>
    <w:rsid w:val="005C214B"/>
    <w:rsid w:val="005C2181"/>
    <w:rsid w:val="005C219C"/>
    <w:rsid w:val="005C2218"/>
    <w:rsid w:val="005C2563"/>
    <w:rsid w:val="005C2583"/>
    <w:rsid w:val="005C2773"/>
    <w:rsid w:val="005C279E"/>
    <w:rsid w:val="005C2A76"/>
    <w:rsid w:val="005C2B0E"/>
    <w:rsid w:val="005C2BAB"/>
    <w:rsid w:val="005C2C37"/>
    <w:rsid w:val="005C2C91"/>
    <w:rsid w:val="005C2DB7"/>
    <w:rsid w:val="005C2EA6"/>
    <w:rsid w:val="005C2EB8"/>
    <w:rsid w:val="005C2EEF"/>
    <w:rsid w:val="005C301A"/>
    <w:rsid w:val="005C305E"/>
    <w:rsid w:val="005C3130"/>
    <w:rsid w:val="005C3190"/>
    <w:rsid w:val="005C3315"/>
    <w:rsid w:val="005C331D"/>
    <w:rsid w:val="005C33BE"/>
    <w:rsid w:val="005C3527"/>
    <w:rsid w:val="005C35C2"/>
    <w:rsid w:val="005C365D"/>
    <w:rsid w:val="005C3807"/>
    <w:rsid w:val="005C381F"/>
    <w:rsid w:val="005C3865"/>
    <w:rsid w:val="005C3902"/>
    <w:rsid w:val="005C39AD"/>
    <w:rsid w:val="005C3AB5"/>
    <w:rsid w:val="005C3AC1"/>
    <w:rsid w:val="005C3B2B"/>
    <w:rsid w:val="005C3B83"/>
    <w:rsid w:val="005C3BCB"/>
    <w:rsid w:val="005C3E0D"/>
    <w:rsid w:val="005C3F27"/>
    <w:rsid w:val="005C410D"/>
    <w:rsid w:val="005C41AC"/>
    <w:rsid w:val="005C428F"/>
    <w:rsid w:val="005C4290"/>
    <w:rsid w:val="005C42D7"/>
    <w:rsid w:val="005C42F5"/>
    <w:rsid w:val="005C4374"/>
    <w:rsid w:val="005C4442"/>
    <w:rsid w:val="005C446A"/>
    <w:rsid w:val="005C4743"/>
    <w:rsid w:val="005C49C0"/>
    <w:rsid w:val="005C4B71"/>
    <w:rsid w:val="005C4E0D"/>
    <w:rsid w:val="005C4E21"/>
    <w:rsid w:val="005C4E7B"/>
    <w:rsid w:val="005C4F6A"/>
    <w:rsid w:val="005C512B"/>
    <w:rsid w:val="005C51CF"/>
    <w:rsid w:val="005C51F6"/>
    <w:rsid w:val="005C53BA"/>
    <w:rsid w:val="005C5400"/>
    <w:rsid w:val="005C556D"/>
    <w:rsid w:val="005C560B"/>
    <w:rsid w:val="005C5621"/>
    <w:rsid w:val="005C56E1"/>
    <w:rsid w:val="005C57C0"/>
    <w:rsid w:val="005C57E5"/>
    <w:rsid w:val="005C59CB"/>
    <w:rsid w:val="005C5A7E"/>
    <w:rsid w:val="005C5AD3"/>
    <w:rsid w:val="005C5B9D"/>
    <w:rsid w:val="005C5BC8"/>
    <w:rsid w:val="005C5DA2"/>
    <w:rsid w:val="005C5EBD"/>
    <w:rsid w:val="005C60B6"/>
    <w:rsid w:val="005C60C4"/>
    <w:rsid w:val="005C60C9"/>
    <w:rsid w:val="005C612A"/>
    <w:rsid w:val="005C613C"/>
    <w:rsid w:val="005C6203"/>
    <w:rsid w:val="005C634D"/>
    <w:rsid w:val="005C639F"/>
    <w:rsid w:val="005C641A"/>
    <w:rsid w:val="005C643D"/>
    <w:rsid w:val="005C665F"/>
    <w:rsid w:val="005C66D0"/>
    <w:rsid w:val="005C6808"/>
    <w:rsid w:val="005C6872"/>
    <w:rsid w:val="005C692A"/>
    <w:rsid w:val="005C6954"/>
    <w:rsid w:val="005C69AA"/>
    <w:rsid w:val="005C6A62"/>
    <w:rsid w:val="005C6AAB"/>
    <w:rsid w:val="005C6C88"/>
    <w:rsid w:val="005C6D5F"/>
    <w:rsid w:val="005C6D78"/>
    <w:rsid w:val="005C6E00"/>
    <w:rsid w:val="005C6EDF"/>
    <w:rsid w:val="005C6F38"/>
    <w:rsid w:val="005C6F92"/>
    <w:rsid w:val="005C7046"/>
    <w:rsid w:val="005C7075"/>
    <w:rsid w:val="005C718B"/>
    <w:rsid w:val="005C71E1"/>
    <w:rsid w:val="005C71FA"/>
    <w:rsid w:val="005C72A5"/>
    <w:rsid w:val="005C7348"/>
    <w:rsid w:val="005C73D1"/>
    <w:rsid w:val="005C751D"/>
    <w:rsid w:val="005C76B3"/>
    <w:rsid w:val="005C7877"/>
    <w:rsid w:val="005C78C8"/>
    <w:rsid w:val="005C791B"/>
    <w:rsid w:val="005C79E1"/>
    <w:rsid w:val="005C7BAB"/>
    <w:rsid w:val="005C7D52"/>
    <w:rsid w:val="005C7D9F"/>
    <w:rsid w:val="005C7F44"/>
    <w:rsid w:val="005C7FD5"/>
    <w:rsid w:val="005D00AB"/>
    <w:rsid w:val="005D01FB"/>
    <w:rsid w:val="005D02F7"/>
    <w:rsid w:val="005D0490"/>
    <w:rsid w:val="005D05B6"/>
    <w:rsid w:val="005D061F"/>
    <w:rsid w:val="005D073E"/>
    <w:rsid w:val="005D0861"/>
    <w:rsid w:val="005D0A0D"/>
    <w:rsid w:val="005D0AE5"/>
    <w:rsid w:val="005D0AF4"/>
    <w:rsid w:val="005D0C7D"/>
    <w:rsid w:val="005D0CDE"/>
    <w:rsid w:val="005D0CE3"/>
    <w:rsid w:val="005D0F2A"/>
    <w:rsid w:val="005D0F46"/>
    <w:rsid w:val="005D10A0"/>
    <w:rsid w:val="005D116D"/>
    <w:rsid w:val="005D123E"/>
    <w:rsid w:val="005D1353"/>
    <w:rsid w:val="005D14D0"/>
    <w:rsid w:val="005D1523"/>
    <w:rsid w:val="005D1560"/>
    <w:rsid w:val="005D162D"/>
    <w:rsid w:val="005D1889"/>
    <w:rsid w:val="005D19E2"/>
    <w:rsid w:val="005D1B40"/>
    <w:rsid w:val="005D1C21"/>
    <w:rsid w:val="005D1CC9"/>
    <w:rsid w:val="005D1D2E"/>
    <w:rsid w:val="005D1D53"/>
    <w:rsid w:val="005D1D86"/>
    <w:rsid w:val="005D1DAC"/>
    <w:rsid w:val="005D1E2D"/>
    <w:rsid w:val="005D1EFC"/>
    <w:rsid w:val="005D1F24"/>
    <w:rsid w:val="005D1F80"/>
    <w:rsid w:val="005D1FA1"/>
    <w:rsid w:val="005D1FC8"/>
    <w:rsid w:val="005D20A2"/>
    <w:rsid w:val="005D2205"/>
    <w:rsid w:val="005D224E"/>
    <w:rsid w:val="005D239F"/>
    <w:rsid w:val="005D23EC"/>
    <w:rsid w:val="005D2460"/>
    <w:rsid w:val="005D24D7"/>
    <w:rsid w:val="005D251B"/>
    <w:rsid w:val="005D256B"/>
    <w:rsid w:val="005D2585"/>
    <w:rsid w:val="005D2847"/>
    <w:rsid w:val="005D2868"/>
    <w:rsid w:val="005D2891"/>
    <w:rsid w:val="005D2961"/>
    <w:rsid w:val="005D299D"/>
    <w:rsid w:val="005D2AF6"/>
    <w:rsid w:val="005D2B33"/>
    <w:rsid w:val="005D2CE2"/>
    <w:rsid w:val="005D2EC1"/>
    <w:rsid w:val="005D2EC5"/>
    <w:rsid w:val="005D2FC4"/>
    <w:rsid w:val="005D3006"/>
    <w:rsid w:val="005D310C"/>
    <w:rsid w:val="005D3142"/>
    <w:rsid w:val="005D32A0"/>
    <w:rsid w:val="005D3333"/>
    <w:rsid w:val="005D34B1"/>
    <w:rsid w:val="005D34B4"/>
    <w:rsid w:val="005D36F5"/>
    <w:rsid w:val="005D3707"/>
    <w:rsid w:val="005D3733"/>
    <w:rsid w:val="005D37FB"/>
    <w:rsid w:val="005D3806"/>
    <w:rsid w:val="005D38E0"/>
    <w:rsid w:val="005D38E7"/>
    <w:rsid w:val="005D3AC2"/>
    <w:rsid w:val="005D3AC6"/>
    <w:rsid w:val="005D3B33"/>
    <w:rsid w:val="005D3B93"/>
    <w:rsid w:val="005D3C32"/>
    <w:rsid w:val="005D3CCF"/>
    <w:rsid w:val="005D3CDA"/>
    <w:rsid w:val="005D3D36"/>
    <w:rsid w:val="005D3E8E"/>
    <w:rsid w:val="005D3EDE"/>
    <w:rsid w:val="005D3F0D"/>
    <w:rsid w:val="005D3FA9"/>
    <w:rsid w:val="005D406D"/>
    <w:rsid w:val="005D40E8"/>
    <w:rsid w:val="005D415A"/>
    <w:rsid w:val="005D4199"/>
    <w:rsid w:val="005D423E"/>
    <w:rsid w:val="005D43EC"/>
    <w:rsid w:val="005D446D"/>
    <w:rsid w:val="005D4560"/>
    <w:rsid w:val="005D45AC"/>
    <w:rsid w:val="005D462D"/>
    <w:rsid w:val="005D467B"/>
    <w:rsid w:val="005D4734"/>
    <w:rsid w:val="005D480C"/>
    <w:rsid w:val="005D4816"/>
    <w:rsid w:val="005D48B5"/>
    <w:rsid w:val="005D4B08"/>
    <w:rsid w:val="005D4C8B"/>
    <w:rsid w:val="005D4D4C"/>
    <w:rsid w:val="005D4D5B"/>
    <w:rsid w:val="005D4D85"/>
    <w:rsid w:val="005D4E48"/>
    <w:rsid w:val="005D4EC4"/>
    <w:rsid w:val="005D4ECB"/>
    <w:rsid w:val="005D4ECC"/>
    <w:rsid w:val="005D4EE2"/>
    <w:rsid w:val="005D4F71"/>
    <w:rsid w:val="005D5117"/>
    <w:rsid w:val="005D51EA"/>
    <w:rsid w:val="005D525C"/>
    <w:rsid w:val="005D5324"/>
    <w:rsid w:val="005D54EF"/>
    <w:rsid w:val="005D5504"/>
    <w:rsid w:val="005D551C"/>
    <w:rsid w:val="005D552A"/>
    <w:rsid w:val="005D5536"/>
    <w:rsid w:val="005D5616"/>
    <w:rsid w:val="005D5655"/>
    <w:rsid w:val="005D575B"/>
    <w:rsid w:val="005D579D"/>
    <w:rsid w:val="005D57F8"/>
    <w:rsid w:val="005D58AE"/>
    <w:rsid w:val="005D58F9"/>
    <w:rsid w:val="005D5919"/>
    <w:rsid w:val="005D5A1A"/>
    <w:rsid w:val="005D5B5A"/>
    <w:rsid w:val="005D5C49"/>
    <w:rsid w:val="005D5DD2"/>
    <w:rsid w:val="005D5E32"/>
    <w:rsid w:val="005D5E4E"/>
    <w:rsid w:val="005D5EE1"/>
    <w:rsid w:val="005D6024"/>
    <w:rsid w:val="005D614F"/>
    <w:rsid w:val="005D61C9"/>
    <w:rsid w:val="005D622E"/>
    <w:rsid w:val="005D6245"/>
    <w:rsid w:val="005D64D2"/>
    <w:rsid w:val="005D65F5"/>
    <w:rsid w:val="005D663F"/>
    <w:rsid w:val="005D66C2"/>
    <w:rsid w:val="005D66D5"/>
    <w:rsid w:val="005D6783"/>
    <w:rsid w:val="005D680C"/>
    <w:rsid w:val="005D6857"/>
    <w:rsid w:val="005D6A9D"/>
    <w:rsid w:val="005D6AC3"/>
    <w:rsid w:val="005D6BAE"/>
    <w:rsid w:val="005D6D3D"/>
    <w:rsid w:val="005D6E2F"/>
    <w:rsid w:val="005D6F38"/>
    <w:rsid w:val="005D6FB4"/>
    <w:rsid w:val="005D6FEC"/>
    <w:rsid w:val="005D70E4"/>
    <w:rsid w:val="005D715B"/>
    <w:rsid w:val="005D71B1"/>
    <w:rsid w:val="005D72D8"/>
    <w:rsid w:val="005D740A"/>
    <w:rsid w:val="005D7455"/>
    <w:rsid w:val="005D7543"/>
    <w:rsid w:val="005D7660"/>
    <w:rsid w:val="005D77D8"/>
    <w:rsid w:val="005D78EB"/>
    <w:rsid w:val="005D79FD"/>
    <w:rsid w:val="005D7A81"/>
    <w:rsid w:val="005D7A8B"/>
    <w:rsid w:val="005D7EEC"/>
    <w:rsid w:val="005E0015"/>
    <w:rsid w:val="005E0088"/>
    <w:rsid w:val="005E013A"/>
    <w:rsid w:val="005E0267"/>
    <w:rsid w:val="005E032C"/>
    <w:rsid w:val="005E035D"/>
    <w:rsid w:val="005E03E1"/>
    <w:rsid w:val="005E04C8"/>
    <w:rsid w:val="005E0515"/>
    <w:rsid w:val="005E05F4"/>
    <w:rsid w:val="005E060F"/>
    <w:rsid w:val="005E064D"/>
    <w:rsid w:val="005E06B3"/>
    <w:rsid w:val="005E074D"/>
    <w:rsid w:val="005E07AE"/>
    <w:rsid w:val="005E0918"/>
    <w:rsid w:val="005E09AA"/>
    <w:rsid w:val="005E0A67"/>
    <w:rsid w:val="005E0AB0"/>
    <w:rsid w:val="005E0B5A"/>
    <w:rsid w:val="005E0B74"/>
    <w:rsid w:val="005E0CE1"/>
    <w:rsid w:val="005E0D5F"/>
    <w:rsid w:val="005E0D6A"/>
    <w:rsid w:val="005E0DB4"/>
    <w:rsid w:val="005E1083"/>
    <w:rsid w:val="005E10A8"/>
    <w:rsid w:val="005E10DF"/>
    <w:rsid w:val="005E1253"/>
    <w:rsid w:val="005E1273"/>
    <w:rsid w:val="005E12F6"/>
    <w:rsid w:val="005E132F"/>
    <w:rsid w:val="005E1473"/>
    <w:rsid w:val="005E152C"/>
    <w:rsid w:val="005E15FB"/>
    <w:rsid w:val="005E162A"/>
    <w:rsid w:val="005E17B4"/>
    <w:rsid w:val="005E17BA"/>
    <w:rsid w:val="005E18B8"/>
    <w:rsid w:val="005E1914"/>
    <w:rsid w:val="005E1997"/>
    <w:rsid w:val="005E199A"/>
    <w:rsid w:val="005E1A0A"/>
    <w:rsid w:val="005E1AC8"/>
    <w:rsid w:val="005E1B1D"/>
    <w:rsid w:val="005E1B3F"/>
    <w:rsid w:val="005E1B8A"/>
    <w:rsid w:val="005E1BA2"/>
    <w:rsid w:val="005E1BD5"/>
    <w:rsid w:val="005E1DA6"/>
    <w:rsid w:val="005E1DD2"/>
    <w:rsid w:val="005E1FA1"/>
    <w:rsid w:val="005E200F"/>
    <w:rsid w:val="005E2099"/>
    <w:rsid w:val="005E22CE"/>
    <w:rsid w:val="005E2301"/>
    <w:rsid w:val="005E2500"/>
    <w:rsid w:val="005E25E0"/>
    <w:rsid w:val="005E26F0"/>
    <w:rsid w:val="005E2939"/>
    <w:rsid w:val="005E2B2A"/>
    <w:rsid w:val="005E2C2A"/>
    <w:rsid w:val="005E2E6C"/>
    <w:rsid w:val="005E2EE7"/>
    <w:rsid w:val="005E2EEB"/>
    <w:rsid w:val="005E2F9C"/>
    <w:rsid w:val="005E3078"/>
    <w:rsid w:val="005E30D1"/>
    <w:rsid w:val="005E3187"/>
    <w:rsid w:val="005E31B2"/>
    <w:rsid w:val="005E336B"/>
    <w:rsid w:val="005E33DE"/>
    <w:rsid w:val="005E3414"/>
    <w:rsid w:val="005E3425"/>
    <w:rsid w:val="005E343B"/>
    <w:rsid w:val="005E34AC"/>
    <w:rsid w:val="005E35C1"/>
    <w:rsid w:val="005E35CA"/>
    <w:rsid w:val="005E35EC"/>
    <w:rsid w:val="005E3647"/>
    <w:rsid w:val="005E37E8"/>
    <w:rsid w:val="005E390F"/>
    <w:rsid w:val="005E3AFC"/>
    <w:rsid w:val="005E3BB2"/>
    <w:rsid w:val="005E3C7E"/>
    <w:rsid w:val="005E3D55"/>
    <w:rsid w:val="005E3DCE"/>
    <w:rsid w:val="005E3FAD"/>
    <w:rsid w:val="005E403A"/>
    <w:rsid w:val="005E40AA"/>
    <w:rsid w:val="005E41F0"/>
    <w:rsid w:val="005E4201"/>
    <w:rsid w:val="005E4283"/>
    <w:rsid w:val="005E4533"/>
    <w:rsid w:val="005E4559"/>
    <w:rsid w:val="005E460A"/>
    <w:rsid w:val="005E478F"/>
    <w:rsid w:val="005E49CC"/>
    <w:rsid w:val="005E4B19"/>
    <w:rsid w:val="005E4B52"/>
    <w:rsid w:val="005E4C46"/>
    <w:rsid w:val="005E4C4D"/>
    <w:rsid w:val="005E4C93"/>
    <w:rsid w:val="005E4C9C"/>
    <w:rsid w:val="005E4D9D"/>
    <w:rsid w:val="005E4E2D"/>
    <w:rsid w:val="005E4E43"/>
    <w:rsid w:val="005E5070"/>
    <w:rsid w:val="005E517F"/>
    <w:rsid w:val="005E5187"/>
    <w:rsid w:val="005E5222"/>
    <w:rsid w:val="005E5304"/>
    <w:rsid w:val="005E539F"/>
    <w:rsid w:val="005E54D0"/>
    <w:rsid w:val="005E5537"/>
    <w:rsid w:val="005E55B6"/>
    <w:rsid w:val="005E55FB"/>
    <w:rsid w:val="005E5705"/>
    <w:rsid w:val="005E579C"/>
    <w:rsid w:val="005E5864"/>
    <w:rsid w:val="005E5928"/>
    <w:rsid w:val="005E5934"/>
    <w:rsid w:val="005E5AA0"/>
    <w:rsid w:val="005E5B05"/>
    <w:rsid w:val="005E5BBF"/>
    <w:rsid w:val="005E5C07"/>
    <w:rsid w:val="005E5D13"/>
    <w:rsid w:val="005E5D83"/>
    <w:rsid w:val="005E5D9D"/>
    <w:rsid w:val="005E5F85"/>
    <w:rsid w:val="005E5F9C"/>
    <w:rsid w:val="005E5FCD"/>
    <w:rsid w:val="005E601B"/>
    <w:rsid w:val="005E6028"/>
    <w:rsid w:val="005E6059"/>
    <w:rsid w:val="005E6094"/>
    <w:rsid w:val="005E6140"/>
    <w:rsid w:val="005E615C"/>
    <w:rsid w:val="005E61BA"/>
    <w:rsid w:val="005E6253"/>
    <w:rsid w:val="005E64A5"/>
    <w:rsid w:val="005E660B"/>
    <w:rsid w:val="005E6619"/>
    <w:rsid w:val="005E66B3"/>
    <w:rsid w:val="005E681B"/>
    <w:rsid w:val="005E68DC"/>
    <w:rsid w:val="005E698C"/>
    <w:rsid w:val="005E6BD7"/>
    <w:rsid w:val="005E6CCA"/>
    <w:rsid w:val="005E6E1B"/>
    <w:rsid w:val="005E6EFA"/>
    <w:rsid w:val="005E6F12"/>
    <w:rsid w:val="005E6F93"/>
    <w:rsid w:val="005E706E"/>
    <w:rsid w:val="005E743B"/>
    <w:rsid w:val="005E74C1"/>
    <w:rsid w:val="005E7589"/>
    <w:rsid w:val="005E77D8"/>
    <w:rsid w:val="005E789C"/>
    <w:rsid w:val="005E793E"/>
    <w:rsid w:val="005E79D4"/>
    <w:rsid w:val="005E79F7"/>
    <w:rsid w:val="005E7BFA"/>
    <w:rsid w:val="005E7CDA"/>
    <w:rsid w:val="005E7FBD"/>
    <w:rsid w:val="005F0011"/>
    <w:rsid w:val="005F0174"/>
    <w:rsid w:val="005F01EF"/>
    <w:rsid w:val="005F02A7"/>
    <w:rsid w:val="005F02C7"/>
    <w:rsid w:val="005F02EF"/>
    <w:rsid w:val="005F0477"/>
    <w:rsid w:val="005F0483"/>
    <w:rsid w:val="005F05DA"/>
    <w:rsid w:val="005F07CE"/>
    <w:rsid w:val="005F0909"/>
    <w:rsid w:val="005F0BC6"/>
    <w:rsid w:val="005F0BF5"/>
    <w:rsid w:val="005F0F97"/>
    <w:rsid w:val="005F10A3"/>
    <w:rsid w:val="005F11CA"/>
    <w:rsid w:val="005F12DA"/>
    <w:rsid w:val="005F13DF"/>
    <w:rsid w:val="005F146A"/>
    <w:rsid w:val="005F14D7"/>
    <w:rsid w:val="005F14F8"/>
    <w:rsid w:val="005F159D"/>
    <w:rsid w:val="005F1763"/>
    <w:rsid w:val="005F1940"/>
    <w:rsid w:val="005F1976"/>
    <w:rsid w:val="005F19ED"/>
    <w:rsid w:val="005F1B10"/>
    <w:rsid w:val="005F1CD6"/>
    <w:rsid w:val="005F1D0E"/>
    <w:rsid w:val="005F1F1D"/>
    <w:rsid w:val="005F206E"/>
    <w:rsid w:val="005F20BE"/>
    <w:rsid w:val="005F21EC"/>
    <w:rsid w:val="005F21EE"/>
    <w:rsid w:val="005F2372"/>
    <w:rsid w:val="005F2375"/>
    <w:rsid w:val="005F2735"/>
    <w:rsid w:val="005F2787"/>
    <w:rsid w:val="005F28DB"/>
    <w:rsid w:val="005F2970"/>
    <w:rsid w:val="005F29C6"/>
    <w:rsid w:val="005F2A40"/>
    <w:rsid w:val="005F2A76"/>
    <w:rsid w:val="005F2C63"/>
    <w:rsid w:val="005F2C76"/>
    <w:rsid w:val="005F2CA6"/>
    <w:rsid w:val="005F2CF0"/>
    <w:rsid w:val="005F2D21"/>
    <w:rsid w:val="005F2D52"/>
    <w:rsid w:val="005F2E7E"/>
    <w:rsid w:val="005F2EA6"/>
    <w:rsid w:val="005F2EB0"/>
    <w:rsid w:val="005F2FEB"/>
    <w:rsid w:val="005F32E9"/>
    <w:rsid w:val="005F33E1"/>
    <w:rsid w:val="005F3457"/>
    <w:rsid w:val="005F34E5"/>
    <w:rsid w:val="005F356A"/>
    <w:rsid w:val="005F35EC"/>
    <w:rsid w:val="005F35F9"/>
    <w:rsid w:val="005F3767"/>
    <w:rsid w:val="005F3AA4"/>
    <w:rsid w:val="005F3AC1"/>
    <w:rsid w:val="005F3C2C"/>
    <w:rsid w:val="005F3D5E"/>
    <w:rsid w:val="005F3D74"/>
    <w:rsid w:val="005F3F01"/>
    <w:rsid w:val="005F402C"/>
    <w:rsid w:val="005F4097"/>
    <w:rsid w:val="005F4147"/>
    <w:rsid w:val="005F41C3"/>
    <w:rsid w:val="005F428B"/>
    <w:rsid w:val="005F4486"/>
    <w:rsid w:val="005F46B4"/>
    <w:rsid w:val="005F46EF"/>
    <w:rsid w:val="005F46F4"/>
    <w:rsid w:val="005F4970"/>
    <w:rsid w:val="005F49C5"/>
    <w:rsid w:val="005F4A3D"/>
    <w:rsid w:val="005F4A8B"/>
    <w:rsid w:val="005F4B20"/>
    <w:rsid w:val="005F4B59"/>
    <w:rsid w:val="005F4BB6"/>
    <w:rsid w:val="005F515D"/>
    <w:rsid w:val="005F539F"/>
    <w:rsid w:val="005F5452"/>
    <w:rsid w:val="005F55EE"/>
    <w:rsid w:val="005F5780"/>
    <w:rsid w:val="005F57D0"/>
    <w:rsid w:val="005F5814"/>
    <w:rsid w:val="005F58F7"/>
    <w:rsid w:val="005F5958"/>
    <w:rsid w:val="005F5AAF"/>
    <w:rsid w:val="005F5CD5"/>
    <w:rsid w:val="005F5D1A"/>
    <w:rsid w:val="005F5F51"/>
    <w:rsid w:val="005F6116"/>
    <w:rsid w:val="005F6262"/>
    <w:rsid w:val="005F62CE"/>
    <w:rsid w:val="005F63C7"/>
    <w:rsid w:val="005F652C"/>
    <w:rsid w:val="005F6760"/>
    <w:rsid w:val="005F6902"/>
    <w:rsid w:val="005F6986"/>
    <w:rsid w:val="005F6A80"/>
    <w:rsid w:val="005F6BA4"/>
    <w:rsid w:val="005F6BD1"/>
    <w:rsid w:val="005F6C23"/>
    <w:rsid w:val="005F6D50"/>
    <w:rsid w:val="005F6D65"/>
    <w:rsid w:val="005F6E0C"/>
    <w:rsid w:val="005F6F53"/>
    <w:rsid w:val="005F6F6E"/>
    <w:rsid w:val="005F6F89"/>
    <w:rsid w:val="005F73CA"/>
    <w:rsid w:val="005F75F3"/>
    <w:rsid w:val="005F7611"/>
    <w:rsid w:val="005F7622"/>
    <w:rsid w:val="005F772A"/>
    <w:rsid w:val="005F772B"/>
    <w:rsid w:val="005F777B"/>
    <w:rsid w:val="005F7815"/>
    <w:rsid w:val="005F78F6"/>
    <w:rsid w:val="005F7A4C"/>
    <w:rsid w:val="005F7B2D"/>
    <w:rsid w:val="005F7BC7"/>
    <w:rsid w:val="005F7BD0"/>
    <w:rsid w:val="005F7C20"/>
    <w:rsid w:val="005F7C98"/>
    <w:rsid w:val="005F7CF0"/>
    <w:rsid w:val="005F7D83"/>
    <w:rsid w:val="005F7D8E"/>
    <w:rsid w:val="005F7EDA"/>
    <w:rsid w:val="005F7FC3"/>
    <w:rsid w:val="005F7FD1"/>
    <w:rsid w:val="0060001B"/>
    <w:rsid w:val="0060018A"/>
    <w:rsid w:val="00600193"/>
    <w:rsid w:val="006003B7"/>
    <w:rsid w:val="00600416"/>
    <w:rsid w:val="0060052F"/>
    <w:rsid w:val="0060071E"/>
    <w:rsid w:val="0060072C"/>
    <w:rsid w:val="00600741"/>
    <w:rsid w:val="0060080B"/>
    <w:rsid w:val="00600824"/>
    <w:rsid w:val="0060088E"/>
    <w:rsid w:val="006008B9"/>
    <w:rsid w:val="00600963"/>
    <w:rsid w:val="006009C7"/>
    <w:rsid w:val="00600AA4"/>
    <w:rsid w:val="00600AC6"/>
    <w:rsid w:val="00600AD0"/>
    <w:rsid w:val="00600ADF"/>
    <w:rsid w:val="00600D90"/>
    <w:rsid w:val="00600E59"/>
    <w:rsid w:val="00600E6D"/>
    <w:rsid w:val="00600E75"/>
    <w:rsid w:val="00601005"/>
    <w:rsid w:val="006010F2"/>
    <w:rsid w:val="006010FD"/>
    <w:rsid w:val="0060124E"/>
    <w:rsid w:val="006012AB"/>
    <w:rsid w:val="006012C7"/>
    <w:rsid w:val="00601360"/>
    <w:rsid w:val="0060144D"/>
    <w:rsid w:val="00601471"/>
    <w:rsid w:val="0060164A"/>
    <w:rsid w:val="006016B9"/>
    <w:rsid w:val="00601942"/>
    <w:rsid w:val="00601A02"/>
    <w:rsid w:val="00601B99"/>
    <w:rsid w:val="00601CE7"/>
    <w:rsid w:val="00601E6B"/>
    <w:rsid w:val="0060207E"/>
    <w:rsid w:val="00602205"/>
    <w:rsid w:val="00602216"/>
    <w:rsid w:val="0060236D"/>
    <w:rsid w:val="006023EE"/>
    <w:rsid w:val="00602429"/>
    <w:rsid w:val="0060255D"/>
    <w:rsid w:val="00602586"/>
    <w:rsid w:val="006025C4"/>
    <w:rsid w:val="00602929"/>
    <w:rsid w:val="006029FE"/>
    <w:rsid w:val="00602A82"/>
    <w:rsid w:val="00602BC5"/>
    <w:rsid w:val="00602BDE"/>
    <w:rsid w:val="00602E0E"/>
    <w:rsid w:val="00602EE0"/>
    <w:rsid w:val="0060301C"/>
    <w:rsid w:val="00603056"/>
    <w:rsid w:val="00603147"/>
    <w:rsid w:val="0060314B"/>
    <w:rsid w:val="00603151"/>
    <w:rsid w:val="00603463"/>
    <w:rsid w:val="006034B1"/>
    <w:rsid w:val="00603616"/>
    <w:rsid w:val="006039AB"/>
    <w:rsid w:val="006039DA"/>
    <w:rsid w:val="00603D77"/>
    <w:rsid w:val="006040E2"/>
    <w:rsid w:val="006041A0"/>
    <w:rsid w:val="0060422E"/>
    <w:rsid w:val="006042CB"/>
    <w:rsid w:val="00604707"/>
    <w:rsid w:val="00604799"/>
    <w:rsid w:val="006047E8"/>
    <w:rsid w:val="0060480D"/>
    <w:rsid w:val="00604839"/>
    <w:rsid w:val="006048E7"/>
    <w:rsid w:val="006049D1"/>
    <w:rsid w:val="00604B1B"/>
    <w:rsid w:val="00604B8A"/>
    <w:rsid w:val="00604BC5"/>
    <w:rsid w:val="00604BEA"/>
    <w:rsid w:val="00604C50"/>
    <w:rsid w:val="00604D3A"/>
    <w:rsid w:val="00604D61"/>
    <w:rsid w:val="00604EBE"/>
    <w:rsid w:val="00604EFB"/>
    <w:rsid w:val="00604F0B"/>
    <w:rsid w:val="00604F1D"/>
    <w:rsid w:val="00604F6E"/>
    <w:rsid w:val="00604FAF"/>
    <w:rsid w:val="00605155"/>
    <w:rsid w:val="0060523E"/>
    <w:rsid w:val="006052D1"/>
    <w:rsid w:val="00605337"/>
    <w:rsid w:val="00605393"/>
    <w:rsid w:val="006053DD"/>
    <w:rsid w:val="00605425"/>
    <w:rsid w:val="006055E2"/>
    <w:rsid w:val="0060565A"/>
    <w:rsid w:val="0060570D"/>
    <w:rsid w:val="00605723"/>
    <w:rsid w:val="006057CB"/>
    <w:rsid w:val="0060590C"/>
    <w:rsid w:val="00605976"/>
    <w:rsid w:val="00605980"/>
    <w:rsid w:val="00605995"/>
    <w:rsid w:val="00605A09"/>
    <w:rsid w:val="00605A8B"/>
    <w:rsid w:val="00605B2B"/>
    <w:rsid w:val="00605D36"/>
    <w:rsid w:val="00605DC2"/>
    <w:rsid w:val="00605F81"/>
    <w:rsid w:val="00605FCC"/>
    <w:rsid w:val="006061C3"/>
    <w:rsid w:val="0060627A"/>
    <w:rsid w:val="00606317"/>
    <w:rsid w:val="0060633A"/>
    <w:rsid w:val="00606343"/>
    <w:rsid w:val="006063B7"/>
    <w:rsid w:val="00606531"/>
    <w:rsid w:val="00606549"/>
    <w:rsid w:val="00606593"/>
    <w:rsid w:val="0060673A"/>
    <w:rsid w:val="0060685B"/>
    <w:rsid w:val="00606872"/>
    <w:rsid w:val="00606908"/>
    <w:rsid w:val="00606910"/>
    <w:rsid w:val="006069B2"/>
    <w:rsid w:val="00606B83"/>
    <w:rsid w:val="00606BA7"/>
    <w:rsid w:val="00606C0A"/>
    <w:rsid w:val="00606D8B"/>
    <w:rsid w:val="00606F56"/>
    <w:rsid w:val="00606FAB"/>
    <w:rsid w:val="006070D2"/>
    <w:rsid w:val="00607153"/>
    <w:rsid w:val="0060715E"/>
    <w:rsid w:val="00607192"/>
    <w:rsid w:val="006071F2"/>
    <w:rsid w:val="006072B1"/>
    <w:rsid w:val="00607348"/>
    <w:rsid w:val="006073E1"/>
    <w:rsid w:val="00607459"/>
    <w:rsid w:val="00607692"/>
    <w:rsid w:val="00607A7A"/>
    <w:rsid w:val="00607B53"/>
    <w:rsid w:val="00607B6D"/>
    <w:rsid w:val="00607B93"/>
    <w:rsid w:val="00607C2B"/>
    <w:rsid w:val="00607D49"/>
    <w:rsid w:val="00607F2F"/>
    <w:rsid w:val="00610034"/>
    <w:rsid w:val="00610167"/>
    <w:rsid w:val="006101C8"/>
    <w:rsid w:val="00610254"/>
    <w:rsid w:val="00610294"/>
    <w:rsid w:val="0061031C"/>
    <w:rsid w:val="00610470"/>
    <w:rsid w:val="0061056D"/>
    <w:rsid w:val="006105A1"/>
    <w:rsid w:val="006105CE"/>
    <w:rsid w:val="0061065E"/>
    <w:rsid w:val="006107F1"/>
    <w:rsid w:val="006108AE"/>
    <w:rsid w:val="00610EF1"/>
    <w:rsid w:val="00610FC4"/>
    <w:rsid w:val="0061101F"/>
    <w:rsid w:val="00611072"/>
    <w:rsid w:val="00611225"/>
    <w:rsid w:val="00611259"/>
    <w:rsid w:val="00611355"/>
    <w:rsid w:val="0061147D"/>
    <w:rsid w:val="00611567"/>
    <w:rsid w:val="006115AE"/>
    <w:rsid w:val="006115D6"/>
    <w:rsid w:val="006115DD"/>
    <w:rsid w:val="006115F0"/>
    <w:rsid w:val="006115F4"/>
    <w:rsid w:val="00611629"/>
    <w:rsid w:val="0061166A"/>
    <w:rsid w:val="006116FC"/>
    <w:rsid w:val="006116FD"/>
    <w:rsid w:val="0061170B"/>
    <w:rsid w:val="00611831"/>
    <w:rsid w:val="0061196B"/>
    <w:rsid w:val="00611A33"/>
    <w:rsid w:val="00611ADB"/>
    <w:rsid w:val="00611B0C"/>
    <w:rsid w:val="00611D99"/>
    <w:rsid w:val="00611D9A"/>
    <w:rsid w:val="00611E48"/>
    <w:rsid w:val="0061240F"/>
    <w:rsid w:val="0061248B"/>
    <w:rsid w:val="006124F9"/>
    <w:rsid w:val="006124FB"/>
    <w:rsid w:val="00612529"/>
    <w:rsid w:val="006125FE"/>
    <w:rsid w:val="0061268F"/>
    <w:rsid w:val="0061287B"/>
    <w:rsid w:val="00612906"/>
    <w:rsid w:val="00612925"/>
    <w:rsid w:val="00612949"/>
    <w:rsid w:val="00612A32"/>
    <w:rsid w:val="00612B69"/>
    <w:rsid w:val="00612DD7"/>
    <w:rsid w:val="00612E91"/>
    <w:rsid w:val="00612F14"/>
    <w:rsid w:val="00612F37"/>
    <w:rsid w:val="00613006"/>
    <w:rsid w:val="00613029"/>
    <w:rsid w:val="0061304B"/>
    <w:rsid w:val="006130C1"/>
    <w:rsid w:val="006131DA"/>
    <w:rsid w:val="00613303"/>
    <w:rsid w:val="00613323"/>
    <w:rsid w:val="00613462"/>
    <w:rsid w:val="006134F2"/>
    <w:rsid w:val="00613503"/>
    <w:rsid w:val="006137E9"/>
    <w:rsid w:val="006138BA"/>
    <w:rsid w:val="006139AB"/>
    <w:rsid w:val="00613AD9"/>
    <w:rsid w:val="00613AF3"/>
    <w:rsid w:val="00613AF8"/>
    <w:rsid w:val="00613B0C"/>
    <w:rsid w:val="00613B70"/>
    <w:rsid w:val="00613B81"/>
    <w:rsid w:val="00613B9E"/>
    <w:rsid w:val="00613C35"/>
    <w:rsid w:val="00613C7E"/>
    <w:rsid w:val="00613D3C"/>
    <w:rsid w:val="00613D4B"/>
    <w:rsid w:val="00613D4D"/>
    <w:rsid w:val="00613DDE"/>
    <w:rsid w:val="00613F3F"/>
    <w:rsid w:val="00613F4A"/>
    <w:rsid w:val="00614008"/>
    <w:rsid w:val="00614150"/>
    <w:rsid w:val="00614244"/>
    <w:rsid w:val="0061431A"/>
    <w:rsid w:val="00614336"/>
    <w:rsid w:val="00614668"/>
    <w:rsid w:val="00614778"/>
    <w:rsid w:val="006147B0"/>
    <w:rsid w:val="00614873"/>
    <w:rsid w:val="00614A01"/>
    <w:rsid w:val="00614AC1"/>
    <w:rsid w:val="00614CBA"/>
    <w:rsid w:val="00614F59"/>
    <w:rsid w:val="00614FBF"/>
    <w:rsid w:val="006152DB"/>
    <w:rsid w:val="00615411"/>
    <w:rsid w:val="00615445"/>
    <w:rsid w:val="0061547A"/>
    <w:rsid w:val="006154BB"/>
    <w:rsid w:val="006155AE"/>
    <w:rsid w:val="006155F9"/>
    <w:rsid w:val="006156FE"/>
    <w:rsid w:val="0061577E"/>
    <w:rsid w:val="0061594E"/>
    <w:rsid w:val="00615A74"/>
    <w:rsid w:val="00615BD7"/>
    <w:rsid w:val="00615CE6"/>
    <w:rsid w:val="00615DB8"/>
    <w:rsid w:val="00615DE1"/>
    <w:rsid w:val="00615FC6"/>
    <w:rsid w:val="00616035"/>
    <w:rsid w:val="00616130"/>
    <w:rsid w:val="00616250"/>
    <w:rsid w:val="00616277"/>
    <w:rsid w:val="0061627D"/>
    <w:rsid w:val="006166F3"/>
    <w:rsid w:val="00616819"/>
    <w:rsid w:val="0061695D"/>
    <w:rsid w:val="00616999"/>
    <w:rsid w:val="006169D9"/>
    <w:rsid w:val="00616ACE"/>
    <w:rsid w:val="00616AE6"/>
    <w:rsid w:val="00616BD3"/>
    <w:rsid w:val="00616C66"/>
    <w:rsid w:val="00616D40"/>
    <w:rsid w:val="00616D5C"/>
    <w:rsid w:val="00616D71"/>
    <w:rsid w:val="00616DAE"/>
    <w:rsid w:val="00616E2B"/>
    <w:rsid w:val="00616EA9"/>
    <w:rsid w:val="00616F7D"/>
    <w:rsid w:val="00616FB4"/>
    <w:rsid w:val="0061714B"/>
    <w:rsid w:val="0061719C"/>
    <w:rsid w:val="0061723E"/>
    <w:rsid w:val="0061725F"/>
    <w:rsid w:val="00617305"/>
    <w:rsid w:val="00617576"/>
    <w:rsid w:val="006175E9"/>
    <w:rsid w:val="00617604"/>
    <w:rsid w:val="00617689"/>
    <w:rsid w:val="00617722"/>
    <w:rsid w:val="006177E0"/>
    <w:rsid w:val="00617823"/>
    <w:rsid w:val="00617ABF"/>
    <w:rsid w:val="00617BCB"/>
    <w:rsid w:val="00617C61"/>
    <w:rsid w:val="00617FF3"/>
    <w:rsid w:val="00620037"/>
    <w:rsid w:val="00620094"/>
    <w:rsid w:val="006200BD"/>
    <w:rsid w:val="006201B3"/>
    <w:rsid w:val="00620229"/>
    <w:rsid w:val="0062024A"/>
    <w:rsid w:val="0062025D"/>
    <w:rsid w:val="00620586"/>
    <w:rsid w:val="00620638"/>
    <w:rsid w:val="00620649"/>
    <w:rsid w:val="00620689"/>
    <w:rsid w:val="00620754"/>
    <w:rsid w:val="00620937"/>
    <w:rsid w:val="006209B1"/>
    <w:rsid w:val="00620A14"/>
    <w:rsid w:val="00620A7B"/>
    <w:rsid w:val="00620CBD"/>
    <w:rsid w:val="00620DC8"/>
    <w:rsid w:val="00620E2B"/>
    <w:rsid w:val="00620EE6"/>
    <w:rsid w:val="00620FF5"/>
    <w:rsid w:val="0062102B"/>
    <w:rsid w:val="0062122F"/>
    <w:rsid w:val="0062130D"/>
    <w:rsid w:val="006213A8"/>
    <w:rsid w:val="0062148B"/>
    <w:rsid w:val="00621491"/>
    <w:rsid w:val="00621674"/>
    <w:rsid w:val="0062176F"/>
    <w:rsid w:val="0062178F"/>
    <w:rsid w:val="006217FD"/>
    <w:rsid w:val="00621937"/>
    <w:rsid w:val="00621998"/>
    <w:rsid w:val="00621BBB"/>
    <w:rsid w:val="00621C06"/>
    <w:rsid w:val="00621C62"/>
    <w:rsid w:val="00621D5B"/>
    <w:rsid w:val="00621E15"/>
    <w:rsid w:val="00621EB1"/>
    <w:rsid w:val="00621FF0"/>
    <w:rsid w:val="0062211E"/>
    <w:rsid w:val="006221D0"/>
    <w:rsid w:val="006221E4"/>
    <w:rsid w:val="00622335"/>
    <w:rsid w:val="0062236B"/>
    <w:rsid w:val="00622595"/>
    <w:rsid w:val="00622694"/>
    <w:rsid w:val="0062279B"/>
    <w:rsid w:val="006228AC"/>
    <w:rsid w:val="006228BE"/>
    <w:rsid w:val="006228E2"/>
    <w:rsid w:val="0062293A"/>
    <w:rsid w:val="00622971"/>
    <w:rsid w:val="00622974"/>
    <w:rsid w:val="006229DA"/>
    <w:rsid w:val="00622A9B"/>
    <w:rsid w:val="00622B6E"/>
    <w:rsid w:val="00622C4C"/>
    <w:rsid w:val="00622C76"/>
    <w:rsid w:val="00622DA0"/>
    <w:rsid w:val="00622EA8"/>
    <w:rsid w:val="00622EE2"/>
    <w:rsid w:val="00623029"/>
    <w:rsid w:val="00623151"/>
    <w:rsid w:val="0062318B"/>
    <w:rsid w:val="006231B3"/>
    <w:rsid w:val="006232E8"/>
    <w:rsid w:val="0062343E"/>
    <w:rsid w:val="00623473"/>
    <w:rsid w:val="0062357F"/>
    <w:rsid w:val="006235FB"/>
    <w:rsid w:val="006236A0"/>
    <w:rsid w:val="006236D8"/>
    <w:rsid w:val="00623706"/>
    <w:rsid w:val="006237F6"/>
    <w:rsid w:val="00623872"/>
    <w:rsid w:val="00623930"/>
    <w:rsid w:val="0062398E"/>
    <w:rsid w:val="00623A3E"/>
    <w:rsid w:val="00623A5E"/>
    <w:rsid w:val="00623B7E"/>
    <w:rsid w:val="006241A7"/>
    <w:rsid w:val="006242BC"/>
    <w:rsid w:val="006244EA"/>
    <w:rsid w:val="006244F7"/>
    <w:rsid w:val="00624520"/>
    <w:rsid w:val="0062465C"/>
    <w:rsid w:val="00624857"/>
    <w:rsid w:val="00624B32"/>
    <w:rsid w:val="00624B59"/>
    <w:rsid w:val="00624BA9"/>
    <w:rsid w:val="00624D44"/>
    <w:rsid w:val="00624E48"/>
    <w:rsid w:val="00624E8F"/>
    <w:rsid w:val="00625036"/>
    <w:rsid w:val="0062504E"/>
    <w:rsid w:val="006250BF"/>
    <w:rsid w:val="0062510C"/>
    <w:rsid w:val="00625136"/>
    <w:rsid w:val="006252B0"/>
    <w:rsid w:val="006253D5"/>
    <w:rsid w:val="006254AA"/>
    <w:rsid w:val="006254FD"/>
    <w:rsid w:val="00625516"/>
    <w:rsid w:val="00625520"/>
    <w:rsid w:val="00625541"/>
    <w:rsid w:val="0062572C"/>
    <w:rsid w:val="00625747"/>
    <w:rsid w:val="00625884"/>
    <w:rsid w:val="00625889"/>
    <w:rsid w:val="00625891"/>
    <w:rsid w:val="00625938"/>
    <w:rsid w:val="006259A7"/>
    <w:rsid w:val="006259F5"/>
    <w:rsid w:val="006259FF"/>
    <w:rsid w:val="00625A03"/>
    <w:rsid w:val="00625A7E"/>
    <w:rsid w:val="00625B00"/>
    <w:rsid w:val="00625C55"/>
    <w:rsid w:val="00625DF1"/>
    <w:rsid w:val="00625DF9"/>
    <w:rsid w:val="00625EF4"/>
    <w:rsid w:val="00625F37"/>
    <w:rsid w:val="0062623E"/>
    <w:rsid w:val="00626297"/>
    <w:rsid w:val="006266B6"/>
    <w:rsid w:val="006266DE"/>
    <w:rsid w:val="00626719"/>
    <w:rsid w:val="00626744"/>
    <w:rsid w:val="00626821"/>
    <w:rsid w:val="006268E5"/>
    <w:rsid w:val="006268EF"/>
    <w:rsid w:val="00626B78"/>
    <w:rsid w:val="00626B99"/>
    <w:rsid w:val="00626BBE"/>
    <w:rsid w:val="00626C77"/>
    <w:rsid w:val="00626E92"/>
    <w:rsid w:val="00626FFA"/>
    <w:rsid w:val="006270A6"/>
    <w:rsid w:val="0062712E"/>
    <w:rsid w:val="006271BD"/>
    <w:rsid w:val="006271C2"/>
    <w:rsid w:val="006271E5"/>
    <w:rsid w:val="006272C4"/>
    <w:rsid w:val="00627362"/>
    <w:rsid w:val="006275DB"/>
    <w:rsid w:val="00627603"/>
    <w:rsid w:val="0062765B"/>
    <w:rsid w:val="00627740"/>
    <w:rsid w:val="006277CB"/>
    <w:rsid w:val="00627957"/>
    <w:rsid w:val="00627A4B"/>
    <w:rsid w:val="00627BDB"/>
    <w:rsid w:val="00627E26"/>
    <w:rsid w:val="00627E49"/>
    <w:rsid w:val="00627FA2"/>
    <w:rsid w:val="00630044"/>
    <w:rsid w:val="0063013F"/>
    <w:rsid w:val="006301A1"/>
    <w:rsid w:val="006301F2"/>
    <w:rsid w:val="00630269"/>
    <w:rsid w:val="00630402"/>
    <w:rsid w:val="006305DF"/>
    <w:rsid w:val="006306D7"/>
    <w:rsid w:val="006308A7"/>
    <w:rsid w:val="00630900"/>
    <w:rsid w:val="006309F2"/>
    <w:rsid w:val="00630A65"/>
    <w:rsid w:val="00630BF2"/>
    <w:rsid w:val="00630C2F"/>
    <w:rsid w:val="00630D25"/>
    <w:rsid w:val="00630D39"/>
    <w:rsid w:val="00630E00"/>
    <w:rsid w:val="00630E17"/>
    <w:rsid w:val="00630FDC"/>
    <w:rsid w:val="00631028"/>
    <w:rsid w:val="006310C6"/>
    <w:rsid w:val="00631154"/>
    <w:rsid w:val="006311DD"/>
    <w:rsid w:val="00631203"/>
    <w:rsid w:val="00631334"/>
    <w:rsid w:val="00631346"/>
    <w:rsid w:val="006314B2"/>
    <w:rsid w:val="00631557"/>
    <w:rsid w:val="006315CB"/>
    <w:rsid w:val="00631610"/>
    <w:rsid w:val="006316B7"/>
    <w:rsid w:val="00631710"/>
    <w:rsid w:val="0063187C"/>
    <w:rsid w:val="006318B7"/>
    <w:rsid w:val="006318FB"/>
    <w:rsid w:val="00631AA1"/>
    <w:rsid w:val="00631B57"/>
    <w:rsid w:val="00631C4C"/>
    <w:rsid w:val="00631CDB"/>
    <w:rsid w:val="00631D48"/>
    <w:rsid w:val="00631D7B"/>
    <w:rsid w:val="00631F3A"/>
    <w:rsid w:val="006320A0"/>
    <w:rsid w:val="0063212A"/>
    <w:rsid w:val="0063212C"/>
    <w:rsid w:val="006322A6"/>
    <w:rsid w:val="0063239E"/>
    <w:rsid w:val="00632411"/>
    <w:rsid w:val="0063242C"/>
    <w:rsid w:val="00632510"/>
    <w:rsid w:val="006325A1"/>
    <w:rsid w:val="006325FE"/>
    <w:rsid w:val="0063261C"/>
    <w:rsid w:val="006326BB"/>
    <w:rsid w:val="0063291E"/>
    <w:rsid w:val="006329E1"/>
    <w:rsid w:val="00632A1A"/>
    <w:rsid w:val="00632B86"/>
    <w:rsid w:val="00632BC6"/>
    <w:rsid w:val="00632CC8"/>
    <w:rsid w:val="00632D35"/>
    <w:rsid w:val="00632DE1"/>
    <w:rsid w:val="00633192"/>
    <w:rsid w:val="00633199"/>
    <w:rsid w:val="006331B5"/>
    <w:rsid w:val="00633461"/>
    <w:rsid w:val="0063346E"/>
    <w:rsid w:val="0063348E"/>
    <w:rsid w:val="006334E6"/>
    <w:rsid w:val="00633663"/>
    <w:rsid w:val="006337BA"/>
    <w:rsid w:val="00633821"/>
    <w:rsid w:val="006338D2"/>
    <w:rsid w:val="006339FE"/>
    <w:rsid w:val="00633BDE"/>
    <w:rsid w:val="00633C58"/>
    <w:rsid w:val="00633C96"/>
    <w:rsid w:val="00633D9D"/>
    <w:rsid w:val="00633DD1"/>
    <w:rsid w:val="00633EBD"/>
    <w:rsid w:val="00633F56"/>
    <w:rsid w:val="00633F7B"/>
    <w:rsid w:val="00633F82"/>
    <w:rsid w:val="00634021"/>
    <w:rsid w:val="006340DD"/>
    <w:rsid w:val="00634259"/>
    <w:rsid w:val="00634267"/>
    <w:rsid w:val="006342B4"/>
    <w:rsid w:val="00634400"/>
    <w:rsid w:val="0063447A"/>
    <w:rsid w:val="006345A4"/>
    <w:rsid w:val="0063489A"/>
    <w:rsid w:val="0063495A"/>
    <w:rsid w:val="00634A4F"/>
    <w:rsid w:val="00634A56"/>
    <w:rsid w:val="00634B0D"/>
    <w:rsid w:val="00634B3A"/>
    <w:rsid w:val="00634C34"/>
    <w:rsid w:val="00634C38"/>
    <w:rsid w:val="00634CB5"/>
    <w:rsid w:val="00634CFD"/>
    <w:rsid w:val="00634E4B"/>
    <w:rsid w:val="00634F26"/>
    <w:rsid w:val="00634F2F"/>
    <w:rsid w:val="00634F5F"/>
    <w:rsid w:val="0063501A"/>
    <w:rsid w:val="00635157"/>
    <w:rsid w:val="006351C1"/>
    <w:rsid w:val="00635206"/>
    <w:rsid w:val="0063521E"/>
    <w:rsid w:val="0063539E"/>
    <w:rsid w:val="00635509"/>
    <w:rsid w:val="0063551F"/>
    <w:rsid w:val="0063560B"/>
    <w:rsid w:val="006357AA"/>
    <w:rsid w:val="0063589F"/>
    <w:rsid w:val="006358FC"/>
    <w:rsid w:val="00635A22"/>
    <w:rsid w:val="00635AA3"/>
    <w:rsid w:val="00635AAB"/>
    <w:rsid w:val="00635B26"/>
    <w:rsid w:val="00635E84"/>
    <w:rsid w:val="00635E8D"/>
    <w:rsid w:val="00635EAD"/>
    <w:rsid w:val="00636082"/>
    <w:rsid w:val="006362A7"/>
    <w:rsid w:val="006362F3"/>
    <w:rsid w:val="00636450"/>
    <w:rsid w:val="0063650B"/>
    <w:rsid w:val="00636596"/>
    <w:rsid w:val="006365A3"/>
    <w:rsid w:val="006365C4"/>
    <w:rsid w:val="0063673A"/>
    <w:rsid w:val="00636AF6"/>
    <w:rsid w:val="00636BB6"/>
    <w:rsid w:val="00636D75"/>
    <w:rsid w:val="00636DC2"/>
    <w:rsid w:val="00636DFD"/>
    <w:rsid w:val="00636ECC"/>
    <w:rsid w:val="00636ED8"/>
    <w:rsid w:val="00636EEB"/>
    <w:rsid w:val="00637276"/>
    <w:rsid w:val="00637435"/>
    <w:rsid w:val="00637464"/>
    <w:rsid w:val="0063746A"/>
    <w:rsid w:val="00637600"/>
    <w:rsid w:val="00637637"/>
    <w:rsid w:val="0063765D"/>
    <w:rsid w:val="00637668"/>
    <w:rsid w:val="006377A1"/>
    <w:rsid w:val="0063786A"/>
    <w:rsid w:val="006378CF"/>
    <w:rsid w:val="006378E8"/>
    <w:rsid w:val="0063797F"/>
    <w:rsid w:val="00637994"/>
    <w:rsid w:val="00637B77"/>
    <w:rsid w:val="00637BA0"/>
    <w:rsid w:val="00637C01"/>
    <w:rsid w:val="00637CD9"/>
    <w:rsid w:val="00637DB4"/>
    <w:rsid w:val="00637DEE"/>
    <w:rsid w:val="00637EA7"/>
    <w:rsid w:val="00640033"/>
    <w:rsid w:val="006401E5"/>
    <w:rsid w:val="00640254"/>
    <w:rsid w:val="006402D2"/>
    <w:rsid w:val="006402D4"/>
    <w:rsid w:val="00640300"/>
    <w:rsid w:val="00640302"/>
    <w:rsid w:val="0064033E"/>
    <w:rsid w:val="006404D1"/>
    <w:rsid w:val="006404DB"/>
    <w:rsid w:val="006404F2"/>
    <w:rsid w:val="00640504"/>
    <w:rsid w:val="0064050F"/>
    <w:rsid w:val="00640576"/>
    <w:rsid w:val="006405BC"/>
    <w:rsid w:val="006407C5"/>
    <w:rsid w:val="00640884"/>
    <w:rsid w:val="006408BD"/>
    <w:rsid w:val="0064091A"/>
    <w:rsid w:val="00640AB0"/>
    <w:rsid w:val="00640DB5"/>
    <w:rsid w:val="00640E86"/>
    <w:rsid w:val="006410C7"/>
    <w:rsid w:val="006410DA"/>
    <w:rsid w:val="0064115A"/>
    <w:rsid w:val="00641270"/>
    <w:rsid w:val="0064133D"/>
    <w:rsid w:val="00641385"/>
    <w:rsid w:val="0064141A"/>
    <w:rsid w:val="006415FC"/>
    <w:rsid w:val="0064167C"/>
    <w:rsid w:val="00641686"/>
    <w:rsid w:val="006416AC"/>
    <w:rsid w:val="006416D9"/>
    <w:rsid w:val="006416FD"/>
    <w:rsid w:val="006417E3"/>
    <w:rsid w:val="0064182A"/>
    <w:rsid w:val="00641924"/>
    <w:rsid w:val="00641979"/>
    <w:rsid w:val="00641A30"/>
    <w:rsid w:val="00641A3E"/>
    <w:rsid w:val="00641B94"/>
    <w:rsid w:val="00641FB3"/>
    <w:rsid w:val="00641FE7"/>
    <w:rsid w:val="0064204B"/>
    <w:rsid w:val="006420A2"/>
    <w:rsid w:val="006421E8"/>
    <w:rsid w:val="0064221F"/>
    <w:rsid w:val="00642263"/>
    <w:rsid w:val="006422A5"/>
    <w:rsid w:val="006422B3"/>
    <w:rsid w:val="006422BC"/>
    <w:rsid w:val="006422DF"/>
    <w:rsid w:val="0064232E"/>
    <w:rsid w:val="00642345"/>
    <w:rsid w:val="006423CF"/>
    <w:rsid w:val="00642465"/>
    <w:rsid w:val="0064246A"/>
    <w:rsid w:val="006424E4"/>
    <w:rsid w:val="0064273D"/>
    <w:rsid w:val="006427A9"/>
    <w:rsid w:val="006427C3"/>
    <w:rsid w:val="00642820"/>
    <w:rsid w:val="00642A09"/>
    <w:rsid w:val="00642A0A"/>
    <w:rsid w:val="00642AF5"/>
    <w:rsid w:val="00642F09"/>
    <w:rsid w:val="006430CD"/>
    <w:rsid w:val="006430CE"/>
    <w:rsid w:val="0064325D"/>
    <w:rsid w:val="006432BC"/>
    <w:rsid w:val="00643398"/>
    <w:rsid w:val="00643426"/>
    <w:rsid w:val="00643500"/>
    <w:rsid w:val="00643556"/>
    <w:rsid w:val="006435A3"/>
    <w:rsid w:val="006435ED"/>
    <w:rsid w:val="0064360E"/>
    <w:rsid w:val="0064380B"/>
    <w:rsid w:val="00643859"/>
    <w:rsid w:val="00643969"/>
    <w:rsid w:val="006439A1"/>
    <w:rsid w:val="00643A18"/>
    <w:rsid w:val="00643C08"/>
    <w:rsid w:val="00643CE5"/>
    <w:rsid w:val="00643E7D"/>
    <w:rsid w:val="00643EB1"/>
    <w:rsid w:val="00643F14"/>
    <w:rsid w:val="0064412A"/>
    <w:rsid w:val="006441B4"/>
    <w:rsid w:val="006441E2"/>
    <w:rsid w:val="006444DF"/>
    <w:rsid w:val="0064477E"/>
    <w:rsid w:val="0064487C"/>
    <w:rsid w:val="00644988"/>
    <w:rsid w:val="00644AE6"/>
    <w:rsid w:val="00644B11"/>
    <w:rsid w:val="00644BA4"/>
    <w:rsid w:val="00644CB9"/>
    <w:rsid w:val="00644D6D"/>
    <w:rsid w:val="00644DA6"/>
    <w:rsid w:val="00644E23"/>
    <w:rsid w:val="00644E5F"/>
    <w:rsid w:val="00644E97"/>
    <w:rsid w:val="00645008"/>
    <w:rsid w:val="0064508D"/>
    <w:rsid w:val="006450A2"/>
    <w:rsid w:val="006450D7"/>
    <w:rsid w:val="00645104"/>
    <w:rsid w:val="00645123"/>
    <w:rsid w:val="00645186"/>
    <w:rsid w:val="00645289"/>
    <w:rsid w:val="0064528A"/>
    <w:rsid w:val="0064529B"/>
    <w:rsid w:val="006452A0"/>
    <w:rsid w:val="006452BA"/>
    <w:rsid w:val="006452CC"/>
    <w:rsid w:val="006452DC"/>
    <w:rsid w:val="0064535B"/>
    <w:rsid w:val="00645399"/>
    <w:rsid w:val="00645475"/>
    <w:rsid w:val="00645485"/>
    <w:rsid w:val="006454FB"/>
    <w:rsid w:val="0064550B"/>
    <w:rsid w:val="00645521"/>
    <w:rsid w:val="006455D9"/>
    <w:rsid w:val="006456C5"/>
    <w:rsid w:val="00645756"/>
    <w:rsid w:val="0064580C"/>
    <w:rsid w:val="00645946"/>
    <w:rsid w:val="0064599E"/>
    <w:rsid w:val="00645A0A"/>
    <w:rsid w:val="00645AD7"/>
    <w:rsid w:val="00645B99"/>
    <w:rsid w:val="00645BF0"/>
    <w:rsid w:val="00645C14"/>
    <w:rsid w:val="00645C37"/>
    <w:rsid w:val="00645CB6"/>
    <w:rsid w:val="00645CEF"/>
    <w:rsid w:val="00645EEB"/>
    <w:rsid w:val="00645F57"/>
    <w:rsid w:val="00645F77"/>
    <w:rsid w:val="00645FA5"/>
    <w:rsid w:val="00645FB1"/>
    <w:rsid w:val="00646059"/>
    <w:rsid w:val="0064606D"/>
    <w:rsid w:val="006460D5"/>
    <w:rsid w:val="0064612E"/>
    <w:rsid w:val="00646187"/>
    <w:rsid w:val="0064629F"/>
    <w:rsid w:val="006462B2"/>
    <w:rsid w:val="00646373"/>
    <w:rsid w:val="00646546"/>
    <w:rsid w:val="0064655D"/>
    <w:rsid w:val="006465D0"/>
    <w:rsid w:val="0064669C"/>
    <w:rsid w:val="006466EE"/>
    <w:rsid w:val="0064673A"/>
    <w:rsid w:val="00646795"/>
    <w:rsid w:val="006468AE"/>
    <w:rsid w:val="006468EB"/>
    <w:rsid w:val="00646946"/>
    <w:rsid w:val="006469FC"/>
    <w:rsid w:val="00646A89"/>
    <w:rsid w:val="00646B98"/>
    <w:rsid w:val="00646BFF"/>
    <w:rsid w:val="00646E56"/>
    <w:rsid w:val="00646EA4"/>
    <w:rsid w:val="00646EE8"/>
    <w:rsid w:val="00646FE5"/>
    <w:rsid w:val="00647086"/>
    <w:rsid w:val="00647104"/>
    <w:rsid w:val="00647201"/>
    <w:rsid w:val="0064747A"/>
    <w:rsid w:val="006474A6"/>
    <w:rsid w:val="006474BE"/>
    <w:rsid w:val="006474EC"/>
    <w:rsid w:val="00647540"/>
    <w:rsid w:val="0064758B"/>
    <w:rsid w:val="006475FC"/>
    <w:rsid w:val="00647715"/>
    <w:rsid w:val="006477FE"/>
    <w:rsid w:val="0064785A"/>
    <w:rsid w:val="006478C4"/>
    <w:rsid w:val="00647970"/>
    <w:rsid w:val="00647A2B"/>
    <w:rsid w:val="00647AB4"/>
    <w:rsid w:val="00647B3D"/>
    <w:rsid w:val="00647BE4"/>
    <w:rsid w:val="00647C28"/>
    <w:rsid w:val="00647C8E"/>
    <w:rsid w:val="00647CAF"/>
    <w:rsid w:val="00647CB5"/>
    <w:rsid w:val="00647CFD"/>
    <w:rsid w:val="00647ED1"/>
    <w:rsid w:val="00647EDD"/>
    <w:rsid w:val="00647EF2"/>
    <w:rsid w:val="00647FC3"/>
    <w:rsid w:val="0065000C"/>
    <w:rsid w:val="00650200"/>
    <w:rsid w:val="00650210"/>
    <w:rsid w:val="006502A3"/>
    <w:rsid w:val="006503D3"/>
    <w:rsid w:val="006504A8"/>
    <w:rsid w:val="006504C6"/>
    <w:rsid w:val="006504DE"/>
    <w:rsid w:val="00650592"/>
    <w:rsid w:val="00650624"/>
    <w:rsid w:val="00650851"/>
    <w:rsid w:val="006508A2"/>
    <w:rsid w:val="006508C6"/>
    <w:rsid w:val="006508E0"/>
    <w:rsid w:val="0065093A"/>
    <w:rsid w:val="00650B23"/>
    <w:rsid w:val="00650BC3"/>
    <w:rsid w:val="00650CBE"/>
    <w:rsid w:val="00650DF9"/>
    <w:rsid w:val="00650E31"/>
    <w:rsid w:val="00650EA4"/>
    <w:rsid w:val="00650EDA"/>
    <w:rsid w:val="00650F4D"/>
    <w:rsid w:val="00650FCB"/>
    <w:rsid w:val="00650FD7"/>
    <w:rsid w:val="006513A8"/>
    <w:rsid w:val="00651431"/>
    <w:rsid w:val="00651463"/>
    <w:rsid w:val="00651494"/>
    <w:rsid w:val="006514AB"/>
    <w:rsid w:val="00651652"/>
    <w:rsid w:val="006516A4"/>
    <w:rsid w:val="006516BA"/>
    <w:rsid w:val="0065183D"/>
    <w:rsid w:val="0065193F"/>
    <w:rsid w:val="00651969"/>
    <w:rsid w:val="00651BAC"/>
    <w:rsid w:val="00651C2F"/>
    <w:rsid w:val="00651C31"/>
    <w:rsid w:val="00651D24"/>
    <w:rsid w:val="00651DAA"/>
    <w:rsid w:val="00651E06"/>
    <w:rsid w:val="00651E49"/>
    <w:rsid w:val="00651F18"/>
    <w:rsid w:val="00651F6F"/>
    <w:rsid w:val="00652000"/>
    <w:rsid w:val="006520B0"/>
    <w:rsid w:val="006520ED"/>
    <w:rsid w:val="006521B7"/>
    <w:rsid w:val="0065223A"/>
    <w:rsid w:val="00652395"/>
    <w:rsid w:val="006523AA"/>
    <w:rsid w:val="006523FD"/>
    <w:rsid w:val="0065246A"/>
    <w:rsid w:val="00652495"/>
    <w:rsid w:val="006525AB"/>
    <w:rsid w:val="00652629"/>
    <w:rsid w:val="00652645"/>
    <w:rsid w:val="0065282E"/>
    <w:rsid w:val="006528B0"/>
    <w:rsid w:val="00652924"/>
    <w:rsid w:val="006529F1"/>
    <w:rsid w:val="00652ABF"/>
    <w:rsid w:val="00652B3F"/>
    <w:rsid w:val="00652B51"/>
    <w:rsid w:val="00652CE4"/>
    <w:rsid w:val="00652D19"/>
    <w:rsid w:val="00652D78"/>
    <w:rsid w:val="00652DF2"/>
    <w:rsid w:val="00652E01"/>
    <w:rsid w:val="00652E81"/>
    <w:rsid w:val="00652F9A"/>
    <w:rsid w:val="00653016"/>
    <w:rsid w:val="006530A4"/>
    <w:rsid w:val="00653291"/>
    <w:rsid w:val="006532A2"/>
    <w:rsid w:val="00653416"/>
    <w:rsid w:val="0065346A"/>
    <w:rsid w:val="00653510"/>
    <w:rsid w:val="00653614"/>
    <w:rsid w:val="0065366C"/>
    <w:rsid w:val="0065371D"/>
    <w:rsid w:val="00653769"/>
    <w:rsid w:val="00653838"/>
    <w:rsid w:val="0065384F"/>
    <w:rsid w:val="006538FD"/>
    <w:rsid w:val="00653AF0"/>
    <w:rsid w:val="00653D12"/>
    <w:rsid w:val="00653D30"/>
    <w:rsid w:val="00653D7A"/>
    <w:rsid w:val="0065403B"/>
    <w:rsid w:val="0065404C"/>
    <w:rsid w:val="0065414D"/>
    <w:rsid w:val="00654208"/>
    <w:rsid w:val="0065426A"/>
    <w:rsid w:val="006544C0"/>
    <w:rsid w:val="006544C5"/>
    <w:rsid w:val="006544E9"/>
    <w:rsid w:val="0065452E"/>
    <w:rsid w:val="006546BE"/>
    <w:rsid w:val="00654831"/>
    <w:rsid w:val="00654847"/>
    <w:rsid w:val="00654960"/>
    <w:rsid w:val="0065497B"/>
    <w:rsid w:val="006549C6"/>
    <w:rsid w:val="00654B25"/>
    <w:rsid w:val="00654B8B"/>
    <w:rsid w:val="00654C2B"/>
    <w:rsid w:val="00654EB1"/>
    <w:rsid w:val="00654F5C"/>
    <w:rsid w:val="00655012"/>
    <w:rsid w:val="006552CE"/>
    <w:rsid w:val="006552ED"/>
    <w:rsid w:val="00655432"/>
    <w:rsid w:val="006554F8"/>
    <w:rsid w:val="00655551"/>
    <w:rsid w:val="006555A2"/>
    <w:rsid w:val="0065562C"/>
    <w:rsid w:val="00655731"/>
    <w:rsid w:val="00655788"/>
    <w:rsid w:val="0065587D"/>
    <w:rsid w:val="00655ADE"/>
    <w:rsid w:val="00655C69"/>
    <w:rsid w:val="00655CA8"/>
    <w:rsid w:val="00655CCA"/>
    <w:rsid w:val="00655D0C"/>
    <w:rsid w:val="00655D8C"/>
    <w:rsid w:val="00655DB4"/>
    <w:rsid w:val="00655F66"/>
    <w:rsid w:val="00656082"/>
    <w:rsid w:val="006560C9"/>
    <w:rsid w:val="006561D8"/>
    <w:rsid w:val="00656365"/>
    <w:rsid w:val="00656483"/>
    <w:rsid w:val="0065649C"/>
    <w:rsid w:val="00656706"/>
    <w:rsid w:val="00656A51"/>
    <w:rsid w:val="00656A73"/>
    <w:rsid w:val="00656AB9"/>
    <w:rsid w:val="00656B1D"/>
    <w:rsid w:val="00656B59"/>
    <w:rsid w:val="00656CC3"/>
    <w:rsid w:val="00656D2F"/>
    <w:rsid w:val="00656DC0"/>
    <w:rsid w:val="00656EBA"/>
    <w:rsid w:val="00656F56"/>
    <w:rsid w:val="00656FC2"/>
    <w:rsid w:val="00657035"/>
    <w:rsid w:val="006570F1"/>
    <w:rsid w:val="00657192"/>
    <w:rsid w:val="006572A1"/>
    <w:rsid w:val="00657461"/>
    <w:rsid w:val="006574A4"/>
    <w:rsid w:val="006575BA"/>
    <w:rsid w:val="006575D3"/>
    <w:rsid w:val="0065794E"/>
    <w:rsid w:val="006579A9"/>
    <w:rsid w:val="00657BBD"/>
    <w:rsid w:val="00657D27"/>
    <w:rsid w:val="00657D62"/>
    <w:rsid w:val="00657E38"/>
    <w:rsid w:val="00657E3C"/>
    <w:rsid w:val="00657E3F"/>
    <w:rsid w:val="00657EC8"/>
    <w:rsid w:val="006600DB"/>
    <w:rsid w:val="006601C2"/>
    <w:rsid w:val="006602EE"/>
    <w:rsid w:val="006604AF"/>
    <w:rsid w:val="006605ED"/>
    <w:rsid w:val="0066066C"/>
    <w:rsid w:val="0066069F"/>
    <w:rsid w:val="00660722"/>
    <w:rsid w:val="0066083B"/>
    <w:rsid w:val="006608B0"/>
    <w:rsid w:val="006608CE"/>
    <w:rsid w:val="006608EF"/>
    <w:rsid w:val="00660950"/>
    <w:rsid w:val="00660BD7"/>
    <w:rsid w:val="00660C61"/>
    <w:rsid w:val="00660DCA"/>
    <w:rsid w:val="00660EC0"/>
    <w:rsid w:val="00660FEF"/>
    <w:rsid w:val="006610A8"/>
    <w:rsid w:val="00661297"/>
    <w:rsid w:val="00661355"/>
    <w:rsid w:val="0066161F"/>
    <w:rsid w:val="00661644"/>
    <w:rsid w:val="0066166D"/>
    <w:rsid w:val="00661678"/>
    <w:rsid w:val="006616ED"/>
    <w:rsid w:val="006617C2"/>
    <w:rsid w:val="006617EB"/>
    <w:rsid w:val="00661822"/>
    <w:rsid w:val="00661880"/>
    <w:rsid w:val="00661A0E"/>
    <w:rsid w:val="00661A0F"/>
    <w:rsid w:val="00661CF6"/>
    <w:rsid w:val="00661CFC"/>
    <w:rsid w:val="00661DEC"/>
    <w:rsid w:val="00661E0D"/>
    <w:rsid w:val="00661EBD"/>
    <w:rsid w:val="006623F8"/>
    <w:rsid w:val="00662613"/>
    <w:rsid w:val="006627D2"/>
    <w:rsid w:val="006627D9"/>
    <w:rsid w:val="00662A2D"/>
    <w:rsid w:val="00662A5C"/>
    <w:rsid w:val="00662AD2"/>
    <w:rsid w:val="00662B0D"/>
    <w:rsid w:val="00662B4D"/>
    <w:rsid w:val="00662BB5"/>
    <w:rsid w:val="00662C35"/>
    <w:rsid w:val="00662C71"/>
    <w:rsid w:val="00662D2C"/>
    <w:rsid w:val="00662E7B"/>
    <w:rsid w:val="00662E8C"/>
    <w:rsid w:val="00662F63"/>
    <w:rsid w:val="00662FFA"/>
    <w:rsid w:val="0066322D"/>
    <w:rsid w:val="006632CF"/>
    <w:rsid w:val="00663357"/>
    <w:rsid w:val="00663370"/>
    <w:rsid w:val="0066337A"/>
    <w:rsid w:val="00663422"/>
    <w:rsid w:val="006634A8"/>
    <w:rsid w:val="00663600"/>
    <w:rsid w:val="00663615"/>
    <w:rsid w:val="0066361A"/>
    <w:rsid w:val="006637C3"/>
    <w:rsid w:val="006637F8"/>
    <w:rsid w:val="00663842"/>
    <w:rsid w:val="00663893"/>
    <w:rsid w:val="00663AAA"/>
    <w:rsid w:val="00663B2D"/>
    <w:rsid w:val="00663B2E"/>
    <w:rsid w:val="00663BEE"/>
    <w:rsid w:val="00663C2C"/>
    <w:rsid w:val="00663DB4"/>
    <w:rsid w:val="00664039"/>
    <w:rsid w:val="0066424E"/>
    <w:rsid w:val="0066437B"/>
    <w:rsid w:val="00664381"/>
    <w:rsid w:val="006643FD"/>
    <w:rsid w:val="0066444B"/>
    <w:rsid w:val="00664600"/>
    <w:rsid w:val="0066479B"/>
    <w:rsid w:val="006648D9"/>
    <w:rsid w:val="00664922"/>
    <w:rsid w:val="0066493E"/>
    <w:rsid w:val="00664988"/>
    <w:rsid w:val="006649EB"/>
    <w:rsid w:val="00664A3E"/>
    <w:rsid w:val="00664CFA"/>
    <w:rsid w:val="00664E07"/>
    <w:rsid w:val="00664EA6"/>
    <w:rsid w:val="00664EEC"/>
    <w:rsid w:val="0066505D"/>
    <w:rsid w:val="006653E2"/>
    <w:rsid w:val="006653EE"/>
    <w:rsid w:val="0066542C"/>
    <w:rsid w:val="00665430"/>
    <w:rsid w:val="00665440"/>
    <w:rsid w:val="006654C6"/>
    <w:rsid w:val="0066573F"/>
    <w:rsid w:val="0066583D"/>
    <w:rsid w:val="0066592E"/>
    <w:rsid w:val="00665B19"/>
    <w:rsid w:val="00665BF3"/>
    <w:rsid w:val="00665C88"/>
    <w:rsid w:val="00665C97"/>
    <w:rsid w:val="00665D44"/>
    <w:rsid w:val="00665D8E"/>
    <w:rsid w:val="00665D92"/>
    <w:rsid w:val="00665DAF"/>
    <w:rsid w:val="00665DD9"/>
    <w:rsid w:val="00665EC1"/>
    <w:rsid w:val="00665ED8"/>
    <w:rsid w:val="00665F5C"/>
    <w:rsid w:val="006660B4"/>
    <w:rsid w:val="006660D0"/>
    <w:rsid w:val="00666122"/>
    <w:rsid w:val="00666173"/>
    <w:rsid w:val="0066619D"/>
    <w:rsid w:val="00666463"/>
    <w:rsid w:val="0066651B"/>
    <w:rsid w:val="0066659C"/>
    <w:rsid w:val="006665D5"/>
    <w:rsid w:val="00666632"/>
    <w:rsid w:val="00666687"/>
    <w:rsid w:val="0066669D"/>
    <w:rsid w:val="006666E5"/>
    <w:rsid w:val="00666779"/>
    <w:rsid w:val="006667EA"/>
    <w:rsid w:val="00666A8A"/>
    <w:rsid w:val="00666AF8"/>
    <w:rsid w:val="00666B78"/>
    <w:rsid w:val="00666BC0"/>
    <w:rsid w:val="00666C7B"/>
    <w:rsid w:val="00666D2F"/>
    <w:rsid w:val="00666D8D"/>
    <w:rsid w:val="00666E0F"/>
    <w:rsid w:val="00666EBC"/>
    <w:rsid w:val="00667050"/>
    <w:rsid w:val="00667063"/>
    <w:rsid w:val="0066711F"/>
    <w:rsid w:val="0066713A"/>
    <w:rsid w:val="00667190"/>
    <w:rsid w:val="006671EC"/>
    <w:rsid w:val="00667205"/>
    <w:rsid w:val="00667312"/>
    <w:rsid w:val="00667402"/>
    <w:rsid w:val="0066755E"/>
    <w:rsid w:val="0066774B"/>
    <w:rsid w:val="006678DA"/>
    <w:rsid w:val="00667A6D"/>
    <w:rsid w:val="00667A76"/>
    <w:rsid w:val="00667BAA"/>
    <w:rsid w:val="00667C01"/>
    <w:rsid w:val="00667C2B"/>
    <w:rsid w:val="006700CC"/>
    <w:rsid w:val="00670470"/>
    <w:rsid w:val="006704B5"/>
    <w:rsid w:val="00670537"/>
    <w:rsid w:val="0067053C"/>
    <w:rsid w:val="0067067F"/>
    <w:rsid w:val="006708ED"/>
    <w:rsid w:val="00670BC5"/>
    <w:rsid w:val="00670D59"/>
    <w:rsid w:val="00670E97"/>
    <w:rsid w:val="00670ED4"/>
    <w:rsid w:val="00671317"/>
    <w:rsid w:val="00671367"/>
    <w:rsid w:val="006713DB"/>
    <w:rsid w:val="0067144D"/>
    <w:rsid w:val="0067151F"/>
    <w:rsid w:val="0067160A"/>
    <w:rsid w:val="00671699"/>
    <w:rsid w:val="006716E2"/>
    <w:rsid w:val="0067198C"/>
    <w:rsid w:val="00671A1B"/>
    <w:rsid w:val="00671A5A"/>
    <w:rsid w:val="00671BA6"/>
    <w:rsid w:val="00671D92"/>
    <w:rsid w:val="00671DEE"/>
    <w:rsid w:val="00671E00"/>
    <w:rsid w:val="00671E4D"/>
    <w:rsid w:val="00671EF3"/>
    <w:rsid w:val="00671F0D"/>
    <w:rsid w:val="00672281"/>
    <w:rsid w:val="006723AD"/>
    <w:rsid w:val="00672435"/>
    <w:rsid w:val="00672519"/>
    <w:rsid w:val="0067264A"/>
    <w:rsid w:val="006726DB"/>
    <w:rsid w:val="0067274A"/>
    <w:rsid w:val="00672832"/>
    <w:rsid w:val="00672835"/>
    <w:rsid w:val="00672B1D"/>
    <w:rsid w:val="00672BCE"/>
    <w:rsid w:val="00672BDB"/>
    <w:rsid w:val="00672CFD"/>
    <w:rsid w:val="00672D6C"/>
    <w:rsid w:val="00672D82"/>
    <w:rsid w:val="00672E6C"/>
    <w:rsid w:val="0067300E"/>
    <w:rsid w:val="00673033"/>
    <w:rsid w:val="00673098"/>
    <w:rsid w:val="00673191"/>
    <w:rsid w:val="006731B4"/>
    <w:rsid w:val="0067326F"/>
    <w:rsid w:val="006732CA"/>
    <w:rsid w:val="00673363"/>
    <w:rsid w:val="00673395"/>
    <w:rsid w:val="006734CC"/>
    <w:rsid w:val="006734D7"/>
    <w:rsid w:val="00673555"/>
    <w:rsid w:val="00673720"/>
    <w:rsid w:val="006738D4"/>
    <w:rsid w:val="00673A6F"/>
    <w:rsid w:val="00673BDE"/>
    <w:rsid w:val="00673C35"/>
    <w:rsid w:val="00673C5C"/>
    <w:rsid w:val="00673C88"/>
    <w:rsid w:val="00673DE5"/>
    <w:rsid w:val="0067413E"/>
    <w:rsid w:val="006741EF"/>
    <w:rsid w:val="006741F9"/>
    <w:rsid w:val="00674329"/>
    <w:rsid w:val="00674429"/>
    <w:rsid w:val="006744BD"/>
    <w:rsid w:val="0067462D"/>
    <w:rsid w:val="00674769"/>
    <w:rsid w:val="00674803"/>
    <w:rsid w:val="00674843"/>
    <w:rsid w:val="006748D7"/>
    <w:rsid w:val="0067498B"/>
    <w:rsid w:val="00674A34"/>
    <w:rsid w:val="00674A44"/>
    <w:rsid w:val="00674AE3"/>
    <w:rsid w:val="00674B46"/>
    <w:rsid w:val="00674CE7"/>
    <w:rsid w:val="00674F8C"/>
    <w:rsid w:val="00674FA3"/>
    <w:rsid w:val="00675148"/>
    <w:rsid w:val="00675191"/>
    <w:rsid w:val="006752B3"/>
    <w:rsid w:val="0067532F"/>
    <w:rsid w:val="0067537C"/>
    <w:rsid w:val="006753F0"/>
    <w:rsid w:val="006754D7"/>
    <w:rsid w:val="0067550C"/>
    <w:rsid w:val="0067555F"/>
    <w:rsid w:val="00675609"/>
    <w:rsid w:val="006756B5"/>
    <w:rsid w:val="006756F2"/>
    <w:rsid w:val="0067573D"/>
    <w:rsid w:val="006757B1"/>
    <w:rsid w:val="00675954"/>
    <w:rsid w:val="00675A33"/>
    <w:rsid w:val="00675A79"/>
    <w:rsid w:val="00675D80"/>
    <w:rsid w:val="00675D8A"/>
    <w:rsid w:val="00675E95"/>
    <w:rsid w:val="00676016"/>
    <w:rsid w:val="006761B7"/>
    <w:rsid w:val="006761B9"/>
    <w:rsid w:val="006762EA"/>
    <w:rsid w:val="0067633D"/>
    <w:rsid w:val="006763FC"/>
    <w:rsid w:val="00676437"/>
    <w:rsid w:val="006764C3"/>
    <w:rsid w:val="00676596"/>
    <w:rsid w:val="0067663C"/>
    <w:rsid w:val="00676864"/>
    <w:rsid w:val="0067692C"/>
    <w:rsid w:val="006769F0"/>
    <w:rsid w:val="006769F9"/>
    <w:rsid w:val="00676B9D"/>
    <w:rsid w:val="00676C75"/>
    <w:rsid w:val="00676CE4"/>
    <w:rsid w:val="00676D24"/>
    <w:rsid w:val="00676E00"/>
    <w:rsid w:val="00676E38"/>
    <w:rsid w:val="00676EA1"/>
    <w:rsid w:val="00676EDE"/>
    <w:rsid w:val="00676FDC"/>
    <w:rsid w:val="00677007"/>
    <w:rsid w:val="0067700D"/>
    <w:rsid w:val="006770D8"/>
    <w:rsid w:val="00677175"/>
    <w:rsid w:val="006771DE"/>
    <w:rsid w:val="00677397"/>
    <w:rsid w:val="006773A9"/>
    <w:rsid w:val="006773CD"/>
    <w:rsid w:val="006773FC"/>
    <w:rsid w:val="006774BA"/>
    <w:rsid w:val="00677674"/>
    <w:rsid w:val="006776AB"/>
    <w:rsid w:val="00677712"/>
    <w:rsid w:val="006778E8"/>
    <w:rsid w:val="0067790D"/>
    <w:rsid w:val="0067795E"/>
    <w:rsid w:val="006779DE"/>
    <w:rsid w:val="006779F7"/>
    <w:rsid w:val="00677A5A"/>
    <w:rsid w:val="00677AEA"/>
    <w:rsid w:val="00677B34"/>
    <w:rsid w:val="00677C71"/>
    <w:rsid w:val="00677DF2"/>
    <w:rsid w:val="00677FFC"/>
    <w:rsid w:val="0068017D"/>
    <w:rsid w:val="00680208"/>
    <w:rsid w:val="0068065F"/>
    <w:rsid w:val="0068067C"/>
    <w:rsid w:val="006806D1"/>
    <w:rsid w:val="00680767"/>
    <w:rsid w:val="00680909"/>
    <w:rsid w:val="0068091B"/>
    <w:rsid w:val="0068093C"/>
    <w:rsid w:val="00680A05"/>
    <w:rsid w:val="00680A51"/>
    <w:rsid w:val="00680AA3"/>
    <w:rsid w:val="00680ABC"/>
    <w:rsid w:val="00680B25"/>
    <w:rsid w:val="00680B4E"/>
    <w:rsid w:val="00680C45"/>
    <w:rsid w:val="00680C70"/>
    <w:rsid w:val="00680FA2"/>
    <w:rsid w:val="0068100C"/>
    <w:rsid w:val="006811FE"/>
    <w:rsid w:val="0068120F"/>
    <w:rsid w:val="006812A7"/>
    <w:rsid w:val="006812EE"/>
    <w:rsid w:val="00681393"/>
    <w:rsid w:val="00681421"/>
    <w:rsid w:val="00681428"/>
    <w:rsid w:val="00681701"/>
    <w:rsid w:val="006817DA"/>
    <w:rsid w:val="0068188A"/>
    <w:rsid w:val="006818DC"/>
    <w:rsid w:val="00681918"/>
    <w:rsid w:val="00681939"/>
    <w:rsid w:val="0068199A"/>
    <w:rsid w:val="00681A34"/>
    <w:rsid w:val="00681A8C"/>
    <w:rsid w:val="00681CE3"/>
    <w:rsid w:val="00681D6E"/>
    <w:rsid w:val="00681E69"/>
    <w:rsid w:val="00681F93"/>
    <w:rsid w:val="0068202B"/>
    <w:rsid w:val="0068203C"/>
    <w:rsid w:val="0068213B"/>
    <w:rsid w:val="006821D1"/>
    <w:rsid w:val="006821DC"/>
    <w:rsid w:val="006824B6"/>
    <w:rsid w:val="006824CF"/>
    <w:rsid w:val="00682593"/>
    <w:rsid w:val="0068262F"/>
    <w:rsid w:val="00682753"/>
    <w:rsid w:val="0068284A"/>
    <w:rsid w:val="00682AAC"/>
    <w:rsid w:val="00682B28"/>
    <w:rsid w:val="00682D7D"/>
    <w:rsid w:val="00682EF8"/>
    <w:rsid w:val="00682F43"/>
    <w:rsid w:val="00682FAE"/>
    <w:rsid w:val="00683069"/>
    <w:rsid w:val="0068306B"/>
    <w:rsid w:val="00683184"/>
    <w:rsid w:val="0068324F"/>
    <w:rsid w:val="00683258"/>
    <w:rsid w:val="00683276"/>
    <w:rsid w:val="006832C6"/>
    <w:rsid w:val="00683356"/>
    <w:rsid w:val="006833B6"/>
    <w:rsid w:val="006838FB"/>
    <w:rsid w:val="0068397D"/>
    <w:rsid w:val="006839C2"/>
    <w:rsid w:val="00683A88"/>
    <w:rsid w:val="00683C0B"/>
    <w:rsid w:val="00683C1E"/>
    <w:rsid w:val="00683D32"/>
    <w:rsid w:val="00683E13"/>
    <w:rsid w:val="00683E8F"/>
    <w:rsid w:val="00683FDC"/>
    <w:rsid w:val="0068407B"/>
    <w:rsid w:val="00684083"/>
    <w:rsid w:val="006842EC"/>
    <w:rsid w:val="0068440F"/>
    <w:rsid w:val="00684623"/>
    <w:rsid w:val="0068472A"/>
    <w:rsid w:val="0068480E"/>
    <w:rsid w:val="0068483E"/>
    <w:rsid w:val="006849A2"/>
    <w:rsid w:val="006849DF"/>
    <w:rsid w:val="00684D1A"/>
    <w:rsid w:val="00684DBB"/>
    <w:rsid w:val="00684EBA"/>
    <w:rsid w:val="00684F48"/>
    <w:rsid w:val="00684F83"/>
    <w:rsid w:val="006850EE"/>
    <w:rsid w:val="006851DD"/>
    <w:rsid w:val="0068546C"/>
    <w:rsid w:val="0068546D"/>
    <w:rsid w:val="00685490"/>
    <w:rsid w:val="00685493"/>
    <w:rsid w:val="0068557D"/>
    <w:rsid w:val="0068562F"/>
    <w:rsid w:val="0068577D"/>
    <w:rsid w:val="006857F1"/>
    <w:rsid w:val="006859EC"/>
    <w:rsid w:val="00685A6A"/>
    <w:rsid w:val="00685B40"/>
    <w:rsid w:val="00685B57"/>
    <w:rsid w:val="00685B74"/>
    <w:rsid w:val="00685BBF"/>
    <w:rsid w:val="00685BE0"/>
    <w:rsid w:val="00685C8C"/>
    <w:rsid w:val="00685E17"/>
    <w:rsid w:val="00685EB5"/>
    <w:rsid w:val="00685F4D"/>
    <w:rsid w:val="00685F7B"/>
    <w:rsid w:val="00685F9B"/>
    <w:rsid w:val="00685FEB"/>
    <w:rsid w:val="00686051"/>
    <w:rsid w:val="00686117"/>
    <w:rsid w:val="00686177"/>
    <w:rsid w:val="00686198"/>
    <w:rsid w:val="00686271"/>
    <w:rsid w:val="0068629F"/>
    <w:rsid w:val="006862F1"/>
    <w:rsid w:val="006863CC"/>
    <w:rsid w:val="006864CD"/>
    <w:rsid w:val="0068651D"/>
    <w:rsid w:val="00686599"/>
    <w:rsid w:val="006865A6"/>
    <w:rsid w:val="006865C4"/>
    <w:rsid w:val="00686666"/>
    <w:rsid w:val="006866C8"/>
    <w:rsid w:val="0068672D"/>
    <w:rsid w:val="00686739"/>
    <w:rsid w:val="0068674C"/>
    <w:rsid w:val="006868DC"/>
    <w:rsid w:val="00686971"/>
    <w:rsid w:val="006869D5"/>
    <w:rsid w:val="00686A5A"/>
    <w:rsid w:val="00686B25"/>
    <w:rsid w:val="00686D57"/>
    <w:rsid w:val="00686E05"/>
    <w:rsid w:val="00686F33"/>
    <w:rsid w:val="00686F5E"/>
    <w:rsid w:val="00687191"/>
    <w:rsid w:val="006871DB"/>
    <w:rsid w:val="006871F9"/>
    <w:rsid w:val="00687327"/>
    <w:rsid w:val="006873C2"/>
    <w:rsid w:val="006875B3"/>
    <w:rsid w:val="0068761C"/>
    <w:rsid w:val="0068770A"/>
    <w:rsid w:val="0068772D"/>
    <w:rsid w:val="00687814"/>
    <w:rsid w:val="00687967"/>
    <w:rsid w:val="00687A1E"/>
    <w:rsid w:val="00687B3D"/>
    <w:rsid w:val="00687BD8"/>
    <w:rsid w:val="00687C52"/>
    <w:rsid w:val="00687CE6"/>
    <w:rsid w:val="00687E37"/>
    <w:rsid w:val="00687F40"/>
    <w:rsid w:val="00687F5A"/>
    <w:rsid w:val="00690182"/>
    <w:rsid w:val="0069024D"/>
    <w:rsid w:val="00690401"/>
    <w:rsid w:val="006905A4"/>
    <w:rsid w:val="00690625"/>
    <w:rsid w:val="006906F4"/>
    <w:rsid w:val="00690878"/>
    <w:rsid w:val="0069092C"/>
    <w:rsid w:val="006909FB"/>
    <w:rsid w:val="00690B6E"/>
    <w:rsid w:val="00690BC9"/>
    <w:rsid w:val="00690CCE"/>
    <w:rsid w:val="00690CFC"/>
    <w:rsid w:val="00690D9D"/>
    <w:rsid w:val="00690F1F"/>
    <w:rsid w:val="00690FC3"/>
    <w:rsid w:val="00691071"/>
    <w:rsid w:val="00691099"/>
    <w:rsid w:val="00691104"/>
    <w:rsid w:val="006911A3"/>
    <w:rsid w:val="00691211"/>
    <w:rsid w:val="006913C9"/>
    <w:rsid w:val="006915DC"/>
    <w:rsid w:val="006915E5"/>
    <w:rsid w:val="00691663"/>
    <w:rsid w:val="006917A9"/>
    <w:rsid w:val="00691836"/>
    <w:rsid w:val="00691867"/>
    <w:rsid w:val="00691980"/>
    <w:rsid w:val="006919A2"/>
    <w:rsid w:val="006919CE"/>
    <w:rsid w:val="00691A67"/>
    <w:rsid w:val="00691A9B"/>
    <w:rsid w:val="00691AA2"/>
    <w:rsid w:val="00691B92"/>
    <w:rsid w:val="00691D68"/>
    <w:rsid w:val="00691E60"/>
    <w:rsid w:val="00691E68"/>
    <w:rsid w:val="00691ED0"/>
    <w:rsid w:val="00691ED9"/>
    <w:rsid w:val="00691F1C"/>
    <w:rsid w:val="00691F9A"/>
    <w:rsid w:val="00691FBA"/>
    <w:rsid w:val="00691FDE"/>
    <w:rsid w:val="0069209D"/>
    <w:rsid w:val="006922CC"/>
    <w:rsid w:val="006922E9"/>
    <w:rsid w:val="0069235F"/>
    <w:rsid w:val="00692361"/>
    <w:rsid w:val="006923D1"/>
    <w:rsid w:val="00692496"/>
    <w:rsid w:val="006924AB"/>
    <w:rsid w:val="006924E1"/>
    <w:rsid w:val="0069250D"/>
    <w:rsid w:val="006925B4"/>
    <w:rsid w:val="006925D8"/>
    <w:rsid w:val="006928D4"/>
    <w:rsid w:val="00692B9D"/>
    <w:rsid w:val="00692BD7"/>
    <w:rsid w:val="00692E88"/>
    <w:rsid w:val="00692EC1"/>
    <w:rsid w:val="00692EDC"/>
    <w:rsid w:val="00692EEA"/>
    <w:rsid w:val="00692F26"/>
    <w:rsid w:val="00692F78"/>
    <w:rsid w:val="00692F98"/>
    <w:rsid w:val="0069305A"/>
    <w:rsid w:val="006930E7"/>
    <w:rsid w:val="00693118"/>
    <w:rsid w:val="00693211"/>
    <w:rsid w:val="0069324C"/>
    <w:rsid w:val="00693415"/>
    <w:rsid w:val="0069343B"/>
    <w:rsid w:val="006934A5"/>
    <w:rsid w:val="0069365B"/>
    <w:rsid w:val="006936B0"/>
    <w:rsid w:val="00693936"/>
    <w:rsid w:val="006939E6"/>
    <w:rsid w:val="00693B01"/>
    <w:rsid w:val="00693BE8"/>
    <w:rsid w:val="00693CD1"/>
    <w:rsid w:val="00693E8C"/>
    <w:rsid w:val="00693FD2"/>
    <w:rsid w:val="006940FF"/>
    <w:rsid w:val="0069410A"/>
    <w:rsid w:val="0069421F"/>
    <w:rsid w:val="00694269"/>
    <w:rsid w:val="00694277"/>
    <w:rsid w:val="0069452C"/>
    <w:rsid w:val="006949AC"/>
    <w:rsid w:val="00694A04"/>
    <w:rsid w:val="00694BEA"/>
    <w:rsid w:val="00694CC9"/>
    <w:rsid w:val="00694CEF"/>
    <w:rsid w:val="00694D0C"/>
    <w:rsid w:val="00694D44"/>
    <w:rsid w:val="00694D67"/>
    <w:rsid w:val="00694D82"/>
    <w:rsid w:val="00694DA5"/>
    <w:rsid w:val="00695125"/>
    <w:rsid w:val="00695402"/>
    <w:rsid w:val="006954DA"/>
    <w:rsid w:val="00695580"/>
    <w:rsid w:val="00695582"/>
    <w:rsid w:val="00695676"/>
    <w:rsid w:val="006956E3"/>
    <w:rsid w:val="0069570C"/>
    <w:rsid w:val="00695877"/>
    <w:rsid w:val="006959DF"/>
    <w:rsid w:val="006959F2"/>
    <w:rsid w:val="00695C86"/>
    <w:rsid w:val="00695D7B"/>
    <w:rsid w:val="00695DA1"/>
    <w:rsid w:val="00695EC0"/>
    <w:rsid w:val="00696147"/>
    <w:rsid w:val="0069616C"/>
    <w:rsid w:val="0069618C"/>
    <w:rsid w:val="0069632F"/>
    <w:rsid w:val="00696382"/>
    <w:rsid w:val="006963D5"/>
    <w:rsid w:val="006964A9"/>
    <w:rsid w:val="006964DD"/>
    <w:rsid w:val="00696522"/>
    <w:rsid w:val="006965AF"/>
    <w:rsid w:val="006965FC"/>
    <w:rsid w:val="0069681E"/>
    <w:rsid w:val="00696822"/>
    <w:rsid w:val="006968A3"/>
    <w:rsid w:val="00696912"/>
    <w:rsid w:val="00696A0B"/>
    <w:rsid w:val="00696B10"/>
    <w:rsid w:val="00696C63"/>
    <w:rsid w:val="00696D34"/>
    <w:rsid w:val="00696E40"/>
    <w:rsid w:val="00696F11"/>
    <w:rsid w:val="00696F36"/>
    <w:rsid w:val="00696F8E"/>
    <w:rsid w:val="006970C8"/>
    <w:rsid w:val="0069711F"/>
    <w:rsid w:val="00697157"/>
    <w:rsid w:val="0069718D"/>
    <w:rsid w:val="006971D1"/>
    <w:rsid w:val="0069724B"/>
    <w:rsid w:val="00697256"/>
    <w:rsid w:val="00697276"/>
    <w:rsid w:val="00697285"/>
    <w:rsid w:val="00697307"/>
    <w:rsid w:val="006973CE"/>
    <w:rsid w:val="006975EE"/>
    <w:rsid w:val="006977AE"/>
    <w:rsid w:val="00697862"/>
    <w:rsid w:val="006978AC"/>
    <w:rsid w:val="00697979"/>
    <w:rsid w:val="00697ACC"/>
    <w:rsid w:val="00697C93"/>
    <w:rsid w:val="00697CBA"/>
    <w:rsid w:val="006A023C"/>
    <w:rsid w:val="006A02FD"/>
    <w:rsid w:val="006A033C"/>
    <w:rsid w:val="006A0438"/>
    <w:rsid w:val="006A04CA"/>
    <w:rsid w:val="006A04CD"/>
    <w:rsid w:val="006A0672"/>
    <w:rsid w:val="006A070D"/>
    <w:rsid w:val="006A0739"/>
    <w:rsid w:val="006A0761"/>
    <w:rsid w:val="006A078D"/>
    <w:rsid w:val="006A07DE"/>
    <w:rsid w:val="006A081B"/>
    <w:rsid w:val="006A084C"/>
    <w:rsid w:val="006A0861"/>
    <w:rsid w:val="006A08AC"/>
    <w:rsid w:val="006A0911"/>
    <w:rsid w:val="006A0A34"/>
    <w:rsid w:val="006A0AAF"/>
    <w:rsid w:val="006A0B08"/>
    <w:rsid w:val="006A0DA0"/>
    <w:rsid w:val="006A0EE9"/>
    <w:rsid w:val="006A0F6C"/>
    <w:rsid w:val="006A1070"/>
    <w:rsid w:val="006A113A"/>
    <w:rsid w:val="006A117D"/>
    <w:rsid w:val="006A12D4"/>
    <w:rsid w:val="006A145E"/>
    <w:rsid w:val="006A1480"/>
    <w:rsid w:val="006A155F"/>
    <w:rsid w:val="006A15C0"/>
    <w:rsid w:val="006A1657"/>
    <w:rsid w:val="006A17C3"/>
    <w:rsid w:val="006A184D"/>
    <w:rsid w:val="006A1952"/>
    <w:rsid w:val="006A1AA9"/>
    <w:rsid w:val="006A1B7E"/>
    <w:rsid w:val="006A1B87"/>
    <w:rsid w:val="006A1C81"/>
    <w:rsid w:val="006A1C85"/>
    <w:rsid w:val="006A1CC0"/>
    <w:rsid w:val="006A1CD2"/>
    <w:rsid w:val="006A1DE2"/>
    <w:rsid w:val="006A1DE6"/>
    <w:rsid w:val="006A1E2C"/>
    <w:rsid w:val="006A1E3F"/>
    <w:rsid w:val="006A1F8D"/>
    <w:rsid w:val="006A2010"/>
    <w:rsid w:val="006A2084"/>
    <w:rsid w:val="006A219C"/>
    <w:rsid w:val="006A22F6"/>
    <w:rsid w:val="006A2344"/>
    <w:rsid w:val="006A23AE"/>
    <w:rsid w:val="006A23D6"/>
    <w:rsid w:val="006A241D"/>
    <w:rsid w:val="006A25A3"/>
    <w:rsid w:val="006A261C"/>
    <w:rsid w:val="006A262A"/>
    <w:rsid w:val="006A2662"/>
    <w:rsid w:val="006A2858"/>
    <w:rsid w:val="006A289B"/>
    <w:rsid w:val="006A2A84"/>
    <w:rsid w:val="006A2C62"/>
    <w:rsid w:val="006A2CEC"/>
    <w:rsid w:val="006A2D91"/>
    <w:rsid w:val="006A2E8D"/>
    <w:rsid w:val="006A30B2"/>
    <w:rsid w:val="006A324C"/>
    <w:rsid w:val="006A33BE"/>
    <w:rsid w:val="006A3427"/>
    <w:rsid w:val="006A3428"/>
    <w:rsid w:val="006A3467"/>
    <w:rsid w:val="006A356D"/>
    <w:rsid w:val="006A366E"/>
    <w:rsid w:val="006A3716"/>
    <w:rsid w:val="006A377E"/>
    <w:rsid w:val="006A387E"/>
    <w:rsid w:val="006A3D1D"/>
    <w:rsid w:val="006A3D6B"/>
    <w:rsid w:val="006A3E38"/>
    <w:rsid w:val="006A3F1D"/>
    <w:rsid w:val="006A3F84"/>
    <w:rsid w:val="006A3FC9"/>
    <w:rsid w:val="006A409A"/>
    <w:rsid w:val="006A40CC"/>
    <w:rsid w:val="006A4286"/>
    <w:rsid w:val="006A4378"/>
    <w:rsid w:val="006A43AA"/>
    <w:rsid w:val="006A4446"/>
    <w:rsid w:val="006A444D"/>
    <w:rsid w:val="006A4497"/>
    <w:rsid w:val="006A44DB"/>
    <w:rsid w:val="006A4588"/>
    <w:rsid w:val="006A4660"/>
    <w:rsid w:val="006A46A2"/>
    <w:rsid w:val="006A4708"/>
    <w:rsid w:val="006A4804"/>
    <w:rsid w:val="006A486B"/>
    <w:rsid w:val="006A4982"/>
    <w:rsid w:val="006A4CF4"/>
    <w:rsid w:val="006A4DA1"/>
    <w:rsid w:val="006A4DCB"/>
    <w:rsid w:val="006A4E23"/>
    <w:rsid w:val="006A4E4E"/>
    <w:rsid w:val="006A5019"/>
    <w:rsid w:val="006A52A7"/>
    <w:rsid w:val="006A52B0"/>
    <w:rsid w:val="006A5392"/>
    <w:rsid w:val="006A539F"/>
    <w:rsid w:val="006A5508"/>
    <w:rsid w:val="006A5573"/>
    <w:rsid w:val="006A59D3"/>
    <w:rsid w:val="006A5A2B"/>
    <w:rsid w:val="006A5A33"/>
    <w:rsid w:val="006A5A94"/>
    <w:rsid w:val="006A5BA6"/>
    <w:rsid w:val="006A5CEB"/>
    <w:rsid w:val="006A5D25"/>
    <w:rsid w:val="006A5F22"/>
    <w:rsid w:val="006A601C"/>
    <w:rsid w:val="006A60BB"/>
    <w:rsid w:val="006A61C9"/>
    <w:rsid w:val="006A61F7"/>
    <w:rsid w:val="006A620D"/>
    <w:rsid w:val="006A6305"/>
    <w:rsid w:val="006A63F7"/>
    <w:rsid w:val="006A6411"/>
    <w:rsid w:val="006A643E"/>
    <w:rsid w:val="006A649F"/>
    <w:rsid w:val="006A6637"/>
    <w:rsid w:val="006A6641"/>
    <w:rsid w:val="006A6657"/>
    <w:rsid w:val="006A6867"/>
    <w:rsid w:val="006A6A13"/>
    <w:rsid w:val="006A6A53"/>
    <w:rsid w:val="006A6A75"/>
    <w:rsid w:val="006A6B2A"/>
    <w:rsid w:val="006A6C15"/>
    <w:rsid w:val="006A6D2A"/>
    <w:rsid w:val="006A6EA9"/>
    <w:rsid w:val="006A7169"/>
    <w:rsid w:val="006A72EC"/>
    <w:rsid w:val="006A735B"/>
    <w:rsid w:val="006A7392"/>
    <w:rsid w:val="006A74FD"/>
    <w:rsid w:val="006A7526"/>
    <w:rsid w:val="006A7627"/>
    <w:rsid w:val="006A76CD"/>
    <w:rsid w:val="006A79CE"/>
    <w:rsid w:val="006A7AD6"/>
    <w:rsid w:val="006A7BD3"/>
    <w:rsid w:val="006A7BE2"/>
    <w:rsid w:val="006A7C4D"/>
    <w:rsid w:val="006A7DB2"/>
    <w:rsid w:val="006A7F2A"/>
    <w:rsid w:val="006A7F91"/>
    <w:rsid w:val="006A7F9E"/>
    <w:rsid w:val="006B0006"/>
    <w:rsid w:val="006B01BF"/>
    <w:rsid w:val="006B01D0"/>
    <w:rsid w:val="006B02A5"/>
    <w:rsid w:val="006B03B7"/>
    <w:rsid w:val="006B040C"/>
    <w:rsid w:val="006B0443"/>
    <w:rsid w:val="006B0578"/>
    <w:rsid w:val="006B05F7"/>
    <w:rsid w:val="006B07ED"/>
    <w:rsid w:val="006B085A"/>
    <w:rsid w:val="006B097C"/>
    <w:rsid w:val="006B09AB"/>
    <w:rsid w:val="006B0A15"/>
    <w:rsid w:val="006B0B8D"/>
    <w:rsid w:val="006B0BCC"/>
    <w:rsid w:val="006B0C77"/>
    <w:rsid w:val="006B0E6D"/>
    <w:rsid w:val="006B0FBA"/>
    <w:rsid w:val="006B101F"/>
    <w:rsid w:val="006B10EA"/>
    <w:rsid w:val="006B1176"/>
    <w:rsid w:val="006B12E8"/>
    <w:rsid w:val="006B13CE"/>
    <w:rsid w:val="006B14A7"/>
    <w:rsid w:val="006B14EA"/>
    <w:rsid w:val="006B15BC"/>
    <w:rsid w:val="006B169D"/>
    <w:rsid w:val="006B16CE"/>
    <w:rsid w:val="006B1718"/>
    <w:rsid w:val="006B172E"/>
    <w:rsid w:val="006B1776"/>
    <w:rsid w:val="006B1793"/>
    <w:rsid w:val="006B187A"/>
    <w:rsid w:val="006B18A8"/>
    <w:rsid w:val="006B195E"/>
    <w:rsid w:val="006B1CA2"/>
    <w:rsid w:val="006B1DBC"/>
    <w:rsid w:val="006B1EA2"/>
    <w:rsid w:val="006B1F21"/>
    <w:rsid w:val="006B1F50"/>
    <w:rsid w:val="006B2088"/>
    <w:rsid w:val="006B20B9"/>
    <w:rsid w:val="006B22A0"/>
    <w:rsid w:val="006B22A9"/>
    <w:rsid w:val="006B22F5"/>
    <w:rsid w:val="006B2568"/>
    <w:rsid w:val="006B2582"/>
    <w:rsid w:val="006B25A4"/>
    <w:rsid w:val="006B25C0"/>
    <w:rsid w:val="006B2892"/>
    <w:rsid w:val="006B292F"/>
    <w:rsid w:val="006B2970"/>
    <w:rsid w:val="006B29A1"/>
    <w:rsid w:val="006B29AE"/>
    <w:rsid w:val="006B2BA5"/>
    <w:rsid w:val="006B2C67"/>
    <w:rsid w:val="006B2EB4"/>
    <w:rsid w:val="006B2EED"/>
    <w:rsid w:val="006B2F26"/>
    <w:rsid w:val="006B304D"/>
    <w:rsid w:val="006B3080"/>
    <w:rsid w:val="006B30C0"/>
    <w:rsid w:val="006B3110"/>
    <w:rsid w:val="006B3185"/>
    <w:rsid w:val="006B31FB"/>
    <w:rsid w:val="006B3464"/>
    <w:rsid w:val="006B35D3"/>
    <w:rsid w:val="006B36F1"/>
    <w:rsid w:val="006B3836"/>
    <w:rsid w:val="006B39B4"/>
    <w:rsid w:val="006B3A96"/>
    <w:rsid w:val="006B3B83"/>
    <w:rsid w:val="006B3C53"/>
    <w:rsid w:val="006B3E35"/>
    <w:rsid w:val="006B3F6E"/>
    <w:rsid w:val="006B3F79"/>
    <w:rsid w:val="006B3FE0"/>
    <w:rsid w:val="006B43C2"/>
    <w:rsid w:val="006B43FE"/>
    <w:rsid w:val="006B471B"/>
    <w:rsid w:val="006B48C4"/>
    <w:rsid w:val="006B48D8"/>
    <w:rsid w:val="006B4925"/>
    <w:rsid w:val="006B4A83"/>
    <w:rsid w:val="006B4CDC"/>
    <w:rsid w:val="006B4DFA"/>
    <w:rsid w:val="006B4F92"/>
    <w:rsid w:val="006B509B"/>
    <w:rsid w:val="006B51AE"/>
    <w:rsid w:val="006B51CA"/>
    <w:rsid w:val="006B5267"/>
    <w:rsid w:val="006B5393"/>
    <w:rsid w:val="006B5411"/>
    <w:rsid w:val="006B569E"/>
    <w:rsid w:val="006B56EC"/>
    <w:rsid w:val="006B5705"/>
    <w:rsid w:val="006B5733"/>
    <w:rsid w:val="006B57D9"/>
    <w:rsid w:val="006B591E"/>
    <w:rsid w:val="006B5B69"/>
    <w:rsid w:val="006B5C15"/>
    <w:rsid w:val="006B5CB0"/>
    <w:rsid w:val="006B5F94"/>
    <w:rsid w:val="006B5FC2"/>
    <w:rsid w:val="006B604D"/>
    <w:rsid w:val="006B6109"/>
    <w:rsid w:val="006B6189"/>
    <w:rsid w:val="006B624B"/>
    <w:rsid w:val="006B62CD"/>
    <w:rsid w:val="006B6306"/>
    <w:rsid w:val="006B6370"/>
    <w:rsid w:val="006B63CD"/>
    <w:rsid w:val="006B6417"/>
    <w:rsid w:val="006B64C4"/>
    <w:rsid w:val="006B64E9"/>
    <w:rsid w:val="006B653D"/>
    <w:rsid w:val="006B662D"/>
    <w:rsid w:val="006B6640"/>
    <w:rsid w:val="006B6750"/>
    <w:rsid w:val="006B6809"/>
    <w:rsid w:val="006B6894"/>
    <w:rsid w:val="006B68F8"/>
    <w:rsid w:val="006B6965"/>
    <w:rsid w:val="006B6A63"/>
    <w:rsid w:val="006B6BF2"/>
    <w:rsid w:val="006B6D89"/>
    <w:rsid w:val="006B6EBD"/>
    <w:rsid w:val="006B6F0E"/>
    <w:rsid w:val="006B70F9"/>
    <w:rsid w:val="006B727D"/>
    <w:rsid w:val="006B739A"/>
    <w:rsid w:val="006B74F6"/>
    <w:rsid w:val="006B772C"/>
    <w:rsid w:val="006B77D5"/>
    <w:rsid w:val="006B79AA"/>
    <w:rsid w:val="006B7A45"/>
    <w:rsid w:val="006B7B66"/>
    <w:rsid w:val="006B7BA6"/>
    <w:rsid w:val="006B7CFD"/>
    <w:rsid w:val="006B7D2A"/>
    <w:rsid w:val="006B7DDF"/>
    <w:rsid w:val="006B7FD5"/>
    <w:rsid w:val="006C007D"/>
    <w:rsid w:val="006C01F5"/>
    <w:rsid w:val="006C0356"/>
    <w:rsid w:val="006C03DC"/>
    <w:rsid w:val="006C04A6"/>
    <w:rsid w:val="006C04DD"/>
    <w:rsid w:val="006C0525"/>
    <w:rsid w:val="006C05E0"/>
    <w:rsid w:val="006C084B"/>
    <w:rsid w:val="006C093E"/>
    <w:rsid w:val="006C09A5"/>
    <w:rsid w:val="006C0A42"/>
    <w:rsid w:val="006C0BA0"/>
    <w:rsid w:val="006C0D2D"/>
    <w:rsid w:val="006C0E1A"/>
    <w:rsid w:val="006C0E70"/>
    <w:rsid w:val="006C0EA3"/>
    <w:rsid w:val="006C0EA5"/>
    <w:rsid w:val="006C0EE5"/>
    <w:rsid w:val="006C0EFD"/>
    <w:rsid w:val="006C1143"/>
    <w:rsid w:val="006C1254"/>
    <w:rsid w:val="006C1411"/>
    <w:rsid w:val="006C1573"/>
    <w:rsid w:val="006C157F"/>
    <w:rsid w:val="006C15F7"/>
    <w:rsid w:val="006C1601"/>
    <w:rsid w:val="006C182E"/>
    <w:rsid w:val="006C18AD"/>
    <w:rsid w:val="006C1929"/>
    <w:rsid w:val="006C196C"/>
    <w:rsid w:val="006C1970"/>
    <w:rsid w:val="006C1981"/>
    <w:rsid w:val="006C1ADD"/>
    <w:rsid w:val="006C1B42"/>
    <w:rsid w:val="006C1B45"/>
    <w:rsid w:val="006C1B67"/>
    <w:rsid w:val="006C1BB5"/>
    <w:rsid w:val="006C1D16"/>
    <w:rsid w:val="006C1F2E"/>
    <w:rsid w:val="006C1FD7"/>
    <w:rsid w:val="006C2109"/>
    <w:rsid w:val="006C231C"/>
    <w:rsid w:val="006C233D"/>
    <w:rsid w:val="006C255B"/>
    <w:rsid w:val="006C274E"/>
    <w:rsid w:val="006C27F0"/>
    <w:rsid w:val="006C28A3"/>
    <w:rsid w:val="006C2907"/>
    <w:rsid w:val="006C29EA"/>
    <w:rsid w:val="006C2A6F"/>
    <w:rsid w:val="006C2C45"/>
    <w:rsid w:val="006C2C65"/>
    <w:rsid w:val="006C2CF2"/>
    <w:rsid w:val="006C2DEC"/>
    <w:rsid w:val="006C2FD9"/>
    <w:rsid w:val="006C30D1"/>
    <w:rsid w:val="006C314E"/>
    <w:rsid w:val="006C318B"/>
    <w:rsid w:val="006C33CB"/>
    <w:rsid w:val="006C340F"/>
    <w:rsid w:val="006C3525"/>
    <w:rsid w:val="006C36BB"/>
    <w:rsid w:val="006C37DA"/>
    <w:rsid w:val="006C39F9"/>
    <w:rsid w:val="006C3A31"/>
    <w:rsid w:val="006C3AD1"/>
    <w:rsid w:val="006C3B2A"/>
    <w:rsid w:val="006C3B36"/>
    <w:rsid w:val="006C3B6A"/>
    <w:rsid w:val="006C3C2B"/>
    <w:rsid w:val="006C3C6B"/>
    <w:rsid w:val="006C3C7A"/>
    <w:rsid w:val="006C3DD7"/>
    <w:rsid w:val="006C3E06"/>
    <w:rsid w:val="006C3FC6"/>
    <w:rsid w:val="006C405F"/>
    <w:rsid w:val="006C40FE"/>
    <w:rsid w:val="006C41B5"/>
    <w:rsid w:val="006C42BC"/>
    <w:rsid w:val="006C442A"/>
    <w:rsid w:val="006C44CC"/>
    <w:rsid w:val="006C44EA"/>
    <w:rsid w:val="006C4528"/>
    <w:rsid w:val="006C455B"/>
    <w:rsid w:val="006C45F0"/>
    <w:rsid w:val="006C4601"/>
    <w:rsid w:val="006C473A"/>
    <w:rsid w:val="006C47FD"/>
    <w:rsid w:val="006C4875"/>
    <w:rsid w:val="006C4883"/>
    <w:rsid w:val="006C48B5"/>
    <w:rsid w:val="006C4909"/>
    <w:rsid w:val="006C49AD"/>
    <w:rsid w:val="006C4C94"/>
    <w:rsid w:val="006C4D62"/>
    <w:rsid w:val="006C4FEF"/>
    <w:rsid w:val="006C5016"/>
    <w:rsid w:val="006C5106"/>
    <w:rsid w:val="006C5117"/>
    <w:rsid w:val="006C51AB"/>
    <w:rsid w:val="006C5208"/>
    <w:rsid w:val="006C52F4"/>
    <w:rsid w:val="006C53D1"/>
    <w:rsid w:val="006C5573"/>
    <w:rsid w:val="006C55F6"/>
    <w:rsid w:val="006C5629"/>
    <w:rsid w:val="006C587C"/>
    <w:rsid w:val="006C58AD"/>
    <w:rsid w:val="006C598B"/>
    <w:rsid w:val="006C5A6D"/>
    <w:rsid w:val="006C5A86"/>
    <w:rsid w:val="006C5B19"/>
    <w:rsid w:val="006C5BB4"/>
    <w:rsid w:val="006C5CCE"/>
    <w:rsid w:val="006C5D62"/>
    <w:rsid w:val="006C5E9D"/>
    <w:rsid w:val="006C5EE3"/>
    <w:rsid w:val="006C5F36"/>
    <w:rsid w:val="006C5F66"/>
    <w:rsid w:val="006C5F95"/>
    <w:rsid w:val="006C60B5"/>
    <w:rsid w:val="006C62E4"/>
    <w:rsid w:val="006C634F"/>
    <w:rsid w:val="006C64AC"/>
    <w:rsid w:val="006C65B7"/>
    <w:rsid w:val="006C65EE"/>
    <w:rsid w:val="006C6605"/>
    <w:rsid w:val="006C669F"/>
    <w:rsid w:val="006C68C8"/>
    <w:rsid w:val="006C690F"/>
    <w:rsid w:val="006C6B95"/>
    <w:rsid w:val="006C6C56"/>
    <w:rsid w:val="006C6DB5"/>
    <w:rsid w:val="006C6F62"/>
    <w:rsid w:val="006C6F86"/>
    <w:rsid w:val="006C7045"/>
    <w:rsid w:val="006C719D"/>
    <w:rsid w:val="006C726C"/>
    <w:rsid w:val="006C7330"/>
    <w:rsid w:val="006C741A"/>
    <w:rsid w:val="006C74C2"/>
    <w:rsid w:val="006C765D"/>
    <w:rsid w:val="006C7727"/>
    <w:rsid w:val="006C78A2"/>
    <w:rsid w:val="006C7A13"/>
    <w:rsid w:val="006C7A5D"/>
    <w:rsid w:val="006C7A89"/>
    <w:rsid w:val="006C7B33"/>
    <w:rsid w:val="006C7B9C"/>
    <w:rsid w:val="006C7C0C"/>
    <w:rsid w:val="006C7C64"/>
    <w:rsid w:val="006C7C92"/>
    <w:rsid w:val="006C7E04"/>
    <w:rsid w:val="006C7EB8"/>
    <w:rsid w:val="006D006F"/>
    <w:rsid w:val="006D00A0"/>
    <w:rsid w:val="006D015E"/>
    <w:rsid w:val="006D01D9"/>
    <w:rsid w:val="006D0246"/>
    <w:rsid w:val="006D02BC"/>
    <w:rsid w:val="006D0335"/>
    <w:rsid w:val="006D0386"/>
    <w:rsid w:val="006D05D6"/>
    <w:rsid w:val="006D061A"/>
    <w:rsid w:val="006D0784"/>
    <w:rsid w:val="006D0827"/>
    <w:rsid w:val="006D086F"/>
    <w:rsid w:val="006D0971"/>
    <w:rsid w:val="006D0A39"/>
    <w:rsid w:val="006D0B00"/>
    <w:rsid w:val="006D0B64"/>
    <w:rsid w:val="006D0DCB"/>
    <w:rsid w:val="006D0E4F"/>
    <w:rsid w:val="006D0FC1"/>
    <w:rsid w:val="006D100B"/>
    <w:rsid w:val="006D10CA"/>
    <w:rsid w:val="006D11B6"/>
    <w:rsid w:val="006D13FF"/>
    <w:rsid w:val="006D15B2"/>
    <w:rsid w:val="006D16F1"/>
    <w:rsid w:val="006D17CE"/>
    <w:rsid w:val="006D19C0"/>
    <w:rsid w:val="006D1C98"/>
    <w:rsid w:val="006D1D3E"/>
    <w:rsid w:val="006D1D70"/>
    <w:rsid w:val="006D1E2B"/>
    <w:rsid w:val="006D1ECE"/>
    <w:rsid w:val="006D1EE4"/>
    <w:rsid w:val="006D2105"/>
    <w:rsid w:val="006D236D"/>
    <w:rsid w:val="006D236E"/>
    <w:rsid w:val="006D23B2"/>
    <w:rsid w:val="006D24A0"/>
    <w:rsid w:val="006D270F"/>
    <w:rsid w:val="006D27B6"/>
    <w:rsid w:val="006D2A2D"/>
    <w:rsid w:val="006D2F5E"/>
    <w:rsid w:val="006D3386"/>
    <w:rsid w:val="006D350E"/>
    <w:rsid w:val="006D3654"/>
    <w:rsid w:val="006D372A"/>
    <w:rsid w:val="006D37A3"/>
    <w:rsid w:val="006D3816"/>
    <w:rsid w:val="006D3869"/>
    <w:rsid w:val="006D389A"/>
    <w:rsid w:val="006D38DD"/>
    <w:rsid w:val="006D3A9A"/>
    <w:rsid w:val="006D3BBF"/>
    <w:rsid w:val="006D3BE1"/>
    <w:rsid w:val="006D3C6D"/>
    <w:rsid w:val="006D3C8C"/>
    <w:rsid w:val="006D3DA6"/>
    <w:rsid w:val="006D3F17"/>
    <w:rsid w:val="006D3F6B"/>
    <w:rsid w:val="006D3FFB"/>
    <w:rsid w:val="006D400F"/>
    <w:rsid w:val="006D409E"/>
    <w:rsid w:val="006D413C"/>
    <w:rsid w:val="006D4310"/>
    <w:rsid w:val="006D434C"/>
    <w:rsid w:val="006D438E"/>
    <w:rsid w:val="006D4399"/>
    <w:rsid w:val="006D443E"/>
    <w:rsid w:val="006D4573"/>
    <w:rsid w:val="006D4582"/>
    <w:rsid w:val="006D45B1"/>
    <w:rsid w:val="006D4602"/>
    <w:rsid w:val="006D460A"/>
    <w:rsid w:val="006D4636"/>
    <w:rsid w:val="006D48C2"/>
    <w:rsid w:val="006D4955"/>
    <w:rsid w:val="006D4A29"/>
    <w:rsid w:val="006D4A5C"/>
    <w:rsid w:val="006D4C1A"/>
    <w:rsid w:val="006D4C63"/>
    <w:rsid w:val="006D4CAB"/>
    <w:rsid w:val="006D4E28"/>
    <w:rsid w:val="006D4E84"/>
    <w:rsid w:val="006D4F78"/>
    <w:rsid w:val="006D534D"/>
    <w:rsid w:val="006D546F"/>
    <w:rsid w:val="006D54C6"/>
    <w:rsid w:val="006D566E"/>
    <w:rsid w:val="006D5718"/>
    <w:rsid w:val="006D5733"/>
    <w:rsid w:val="006D5862"/>
    <w:rsid w:val="006D58B4"/>
    <w:rsid w:val="006D5930"/>
    <w:rsid w:val="006D5941"/>
    <w:rsid w:val="006D59ED"/>
    <w:rsid w:val="006D5A73"/>
    <w:rsid w:val="006D5B06"/>
    <w:rsid w:val="006D5B72"/>
    <w:rsid w:val="006D5BB4"/>
    <w:rsid w:val="006D5C50"/>
    <w:rsid w:val="006D5C63"/>
    <w:rsid w:val="006D5CCD"/>
    <w:rsid w:val="006D5CFB"/>
    <w:rsid w:val="006D5E8C"/>
    <w:rsid w:val="006D5F35"/>
    <w:rsid w:val="006D6092"/>
    <w:rsid w:val="006D6277"/>
    <w:rsid w:val="006D6279"/>
    <w:rsid w:val="006D646B"/>
    <w:rsid w:val="006D64FC"/>
    <w:rsid w:val="006D6557"/>
    <w:rsid w:val="006D6585"/>
    <w:rsid w:val="006D662F"/>
    <w:rsid w:val="006D6791"/>
    <w:rsid w:val="006D685F"/>
    <w:rsid w:val="006D690F"/>
    <w:rsid w:val="006D6994"/>
    <w:rsid w:val="006D6A9D"/>
    <w:rsid w:val="006D6B20"/>
    <w:rsid w:val="006D6BE3"/>
    <w:rsid w:val="006D6C61"/>
    <w:rsid w:val="006D6CC0"/>
    <w:rsid w:val="006D6D4E"/>
    <w:rsid w:val="006D6E8A"/>
    <w:rsid w:val="006D6FEA"/>
    <w:rsid w:val="006D7122"/>
    <w:rsid w:val="006D715C"/>
    <w:rsid w:val="006D725B"/>
    <w:rsid w:val="006D7297"/>
    <w:rsid w:val="006D72D5"/>
    <w:rsid w:val="006D72E9"/>
    <w:rsid w:val="006D73BF"/>
    <w:rsid w:val="006D7597"/>
    <w:rsid w:val="006D75DD"/>
    <w:rsid w:val="006D75E5"/>
    <w:rsid w:val="006D769D"/>
    <w:rsid w:val="006D7710"/>
    <w:rsid w:val="006D7742"/>
    <w:rsid w:val="006D79F7"/>
    <w:rsid w:val="006D7A45"/>
    <w:rsid w:val="006D7B14"/>
    <w:rsid w:val="006D7B44"/>
    <w:rsid w:val="006D7BC8"/>
    <w:rsid w:val="006D7C73"/>
    <w:rsid w:val="006D7DC3"/>
    <w:rsid w:val="006E009B"/>
    <w:rsid w:val="006E013F"/>
    <w:rsid w:val="006E0266"/>
    <w:rsid w:val="006E02B7"/>
    <w:rsid w:val="006E0428"/>
    <w:rsid w:val="006E0458"/>
    <w:rsid w:val="006E05B9"/>
    <w:rsid w:val="006E07CF"/>
    <w:rsid w:val="006E07EE"/>
    <w:rsid w:val="006E085F"/>
    <w:rsid w:val="006E0A1A"/>
    <w:rsid w:val="006E0C09"/>
    <w:rsid w:val="006E0D15"/>
    <w:rsid w:val="006E0F69"/>
    <w:rsid w:val="006E0F9A"/>
    <w:rsid w:val="006E1173"/>
    <w:rsid w:val="006E122A"/>
    <w:rsid w:val="006E1371"/>
    <w:rsid w:val="006E139B"/>
    <w:rsid w:val="006E1685"/>
    <w:rsid w:val="006E1686"/>
    <w:rsid w:val="006E16F4"/>
    <w:rsid w:val="006E17AD"/>
    <w:rsid w:val="006E17AF"/>
    <w:rsid w:val="006E1814"/>
    <w:rsid w:val="006E18FD"/>
    <w:rsid w:val="006E1A14"/>
    <w:rsid w:val="006E1ADD"/>
    <w:rsid w:val="006E1BCB"/>
    <w:rsid w:val="006E1DCE"/>
    <w:rsid w:val="006E1DFB"/>
    <w:rsid w:val="006E1EC5"/>
    <w:rsid w:val="006E20AA"/>
    <w:rsid w:val="006E20FA"/>
    <w:rsid w:val="006E21C7"/>
    <w:rsid w:val="006E225B"/>
    <w:rsid w:val="006E22C9"/>
    <w:rsid w:val="006E2300"/>
    <w:rsid w:val="006E2459"/>
    <w:rsid w:val="006E282E"/>
    <w:rsid w:val="006E2835"/>
    <w:rsid w:val="006E2843"/>
    <w:rsid w:val="006E2966"/>
    <w:rsid w:val="006E2AA8"/>
    <w:rsid w:val="006E2AB1"/>
    <w:rsid w:val="006E2B15"/>
    <w:rsid w:val="006E2B5B"/>
    <w:rsid w:val="006E2D9A"/>
    <w:rsid w:val="006E2EBC"/>
    <w:rsid w:val="006E3009"/>
    <w:rsid w:val="006E300A"/>
    <w:rsid w:val="006E3094"/>
    <w:rsid w:val="006E309C"/>
    <w:rsid w:val="006E3103"/>
    <w:rsid w:val="006E3228"/>
    <w:rsid w:val="006E33A2"/>
    <w:rsid w:val="006E34FE"/>
    <w:rsid w:val="006E35C0"/>
    <w:rsid w:val="006E3764"/>
    <w:rsid w:val="006E38EE"/>
    <w:rsid w:val="006E391D"/>
    <w:rsid w:val="006E3A7A"/>
    <w:rsid w:val="006E3B7C"/>
    <w:rsid w:val="006E3BBA"/>
    <w:rsid w:val="006E3BF6"/>
    <w:rsid w:val="006E3E5F"/>
    <w:rsid w:val="006E3FA2"/>
    <w:rsid w:val="006E415C"/>
    <w:rsid w:val="006E4197"/>
    <w:rsid w:val="006E42AA"/>
    <w:rsid w:val="006E4305"/>
    <w:rsid w:val="006E43F2"/>
    <w:rsid w:val="006E44CF"/>
    <w:rsid w:val="006E44F4"/>
    <w:rsid w:val="006E4672"/>
    <w:rsid w:val="006E46C6"/>
    <w:rsid w:val="006E4706"/>
    <w:rsid w:val="006E48BF"/>
    <w:rsid w:val="006E48C7"/>
    <w:rsid w:val="006E496E"/>
    <w:rsid w:val="006E4C35"/>
    <w:rsid w:val="006E4C38"/>
    <w:rsid w:val="006E4CC7"/>
    <w:rsid w:val="006E4CD3"/>
    <w:rsid w:val="006E4D73"/>
    <w:rsid w:val="006E4DD4"/>
    <w:rsid w:val="006E5129"/>
    <w:rsid w:val="006E5135"/>
    <w:rsid w:val="006E53A0"/>
    <w:rsid w:val="006E53F7"/>
    <w:rsid w:val="006E5442"/>
    <w:rsid w:val="006E5456"/>
    <w:rsid w:val="006E5694"/>
    <w:rsid w:val="006E57D1"/>
    <w:rsid w:val="006E582D"/>
    <w:rsid w:val="006E5831"/>
    <w:rsid w:val="006E5857"/>
    <w:rsid w:val="006E5900"/>
    <w:rsid w:val="006E59C6"/>
    <w:rsid w:val="006E59E2"/>
    <w:rsid w:val="006E5A1F"/>
    <w:rsid w:val="006E5AC0"/>
    <w:rsid w:val="006E5B4B"/>
    <w:rsid w:val="006E5C08"/>
    <w:rsid w:val="006E5E33"/>
    <w:rsid w:val="006E5FB5"/>
    <w:rsid w:val="006E5FEB"/>
    <w:rsid w:val="006E61C0"/>
    <w:rsid w:val="006E621B"/>
    <w:rsid w:val="006E62D9"/>
    <w:rsid w:val="006E6322"/>
    <w:rsid w:val="006E6336"/>
    <w:rsid w:val="006E644E"/>
    <w:rsid w:val="006E6519"/>
    <w:rsid w:val="006E656F"/>
    <w:rsid w:val="006E65D2"/>
    <w:rsid w:val="006E66C9"/>
    <w:rsid w:val="006E680B"/>
    <w:rsid w:val="006E6827"/>
    <w:rsid w:val="006E68C1"/>
    <w:rsid w:val="006E6957"/>
    <w:rsid w:val="006E6A40"/>
    <w:rsid w:val="006E6A89"/>
    <w:rsid w:val="006E6ADE"/>
    <w:rsid w:val="006E6B36"/>
    <w:rsid w:val="006E6B4D"/>
    <w:rsid w:val="006E6BBB"/>
    <w:rsid w:val="006E6D85"/>
    <w:rsid w:val="006E6E70"/>
    <w:rsid w:val="006E6F67"/>
    <w:rsid w:val="006E6FC4"/>
    <w:rsid w:val="006E6FCD"/>
    <w:rsid w:val="006E7039"/>
    <w:rsid w:val="006E70AD"/>
    <w:rsid w:val="006E711D"/>
    <w:rsid w:val="006E71AB"/>
    <w:rsid w:val="006E71FA"/>
    <w:rsid w:val="006E737F"/>
    <w:rsid w:val="006E73A1"/>
    <w:rsid w:val="006E7406"/>
    <w:rsid w:val="006E7435"/>
    <w:rsid w:val="006E745E"/>
    <w:rsid w:val="006E755F"/>
    <w:rsid w:val="006E7561"/>
    <w:rsid w:val="006E75CD"/>
    <w:rsid w:val="006E7712"/>
    <w:rsid w:val="006E775A"/>
    <w:rsid w:val="006E777D"/>
    <w:rsid w:val="006E7828"/>
    <w:rsid w:val="006E78B7"/>
    <w:rsid w:val="006E7900"/>
    <w:rsid w:val="006E7925"/>
    <w:rsid w:val="006E7AEE"/>
    <w:rsid w:val="006E7B2F"/>
    <w:rsid w:val="006E7DEA"/>
    <w:rsid w:val="006F00C7"/>
    <w:rsid w:val="006F00FA"/>
    <w:rsid w:val="006F0117"/>
    <w:rsid w:val="006F027A"/>
    <w:rsid w:val="006F0502"/>
    <w:rsid w:val="006F059B"/>
    <w:rsid w:val="006F05A7"/>
    <w:rsid w:val="006F067A"/>
    <w:rsid w:val="006F06B0"/>
    <w:rsid w:val="006F07A6"/>
    <w:rsid w:val="006F07BE"/>
    <w:rsid w:val="006F0868"/>
    <w:rsid w:val="006F09EC"/>
    <w:rsid w:val="006F09FA"/>
    <w:rsid w:val="006F0A5D"/>
    <w:rsid w:val="006F0BAF"/>
    <w:rsid w:val="006F0C54"/>
    <w:rsid w:val="006F0C9D"/>
    <w:rsid w:val="006F0CA0"/>
    <w:rsid w:val="006F0CE5"/>
    <w:rsid w:val="006F0E3A"/>
    <w:rsid w:val="006F0EE9"/>
    <w:rsid w:val="006F1067"/>
    <w:rsid w:val="006F10CD"/>
    <w:rsid w:val="006F110E"/>
    <w:rsid w:val="006F1401"/>
    <w:rsid w:val="006F14B8"/>
    <w:rsid w:val="006F1521"/>
    <w:rsid w:val="006F15AC"/>
    <w:rsid w:val="006F1626"/>
    <w:rsid w:val="006F167D"/>
    <w:rsid w:val="006F16A8"/>
    <w:rsid w:val="006F16B5"/>
    <w:rsid w:val="006F17C1"/>
    <w:rsid w:val="006F1878"/>
    <w:rsid w:val="006F18D3"/>
    <w:rsid w:val="006F18FE"/>
    <w:rsid w:val="006F19C9"/>
    <w:rsid w:val="006F1A3D"/>
    <w:rsid w:val="006F1A5B"/>
    <w:rsid w:val="006F1B62"/>
    <w:rsid w:val="006F1B94"/>
    <w:rsid w:val="006F1B9B"/>
    <w:rsid w:val="006F1DC6"/>
    <w:rsid w:val="006F1F15"/>
    <w:rsid w:val="006F1F8A"/>
    <w:rsid w:val="006F2084"/>
    <w:rsid w:val="006F20FC"/>
    <w:rsid w:val="006F21B8"/>
    <w:rsid w:val="006F2383"/>
    <w:rsid w:val="006F2552"/>
    <w:rsid w:val="006F2603"/>
    <w:rsid w:val="006F27BC"/>
    <w:rsid w:val="006F28E9"/>
    <w:rsid w:val="006F2A72"/>
    <w:rsid w:val="006F2B87"/>
    <w:rsid w:val="006F2C5F"/>
    <w:rsid w:val="006F2C74"/>
    <w:rsid w:val="006F2E57"/>
    <w:rsid w:val="006F3029"/>
    <w:rsid w:val="006F3044"/>
    <w:rsid w:val="006F3079"/>
    <w:rsid w:val="006F313A"/>
    <w:rsid w:val="006F31F6"/>
    <w:rsid w:val="006F3230"/>
    <w:rsid w:val="006F323F"/>
    <w:rsid w:val="006F335D"/>
    <w:rsid w:val="006F3360"/>
    <w:rsid w:val="006F3378"/>
    <w:rsid w:val="006F33EC"/>
    <w:rsid w:val="006F34A3"/>
    <w:rsid w:val="006F34B8"/>
    <w:rsid w:val="006F35D4"/>
    <w:rsid w:val="006F39B1"/>
    <w:rsid w:val="006F3A23"/>
    <w:rsid w:val="006F3AA1"/>
    <w:rsid w:val="006F3B06"/>
    <w:rsid w:val="006F3BD5"/>
    <w:rsid w:val="006F3C40"/>
    <w:rsid w:val="006F3C73"/>
    <w:rsid w:val="006F3CC5"/>
    <w:rsid w:val="006F3CEE"/>
    <w:rsid w:val="006F3D6E"/>
    <w:rsid w:val="006F4067"/>
    <w:rsid w:val="006F4123"/>
    <w:rsid w:val="006F441A"/>
    <w:rsid w:val="006F4674"/>
    <w:rsid w:val="006F46B2"/>
    <w:rsid w:val="006F4743"/>
    <w:rsid w:val="006F47FF"/>
    <w:rsid w:val="006F48F5"/>
    <w:rsid w:val="006F49CF"/>
    <w:rsid w:val="006F4A3B"/>
    <w:rsid w:val="006F4AF1"/>
    <w:rsid w:val="006F4B18"/>
    <w:rsid w:val="006F4C50"/>
    <w:rsid w:val="006F4CBE"/>
    <w:rsid w:val="006F4D68"/>
    <w:rsid w:val="006F5017"/>
    <w:rsid w:val="006F5048"/>
    <w:rsid w:val="006F507E"/>
    <w:rsid w:val="006F50FD"/>
    <w:rsid w:val="006F51BD"/>
    <w:rsid w:val="006F527A"/>
    <w:rsid w:val="006F534B"/>
    <w:rsid w:val="006F53A9"/>
    <w:rsid w:val="006F56DA"/>
    <w:rsid w:val="006F56E7"/>
    <w:rsid w:val="006F575A"/>
    <w:rsid w:val="006F57DD"/>
    <w:rsid w:val="006F5891"/>
    <w:rsid w:val="006F596D"/>
    <w:rsid w:val="006F5A2A"/>
    <w:rsid w:val="006F5BAD"/>
    <w:rsid w:val="006F5E7A"/>
    <w:rsid w:val="006F5F3F"/>
    <w:rsid w:val="006F5F8C"/>
    <w:rsid w:val="006F5FA9"/>
    <w:rsid w:val="006F60F9"/>
    <w:rsid w:val="006F611C"/>
    <w:rsid w:val="006F6311"/>
    <w:rsid w:val="006F6429"/>
    <w:rsid w:val="006F64A0"/>
    <w:rsid w:val="006F64AB"/>
    <w:rsid w:val="006F6889"/>
    <w:rsid w:val="006F6A26"/>
    <w:rsid w:val="006F6A55"/>
    <w:rsid w:val="006F6B01"/>
    <w:rsid w:val="006F6B5C"/>
    <w:rsid w:val="006F6B61"/>
    <w:rsid w:val="006F6C29"/>
    <w:rsid w:val="006F6C97"/>
    <w:rsid w:val="006F6C9B"/>
    <w:rsid w:val="006F6DB7"/>
    <w:rsid w:val="006F6E21"/>
    <w:rsid w:val="006F6E4E"/>
    <w:rsid w:val="006F6EE8"/>
    <w:rsid w:val="006F6F0C"/>
    <w:rsid w:val="006F6FB6"/>
    <w:rsid w:val="006F70EE"/>
    <w:rsid w:val="006F710F"/>
    <w:rsid w:val="006F7154"/>
    <w:rsid w:val="006F723C"/>
    <w:rsid w:val="006F7325"/>
    <w:rsid w:val="006F73BF"/>
    <w:rsid w:val="006F741F"/>
    <w:rsid w:val="006F74A3"/>
    <w:rsid w:val="006F74A7"/>
    <w:rsid w:val="006F7612"/>
    <w:rsid w:val="006F762D"/>
    <w:rsid w:val="006F77DC"/>
    <w:rsid w:val="006F7869"/>
    <w:rsid w:val="006F791F"/>
    <w:rsid w:val="006F797A"/>
    <w:rsid w:val="006F7A38"/>
    <w:rsid w:val="006F7A7E"/>
    <w:rsid w:val="006F7A85"/>
    <w:rsid w:val="006F7A8C"/>
    <w:rsid w:val="006F7AB6"/>
    <w:rsid w:val="006F7B64"/>
    <w:rsid w:val="006F7BD0"/>
    <w:rsid w:val="006F7CB6"/>
    <w:rsid w:val="006F7CF3"/>
    <w:rsid w:val="006F7D88"/>
    <w:rsid w:val="006F7FAE"/>
    <w:rsid w:val="006FE140"/>
    <w:rsid w:val="00700024"/>
    <w:rsid w:val="00700078"/>
    <w:rsid w:val="007000AF"/>
    <w:rsid w:val="007000C3"/>
    <w:rsid w:val="00700134"/>
    <w:rsid w:val="00700150"/>
    <w:rsid w:val="007001E6"/>
    <w:rsid w:val="00700226"/>
    <w:rsid w:val="007004C3"/>
    <w:rsid w:val="0070054C"/>
    <w:rsid w:val="00700899"/>
    <w:rsid w:val="007008D4"/>
    <w:rsid w:val="0070094D"/>
    <w:rsid w:val="00700977"/>
    <w:rsid w:val="007009B9"/>
    <w:rsid w:val="00700B0C"/>
    <w:rsid w:val="00700D2B"/>
    <w:rsid w:val="00700F21"/>
    <w:rsid w:val="00700F86"/>
    <w:rsid w:val="00701090"/>
    <w:rsid w:val="007011AD"/>
    <w:rsid w:val="007011BB"/>
    <w:rsid w:val="0070128B"/>
    <w:rsid w:val="007012BB"/>
    <w:rsid w:val="007012D7"/>
    <w:rsid w:val="007014C7"/>
    <w:rsid w:val="0070152E"/>
    <w:rsid w:val="0070153A"/>
    <w:rsid w:val="0070163C"/>
    <w:rsid w:val="00701651"/>
    <w:rsid w:val="00701689"/>
    <w:rsid w:val="007016D6"/>
    <w:rsid w:val="0070170B"/>
    <w:rsid w:val="00701782"/>
    <w:rsid w:val="0070178B"/>
    <w:rsid w:val="0070178C"/>
    <w:rsid w:val="00701936"/>
    <w:rsid w:val="00701993"/>
    <w:rsid w:val="00701B3E"/>
    <w:rsid w:val="00701CFA"/>
    <w:rsid w:val="00701ED5"/>
    <w:rsid w:val="00701F12"/>
    <w:rsid w:val="00701F17"/>
    <w:rsid w:val="00701F50"/>
    <w:rsid w:val="0070207D"/>
    <w:rsid w:val="007022AF"/>
    <w:rsid w:val="00702401"/>
    <w:rsid w:val="0070258D"/>
    <w:rsid w:val="007025BE"/>
    <w:rsid w:val="007026C2"/>
    <w:rsid w:val="00702705"/>
    <w:rsid w:val="0070273A"/>
    <w:rsid w:val="00702981"/>
    <w:rsid w:val="007029EA"/>
    <w:rsid w:val="00702A1C"/>
    <w:rsid w:val="00702A23"/>
    <w:rsid w:val="00702B55"/>
    <w:rsid w:val="00702BAF"/>
    <w:rsid w:val="00702C51"/>
    <w:rsid w:val="00702D08"/>
    <w:rsid w:val="00702D19"/>
    <w:rsid w:val="00702D25"/>
    <w:rsid w:val="00702E00"/>
    <w:rsid w:val="00702F5E"/>
    <w:rsid w:val="007031A7"/>
    <w:rsid w:val="007031FD"/>
    <w:rsid w:val="00703204"/>
    <w:rsid w:val="007032D8"/>
    <w:rsid w:val="0070333C"/>
    <w:rsid w:val="00703479"/>
    <w:rsid w:val="007034C9"/>
    <w:rsid w:val="007034D8"/>
    <w:rsid w:val="00703702"/>
    <w:rsid w:val="0070371E"/>
    <w:rsid w:val="00703811"/>
    <w:rsid w:val="007038DF"/>
    <w:rsid w:val="00703ABF"/>
    <w:rsid w:val="00703B18"/>
    <w:rsid w:val="00703B6B"/>
    <w:rsid w:val="00703C41"/>
    <w:rsid w:val="00703C49"/>
    <w:rsid w:val="00703C58"/>
    <w:rsid w:val="00703C8A"/>
    <w:rsid w:val="00703E0C"/>
    <w:rsid w:val="00703EC2"/>
    <w:rsid w:val="00703F76"/>
    <w:rsid w:val="00703FD3"/>
    <w:rsid w:val="007040B2"/>
    <w:rsid w:val="007040D4"/>
    <w:rsid w:val="007041F2"/>
    <w:rsid w:val="007042E7"/>
    <w:rsid w:val="0070440A"/>
    <w:rsid w:val="00704416"/>
    <w:rsid w:val="00704A37"/>
    <w:rsid w:val="00704D50"/>
    <w:rsid w:val="00704D80"/>
    <w:rsid w:val="00704E35"/>
    <w:rsid w:val="00704F09"/>
    <w:rsid w:val="00704F91"/>
    <w:rsid w:val="00704FE7"/>
    <w:rsid w:val="007050D1"/>
    <w:rsid w:val="007050EB"/>
    <w:rsid w:val="00705155"/>
    <w:rsid w:val="0070535C"/>
    <w:rsid w:val="007054A0"/>
    <w:rsid w:val="007055D6"/>
    <w:rsid w:val="007057FA"/>
    <w:rsid w:val="0070586F"/>
    <w:rsid w:val="007058CA"/>
    <w:rsid w:val="0070590E"/>
    <w:rsid w:val="0070591C"/>
    <w:rsid w:val="007059D5"/>
    <w:rsid w:val="00705AD0"/>
    <w:rsid w:val="00705B3B"/>
    <w:rsid w:val="00705B51"/>
    <w:rsid w:val="00705C89"/>
    <w:rsid w:val="00705D67"/>
    <w:rsid w:val="00705DFD"/>
    <w:rsid w:val="00705F45"/>
    <w:rsid w:val="00706163"/>
    <w:rsid w:val="00706204"/>
    <w:rsid w:val="0070624C"/>
    <w:rsid w:val="0070639A"/>
    <w:rsid w:val="007064E9"/>
    <w:rsid w:val="0070658E"/>
    <w:rsid w:val="007065B5"/>
    <w:rsid w:val="007067BD"/>
    <w:rsid w:val="00706893"/>
    <w:rsid w:val="0070690F"/>
    <w:rsid w:val="007069E8"/>
    <w:rsid w:val="00706A8D"/>
    <w:rsid w:val="00706ACD"/>
    <w:rsid w:val="00706B67"/>
    <w:rsid w:val="00706B8D"/>
    <w:rsid w:val="00706BE2"/>
    <w:rsid w:val="00706C7C"/>
    <w:rsid w:val="00706D83"/>
    <w:rsid w:val="00706DE9"/>
    <w:rsid w:val="00706E7D"/>
    <w:rsid w:val="00706F9D"/>
    <w:rsid w:val="00707001"/>
    <w:rsid w:val="0070701E"/>
    <w:rsid w:val="00707044"/>
    <w:rsid w:val="0070709D"/>
    <w:rsid w:val="0070711B"/>
    <w:rsid w:val="007071BA"/>
    <w:rsid w:val="007071C8"/>
    <w:rsid w:val="007071D9"/>
    <w:rsid w:val="007071FC"/>
    <w:rsid w:val="00707427"/>
    <w:rsid w:val="00707480"/>
    <w:rsid w:val="00707611"/>
    <w:rsid w:val="0070788F"/>
    <w:rsid w:val="00707921"/>
    <w:rsid w:val="00707B82"/>
    <w:rsid w:val="00707C15"/>
    <w:rsid w:val="00707C9F"/>
    <w:rsid w:val="00707CC7"/>
    <w:rsid w:val="00707E75"/>
    <w:rsid w:val="00707EEC"/>
    <w:rsid w:val="00707F29"/>
    <w:rsid w:val="00707F31"/>
    <w:rsid w:val="00707F9C"/>
    <w:rsid w:val="00710073"/>
    <w:rsid w:val="00710203"/>
    <w:rsid w:val="00710295"/>
    <w:rsid w:val="00710329"/>
    <w:rsid w:val="007104DD"/>
    <w:rsid w:val="0071055C"/>
    <w:rsid w:val="00710562"/>
    <w:rsid w:val="00710564"/>
    <w:rsid w:val="0071069D"/>
    <w:rsid w:val="00710872"/>
    <w:rsid w:val="007108C9"/>
    <w:rsid w:val="007108DC"/>
    <w:rsid w:val="00710922"/>
    <w:rsid w:val="00710997"/>
    <w:rsid w:val="007109C1"/>
    <w:rsid w:val="00710A9D"/>
    <w:rsid w:val="00710AF5"/>
    <w:rsid w:val="00710C3F"/>
    <w:rsid w:val="00710CE9"/>
    <w:rsid w:val="00710D73"/>
    <w:rsid w:val="00710F67"/>
    <w:rsid w:val="00711005"/>
    <w:rsid w:val="007110D2"/>
    <w:rsid w:val="0071112A"/>
    <w:rsid w:val="00711181"/>
    <w:rsid w:val="007111D7"/>
    <w:rsid w:val="00711298"/>
    <w:rsid w:val="007112A2"/>
    <w:rsid w:val="007112F6"/>
    <w:rsid w:val="007113CB"/>
    <w:rsid w:val="00711433"/>
    <w:rsid w:val="00711450"/>
    <w:rsid w:val="0071155A"/>
    <w:rsid w:val="007116D6"/>
    <w:rsid w:val="007116EF"/>
    <w:rsid w:val="00711817"/>
    <w:rsid w:val="00711834"/>
    <w:rsid w:val="00711965"/>
    <w:rsid w:val="00711A9B"/>
    <w:rsid w:val="00711B1D"/>
    <w:rsid w:val="00711B59"/>
    <w:rsid w:val="00711D7F"/>
    <w:rsid w:val="00711DB7"/>
    <w:rsid w:val="00711DF8"/>
    <w:rsid w:val="00711EA2"/>
    <w:rsid w:val="00711EB4"/>
    <w:rsid w:val="00711F71"/>
    <w:rsid w:val="0071211B"/>
    <w:rsid w:val="00712283"/>
    <w:rsid w:val="00712309"/>
    <w:rsid w:val="00712360"/>
    <w:rsid w:val="007123CF"/>
    <w:rsid w:val="00712402"/>
    <w:rsid w:val="007124A8"/>
    <w:rsid w:val="007126D6"/>
    <w:rsid w:val="0071277A"/>
    <w:rsid w:val="007129AE"/>
    <w:rsid w:val="00712C45"/>
    <w:rsid w:val="00712D55"/>
    <w:rsid w:val="00712D70"/>
    <w:rsid w:val="00713003"/>
    <w:rsid w:val="0071318B"/>
    <w:rsid w:val="00713374"/>
    <w:rsid w:val="007133E0"/>
    <w:rsid w:val="00713416"/>
    <w:rsid w:val="0071362A"/>
    <w:rsid w:val="00713658"/>
    <w:rsid w:val="00713790"/>
    <w:rsid w:val="00713976"/>
    <w:rsid w:val="007139DC"/>
    <w:rsid w:val="00713A2F"/>
    <w:rsid w:val="00713AFF"/>
    <w:rsid w:val="00713B3C"/>
    <w:rsid w:val="00713B60"/>
    <w:rsid w:val="00713BF1"/>
    <w:rsid w:val="00713D04"/>
    <w:rsid w:val="00713E5F"/>
    <w:rsid w:val="00713FB5"/>
    <w:rsid w:val="007140AC"/>
    <w:rsid w:val="00714338"/>
    <w:rsid w:val="0071446E"/>
    <w:rsid w:val="00714553"/>
    <w:rsid w:val="00714587"/>
    <w:rsid w:val="0071467C"/>
    <w:rsid w:val="0071476B"/>
    <w:rsid w:val="0071486F"/>
    <w:rsid w:val="00714905"/>
    <w:rsid w:val="00714A5C"/>
    <w:rsid w:val="00714A82"/>
    <w:rsid w:val="00714AEE"/>
    <w:rsid w:val="00714B79"/>
    <w:rsid w:val="00714B9E"/>
    <w:rsid w:val="00714C1A"/>
    <w:rsid w:val="00714C41"/>
    <w:rsid w:val="00714C79"/>
    <w:rsid w:val="00714DB8"/>
    <w:rsid w:val="00714FF6"/>
    <w:rsid w:val="007150F8"/>
    <w:rsid w:val="0071513D"/>
    <w:rsid w:val="0071533D"/>
    <w:rsid w:val="00715506"/>
    <w:rsid w:val="0071553F"/>
    <w:rsid w:val="0071555D"/>
    <w:rsid w:val="00715567"/>
    <w:rsid w:val="0071576C"/>
    <w:rsid w:val="00715772"/>
    <w:rsid w:val="00715857"/>
    <w:rsid w:val="0071587C"/>
    <w:rsid w:val="007159EE"/>
    <w:rsid w:val="00715B0C"/>
    <w:rsid w:val="00715B2D"/>
    <w:rsid w:val="00715B3E"/>
    <w:rsid w:val="00715DEF"/>
    <w:rsid w:val="00715F7B"/>
    <w:rsid w:val="00716095"/>
    <w:rsid w:val="00716189"/>
    <w:rsid w:val="007161F1"/>
    <w:rsid w:val="00716264"/>
    <w:rsid w:val="00716356"/>
    <w:rsid w:val="00716357"/>
    <w:rsid w:val="0071639F"/>
    <w:rsid w:val="007164B5"/>
    <w:rsid w:val="00716501"/>
    <w:rsid w:val="00716558"/>
    <w:rsid w:val="0071659F"/>
    <w:rsid w:val="0071672C"/>
    <w:rsid w:val="007168B5"/>
    <w:rsid w:val="00716AB6"/>
    <w:rsid w:val="00716CFC"/>
    <w:rsid w:val="00716D87"/>
    <w:rsid w:val="00716F62"/>
    <w:rsid w:val="00716FC7"/>
    <w:rsid w:val="0071703C"/>
    <w:rsid w:val="00717041"/>
    <w:rsid w:val="0071704E"/>
    <w:rsid w:val="0071720B"/>
    <w:rsid w:val="007172F7"/>
    <w:rsid w:val="0071744E"/>
    <w:rsid w:val="007176DE"/>
    <w:rsid w:val="00717882"/>
    <w:rsid w:val="007178F3"/>
    <w:rsid w:val="00717933"/>
    <w:rsid w:val="0071797A"/>
    <w:rsid w:val="00717A99"/>
    <w:rsid w:val="00717C7B"/>
    <w:rsid w:val="00717CDF"/>
    <w:rsid w:val="00717F88"/>
    <w:rsid w:val="00717FE4"/>
    <w:rsid w:val="00720069"/>
    <w:rsid w:val="00720086"/>
    <w:rsid w:val="007201CD"/>
    <w:rsid w:val="007201EA"/>
    <w:rsid w:val="00720272"/>
    <w:rsid w:val="007202E9"/>
    <w:rsid w:val="007206AB"/>
    <w:rsid w:val="007207F9"/>
    <w:rsid w:val="007208EF"/>
    <w:rsid w:val="00720AAF"/>
    <w:rsid w:val="00720AC8"/>
    <w:rsid w:val="00720B47"/>
    <w:rsid w:val="00720B9C"/>
    <w:rsid w:val="00720CD2"/>
    <w:rsid w:val="00720D64"/>
    <w:rsid w:val="00721136"/>
    <w:rsid w:val="007211FB"/>
    <w:rsid w:val="00721247"/>
    <w:rsid w:val="007212C5"/>
    <w:rsid w:val="0072139C"/>
    <w:rsid w:val="0072162B"/>
    <w:rsid w:val="007216DE"/>
    <w:rsid w:val="00721781"/>
    <w:rsid w:val="00721782"/>
    <w:rsid w:val="007217AB"/>
    <w:rsid w:val="00721813"/>
    <w:rsid w:val="00721841"/>
    <w:rsid w:val="0072198A"/>
    <w:rsid w:val="00721A6D"/>
    <w:rsid w:val="00721AF1"/>
    <w:rsid w:val="00721B0E"/>
    <w:rsid w:val="00721CD4"/>
    <w:rsid w:val="00721D58"/>
    <w:rsid w:val="00721E45"/>
    <w:rsid w:val="00721EFA"/>
    <w:rsid w:val="0072200C"/>
    <w:rsid w:val="00722011"/>
    <w:rsid w:val="007221FE"/>
    <w:rsid w:val="00722206"/>
    <w:rsid w:val="0072272D"/>
    <w:rsid w:val="0072288C"/>
    <w:rsid w:val="00722A24"/>
    <w:rsid w:val="00722A96"/>
    <w:rsid w:val="00722B60"/>
    <w:rsid w:val="00722C33"/>
    <w:rsid w:val="00722D60"/>
    <w:rsid w:val="00722D6B"/>
    <w:rsid w:val="00722F35"/>
    <w:rsid w:val="00723112"/>
    <w:rsid w:val="0072313C"/>
    <w:rsid w:val="00723287"/>
    <w:rsid w:val="00723309"/>
    <w:rsid w:val="007233A1"/>
    <w:rsid w:val="007233C3"/>
    <w:rsid w:val="00723655"/>
    <w:rsid w:val="00723668"/>
    <w:rsid w:val="007236E3"/>
    <w:rsid w:val="0072374C"/>
    <w:rsid w:val="00723751"/>
    <w:rsid w:val="007237E3"/>
    <w:rsid w:val="00723910"/>
    <w:rsid w:val="007239CF"/>
    <w:rsid w:val="00723B1E"/>
    <w:rsid w:val="00723B7E"/>
    <w:rsid w:val="00723C2D"/>
    <w:rsid w:val="00723C43"/>
    <w:rsid w:val="00723C7D"/>
    <w:rsid w:val="00723CC8"/>
    <w:rsid w:val="00723CCD"/>
    <w:rsid w:val="00723D96"/>
    <w:rsid w:val="00723E26"/>
    <w:rsid w:val="00723EB7"/>
    <w:rsid w:val="0072400B"/>
    <w:rsid w:val="0072401D"/>
    <w:rsid w:val="00724057"/>
    <w:rsid w:val="007240B0"/>
    <w:rsid w:val="007240E6"/>
    <w:rsid w:val="007241A3"/>
    <w:rsid w:val="0072442C"/>
    <w:rsid w:val="00724475"/>
    <w:rsid w:val="0072456E"/>
    <w:rsid w:val="007245C3"/>
    <w:rsid w:val="00724606"/>
    <w:rsid w:val="00724646"/>
    <w:rsid w:val="00724743"/>
    <w:rsid w:val="0072484B"/>
    <w:rsid w:val="00724997"/>
    <w:rsid w:val="00724A9F"/>
    <w:rsid w:val="00724ABC"/>
    <w:rsid w:val="00724CA3"/>
    <w:rsid w:val="00724DB9"/>
    <w:rsid w:val="00724E33"/>
    <w:rsid w:val="00724E6E"/>
    <w:rsid w:val="00724E70"/>
    <w:rsid w:val="00724EEF"/>
    <w:rsid w:val="00724F1B"/>
    <w:rsid w:val="00724F2E"/>
    <w:rsid w:val="00724F72"/>
    <w:rsid w:val="00725001"/>
    <w:rsid w:val="00725093"/>
    <w:rsid w:val="007250C9"/>
    <w:rsid w:val="007251C5"/>
    <w:rsid w:val="007251CC"/>
    <w:rsid w:val="007251D8"/>
    <w:rsid w:val="007252D2"/>
    <w:rsid w:val="00725301"/>
    <w:rsid w:val="0072549C"/>
    <w:rsid w:val="007254AE"/>
    <w:rsid w:val="007257D4"/>
    <w:rsid w:val="007258C7"/>
    <w:rsid w:val="00725A8A"/>
    <w:rsid w:val="00725B1E"/>
    <w:rsid w:val="00725B26"/>
    <w:rsid w:val="00725B54"/>
    <w:rsid w:val="00725C15"/>
    <w:rsid w:val="00725CB5"/>
    <w:rsid w:val="00725D59"/>
    <w:rsid w:val="00725E3F"/>
    <w:rsid w:val="007260BD"/>
    <w:rsid w:val="007263F8"/>
    <w:rsid w:val="00726408"/>
    <w:rsid w:val="007264DB"/>
    <w:rsid w:val="00726519"/>
    <w:rsid w:val="0072685D"/>
    <w:rsid w:val="00726BBD"/>
    <w:rsid w:val="00726C26"/>
    <w:rsid w:val="00726CF8"/>
    <w:rsid w:val="00726D3C"/>
    <w:rsid w:val="00726D5A"/>
    <w:rsid w:val="00726DCE"/>
    <w:rsid w:val="00726E5C"/>
    <w:rsid w:val="00726E7C"/>
    <w:rsid w:val="00726F0F"/>
    <w:rsid w:val="00726F32"/>
    <w:rsid w:val="007270FD"/>
    <w:rsid w:val="00727229"/>
    <w:rsid w:val="007272CC"/>
    <w:rsid w:val="00727397"/>
    <w:rsid w:val="00727472"/>
    <w:rsid w:val="0072752E"/>
    <w:rsid w:val="00727533"/>
    <w:rsid w:val="00727543"/>
    <w:rsid w:val="007275A1"/>
    <w:rsid w:val="0072761F"/>
    <w:rsid w:val="00727867"/>
    <w:rsid w:val="007279E6"/>
    <w:rsid w:val="00727B15"/>
    <w:rsid w:val="00727C90"/>
    <w:rsid w:val="00727CF8"/>
    <w:rsid w:val="00727D1D"/>
    <w:rsid w:val="00727E0A"/>
    <w:rsid w:val="00727E14"/>
    <w:rsid w:val="00727E9E"/>
    <w:rsid w:val="00727EF2"/>
    <w:rsid w:val="00727FB8"/>
    <w:rsid w:val="0073000B"/>
    <w:rsid w:val="00730017"/>
    <w:rsid w:val="00730027"/>
    <w:rsid w:val="0073011C"/>
    <w:rsid w:val="00730186"/>
    <w:rsid w:val="00730293"/>
    <w:rsid w:val="0073034D"/>
    <w:rsid w:val="007303B4"/>
    <w:rsid w:val="00730479"/>
    <w:rsid w:val="007305C6"/>
    <w:rsid w:val="00730709"/>
    <w:rsid w:val="00730731"/>
    <w:rsid w:val="00730865"/>
    <w:rsid w:val="007309D2"/>
    <w:rsid w:val="00730A62"/>
    <w:rsid w:val="00730A9A"/>
    <w:rsid w:val="00730B81"/>
    <w:rsid w:val="00730BF2"/>
    <w:rsid w:val="00730DBE"/>
    <w:rsid w:val="00730E1F"/>
    <w:rsid w:val="00730E2C"/>
    <w:rsid w:val="00730E35"/>
    <w:rsid w:val="00730EC5"/>
    <w:rsid w:val="00730ECE"/>
    <w:rsid w:val="00730F31"/>
    <w:rsid w:val="00730F77"/>
    <w:rsid w:val="00730F9D"/>
    <w:rsid w:val="00731348"/>
    <w:rsid w:val="00731489"/>
    <w:rsid w:val="007314E3"/>
    <w:rsid w:val="007316B3"/>
    <w:rsid w:val="007317E4"/>
    <w:rsid w:val="0073180F"/>
    <w:rsid w:val="007318D3"/>
    <w:rsid w:val="00731900"/>
    <w:rsid w:val="007319DC"/>
    <w:rsid w:val="007319DF"/>
    <w:rsid w:val="00731B09"/>
    <w:rsid w:val="00731BC5"/>
    <w:rsid w:val="00731C8A"/>
    <w:rsid w:val="00731D42"/>
    <w:rsid w:val="00731D7C"/>
    <w:rsid w:val="00731E20"/>
    <w:rsid w:val="00731E83"/>
    <w:rsid w:val="00731F4C"/>
    <w:rsid w:val="00731F4E"/>
    <w:rsid w:val="00732257"/>
    <w:rsid w:val="0073233B"/>
    <w:rsid w:val="00732348"/>
    <w:rsid w:val="00732366"/>
    <w:rsid w:val="007323C8"/>
    <w:rsid w:val="007323F1"/>
    <w:rsid w:val="0073260B"/>
    <w:rsid w:val="0073266F"/>
    <w:rsid w:val="00732732"/>
    <w:rsid w:val="0073274D"/>
    <w:rsid w:val="00732816"/>
    <w:rsid w:val="00732ADA"/>
    <w:rsid w:val="00732BC6"/>
    <w:rsid w:val="00732CC1"/>
    <w:rsid w:val="00732CDC"/>
    <w:rsid w:val="00732EA8"/>
    <w:rsid w:val="00732EE6"/>
    <w:rsid w:val="00732F35"/>
    <w:rsid w:val="00733084"/>
    <w:rsid w:val="00733678"/>
    <w:rsid w:val="00733687"/>
    <w:rsid w:val="007336B2"/>
    <w:rsid w:val="0073385C"/>
    <w:rsid w:val="00733864"/>
    <w:rsid w:val="00733952"/>
    <w:rsid w:val="00733A32"/>
    <w:rsid w:val="00733A6C"/>
    <w:rsid w:val="00733A79"/>
    <w:rsid w:val="00733A9D"/>
    <w:rsid w:val="00733B76"/>
    <w:rsid w:val="00733CD1"/>
    <w:rsid w:val="00733DC2"/>
    <w:rsid w:val="00733FBA"/>
    <w:rsid w:val="007340C3"/>
    <w:rsid w:val="007341C4"/>
    <w:rsid w:val="0073430C"/>
    <w:rsid w:val="00734490"/>
    <w:rsid w:val="00734596"/>
    <w:rsid w:val="007345B9"/>
    <w:rsid w:val="007345DF"/>
    <w:rsid w:val="0073489B"/>
    <w:rsid w:val="00734975"/>
    <w:rsid w:val="00734D91"/>
    <w:rsid w:val="00734FB1"/>
    <w:rsid w:val="007350E2"/>
    <w:rsid w:val="00735330"/>
    <w:rsid w:val="00735361"/>
    <w:rsid w:val="007353B5"/>
    <w:rsid w:val="00735564"/>
    <w:rsid w:val="00735628"/>
    <w:rsid w:val="00735647"/>
    <w:rsid w:val="00735A37"/>
    <w:rsid w:val="00735A6A"/>
    <w:rsid w:val="00735CEE"/>
    <w:rsid w:val="00735E8D"/>
    <w:rsid w:val="00735E8F"/>
    <w:rsid w:val="00735F3A"/>
    <w:rsid w:val="00736009"/>
    <w:rsid w:val="00736181"/>
    <w:rsid w:val="0073632F"/>
    <w:rsid w:val="00736349"/>
    <w:rsid w:val="0073637F"/>
    <w:rsid w:val="00736587"/>
    <w:rsid w:val="007365DC"/>
    <w:rsid w:val="00736611"/>
    <w:rsid w:val="00736612"/>
    <w:rsid w:val="00736661"/>
    <w:rsid w:val="007366F1"/>
    <w:rsid w:val="00736762"/>
    <w:rsid w:val="00736779"/>
    <w:rsid w:val="007367A0"/>
    <w:rsid w:val="007367C1"/>
    <w:rsid w:val="00736886"/>
    <w:rsid w:val="00736A02"/>
    <w:rsid w:val="00736A07"/>
    <w:rsid w:val="00736BC2"/>
    <w:rsid w:val="00736C0B"/>
    <w:rsid w:val="00736CA1"/>
    <w:rsid w:val="00736D9F"/>
    <w:rsid w:val="00736DF5"/>
    <w:rsid w:val="00736E38"/>
    <w:rsid w:val="00736E7B"/>
    <w:rsid w:val="00736E9F"/>
    <w:rsid w:val="00736FEB"/>
    <w:rsid w:val="007370F8"/>
    <w:rsid w:val="007371A3"/>
    <w:rsid w:val="00737216"/>
    <w:rsid w:val="007374DD"/>
    <w:rsid w:val="007374EF"/>
    <w:rsid w:val="0073758B"/>
    <w:rsid w:val="0073759E"/>
    <w:rsid w:val="00737602"/>
    <w:rsid w:val="00737622"/>
    <w:rsid w:val="0073770B"/>
    <w:rsid w:val="00737814"/>
    <w:rsid w:val="0073794C"/>
    <w:rsid w:val="00737A4D"/>
    <w:rsid w:val="00737DC9"/>
    <w:rsid w:val="00737DE7"/>
    <w:rsid w:val="00737F26"/>
    <w:rsid w:val="00740024"/>
    <w:rsid w:val="00740093"/>
    <w:rsid w:val="00740193"/>
    <w:rsid w:val="007401FB"/>
    <w:rsid w:val="00740250"/>
    <w:rsid w:val="007402D0"/>
    <w:rsid w:val="007403C7"/>
    <w:rsid w:val="007403E3"/>
    <w:rsid w:val="007404FF"/>
    <w:rsid w:val="00740590"/>
    <w:rsid w:val="007405D8"/>
    <w:rsid w:val="007405E2"/>
    <w:rsid w:val="007405EA"/>
    <w:rsid w:val="00740715"/>
    <w:rsid w:val="0074073A"/>
    <w:rsid w:val="0074086B"/>
    <w:rsid w:val="007408B9"/>
    <w:rsid w:val="007408D0"/>
    <w:rsid w:val="007408E9"/>
    <w:rsid w:val="00740966"/>
    <w:rsid w:val="00740971"/>
    <w:rsid w:val="00740AB9"/>
    <w:rsid w:val="00740ACF"/>
    <w:rsid w:val="00740B43"/>
    <w:rsid w:val="00740BC3"/>
    <w:rsid w:val="00740C9B"/>
    <w:rsid w:val="00740DA9"/>
    <w:rsid w:val="00740DBA"/>
    <w:rsid w:val="00740EAE"/>
    <w:rsid w:val="00740F63"/>
    <w:rsid w:val="0074147E"/>
    <w:rsid w:val="007414A4"/>
    <w:rsid w:val="007414E4"/>
    <w:rsid w:val="00741667"/>
    <w:rsid w:val="00741678"/>
    <w:rsid w:val="007418A8"/>
    <w:rsid w:val="007418C5"/>
    <w:rsid w:val="007419F5"/>
    <w:rsid w:val="00741B68"/>
    <w:rsid w:val="00741B8B"/>
    <w:rsid w:val="00741D66"/>
    <w:rsid w:val="00741DB9"/>
    <w:rsid w:val="00741FA1"/>
    <w:rsid w:val="00742289"/>
    <w:rsid w:val="007422C2"/>
    <w:rsid w:val="007422CD"/>
    <w:rsid w:val="0074240A"/>
    <w:rsid w:val="0074251B"/>
    <w:rsid w:val="007425ED"/>
    <w:rsid w:val="0074276B"/>
    <w:rsid w:val="00742940"/>
    <w:rsid w:val="00742985"/>
    <w:rsid w:val="00742A53"/>
    <w:rsid w:val="00742A99"/>
    <w:rsid w:val="00742AD5"/>
    <w:rsid w:val="00742BC5"/>
    <w:rsid w:val="00742EA1"/>
    <w:rsid w:val="00743088"/>
    <w:rsid w:val="00743202"/>
    <w:rsid w:val="00743240"/>
    <w:rsid w:val="0074325C"/>
    <w:rsid w:val="00743265"/>
    <w:rsid w:val="00743322"/>
    <w:rsid w:val="007433FC"/>
    <w:rsid w:val="007435A6"/>
    <w:rsid w:val="0074377A"/>
    <w:rsid w:val="007438BB"/>
    <w:rsid w:val="00743908"/>
    <w:rsid w:val="00743A1F"/>
    <w:rsid w:val="00743A56"/>
    <w:rsid w:val="00743B82"/>
    <w:rsid w:val="00743D7A"/>
    <w:rsid w:val="00743D99"/>
    <w:rsid w:val="00743E27"/>
    <w:rsid w:val="00743F24"/>
    <w:rsid w:val="007440D4"/>
    <w:rsid w:val="0074410A"/>
    <w:rsid w:val="00744153"/>
    <w:rsid w:val="00744241"/>
    <w:rsid w:val="007442F3"/>
    <w:rsid w:val="00744357"/>
    <w:rsid w:val="007443C3"/>
    <w:rsid w:val="007443E6"/>
    <w:rsid w:val="007444E6"/>
    <w:rsid w:val="007445C9"/>
    <w:rsid w:val="007446F7"/>
    <w:rsid w:val="007449E3"/>
    <w:rsid w:val="007449E4"/>
    <w:rsid w:val="00744A17"/>
    <w:rsid w:val="00744AE7"/>
    <w:rsid w:val="00744B04"/>
    <w:rsid w:val="00744C44"/>
    <w:rsid w:val="00744D23"/>
    <w:rsid w:val="00744D4A"/>
    <w:rsid w:val="00744DAF"/>
    <w:rsid w:val="00744DD6"/>
    <w:rsid w:val="00744E23"/>
    <w:rsid w:val="00744E4F"/>
    <w:rsid w:val="00744F56"/>
    <w:rsid w:val="00745259"/>
    <w:rsid w:val="007452AC"/>
    <w:rsid w:val="007452AD"/>
    <w:rsid w:val="007452CF"/>
    <w:rsid w:val="007452DE"/>
    <w:rsid w:val="007453BB"/>
    <w:rsid w:val="00745436"/>
    <w:rsid w:val="007455EF"/>
    <w:rsid w:val="0074565A"/>
    <w:rsid w:val="0074573D"/>
    <w:rsid w:val="00745863"/>
    <w:rsid w:val="00745914"/>
    <w:rsid w:val="00745C7D"/>
    <w:rsid w:val="00745CFC"/>
    <w:rsid w:val="00745D1A"/>
    <w:rsid w:val="00745D9C"/>
    <w:rsid w:val="00745E2F"/>
    <w:rsid w:val="00745E72"/>
    <w:rsid w:val="00745F6F"/>
    <w:rsid w:val="00746011"/>
    <w:rsid w:val="0074616D"/>
    <w:rsid w:val="00746194"/>
    <w:rsid w:val="007461D7"/>
    <w:rsid w:val="00746253"/>
    <w:rsid w:val="0074647A"/>
    <w:rsid w:val="00746593"/>
    <w:rsid w:val="007466A8"/>
    <w:rsid w:val="00746805"/>
    <w:rsid w:val="00746978"/>
    <w:rsid w:val="007469F2"/>
    <w:rsid w:val="007469F8"/>
    <w:rsid w:val="00746A5C"/>
    <w:rsid w:val="00746AF2"/>
    <w:rsid w:val="00746BFF"/>
    <w:rsid w:val="00746CA3"/>
    <w:rsid w:val="00746FE6"/>
    <w:rsid w:val="00747108"/>
    <w:rsid w:val="00747220"/>
    <w:rsid w:val="007473CE"/>
    <w:rsid w:val="007474E5"/>
    <w:rsid w:val="00747595"/>
    <w:rsid w:val="00747639"/>
    <w:rsid w:val="00747709"/>
    <w:rsid w:val="00747814"/>
    <w:rsid w:val="007478BC"/>
    <w:rsid w:val="00747A07"/>
    <w:rsid w:val="00747ADF"/>
    <w:rsid w:val="00747B26"/>
    <w:rsid w:val="00747B31"/>
    <w:rsid w:val="00747BDE"/>
    <w:rsid w:val="00747E49"/>
    <w:rsid w:val="00747F22"/>
    <w:rsid w:val="007503CD"/>
    <w:rsid w:val="00750425"/>
    <w:rsid w:val="00750456"/>
    <w:rsid w:val="0075057C"/>
    <w:rsid w:val="007505E1"/>
    <w:rsid w:val="00750783"/>
    <w:rsid w:val="00750826"/>
    <w:rsid w:val="007508DF"/>
    <w:rsid w:val="00750AC0"/>
    <w:rsid w:val="00750BFB"/>
    <w:rsid w:val="00750C9F"/>
    <w:rsid w:val="0075102B"/>
    <w:rsid w:val="00751037"/>
    <w:rsid w:val="0075108A"/>
    <w:rsid w:val="007510AA"/>
    <w:rsid w:val="007510CD"/>
    <w:rsid w:val="007512BE"/>
    <w:rsid w:val="0075148E"/>
    <w:rsid w:val="007514DC"/>
    <w:rsid w:val="0075163F"/>
    <w:rsid w:val="00751665"/>
    <w:rsid w:val="0075168E"/>
    <w:rsid w:val="007516D7"/>
    <w:rsid w:val="007516F6"/>
    <w:rsid w:val="007517CB"/>
    <w:rsid w:val="0075181A"/>
    <w:rsid w:val="00751831"/>
    <w:rsid w:val="007518B9"/>
    <w:rsid w:val="0075190A"/>
    <w:rsid w:val="00751A39"/>
    <w:rsid w:val="00751B01"/>
    <w:rsid w:val="00751B5E"/>
    <w:rsid w:val="00751BBE"/>
    <w:rsid w:val="00751C84"/>
    <w:rsid w:val="00751CF6"/>
    <w:rsid w:val="00751E5D"/>
    <w:rsid w:val="00751EAA"/>
    <w:rsid w:val="00751F1E"/>
    <w:rsid w:val="00751F6C"/>
    <w:rsid w:val="00751FC7"/>
    <w:rsid w:val="00752076"/>
    <w:rsid w:val="00752245"/>
    <w:rsid w:val="007525C8"/>
    <w:rsid w:val="007526A2"/>
    <w:rsid w:val="007528B0"/>
    <w:rsid w:val="0075295D"/>
    <w:rsid w:val="0075299B"/>
    <w:rsid w:val="00752A35"/>
    <w:rsid w:val="00752A55"/>
    <w:rsid w:val="00752A9F"/>
    <w:rsid w:val="00752AD9"/>
    <w:rsid w:val="00752AFB"/>
    <w:rsid w:val="00752B0B"/>
    <w:rsid w:val="00752B72"/>
    <w:rsid w:val="00752CF0"/>
    <w:rsid w:val="00752E87"/>
    <w:rsid w:val="00752F1D"/>
    <w:rsid w:val="00752F4E"/>
    <w:rsid w:val="00752F83"/>
    <w:rsid w:val="00752F8D"/>
    <w:rsid w:val="00753073"/>
    <w:rsid w:val="007530A9"/>
    <w:rsid w:val="0075310C"/>
    <w:rsid w:val="00753262"/>
    <w:rsid w:val="007532A0"/>
    <w:rsid w:val="007532E9"/>
    <w:rsid w:val="007534A9"/>
    <w:rsid w:val="007536B9"/>
    <w:rsid w:val="007536BD"/>
    <w:rsid w:val="00753889"/>
    <w:rsid w:val="00753955"/>
    <w:rsid w:val="00753A8C"/>
    <w:rsid w:val="00753A94"/>
    <w:rsid w:val="00753B78"/>
    <w:rsid w:val="00753BDA"/>
    <w:rsid w:val="00753C96"/>
    <w:rsid w:val="00753D80"/>
    <w:rsid w:val="00754004"/>
    <w:rsid w:val="007540AC"/>
    <w:rsid w:val="0075427B"/>
    <w:rsid w:val="00754312"/>
    <w:rsid w:val="0075439A"/>
    <w:rsid w:val="0075463A"/>
    <w:rsid w:val="0075482D"/>
    <w:rsid w:val="0075484E"/>
    <w:rsid w:val="007548EB"/>
    <w:rsid w:val="007549E7"/>
    <w:rsid w:val="00754A2D"/>
    <w:rsid w:val="00754A96"/>
    <w:rsid w:val="00754BA8"/>
    <w:rsid w:val="00754FEE"/>
    <w:rsid w:val="00755205"/>
    <w:rsid w:val="0075528C"/>
    <w:rsid w:val="0075532F"/>
    <w:rsid w:val="00755357"/>
    <w:rsid w:val="007553C6"/>
    <w:rsid w:val="007554D5"/>
    <w:rsid w:val="007554F2"/>
    <w:rsid w:val="0075552F"/>
    <w:rsid w:val="00755833"/>
    <w:rsid w:val="0075584B"/>
    <w:rsid w:val="0075588A"/>
    <w:rsid w:val="00755A57"/>
    <w:rsid w:val="00755A74"/>
    <w:rsid w:val="00755B7E"/>
    <w:rsid w:val="00755BF0"/>
    <w:rsid w:val="00755CFD"/>
    <w:rsid w:val="00755DAE"/>
    <w:rsid w:val="00755DE6"/>
    <w:rsid w:val="00755E67"/>
    <w:rsid w:val="00755F12"/>
    <w:rsid w:val="00756015"/>
    <w:rsid w:val="0075606F"/>
    <w:rsid w:val="0075621C"/>
    <w:rsid w:val="0075622C"/>
    <w:rsid w:val="00756260"/>
    <w:rsid w:val="007563CE"/>
    <w:rsid w:val="0075642D"/>
    <w:rsid w:val="007564B4"/>
    <w:rsid w:val="00756535"/>
    <w:rsid w:val="00756598"/>
    <w:rsid w:val="007565CA"/>
    <w:rsid w:val="007567B2"/>
    <w:rsid w:val="007568FC"/>
    <w:rsid w:val="00756933"/>
    <w:rsid w:val="00756C66"/>
    <w:rsid w:val="00756CDE"/>
    <w:rsid w:val="00756D10"/>
    <w:rsid w:val="00756F25"/>
    <w:rsid w:val="00756F3B"/>
    <w:rsid w:val="00756FA3"/>
    <w:rsid w:val="0075711F"/>
    <w:rsid w:val="007573B7"/>
    <w:rsid w:val="00757404"/>
    <w:rsid w:val="00757466"/>
    <w:rsid w:val="00757782"/>
    <w:rsid w:val="007577E1"/>
    <w:rsid w:val="00757833"/>
    <w:rsid w:val="007578FC"/>
    <w:rsid w:val="0075791D"/>
    <w:rsid w:val="00757921"/>
    <w:rsid w:val="0075792F"/>
    <w:rsid w:val="00757A6E"/>
    <w:rsid w:val="00757B14"/>
    <w:rsid w:val="00757B29"/>
    <w:rsid w:val="00757BB9"/>
    <w:rsid w:val="00757BD8"/>
    <w:rsid w:val="00757C6F"/>
    <w:rsid w:val="00757CE6"/>
    <w:rsid w:val="00757D03"/>
    <w:rsid w:val="00757D9F"/>
    <w:rsid w:val="00757F99"/>
    <w:rsid w:val="00760115"/>
    <w:rsid w:val="0076029C"/>
    <w:rsid w:val="007603EB"/>
    <w:rsid w:val="00760431"/>
    <w:rsid w:val="00760636"/>
    <w:rsid w:val="007606F2"/>
    <w:rsid w:val="0076079C"/>
    <w:rsid w:val="00760914"/>
    <w:rsid w:val="00760951"/>
    <w:rsid w:val="00760B0D"/>
    <w:rsid w:val="00760B1B"/>
    <w:rsid w:val="00760B31"/>
    <w:rsid w:val="00760B46"/>
    <w:rsid w:val="00760C26"/>
    <w:rsid w:val="00760CB0"/>
    <w:rsid w:val="00760D34"/>
    <w:rsid w:val="00760E14"/>
    <w:rsid w:val="00760E18"/>
    <w:rsid w:val="00760EEA"/>
    <w:rsid w:val="00760F82"/>
    <w:rsid w:val="00761055"/>
    <w:rsid w:val="007612CA"/>
    <w:rsid w:val="00761516"/>
    <w:rsid w:val="007615D7"/>
    <w:rsid w:val="00761629"/>
    <w:rsid w:val="00761655"/>
    <w:rsid w:val="007616B8"/>
    <w:rsid w:val="00761812"/>
    <w:rsid w:val="007618D6"/>
    <w:rsid w:val="007619FF"/>
    <w:rsid w:val="00761A7E"/>
    <w:rsid w:val="00761BF3"/>
    <w:rsid w:val="00762191"/>
    <w:rsid w:val="00762352"/>
    <w:rsid w:val="0076238F"/>
    <w:rsid w:val="007623B0"/>
    <w:rsid w:val="007624B0"/>
    <w:rsid w:val="007624DC"/>
    <w:rsid w:val="0076256A"/>
    <w:rsid w:val="007625E1"/>
    <w:rsid w:val="0076268D"/>
    <w:rsid w:val="007626BE"/>
    <w:rsid w:val="007626F3"/>
    <w:rsid w:val="007627B6"/>
    <w:rsid w:val="007627BC"/>
    <w:rsid w:val="007628AC"/>
    <w:rsid w:val="00762A22"/>
    <w:rsid w:val="00762B5D"/>
    <w:rsid w:val="00762CD1"/>
    <w:rsid w:val="00762D18"/>
    <w:rsid w:val="00762EE5"/>
    <w:rsid w:val="00762F27"/>
    <w:rsid w:val="00762F43"/>
    <w:rsid w:val="00762FA4"/>
    <w:rsid w:val="00763107"/>
    <w:rsid w:val="00763146"/>
    <w:rsid w:val="00763159"/>
    <w:rsid w:val="00763231"/>
    <w:rsid w:val="0076329E"/>
    <w:rsid w:val="00763305"/>
    <w:rsid w:val="0076337F"/>
    <w:rsid w:val="007633D4"/>
    <w:rsid w:val="0076358C"/>
    <w:rsid w:val="007635FE"/>
    <w:rsid w:val="00763615"/>
    <w:rsid w:val="0076377B"/>
    <w:rsid w:val="00763865"/>
    <w:rsid w:val="0076389B"/>
    <w:rsid w:val="0076389D"/>
    <w:rsid w:val="007639E5"/>
    <w:rsid w:val="00763A66"/>
    <w:rsid w:val="00763B11"/>
    <w:rsid w:val="00763B39"/>
    <w:rsid w:val="00763B7A"/>
    <w:rsid w:val="00763BB7"/>
    <w:rsid w:val="00763C2E"/>
    <w:rsid w:val="00763CE2"/>
    <w:rsid w:val="00763D0C"/>
    <w:rsid w:val="00763E21"/>
    <w:rsid w:val="00763F85"/>
    <w:rsid w:val="0076406B"/>
    <w:rsid w:val="007640C2"/>
    <w:rsid w:val="00764108"/>
    <w:rsid w:val="00764138"/>
    <w:rsid w:val="00764248"/>
    <w:rsid w:val="007642E5"/>
    <w:rsid w:val="007642EC"/>
    <w:rsid w:val="0076441F"/>
    <w:rsid w:val="00764420"/>
    <w:rsid w:val="0076447A"/>
    <w:rsid w:val="0076448C"/>
    <w:rsid w:val="007644A4"/>
    <w:rsid w:val="007644FB"/>
    <w:rsid w:val="007646D1"/>
    <w:rsid w:val="00764922"/>
    <w:rsid w:val="00764988"/>
    <w:rsid w:val="00764A59"/>
    <w:rsid w:val="00764B0B"/>
    <w:rsid w:val="00764B78"/>
    <w:rsid w:val="00764BD4"/>
    <w:rsid w:val="00764BEC"/>
    <w:rsid w:val="00764C0C"/>
    <w:rsid w:val="00764C45"/>
    <w:rsid w:val="00764D87"/>
    <w:rsid w:val="00764E76"/>
    <w:rsid w:val="00765080"/>
    <w:rsid w:val="00765163"/>
    <w:rsid w:val="00765203"/>
    <w:rsid w:val="007652AB"/>
    <w:rsid w:val="007656A8"/>
    <w:rsid w:val="007656DC"/>
    <w:rsid w:val="0076576B"/>
    <w:rsid w:val="00765A25"/>
    <w:rsid w:val="00765BFE"/>
    <w:rsid w:val="00765C13"/>
    <w:rsid w:val="00765C66"/>
    <w:rsid w:val="00765D9E"/>
    <w:rsid w:val="00765E4F"/>
    <w:rsid w:val="00765FC9"/>
    <w:rsid w:val="00765FCB"/>
    <w:rsid w:val="00765FFF"/>
    <w:rsid w:val="00766147"/>
    <w:rsid w:val="00766358"/>
    <w:rsid w:val="0076636F"/>
    <w:rsid w:val="00766477"/>
    <w:rsid w:val="00766560"/>
    <w:rsid w:val="007665C3"/>
    <w:rsid w:val="007665F6"/>
    <w:rsid w:val="00766617"/>
    <w:rsid w:val="007666F0"/>
    <w:rsid w:val="007666F6"/>
    <w:rsid w:val="0076672E"/>
    <w:rsid w:val="00766735"/>
    <w:rsid w:val="00766818"/>
    <w:rsid w:val="0076687F"/>
    <w:rsid w:val="007669A3"/>
    <w:rsid w:val="00766B62"/>
    <w:rsid w:val="00766C4C"/>
    <w:rsid w:val="00766D08"/>
    <w:rsid w:val="00766D60"/>
    <w:rsid w:val="00766D85"/>
    <w:rsid w:val="00766E15"/>
    <w:rsid w:val="00766F28"/>
    <w:rsid w:val="00767036"/>
    <w:rsid w:val="007670E0"/>
    <w:rsid w:val="0076711A"/>
    <w:rsid w:val="00767147"/>
    <w:rsid w:val="007672B4"/>
    <w:rsid w:val="007673CC"/>
    <w:rsid w:val="0076740B"/>
    <w:rsid w:val="007675B5"/>
    <w:rsid w:val="00767657"/>
    <w:rsid w:val="007677A8"/>
    <w:rsid w:val="0076797C"/>
    <w:rsid w:val="00767B45"/>
    <w:rsid w:val="00767B66"/>
    <w:rsid w:val="00767B6F"/>
    <w:rsid w:val="00767C96"/>
    <w:rsid w:val="00767D0E"/>
    <w:rsid w:val="00767EF8"/>
    <w:rsid w:val="007700F7"/>
    <w:rsid w:val="0077011D"/>
    <w:rsid w:val="0077021B"/>
    <w:rsid w:val="0077024B"/>
    <w:rsid w:val="0077037B"/>
    <w:rsid w:val="007703B9"/>
    <w:rsid w:val="007706A3"/>
    <w:rsid w:val="007707A4"/>
    <w:rsid w:val="007707D8"/>
    <w:rsid w:val="00770967"/>
    <w:rsid w:val="00770C23"/>
    <w:rsid w:val="00770C4D"/>
    <w:rsid w:val="00770D40"/>
    <w:rsid w:val="00770D77"/>
    <w:rsid w:val="00770F43"/>
    <w:rsid w:val="00770FE2"/>
    <w:rsid w:val="0077107E"/>
    <w:rsid w:val="00771081"/>
    <w:rsid w:val="00771086"/>
    <w:rsid w:val="00771339"/>
    <w:rsid w:val="00771350"/>
    <w:rsid w:val="0077149F"/>
    <w:rsid w:val="007714F1"/>
    <w:rsid w:val="00771544"/>
    <w:rsid w:val="00771643"/>
    <w:rsid w:val="007716B7"/>
    <w:rsid w:val="0077170B"/>
    <w:rsid w:val="0077175E"/>
    <w:rsid w:val="00771826"/>
    <w:rsid w:val="007718B2"/>
    <w:rsid w:val="007719BF"/>
    <w:rsid w:val="00771A7B"/>
    <w:rsid w:val="00771BAE"/>
    <w:rsid w:val="00771C51"/>
    <w:rsid w:val="00771C71"/>
    <w:rsid w:val="00771C82"/>
    <w:rsid w:val="00771DDC"/>
    <w:rsid w:val="00771E82"/>
    <w:rsid w:val="00771E8D"/>
    <w:rsid w:val="00772150"/>
    <w:rsid w:val="007721F0"/>
    <w:rsid w:val="00772225"/>
    <w:rsid w:val="007722EA"/>
    <w:rsid w:val="00772316"/>
    <w:rsid w:val="00772351"/>
    <w:rsid w:val="0077245C"/>
    <w:rsid w:val="007724DD"/>
    <w:rsid w:val="00772523"/>
    <w:rsid w:val="0077253F"/>
    <w:rsid w:val="007727EF"/>
    <w:rsid w:val="007727F1"/>
    <w:rsid w:val="007727FB"/>
    <w:rsid w:val="00772D1C"/>
    <w:rsid w:val="00772D51"/>
    <w:rsid w:val="00772D84"/>
    <w:rsid w:val="00772E59"/>
    <w:rsid w:val="00772ED6"/>
    <w:rsid w:val="007730C2"/>
    <w:rsid w:val="007732CE"/>
    <w:rsid w:val="00773368"/>
    <w:rsid w:val="0077344C"/>
    <w:rsid w:val="007734FB"/>
    <w:rsid w:val="00773581"/>
    <w:rsid w:val="00773699"/>
    <w:rsid w:val="00773790"/>
    <w:rsid w:val="00773870"/>
    <w:rsid w:val="00773932"/>
    <w:rsid w:val="0077398F"/>
    <w:rsid w:val="007739C7"/>
    <w:rsid w:val="00773A85"/>
    <w:rsid w:val="00773BE9"/>
    <w:rsid w:val="00773C0B"/>
    <w:rsid w:val="00773E32"/>
    <w:rsid w:val="00773F49"/>
    <w:rsid w:val="00773F68"/>
    <w:rsid w:val="007741D6"/>
    <w:rsid w:val="00774229"/>
    <w:rsid w:val="00774247"/>
    <w:rsid w:val="007742CB"/>
    <w:rsid w:val="00774352"/>
    <w:rsid w:val="0077436E"/>
    <w:rsid w:val="00774391"/>
    <w:rsid w:val="007743E3"/>
    <w:rsid w:val="0077449D"/>
    <w:rsid w:val="00774563"/>
    <w:rsid w:val="007745CF"/>
    <w:rsid w:val="00774617"/>
    <w:rsid w:val="0077467F"/>
    <w:rsid w:val="0077473A"/>
    <w:rsid w:val="007748CD"/>
    <w:rsid w:val="00774B02"/>
    <w:rsid w:val="00774BC8"/>
    <w:rsid w:val="00774C7D"/>
    <w:rsid w:val="00774D69"/>
    <w:rsid w:val="00774E21"/>
    <w:rsid w:val="00774EF8"/>
    <w:rsid w:val="00774F49"/>
    <w:rsid w:val="00775095"/>
    <w:rsid w:val="0077524C"/>
    <w:rsid w:val="00775286"/>
    <w:rsid w:val="007752E5"/>
    <w:rsid w:val="00775375"/>
    <w:rsid w:val="00775376"/>
    <w:rsid w:val="00775391"/>
    <w:rsid w:val="00775395"/>
    <w:rsid w:val="00775527"/>
    <w:rsid w:val="0077561D"/>
    <w:rsid w:val="0077564D"/>
    <w:rsid w:val="007756B6"/>
    <w:rsid w:val="007757DA"/>
    <w:rsid w:val="007758DD"/>
    <w:rsid w:val="00775A35"/>
    <w:rsid w:val="00775B4B"/>
    <w:rsid w:val="00775B80"/>
    <w:rsid w:val="00775B9E"/>
    <w:rsid w:val="00775BA1"/>
    <w:rsid w:val="00775C4C"/>
    <w:rsid w:val="00775C6D"/>
    <w:rsid w:val="00775C97"/>
    <w:rsid w:val="00775D66"/>
    <w:rsid w:val="00775EED"/>
    <w:rsid w:val="007760BF"/>
    <w:rsid w:val="00776129"/>
    <w:rsid w:val="007761AB"/>
    <w:rsid w:val="007762F0"/>
    <w:rsid w:val="0077631E"/>
    <w:rsid w:val="00776340"/>
    <w:rsid w:val="007763AB"/>
    <w:rsid w:val="007763B4"/>
    <w:rsid w:val="007765AB"/>
    <w:rsid w:val="0077685C"/>
    <w:rsid w:val="007768B2"/>
    <w:rsid w:val="00776930"/>
    <w:rsid w:val="00776950"/>
    <w:rsid w:val="007769C0"/>
    <w:rsid w:val="00776A80"/>
    <w:rsid w:val="00776B84"/>
    <w:rsid w:val="00776DC9"/>
    <w:rsid w:val="00776DFA"/>
    <w:rsid w:val="00776E21"/>
    <w:rsid w:val="00776ED6"/>
    <w:rsid w:val="00776F80"/>
    <w:rsid w:val="00776F8D"/>
    <w:rsid w:val="00776FF9"/>
    <w:rsid w:val="00777087"/>
    <w:rsid w:val="007770FD"/>
    <w:rsid w:val="00777152"/>
    <w:rsid w:val="007773DE"/>
    <w:rsid w:val="00777429"/>
    <w:rsid w:val="00777A75"/>
    <w:rsid w:val="00777B39"/>
    <w:rsid w:val="00777B3E"/>
    <w:rsid w:val="00777B73"/>
    <w:rsid w:val="00777C87"/>
    <w:rsid w:val="00777CA2"/>
    <w:rsid w:val="00777E4E"/>
    <w:rsid w:val="00777FCE"/>
    <w:rsid w:val="00780079"/>
    <w:rsid w:val="0078008F"/>
    <w:rsid w:val="007800EC"/>
    <w:rsid w:val="00780185"/>
    <w:rsid w:val="00780266"/>
    <w:rsid w:val="007802D0"/>
    <w:rsid w:val="00780421"/>
    <w:rsid w:val="0078049B"/>
    <w:rsid w:val="0078055D"/>
    <w:rsid w:val="0078057D"/>
    <w:rsid w:val="007805D7"/>
    <w:rsid w:val="007806F2"/>
    <w:rsid w:val="00780A8F"/>
    <w:rsid w:val="00780AFB"/>
    <w:rsid w:val="00780C19"/>
    <w:rsid w:val="00780D66"/>
    <w:rsid w:val="00780E02"/>
    <w:rsid w:val="00780EE3"/>
    <w:rsid w:val="007812E7"/>
    <w:rsid w:val="00781555"/>
    <w:rsid w:val="00781562"/>
    <w:rsid w:val="00781710"/>
    <w:rsid w:val="0078174C"/>
    <w:rsid w:val="0078175E"/>
    <w:rsid w:val="00781771"/>
    <w:rsid w:val="00781826"/>
    <w:rsid w:val="007818AD"/>
    <w:rsid w:val="00781926"/>
    <w:rsid w:val="0078197E"/>
    <w:rsid w:val="00781988"/>
    <w:rsid w:val="007819ED"/>
    <w:rsid w:val="00781B28"/>
    <w:rsid w:val="00781BC5"/>
    <w:rsid w:val="00781C1B"/>
    <w:rsid w:val="00781D32"/>
    <w:rsid w:val="00781D69"/>
    <w:rsid w:val="00781E0B"/>
    <w:rsid w:val="00781E2A"/>
    <w:rsid w:val="00781F7D"/>
    <w:rsid w:val="00782121"/>
    <w:rsid w:val="007822D2"/>
    <w:rsid w:val="007822D7"/>
    <w:rsid w:val="00782375"/>
    <w:rsid w:val="00782443"/>
    <w:rsid w:val="007824B6"/>
    <w:rsid w:val="00782590"/>
    <w:rsid w:val="0078263D"/>
    <w:rsid w:val="0078266A"/>
    <w:rsid w:val="007826D5"/>
    <w:rsid w:val="00782803"/>
    <w:rsid w:val="0078287F"/>
    <w:rsid w:val="00782BDA"/>
    <w:rsid w:val="00782DD1"/>
    <w:rsid w:val="00782EDD"/>
    <w:rsid w:val="00782FD6"/>
    <w:rsid w:val="007830B5"/>
    <w:rsid w:val="007830D1"/>
    <w:rsid w:val="00783122"/>
    <w:rsid w:val="00783163"/>
    <w:rsid w:val="00783219"/>
    <w:rsid w:val="007833C8"/>
    <w:rsid w:val="007834BD"/>
    <w:rsid w:val="0078351A"/>
    <w:rsid w:val="00783593"/>
    <w:rsid w:val="00783644"/>
    <w:rsid w:val="0078369E"/>
    <w:rsid w:val="00783885"/>
    <w:rsid w:val="00783A8D"/>
    <w:rsid w:val="00783AD3"/>
    <w:rsid w:val="00783B41"/>
    <w:rsid w:val="00783B7F"/>
    <w:rsid w:val="00783BCB"/>
    <w:rsid w:val="00783BD4"/>
    <w:rsid w:val="00783C0B"/>
    <w:rsid w:val="00783C35"/>
    <w:rsid w:val="00783E44"/>
    <w:rsid w:val="00783F7C"/>
    <w:rsid w:val="00783F98"/>
    <w:rsid w:val="00783FBF"/>
    <w:rsid w:val="00783FD0"/>
    <w:rsid w:val="00783FEE"/>
    <w:rsid w:val="00784035"/>
    <w:rsid w:val="00784082"/>
    <w:rsid w:val="007840DC"/>
    <w:rsid w:val="00784309"/>
    <w:rsid w:val="00784359"/>
    <w:rsid w:val="007843F7"/>
    <w:rsid w:val="0078449F"/>
    <w:rsid w:val="007844BB"/>
    <w:rsid w:val="007844F4"/>
    <w:rsid w:val="0078453C"/>
    <w:rsid w:val="007845D6"/>
    <w:rsid w:val="00784693"/>
    <w:rsid w:val="0078477A"/>
    <w:rsid w:val="00784800"/>
    <w:rsid w:val="0078487B"/>
    <w:rsid w:val="00784892"/>
    <w:rsid w:val="00784ABB"/>
    <w:rsid w:val="00784C5C"/>
    <w:rsid w:val="00784F2C"/>
    <w:rsid w:val="0078502B"/>
    <w:rsid w:val="00785035"/>
    <w:rsid w:val="00785065"/>
    <w:rsid w:val="0078506A"/>
    <w:rsid w:val="0078523E"/>
    <w:rsid w:val="007852B3"/>
    <w:rsid w:val="00785330"/>
    <w:rsid w:val="00785381"/>
    <w:rsid w:val="007853B3"/>
    <w:rsid w:val="00785407"/>
    <w:rsid w:val="0078543D"/>
    <w:rsid w:val="007856A9"/>
    <w:rsid w:val="007856C8"/>
    <w:rsid w:val="007856E0"/>
    <w:rsid w:val="00785857"/>
    <w:rsid w:val="00785A0D"/>
    <w:rsid w:val="00785B09"/>
    <w:rsid w:val="00785C2B"/>
    <w:rsid w:val="00785C37"/>
    <w:rsid w:val="00785E97"/>
    <w:rsid w:val="00785E9E"/>
    <w:rsid w:val="00785EC8"/>
    <w:rsid w:val="00785FE9"/>
    <w:rsid w:val="00786073"/>
    <w:rsid w:val="00786114"/>
    <w:rsid w:val="00786201"/>
    <w:rsid w:val="007862BE"/>
    <w:rsid w:val="00786476"/>
    <w:rsid w:val="007864D1"/>
    <w:rsid w:val="007865A9"/>
    <w:rsid w:val="007865BD"/>
    <w:rsid w:val="007865CC"/>
    <w:rsid w:val="007866CE"/>
    <w:rsid w:val="0078675B"/>
    <w:rsid w:val="00786794"/>
    <w:rsid w:val="00786803"/>
    <w:rsid w:val="00786806"/>
    <w:rsid w:val="00786C5E"/>
    <w:rsid w:val="00786C7D"/>
    <w:rsid w:val="00786D28"/>
    <w:rsid w:val="00786DEF"/>
    <w:rsid w:val="00786EDA"/>
    <w:rsid w:val="00787052"/>
    <w:rsid w:val="0078708F"/>
    <w:rsid w:val="00787235"/>
    <w:rsid w:val="00787240"/>
    <w:rsid w:val="00787320"/>
    <w:rsid w:val="007873E9"/>
    <w:rsid w:val="0078743D"/>
    <w:rsid w:val="00787487"/>
    <w:rsid w:val="00787522"/>
    <w:rsid w:val="0078765E"/>
    <w:rsid w:val="00787814"/>
    <w:rsid w:val="00787836"/>
    <w:rsid w:val="007879FE"/>
    <w:rsid w:val="00787AB4"/>
    <w:rsid w:val="00787BE7"/>
    <w:rsid w:val="00787BF6"/>
    <w:rsid w:val="00787CE3"/>
    <w:rsid w:val="00787D2E"/>
    <w:rsid w:val="00787DD0"/>
    <w:rsid w:val="00790142"/>
    <w:rsid w:val="0079017B"/>
    <w:rsid w:val="00790212"/>
    <w:rsid w:val="0079024D"/>
    <w:rsid w:val="0079035A"/>
    <w:rsid w:val="00790393"/>
    <w:rsid w:val="007904FB"/>
    <w:rsid w:val="0079058A"/>
    <w:rsid w:val="007905BA"/>
    <w:rsid w:val="007906AE"/>
    <w:rsid w:val="007906C5"/>
    <w:rsid w:val="00790789"/>
    <w:rsid w:val="007907AF"/>
    <w:rsid w:val="007907D7"/>
    <w:rsid w:val="0079082E"/>
    <w:rsid w:val="007908AB"/>
    <w:rsid w:val="007909B7"/>
    <w:rsid w:val="00790C3A"/>
    <w:rsid w:val="00790CED"/>
    <w:rsid w:val="00790D75"/>
    <w:rsid w:val="00790EDC"/>
    <w:rsid w:val="00790EF0"/>
    <w:rsid w:val="00790FD3"/>
    <w:rsid w:val="00790FF1"/>
    <w:rsid w:val="0079100A"/>
    <w:rsid w:val="00791040"/>
    <w:rsid w:val="00791121"/>
    <w:rsid w:val="00791219"/>
    <w:rsid w:val="007914B7"/>
    <w:rsid w:val="00791543"/>
    <w:rsid w:val="00791580"/>
    <w:rsid w:val="007915C1"/>
    <w:rsid w:val="007915DA"/>
    <w:rsid w:val="007915DC"/>
    <w:rsid w:val="0079165C"/>
    <w:rsid w:val="0079182E"/>
    <w:rsid w:val="00791871"/>
    <w:rsid w:val="00791882"/>
    <w:rsid w:val="007918CE"/>
    <w:rsid w:val="0079191C"/>
    <w:rsid w:val="00791AFF"/>
    <w:rsid w:val="00791C1E"/>
    <w:rsid w:val="00791CA0"/>
    <w:rsid w:val="00791E45"/>
    <w:rsid w:val="00791FEC"/>
    <w:rsid w:val="00792052"/>
    <w:rsid w:val="00792082"/>
    <w:rsid w:val="007920C6"/>
    <w:rsid w:val="0079213B"/>
    <w:rsid w:val="007921C8"/>
    <w:rsid w:val="007921D6"/>
    <w:rsid w:val="007921E1"/>
    <w:rsid w:val="00792318"/>
    <w:rsid w:val="0079251D"/>
    <w:rsid w:val="00792541"/>
    <w:rsid w:val="0079254F"/>
    <w:rsid w:val="00792593"/>
    <w:rsid w:val="00792612"/>
    <w:rsid w:val="007926C8"/>
    <w:rsid w:val="007926E7"/>
    <w:rsid w:val="007929DC"/>
    <w:rsid w:val="00792A39"/>
    <w:rsid w:val="00792B32"/>
    <w:rsid w:val="00792C82"/>
    <w:rsid w:val="00792CAE"/>
    <w:rsid w:val="00792E74"/>
    <w:rsid w:val="00792E96"/>
    <w:rsid w:val="00792EC4"/>
    <w:rsid w:val="00792F76"/>
    <w:rsid w:val="00793055"/>
    <w:rsid w:val="0079308F"/>
    <w:rsid w:val="007930B5"/>
    <w:rsid w:val="0079313C"/>
    <w:rsid w:val="00793174"/>
    <w:rsid w:val="007931E1"/>
    <w:rsid w:val="0079324B"/>
    <w:rsid w:val="00793374"/>
    <w:rsid w:val="00793462"/>
    <w:rsid w:val="007935A2"/>
    <w:rsid w:val="00793601"/>
    <w:rsid w:val="007936E3"/>
    <w:rsid w:val="0079375F"/>
    <w:rsid w:val="007937ED"/>
    <w:rsid w:val="00793852"/>
    <w:rsid w:val="0079390A"/>
    <w:rsid w:val="00793A76"/>
    <w:rsid w:val="00793B47"/>
    <w:rsid w:val="00793BC2"/>
    <w:rsid w:val="00793D3F"/>
    <w:rsid w:val="00793E61"/>
    <w:rsid w:val="00793E88"/>
    <w:rsid w:val="00793F1C"/>
    <w:rsid w:val="00793F49"/>
    <w:rsid w:val="00794044"/>
    <w:rsid w:val="0079407C"/>
    <w:rsid w:val="00794121"/>
    <w:rsid w:val="007941EC"/>
    <w:rsid w:val="00794384"/>
    <w:rsid w:val="00794421"/>
    <w:rsid w:val="00794471"/>
    <w:rsid w:val="0079451B"/>
    <w:rsid w:val="0079456E"/>
    <w:rsid w:val="00794579"/>
    <w:rsid w:val="0079458B"/>
    <w:rsid w:val="0079459A"/>
    <w:rsid w:val="007945B4"/>
    <w:rsid w:val="00794762"/>
    <w:rsid w:val="007948A3"/>
    <w:rsid w:val="00794912"/>
    <w:rsid w:val="00794974"/>
    <w:rsid w:val="00794AEB"/>
    <w:rsid w:val="00794B0A"/>
    <w:rsid w:val="00794B0F"/>
    <w:rsid w:val="00794B25"/>
    <w:rsid w:val="00794C9D"/>
    <w:rsid w:val="00794D08"/>
    <w:rsid w:val="00794D09"/>
    <w:rsid w:val="00794D3C"/>
    <w:rsid w:val="00794D40"/>
    <w:rsid w:val="00794DA0"/>
    <w:rsid w:val="00794E27"/>
    <w:rsid w:val="007950D1"/>
    <w:rsid w:val="00795110"/>
    <w:rsid w:val="00795175"/>
    <w:rsid w:val="007951A9"/>
    <w:rsid w:val="007951E1"/>
    <w:rsid w:val="00795214"/>
    <w:rsid w:val="00795347"/>
    <w:rsid w:val="00795755"/>
    <w:rsid w:val="007959B8"/>
    <w:rsid w:val="00795A93"/>
    <w:rsid w:val="00795B44"/>
    <w:rsid w:val="00795B4E"/>
    <w:rsid w:val="00795F17"/>
    <w:rsid w:val="00795F1B"/>
    <w:rsid w:val="00795FA8"/>
    <w:rsid w:val="0079613C"/>
    <w:rsid w:val="00796149"/>
    <w:rsid w:val="007961B5"/>
    <w:rsid w:val="00796207"/>
    <w:rsid w:val="007962EE"/>
    <w:rsid w:val="00796364"/>
    <w:rsid w:val="007964FE"/>
    <w:rsid w:val="00796693"/>
    <w:rsid w:val="007966BE"/>
    <w:rsid w:val="007966CF"/>
    <w:rsid w:val="007966E0"/>
    <w:rsid w:val="00796ACD"/>
    <w:rsid w:val="00796B46"/>
    <w:rsid w:val="00796B9A"/>
    <w:rsid w:val="00796C06"/>
    <w:rsid w:val="00796C59"/>
    <w:rsid w:val="00796C97"/>
    <w:rsid w:val="00796D15"/>
    <w:rsid w:val="00796F29"/>
    <w:rsid w:val="00796FA4"/>
    <w:rsid w:val="00796FBB"/>
    <w:rsid w:val="007970EA"/>
    <w:rsid w:val="007972AD"/>
    <w:rsid w:val="0079731C"/>
    <w:rsid w:val="007973FB"/>
    <w:rsid w:val="00797421"/>
    <w:rsid w:val="007974EB"/>
    <w:rsid w:val="00797509"/>
    <w:rsid w:val="0079765A"/>
    <w:rsid w:val="00797662"/>
    <w:rsid w:val="00797725"/>
    <w:rsid w:val="007977E8"/>
    <w:rsid w:val="007978B3"/>
    <w:rsid w:val="007978B7"/>
    <w:rsid w:val="007978EE"/>
    <w:rsid w:val="007979E1"/>
    <w:rsid w:val="007979F5"/>
    <w:rsid w:val="00797A46"/>
    <w:rsid w:val="00797A82"/>
    <w:rsid w:val="00797CE5"/>
    <w:rsid w:val="00797DDA"/>
    <w:rsid w:val="00797E36"/>
    <w:rsid w:val="00797F04"/>
    <w:rsid w:val="007A00B6"/>
    <w:rsid w:val="007A00D5"/>
    <w:rsid w:val="007A00FF"/>
    <w:rsid w:val="007A01BF"/>
    <w:rsid w:val="007A02C3"/>
    <w:rsid w:val="007A02D1"/>
    <w:rsid w:val="007A040C"/>
    <w:rsid w:val="007A05A6"/>
    <w:rsid w:val="007A0644"/>
    <w:rsid w:val="007A072B"/>
    <w:rsid w:val="007A0735"/>
    <w:rsid w:val="007A0787"/>
    <w:rsid w:val="007A07D8"/>
    <w:rsid w:val="007A0822"/>
    <w:rsid w:val="007A0829"/>
    <w:rsid w:val="007A0975"/>
    <w:rsid w:val="007A0A2A"/>
    <w:rsid w:val="007A0AF0"/>
    <w:rsid w:val="007A0B73"/>
    <w:rsid w:val="007A0C13"/>
    <w:rsid w:val="007A0C69"/>
    <w:rsid w:val="007A0C85"/>
    <w:rsid w:val="007A0D24"/>
    <w:rsid w:val="007A0E1A"/>
    <w:rsid w:val="007A0ED8"/>
    <w:rsid w:val="007A0FA9"/>
    <w:rsid w:val="007A115B"/>
    <w:rsid w:val="007A1204"/>
    <w:rsid w:val="007A122C"/>
    <w:rsid w:val="007A1282"/>
    <w:rsid w:val="007A12EA"/>
    <w:rsid w:val="007A1487"/>
    <w:rsid w:val="007A148E"/>
    <w:rsid w:val="007A14DF"/>
    <w:rsid w:val="007A1541"/>
    <w:rsid w:val="007A16F4"/>
    <w:rsid w:val="007A1787"/>
    <w:rsid w:val="007A17F6"/>
    <w:rsid w:val="007A19FF"/>
    <w:rsid w:val="007A1B92"/>
    <w:rsid w:val="007A1DF1"/>
    <w:rsid w:val="007A1E6D"/>
    <w:rsid w:val="007A1E8E"/>
    <w:rsid w:val="007A2035"/>
    <w:rsid w:val="007A2044"/>
    <w:rsid w:val="007A21D5"/>
    <w:rsid w:val="007A230E"/>
    <w:rsid w:val="007A241C"/>
    <w:rsid w:val="007A24F4"/>
    <w:rsid w:val="007A280C"/>
    <w:rsid w:val="007A29B5"/>
    <w:rsid w:val="007A29C8"/>
    <w:rsid w:val="007A2A02"/>
    <w:rsid w:val="007A2AB8"/>
    <w:rsid w:val="007A2E7C"/>
    <w:rsid w:val="007A2F3C"/>
    <w:rsid w:val="007A2F5B"/>
    <w:rsid w:val="007A2FD8"/>
    <w:rsid w:val="007A2FDE"/>
    <w:rsid w:val="007A3195"/>
    <w:rsid w:val="007A3333"/>
    <w:rsid w:val="007A3386"/>
    <w:rsid w:val="007A3403"/>
    <w:rsid w:val="007A3445"/>
    <w:rsid w:val="007A34F4"/>
    <w:rsid w:val="007A3548"/>
    <w:rsid w:val="007A35C7"/>
    <w:rsid w:val="007A37A3"/>
    <w:rsid w:val="007A37A8"/>
    <w:rsid w:val="007A37F2"/>
    <w:rsid w:val="007A38C2"/>
    <w:rsid w:val="007A38FE"/>
    <w:rsid w:val="007A3954"/>
    <w:rsid w:val="007A397D"/>
    <w:rsid w:val="007A3A81"/>
    <w:rsid w:val="007A3BDE"/>
    <w:rsid w:val="007A3C96"/>
    <w:rsid w:val="007A3E5E"/>
    <w:rsid w:val="007A3EF5"/>
    <w:rsid w:val="007A3FF1"/>
    <w:rsid w:val="007A42D6"/>
    <w:rsid w:val="007A449E"/>
    <w:rsid w:val="007A4586"/>
    <w:rsid w:val="007A468A"/>
    <w:rsid w:val="007A47F4"/>
    <w:rsid w:val="007A4835"/>
    <w:rsid w:val="007A4836"/>
    <w:rsid w:val="007A491E"/>
    <w:rsid w:val="007A49D4"/>
    <w:rsid w:val="007A4B40"/>
    <w:rsid w:val="007A4C00"/>
    <w:rsid w:val="007A4CFE"/>
    <w:rsid w:val="007A4D16"/>
    <w:rsid w:val="007A4D56"/>
    <w:rsid w:val="007A5069"/>
    <w:rsid w:val="007A5114"/>
    <w:rsid w:val="007A5444"/>
    <w:rsid w:val="007A547B"/>
    <w:rsid w:val="007A5535"/>
    <w:rsid w:val="007A5594"/>
    <w:rsid w:val="007A55DF"/>
    <w:rsid w:val="007A56DD"/>
    <w:rsid w:val="007A581E"/>
    <w:rsid w:val="007A5860"/>
    <w:rsid w:val="007A5AEC"/>
    <w:rsid w:val="007A5BD8"/>
    <w:rsid w:val="007A5C28"/>
    <w:rsid w:val="007A5CAB"/>
    <w:rsid w:val="007A5D01"/>
    <w:rsid w:val="007A5FB5"/>
    <w:rsid w:val="007A603D"/>
    <w:rsid w:val="007A6059"/>
    <w:rsid w:val="007A60CC"/>
    <w:rsid w:val="007A60ED"/>
    <w:rsid w:val="007A60F9"/>
    <w:rsid w:val="007A61E3"/>
    <w:rsid w:val="007A6225"/>
    <w:rsid w:val="007A627D"/>
    <w:rsid w:val="007A643D"/>
    <w:rsid w:val="007A6536"/>
    <w:rsid w:val="007A66A6"/>
    <w:rsid w:val="007A66D1"/>
    <w:rsid w:val="007A66F5"/>
    <w:rsid w:val="007A6979"/>
    <w:rsid w:val="007A697A"/>
    <w:rsid w:val="007A6A9C"/>
    <w:rsid w:val="007A6AD9"/>
    <w:rsid w:val="007A6B10"/>
    <w:rsid w:val="007A6B73"/>
    <w:rsid w:val="007A6C5A"/>
    <w:rsid w:val="007A6D37"/>
    <w:rsid w:val="007A6D6E"/>
    <w:rsid w:val="007A6D96"/>
    <w:rsid w:val="007A6F10"/>
    <w:rsid w:val="007A7061"/>
    <w:rsid w:val="007A7173"/>
    <w:rsid w:val="007A71CE"/>
    <w:rsid w:val="007A71FE"/>
    <w:rsid w:val="007A7212"/>
    <w:rsid w:val="007A723A"/>
    <w:rsid w:val="007A7261"/>
    <w:rsid w:val="007A7288"/>
    <w:rsid w:val="007A73A3"/>
    <w:rsid w:val="007A73F2"/>
    <w:rsid w:val="007A7484"/>
    <w:rsid w:val="007A75E8"/>
    <w:rsid w:val="007A76D6"/>
    <w:rsid w:val="007A7873"/>
    <w:rsid w:val="007A78F8"/>
    <w:rsid w:val="007A792C"/>
    <w:rsid w:val="007A7C84"/>
    <w:rsid w:val="007A7CE1"/>
    <w:rsid w:val="007A7E16"/>
    <w:rsid w:val="007A7F14"/>
    <w:rsid w:val="007B00E7"/>
    <w:rsid w:val="007B0153"/>
    <w:rsid w:val="007B0266"/>
    <w:rsid w:val="007B0271"/>
    <w:rsid w:val="007B0513"/>
    <w:rsid w:val="007B0619"/>
    <w:rsid w:val="007B0661"/>
    <w:rsid w:val="007B06CE"/>
    <w:rsid w:val="007B0716"/>
    <w:rsid w:val="007B074F"/>
    <w:rsid w:val="007B08D7"/>
    <w:rsid w:val="007B08F3"/>
    <w:rsid w:val="007B0B12"/>
    <w:rsid w:val="007B0BA5"/>
    <w:rsid w:val="007B0BBF"/>
    <w:rsid w:val="007B0C41"/>
    <w:rsid w:val="007B0CC8"/>
    <w:rsid w:val="007B0E97"/>
    <w:rsid w:val="007B0F58"/>
    <w:rsid w:val="007B0F90"/>
    <w:rsid w:val="007B0FEE"/>
    <w:rsid w:val="007B1315"/>
    <w:rsid w:val="007B13A8"/>
    <w:rsid w:val="007B1456"/>
    <w:rsid w:val="007B1569"/>
    <w:rsid w:val="007B1608"/>
    <w:rsid w:val="007B1620"/>
    <w:rsid w:val="007B166F"/>
    <w:rsid w:val="007B16D5"/>
    <w:rsid w:val="007B190C"/>
    <w:rsid w:val="007B1A67"/>
    <w:rsid w:val="007B1AAA"/>
    <w:rsid w:val="007B1B5B"/>
    <w:rsid w:val="007B1B6D"/>
    <w:rsid w:val="007B1BE1"/>
    <w:rsid w:val="007B1DCD"/>
    <w:rsid w:val="007B1DDA"/>
    <w:rsid w:val="007B20F8"/>
    <w:rsid w:val="007B2190"/>
    <w:rsid w:val="007B228B"/>
    <w:rsid w:val="007B2452"/>
    <w:rsid w:val="007B2695"/>
    <w:rsid w:val="007B27EC"/>
    <w:rsid w:val="007B27F9"/>
    <w:rsid w:val="007B27FE"/>
    <w:rsid w:val="007B2885"/>
    <w:rsid w:val="007B28B7"/>
    <w:rsid w:val="007B2B2D"/>
    <w:rsid w:val="007B2BE8"/>
    <w:rsid w:val="007B2D17"/>
    <w:rsid w:val="007B2D40"/>
    <w:rsid w:val="007B2E10"/>
    <w:rsid w:val="007B2F19"/>
    <w:rsid w:val="007B2F55"/>
    <w:rsid w:val="007B310B"/>
    <w:rsid w:val="007B312E"/>
    <w:rsid w:val="007B3164"/>
    <w:rsid w:val="007B31D3"/>
    <w:rsid w:val="007B3214"/>
    <w:rsid w:val="007B3269"/>
    <w:rsid w:val="007B3279"/>
    <w:rsid w:val="007B3476"/>
    <w:rsid w:val="007B348D"/>
    <w:rsid w:val="007B34DF"/>
    <w:rsid w:val="007B35C1"/>
    <w:rsid w:val="007B35D7"/>
    <w:rsid w:val="007B35E7"/>
    <w:rsid w:val="007B361F"/>
    <w:rsid w:val="007B3780"/>
    <w:rsid w:val="007B388E"/>
    <w:rsid w:val="007B38A1"/>
    <w:rsid w:val="007B399E"/>
    <w:rsid w:val="007B3ABD"/>
    <w:rsid w:val="007B3ABE"/>
    <w:rsid w:val="007B3C12"/>
    <w:rsid w:val="007B3C9F"/>
    <w:rsid w:val="007B3D29"/>
    <w:rsid w:val="007B3D84"/>
    <w:rsid w:val="007B3ECD"/>
    <w:rsid w:val="007B3ED6"/>
    <w:rsid w:val="007B3FAC"/>
    <w:rsid w:val="007B4183"/>
    <w:rsid w:val="007B418E"/>
    <w:rsid w:val="007B41B3"/>
    <w:rsid w:val="007B4220"/>
    <w:rsid w:val="007B45E3"/>
    <w:rsid w:val="007B4879"/>
    <w:rsid w:val="007B4C16"/>
    <w:rsid w:val="007B4CD1"/>
    <w:rsid w:val="007B4CFC"/>
    <w:rsid w:val="007B4F83"/>
    <w:rsid w:val="007B5252"/>
    <w:rsid w:val="007B52E5"/>
    <w:rsid w:val="007B53B8"/>
    <w:rsid w:val="007B5545"/>
    <w:rsid w:val="007B559F"/>
    <w:rsid w:val="007B56BF"/>
    <w:rsid w:val="007B5770"/>
    <w:rsid w:val="007B59EC"/>
    <w:rsid w:val="007B5B8C"/>
    <w:rsid w:val="007B5C63"/>
    <w:rsid w:val="007B5C64"/>
    <w:rsid w:val="007B5C9A"/>
    <w:rsid w:val="007B5CCB"/>
    <w:rsid w:val="007B5FA2"/>
    <w:rsid w:val="007B6032"/>
    <w:rsid w:val="007B6140"/>
    <w:rsid w:val="007B6166"/>
    <w:rsid w:val="007B6175"/>
    <w:rsid w:val="007B6183"/>
    <w:rsid w:val="007B6205"/>
    <w:rsid w:val="007B6225"/>
    <w:rsid w:val="007B627C"/>
    <w:rsid w:val="007B63E2"/>
    <w:rsid w:val="007B641F"/>
    <w:rsid w:val="007B6445"/>
    <w:rsid w:val="007B6478"/>
    <w:rsid w:val="007B64A0"/>
    <w:rsid w:val="007B6798"/>
    <w:rsid w:val="007B69B9"/>
    <w:rsid w:val="007B6C63"/>
    <w:rsid w:val="007B6CB1"/>
    <w:rsid w:val="007B6D3E"/>
    <w:rsid w:val="007B6DD1"/>
    <w:rsid w:val="007B6E9C"/>
    <w:rsid w:val="007B6EF3"/>
    <w:rsid w:val="007B6F37"/>
    <w:rsid w:val="007B707C"/>
    <w:rsid w:val="007B7194"/>
    <w:rsid w:val="007B7231"/>
    <w:rsid w:val="007B73E7"/>
    <w:rsid w:val="007B7595"/>
    <w:rsid w:val="007B7660"/>
    <w:rsid w:val="007B7747"/>
    <w:rsid w:val="007B791C"/>
    <w:rsid w:val="007B7B6C"/>
    <w:rsid w:val="007B7BC2"/>
    <w:rsid w:val="007B7C05"/>
    <w:rsid w:val="007B7CD3"/>
    <w:rsid w:val="007B7D38"/>
    <w:rsid w:val="007C00BC"/>
    <w:rsid w:val="007C02AB"/>
    <w:rsid w:val="007C03A8"/>
    <w:rsid w:val="007C03E3"/>
    <w:rsid w:val="007C0406"/>
    <w:rsid w:val="007C0437"/>
    <w:rsid w:val="007C048D"/>
    <w:rsid w:val="007C051B"/>
    <w:rsid w:val="007C054D"/>
    <w:rsid w:val="007C0714"/>
    <w:rsid w:val="007C0870"/>
    <w:rsid w:val="007C08B0"/>
    <w:rsid w:val="007C09A2"/>
    <w:rsid w:val="007C0B28"/>
    <w:rsid w:val="007C0C3B"/>
    <w:rsid w:val="007C0D8C"/>
    <w:rsid w:val="007C0DF2"/>
    <w:rsid w:val="007C0E17"/>
    <w:rsid w:val="007C0E5B"/>
    <w:rsid w:val="007C0F29"/>
    <w:rsid w:val="007C0FF8"/>
    <w:rsid w:val="007C101D"/>
    <w:rsid w:val="007C106F"/>
    <w:rsid w:val="007C10A9"/>
    <w:rsid w:val="007C1124"/>
    <w:rsid w:val="007C127F"/>
    <w:rsid w:val="007C132A"/>
    <w:rsid w:val="007C1362"/>
    <w:rsid w:val="007C1367"/>
    <w:rsid w:val="007C1575"/>
    <w:rsid w:val="007C15E7"/>
    <w:rsid w:val="007C16D9"/>
    <w:rsid w:val="007C1773"/>
    <w:rsid w:val="007C1855"/>
    <w:rsid w:val="007C195D"/>
    <w:rsid w:val="007C1985"/>
    <w:rsid w:val="007C1B4B"/>
    <w:rsid w:val="007C1C5D"/>
    <w:rsid w:val="007C1C6C"/>
    <w:rsid w:val="007C1C6D"/>
    <w:rsid w:val="007C1DD4"/>
    <w:rsid w:val="007C1F23"/>
    <w:rsid w:val="007C2067"/>
    <w:rsid w:val="007C2151"/>
    <w:rsid w:val="007C2166"/>
    <w:rsid w:val="007C2170"/>
    <w:rsid w:val="007C223A"/>
    <w:rsid w:val="007C2314"/>
    <w:rsid w:val="007C237F"/>
    <w:rsid w:val="007C2426"/>
    <w:rsid w:val="007C2429"/>
    <w:rsid w:val="007C245B"/>
    <w:rsid w:val="007C25A0"/>
    <w:rsid w:val="007C266C"/>
    <w:rsid w:val="007C268A"/>
    <w:rsid w:val="007C2768"/>
    <w:rsid w:val="007C28C1"/>
    <w:rsid w:val="007C2A79"/>
    <w:rsid w:val="007C2AFD"/>
    <w:rsid w:val="007C2C61"/>
    <w:rsid w:val="007C2D6A"/>
    <w:rsid w:val="007C2D97"/>
    <w:rsid w:val="007C2E50"/>
    <w:rsid w:val="007C2F11"/>
    <w:rsid w:val="007C2F28"/>
    <w:rsid w:val="007C3172"/>
    <w:rsid w:val="007C3192"/>
    <w:rsid w:val="007C3381"/>
    <w:rsid w:val="007C3596"/>
    <w:rsid w:val="007C35C1"/>
    <w:rsid w:val="007C36F8"/>
    <w:rsid w:val="007C384C"/>
    <w:rsid w:val="007C38A6"/>
    <w:rsid w:val="007C397E"/>
    <w:rsid w:val="007C3A16"/>
    <w:rsid w:val="007C3BB1"/>
    <w:rsid w:val="007C3D44"/>
    <w:rsid w:val="007C3DC5"/>
    <w:rsid w:val="007C3E6B"/>
    <w:rsid w:val="007C3FA4"/>
    <w:rsid w:val="007C4061"/>
    <w:rsid w:val="007C409F"/>
    <w:rsid w:val="007C40C3"/>
    <w:rsid w:val="007C414C"/>
    <w:rsid w:val="007C4198"/>
    <w:rsid w:val="007C4254"/>
    <w:rsid w:val="007C42BB"/>
    <w:rsid w:val="007C44D4"/>
    <w:rsid w:val="007C4515"/>
    <w:rsid w:val="007C46D7"/>
    <w:rsid w:val="007C4717"/>
    <w:rsid w:val="007C474E"/>
    <w:rsid w:val="007C479D"/>
    <w:rsid w:val="007C48CB"/>
    <w:rsid w:val="007C49EA"/>
    <w:rsid w:val="007C4A1B"/>
    <w:rsid w:val="007C4A3D"/>
    <w:rsid w:val="007C4EEF"/>
    <w:rsid w:val="007C5034"/>
    <w:rsid w:val="007C50D3"/>
    <w:rsid w:val="007C5262"/>
    <w:rsid w:val="007C527B"/>
    <w:rsid w:val="007C5282"/>
    <w:rsid w:val="007C52E6"/>
    <w:rsid w:val="007C531B"/>
    <w:rsid w:val="007C5328"/>
    <w:rsid w:val="007C543C"/>
    <w:rsid w:val="007C5442"/>
    <w:rsid w:val="007C57F2"/>
    <w:rsid w:val="007C5809"/>
    <w:rsid w:val="007C587E"/>
    <w:rsid w:val="007C58D6"/>
    <w:rsid w:val="007C5991"/>
    <w:rsid w:val="007C59FC"/>
    <w:rsid w:val="007C5A64"/>
    <w:rsid w:val="007C5B28"/>
    <w:rsid w:val="007C5B49"/>
    <w:rsid w:val="007C5BC4"/>
    <w:rsid w:val="007C5BDD"/>
    <w:rsid w:val="007C5D05"/>
    <w:rsid w:val="007C5D62"/>
    <w:rsid w:val="007C5D92"/>
    <w:rsid w:val="007C5E08"/>
    <w:rsid w:val="007C5EB6"/>
    <w:rsid w:val="007C5EE0"/>
    <w:rsid w:val="007C60C2"/>
    <w:rsid w:val="007C617C"/>
    <w:rsid w:val="007C61EE"/>
    <w:rsid w:val="007C622E"/>
    <w:rsid w:val="007C6297"/>
    <w:rsid w:val="007C6327"/>
    <w:rsid w:val="007C6552"/>
    <w:rsid w:val="007C6638"/>
    <w:rsid w:val="007C693E"/>
    <w:rsid w:val="007C6978"/>
    <w:rsid w:val="007C69A4"/>
    <w:rsid w:val="007C69F2"/>
    <w:rsid w:val="007C6B34"/>
    <w:rsid w:val="007C6C2F"/>
    <w:rsid w:val="007C6C8F"/>
    <w:rsid w:val="007C6D3A"/>
    <w:rsid w:val="007C6E6D"/>
    <w:rsid w:val="007C6EBE"/>
    <w:rsid w:val="007C6F83"/>
    <w:rsid w:val="007C7038"/>
    <w:rsid w:val="007C7095"/>
    <w:rsid w:val="007C70F1"/>
    <w:rsid w:val="007C70FF"/>
    <w:rsid w:val="007C7192"/>
    <w:rsid w:val="007C71F7"/>
    <w:rsid w:val="007C72F7"/>
    <w:rsid w:val="007C741D"/>
    <w:rsid w:val="007C74AF"/>
    <w:rsid w:val="007C74D0"/>
    <w:rsid w:val="007C77FD"/>
    <w:rsid w:val="007C7833"/>
    <w:rsid w:val="007C7862"/>
    <w:rsid w:val="007C7896"/>
    <w:rsid w:val="007C79F6"/>
    <w:rsid w:val="007C7A0E"/>
    <w:rsid w:val="007C7B67"/>
    <w:rsid w:val="007C7BF4"/>
    <w:rsid w:val="007C7C07"/>
    <w:rsid w:val="007C7CFC"/>
    <w:rsid w:val="007C7D7C"/>
    <w:rsid w:val="007C7DCD"/>
    <w:rsid w:val="007C7E24"/>
    <w:rsid w:val="007C7F69"/>
    <w:rsid w:val="007D00A2"/>
    <w:rsid w:val="007D01AC"/>
    <w:rsid w:val="007D01C7"/>
    <w:rsid w:val="007D0279"/>
    <w:rsid w:val="007D0332"/>
    <w:rsid w:val="007D0370"/>
    <w:rsid w:val="007D03E7"/>
    <w:rsid w:val="007D0417"/>
    <w:rsid w:val="007D0685"/>
    <w:rsid w:val="007D0A47"/>
    <w:rsid w:val="007D0A5C"/>
    <w:rsid w:val="007D0A96"/>
    <w:rsid w:val="007D0ADB"/>
    <w:rsid w:val="007D0B4C"/>
    <w:rsid w:val="007D0C31"/>
    <w:rsid w:val="007D0C46"/>
    <w:rsid w:val="007D0DE0"/>
    <w:rsid w:val="007D0E30"/>
    <w:rsid w:val="007D0F3A"/>
    <w:rsid w:val="007D1770"/>
    <w:rsid w:val="007D183E"/>
    <w:rsid w:val="007D197D"/>
    <w:rsid w:val="007D19E0"/>
    <w:rsid w:val="007D1BE4"/>
    <w:rsid w:val="007D1D6D"/>
    <w:rsid w:val="007D1EDD"/>
    <w:rsid w:val="007D1EF8"/>
    <w:rsid w:val="007D1F99"/>
    <w:rsid w:val="007D1FB9"/>
    <w:rsid w:val="007D2147"/>
    <w:rsid w:val="007D21C0"/>
    <w:rsid w:val="007D21C2"/>
    <w:rsid w:val="007D2212"/>
    <w:rsid w:val="007D2254"/>
    <w:rsid w:val="007D2281"/>
    <w:rsid w:val="007D2401"/>
    <w:rsid w:val="007D24E4"/>
    <w:rsid w:val="007D2512"/>
    <w:rsid w:val="007D27F5"/>
    <w:rsid w:val="007D283B"/>
    <w:rsid w:val="007D285D"/>
    <w:rsid w:val="007D2924"/>
    <w:rsid w:val="007D293B"/>
    <w:rsid w:val="007D2A26"/>
    <w:rsid w:val="007D2BD6"/>
    <w:rsid w:val="007D2CC9"/>
    <w:rsid w:val="007D2D3C"/>
    <w:rsid w:val="007D2DB3"/>
    <w:rsid w:val="007D2E96"/>
    <w:rsid w:val="007D2EE0"/>
    <w:rsid w:val="007D303B"/>
    <w:rsid w:val="007D31ED"/>
    <w:rsid w:val="007D344C"/>
    <w:rsid w:val="007D356B"/>
    <w:rsid w:val="007D35CE"/>
    <w:rsid w:val="007D35E9"/>
    <w:rsid w:val="007D37C0"/>
    <w:rsid w:val="007D3896"/>
    <w:rsid w:val="007D38C7"/>
    <w:rsid w:val="007D390F"/>
    <w:rsid w:val="007D391F"/>
    <w:rsid w:val="007D3929"/>
    <w:rsid w:val="007D3A69"/>
    <w:rsid w:val="007D3BBC"/>
    <w:rsid w:val="007D3C5F"/>
    <w:rsid w:val="007D3D7F"/>
    <w:rsid w:val="007D3D87"/>
    <w:rsid w:val="007D3E66"/>
    <w:rsid w:val="007D3F34"/>
    <w:rsid w:val="007D3F45"/>
    <w:rsid w:val="007D3F94"/>
    <w:rsid w:val="007D3F9B"/>
    <w:rsid w:val="007D417C"/>
    <w:rsid w:val="007D428B"/>
    <w:rsid w:val="007D4336"/>
    <w:rsid w:val="007D442B"/>
    <w:rsid w:val="007D44A2"/>
    <w:rsid w:val="007D4524"/>
    <w:rsid w:val="007D457D"/>
    <w:rsid w:val="007D461A"/>
    <w:rsid w:val="007D468A"/>
    <w:rsid w:val="007D46F2"/>
    <w:rsid w:val="007D49D5"/>
    <w:rsid w:val="007D49F1"/>
    <w:rsid w:val="007D4A53"/>
    <w:rsid w:val="007D4B62"/>
    <w:rsid w:val="007D4D22"/>
    <w:rsid w:val="007D4E41"/>
    <w:rsid w:val="007D4E83"/>
    <w:rsid w:val="007D4F83"/>
    <w:rsid w:val="007D4FC2"/>
    <w:rsid w:val="007D5000"/>
    <w:rsid w:val="007D5196"/>
    <w:rsid w:val="007D51C1"/>
    <w:rsid w:val="007D5537"/>
    <w:rsid w:val="007D562A"/>
    <w:rsid w:val="007D5667"/>
    <w:rsid w:val="007D56F8"/>
    <w:rsid w:val="007D57E4"/>
    <w:rsid w:val="007D5837"/>
    <w:rsid w:val="007D5A1E"/>
    <w:rsid w:val="007D5AD1"/>
    <w:rsid w:val="007D5BDC"/>
    <w:rsid w:val="007D5C3B"/>
    <w:rsid w:val="007D5D98"/>
    <w:rsid w:val="007D5E69"/>
    <w:rsid w:val="007D5EF9"/>
    <w:rsid w:val="007D5F04"/>
    <w:rsid w:val="007D5F34"/>
    <w:rsid w:val="007D5F78"/>
    <w:rsid w:val="007D5F79"/>
    <w:rsid w:val="007D60E1"/>
    <w:rsid w:val="007D611A"/>
    <w:rsid w:val="007D62DC"/>
    <w:rsid w:val="007D6340"/>
    <w:rsid w:val="007D63E7"/>
    <w:rsid w:val="007D6416"/>
    <w:rsid w:val="007D641B"/>
    <w:rsid w:val="007D65C1"/>
    <w:rsid w:val="007D65FF"/>
    <w:rsid w:val="007D6638"/>
    <w:rsid w:val="007D66BA"/>
    <w:rsid w:val="007D67CE"/>
    <w:rsid w:val="007D67EF"/>
    <w:rsid w:val="007D6A2A"/>
    <w:rsid w:val="007D6ACD"/>
    <w:rsid w:val="007D6D3C"/>
    <w:rsid w:val="007D6D78"/>
    <w:rsid w:val="007D6E3C"/>
    <w:rsid w:val="007D6ED2"/>
    <w:rsid w:val="007D6FB8"/>
    <w:rsid w:val="007D6FD4"/>
    <w:rsid w:val="007D70FC"/>
    <w:rsid w:val="007D7282"/>
    <w:rsid w:val="007D7357"/>
    <w:rsid w:val="007D743D"/>
    <w:rsid w:val="007D745D"/>
    <w:rsid w:val="007D749A"/>
    <w:rsid w:val="007D754B"/>
    <w:rsid w:val="007D755E"/>
    <w:rsid w:val="007D7678"/>
    <w:rsid w:val="007D76A8"/>
    <w:rsid w:val="007D7797"/>
    <w:rsid w:val="007D77C9"/>
    <w:rsid w:val="007D7A21"/>
    <w:rsid w:val="007D7A50"/>
    <w:rsid w:val="007D7AA1"/>
    <w:rsid w:val="007D7B86"/>
    <w:rsid w:val="007D7BA1"/>
    <w:rsid w:val="007D7BA4"/>
    <w:rsid w:val="007D7C66"/>
    <w:rsid w:val="007D7C9C"/>
    <w:rsid w:val="007E0029"/>
    <w:rsid w:val="007E007B"/>
    <w:rsid w:val="007E037E"/>
    <w:rsid w:val="007E04F2"/>
    <w:rsid w:val="007E04F7"/>
    <w:rsid w:val="007E059D"/>
    <w:rsid w:val="007E0616"/>
    <w:rsid w:val="007E06F9"/>
    <w:rsid w:val="007E0786"/>
    <w:rsid w:val="007E085E"/>
    <w:rsid w:val="007E08ED"/>
    <w:rsid w:val="007E0987"/>
    <w:rsid w:val="007E0AC1"/>
    <w:rsid w:val="007E0AD3"/>
    <w:rsid w:val="007E0B82"/>
    <w:rsid w:val="007E0C22"/>
    <w:rsid w:val="007E0CFC"/>
    <w:rsid w:val="007E0E7B"/>
    <w:rsid w:val="007E0EFE"/>
    <w:rsid w:val="007E0F72"/>
    <w:rsid w:val="007E0FAD"/>
    <w:rsid w:val="007E0FFE"/>
    <w:rsid w:val="007E10C2"/>
    <w:rsid w:val="007E113A"/>
    <w:rsid w:val="007E115C"/>
    <w:rsid w:val="007E1190"/>
    <w:rsid w:val="007E1210"/>
    <w:rsid w:val="007E1221"/>
    <w:rsid w:val="007E12A1"/>
    <w:rsid w:val="007E134B"/>
    <w:rsid w:val="007E136B"/>
    <w:rsid w:val="007E1392"/>
    <w:rsid w:val="007E1445"/>
    <w:rsid w:val="007E14F0"/>
    <w:rsid w:val="007E1595"/>
    <w:rsid w:val="007E16C7"/>
    <w:rsid w:val="007E17F9"/>
    <w:rsid w:val="007E1828"/>
    <w:rsid w:val="007E187B"/>
    <w:rsid w:val="007E18EC"/>
    <w:rsid w:val="007E199D"/>
    <w:rsid w:val="007E19BC"/>
    <w:rsid w:val="007E1C6D"/>
    <w:rsid w:val="007E1CA0"/>
    <w:rsid w:val="007E1D20"/>
    <w:rsid w:val="007E1E88"/>
    <w:rsid w:val="007E2283"/>
    <w:rsid w:val="007E22B2"/>
    <w:rsid w:val="007E22EC"/>
    <w:rsid w:val="007E233B"/>
    <w:rsid w:val="007E237E"/>
    <w:rsid w:val="007E270D"/>
    <w:rsid w:val="007E2758"/>
    <w:rsid w:val="007E27EC"/>
    <w:rsid w:val="007E283C"/>
    <w:rsid w:val="007E2962"/>
    <w:rsid w:val="007E2A81"/>
    <w:rsid w:val="007E2AC5"/>
    <w:rsid w:val="007E2D54"/>
    <w:rsid w:val="007E3166"/>
    <w:rsid w:val="007E31DE"/>
    <w:rsid w:val="007E3335"/>
    <w:rsid w:val="007E33A4"/>
    <w:rsid w:val="007E35B1"/>
    <w:rsid w:val="007E3653"/>
    <w:rsid w:val="007E3770"/>
    <w:rsid w:val="007E3884"/>
    <w:rsid w:val="007E3895"/>
    <w:rsid w:val="007E38DD"/>
    <w:rsid w:val="007E3A16"/>
    <w:rsid w:val="007E3A20"/>
    <w:rsid w:val="007E3A7D"/>
    <w:rsid w:val="007E3B8D"/>
    <w:rsid w:val="007E3D27"/>
    <w:rsid w:val="007E3E6F"/>
    <w:rsid w:val="007E3EE6"/>
    <w:rsid w:val="007E4196"/>
    <w:rsid w:val="007E41FC"/>
    <w:rsid w:val="007E448B"/>
    <w:rsid w:val="007E448D"/>
    <w:rsid w:val="007E44A6"/>
    <w:rsid w:val="007E4553"/>
    <w:rsid w:val="007E4743"/>
    <w:rsid w:val="007E47A0"/>
    <w:rsid w:val="007E47C8"/>
    <w:rsid w:val="007E4800"/>
    <w:rsid w:val="007E4AF5"/>
    <w:rsid w:val="007E4B5F"/>
    <w:rsid w:val="007E4D6B"/>
    <w:rsid w:val="007E4DF9"/>
    <w:rsid w:val="007E4EF2"/>
    <w:rsid w:val="007E4F81"/>
    <w:rsid w:val="007E506B"/>
    <w:rsid w:val="007E5089"/>
    <w:rsid w:val="007E5116"/>
    <w:rsid w:val="007E51E2"/>
    <w:rsid w:val="007E51F6"/>
    <w:rsid w:val="007E5233"/>
    <w:rsid w:val="007E52AC"/>
    <w:rsid w:val="007E52F7"/>
    <w:rsid w:val="007E5379"/>
    <w:rsid w:val="007E53E7"/>
    <w:rsid w:val="007E5422"/>
    <w:rsid w:val="007E5452"/>
    <w:rsid w:val="007E56E1"/>
    <w:rsid w:val="007E5754"/>
    <w:rsid w:val="007E5AC1"/>
    <w:rsid w:val="007E5B14"/>
    <w:rsid w:val="007E5C4C"/>
    <w:rsid w:val="007E5D9E"/>
    <w:rsid w:val="007E5F5F"/>
    <w:rsid w:val="007E5FC7"/>
    <w:rsid w:val="007E6073"/>
    <w:rsid w:val="007E60C2"/>
    <w:rsid w:val="007E648C"/>
    <w:rsid w:val="007E6496"/>
    <w:rsid w:val="007E655A"/>
    <w:rsid w:val="007E65F8"/>
    <w:rsid w:val="007E66D7"/>
    <w:rsid w:val="007E67AE"/>
    <w:rsid w:val="007E6923"/>
    <w:rsid w:val="007E699E"/>
    <w:rsid w:val="007E69D3"/>
    <w:rsid w:val="007E6A49"/>
    <w:rsid w:val="007E6ACA"/>
    <w:rsid w:val="007E6AD1"/>
    <w:rsid w:val="007E6B19"/>
    <w:rsid w:val="007E6BD3"/>
    <w:rsid w:val="007E6DBE"/>
    <w:rsid w:val="007E6EF7"/>
    <w:rsid w:val="007E7016"/>
    <w:rsid w:val="007E7123"/>
    <w:rsid w:val="007E7150"/>
    <w:rsid w:val="007E71AD"/>
    <w:rsid w:val="007E7244"/>
    <w:rsid w:val="007E7262"/>
    <w:rsid w:val="007E72DA"/>
    <w:rsid w:val="007E7424"/>
    <w:rsid w:val="007E752F"/>
    <w:rsid w:val="007E756E"/>
    <w:rsid w:val="007E763F"/>
    <w:rsid w:val="007E77B3"/>
    <w:rsid w:val="007E786D"/>
    <w:rsid w:val="007E78F4"/>
    <w:rsid w:val="007E7946"/>
    <w:rsid w:val="007E795A"/>
    <w:rsid w:val="007E79A0"/>
    <w:rsid w:val="007E7A40"/>
    <w:rsid w:val="007E7A47"/>
    <w:rsid w:val="007E7ABA"/>
    <w:rsid w:val="007E7B45"/>
    <w:rsid w:val="007E7CB6"/>
    <w:rsid w:val="007E7D6B"/>
    <w:rsid w:val="007E7D7F"/>
    <w:rsid w:val="007E7DB3"/>
    <w:rsid w:val="007E7EAC"/>
    <w:rsid w:val="007E7EAE"/>
    <w:rsid w:val="007E7EB6"/>
    <w:rsid w:val="007E7EF5"/>
    <w:rsid w:val="007E7EF8"/>
    <w:rsid w:val="007E7F51"/>
    <w:rsid w:val="007E7FE5"/>
    <w:rsid w:val="007F01D1"/>
    <w:rsid w:val="007F0221"/>
    <w:rsid w:val="007F024D"/>
    <w:rsid w:val="007F0309"/>
    <w:rsid w:val="007F034B"/>
    <w:rsid w:val="007F036C"/>
    <w:rsid w:val="007F0380"/>
    <w:rsid w:val="007F0542"/>
    <w:rsid w:val="007F05A5"/>
    <w:rsid w:val="007F07A9"/>
    <w:rsid w:val="007F09E9"/>
    <w:rsid w:val="007F0A3E"/>
    <w:rsid w:val="007F0B07"/>
    <w:rsid w:val="007F0BBC"/>
    <w:rsid w:val="007F0C5B"/>
    <w:rsid w:val="007F0C64"/>
    <w:rsid w:val="007F0CCE"/>
    <w:rsid w:val="007F0CEA"/>
    <w:rsid w:val="007F0D41"/>
    <w:rsid w:val="007F0DC3"/>
    <w:rsid w:val="007F0E59"/>
    <w:rsid w:val="007F0F89"/>
    <w:rsid w:val="007F0FAB"/>
    <w:rsid w:val="007F10EF"/>
    <w:rsid w:val="007F10F8"/>
    <w:rsid w:val="007F1108"/>
    <w:rsid w:val="007F1300"/>
    <w:rsid w:val="007F1360"/>
    <w:rsid w:val="007F13E6"/>
    <w:rsid w:val="007F13FF"/>
    <w:rsid w:val="007F14BD"/>
    <w:rsid w:val="007F14D7"/>
    <w:rsid w:val="007F156A"/>
    <w:rsid w:val="007F15CD"/>
    <w:rsid w:val="007F15F9"/>
    <w:rsid w:val="007F1676"/>
    <w:rsid w:val="007F1694"/>
    <w:rsid w:val="007F1713"/>
    <w:rsid w:val="007F17BF"/>
    <w:rsid w:val="007F18FF"/>
    <w:rsid w:val="007F19B2"/>
    <w:rsid w:val="007F1A8F"/>
    <w:rsid w:val="007F1C97"/>
    <w:rsid w:val="007F1CFB"/>
    <w:rsid w:val="007F1E93"/>
    <w:rsid w:val="007F1F67"/>
    <w:rsid w:val="007F1F74"/>
    <w:rsid w:val="007F204E"/>
    <w:rsid w:val="007F20A6"/>
    <w:rsid w:val="007F2146"/>
    <w:rsid w:val="007F2231"/>
    <w:rsid w:val="007F237E"/>
    <w:rsid w:val="007F23A9"/>
    <w:rsid w:val="007F2424"/>
    <w:rsid w:val="007F2517"/>
    <w:rsid w:val="007F2602"/>
    <w:rsid w:val="007F2699"/>
    <w:rsid w:val="007F26EA"/>
    <w:rsid w:val="007F2778"/>
    <w:rsid w:val="007F29B8"/>
    <w:rsid w:val="007F2D6A"/>
    <w:rsid w:val="007F2D88"/>
    <w:rsid w:val="007F2D96"/>
    <w:rsid w:val="007F2FAD"/>
    <w:rsid w:val="007F2FDD"/>
    <w:rsid w:val="007F311D"/>
    <w:rsid w:val="007F316C"/>
    <w:rsid w:val="007F3249"/>
    <w:rsid w:val="007F3371"/>
    <w:rsid w:val="007F341A"/>
    <w:rsid w:val="007F36A9"/>
    <w:rsid w:val="007F37CE"/>
    <w:rsid w:val="007F3896"/>
    <w:rsid w:val="007F390C"/>
    <w:rsid w:val="007F3AAF"/>
    <w:rsid w:val="007F3BEA"/>
    <w:rsid w:val="007F3C74"/>
    <w:rsid w:val="007F3CDF"/>
    <w:rsid w:val="007F3D15"/>
    <w:rsid w:val="007F3FDD"/>
    <w:rsid w:val="007F406A"/>
    <w:rsid w:val="007F40C0"/>
    <w:rsid w:val="007F40CE"/>
    <w:rsid w:val="007F4145"/>
    <w:rsid w:val="007F4242"/>
    <w:rsid w:val="007F46D3"/>
    <w:rsid w:val="007F46EE"/>
    <w:rsid w:val="007F4757"/>
    <w:rsid w:val="007F4788"/>
    <w:rsid w:val="007F47C5"/>
    <w:rsid w:val="007F4A67"/>
    <w:rsid w:val="007F4CB6"/>
    <w:rsid w:val="007F4D03"/>
    <w:rsid w:val="007F4DB6"/>
    <w:rsid w:val="007F4E17"/>
    <w:rsid w:val="007F5168"/>
    <w:rsid w:val="007F51FB"/>
    <w:rsid w:val="007F5264"/>
    <w:rsid w:val="007F53E3"/>
    <w:rsid w:val="007F54CD"/>
    <w:rsid w:val="007F5517"/>
    <w:rsid w:val="007F5581"/>
    <w:rsid w:val="007F5619"/>
    <w:rsid w:val="007F565E"/>
    <w:rsid w:val="007F5762"/>
    <w:rsid w:val="007F57F0"/>
    <w:rsid w:val="007F5950"/>
    <w:rsid w:val="007F595E"/>
    <w:rsid w:val="007F5A1A"/>
    <w:rsid w:val="007F5AD9"/>
    <w:rsid w:val="007F5B5C"/>
    <w:rsid w:val="007F5C17"/>
    <w:rsid w:val="007F5C58"/>
    <w:rsid w:val="007F5D0B"/>
    <w:rsid w:val="007F5E67"/>
    <w:rsid w:val="007F5E93"/>
    <w:rsid w:val="007F5EF0"/>
    <w:rsid w:val="007F6061"/>
    <w:rsid w:val="007F60D0"/>
    <w:rsid w:val="007F617B"/>
    <w:rsid w:val="007F61AB"/>
    <w:rsid w:val="007F6203"/>
    <w:rsid w:val="007F6221"/>
    <w:rsid w:val="007F62AD"/>
    <w:rsid w:val="007F63DB"/>
    <w:rsid w:val="007F63FD"/>
    <w:rsid w:val="007F6446"/>
    <w:rsid w:val="007F6466"/>
    <w:rsid w:val="007F6483"/>
    <w:rsid w:val="007F6656"/>
    <w:rsid w:val="007F6720"/>
    <w:rsid w:val="007F676B"/>
    <w:rsid w:val="007F6778"/>
    <w:rsid w:val="007F6934"/>
    <w:rsid w:val="007F6A52"/>
    <w:rsid w:val="007F6ABC"/>
    <w:rsid w:val="007F6B1B"/>
    <w:rsid w:val="007F6C90"/>
    <w:rsid w:val="007F6D50"/>
    <w:rsid w:val="007F6ED8"/>
    <w:rsid w:val="007F6F1C"/>
    <w:rsid w:val="007F71AC"/>
    <w:rsid w:val="007F72A5"/>
    <w:rsid w:val="007F736E"/>
    <w:rsid w:val="007F73ED"/>
    <w:rsid w:val="007F746B"/>
    <w:rsid w:val="007F747B"/>
    <w:rsid w:val="007F74F3"/>
    <w:rsid w:val="007F7826"/>
    <w:rsid w:val="007F787C"/>
    <w:rsid w:val="007F78F5"/>
    <w:rsid w:val="007F7A0A"/>
    <w:rsid w:val="007F7A8F"/>
    <w:rsid w:val="007F7B94"/>
    <w:rsid w:val="007F7BE6"/>
    <w:rsid w:val="007F7BF7"/>
    <w:rsid w:val="007F7C3B"/>
    <w:rsid w:val="007F7C50"/>
    <w:rsid w:val="007F7D69"/>
    <w:rsid w:val="007F7D9E"/>
    <w:rsid w:val="007F7E57"/>
    <w:rsid w:val="007F7F22"/>
    <w:rsid w:val="007F7F8F"/>
    <w:rsid w:val="00800209"/>
    <w:rsid w:val="00800233"/>
    <w:rsid w:val="008002FE"/>
    <w:rsid w:val="00800551"/>
    <w:rsid w:val="008007F1"/>
    <w:rsid w:val="0080080D"/>
    <w:rsid w:val="00800819"/>
    <w:rsid w:val="00800A2A"/>
    <w:rsid w:val="00800A41"/>
    <w:rsid w:val="00800A5D"/>
    <w:rsid w:val="00800B21"/>
    <w:rsid w:val="00800B9F"/>
    <w:rsid w:val="00800BC6"/>
    <w:rsid w:val="00800C34"/>
    <w:rsid w:val="00800CF0"/>
    <w:rsid w:val="00800E66"/>
    <w:rsid w:val="00800E8F"/>
    <w:rsid w:val="00801042"/>
    <w:rsid w:val="0080105F"/>
    <w:rsid w:val="00801085"/>
    <w:rsid w:val="008010B5"/>
    <w:rsid w:val="008011CE"/>
    <w:rsid w:val="0080120A"/>
    <w:rsid w:val="0080132D"/>
    <w:rsid w:val="00801378"/>
    <w:rsid w:val="008013BD"/>
    <w:rsid w:val="00801430"/>
    <w:rsid w:val="00801453"/>
    <w:rsid w:val="00801643"/>
    <w:rsid w:val="008016BD"/>
    <w:rsid w:val="0080182C"/>
    <w:rsid w:val="00801864"/>
    <w:rsid w:val="0080193F"/>
    <w:rsid w:val="00801987"/>
    <w:rsid w:val="00801A3B"/>
    <w:rsid w:val="00801AAC"/>
    <w:rsid w:val="00801B6F"/>
    <w:rsid w:val="00801B8A"/>
    <w:rsid w:val="00801B9E"/>
    <w:rsid w:val="00801E2C"/>
    <w:rsid w:val="00801E55"/>
    <w:rsid w:val="00801FDF"/>
    <w:rsid w:val="00802046"/>
    <w:rsid w:val="00802133"/>
    <w:rsid w:val="0080219C"/>
    <w:rsid w:val="00802283"/>
    <w:rsid w:val="0080232F"/>
    <w:rsid w:val="00802376"/>
    <w:rsid w:val="0080240D"/>
    <w:rsid w:val="0080245A"/>
    <w:rsid w:val="008024F1"/>
    <w:rsid w:val="00802504"/>
    <w:rsid w:val="008026AE"/>
    <w:rsid w:val="00802904"/>
    <w:rsid w:val="008029C8"/>
    <w:rsid w:val="00802A14"/>
    <w:rsid w:val="00802CA1"/>
    <w:rsid w:val="00802CE8"/>
    <w:rsid w:val="00802D04"/>
    <w:rsid w:val="00802DAC"/>
    <w:rsid w:val="00802EF1"/>
    <w:rsid w:val="00802F45"/>
    <w:rsid w:val="00802F80"/>
    <w:rsid w:val="00803124"/>
    <w:rsid w:val="00803286"/>
    <w:rsid w:val="00803329"/>
    <w:rsid w:val="00803381"/>
    <w:rsid w:val="008033A9"/>
    <w:rsid w:val="008033F3"/>
    <w:rsid w:val="00803783"/>
    <w:rsid w:val="00803804"/>
    <w:rsid w:val="0080394B"/>
    <w:rsid w:val="00803967"/>
    <w:rsid w:val="008039DE"/>
    <w:rsid w:val="00803D6F"/>
    <w:rsid w:val="00803EEC"/>
    <w:rsid w:val="00803F3A"/>
    <w:rsid w:val="00803FB1"/>
    <w:rsid w:val="00804165"/>
    <w:rsid w:val="008041A8"/>
    <w:rsid w:val="008041CE"/>
    <w:rsid w:val="00804268"/>
    <w:rsid w:val="0080432E"/>
    <w:rsid w:val="0080433F"/>
    <w:rsid w:val="008045A3"/>
    <w:rsid w:val="008046D5"/>
    <w:rsid w:val="00804716"/>
    <w:rsid w:val="00804725"/>
    <w:rsid w:val="00804810"/>
    <w:rsid w:val="008048B5"/>
    <w:rsid w:val="008048C6"/>
    <w:rsid w:val="00804933"/>
    <w:rsid w:val="00804950"/>
    <w:rsid w:val="008049A9"/>
    <w:rsid w:val="00804A80"/>
    <w:rsid w:val="00804B7C"/>
    <w:rsid w:val="00804C5A"/>
    <w:rsid w:val="00804CE1"/>
    <w:rsid w:val="00804CE2"/>
    <w:rsid w:val="00804E06"/>
    <w:rsid w:val="00804E49"/>
    <w:rsid w:val="00804EB5"/>
    <w:rsid w:val="00804FAC"/>
    <w:rsid w:val="00805053"/>
    <w:rsid w:val="0080506F"/>
    <w:rsid w:val="0080509C"/>
    <w:rsid w:val="008050E0"/>
    <w:rsid w:val="0080513E"/>
    <w:rsid w:val="008052AC"/>
    <w:rsid w:val="008052C5"/>
    <w:rsid w:val="00805323"/>
    <w:rsid w:val="0080534C"/>
    <w:rsid w:val="00805395"/>
    <w:rsid w:val="008053ED"/>
    <w:rsid w:val="00805748"/>
    <w:rsid w:val="00805755"/>
    <w:rsid w:val="008057AC"/>
    <w:rsid w:val="00805969"/>
    <w:rsid w:val="00805AB7"/>
    <w:rsid w:val="00805ACB"/>
    <w:rsid w:val="00805BDE"/>
    <w:rsid w:val="00805CE2"/>
    <w:rsid w:val="00805D17"/>
    <w:rsid w:val="00805ED4"/>
    <w:rsid w:val="00805ED7"/>
    <w:rsid w:val="00806146"/>
    <w:rsid w:val="0080615C"/>
    <w:rsid w:val="00806245"/>
    <w:rsid w:val="008062E9"/>
    <w:rsid w:val="00806344"/>
    <w:rsid w:val="00806397"/>
    <w:rsid w:val="008063F5"/>
    <w:rsid w:val="00806568"/>
    <w:rsid w:val="00806585"/>
    <w:rsid w:val="008067B1"/>
    <w:rsid w:val="00806802"/>
    <w:rsid w:val="00806892"/>
    <w:rsid w:val="008068F6"/>
    <w:rsid w:val="008069E6"/>
    <w:rsid w:val="00806B24"/>
    <w:rsid w:val="00806BA8"/>
    <w:rsid w:val="00806C15"/>
    <w:rsid w:val="00806C78"/>
    <w:rsid w:val="00806EE8"/>
    <w:rsid w:val="00806F2E"/>
    <w:rsid w:val="00806F40"/>
    <w:rsid w:val="0080703B"/>
    <w:rsid w:val="00807192"/>
    <w:rsid w:val="0080720B"/>
    <w:rsid w:val="00807304"/>
    <w:rsid w:val="0080733F"/>
    <w:rsid w:val="00807409"/>
    <w:rsid w:val="0080755F"/>
    <w:rsid w:val="008075EC"/>
    <w:rsid w:val="00807604"/>
    <w:rsid w:val="0080773C"/>
    <w:rsid w:val="0080777C"/>
    <w:rsid w:val="008078EA"/>
    <w:rsid w:val="008079DE"/>
    <w:rsid w:val="00807A15"/>
    <w:rsid w:val="00807A49"/>
    <w:rsid w:val="00807AA7"/>
    <w:rsid w:val="00807B21"/>
    <w:rsid w:val="00807D17"/>
    <w:rsid w:val="00807DBB"/>
    <w:rsid w:val="00807DD2"/>
    <w:rsid w:val="00807E79"/>
    <w:rsid w:val="00807F35"/>
    <w:rsid w:val="00807F53"/>
    <w:rsid w:val="0081000C"/>
    <w:rsid w:val="00810135"/>
    <w:rsid w:val="0081029B"/>
    <w:rsid w:val="008102DE"/>
    <w:rsid w:val="00810315"/>
    <w:rsid w:val="0081041F"/>
    <w:rsid w:val="00810528"/>
    <w:rsid w:val="0081068B"/>
    <w:rsid w:val="008106BF"/>
    <w:rsid w:val="00810727"/>
    <w:rsid w:val="00810A5E"/>
    <w:rsid w:val="00810B64"/>
    <w:rsid w:val="00810B74"/>
    <w:rsid w:val="00810BC5"/>
    <w:rsid w:val="00810D4F"/>
    <w:rsid w:val="00810E35"/>
    <w:rsid w:val="00810E3A"/>
    <w:rsid w:val="00810EA3"/>
    <w:rsid w:val="00810F97"/>
    <w:rsid w:val="008111A7"/>
    <w:rsid w:val="00811295"/>
    <w:rsid w:val="00811307"/>
    <w:rsid w:val="00811396"/>
    <w:rsid w:val="0081152A"/>
    <w:rsid w:val="00811561"/>
    <w:rsid w:val="008115B5"/>
    <w:rsid w:val="00811662"/>
    <w:rsid w:val="00811688"/>
    <w:rsid w:val="008116B8"/>
    <w:rsid w:val="0081189A"/>
    <w:rsid w:val="0081189E"/>
    <w:rsid w:val="008119D8"/>
    <w:rsid w:val="00811A24"/>
    <w:rsid w:val="00811AAA"/>
    <w:rsid w:val="00811AFD"/>
    <w:rsid w:val="00811D68"/>
    <w:rsid w:val="00811DCF"/>
    <w:rsid w:val="00811E53"/>
    <w:rsid w:val="00811ED9"/>
    <w:rsid w:val="00811F36"/>
    <w:rsid w:val="00811F79"/>
    <w:rsid w:val="00811FDA"/>
    <w:rsid w:val="008120FA"/>
    <w:rsid w:val="0081231A"/>
    <w:rsid w:val="00812385"/>
    <w:rsid w:val="00812569"/>
    <w:rsid w:val="0081260D"/>
    <w:rsid w:val="008126AE"/>
    <w:rsid w:val="00812711"/>
    <w:rsid w:val="00812726"/>
    <w:rsid w:val="008127C4"/>
    <w:rsid w:val="00812997"/>
    <w:rsid w:val="008129BB"/>
    <w:rsid w:val="008129EC"/>
    <w:rsid w:val="00812A0A"/>
    <w:rsid w:val="00812AE9"/>
    <w:rsid w:val="00812BE0"/>
    <w:rsid w:val="00812C66"/>
    <w:rsid w:val="00812E54"/>
    <w:rsid w:val="00812EB8"/>
    <w:rsid w:val="00812EE6"/>
    <w:rsid w:val="00812F6A"/>
    <w:rsid w:val="008130A9"/>
    <w:rsid w:val="00813123"/>
    <w:rsid w:val="00813206"/>
    <w:rsid w:val="00813261"/>
    <w:rsid w:val="00813373"/>
    <w:rsid w:val="008133A5"/>
    <w:rsid w:val="008133AA"/>
    <w:rsid w:val="00813440"/>
    <w:rsid w:val="0081354C"/>
    <w:rsid w:val="0081354D"/>
    <w:rsid w:val="00813630"/>
    <w:rsid w:val="0081366C"/>
    <w:rsid w:val="00813670"/>
    <w:rsid w:val="0081370B"/>
    <w:rsid w:val="0081371C"/>
    <w:rsid w:val="008137B9"/>
    <w:rsid w:val="008137CB"/>
    <w:rsid w:val="0081381D"/>
    <w:rsid w:val="00813835"/>
    <w:rsid w:val="0081397B"/>
    <w:rsid w:val="00813ABD"/>
    <w:rsid w:val="00813AE3"/>
    <w:rsid w:val="00813BD8"/>
    <w:rsid w:val="00813C1A"/>
    <w:rsid w:val="00813D20"/>
    <w:rsid w:val="00813D2C"/>
    <w:rsid w:val="00813D5D"/>
    <w:rsid w:val="00813D6C"/>
    <w:rsid w:val="00813DAA"/>
    <w:rsid w:val="00813DC0"/>
    <w:rsid w:val="00813DF3"/>
    <w:rsid w:val="00813E41"/>
    <w:rsid w:val="00813E51"/>
    <w:rsid w:val="00813F93"/>
    <w:rsid w:val="00813FDC"/>
    <w:rsid w:val="00813FF1"/>
    <w:rsid w:val="008140C6"/>
    <w:rsid w:val="00814159"/>
    <w:rsid w:val="008142F5"/>
    <w:rsid w:val="008145E7"/>
    <w:rsid w:val="0081471A"/>
    <w:rsid w:val="0081480B"/>
    <w:rsid w:val="008148F3"/>
    <w:rsid w:val="00814968"/>
    <w:rsid w:val="00814A21"/>
    <w:rsid w:val="00814A6C"/>
    <w:rsid w:val="00814AAF"/>
    <w:rsid w:val="00814AE1"/>
    <w:rsid w:val="00814B08"/>
    <w:rsid w:val="00814C84"/>
    <w:rsid w:val="00814E71"/>
    <w:rsid w:val="00814EFE"/>
    <w:rsid w:val="0081502E"/>
    <w:rsid w:val="00815147"/>
    <w:rsid w:val="0081515B"/>
    <w:rsid w:val="008151B5"/>
    <w:rsid w:val="008151DB"/>
    <w:rsid w:val="008151E6"/>
    <w:rsid w:val="0081548B"/>
    <w:rsid w:val="008154B9"/>
    <w:rsid w:val="00815570"/>
    <w:rsid w:val="0081562E"/>
    <w:rsid w:val="008156D4"/>
    <w:rsid w:val="008157EE"/>
    <w:rsid w:val="0081586C"/>
    <w:rsid w:val="0081588A"/>
    <w:rsid w:val="0081593B"/>
    <w:rsid w:val="00815A36"/>
    <w:rsid w:val="00815B6E"/>
    <w:rsid w:val="00815BC7"/>
    <w:rsid w:val="00815C6B"/>
    <w:rsid w:val="00815CF0"/>
    <w:rsid w:val="00815D21"/>
    <w:rsid w:val="00815D3B"/>
    <w:rsid w:val="00815F6F"/>
    <w:rsid w:val="00816215"/>
    <w:rsid w:val="00816689"/>
    <w:rsid w:val="00816798"/>
    <w:rsid w:val="008168CD"/>
    <w:rsid w:val="00816920"/>
    <w:rsid w:val="0081698C"/>
    <w:rsid w:val="008169D9"/>
    <w:rsid w:val="00816A37"/>
    <w:rsid w:val="00816A40"/>
    <w:rsid w:val="00816C43"/>
    <w:rsid w:val="00816C81"/>
    <w:rsid w:val="00816CCD"/>
    <w:rsid w:val="00816DD6"/>
    <w:rsid w:val="00816E40"/>
    <w:rsid w:val="00816EC2"/>
    <w:rsid w:val="00816F3D"/>
    <w:rsid w:val="00816FDA"/>
    <w:rsid w:val="008171E3"/>
    <w:rsid w:val="00817202"/>
    <w:rsid w:val="0081728F"/>
    <w:rsid w:val="008172E3"/>
    <w:rsid w:val="008172EC"/>
    <w:rsid w:val="00817303"/>
    <w:rsid w:val="0081735A"/>
    <w:rsid w:val="0081738A"/>
    <w:rsid w:val="008173A7"/>
    <w:rsid w:val="008173D7"/>
    <w:rsid w:val="008173DA"/>
    <w:rsid w:val="00817455"/>
    <w:rsid w:val="008174A4"/>
    <w:rsid w:val="00817587"/>
    <w:rsid w:val="0081765A"/>
    <w:rsid w:val="00817691"/>
    <w:rsid w:val="0081782A"/>
    <w:rsid w:val="00817880"/>
    <w:rsid w:val="00817963"/>
    <w:rsid w:val="008179F7"/>
    <w:rsid w:val="00817B1B"/>
    <w:rsid w:val="00817E87"/>
    <w:rsid w:val="0082003E"/>
    <w:rsid w:val="0082006F"/>
    <w:rsid w:val="00820397"/>
    <w:rsid w:val="008203F5"/>
    <w:rsid w:val="0082048E"/>
    <w:rsid w:val="00820551"/>
    <w:rsid w:val="008205B1"/>
    <w:rsid w:val="008206E1"/>
    <w:rsid w:val="00820709"/>
    <w:rsid w:val="0082072D"/>
    <w:rsid w:val="008209A3"/>
    <w:rsid w:val="00820BC8"/>
    <w:rsid w:val="00820C9E"/>
    <w:rsid w:val="00820DAB"/>
    <w:rsid w:val="00820DBE"/>
    <w:rsid w:val="00820DF6"/>
    <w:rsid w:val="00820E30"/>
    <w:rsid w:val="00820EF9"/>
    <w:rsid w:val="00820F46"/>
    <w:rsid w:val="0082109C"/>
    <w:rsid w:val="00821156"/>
    <w:rsid w:val="0082116A"/>
    <w:rsid w:val="00821179"/>
    <w:rsid w:val="0082117E"/>
    <w:rsid w:val="0082128C"/>
    <w:rsid w:val="00821390"/>
    <w:rsid w:val="00821540"/>
    <w:rsid w:val="008215AA"/>
    <w:rsid w:val="0082166C"/>
    <w:rsid w:val="008217F4"/>
    <w:rsid w:val="0082185B"/>
    <w:rsid w:val="00821885"/>
    <w:rsid w:val="008218CB"/>
    <w:rsid w:val="008218D9"/>
    <w:rsid w:val="008218E6"/>
    <w:rsid w:val="00821947"/>
    <w:rsid w:val="00821A2F"/>
    <w:rsid w:val="00821D1E"/>
    <w:rsid w:val="00821D62"/>
    <w:rsid w:val="00822026"/>
    <w:rsid w:val="0082205B"/>
    <w:rsid w:val="008220C0"/>
    <w:rsid w:val="00822159"/>
    <w:rsid w:val="00822206"/>
    <w:rsid w:val="00822361"/>
    <w:rsid w:val="008223AB"/>
    <w:rsid w:val="008225A4"/>
    <w:rsid w:val="00822890"/>
    <w:rsid w:val="00822894"/>
    <w:rsid w:val="008229EF"/>
    <w:rsid w:val="00822BA2"/>
    <w:rsid w:val="00822E68"/>
    <w:rsid w:val="00822EC5"/>
    <w:rsid w:val="00822EFF"/>
    <w:rsid w:val="00822F4D"/>
    <w:rsid w:val="0082317E"/>
    <w:rsid w:val="008231AF"/>
    <w:rsid w:val="008232E1"/>
    <w:rsid w:val="0082336C"/>
    <w:rsid w:val="0082349F"/>
    <w:rsid w:val="00823569"/>
    <w:rsid w:val="00823675"/>
    <w:rsid w:val="00823997"/>
    <w:rsid w:val="008239FB"/>
    <w:rsid w:val="00823BC9"/>
    <w:rsid w:val="00823DCB"/>
    <w:rsid w:val="00823FC2"/>
    <w:rsid w:val="0082403E"/>
    <w:rsid w:val="0082408F"/>
    <w:rsid w:val="008240B6"/>
    <w:rsid w:val="00824120"/>
    <w:rsid w:val="0082416B"/>
    <w:rsid w:val="008241A1"/>
    <w:rsid w:val="008241B9"/>
    <w:rsid w:val="00824204"/>
    <w:rsid w:val="008243B9"/>
    <w:rsid w:val="008243CE"/>
    <w:rsid w:val="00824584"/>
    <w:rsid w:val="008245D4"/>
    <w:rsid w:val="0082460F"/>
    <w:rsid w:val="0082462A"/>
    <w:rsid w:val="00824676"/>
    <w:rsid w:val="0082467F"/>
    <w:rsid w:val="008246C7"/>
    <w:rsid w:val="0082472D"/>
    <w:rsid w:val="00824750"/>
    <w:rsid w:val="00824751"/>
    <w:rsid w:val="008247D9"/>
    <w:rsid w:val="00824833"/>
    <w:rsid w:val="008248DF"/>
    <w:rsid w:val="008249A7"/>
    <w:rsid w:val="00824A47"/>
    <w:rsid w:val="00824ABA"/>
    <w:rsid w:val="00824B5A"/>
    <w:rsid w:val="00824C0C"/>
    <w:rsid w:val="00824C87"/>
    <w:rsid w:val="00824CEC"/>
    <w:rsid w:val="00824D92"/>
    <w:rsid w:val="00824E00"/>
    <w:rsid w:val="00824E37"/>
    <w:rsid w:val="00824F4A"/>
    <w:rsid w:val="008250FB"/>
    <w:rsid w:val="00825194"/>
    <w:rsid w:val="00825354"/>
    <w:rsid w:val="008253CF"/>
    <w:rsid w:val="00825544"/>
    <w:rsid w:val="008256C7"/>
    <w:rsid w:val="008256E5"/>
    <w:rsid w:val="008256F7"/>
    <w:rsid w:val="00825809"/>
    <w:rsid w:val="00825993"/>
    <w:rsid w:val="00825CCD"/>
    <w:rsid w:val="00825CED"/>
    <w:rsid w:val="00825EDA"/>
    <w:rsid w:val="00825EF5"/>
    <w:rsid w:val="00825F06"/>
    <w:rsid w:val="00825F66"/>
    <w:rsid w:val="0082604E"/>
    <w:rsid w:val="008260DD"/>
    <w:rsid w:val="00826124"/>
    <w:rsid w:val="008263E5"/>
    <w:rsid w:val="0082643F"/>
    <w:rsid w:val="0082650C"/>
    <w:rsid w:val="00826535"/>
    <w:rsid w:val="008265DB"/>
    <w:rsid w:val="008266B4"/>
    <w:rsid w:val="0082670B"/>
    <w:rsid w:val="0082678B"/>
    <w:rsid w:val="00826A54"/>
    <w:rsid w:val="00826B27"/>
    <w:rsid w:val="00826C2F"/>
    <w:rsid w:val="00826CA3"/>
    <w:rsid w:val="00826CD8"/>
    <w:rsid w:val="00826CE1"/>
    <w:rsid w:val="00826EA2"/>
    <w:rsid w:val="00826F3B"/>
    <w:rsid w:val="00826F8B"/>
    <w:rsid w:val="00827106"/>
    <w:rsid w:val="0082717C"/>
    <w:rsid w:val="0082718D"/>
    <w:rsid w:val="0082722B"/>
    <w:rsid w:val="008273E1"/>
    <w:rsid w:val="0082745A"/>
    <w:rsid w:val="0082753C"/>
    <w:rsid w:val="0082758B"/>
    <w:rsid w:val="00827615"/>
    <w:rsid w:val="0082776E"/>
    <w:rsid w:val="0082777A"/>
    <w:rsid w:val="00827787"/>
    <w:rsid w:val="0082787B"/>
    <w:rsid w:val="0082796B"/>
    <w:rsid w:val="00827A4B"/>
    <w:rsid w:val="00827A54"/>
    <w:rsid w:val="00827A98"/>
    <w:rsid w:val="00827AC2"/>
    <w:rsid w:val="00827B6C"/>
    <w:rsid w:val="00827C60"/>
    <w:rsid w:val="00827C8A"/>
    <w:rsid w:val="00827C9A"/>
    <w:rsid w:val="00827D46"/>
    <w:rsid w:val="00827E61"/>
    <w:rsid w:val="00827F5F"/>
    <w:rsid w:val="00827FD3"/>
    <w:rsid w:val="00827FF2"/>
    <w:rsid w:val="0083005A"/>
    <w:rsid w:val="0083006F"/>
    <w:rsid w:val="008300BB"/>
    <w:rsid w:val="0083012E"/>
    <w:rsid w:val="0083015B"/>
    <w:rsid w:val="008304C9"/>
    <w:rsid w:val="0083056E"/>
    <w:rsid w:val="00830676"/>
    <w:rsid w:val="0083076F"/>
    <w:rsid w:val="00830771"/>
    <w:rsid w:val="008307EA"/>
    <w:rsid w:val="00830829"/>
    <w:rsid w:val="0083092A"/>
    <w:rsid w:val="0083095E"/>
    <w:rsid w:val="008309C5"/>
    <w:rsid w:val="00830AD0"/>
    <w:rsid w:val="00830BDD"/>
    <w:rsid w:val="00830CE6"/>
    <w:rsid w:val="00830D5A"/>
    <w:rsid w:val="00830E34"/>
    <w:rsid w:val="00830E7A"/>
    <w:rsid w:val="00830EC3"/>
    <w:rsid w:val="00830EF0"/>
    <w:rsid w:val="00830EFC"/>
    <w:rsid w:val="00831027"/>
    <w:rsid w:val="0083106D"/>
    <w:rsid w:val="00831100"/>
    <w:rsid w:val="0083119B"/>
    <w:rsid w:val="00831310"/>
    <w:rsid w:val="0083142E"/>
    <w:rsid w:val="00831509"/>
    <w:rsid w:val="0083150A"/>
    <w:rsid w:val="00831648"/>
    <w:rsid w:val="00831653"/>
    <w:rsid w:val="008316F4"/>
    <w:rsid w:val="008317AD"/>
    <w:rsid w:val="008319B0"/>
    <w:rsid w:val="00831A5C"/>
    <w:rsid w:val="00831AD8"/>
    <w:rsid w:val="00831B95"/>
    <w:rsid w:val="00831C0E"/>
    <w:rsid w:val="00831C4B"/>
    <w:rsid w:val="00831DEF"/>
    <w:rsid w:val="0083217F"/>
    <w:rsid w:val="008322E1"/>
    <w:rsid w:val="008323AF"/>
    <w:rsid w:val="008323BB"/>
    <w:rsid w:val="008324D4"/>
    <w:rsid w:val="0083251F"/>
    <w:rsid w:val="0083259A"/>
    <w:rsid w:val="008325F6"/>
    <w:rsid w:val="008329E4"/>
    <w:rsid w:val="00832A26"/>
    <w:rsid w:val="00832AD9"/>
    <w:rsid w:val="00832AEE"/>
    <w:rsid w:val="00832B6C"/>
    <w:rsid w:val="00832D55"/>
    <w:rsid w:val="00832DF6"/>
    <w:rsid w:val="00832FA1"/>
    <w:rsid w:val="00833051"/>
    <w:rsid w:val="0083306D"/>
    <w:rsid w:val="008331B1"/>
    <w:rsid w:val="008331C9"/>
    <w:rsid w:val="008332B5"/>
    <w:rsid w:val="0083334E"/>
    <w:rsid w:val="008333ED"/>
    <w:rsid w:val="00833428"/>
    <w:rsid w:val="0083353B"/>
    <w:rsid w:val="00833583"/>
    <w:rsid w:val="008335B6"/>
    <w:rsid w:val="0083369F"/>
    <w:rsid w:val="0083380C"/>
    <w:rsid w:val="00833A4E"/>
    <w:rsid w:val="00833C57"/>
    <w:rsid w:val="00833C82"/>
    <w:rsid w:val="00833D0B"/>
    <w:rsid w:val="00833D92"/>
    <w:rsid w:val="00833F06"/>
    <w:rsid w:val="00833F46"/>
    <w:rsid w:val="00834036"/>
    <w:rsid w:val="008341CA"/>
    <w:rsid w:val="008341CC"/>
    <w:rsid w:val="0083420E"/>
    <w:rsid w:val="008342F8"/>
    <w:rsid w:val="0083433C"/>
    <w:rsid w:val="008343B5"/>
    <w:rsid w:val="00834431"/>
    <w:rsid w:val="00834474"/>
    <w:rsid w:val="00834485"/>
    <w:rsid w:val="0083472E"/>
    <w:rsid w:val="008347C2"/>
    <w:rsid w:val="0083481D"/>
    <w:rsid w:val="00834843"/>
    <w:rsid w:val="00834847"/>
    <w:rsid w:val="0083495E"/>
    <w:rsid w:val="00834B52"/>
    <w:rsid w:val="00834BF3"/>
    <w:rsid w:val="00834C06"/>
    <w:rsid w:val="00834D21"/>
    <w:rsid w:val="00834D2F"/>
    <w:rsid w:val="00834D52"/>
    <w:rsid w:val="00834DB4"/>
    <w:rsid w:val="00834E12"/>
    <w:rsid w:val="00834E8C"/>
    <w:rsid w:val="00834EA3"/>
    <w:rsid w:val="00834EB9"/>
    <w:rsid w:val="008350EC"/>
    <w:rsid w:val="008350F4"/>
    <w:rsid w:val="00835186"/>
    <w:rsid w:val="0083523C"/>
    <w:rsid w:val="00835271"/>
    <w:rsid w:val="00835358"/>
    <w:rsid w:val="00835375"/>
    <w:rsid w:val="00835438"/>
    <w:rsid w:val="00835487"/>
    <w:rsid w:val="008355EC"/>
    <w:rsid w:val="0083561D"/>
    <w:rsid w:val="00835696"/>
    <w:rsid w:val="0083578C"/>
    <w:rsid w:val="00835857"/>
    <w:rsid w:val="008358E2"/>
    <w:rsid w:val="00835A88"/>
    <w:rsid w:val="00835A95"/>
    <w:rsid w:val="00835D20"/>
    <w:rsid w:val="00835DE1"/>
    <w:rsid w:val="00835E9B"/>
    <w:rsid w:val="00835EB9"/>
    <w:rsid w:val="0083604F"/>
    <w:rsid w:val="008360AD"/>
    <w:rsid w:val="00836116"/>
    <w:rsid w:val="00836173"/>
    <w:rsid w:val="008361DC"/>
    <w:rsid w:val="0083642D"/>
    <w:rsid w:val="0083656F"/>
    <w:rsid w:val="00836682"/>
    <w:rsid w:val="008366C2"/>
    <w:rsid w:val="008367D4"/>
    <w:rsid w:val="00836843"/>
    <w:rsid w:val="0083691E"/>
    <w:rsid w:val="0083699D"/>
    <w:rsid w:val="00836A57"/>
    <w:rsid w:val="00836B82"/>
    <w:rsid w:val="00836BF6"/>
    <w:rsid w:val="00836E13"/>
    <w:rsid w:val="00836EA2"/>
    <w:rsid w:val="00836EB3"/>
    <w:rsid w:val="008370F4"/>
    <w:rsid w:val="008373EF"/>
    <w:rsid w:val="00837458"/>
    <w:rsid w:val="0083748E"/>
    <w:rsid w:val="0083774F"/>
    <w:rsid w:val="0083788C"/>
    <w:rsid w:val="008378C9"/>
    <w:rsid w:val="008379DD"/>
    <w:rsid w:val="00837A45"/>
    <w:rsid w:val="00837CDB"/>
    <w:rsid w:val="00837CE7"/>
    <w:rsid w:val="00837D08"/>
    <w:rsid w:val="00837E0A"/>
    <w:rsid w:val="00837ED3"/>
    <w:rsid w:val="00837ED7"/>
    <w:rsid w:val="00837FFE"/>
    <w:rsid w:val="0084002C"/>
    <w:rsid w:val="008401C8"/>
    <w:rsid w:val="008402BC"/>
    <w:rsid w:val="0084046F"/>
    <w:rsid w:val="00840496"/>
    <w:rsid w:val="0084060E"/>
    <w:rsid w:val="00840727"/>
    <w:rsid w:val="00840740"/>
    <w:rsid w:val="008407B1"/>
    <w:rsid w:val="008407CA"/>
    <w:rsid w:val="008407D6"/>
    <w:rsid w:val="008407F6"/>
    <w:rsid w:val="0084090C"/>
    <w:rsid w:val="00840987"/>
    <w:rsid w:val="008409BA"/>
    <w:rsid w:val="008409E5"/>
    <w:rsid w:val="00840AE8"/>
    <w:rsid w:val="00840B18"/>
    <w:rsid w:val="00840BB7"/>
    <w:rsid w:val="00840E6E"/>
    <w:rsid w:val="00840EC4"/>
    <w:rsid w:val="00840EC8"/>
    <w:rsid w:val="00840F33"/>
    <w:rsid w:val="00840F5F"/>
    <w:rsid w:val="00840FCF"/>
    <w:rsid w:val="008410B2"/>
    <w:rsid w:val="00841199"/>
    <w:rsid w:val="008411E5"/>
    <w:rsid w:val="00841202"/>
    <w:rsid w:val="008412F5"/>
    <w:rsid w:val="00841442"/>
    <w:rsid w:val="008414BA"/>
    <w:rsid w:val="008416A0"/>
    <w:rsid w:val="00841914"/>
    <w:rsid w:val="008419D4"/>
    <w:rsid w:val="00841A3D"/>
    <w:rsid w:val="00841B11"/>
    <w:rsid w:val="00841C0F"/>
    <w:rsid w:val="00841C2C"/>
    <w:rsid w:val="00841D0A"/>
    <w:rsid w:val="00841D11"/>
    <w:rsid w:val="00841D35"/>
    <w:rsid w:val="00841DF7"/>
    <w:rsid w:val="00841F98"/>
    <w:rsid w:val="008420BD"/>
    <w:rsid w:val="008420C2"/>
    <w:rsid w:val="008420F4"/>
    <w:rsid w:val="00842122"/>
    <w:rsid w:val="0084214B"/>
    <w:rsid w:val="0084233E"/>
    <w:rsid w:val="008423D0"/>
    <w:rsid w:val="008424DD"/>
    <w:rsid w:val="00842545"/>
    <w:rsid w:val="0084255B"/>
    <w:rsid w:val="00842576"/>
    <w:rsid w:val="008425B0"/>
    <w:rsid w:val="008425B6"/>
    <w:rsid w:val="0084268F"/>
    <w:rsid w:val="00842788"/>
    <w:rsid w:val="00842806"/>
    <w:rsid w:val="0084280A"/>
    <w:rsid w:val="00842921"/>
    <w:rsid w:val="00842946"/>
    <w:rsid w:val="008429CF"/>
    <w:rsid w:val="00842C06"/>
    <w:rsid w:val="00842C77"/>
    <w:rsid w:val="00842DFF"/>
    <w:rsid w:val="00842E2C"/>
    <w:rsid w:val="00842E5D"/>
    <w:rsid w:val="00842FBF"/>
    <w:rsid w:val="00842FF8"/>
    <w:rsid w:val="00843039"/>
    <w:rsid w:val="00843040"/>
    <w:rsid w:val="008430C5"/>
    <w:rsid w:val="008430E0"/>
    <w:rsid w:val="008431D3"/>
    <w:rsid w:val="008431D7"/>
    <w:rsid w:val="0084335B"/>
    <w:rsid w:val="00843439"/>
    <w:rsid w:val="00843489"/>
    <w:rsid w:val="008434DE"/>
    <w:rsid w:val="00843508"/>
    <w:rsid w:val="0084369A"/>
    <w:rsid w:val="00843707"/>
    <w:rsid w:val="0084373A"/>
    <w:rsid w:val="00843768"/>
    <w:rsid w:val="008437B7"/>
    <w:rsid w:val="008437ED"/>
    <w:rsid w:val="008437F0"/>
    <w:rsid w:val="008438C6"/>
    <w:rsid w:val="008438FC"/>
    <w:rsid w:val="00843A1F"/>
    <w:rsid w:val="00843A4D"/>
    <w:rsid w:val="00843B05"/>
    <w:rsid w:val="00843B17"/>
    <w:rsid w:val="00843B28"/>
    <w:rsid w:val="00843CC7"/>
    <w:rsid w:val="00843D17"/>
    <w:rsid w:val="00843D4E"/>
    <w:rsid w:val="00843D8F"/>
    <w:rsid w:val="00843E25"/>
    <w:rsid w:val="00843EE0"/>
    <w:rsid w:val="00843F49"/>
    <w:rsid w:val="0084400F"/>
    <w:rsid w:val="0084401C"/>
    <w:rsid w:val="008440FC"/>
    <w:rsid w:val="0084425A"/>
    <w:rsid w:val="008442EA"/>
    <w:rsid w:val="00844328"/>
    <w:rsid w:val="00844458"/>
    <w:rsid w:val="008444F6"/>
    <w:rsid w:val="00844645"/>
    <w:rsid w:val="008446FB"/>
    <w:rsid w:val="00844861"/>
    <w:rsid w:val="00844A3F"/>
    <w:rsid w:val="00844AC4"/>
    <w:rsid w:val="00844B70"/>
    <w:rsid w:val="00844BB2"/>
    <w:rsid w:val="00844BD5"/>
    <w:rsid w:val="00844C26"/>
    <w:rsid w:val="00844DBA"/>
    <w:rsid w:val="00844DFE"/>
    <w:rsid w:val="00844E04"/>
    <w:rsid w:val="00844E33"/>
    <w:rsid w:val="00844FA9"/>
    <w:rsid w:val="008450B0"/>
    <w:rsid w:val="00845433"/>
    <w:rsid w:val="00845486"/>
    <w:rsid w:val="00845514"/>
    <w:rsid w:val="00845517"/>
    <w:rsid w:val="0084563C"/>
    <w:rsid w:val="008457CC"/>
    <w:rsid w:val="00845963"/>
    <w:rsid w:val="0084599E"/>
    <w:rsid w:val="00845B19"/>
    <w:rsid w:val="00845C51"/>
    <w:rsid w:val="00845D38"/>
    <w:rsid w:val="00845DD0"/>
    <w:rsid w:val="00845DE5"/>
    <w:rsid w:val="00845E26"/>
    <w:rsid w:val="00845E72"/>
    <w:rsid w:val="00846033"/>
    <w:rsid w:val="00846158"/>
    <w:rsid w:val="008461B5"/>
    <w:rsid w:val="008461F0"/>
    <w:rsid w:val="00846363"/>
    <w:rsid w:val="00846533"/>
    <w:rsid w:val="00846584"/>
    <w:rsid w:val="008466F7"/>
    <w:rsid w:val="00846751"/>
    <w:rsid w:val="0084676E"/>
    <w:rsid w:val="00846848"/>
    <w:rsid w:val="008469A9"/>
    <w:rsid w:val="00846A34"/>
    <w:rsid w:val="00846C32"/>
    <w:rsid w:val="00846C3D"/>
    <w:rsid w:val="00846CEB"/>
    <w:rsid w:val="00846DE6"/>
    <w:rsid w:val="00846E5E"/>
    <w:rsid w:val="00846FD4"/>
    <w:rsid w:val="008471E3"/>
    <w:rsid w:val="00847219"/>
    <w:rsid w:val="00847220"/>
    <w:rsid w:val="00847277"/>
    <w:rsid w:val="008472D3"/>
    <w:rsid w:val="00847334"/>
    <w:rsid w:val="008473A7"/>
    <w:rsid w:val="008473C0"/>
    <w:rsid w:val="0084745D"/>
    <w:rsid w:val="00847468"/>
    <w:rsid w:val="00847542"/>
    <w:rsid w:val="008475BB"/>
    <w:rsid w:val="0084768F"/>
    <w:rsid w:val="0084774F"/>
    <w:rsid w:val="008478B9"/>
    <w:rsid w:val="00847935"/>
    <w:rsid w:val="00847984"/>
    <w:rsid w:val="00847A66"/>
    <w:rsid w:val="00847AF6"/>
    <w:rsid w:val="00847C48"/>
    <w:rsid w:val="00847C8C"/>
    <w:rsid w:val="00847D3B"/>
    <w:rsid w:val="00847DED"/>
    <w:rsid w:val="00847EC8"/>
    <w:rsid w:val="00847EEE"/>
    <w:rsid w:val="0085006A"/>
    <w:rsid w:val="008500A3"/>
    <w:rsid w:val="008500E8"/>
    <w:rsid w:val="008501BF"/>
    <w:rsid w:val="00850251"/>
    <w:rsid w:val="00850687"/>
    <w:rsid w:val="00850878"/>
    <w:rsid w:val="00850880"/>
    <w:rsid w:val="00850888"/>
    <w:rsid w:val="008508AF"/>
    <w:rsid w:val="008509A0"/>
    <w:rsid w:val="008509BF"/>
    <w:rsid w:val="008509F8"/>
    <w:rsid w:val="00850B0C"/>
    <w:rsid w:val="00850B7D"/>
    <w:rsid w:val="00850CA9"/>
    <w:rsid w:val="00850CEF"/>
    <w:rsid w:val="00850D75"/>
    <w:rsid w:val="00850D8D"/>
    <w:rsid w:val="00850DA4"/>
    <w:rsid w:val="00850DB6"/>
    <w:rsid w:val="00850F6F"/>
    <w:rsid w:val="00850F80"/>
    <w:rsid w:val="0085124D"/>
    <w:rsid w:val="00851251"/>
    <w:rsid w:val="00851289"/>
    <w:rsid w:val="0085141F"/>
    <w:rsid w:val="00851480"/>
    <w:rsid w:val="008514FE"/>
    <w:rsid w:val="00851649"/>
    <w:rsid w:val="00851654"/>
    <w:rsid w:val="0085181F"/>
    <w:rsid w:val="0085183D"/>
    <w:rsid w:val="00851894"/>
    <w:rsid w:val="008518CE"/>
    <w:rsid w:val="00851A9D"/>
    <w:rsid w:val="00851C3C"/>
    <w:rsid w:val="00851E54"/>
    <w:rsid w:val="00851F32"/>
    <w:rsid w:val="00852033"/>
    <w:rsid w:val="00852185"/>
    <w:rsid w:val="008521B5"/>
    <w:rsid w:val="008522DC"/>
    <w:rsid w:val="008523C8"/>
    <w:rsid w:val="008523D6"/>
    <w:rsid w:val="0085244F"/>
    <w:rsid w:val="00852466"/>
    <w:rsid w:val="008524FE"/>
    <w:rsid w:val="0085251D"/>
    <w:rsid w:val="00852651"/>
    <w:rsid w:val="008526B2"/>
    <w:rsid w:val="008527C1"/>
    <w:rsid w:val="00852831"/>
    <w:rsid w:val="008528C2"/>
    <w:rsid w:val="008529E7"/>
    <w:rsid w:val="00852A3E"/>
    <w:rsid w:val="00852ACB"/>
    <w:rsid w:val="00852C47"/>
    <w:rsid w:val="00852C48"/>
    <w:rsid w:val="00852C67"/>
    <w:rsid w:val="00852D9A"/>
    <w:rsid w:val="00852E1F"/>
    <w:rsid w:val="00852E6D"/>
    <w:rsid w:val="00852E87"/>
    <w:rsid w:val="00852EA1"/>
    <w:rsid w:val="00852FA7"/>
    <w:rsid w:val="00853082"/>
    <w:rsid w:val="00853235"/>
    <w:rsid w:val="0085329C"/>
    <w:rsid w:val="008532A4"/>
    <w:rsid w:val="008533CF"/>
    <w:rsid w:val="00853641"/>
    <w:rsid w:val="0085366C"/>
    <w:rsid w:val="008536B7"/>
    <w:rsid w:val="00853783"/>
    <w:rsid w:val="008538A5"/>
    <w:rsid w:val="008538B3"/>
    <w:rsid w:val="00853E2E"/>
    <w:rsid w:val="00853F4E"/>
    <w:rsid w:val="00853FE7"/>
    <w:rsid w:val="00854049"/>
    <w:rsid w:val="008540C7"/>
    <w:rsid w:val="0085413E"/>
    <w:rsid w:val="008541BA"/>
    <w:rsid w:val="0085453A"/>
    <w:rsid w:val="00854594"/>
    <w:rsid w:val="0085459D"/>
    <w:rsid w:val="0085461E"/>
    <w:rsid w:val="00854669"/>
    <w:rsid w:val="0085472E"/>
    <w:rsid w:val="0085477B"/>
    <w:rsid w:val="0085494C"/>
    <w:rsid w:val="008549C3"/>
    <w:rsid w:val="00854D93"/>
    <w:rsid w:val="00854DD0"/>
    <w:rsid w:val="00854DDC"/>
    <w:rsid w:val="00854E43"/>
    <w:rsid w:val="00854EC4"/>
    <w:rsid w:val="00854ED1"/>
    <w:rsid w:val="00854EF5"/>
    <w:rsid w:val="00854EFE"/>
    <w:rsid w:val="00854F2D"/>
    <w:rsid w:val="008550CF"/>
    <w:rsid w:val="00855145"/>
    <w:rsid w:val="00855153"/>
    <w:rsid w:val="008551C8"/>
    <w:rsid w:val="0085520A"/>
    <w:rsid w:val="008552EC"/>
    <w:rsid w:val="00855375"/>
    <w:rsid w:val="008553BD"/>
    <w:rsid w:val="00855498"/>
    <w:rsid w:val="00855608"/>
    <w:rsid w:val="008556AD"/>
    <w:rsid w:val="008556FE"/>
    <w:rsid w:val="0085581D"/>
    <w:rsid w:val="0085582E"/>
    <w:rsid w:val="008558C1"/>
    <w:rsid w:val="00855A57"/>
    <w:rsid w:val="00855B0B"/>
    <w:rsid w:val="00855B93"/>
    <w:rsid w:val="00855CCF"/>
    <w:rsid w:val="00855E14"/>
    <w:rsid w:val="00855EEF"/>
    <w:rsid w:val="00855FCF"/>
    <w:rsid w:val="008560AC"/>
    <w:rsid w:val="00856128"/>
    <w:rsid w:val="0085612E"/>
    <w:rsid w:val="0085613E"/>
    <w:rsid w:val="00856317"/>
    <w:rsid w:val="00856328"/>
    <w:rsid w:val="008563B4"/>
    <w:rsid w:val="00856476"/>
    <w:rsid w:val="008564C9"/>
    <w:rsid w:val="008567E0"/>
    <w:rsid w:val="0085682D"/>
    <w:rsid w:val="008568DC"/>
    <w:rsid w:val="0085696A"/>
    <w:rsid w:val="008569D5"/>
    <w:rsid w:val="00856A0D"/>
    <w:rsid w:val="00856A10"/>
    <w:rsid w:val="00856A26"/>
    <w:rsid w:val="00856A2D"/>
    <w:rsid w:val="00856AC8"/>
    <w:rsid w:val="00856BD7"/>
    <w:rsid w:val="00856C85"/>
    <w:rsid w:val="00856CCA"/>
    <w:rsid w:val="00856CFE"/>
    <w:rsid w:val="00856D6A"/>
    <w:rsid w:val="00856DE6"/>
    <w:rsid w:val="00856F1A"/>
    <w:rsid w:val="00857015"/>
    <w:rsid w:val="00857035"/>
    <w:rsid w:val="008570E3"/>
    <w:rsid w:val="00857112"/>
    <w:rsid w:val="0085715F"/>
    <w:rsid w:val="00857520"/>
    <w:rsid w:val="00857533"/>
    <w:rsid w:val="008575EA"/>
    <w:rsid w:val="0085764B"/>
    <w:rsid w:val="008579C6"/>
    <w:rsid w:val="00857A89"/>
    <w:rsid w:val="00857BA5"/>
    <w:rsid w:val="00857BFD"/>
    <w:rsid w:val="00857CE8"/>
    <w:rsid w:val="00857F0C"/>
    <w:rsid w:val="00857F4F"/>
    <w:rsid w:val="00857FB0"/>
    <w:rsid w:val="00860067"/>
    <w:rsid w:val="008601E9"/>
    <w:rsid w:val="008603CC"/>
    <w:rsid w:val="0086043E"/>
    <w:rsid w:val="0086053D"/>
    <w:rsid w:val="008605D0"/>
    <w:rsid w:val="00860774"/>
    <w:rsid w:val="00860810"/>
    <w:rsid w:val="0086083F"/>
    <w:rsid w:val="008608CC"/>
    <w:rsid w:val="0086098A"/>
    <w:rsid w:val="008609C9"/>
    <w:rsid w:val="00860A50"/>
    <w:rsid w:val="00860AF2"/>
    <w:rsid w:val="00860BD9"/>
    <w:rsid w:val="00860CE8"/>
    <w:rsid w:val="00861036"/>
    <w:rsid w:val="00861259"/>
    <w:rsid w:val="008612E8"/>
    <w:rsid w:val="0086133A"/>
    <w:rsid w:val="008613EB"/>
    <w:rsid w:val="0086149A"/>
    <w:rsid w:val="00861512"/>
    <w:rsid w:val="00861529"/>
    <w:rsid w:val="00861546"/>
    <w:rsid w:val="00861613"/>
    <w:rsid w:val="0086168B"/>
    <w:rsid w:val="00861785"/>
    <w:rsid w:val="00861873"/>
    <w:rsid w:val="0086192B"/>
    <w:rsid w:val="00861B22"/>
    <w:rsid w:val="00861C8D"/>
    <w:rsid w:val="00861CB3"/>
    <w:rsid w:val="00861CB6"/>
    <w:rsid w:val="00861CBD"/>
    <w:rsid w:val="00861E30"/>
    <w:rsid w:val="00861E59"/>
    <w:rsid w:val="00861E7D"/>
    <w:rsid w:val="00862030"/>
    <w:rsid w:val="008620F7"/>
    <w:rsid w:val="0086211B"/>
    <w:rsid w:val="008622D2"/>
    <w:rsid w:val="008623EE"/>
    <w:rsid w:val="008624F4"/>
    <w:rsid w:val="00862545"/>
    <w:rsid w:val="0086276B"/>
    <w:rsid w:val="00862790"/>
    <w:rsid w:val="008627E6"/>
    <w:rsid w:val="008628B8"/>
    <w:rsid w:val="00862910"/>
    <w:rsid w:val="00862AD0"/>
    <w:rsid w:val="00862B65"/>
    <w:rsid w:val="00862D76"/>
    <w:rsid w:val="00862DAC"/>
    <w:rsid w:val="00862F2B"/>
    <w:rsid w:val="00863073"/>
    <w:rsid w:val="00863099"/>
    <w:rsid w:val="008630C4"/>
    <w:rsid w:val="0086311E"/>
    <w:rsid w:val="008631B7"/>
    <w:rsid w:val="008631D4"/>
    <w:rsid w:val="008631E5"/>
    <w:rsid w:val="00863341"/>
    <w:rsid w:val="008635B6"/>
    <w:rsid w:val="0086365C"/>
    <w:rsid w:val="008636E8"/>
    <w:rsid w:val="00863877"/>
    <w:rsid w:val="00863938"/>
    <w:rsid w:val="00863954"/>
    <w:rsid w:val="00863987"/>
    <w:rsid w:val="00863A76"/>
    <w:rsid w:val="00863B5B"/>
    <w:rsid w:val="00863CE1"/>
    <w:rsid w:val="00863F91"/>
    <w:rsid w:val="0086409B"/>
    <w:rsid w:val="008640C3"/>
    <w:rsid w:val="008642BA"/>
    <w:rsid w:val="00864568"/>
    <w:rsid w:val="008646E8"/>
    <w:rsid w:val="008646F7"/>
    <w:rsid w:val="00864729"/>
    <w:rsid w:val="00864827"/>
    <w:rsid w:val="008648DC"/>
    <w:rsid w:val="00864966"/>
    <w:rsid w:val="008649A4"/>
    <w:rsid w:val="00864B40"/>
    <w:rsid w:val="00864B65"/>
    <w:rsid w:val="00864BFF"/>
    <w:rsid w:val="00864CAC"/>
    <w:rsid w:val="00864CCE"/>
    <w:rsid w:val="00864D19"/>
    <w:rsid w:val="00864DE0"/>
    <w:rsid w:val="00864F10"/>
    <w:rsid w:val="00864FA3"/>
    <w:rsid w:val="00864FAD"/>
    <w:rsid w:val="00864FB0"/>
    <w:rsid w:val="0086521F"/>
    <w:rsid w:val="00865287"/>
    <w:rsid w:val="008654AB"/>
    <w:rsid w:val="00865578"/>
    <w:rsid w:val="00865583"/>
    <w:rsid w:val="00865605"/>
    <w:rsid w:val="00865741"/>
    <w:rsid w:val="008657AA"/>
    <w:rsid w:val="00865C6E"/>
    <w:rsid w:val="00865C72"/>
    <w:rsid w:val="00865CF7"/>
    <w:rsid w:val="00865D60"/>
    <w:rsid w:val="00865DC3"/>
    <w:rsid w:val="00865EC4"/>
    <w:rsid w:val="00865F04"/>
    <w:rsid w:val="00866025"/>
    <w:rsid w:val="00866072"/>
    <w:rsid w:val="0086607F"/>
    <w:rsid w:val="008662BB"/>
    <w:rsid w:val="00866306"/>
    <w:rsid w:val="00866325"/>
    <w:rsid w:val="0086636A"/>
    <w:rsid w:val="0086637A"/>
    <w:rsid w:val="0086654B"/>
    <w:rsid w:val="008667A7"/>
    <w:rsid w:val="0086694F"/>
    <w:rsid w:val="0086698C"/>
    <w:rsid w:val="00866B30"/>
    <w:rsid w:val="00866BE2"/>
    <w:rsid w:val="00866C32"/>
    <w:rsid w:val="00866D74"/>
    <w:rsid w:val="00866D7D"/>
    <w:rsid w:val="00866FA1"/>
    <w:rsid w:val="00867092"/>
    <w:rsid w:val="008671D4"/>
    <w:rsid w:val="0086723B"/>
    <w:rsid w:val="0086726B"/>
    <w:rsid w:val="0086729B"/>
    <w:rsid w:val="0086729E"/>
    <w:rsid w:val="00867436"/>
    <w:rsid w:val="008674BF"/>
    <w:rsid w:val="008674EE"/>
    <w:rsid w:val="00867541"/>
    <w:rsid w:val="008675BF"/>
    <w:rsid w:val="008675EE"/>
    <w:rsid w:val="00867634"/>
    <w:rsid w:val="00867659"/>
    <w:rsid w:val="008676F9"/>
    <w:rsid w:val="00867705"/>
    <w:rsid w:val="0086777E"/>
    <w:rsid w:val="008677BD"/>
    <w:rsid w:val="008677FE"/>
    <w:rsid w:val="00867887"/>
    <w:rsid w:val="008678A5"/>
    <w:rsid w:val="008678C7"/>
    <w:rsid w:val="00867A44"/>
    <w:rsid w:val="00867B3E"/>
    <w:rsid w:val="00867BE4"/>
    <w:rsid w:val="00867C57"/>
    <w:rsid w:val="00867C66"/>
    <w:rsid w:val="00867C6D"/>
    <w:rsid w:val="00867D03"/>
    <w:rsid w:val="00867DC9"/>
    <w:rsid w:val="00867E9A"/>
    <w:rsid w:val="00867F20"/>
    <w:rsid w:val="00867F4C"/>
    <w:rsid w:val="00870009"/>
    <w:rsid w:val="00870080"/>
    <w:rsid w:val="00870096"/>
    <w:rsid w:val="00870117"/>
    <w:rsid w:val="00870144"/>
    <w:rsid w:val="008701C4"/>
    <w:rsid w:val="008702F3"/>
    <w:rsid w:val="008703BB"/>
    <w:rsid w:val="008703D8"/>
    <w:rsid w:val="0087047D"/>
    <w:rsid w:val="00870505"/>
    <w:rsid w:val="00870509"/>
    <w:rsid w:val="008705F7"/>
    <w:rsid w:val="00870654"/>
    <w:rsid w:val="008706F5"/>
    <w:rsid w:val="008706F8"/>
    <w:rsid w:val="00870878"/>
    <w:rsid w:val="008708EE"/>
    <w:rsid w:val="00870953"/>
    <w:rsid w:val="00870A83"/>
    <w:rsid w:val="00870B28"/>
    <w:rsid w:val="00870C94"/>
    <w:rsid w:val="00870D0A"/>
    <w:rsid w:val="00870DF0"/>
    <w:rsid w:val="00870F89"/>
    <w:rsid w:val="00871095"/>
    <w:rsid w:val="008710B2"/>
    <w:rsid w:val="008711E1"/>
    <w:rsid w:val="00871200"/>
    <w:rsid w:val="00871244"/>
    <w:rsid w:val="008713A8"/>
    <w:rsid w:val="00871519"/>
    <w:rsid w:val="00871540"/>
    <w:rsid w:val="00871568"/>
    <w:rsid w:val="0087157C"/>
    <w:rsid w:val="00871614"/>
    <w:rsid w:val="0087174C"/>
    <w:rsid w:val="0087175B"/>
    <w:rsid w:val="0087191B"/>
    <w:rsid w:val="0087194D"/>
    <w:rsid w:val="00871951"/>
    <w:rsid w:val="00871974"/>
    <w:rsid w:val="00871DA5"/>
    <w:rsid w:val="00871DAF"/>
    <w:rsid w:val="00871DD4"/>
    <w:rsid w:val="0087204F"/>
    <w:rsid w:val="008721CF"/>
    <w:rsid w:val="0087220A"/>
    <w:rsid w:val="008722E3"/>
    <w:rsid w:val="00872332"/>
    <w:rsid w:val="0087239D"/>
    <w:rsid w:val="00872482"/>
    <w:rsid w:val="00872483"/>
    <w:rsid w:val="008725AE"/>
    <w:rsid w:val="008725CF"/>
    <w:rsid w:val="00872676"/>
    <w:rsid w:val="00872683"/>
    <w:rsid w:val="0087275D"/>
    <w:rsid w:val="008727AC"/>
    <w:rsid w:val="008727EC"/>
    <w:rsid w:val="008727EF"/>
    <w:rsid w:val="00872819"/>
    <w:rsid w:val="00872853"/>
    <w:rsid w:val="008728E6"/>
    <w:rsid w:val="008728E8"/>
    <w:rsid w:val="0087297F"/>
    <w:rsid w:val="00872AFB"/>
    <w:rsid w:val="00872B9A"/>
    <w:rsid w:val="00872CE7"/>
    <w:rsid w:val="00872D06"/>
    <w:rsid w:val="00872D36"/>
    <w:rsid w:val="00872D9D"/>
    <w:rsid w:val="00872DAF"/>
    <w:rsid w:val="00872DB1"/>
    <w:rsid w:val="00872DEA"/>
    <w:rsid w:val="00872E09"/>
    <w:rsid w:val="00872E23"/>
    <w:rsid w:val="00872EAA"/>
    <w:rsid w:val="00872EB5"/>
    <w:rsid w:val="00873156"/>
    <w:rsid w:val="008732EC"/>
    <w:rsid w:val="008733A3"/>
    <w:rsid w:val="008735C2"/>
    <w:rsid w:val="00873641"/>
    <w:rsid w:val="008736C4"/>
    <w:rsid w:val="008736C5"/>
    <w:rsid w:val="00873758"/>
    <w:rsid w:val="00873762"/>
    <w:rsid w:val="008737C3"/>
    <w:rsid w:val="008737F7"/>
    <w:rsid w:val="00873825"/>
    <w:rsid w:val="00873962"/>
    <w:rsid w:val="00873A16"/>
    <w:rsid w:val="00873AA1"/>
    <w:rsid w:val="00873B0F"/>
    <w:rsid w:val="00873B2C"/>
    <w:rsid w:val="00873D88"/>
    <w:rsid w:val="00873DDB"/>
    <w:rsid w:val="00873DF7"/>
    <w:rsid w:val="00873E6E"/>
    <w:rsid w:val="00873EB0"/>
    <w:rsid w:val="00873F42"/>
    <w:rsid w:val="00873F81"/>
    <w:rsid w:val="00873FEA"/>
    <w:rsid w:val="0087412B"/>
    <w:rsid w:val="008742FE"/>
    <w:rsid w:val="00874488"/>
    <w:rsid w:val="008744F1"/>
    <w:rsid w:val="00874500"/>
    <w:rsid w:val="008745D0"/>
    <w:rsid w:val="008745F8"/>
    <w:rsid w:val="0087467A"/>
    <w:rsid w:val="008746ED"/>
    <w:rsid w:val="00874779"/>
    <w:rsid w:val="008747D2"/>
    <w:rsid w:val="00874907"/>
    <w:rsid w:val="0087493F"/>
    <w:rsid w:val="0087499F"/>
    <w:rsid w:val="00874B36"/>
    <w:rsid w:val="00874B4D"/>
    <w:rsid w:val="00874BC9"/>
    <w:rsid w:val="00874C83"/>
    <w:rsid w:val="00874C89"/>
    <w:rsid w:val="00874C98"/>
    <w:rsid w:val="00874CAE"/>
    <w:rsid w:val="0087511B"/>
    <w:rsid w:val="00875181"/>
    <w:rsid w:val="00875291"/>
    <w:rsid w:val="008752DA"/>
    <w:rsid w:val="008752DD"/>
    <w:rsid w:val="0087531A"/>
    <w:rsid w:val="008753DC"/>
    <w:rsid w:val="00875503"/>
    <w:rsid w:val="0087565D"/>
    <w:rsid w:val="00875939"/>
    <w:rsid w:val="008759B0"/>
    <w:rsid w:val="00875AAB"/>
    <w:rsid w:val="00875ACC"/>
    <w:rsid w:val="00875BB5"/>
    <w:rsid w:val="00875C2F"/>
    <w:rsid w:val="00875D41"/>
    <w:rsid w:val="00875EF6"/>
    <w:rsid w:val="00875F29"/>
    <w:rsid w:val="00875F55"/>
    <w:rsid w:val="00875F68"/>
    <w:rsid w:val="00876046"/>
    <w:rsid w:val="008760A8"/>
    <w:rsid w:val="008760B3"/>
    <w:rsid w:val="00876107"/>
    <w:rsid w:val="00876136"/>
    <w:rsid w:val="008761A3"/>
    <w:rsid w:val="008761DC"/>
    <w:rsid w:val="00876290"/>
    <w:rsid w:val="0087631D"/>
    <w:rsid w:val="00876321"/>
    <w:rsid w:val="00876429"/>
    <w:rsid w:val="0087646B"/>
    <w:rsid w:val="008764E5"/>
    <w:rsid w:val="0087657C"/>
    <w:rsid w:val="008765C5"/>
    <w:rsid w:val="008766A9"/>
    <w:rsid w:val="008766BD"/>
    <w:rsid w:val="00876961"/>
    <w:rsid w:val="00876995"/>
    <w:rsid w:val="00876A68"/>
    <w:rsid w:val="00876AA8"/>
    <w:rsid w:val="00876B50"/>
    <w:rsid w:val="00876DFD"/>
    <w:rsid w:val="00876E47"/>
    <w:rsid w:val="00876E51"/>
    <w:rsid w:val="00876FD0"/>
    <w:rsid w:val="00877127"/>
    <w:rsid w:val="00877180"/>
    <w:rsid w:val="008771CF"/>
    <w:rsid w:val="008771FF"/>
    <w:rsid w:val="00877235"/>
    <w:rsid w:val="008772E4"/>
    <w:rsid w:val="0087764D"/>
    <w:rsid w:val="008776AB"/>
    <w:rsid w:val="00877742"/>
    <w:rsid w:val="008777E0"/>
    <w:rsid w:val="00877890"/>
    <w:rsid w:val="008779C7"/>
    <w:rsid w:val="00877A40"/>
    <w:rsid w:val="00877AE1"/>
    <w:rsid w:val="00877B17"/>
    <w:rsid w:val="00877BE8"/>
    <w:rsid w:val="00877BF3"/>
    <w:rsid w:val="00877D19"/>
    <w:rsid w:val="00877F15"/>
    <w:rsid w:val="00880076"/>
    <w:rsid w:val="0088015D"/>
    <w:rsid w:val="00880184"/>
    <w:rsid w:val="00880237"/>
    <w:rsid w:val="00880442"/>
    <w:rsid w:val="008804CE"/>
    <w:rsid w:val="008804EA"/>
    <w:rsid w:val="0088053F"/>
    <w:rsid w:val="008805FF"/>
    <w:rsid w:val="00880676"/>
    <w:rsid w:val="008806F7"/>
    <w:rsid w:val="0088077A"/>
    <w:rsid w:val="00880874"/>
    <w:rsid w:val="00880894"/>
    <w:rsid w:val="008808FB"/>
    <w:rsid w:val="008809E5"/>
    <w:rsid w:val="00880B72"/>
    <w:rsid w:val="00880BC0"/>
    <w:rsid w:val="00880CF8"/>
    <w:rsid w:val="00880E01"/>
    <w:rsid w:val="00880E5A"/>
    <w:rsid w:val="00880EA1"/>
    <w:rsid w:val="00880F46"/>
    <w:rsid w:val="00880FCB"/>
    <w:rsid w:val="0088107F"/>
    <w:rsid w:val="0088110A"/>
    <w:rsid w:val="008813E7"/>
    <w:rsid w:val="008813ED"/>
    <w:rsid w:val="0088140C"/>
    <w:rsid w:val="008814D4"/>
    <w:rsid w:val="0088150C"/>
    <w:rsid w:val="00881565"/>
    <w:rsid w:val="00881601"/>
    <w:rsid w:val="00881945"/>
    <w:rsid w:val="00881A02"/>
    <w:rsid w:val="00881B1D"/>
    <w:rsid w:val="00881C56"/>
    <w:rsid w:val="00881E01"/>
    <w:rsid w:val="00881ED1"/>
    <w:rsid w:val="00881F09"/>
    <w:rsid w:val="00881FA0"/>
    <w:rsid w:val="00881FD5"/>
    <w:rsid w:val="008820BE"/>
    <w:rsid w:val="0088232C"/>
    <w:rsid w:val="00882413"/>
    <w:rsid w:val="00882519"/>
    <w:rsid w:val="0088270D"/>
    <w:rsid w:val="00882717"/>
    <w:rsid w:val="00882881"/>
    <w:rsid w:val="008828AA"/>
    <w:rsid w:val="00882A0B"/>
    <w:rsid w:val="00882A6D"/>
    <w:rsid w:val="00882BAA"/>
    <w:rsid w:val="00882D71"/>
    <w:rsid w:val="00882DB7"/>
    <w:rsid w:val="00882DD2"/>
    <w:rsid w:val="00882E58"/>
    <w:rsid w:val="00882F00"/>
    <w:rsid w:val="00882FB1"/>
    <w:rsid w:val="00882FDD"/>
    <w:rsid w:val="0088307D"/>
    <w:rsid w:val="008831C4"/>
    <w:rsid w:val="00883329"/>
    <w:rsid w:val="0088341A"/>
    <w:rsid w:val="008834C8"/>
    <w:rsid w:val="0088350A"/>
    <w:rsid w:val="0088376E"/>
    <w:rsid w:val="008839FD"/>
    <w:rsid w:val="00883D95"/>
    <w:rsid w:val="00883E15"/>
    <w:rsid w:val="00883F73"/>
    <w:rsid w:val="008840BC"/>
    <w:rsid w:val="008840E5"/>
    <w:rsid w:val="00884137"/>
    <w:rsid w:val="00884161"/>
    <w:rsid w:val="00884164"/>
    <w:rsid w:val="008841C2"/>
    <w:rsid w:val="008843CA"/>
    <w:rsid w:val="008843EE"/>
    <w:rsid w:val="00884426"/>
    <w:rsid w:val="008844BB"/>
    <w:rsid w:val="00884696"/>
    <w:rsid w:val="0088469E"/>
    <w:rsid w:val="008847A4"/>
    <w:rsid w:val="0088492B"/>
    <w:rsid w:val="00884BE2"/>
    <w:rsid w:val="00884BF0"/>
    <w:rsid w:val="00884D26"/>
    <w:rsid w:val="00885059"/>
    <w:rsid w:val="008850D4"/>
    <w:rsid w:val="00885226"/>
    <w:rsid w:val="008853A7"/>
    <w:rsid w:val="008854AC"/>
    <w:rsid w:val="00885530"/>
    <w:rsid w:val="008855FA"/>
    <w:rsid w:val="0088568B"/>
    <w:rsid w:val="00885725"/>
    <w:rsid w:val="00885767"/>
    <w:rsid w:val="0088585C"/>
    <w:rsid w:val="00885863"/>
    <w:rsid w:val="0088591F"/>
    <w:rsid w:val="0088595B"/>
    <w:rsid w:val="008859A1"/>
    <w:rsid w:val="00885A44"/>
    <w:rsid w:val="00885AF0"/>
    <w:rsid w:val="00885B1B"/>
    <w:rsid w:val="00885D95"/>
    <w:rsid w:val="00885F24"/>
    <w:rsid w:val="00885F4E"/>
    <w:rsid w:val="00885FE8"/>
    <w:rsid w:val="00886097"/>
    <w:rsid w:val="008860EF"/>
    <w:rsid w:val="00886282"/>
    <w:rsid w:val="00886356"/>
    <w:rsid w:val="00886389"/>
    <w:rsid w:val="008865C9"/>
    <w:rsid w:val="008865FD"/>
    <w:rsid w:val="00886632"/>
    <w:rsid w:val="00886846"/>
    <w:rsid w:val="00886917"/>
    <w:rsid w:val="00886A22"/>
    <w:rsid w:val="00886AD6"/>
    <w:rsid w:val="00886B2E"/>
    <w:rsid w:val="00886CF1"/>
    <w:rsid w:val="00886CF7"/>
    <w:rsid w:val="00886DBB"/>
    <w:rsid w:val="00886DE9"/>
    <w:rsid w:val="00886E90"/>
    <w:rsid w:val="00886F29"/>
    <w:rsid w:val="00887053"/>
    <w:rsid w:val="0088711C"/>
    <w:rsid w:val="0088723E"/>
    <w:rsid w:val="00887251"/>
    <w:rsid w:val="0088744F"/>
    <w:rsid w:val="008874AE"/>
    <w:rsid w:val="00887563"/>
    <w:rsid w:val="008875BE"/>
    <w:rsid w:val="0088769C"/>
    <w:rsid w:val="00887747"/>
    <w:rsid w:val="00887756"/>
    <w:rsid w:val="0088791B"/>
    <w:rsid w:val="008879DB"/>
    <w:rsid w:val="008879EF"/>
    <w:rsid w:val="00887A8E"/>
    <w:rsid w:val="00887BEC"/>
    <w:rsid w:val="00887C35"/>
    <w:rsid w:val="00887F05"/>
    <w:rsid w:val="00887F8A"/>
    <w:rsid w:val="00890016"/>
    <w:rsid w:val="008900A0"/>
    <w:rsid w:val="00890146"/>
    <w:rsid w:val="00890172"/>
    <w:rsid w:val="00890251"/>
    <w:rsid w:val="008902C3"/>
    <w:rsid w:val="00890318"/>
    <w:rsid w:val="008903A6"/>
    <w:rsid w:val="0089048F"/>
    <w:rsid w:val="008904CF"/>
    <w:rsid w:val="008904D2"/>
    <w:rsid w:val="008905C0"/>
    <w:rsid w:val="00890647"/>
    <w:rsid w:val="00890657"/>
    <w:rsid w:val="00890709"/>
    <w:rsid w:val="00890816"/>
    <w:rsid w:val="008909AA"/>
    <w:rsid w:val="008909B9"/>
    <w:rsid w:val="00890AA9"/>
    <w:rsid w:val="00890B9E"/>
    <w:rsid w:val="00890D08"/>
    <w:rsid w:val="00891031"/>
    <w:rsid w:val="008910D7"/>
    <w:rsid w:val="008910DE"/>
    <w:rsid w:val="00891192"/>
    <w:rsid w:val="00891265"/>
    <w:rsid w:val="00891279"/>
    <w:rsid w:val="008912A0"/>
    <w:rsid w:val="008912BA"/>
    <w:rsid w:val="00891335"/>
    <w:rsid w:val="00891425"/>
    <w:rsid w:val="00891539"/>
    <w:rsid w:val="008915FA"/>
    <w:rsid w:val="00891666"/>
    <w:rsid w:val="0089182A"/>
    <w:rsid w:val="00891912"/>
    <w:rsid w:val="0089195A"/>
    <w:rsid w:val="00891964"/>
    <w:rsid w:val="00891A41"/>
    <w:rsid w:val="00891A89"/>
    <w:rsid w:val="00891AC5"/>
    <w:rsid w:val="00891C9E"/>
    <w:rsid w:val="00891CF1"/>
    <w:rsid w:val="00891EA8"/>
    <w:rsid w:val="00891F34"/>
    <w:rsid w:val="0089202A"/>
    <w:rsid w:val="00892095"/>
    <w:rsid w:val="00892200"/>
    <w:rsid w:val="00892304"/>
    <w:rsid w:val="00892481"/>
    <w:rsid w:val="008924E4"/>
    <w:rsid w:val="00892518"/>
    <w:rsid w:val="0089269C"/>
    <w:rsid w:val="008926E1"/>
    <w:rsid w:val="0089286D"/>
    <w:rsid w:val="0089288A"/>
    <w:rsid w:val="008929B2"/>
    <w:rsid w:val="00892A19"/>
    <w:rsid w:val="00892ABE"/>
    <w:rsid w:val="00892D50"/>
    <w:rsid w:val="0089307D"/>
    <w:rsid w:val="0089316B"/>
    <w:rsid w:val="008931E5"/>
    <w:rsid w:val="0089351C"/>
    <w:rsid w:val="00893688"/>
    <w:rsid w:val="00893957"/>
    <w:rsid w:val="00893C02"/>
    <w:rsid w:val="00893C50"/>
    <w:rsid w:val="00893FA6"/>
    <w:rsid w:val="008941AA"/>
    <w:rsid w:val="00894480"/>
    <w:rsid w:val="008945DE"/>
    <w:rsid w:val="00894716"/>
    <w:rsid w:val="008948C2"/>
    <w:rsid w:val="00894910"/>
    <w:rsid w:val="0089493A"/>
    <w:rsid w:val="00894973"/>
    <w:rsid w:val="008949F1"/>
    <w:rsid w:val="00894AA7"/>
    <w:rsid w:val="00894ABA"/>
    <w:rsid w:val="00894BC9"/>
    <w:rsid w:val="00894C9F"/>
    <w:rsid w:val="00894D2C"/>
    <w:rsid w:val="00894E0F"/>
    <w:rsid w:val="00894EA8"/>
    <w:rsid w:val="00895074"/>
    <w:rsid w:val="0089508E"/>
    <w:rsid w:val="0089510E"/>
    <w:rsid w:val="008952D2"/>
    <w:rsid w:val="00895356"/>
    <w:rsid w:val="00895402"/>
    <w:rsid w:val="0089550C"/>
    <w:rsid w:val="00895533"/>
    <w:rsid w:val="008957CA"/>
    <w:rsid w:val="008957DA"/>
    <w:rsid w:val="00895838"/>
    <w:rsid w:val="008958AB"/>
    <w:rsid w:val="0089597F"/>
    <w:rsid w:val="00895C53"/>
    <w:rsid w:val="00895CCD"/>
    <w:rsid w:val="00895D4C"/>
    <w:rsid w:val="00895DA5"/>
    <w:rsid w:val="00895DA9"/>
    <w:rsid w:val="00895DC2"/>
    <w:rsid w:val="00895EA9"/>
    <w:rsid w:val="00895ED0"/>
    <w:rsid w:val="00895FDD"/>
    <w:rsid w:val="00896139"/>
    <w:rsid w:val="0089613E"/>
    <w:rsid w:val="008961CB"/>
    <w:rsid w:val="00896377"/>
    <w:rsid w:val="0089639C"/>
    <w:rsid w:val="008963BE"/>
    <w:rsid w:val="0089660F"/>
    <w:rsid w:val="00896780"/>
    <w:rsid w:val="00896851"/>
    <w:rsid w:val="00896A3B"/>
    <w:rsid w:val="00896B3A"/>
    <w:rsid w:val="00896D54"/>
    <w:rsid w:val="00896D61"/>
    <w:rsid w:val="00896DFA"/>
    <w:rsid w:val="00896E5A"/>
    <w:rsid w:val="00896F3A"/>
    <w:rsid w:val="00896FAC"/>
    <w:rsid w:val="00896FD7"/>
    <w:rsid w:val="0089711D"/>
    <w:rsid w:val="00897125"/>
    <w:rsid w:val="00897138"/>
    <w:rsid w:val="00897179"/>
    <w:rsid w:val="008972E9"/>
    <w:rsid w:val="00897533"/>
    <w:rsid w:val="008975AE"/>
    <w:rsid w:val="00897607"/>
    <w:rsid w:val="0089777F"/>
    <w:rsid w:val="00897811"/>
    <w:rsid w:val="008978B1"/>
    <w:rsid w:val="00897A62"/>
    <w:rsid w:val="00897D45"/>
    <w:rsid w:val="00897E46"/>
    <w:rsid w:val="00897EBD"/>
    <w:rsid w:val="00897F21"/>
    <w:rsid w:val="00897F99"/>
    <w:rsid w:val="008A0176"/>
    <w:rsid w:val="008A01E6"/>
    <w:rsid w:val="008A034B"/>
    <w:rsid w:val="008A03C6"/>
    <w:rsid w:val="008A0698"/>
    <w:rsid w:val="008A0A9D"/>
    <w:rsid w:val="008A0B91"/>
    <w:rsid w:val="008A0B99"/>
    <w:rsid w:val="008A0C3F"/>
    <w:rsid w:val="008A0D73"/>
    <w:rsid w:val="008A0E05"/>
    <w:rsid w:val="008A0F2A"/>
    <w:rsid w:val="008A1141"/>
    <w:rsid w:val="008A1414"/>
    <w:rsid w:val="008A1423"/>
    <w:rsid w:val="008A143D"/>
    <w:rsid w:val="008A14BB"/>
    <w:rsid w:val="008A1566"/>
    <w:rsid w:val="008A1677"/>
    <w:rsid w:val="008A16AE"/>
    <w:rsid w:val="008A184D"/>
    <w:rsid w:val="008A187C"/>
    <w:rsid w:val="008A1A46"/>
    <w:rsid w:val="008A1ADC"/>
    <w:rsid w:val="008A1AF6"/>
    <w:rsid w:val="008A1B5C"/>
    <w:rsid w:val="008A1E33"/>
    <w:rsid w:val="008A1F47"/>
    <w:rsid w:val="008A1F96"/>
    <w:rsid w:val="008A2134"/>
    <w:rsid w:val="008A21D5"/>
    <w:rsid w:val="008A21D8"/>
    <w:rsid w:val="008A21FC"/>
    <w:rsid w:val="008A2375"/>
    <w:rsid w:val="008A23EC"/>
    <w:rsid w:val="008A2530"/>
    <w:rsid w:val="008A253A"/>
    <w:rsid w:val="008A253F"/>
    <w:rsid w:val="008A25E9"/>
    <w:rsid w:val="008A2683"/>
    <w:rsid w:val="008A26E8"/>
    <w:rsid w:val="008A2711"/>
    <w:rsid w:val="008A27ED"/>
    <w:rsid w:val="008A29BC"/>
    <w:rsid w:val="008A29F9"/>
    <w:rsid w:val="008A2AC7"/>
    <w:rsid w:val="008A2B25"/>
    <w:rsid w:val="008A2D1A"/>
    <w:rsid w:val="008A2DE3"/>
    <w:rsid w:val="008A2EF0"/>
    <w:rsid w:val="008A3002"/>
    <w:rsid w:val="008A3133"/>
    <w:rsid w:val="008A3168"/>
    <w:rsid w:val="008A3296"/>
    <w:rsid w:val="008A33B3"/>
    <w:rsid w:val="008A3500"/>
    <w:rsid w:val="008A362A"/>
    <w:rsid w:val="008A3659"/>
    <w:rsid w:val="008A3B41"/>
    <w:rsid w:val="008A3C66"/>
    <w:rsid w:val="008A3F5E"/>
    <w:rsid w:val="008A409C"/>
    <w:rsid w:val="008A412C"/>
    <w:rsid w:val="008A41F7"/>
    <w:rsid w:val="008A4285"/>
    <w:rsid w:val="008A42BD"/>
    <w:rsid w:val="008A43A4"/>
    <w:rsid w:val="008A4495"/>
    <w:rsid w:val="008A4521"/>
    <w:rsid w:val="008A48C7"/>
    <w:rsid w:val="008A4963"/>
    <w:rsid w:val="008A4998"/>
    <w:rsid w:val="008A4A2E"/>
    <w:rsid w:val="008A4AD6"/>
    <w:rsid w:val="008A4B5B"/>
    <w:rsid w:val="008A4E07"/>
    <w:rsid w:val="008A4E83"/>
    <w:rsid w:val="008A50B2"/>
    <w:rsid w:val="008A50C7"/>
    <w:rsid w:val="008A521B"/>
    <w:rsid w:val="008A52FE"/>
    <w:rsid w:val="008A5318"/>
    <w:rsid w:val="008A538C"/>
    <w:rsid w:val="008A5490"/>
    <w:rsid w:val="008A5587"/>
    <w:rsid w:val="008A5882"/>
    <w:rsid w:val="008A5919"/>
    <w:rsid w:val="008A5993"/>
    <w:rsid w:val="008A5A27"/>
    <w:rsid w:val="008A5A30"/>
    <w:rsid w:val="008A5A99"/>
    <w:rsid w:val="008A5ACB"/>
    <w:rsid w:val="008A5BE5"/>
    <w:rsid w:val="008A5C5E"/>
    <w:rsid w:val="008A61D3"/>
    <w:rsid w:val="008A621F"/>
    <w:rsid w:val="008A63F9"/>
    <w:rsid w:val="008A65A2"/>
    <w:rsid w:val="008A662B"/>
    <w:rsid w:val="008A6753"/>
    <w:rsid w:val="008A6769"/>
    <w:rsid w:val="008A685A"/>
    <w:rsid w:val="008A689B"/>
    <w:rsid w:val="008A695B"/>
    <w:rsid w:val="008A6991"/>
    <w:rsid w:val="008A6A42"/>
    <w:rsid w:val="008A6AB8"/>
    <w:rsid w:val="008A6BE3"/>
    <w:rsid w:val="008A6C0B"/>
    <w:rsid w:val="008A6C31"/>
    <w:rsid w:val="008A6DD0"/>
    <w:rsid w:val="008A6EF3"/>
    <w:rsid w:val="008A7119"/>
    <w:rsid w:val="008A7151"/>
    <w:rsid w:val="008A717E"/>
    <w:rsid w:val="008A7219"/>
    <w:rsid w:val="008A73D2"/>
    <w:rsid w:val="008A74F4"/>
    <w:rsid w:val="008A76DB"/>
    <w:rsid w:val="008A7786"/>
    <w:rsid w:val="008A7825"/>
    <w:rsid w:val="008A79B4"/>
    <w:rsid w:val="008A79C9"/>
    <w:rsid w:val="008A7AB0"/>
    <w:rsid w:val="008A7B91"/>
    <w:rsid w:val="008A7BB6"/>
    <w:rsid w:val="008A7C00"/>
    <w:rsid w:val="008A7C96"/>
    <w:rsid w:val="008A7C98"/>
    <w:rsid w:val="008A7DFC"/>
    <w:rsid w:val="008A7F11"/>
    <w:rsid w:val="008B0086"/>
    <w:rsid w:val="008B008C"/>
    <w:rsid w:val="008B0131"/>
    <w:rsid w:val="008B0206"/>
    <w:rsid w:val="008B0272"/>
    <w:rsid w:val="008B042C"/>
    <w:rsid w:val="008B047D"/>
    <w:rsid w:val="008B04FE"/>
    <w:rsid w:val="008B054A"/>
    <w:rsid w:val="008B0550"/>
    <w:rsid w:val="008B05B1"/>
    <w:rsid w:val="008B05F1"/>
    <w:rsid w:val="008B074B"/>
    <w:rsid w:val="008B0850"/>
    <w:rsid w:val="008B0BC8"/>
    <w:rsid w:val="008B0CDE"/>
    <w:rsid w:val="008B0D9C"/>
    <w:rsid w:val="008B0EFC"/>
    <w:rsid w:val="008B0F5C"/>
    <w:rsid w:val="008B0FDF"/>
    <w:rsid w:val="008B1050"/>
    <w:rsid w:val="008B1139"/>
    <w:rsid w:val="008B1239"/>
    <w:rsid w:val="008B1331"/>
    <w:rsid w:val="008B13E4"/>
    <w:rsid w:val="008B13E8"/>
    <w:rsid w:val="008B1559"/>
    <w:rsid w:val="008B1635"/>
    <w:rsid w:val="008B16E9"/>
    <w:rsid w:val="008B187A"/>
    <w:rsid w:val="008B1942"/>
    <w:rsid w:val="008B197B"/>
    <w:rsid w:val="008B19A6"/>
    <w:rsid w:val="008B1A4B"/>
    <w:rsid w:val="008B1ACD"/>
    <w:rsid w:val="008B1AFE"/>
    <w:rsid w:val="008B1B32"/>
    <w:rsid w:val="008B1C2A"/>
    <w:rsid w:val="008B1C30"/>
    <w:rsid w:val="008B1C31"/>
    <w:rsid w:val="008B1C3C"/>
    <w:rsid w:val="008B1C4C"/>
    <w:rsid w:val="008B1C6E"/>
    <w:rsid w:val="008B1CC6"/>
    <w:rsid w:val="008B1EC1"/>
    <w:rsid w:val="008B212E"/>
    <w:rsid w:val="008B223B"/>
    <w:rsid w:val="008B23E5"/>
    <w:rsid w:val="008B24D6"/>
    <w:rsid w:val="008B284D"/>
    <w:rsid w:val="008B286C"/>
    <w:rsid w:val="008B2A4C"/>
    <w:rsid w:val="008B2B8D"/>
    <w:rsid w:val="008B2D40"/>
    <w:rsid w:val="008B2D73"/>
    <w:rsid w:val="008B2F4A"/>
    <w:rsid w:val="008B3017"/>
    <w:rsid w:val="008B301E"/>
    <w:rsid w:val="008B305D"/>
    <w:rsid w:val="008B3178"/>
    <w:rsid w:val="008B31C7"/>
    <w:rsid w:val="008B31D5"/>
    <w:rsid w:val="008B32BD"/>
    <w:rsid w:val="008B33B4"/>
    <w:rsid w:val="008B3414"/>
    <w:rsid w:val="008B3449"/>
    <w:rsid w:val="008B34DF"/>
    <w:rsid w:val="008B3544"/>
    <w:rsid w:val="008B35A7"/>
    <w:rsid w:val="008B36EA"/>
    <w:rsid w:val="008B373C"/>
    <w:rsid w:val="008B37F6"/>
    <w:rsid w:val="008B391B"/>
    <w:rsid w:val="008B39AF"/>
    <w:rsid w:val="008B39C4"/>
    <w:rsid w:val="008B3A6F"/>
    <w:rsid w:val="008B3A8B"/>
    <w:rsid w:val="008B3B3A"/>
    <w:rsid w:val="008B3C4E"/>
    <w:rsid w:val="008B3D4F"/>
    <w:rsid w:val="008B3D51"/>
    <w:rsid w:val="008B3E59"/>
    <w:rsid w:val="008B4031"/>
    <w:rsid w:val="008B40AF"/>
    <w:rsid w:val="008B4129"/>
    <w:rsid w:val="008B4164"/>
    <w:rsid w:val="008B41FD"/>
    <w:rsid w:val="008B422C"/>
    <w:rsid w:val="008B42EF"/>
    <w:rsid w:val="008B431A"/>
    <w:rsid w:val="008B43C2"/>
    <w:rsid w:val="008B4400"/>
    <w:rsid w:val="008B443D"/>
    <w:rsid w:val="008B4647"/>
    <w:rsid w:val="008B4838"/>
    <w:rsid w:val="008B4882"/>
    <w:rsid w:val="008B4AB5"/>
    <w:rsid w:val="008B4B92"/>
    <w:rsid w:val="008B4BAD"/>
    <w:rsid w:val="008B4CA1"/>
    <w:rsid w:val="008B4D33"/>
    <w:rsid w:val="008B4D82"/>
    <w:rsid w:val="008B4DC7"/>
    <w:rsid w:val="008B4E84"/>
    <w:rsid w:val="008B4EE9"/>
    <w:rsid w:val="008B4F12"/>
    <w:rsid w:val="008B4F50"/>
    <w:rsid w:val="008B4FBE"/>
    <w:rsid w:val="008B4FC0"/>
    <w:rsid w:val="008B5155"/>
    <w:rsid w:val="008B5246"/>
    <w:rsid w:val="008B5271"/>
    <w:rsid w:val="008B52A0"/>
    <w:rsid w:val="008B537C"/>
    <w:rsid w:val="008B53DC"/>
    <w:rsid w:val="008B5512"/>
    <w:rsid w:val="008B552C"/>
    <w:rsid w:val="008B560D"/>
    <w:rsid w:val="008B5620"/>
    <w:rsid w:val="008B571B"/>
    <w:rsid w:val="008B5846"/>
    <w:rsid w:val="008B5995"/>
    <w:rsid w:val="008B5D32"/>
    <w:rsid w:val="008B5D44"/>
    <w:rsid w:val="008B5ECD"/>
    <w:rsid w:val="008B6014"/>
    <w:rsid w:val="008B603F"/>
    <w:rsid w:val="008B61F3"/>
    <w:rsid w:val="008B61F9"/>
    <w:rsid w:val="008B6220"/>
    <w:rsid w:val="008B62CA"/>
    <w:rsid w:val="008B644A"/>
    <w:rsid w:val="008B64B5"/>
    <w:rsid w:val="008B6508"/>
    <w:rsid w:val="008B65F0"/>
    <w:rsid w:val="008B66A6"/>
    <w:rsid w:val="008B66F6"/>
    <w:rsid w:val="008B672B"/>
    <w:rsid w:val="008B6812"/>
    <w:rsid w:val="008B69A4"/>
    <w:rsid w:val="008B6B52"/>
    <w:rsid w:val="008B6BC0"/>
    <w:rsid w:val="008B6C12"/>
    <w:rsid w:val="008B6C69"/>
    <w:rsid w:val="008B6C7B"/>
    <w:rsid w:val="008B6E14"/>
    <w:rsid w:val="008B6EFE"/>
    <w:rsid w:val="008B6F7D"/>
    <w:rsid w:val="008B6FAB"/>
    <w:rsid w:val="008B712E"/>
    <w:rsid w:val="008B7304"/>
    <w:rsid w:val="008B731F"/>
    <w:rsid w:val="008B7367"/>
    <w:rsid w:val="008B73CB"/>
    <w:rsid w:val="008B7449"/>
    <w:rsid w:val="008B74D1"/>
    <w:rsid w:val="008B7519"/>
    <w:rsid w:val="008B7564"/>
    <w:rsid w:val="008B75DE"/>
    <w:rsid w:val="008B764A"/>
    <w:rsid w:val="008B766F"/>
    <w:rsid w:val="008B7726"/>
    <w:rsid w:val="008B77E1"/>
    <w:rsid w:val="008B781D"/>
    <w:rsid w:val="008B7B0F"/>
    <w:rsid w:val="008B7B66"/>
    <w:rsid w:val="008B7BD7"/>
    <w:rsid w:val="008B7F09"/>
    <w:rsid w:val="008B7F1E"/>
    <w:rsid w:val="008B7F3F"/>
    <w:rsid w:val="008B7F8C"/>
    <w:rsid w:val="008B7F9A"/>
    <w:rsid w:val="008BA2D0"/>
    <w:rsid w:val="008C0036"/>
    <w:rsid w:val="008C00DC"/>
    <w:rsid w:val="008C02A5"/>
    <w:rsid w:val="008C0338"/>
    <w:rsid w:val="008C036C"/>
    <w:rsid w:val="008C0581"/>
    <w:rsid w:val="008C067F"/>
    <w:rsid w:val="008C07D4"/>
    <w:rsid w:val="008C0840"/>
    <w:rsid w:val="008C0848"/>
    <w:rsid w:val="008C08C1"/>
    <w:rsid w:val="008C08EE"/>
    <w:rsid w:val="008C0ADC"/>
    <w:rsid w:val="008C0C0D"/>
    <w:rsid w:val="008C0C27"/>
    <w:rsid w:val="008C0C35"/>
    <w:rsid w:val="008C0C6F"/>
    <w:rsid w:val="008C0DB1"/>
    <w:rsid w:val="008C0E14"/>
    <w:rsid w:val="008C0E77"/>
    <w:rsid w:val="008C1094"/>
    <w:rsid w:val="008C1154"/>
    <w:rsid w:val="008C1182"/>
    <w:rsid w:val="008C11B4"/>
    <w:rsid w:val="008C1475"/>
    <w:rsid w:val="008C1655"/>
    <w:rsid w:val="008C1741"/>
    <w:rsid w:val="008C1969"/>
    <w:rsid w:val="008C19CE"/>
    <w:rsid w:val="008C1A67"/>
    <w:rsid w:val="008C1B59"/>
    <w:rsid w:val="008C1B5B"/>
    <w:rsid w:val="008C1BD4"/>
    <w:rsid w:val="008C1D2B"/>
    <w:rsid w:val="008C1DA4"/>
    <w:rsid w:val="008C1EDB"/>
    <w:rsid w:val="008C1F67"/>
    <w:rsid w:val="008C1F87"/>
    <w:rsid w:val="008C20B3"/>
    <w:rsid w:val="008C20D7"/>
    <w:rsid w:val="008C23AF"/>
    <w:rsid w:val="008C2782"/>
    <w:rsid w:val="008C2797"/>
    <w:rsid w:val="008C2821"/>
    <w:rsid w:val="008C2856"/>
    <w:rsid w:val="008C2958"/>
    <w:rsid w:val="008C2A37"/>
    <w:rsid w:val="008C2A91"/>
    <w:rsid w:val="008C2BFC"/>
    <w:rsid w:val="008C2C89"/>
    <w:rsid w:val="008C2D38"/>
    <w:rsid w:val="008C2E67"/>
    <w:rsid w:val="008C2F88"/>
    <w:rsid w:val="008C2FB2"/>
    <w:rsid w:val="008C2FCC"/>
    <w:rsid w:val="008C2FCE"/>
    <w:rsid w:val="008C30BB"/>
    <w:rsid w:val="008C30E1"/>
    <w:rsid w:val="008C30F5"/>
    <w:rsid w:val="008C3164"/>
    <w:rsid w:val="008C317B"/>
    <w:rsid w:val="008C31CA"/>
    <w:rsid w:val="008C3289"/>
    <w:rsid w:val="008C33FF"/>
    <w:rsid w:val="008C34D3"/>
    <w:rsid w:val="008C35B5"/>
    <w:rsid w:val="008C35E3"/>
    <w:rsid w:val="008C363E"/>
    <w:rsid w:val="008C3748"/>
    <w:rsid w:val="008C382B"/>
    <w:rsid w:val="008C3837"/>
    <w:rsid w:val="008C385C"/>
    <w:rsid w:val="008C3881"/>
    <w:rsid w:val="008C3883"/>
    <w:rsid w:val="008C393C"/>
    <w:rsid w:val="008C3975"/>
    <w:rsid w:val="008C3A39"/>
    <w:rsid w:val="008C3A80"/>
    <w:rsid w:val="008C3AA1"/>
    <w:rsid w:val="008C3CD0"/>
    <w:rsid w:val="008C3CE2"/>
    <w:rsid w:val="008C3D1F"/>
    <w:rsid w:val="008C3D3E"/>
    <w:rsid w:val="008C3D80"/>
    <w:rsid w:val="008C3E0E"/>
    <w:rsid w:val="008C3E14"/>
    <w:rsid w:val="008C3F15"/>
    <w:rsid w:val="008C4017"/>
    <w:rsid w:val="008C40D1"/>
    <w:rsid w:val="008C4262"/>
    <w:rsid w:val="008C42E0"/>
    <w:rsid w:val="008C42E1"/>
    <w:rsid w:val="008C43CF"/>
    <w:rsid w:val="008C456B"/>
    <w:rsid w:val="008C4638"/>
    <w:rsid w:val="008C470C"/>
    <w:rsid w:val="008C4820"/>
    <w:rsid w:val="008C4865"/>
    <w:rsid w:val="008C4BF5"/>
    <w:rsid w:val="008C4C13"/>
    <w:rsid w:val="008C4C7A"/>
    <w:rsid w:val="008C4D3A"/>
    <w:rsid w:val="008C4DF8"/>
    <w:rsid w:val="008C5016"/>
    <w:rsid w:val="008C5119"/>
    <w:rsid w:val="008C51B1"/>
    <w:rsid w:val="008C5221"/>
    <w:rsid w:val="008C531C"/>
    <w:rsid w:val="008C53A1"/>
    <w:rsid w:val="008C5484"/>
    <w:rsid w:val="008C5590"/>
    <w:rsid w:val="008C55BA"/>
    <w:rsid w:val="008C565B"/>
    <w:rsid w:val="008C56B6"/>
    <w:rsid w:val="008C57C8"/>
    <w:rsid w:val="008C585C"/>
    <w:rsid w:val="008C59F9"/>
    <w:rsid w:val="008C5ABF"/>
    <w:rsid w:val="008C5CB0"/>
    <w:rsid w:val="008C5D28"/>
    <w:rsid w:val="008C5D44"/>
    <w:rsid w:val="008C5D51"/>
    <w:rsid w:val="008C5D89"/>
    <w:rsid w:val="008C5E18"/>
    <w:rsid w:val="008C5F33"/>
    <w:rsid w:val="008C610D"/>
    <w:rsid w:val="008C6219"/>
    <w:rsid w:val="008C64B2"/>
    <w:rsid w:val="008C650E"/>
    <w:rsid w:val="008C6759"/>
    <w:rsid w:val="008C6870"/>
    <w:rsid w:val="008C6A45"/>
    <w:rsid w:val="008C6AAD"/>
    <w:rsid w:val="008C6B2A"/>
    <w:rsid w:val="008C6BB4"/>
    <w:rsid w:val="008C6BE0"/>
    <w:rsid w:val="008C6CEB"/>
    <w:rsid w:val="008C6D4D"/>
    <w:rsid w:val="008C6D80"/>
    <w:rsid w:val="008C6D8C"/>
    <w:rsid w:val="008C6E14"/>
    <w:rsid w:val="008C6E33"/>
    <w:rsid w:val="008C6EB8"/>
    <w:rsid w:val="008C724A"/>
    <w:rsid w:val="008C728B"/>
    <w:rsid w:val="008C7359"/>
    <w:rsid w:val="008C73C2"/>
    <w:rsid w:val="008C757C"/>
    <w:rsid w:val="008C75B6"/>
    <w:rsid w:val="008C7715"/>
    <w:rsid w:val="008C77AF"/>
    <w:rsid w:val="008C79E5"/>
    <w:rsid w:val="008C7B75"/>
    <w:rsid w:val="008C7D46"/>
    <w:rsid w:val="008C7F42"/>
    <w:rsid w:val="008D01B3"/>
    <w:rsid w:val="008D038E"/>
    <w:rsid w:val="008D04A2"/>
    <w:rsid w:val="008D04ED"/>
    <w:rsid w:val="008D05C8"/>
    <w:rsid w:val="008D05DA"/>
    <w:rsid w:val="008D089A"/>
    <w:rsid w:val="008D08BD"/>
    <w:rsid w:val="008D0920"/>
    <w:rsid w:val="008D093A"/>
    <w:rsid w:val="008D0972"/>
    <w:rsid w:val="008D0AB1"/>
    <w:rsid w:val="008D0CAA"/>
    <w:rsid w:val="008D0CFA"/>
    <w:rsid w:val="008D0D78"/>
    <w:rsid w:val="008D0E99"/>
    <w:rsid w:val="008D0EC6"/>
    <w:rsid w:val="008D0F24"/>
    <w:rsid w:val="008D0F42"/>
    <w:rsid w:val="008D105A"/>
    <w:rsid w:val="008D129D"/>
    <w:rsid w:val="008D12CD"/>
    <w:rsid w:val="008D137F"/>
    <w:rsid w:val="008D1480"/>
    <w:rsid w:val="008D1510"/>
    <w:rsid w:val="008D1617"/>
    <w:rsid w:val="008D1704"/>
    <w:rsid w:val="008D1822"/>
    <w:rsid w:val="008D194F"/>
    <w:rsid w:val="008D198A"/>
    <w:rsid w:val="008D19A6"/>
    <w:rsid w:val="008D19B8"/>
    <w:rsid w:val="008D1A66"/>
    <w:rsid w:val="008D1B57"/>
    <w:rsid w:val="008D1B5A"/>
    <w:rsid w:val="008D1BC0"/>
    <w:rsid w:val="008D1CBF"/>
    <w:rsid w:val="008D1D69"/>
    <w:rsid w:val="008D1DD5"/>
    <w:rsid w:val="008D1FDF"/>
    <w:rsid w:val="008D2007"/>
    <w:rsid w:val="008D21D4"/>
    <w:rsid w:val="008D221A"/>
    <w:rsid w:val="008D2278"/>
    <w:rsid w:val="008D2341"/>
    <w:rsid w:val="008D242A"/>
    <w:rsid w:val="008D2455"/>
    <w:rsid w:val="008D245D"/>
    <w:rsid w:val="008D2501"/>
    <w:rsid w:val="008D25FA"/>
    <w:rsid w:val="008D290C"/>
    <w:rsid w:val="008D2947"/>
    <w:rsid w:val="008D2B05"/>
    <w:rsid w:val="008D2B51"/>
    <w:rsid w:val="008D2DF4"/>
    <w:rsid w:val="008D2EC5"/>
    <w:rsid w:val="008D2FE8"/>
    <w:rsid w:val="008D3027"/>
    <w:rsid w:val="008D3174"/>
    <w:rsid w:val="008D32E9"/>
    <w:rsid w:val="008D33FC"/>
    <w:rsid w:val="008D3437"/>
    <w:rsid w:val="008D3630"/>
    <w:rsid w:val="008D3872"/>
    <w:rsid w:val="008D389B"/>
    <w:rsid w:val="008D39C4"/>
    <w:rsid w:val="008D39CE"/>
    <w:rsid w:val="008D3A04"/>
    <w:rsid w:val="008D3A18"/>
    <w:rsid w:val="008D3A9F"/>
    <w:rsid w:val="008D3B44"/>
    <w:rsid w:val="008D3C09"/>
    <w:rsid w:val="008D3CE1"/>
    <w:rsid w:val="008D3D3D"/>
    <w:rsid w:val="008D3DBD"/>
    <w:rsid w:val="008D3E85"/>
    <w:rsid w:val="008D3F3B"/>
    <w:rsid w:val="008D3F3F"/>
    <w:rsid w:val="008D3FAE"/>
    <w:rsid w:val="008D3FDC"/>
    <w:rsid w:val="008D4102"/>
    <w:rsid w:val="008D4114"/>
    <w:rsid w:val="008D419F"/>
    <w:rsid w:val="008D4438"/>
    <w:rsid w:val="008D44C4"/>
    <w:rsid w:val="008D4542"/>
    <w:rsid w:val="008D45AB"/>
    <w:rsid w:val="008D45BC"/>
    <w:rsid w:val="008D48B1"/>
    <w:rsid w:val="008D4939"/>
    <w:rsid w:val="008D496B"/>
    <w:rsid w:val="008D4975"/>
    <w:rsid w:val="008D4A71"/>
    <w:rsid w:val="008D4CB2"/>
    <w:rsid w:val="008D4CBA"/>
    <w:rsid w:val="008D4DF1"/>
    <w:rsid w:val="008D4F11"/>
    <w:rsid w:val="008D4F97"/>
    <w:rsid w:val="008D4FE5"/>
    <w:rsid w:val="008D511B"/>
    <w:rsid w:val="008D5198"/>
    <w:rsid w:val="008D5352"/>
    <w:rsid w:val="008D552A"/>
    <w:rsid w:val="008D55C0"/>
    <w:rsid w:val="008D56CA"/>
    <w:rsid w:val="008D5724"/>
    <w:rsid w:val="008D572A"/>
    <w:rsid w:val="008D5747"/>
    <w:rsid w:val="008D5776"/>
    <w:rsid w:val="008D5896"/>
    <w:rsid w:val="008D5953"/>
    <w:rsid w:val="008D5A22"/>
    <w:rsid w:val="008D5B24"/>
    <w:rsid w:val="008D5D7F"/>
    <w:rsid w:val="008D5F6F"/>
    <w:rsid w:val="008D5F70"/>
    <w:rsid w:val="008D60FF"/>
    <w:rsid w:val="008D6134"/>
    <w:rsid w:val="008D622E"/>
    <w:rsid w:val="008D634C"/>
    <w:rsid w:val="008D6444"/>
    <w:rsid w:val="008D661D"/>
    <w:rsid w:val="008D6725"/>
    <w:rsid w:val="008D6761"/>
    <w:rsid w:val="008D680B"/>
    <w:rsid w:val="008D685B"/>
    <w:rsid w:val="008D689D"/>
    <w:rsid w:val="008D68BE"/>
    <w:rsid w:val="008D69E6"/>
    <w:rsid w:val="008D6A1E"/>
    <w:rsid w:val="008D6A34"/>
    <w:rsid w:val="008D6AF9"/>
    <w:rsid w:val="008D6BAB"/>
    <w:rsid w:val="008D6C00"/>
    <w:rsid w:val="008D6D9D"/>
    <w:rsid w:val="008D6DEA"/>
    <w:rsid w:val="008D6E81"/>
    <w:rsid w:val="008D6F0A"/>
    <w:rsid w:val="008D6F29"/>
    <w:rsid w:val="008D6F54"/>
    <w:rsid w:val="008D7154"/>
    <w:rsid w:val="008D720C"/>
    <w:rsid w:val="008D73FB"/>
    <w:rsid w:val="008D74B4"/>
    <w:rsid w:val="008D74D1"/>
    <w:rsid w:val="008D7512"/>
    <w:rsid w:val="008D7572"/>
    <w:rsid w:val="008D7580"/>
    <w:rsid w:val="008D7715"/>
    <w:rsid w:val="008D7719"/>
    <w:rsid w:val="008D77FA"/>
    <w:rsid w:val="008D7866"/>
    <w:rsid w:val="008D793C"/>
    <w:rsid w:val="008D7A45"/>
    <w:rsid w:val="008D7A7C"/>
    <w:rsid w:val="008D7AA5"/>
    <w:rsid w:val="008D7AE3"/>
    <w:rsid w:val="008D7D1A"/>
    <w:rsid w:val="008D7D8D"/>
    <w:rsid w:val="008D7DA9"/>
    <w:rsid w:val="008D7EAE"/>
    <w:rsid w:val="008D7EB4"/>
    <w:rsid w:val="008D7FD5"/>
    <w:rsid w:val="008E005D"/>
    <w:rsid w:val="008E01AC"/>
    <w:rsid w:val="008E03CB"/>
    <w:rsid w:val="008E03D3"/>
    <w:rsid w:val="008E0671"/>
    <w:rsid w:val="008E07FA"/>
    <w:rsid w:val="008E085C"/>
    <w:rsid w:val="008E09E7"/>
    <w:rsid w:val="008E0A27"/>
    <w:rsid w:val="008E0B0E"/>
    <w:rsid w:val="008E0C98"/>
    <w:rsid w:val="008E0CA2"/>
    <w:rsid w:val="008E0CC6"/>
    <w:rsid w:val="008E0D94"/>
    <w:rsid w:val="008E0DC6"/>
    <w:rsid w:val="008E0ED8"/>
    <w:rsid w:val="008E0F45"/>
    <w:rsid w:val="008E0FD9"/>
    <w:rsid w:val="008E0FFE"/>
    <w:rsid w:val="008E1008"/>
    <w:rsid w:val="008E1046"/>
    <w:rsid w:val="008E1091"/>
    <w:rsid w:val="008E1092"/>
    <w:rsid w:val="008E10A7"/>
    <w:rsid w:val="008E110B"/>
    <w:rsid w:val="008E11E2"/>
    <w:rsid w:val="008E1262"/>
    <w:rsid w:val="008E1373"/>
    <w:rsid w:val="008E1383"/>
    <w:rsid w:val="008E13B5"/>
    <w:rsid w:val="008E1458"/>
    <w:rsid w:val="008E1579"/>
    <w:rsid w:val="008E164E"/>
    <w:rsid w:val="008E16FE"/>
    <w:rsid w:val="008E1717"/>
    <w:rsid w:val="008E172C"/>
    <w:rsid w:val="008E1795"/>
    <w:rsid w:val="008E17EC"/>
    <w:rsid w:val="008E18E9"/>
    <w:rsid w:val="008E19B3"/>
    <w:rsid w:val="008E1E29"/>
    <w:rsid w:val="008E1E54"/>
    <w:rsid w:val="008E1E65"/>
    <w:rsid w:val="008E1EE5"/>
    <w:rsid w:val="008E1F4C"/>
    <w:rsid w:val="008E1F78"/>
    <w:rsid w:val="008E1FAD"/>
    <w:rsid w:val="008E20E3"/>
    <w:rsid w:val="008E21A1"/>
    <w:rsid w:val="008E2358"/>
    <w:rsid w:val="008E23A3"/>
    <w:rsid w:val="008E23F7"/>
    <w:rsid w:val="008E252C"/>
    <w:rsid w:val="008E2555"/>
    <w:rsid w:val="008E25C9"/>
    <w:rsid w:val="008E264D"/>
    <w:rsid w:val="008E2699"/>
    <w:rsid w:val="008E275C"/>
    <w:rsid w:val="008E284C"/>
    <w:rsid w:val="008E28A6"/>
    <w:rsid w:val="008E2AD3"/>
    <w:rsid w:val="008E2C72"/>
    <w:rsid w:val="008E2C8E"/>
    <w:rsid w:val="008E2DBB"/>
    <w:rsid w:val="008E2E78"/>
    <w:rsid w:val="008E2F1C"/>
    <w:rsid w:val="008E2F20"/>
    <w:rsid w:val="008E2F8C"/>
    <w:rsid w:val="008E2FD5"/>
    <w:rsid w:val="008E3110"/>
    <w:rsid w:val="008E31B8"/>
    <w:rsid w:val="008E31F6"/>
    <w:rsid w:val="008E3232"/>
    <w:rsid w:val="008E332A"/>
    <w:rsid w:val="008E34DE"/>
    <w:rsid w:val="008E3638"/>
    <w:rsid w:val="008E3640"/>
    <w:rsid w:val="008E37B7"/>
    <w:rsid w:val="008E38E4"/>
    <w:rsid w:val="008E39B2"/>
    <w:rsid w:val="008E39B4"/>
    <w:rsid w:val="008E3A34"/>
    <w:rsid w:val="008E3B9D"/>
    <w:rsid w:val="008E3CC2"/>
    <w:rsid w:val="008E3F2B"/>
    <w:rsid w:val="008E3FC7"/>
    <w:rsid w:val="008E4138"/>
    <w:rsid w:val="008E42A8"/>
    <w:rsid w:val="008E437C"/>
    <w:rsid w:val="008E4597"/>
    <w:rsid w:val="008E46A9"/>
    <w:rsid w:val="008E4710"/>
    <w:rsid w:val="008E476E"/>
    <w:rsid w:val="008E4771"/>
    <w:rsid w:val="008E4843"/>
    <w:rsid w:val="008E48D6"/>
    <w:rsid w:val="008E4916"/>
    <w:rsid w:val="008E4985"/>
    <w:rsid w:val="008E4B30"/>
    <w:rsid w:val="008E4B76"/>
    <w:rsid w:val="008E4BA7"/>
    <w:rsid w:val="008E4C11"/>
    <w:rsid w:val="008E4DBD"/>
    <w:rsid w:val="008E4E55"/>
    <w:rsid w:val="008E4E79"/>
    <w:rsid w:val="008E4ED6"/>
    <w:rsid w:val="008E4F85"/>
    <w:rsid w:val="008E4FB9"/>
    <w:rsid w:val="008E5328"/>
    <w:rsid w:val="008E542F"/>
    <w:rsid w:val="008E55DF"/>
    <w:rsid w:val="008E5715"/>
    <w:rsid w:val="008E590A"/>
    <w:rsid w:val="008E59FC"/>
    <w:rsid w:val="008E5A65"/>
    <w:rsid w:val="008E5B6D"/>
    <w:rsid w:val="008E5C24"/>
    <w:rsid w:val="008E5C49"/>
    <w:rsid w:val="008E5C50"/>
    <w:rsid w:val="008E5DEC"/>
    <w:rsid w:val="008E5EEB"/>
    <w:rsid w:val="008E5FC0"/>
    <w:rsid w:val="008E601E"/>
    <w:rsid w:val="008E60F4"/>
    <w:rsid w:val="008E6150"/>
    <w:rsid w:val="008E6186"/>
    <w:rsid w:val="008E637A"/>
    <w:rsid w:val="008E6492"/>
    <w:rsid w:val="008E64F3"/>
    <w:rsid w:val="008E688B"/>
    <w:rsid w:val="008E6901"/>
    <w:rsid w:val="008E69B5"/>
    <w:rsid w:val="008E6ADD"/>
    <w:rsid w:val="008E6EBF"/>
    <w:rsid w:val="008E6F3B"/>
    <w:rsid w:val="008E6FFF"/>
    <w:rsid w:val="008E711F"/>
    <w:rsid w:val="008E7140"/>
    <w:rsid w:val="008E73CB"/>
    <w:rsid w:val="008E746E"/>
    <w:rsid w:val="008E74A8"/>
    <w:rsid w:val="008E7659"/>
    <w:rsid w:val="008E7661"/>
    <w:rsid w:val="008E77DE"/>
    <w:rsid w:val="008E77FD"/>
    <w:rsid w:val="008E78BC"/>
    <w:rsid w:val="008E7A0F"/>
    <w:rsid w:val="008E7A2A"/>
    <w:rsid w:val="008E7A2C"/>
    <w:rsid w:val="008E7BE8"/>
    <w:rsid w:val="008E7BF8"/>
    <w:rsid w:val="008E7C43"/>
    <w:rsid w:val="008E7E55"/>
    <w:rsid w:val="008F002C"/>
    <w:rsid w:val="008F002E"/>
    <w:rsid w:val="008F0125"/>
    <w:rsid w:val="008F01BD"/>
    <w:rsid w:val="008F0211"/>
    <w:rsid w:val="008F0399"/>
    <w:rsid w:val="008F03DC"/>
    <w:rsid w:val="008F0526"/>
    <w:rsid w:val="008F05E4"/>
    <w:rsid w:val="008F0720"/>
    <w:rsid w:val="008F0751"/>
    <w:rsid w:val="008F0863"/>
    <w:rsid w:val="008F0B24"/>
    <w:rsid w:val="008F0BC7"/>
    <w:rsid w:val="008F0BDF"/>
    <w:rsid w:val="008F0CAE"/>
    <w:rsid w:val="008F0E2F"/>
    <w:rsid w:val="008F10AE"/>
    <w:rsid w:val="008F10BE"/>
    <w:rsid w:val="008F1100"/>
    <w:rsid w:val="008F1147"/>
    <w:rsid w:val="008F124B"/>
    <w:rsid w:val="008F1263"/>
    <w:rsid w:val="008F12F9"/>
    <w:rsid w:val="008F1329"/>
    <w:rsid w:val="008F1408"/>
    <w:rsid w:val="008F1553"/>
    <w:rsid w:val="008F15ED"/>
    <w:rsid w:val="008F1710"/>
    <w:rsid w:val="008F1796"/>
    <w:rsid w:val="008F17C4"/>
    <w:rsid w:val="008F18E1"/>
    <w:rsid w:val="008F198B"/>
    <w:rsid w:val="008F19EA"/>
    <w:rsid w:val="008F1A4E"/>
    <w:rsid w:val="008F1A4F"/>
    <w:rsid w:val="008F1AB9"/>
    <w:rsid w:val="008F1D3F"/>
    <w:rsid w:val="008F1DDA"/>
    <w:rsid w:val="008F1DE5"/>
    <w:rsid w:val="008F1DF0"/>
    <w:rsid w:val="008F1DFC"/>
    <w:rsid w:val="008F1E9D"/>
    <w:rsid w:val="008F1F91"/>
    <w:rsid w:val="008F1FC8"/>
    <w:rsid w:val="008F20A8"/>
    <w:rsid w:val="008F2186"/>
    <w:rsid w:val="008F221C"/>
    <w:rsid w:val="008F2294"/>
    <w:rsid w:val="008F22B3"/>
    <w:rsid w:val="008F22E7"/>
    <w:rsid w:val="008F2435"/>
    <w:rsid w:val="008F24A7"/>
    <w:rsid w:val="008F24D5"/>
    <w:rsid w:val="008F29C1"/>
    <w:rsid w:val="008F2AD8"/>
    <w:rsid w:val="008F2B1D"/>
    <w:rsid w:val="008F2B53"/>
    <w:rsid w:val="008F2C5A"/>
    <w:rsid w:val="008F2C92"/>
    <w:rsid w:val="008F2E31"/>
    <w:rsid w:val="008F2E4A"/>
    <w:rsid w:val="008F2E91"/>
    <w:rsid w:val="008F2F52"/>
    <w:rsid w:val="008F2F9A"/>
    <w:rsid w:val="008F3062"/>
    <w:rsid w:val="008F309E"/>
    <w:rsid w:val="008F30E3"/>
    <w:rsid w:val="008F3105"/>
    <w:rsid w:val="008F32C6"/>
    <w:rsid w:val="008F3307"/>
    <w:rsid w:val="008F347D"/>
    <w:rsid w:val="008F34BC"/>
    <w:rsid w:val="008F34D7"/>
    <w:rsid w:val="008F34EC"/>
    <w:rsid w:val="008F3570"/>
    <w:rsid w:val="008F3710"/>
    <w:rsid w:val="008F396D"/>
    <w:rsid w:val="008F3ACB"/>
    <w:rsid w:val="008F3CF4"/>
    <w:rsid w:val="008F3D2A"/>
    <w:rsid w:val="008F3D46"/>
    <w:rsid w:val="008F411A"/>
    <w:rsid w:val="008F422D"/>
    <w:rsid w:val="008F42C0"/>
    <w:rsid w:val="008F4316"/>
    <w:rsid w:val="008F4403"/>
    <w:rsid w:val="008F4492"/>
    <w:rsid w:val="008F44CA"/>
    <w:rsid w:val="008F44EA"/>
    <w:rsid w:val="008F46F7"/>
    <w:rsid w:val="008F47AF"/>
    <w:rsid w:val="008F47B1"/>
    <w:rsid w:val="008F487E"/>
    <w:rsid w:val="008F4952"/>
    <w:rsid w:val="008F496A"/>
    <w:rsid w:val="008F4B28"/>
    <w:rsid w:val="008F4D4B"/>
    <w:rsid w:val="008F4DE4"/>
    <w:rsid w:val="008F4DF8"/>
    <w:rsid w:val="008F5278"/>
    <w:rsid w:val="008F52AE"/>
    <w:rsid w:val="008F52C7"/>
    <w:rsid w:val="008F5442"/>
    <w:rsid w:val="008F55C9"/>
    <w:rsid w:val="008F55CB"/>
    <w:rsid w:val="008F5617"/>
    <w:rsid w:val="008F5919"/>
    <w:rsid w:val="008F59AE"/>
    <w:rsid w:val="008F5ACE"/>
    <w:rsid w:val="008F5AFE"/>
    <w:rsid w:val="008F5E1F"/>
    <w:rsid w:val="008F5F04"/>
    <w:rsid w:val="008F60AC"/>
    <w:rsid w:val="008F6120"/>
    <w:rsid w:val="008F61D2"/>
    <w:rsid w:val="008F6287"/>
    <w:rsid w:val="008F62CA"/>
    <w:rsid w:val="008F6531"/>
    <w:rsid w:val="008F65BB"/>
    <w:rsid w:val="008F65E8"/>
    <w:rsid w:val="008F6833"/>
    <w:rsid w:val="008F6887"/>
    <w:rsid w:val="008F6961"/>
    <w:rsid w:val="008F69B8"/>
    <w:rsid w:val="008F6C45"/>
    <w:rsid w:val="008F6C5C"/>
    <w:rsid w:val="008F6C83"/>
    <w:rsid w:val="008F6CDF"/>
    <w:rsid w:val="008F6CEA"/>
    <w:rsid w:val="008F6DDB"/>
    <w:rsid w:val="008F6EEA"/>
    <w:rsid w:val="008F722A"/>
    <w:rsid w:val="008F723F"/>
    <w:rsid w:val="008F72A7"/>
    <w:rsid w:val="008F7392"/>
    <w:rsid w:val="008F73A1"/>
    <w:rsid w:val="008F73FE"/>
    <w:rsid w:val="008F741B"/>
    <w:rsid w:val="008F767F"/>
    <w:rsid w:val="008F76FD"/>
    <w:rsid w:val="008F774C"/>
    <w:rsid w:val="008F7789"/>
    <w:rsid w:val="008F77BF"/>
    <w:rsid w:val="008F7914"/>
    <w:rsid w:val="008F793D"/>
    <w:rsid w:val="008F7945"/>
    <w:rsid w:val="008F794D"/>
    <w:rsid w:val="008F79F6"/>
    <w:rsid w:val="008F7BA1"/>
    <w:rsid w:val="008F7BD8"/>
    <w:rsid w:val="008F7BEC"/>
    <w:rsid w:val="008F7C01"/>
    <w:rsid w:val="008F7C56"/>
    <w:rsid w:val="008F7D64"/>
    <w:rsid w:val="008F7DFC"/>
    <w:rsid w:val="008F7ED6"/>
    <w:rsid w:val="009001F4"/>
    <w:rsid w:val="009002A0"/>
    <w:rsid w:val="0090035E"/>
    <w:rsid w:val="00900418"/>
    <w:rsid w:val="00900706"/>
    <w:rsid w:val="009007D5"/>
    <w:rsid w:val="0090095E"/>
    <w:rsid w:val="009009FB"/>
    <w:rsid w:val="00900A30"/>
    <w:rsid w:val="00900A43"/>
    <w:rsid w:val="00900A6A"/>
    <w:rsid w:val="00900A79"/>
    <w:rsid w:val="00900AB2"/>
    <w:rsid w:val="00900B25"/>
    <w:rsid w:val="00900B90"/>
    <w:rsid w:val="00900C57"/>
    <w:rsid w:val="00900C9F"/>
    <w:rsid w:val="00900CDD"/>
    <w:rsid w:val="00900D35"/>
    <w:rsid w:val="00900D59"/>
    <w:rsid w:val="00900D85"/>
    <w:rsid w:val="00900DE7"/>
    <w:rsid w:val="00900E8E"/>
    <w:rsid w:val="00900FDB"/>
    <w:rsid w:val="00900FFD"/>
    <w:rsid w:val="009010CA"/>
    <w:rsid w:val="009010CC"/>
    <w:rsid w:val="00901201"/>
    <w:rsid w:val="00901263"/>
    <w:rsid w:val="00901351"/>
    <w:rsid w:val="009014FD"/>
    <w:rsid w:val="009015B8"/>
    <w:rsid w:val="00901605"/>
    <w:rsid w:val="00901645"/>
    <w:rsid w:val="009016FD"/>
    <w:rsid w:val="0090175C"/>
    <w:rsid w:val="009017B7"/>
    <w:rsid w:val="00901802"/>
    <w:rsid w:val="00901878"/>
    <w:rsid w:val="00901A0F"/>
    <w:rsid w:val="00901A81"/>
    <w:rsid w:val="00901ABD"/>
    <w:rsid w:val="00901BF4"/>
    <w:rsid w:val="00901C5D"/>
    <w:rsid w:val="00901DC6"/>
    <w:rsid w:val="00901F5E"/>
    <w:rsid w:val="009020EF"/>
    <w:rsid w:val="00902100"/>
    <w:rsid w:val="009021E8"/>
    <w:rsid w:val="009025CE"/>
    <w:rsid w:val="00902617"/>
    <w:rsid w:val="009027D0"/>
    <w:rsid w:val="009028B6"/>
    <w:rsid w:val="009028E5"/>
    <w:rsid w:val="009028FC"/>
    <w:rsid w:val="00902949"/>
    <w:rsid w:val="00902BDF"/>
    <w:rsid w:val="00902BF6"/>
    <w:rsid w:val="00902BFE"/>
    <w:rsid w:val="00902E8F"/>
    <w:rsid w:val="00902F69"/>
    <w:rsid w:val="00902FB4"/>
    <w:rsid w:val="009030CB"/>
    <w:rsid w:val="00903142"/>
    <w:rsid w:val="0090314A"/>
    <w:rsid w:val="009031DD"/>
    <w:rsid w:val="0090329F"/>
    <w:rsid w:val="009032BF"/>
    <w:rsid w:val="009034D3"/>
    <w:rsid w:val="00903500"/>
    <w:rsid w:val="009035D7"/>
    <w:rsid w:val="00903649"/>
    <w:rsid w:val="00903716"/>
    <w:rsid w:val="00903750"/>
    <w:rsid w:val="00903805"/>
    <w:rsid w:val="00903888"/>
    <w:rsid w:val="00903912"/>
    <w:rsid w:val="0090392B"/>
    <w:rsid w:val="00903975"/>
    <w:rsid w:val="00903A4B"/>
    <w:rsid w:val="00903B6F"/>
    <w:rsid w:val="00903BF4"/>
    <w:rsid w:val="00903C19"/>
    <w:rsid w:val="00903DEC"/>
    <w:rsid w:val="00903E1B"/>
    <w:rsid w:val="00903E31"/>
    <w:rsid w:val="00903F5A"/>
    <w:rsid w:val="00904091"/>
    <w:rsid w:val="009041C8"/>
    <w:rsid w:val="009042A7"/>
    <w:rsid w:val="009042AE"/>
    <w:rsid w:val="009043EC"/>
    <w:rsid w:val="00904418"/>
    <w:rsid w:val="009044CB"/>
    <w:rsid w:val="00904503"/>
    <w:rsid w:val="009045F1"/>
    <w:rsid w:val="009046B3"/>
    <w:rsid w:val="009046F6"/>
    <w:rsid w:val="00904761"/>
    <w:rsid w:val="00904826"/>
    <w:rsid w:val="0090488B"/>
    <w:rsid w:val="009048B9"/>
    <w:rsid w:val="00904B2E"/>
    <w:rsid w:val="00904DA0"/>
    <w:rsid w:val="00904E99"/>
    <w:rsid w:val="00904F19"/>
    <w:rsid w:val="00904FCD"/>
    <w:rsid w:val="0090503B"/>
    <w:rsid w:val="009050CB"/>
    <w:rsid w:val="009052F6"/>
    <w:rsid w:val="00905300"/>
    <w:rsid w:val="00905578"/>
    <w:rsid w:val="009055F0"/>
    <w:rsid w:val="0090562A"/>
    <w:rsid w:val="00905667"/>
    <w:rsid w:val="009057DB"/>
    <w:rsid w:val="00905868"/>
    <w:rsid w:val="00905BA9"/>
    <w:rsid w:val="00905C1B"/>
    <w:rsid w:val="00905CB4"/>
    <w:rsid w:val="00905CB8"/>
    <w:rsid w:val="00905CD4"/>
    <w:rsid w:val="00905D31"/>
    <w:rsid w:val="00905D33"/>
    <w:rsid w:val="00905DC3"/>
    <w:rsid w:val="00905E0E"/>
    <w:rsid w:val="00905E94"/>
    <w:rsid w:val="00905EA7"/>
    <w:rsid w:val="00905FA9"/>
    <w:rsid w:val="00906046"/>
    <w:rsid w:val="0090606C"/>
    <w:rsid w:val="00906096"/>
    <w:rsid w:val="009060A0"/>
    <w:rsid w:val="009061A9"/>
    <w:rsid w:val="00906284"/>
    <w:rsid w:val="00906303"/>
    <w:rsid w:val="0090640D"/>
    <w:rsid w:val="00906616"/>
    <w:rsid w:val="009067E8"/>
    <w:rsid w:val="009068EE"/>
    <w:rsid w:val="00906A60"/>
    <w:rsid w:val="00906C67"/>
    <w:rsid w:val="00906CA3"/>
    <w:rsid w:val="00906D8E"/>
    <w:rsid w:val="00906EA5"/>
    <w:rsid w:val="00906EAC"/>
    <w:rsid w:val="009071B8"/>
    <w:rsid w:val="009072AA"/>
    <w:rsid w:val="00907363"/>
    <w:rsid w:val="00907575"/>
    <w:rsid w:val="0090767D"/>
    <w:rsid w:val="00907682"/>
    <w:rsid w:val="00907684"/>
    <w:rsid w:val="009076E8"/>
    <w:rsid w:val="0090779B"/>
    <w:rsid w:val="00907810"/>
    <w:rsid w:val="009078F4"/>
    <w:rsid w:val="009079BB"/>
    <w:rsid w:val="00907BC3"/>
    <w:rsid w:val="00907D6A"/>
    <w:rsid w:val="00907F51"/>
    <w:rsid w:val="00907F6C"/>
    <w:rsid w:val="00907F75"/>
    <w:rsid w:val="00910060"/>
    <w:rsid w:val="00910086"/>
    <w:rsid w:val="0091016C"/>
    <w:rsid w:val="009101FB"/>
    <w:rsid w:val="0091030F"/>
    <w:rsid w:val="00910332"/>
    <w:rsid w:val="00910402"/>
    <w:rsid w:val="00910595"/>
    <w:rsid w:val="009105F7"/>
    <w:rsid w:val="0091066D"/>
    <w:rsid w:val="0091076C"/>
    <w:rsid w:val="009108DC"/>
    <w:rsid w:val="0091098E"/>
    <w:rsid w:val="009109C5"/>
    <w:rsid w:val="00910E36"/>
    <w:rsid w:val="00910E88"/>
    <w:rsid w:val="00910ECC"/>
    <w:rsid w:val="00910EEB"/>
    <w:rsid w:val="00910F9A"/>
    <w:rsid w:val="00910F9C"/>
    <w:rsid w:val="00910FAA"/>
    <w:rsid w:val="0091104A"/>
    <w:rsid w:val="0091105D"/>
    <w:rsid w:val="009110CA"/>
    <w:rsid w:val="00911120"/>
    <w:rsid w:val="00911202"/>
    <w:rsid w:val="0091120B"/>
    <w:rsid w:val="0091123E"/>
    <w:rsid w:val="0091127E"/>
    <w:rsid w:val="00911673"/>
    <w:rsid w:val="0091174F"/>
    <w:rsid w:val="0091194E"/>
    <w:rsid w:val="009119AE"/>
    <w:rsid w:val="009119AF"/>
    <w:rsid w:val="009119D9"/>
    <w:rsid w:val="009119ED"/>
    <w:rsid w:val="00911A62"/>
    <w:rsid w:val="00911B06"/>
    <w:rsid w:val="00911B0F"/>
    <w:rsid w:val="00911B62"/>
    <w:rsid w:val="00911D75"/>
    <w:rsid w:val="00911E64"/>
    <w:rsid w:val="00911F03"/>
    <w:rsid w:val="009120D7"/>
    <w:rsid w:val="009120F6"/>
    <w:rsid w:val="00912134"/>
    <w:rsid w:val="0091213B"/>
    <w:rsid w:val="0091213F"/>
    <w:rsid w:val="00912205"/>
    <w:rsid w:val="00912376"/>
    <w:rsid w:val="00912402"/>
    <w:rsid w:val="009124AE"/>
    <w:rsid w:val="009124EB"/>
    <w:rsid w:val="009124F5"/>
    <w:rsid w:val="009127E8"/>
    <w:rsid w:val="00912858"/>
    <w:rsid w:val="009128BA"/>
    <w:rsid w:val="00912904"/>
    <w:rsid w:val="009129DC"/>
    <w:rsid w:val="00912B6B"/>
    <w:rsid w:val="00912BF4"/>
    <w:rsid w:val="00912C6F"/>
    <w:rsid w:val="00912E13"/>
    <w:rsid w:val="00912E72"/>
    <w:rsid w:val="00912ED2"/>
    <w:rsid w:val="00912FB6"/>
    <w:rsid w:val="009130C6"/>
    <w:rsid w:val="009131F9"/>
    <w:rsid w:val="00913210"/>
    <w:rsid w:val="0091326C"/>
    <w:rsid w:val="0091327F"/>
    <w:rsid w:val="009132B8"/>
    <w:rsid w:val="009132CE"/>
    <w:rsid w:val="00913518"/>
    <w:rsid w:val="00913521"/>
    <w:rsid w:val="0091354C"/>
    <w:rsid w:val="009135E4"/>
    <w:rsid w:val="009137D6"/>
    <w:rsid w:val="00913847"/>
    <w:rsid w:val="00913945"/>
    <w:rsid w:val="009139F1"/>
    <w:rsid w:val="00913A96"/>
    <w:rsid w:val="00913D78"/>
    <w:rsid w:val="00913D97"/>
    <w:rsid w:val="00913DE4"/>
    <w:rsid w:val="00913DE7"/>
    <w:rsid w:val="00913E28"/>
    <w:rsid w:val="00913E35"/>
    <w:rsid w:val="00913EB5"/>
    <w:rsid w:val="009141F8"/>
    <w:rsid w:val="00914299"/>
    <w:rsid w:val="00914335"/>
    <w:rsid w:val="00914339"/>
    <w:rsid w:val="009143CE"/>
    <w:rsid w:val="00914575"/>
    <w:rsid w:val="009145AF"/>
    <w:rsid w:val="00914610"/>
    <w:rsid w:val="00914646"/>
    <w:rsid w:val="00914824"/>
    <w:rsid w:val="0091493D"/>
    <w:rsid w:val="009149F9"/>
    <w:rsid w:val="00914B27"/>
    <w:rsid w:val="00914BFD"/>
    <w:rsid w:val="00914C0D"/>
    <w:rsid w:val="00914C68"/>
    <w:rsid w:val="00914C81"/>
    <w:rsid w:val="00914D4E"/>
    <w:rsid w:val="00914DA0"/>
    <w:rsid w:val="00914E14"/>
    <w:rsid w:val="00914E85"/>
    <w:rsid w:val="00914EF8"/>
    <w:rsid w:val="00914F45"/>
    <w:rsid w:val="00915176"/>
    <w:rsid w:val="00915189"/>
    <w:rsid w:val="00915228"/>
    <w:rsid w:val="00915341"/>
    <w:rsid w:val="00915353"/>
    <w:rsid w:val="00915502"/>
    <w:rsid w:val="00915593"/>
    <w:rsid w:val="009155CC"/>
    <w:rsid w:val="0091561B"/>
    <w:rsid w:val="00915940"/>
    <w:rsid w:val="0091595D"/>
    <w:rsid w:val="00915972"/>
    <w:rsid w:val="00915976"/>
    <w:rsid w:val="0091597D"/>
    <w:rsid w:val="00915985"/>
    <w:rsid w:val="0091598F"/>
    <w:rsid w:val="00915A98"/>
    <w:rsid w:val="00915C28"/>
    <w:rsid w:val="00915CBA"/>
    <w:rsid w:val="00915CED"/>
    <w:rsid w:val="00915DAA"/>
    <w:rsid w:val="00916085"/>
    <w:rsid w:val="00916148"/>
    <w:rsid w:val="009161F1"/>
    <w:rsid w:val="00916240"/>
    <w:rsid w:val="009163C9"/>
    <w:rsid w:val="009163CA"/>
    <w:rsid w:val="009163EA"/>
    <w:rsid w:val="009164C9"/>
    <w:rsid w:val="0091650D"/>
    <w:rsid w:val="00916519"/>
    <w:rsid w:val="0091657A"/>
    <w:rsid w:val="009165DD"/>
    <w:rsid w:val="009167C8"/>
    <w:rsid w:val="00916817"/>
    <w:rsid w:val="00916829"/>
    <w:rsid w:val="0091684D"/>
    <w:rsid w:val="00916963"/>
    <w:rsid w:val="009169E9"/>
    <w:rsid w:val="00916A0C"/>
    <w:rsid w:val="00916B00"/>
    <w:rsid w:val="00916B14"/>
    <w:rsid w:val="00916B2B"/>
    <w:rsid w:val="00916B56"/>
    <w:rsid w:val="00916C1A"/>
    <w:rsid w:val="00916D57"/>
    <w:rsid w:val="00916E45"/>
    <w:rsid w:val="00916EF6"/>
    <w:rsid w:val="009170A8"/>
    <w:rsid w:val="00917154"/>
    <w:rsid w:val="00917171"/>
    <w:rsid w:val="0091717F"/>
    <w:rsid w:val="00917234"/>
    <w:rsid w:val="00917270"/>
    <w:rsid w:val="00917367"/>
    <w:rsid w:val="00917376"/>
    <w:rsid w:val="009173DF"/>
    <w:rsid w:val="009173EE"/>
    <w:rsid w:val="00917561"/>
    <w:rsid w:val="0091756A"/>
    <w:rsid w:val="0091767F"/>
    <w:rsid w:val="00917725"/>
    <w:rsid w:val="00917790"/>
    <w:rsid w:val="00917891"/>
    <w:rsid w:val="009178B2"/>
    <w:rsid w:val="00917927"/>
    <w:rsid w:val="00917942"/>
    <w:rsid w:val="009179B1"/>
    <w:rsid w:val="009179DF"/>
    <w:rsid w:val="00917A34"/>
    <w:rsid w:val="00917A3B"/>
    <w:rsid w:val="00917ADD"/>
    <w:rsid w:val="00917B3F"/>
    <w:rsid w:val="00917E9A"/>
    <w:rsid w:val="00917FE6"/>
    <w:rsid w:val="00920050"/>
    <w:rsid w:val="0092007D"/>
    <w:rsid w:val="00920160"/>
    <w:rsid w:val="009201B9"/>
    <w:rsid w:val="00920351"/>
    <w:rsid w:val="00920366"/>
    <w:rsid w:val="009203CA"/>
    <w:rsid w:val="009205B4"/>
    <w:rsid w:val="009205E3"/>
    <w:rsid w:val="009207C0"/>
    <w:rsid w:val="00920826"/>
    <w:rsid w:val="0092082D"/>
    <w:rsid w:val="00920860"/>
    <w:rsid w:val="00920945"/>
    <w:rsid w:val="00920A07"/>
    <w:rsid w:val="00920B8B"/>
    <w:rsid w:val="00920CE0"/>
    <w:rsid w:val="00920D72"/>
    <w:rsid w:val="00920E6D"/>
    <w:rsid w:val="00920ECA"/>
    <w:rsid w:val="00921015"/>
    <w:rsid w:val="009212D4"/>
    <w:rsid w:val="009214C2"/>
    <w:rsid w:val="009215B9"/>
    <w:rsid w:val="0092165C"/>
    <w:rsid w:val="009216A2"/>
    <w:rsid w:val="009216D2"/>
    <w:rsid w:val="00921787"/>
    <w:rsid w:val="0092190C"/>
    <w:rsid w:val="009219D2"/>
    <w:rsid w:val="00921A24"/>
    <w:rsid w:val="00921A2C"/>
    <w:rsid w:val="00921A5D"/>
    <w:rsid w:val="00921B0C"/>
    <w:rsid w:val="00921C40"/>
    <w:rsid w:val="00921ECA"/>
    <w:rsid w:val="00921F69"/>
    <w:rsid w:val="0092200B"/>
    <w:rsid w:val="0092203C"/>
    <w:rsid w:val="0092206F"/>
    <w:rsid w:val="009220D8"/>
    <w:rsid w:val="009222BD"/>
    <w:rsid w:val="0092231A"/>
    <w:rsid w:val="0092233C"/>
    <w:rsid w:val="009223C3"/>
    <w:rsid w:val="0092241F"/>
    <w:rsid w:val="00922571"/>
    <w:rsid w:val="0092279C"/>
    <w:rsid w:val="00922C90"/>
    <w:rsid w:val="00922D0C"/>
    <w:rsid w:val="00922D66"/>
    <w:rsid w:val="00922D71"/>
    <w:rsid w:val="00923005"/>
    <w:rsid w:val="0092305C"/>
    <w:rsid w:val="009230D3"/>
    <w:rsid w:val="00923163"/>
    <w:rsid w:val="009231B4"/>
    <w:rsid w:val="0092325B"/>
    <w:rsid w:val="009233DE"/>
    <w:rsid w:val="009233E0"/>
    <w:rsid w:val="009235F6"/>
    <w:rsid w:val="0092361C"/>
    <w:rsid w:val="00923A78"/>
    <w:rsid w:val="00923BA3"/>
    <w:rsid w:val="00923BF0"/>
    <w:rsid w:val="00923CB0"/>
    <w:rsid w:val="00923CBA"/>
    <w:rsid w:val="00923D01"/>
    <w:rsid w:val="00923D3A"/>
    <w:rsid w:val="00923DB6"/>
    <w:rsid w:val="00923E2F"/>
    <w:rsid w:val="00923F72"/>
    <w:rsid w:val="00924082"/>
    <w:rsid w:val="00924199"/>
    <w:rsid w:val="009241D9"/>
    <w:rsid w:val="009241DB"/>
    <w:rsid w:val="009241DF"/>
    <w:rsid w:val="00924345"/>
    <w:rsid w:val="009243DC"/>
    <w:rsid w:val="009243E9"/>
    <w:rsid w:val="00924424"/>
    <w:rsid w:val="0092449B"/>
    <w:rsid w:val="009244D1"/>
    <w:rsid w:val="00924533"/>
    <w:rsid w:val="009245D3"/>
    <w:rsid w:val="009245DF"/>
    <w:rsid w:val="009246A4"/>
    <w:rsid w:val="00924772"/>
    <w:rsid w:val="009247C0"/>
    <w:rsid w:val="00924864"/>
    <w:rsid w:val="00924B5B"/>
    <w:rsid w:val="00924C9A"/>
    <w:rsid w:val="00924D0F"/>
    <w:rsid w:val="00924D88"/>
    <w:rsid w:val="00924DBB"/>
    <w:rsid w:val="00924E94"/>
    <w:rsid w:val="00924EFD"/>
    <w:rsid w:val="00925043"/>
    <w:rsid w:val="009252A3"/>
    <w:rsid w:val="00925372"/>
    <w:rsid w:val="009253B6"/>
    <w:rsid w:val="00925515"/>
    <w:rsid w:val="0092553D"/>
    <w:rsid w:val="00925624"/>
    <w:rsid w:val="009256A6"/>
    <w:rsid w:val="00925798"/>
    <w:rsid w:val="0092579E"/>
    <w:rsid w:val="00925855"/>
    <w:rsid w:val="009259C5"/>
    <w:rsid w:val="00925A1A"/>
    <w:rsid w:val="00925A55"/>
    <w:rsid w:val="00925AA7"/>
    <w:rsid w:val="00925BA9"/>
    <w:rsid w:val="00925BB5"/>
    <w:rsid w:val="00925BD3"/>
    <w:rsid w:val="00925C03"/>
    <w:rsid w:val="00925C69"/>
    <w:rsid w:val="00925CFD"/>
    <w:rsid w:val="00925D8B"/>
    <w:rsid w:val="00925F58"/>
    <w:rsid w:val="00926004"/>
    <w:rsid w:val="009260EF"/>
    <w:rsid w:val="00926295"/>
    <w:rsid w:val="009263BE"/>
    <w:rsid w:val="009263D6"/>
    <w:rsid w:val="00926449"/>
    <w:rsid w:val="009264DB"/>
    <w:rsid w:val="0092658F"/>
    <w:rsid w:val="00926683"/>
    <w:rsid w:val="009266FE"/>
    <w:rsid w:val="00926757"/>
    <w:rsid w:val="00926782"/>
    <w:rsid w:val="009268CC"/>
    <w:rsid w:val="009269DE"/>
    <w:rsid w:val="00926A25"/>
    <w:rsid w:val="00926AA4"/>
    <w:rsid w:val="00926ABD"/>
    <w:rsid w:val="00926B0E"/>
    <w:rsid w:val="00926B1E"/>
    <w:rsid w:val="00926B22"/>
    <w:rsid w:val="00926B31"/>
    <w:rsid w:val="00926C57"/>
    <w:rsid w:val="00926EA8"/>
    <w:rsid w:val="00926F47"/>
    <w:rsid w:val="00926F72"/>
    <w:rsid w:val="0092704F"/>
    <w:rsid w:val="009271B3"/>
    <w:rsid w:val="009271DD"/>
    <w:rsid w:val="00927238"/>
    <w:rsid w:val="0092733E"/>
    <w:rsid w:val="00927381"/>
    <w:rsid w:val="0092753E"/>
    <w:rsid w:val="0092758E"/>
    <w:rsid w:val="009275D7"/>
    <w:rsid w:val="00927633"/>
    <w:rsid w:val="0092764E"/>
    <w:rsid w:val="0092768A"/>
    <w:rsid w:val="00927690"/>
    <w:rsid w:val="009277BC"/>
    <w:rsid w:val="00927923"/>
    <w:rsid w:val="00927968"/>
    <w:rsid w:val="00927A5C"/>
    <w:rsid w:val="00927B72"/>
    <w:rsid w:val="00927C85"/>
    <w:rsid w:val="00927D0A"/>
    <w:rsid w:val="00927D4F"/>
    <w:rsid w:val="00927F30"/>
    <w:rsid w:val="00930074"/>
    <w:rsid w:val="009300A9"/>
    <w:rsid w:val="00930214"/>
    <w:rsid w:val="0093025F"/>
    <w:rsid w:val="0093046D"/>
    <w:rsid w:val="00930502"/>
    <w:rsid w:val="0093053A"/>
    <w:rsid w:val="009306E4"/>
    <w:rsid w:val="00930715"/>
    <w:rsid w:val="00930832"/>
    <w:rsid w:val="009308EE"/>
    <w:rsid w:val="00930908"/>
    <w:rsid w:val="00930928"/>
    <w:rsid w:val="00930999"/>
    <w:rsid w:val="009309FC"/>
    <w:rsid w:val="00930A67"/>
    <w:rsid w:val="00930B20"/>
    <w:rsid w:val="00930B5F"/>
    <w:rsid w:val="00930C35"/>
    <w:rsid w:val="00930D66"/>
    <w:rsid w:val="00930D7A"/>
    <w:rsid w:val="00930DB1"/>
    <w:rsid w:val="00930F6D"/>
    <w:rsid w:val="00930FF3"/>
    <w:rsid w:val="0093109D"/>
    <w:rsid w:val="00931140"/>
    <w:rsid w:val="009312CB"/>
    <w:rsid w:val="009314D4"/>
    <w:rsid w:val="009315AD"/>
    <w:rsid w:val="00931661"/>
    <w:rsid w:val="00931677"/>
    <w:rsid w:val="009316D6"/>
    <w:rsid w:val="009317BE"/>
    <w:rsid w:val="00931816"/>
    <w:rsid w:val="009319E4"/>
    <w:rsid w:val="00931A23"/>
    <w:rsid w:val="00931A7D"/>
    <w:rsid w:val="00931ADA"/>
    <w:rsid w:val="00931BAD"/>
    <w:rsid w:val="00931C32"/>
    <w:rsid w:val="00931D10"/>
    <w:rsid w:val="00931F06"/>
    <w:rsid w:val="00931F3D"/>
    <w:rsid w:val="0093204C"/>
    <w:rsid w:val="0093219C"/>
    <w:rsid w:val="009321B0"/>
    <w:rsid w:val="009321F6"/>
    <w:rsid w:val="0093245A"/>
    <w:rsid w:val="009324B2"/>
    <w:rsid w:val="00932735"/>
    <w:rsid w:val="009327FD"/>
    <w:rsid w:val="00932928"/>
    <w:rsid w:val="009329FC"/>
    <w:rsid w:val="00932AA6"/>
    <w:rsid w:val="00932C95"/>
    <w:rsid w:val="00932CC6"/>
    <w:rsid w:val="00932CDA"/>
    <w:rsid w:val="00932D08"/>
    <w:rsid w:val="00932D69"/>
    <w:rsid w:val="00932E93"/>
    <w:rsid w:val="00932FB6"/>
    <w:rsid w:val="0093319F"/>
    <w:rsid w:val="0093329E"/>
    <w:rsid w:val="00933648"/>
    <w:rsid w:val="009336F0"/>
    <w:rsid w:val="009337DA"/>
    <w:rsid w:val="0093381A"/>
    <w:rsid w:val="00933B12"/>
    <w:rsid w:val="00933C6B"/>
    <w:rsid w:val="00933C8B"/>
    <w:rsid w:val="00933DC1"/>
    <w:rsid w:val="00933E41"/>
    <w:rsid w:val="00933EBD"/>
    <w:rsid w:val="00934133"/>
    <w:rsid w:val="009341E8"/>
    <w:rsid w:val="009341EE"/>
    <w:rsid w:val="009343C0"/>
    <w:rsid w:val="00934444"/>
    <w:rsid w:val="00934448"/>
    <w:rsid w:val="0093444A"/>
    <w:rsid w:val="0093456D"/>
    <w:rsid w:val="00934603"/>
    <w:rsid w:val="009346CF"/>
    <w:rsid w:val="00934709"/>
    <w:rsid w:val="009347DF"/>
    <w:rsid w:val="00934925"/>
    <w:rsid w:val="00934976"/>
    <w:rsid w:val="00934979"/>
    <w:rsid w:val="00934A41"/>
    <w:rsid w:val="00934A8D"/>
    <w:rsid w:val="00934ADE"/>
    <w:rsid w:val="00934BCA"/>
    <w:rsid w:val="00934C77"/>
    <w:rsid w:val="00934D25"/>
    <w:rsid w:val="00934DAF"/>
    <w:rsid w:val="00934DB4"/>
    <w:rsid w:val="00934F25"/>
    <w:rsid w:val="00934F41"/>
    <w:rsid w:val="00934F85"/>
    <w:rsid w:val="0093507B"/>
    <w:rsid w:val="009350BB"/>
    <w:rsid w:val="009350C7"/>
    <w:rsid w:val="0093520C"/>
    <w:rsid w:val="00935220"/>
    <w:rsid w:val="0093525C"/>
    <w:rsid w:val="009352D8"/>
    <w:rsid w:val="009352F9"/>
    <w:rsid w:val="009353E1"/>
    <w:rsid w:val="00935454"/>
    <w:rsid w:val="009354AD"/>
    <w:rsid w:val="0093560F"/>
    <w:rsid w:val="0093565B"/>
    <w:rsid w:val="00935707"/>
    <w:rsid w:val="009358AC"/>
    <w:rsid w:val="00935AA7"/>
    <w:rsid w:val="00935B95"/>
    <w:rsid w:val="00935CBE"/>
    <w:rsid w:val="00935CDD"/>
    <w:rsid w:val="00935CDF"/>
    <w:rsid w:val="00935CE4"/>
    <w:rsid w:val="00935D18"/>
    <w:rsid w:val="00935EC1"/>
    <w:rsid w:val="00935EC3"/>
    <w:rsid w:val="00935F33"/>
    <w:rsid w:val="00935FD4"/>
    <w:rsid w:val="00936019"/>
    <w:rsid w:val="00936134"/>
    <w:rsid w:val="00936139"/>
    <w:rsid w:val="00936167"/>
    <w:rsid w:val="009361E9"/>
    <w:rsid w:val="00936254"/>
    <w:rsid w:val="0093626A"/>
    <w:rsid w:val="00936284"/>
    <w:rsid w:val="0093628C"/>
    <w:rsid w:val="009363AE"/>
    <w:rsid w:val="0093648D"/>
    <w:rsid w:val="0093655B"/>
    <w:rsid w:val="009367A5"/>
    <w:rsid w:val="009367B6"/>
    <w:rsid w:val="0093681B"/>
    <w:rsid w:val="00936857"/>
    <w:rsid w:val="00936858"/>
    <w:rsid w:val="00936870"/>
    <w:rsid w:val="0093688E"/>
    <w:rsid w:val="00936942"/>
    <w:rsid w:val="0093696E"/>
    <w:rsid w:val="00936A00"/>
    <w:rsid w:val="00936AD1"/>
    <w:rsid w:val="00936B97"/>
    <w:rsid w:val="00936BA0"/>
    <w:rsid w:val="00936C2C"/>
    <w:rsid w:val="00936D49"/>
    <w:rsid w:val="00936E2A"/>
    <w:rsid w:val="00936F4A"/>
    <w:rsid w:val="0093705C"/>
    <w:rsid w:val="009371CE"/>
    <w:rsid w:val="00937402"/>
    <w:rsid w:val="009374F8"/>
    <w:rsid w:val="00937516"/>
    <w:rsid w:val="00937532"/>
    <w:rsid w:val="00937591"/>
    <w:rsid w:val="009375AE"/>
    <w:rsid w:val="009376B3"/>
    <w:rsid w:val="0093785D"/>
    <w:rsid w:val="009378C3"/>
    <w:rsid w:val="009378E6"/>
    <w:rsid w:val="00937AC7"/>
    <w:rsid w:val="00937AF6"/>
    <w:rsid w:val="00937C35"/>
    <w:rsid w:val="00937C5D"/>
    <w:rsid w:val="00937C84"/>
    <w:rsid w:val="00937CFD"/>
    <w:rsid w:val="00937E9F"/>
    <w:rsid w:val="00940017"/>
    <w:rsid w:val="0094003C"/>
    <w:rsid w:val="00940043"/>
    <w:rsid w:val="009400A4"/>
    <w:rsid w:val="009400A8"/>
    <w:rsid w:val="0094022D"/>
    <w:rsid w:val="009402A5"/>
    <w:rsid w:val="009402B7"/>
    <w:rsid w:val="009402C1"/>
    <w:rsid w:val="0094036F"/>
    <w:rsid w:val="009403EA"/>
    <w:rsid w:val="00940496"/>
    <w:rsid w:val="009404E9"/>
    <w:rsid w:val="009405A7"/>
    <w:rsid w:val="0094061A"/>
    <w:rsid w:val="009407AC"/>
    <w:rsid w:val="009409C6"/>
    <w:rsid w:val="00940BAC"/>
    <w:rsid w:val="00940C6D"/>
    <w:rsid w:val="00940CEA"/>
    <w:rsid w:val="00940D8A"/>
    <w:rsid w:val="00940DED"/>
    <w:rsid w:val="00940F26"/>
    <w:rsid w:val="0094104B"/>
    <w:rsid w:val="009411C8"/>
    <w:rsid w:val="009413B0"/>
    <w:rsid w:val="00941667"/>
    <w:rsid w:val="009416B7"/>
    <w:rsid w:val="0094199D"/>
    <w:rsid w:val="00941B40"/>
    <w:rsid w:val="00941C66"/>
    <w:rsid w:val="00941C9F"/>
    <w:rsid w:val="00941CE2"/>
    <w:rsid w:val="00941D06"/>
    <w:rsid w:val="00941D34"/>
    <w:rsid w:val="00941D77"/>
    <w:rsid w:val="00941E33"/>
    <w:rsid w:val="00941E42"/>
    <w:rsid w:val="00941FBF"/>
    <w:rsid w:val="009422A1"/>
    <w:rsid w:val="0094243F"/>
    <w:rsid w:val="0094249F"/>
    <w:rsid w:val="009425ED"/>
    <w:rsid w:val="00942758"/>
    <w:rsid w:val="00942766"/>
    <w:rsid w:val="00942788"/>
    <w:rsid w:val="009427A0"/>
    <w:rsid w:val="009427EE"/>
    <w:rsid w:val="009428F8"/>
    <w:rsid w:val="00942BBD"/>
    <w:rsid w:val="00942C3C"/>
    <w:rsid w:val="00942CEB"/>
    <w:rsid w:val="00942E2B"/>
    <w:rsid w:val="00942ED6"/>
    <w:rsid w:val="00942FA2"/>
    <w:rsid w:val="00942FA4"/>
    <w:rsid w:val="00943109"/>
    <w:rsid w:val="00943168"/>
    <w:rsid w:val="009431B9"/>
    <w:rsid w:val="0094329C"/>
    <w:rsid w:val="0094331B"/>
    <w:rsid w:val="00943411"/>
    <w:rsid w:val="00943539"/>
    <w:rsid w:val="00943570"/>
    <w:rsid w:val="00943749"/>
    <w:rsid w:val="0094376B"/>
    <w:rsid w:val="009437DE"/>
    <w:rsid w:val="00943829"/>
    <w:rsid w:val="00943861"/>
    <w:rsid w:val="00943871"/>
    <w:rsid w:val="00943B31"/>
    <w:rsid w:val="00943B60"/>
    <w:rsid w:val="00943B8D"/>
    <w:rsid w:val="00943C77"/>
    <w:rsid w:val="00943C80"/>
    <w:rsid w:val="00943E94"/>
    <w:rsid w:val="00943EE8"/>
    <w:rsid w:val="00943F4F"/>
    <w:rsid w:val="00943F62"/>
    <w:rsid w:val="00943FC9"/>
    <w:rsid w:val="00944004"/>
    <w:rsid w:val="00944135"/>
    <w:rsid w:val="009442DC"/>
    <w:rsid w:val="009445C3"/>
    <w:rsid w:val="00944756"/>
    <w:rsid w:val="009448C2"/>
    <w:rsid w:val="009448F1"/>
    <w:rsid w:val="00944ACB"/>
    <w:rsid w:val="00944ADF"/>
    <w:rsid w:val="00944BC5"/>
    <w:rsid w:val="00944DD7"/>
    <w:rsid w:val="00944DDE"/>
    <w:rsid w:val="00944E0D"/>
    <w:rsid w:val="00944E69"/>
    <w:rsid w:val="00944EA5"/>
    <w:rsid w:val="00944F72"/>
    <w:rsid w:val="00944F91"/>
    <w:rsid w:val="0094506B"/>
    <w:rsid w:val="00945123"/>
    <w:rsid w:val="009453CB"/>
    <w:rsid w:val="009453DF"/>
    <w:rsid w:val="0094542D"/>
    <w:rsid w:val="00945543"/>
    <w:rsid w:val="009455FC"/>
    <w:rsid w:val="00945688"/>
    <w:rsid w:val="0094580C"/>
    <w:rsid w:val="0094586C"/>
    <w:rsid w:val="009458D6"/>
    <w:rsid w:val="00945942"/>
    <w:rsid w:val="00945A29"/>
    <w:rsid w:val="00945AE8"/>
    <w:rsid w:val="00945B2C"/>
    <w:rsid w:val="00945C82"/>
    <w:rsid w:val="00945D86"/>
    <w:rsid w:val="00945E37"/>
    <w:rsid w:val="00946024"/>
    <w:rsid w:val="00946052"/>
    <w:rsid w:val="00946072"/>
    <w:rsid w:val="0094609B"/>
    <w:rsid w:val="0094612D"/>
    <w:rsid w:val="00946178"/>
    <w:rsid w:val="00946194"/>
    <w:rsid w:val="009461B7"/>
    <w:rsid w:val="009462BB"/>
    <w:rsid w:val="00946401"/>
    <w:rsid w:val="0094640F"/>
    <w:rsid w:val="00946455"/>
    <w:rsid w:val="009464C5"/>
    <w:rsid w:val="0094669E"/>
    <w:rsid w:val="00946775"/>
    <w:rsid w:val="009467EE"/>
    <w:rsid w:val="0094699C"/>
    <w:rsid w:val="00946A03"/>
    <w:rsid w:val="00946B75"/>
    <w:rsid w:val="00946BE5"/>
    <w:rsid w:val="00946C19"/>
    <w:rsid w:val="00946C8A"/>
    <w:rsid w:val="00946CA6"/>
    <w:rsid w:val="00946D4A"/>
    <w:rsid w:val="00946DEF"/>
    <w:rsid w:val="00946E10"/>
    <w:rsid w:val="00946E72"/>
    <w:rsid w:val="00946F1B"/>
    <w:rsid w:val="00946FF0"/>
    <w:rsid w:val="009471F2"/>
    <w:rsid w:val="00947247"/>
    <w:rsid w:val="009474DB"/>
    <w:rsid w:val="0094753B"/>
    <w:rsid w:val="0094754B"/>
    <w:rsid w:val="009475A5"/>
    <w:rsid w:val="00947603"/>
    <w:rsid w:val="009476AE"/>
    <w:rsid w:val="009476B0"/>
    <w:rsid w:val="0094785D"/>
    <w:rsid w:val="0094787C"/>
    <w:rsid w:val="009478A6"/>
    <w:rsid w:val="0094791D"/>
    <w:rsid w:val="009479C8"/>
    <w:rsid w:val="00947A63"/>
    <w:rsid w:val="00947AFA"/>
    <w:rsid w:val="00947B67"/>
    <w:rsid w:val="00947C68"/>
    <w:rsid w:val="00947C99"/>
    <w:rsid w:val="00947CAC"/>
    <w:rsid w:val="00947CBD"/>
    <w:rsid w:val="009501C1"/>
    <w:rsid w:val="009501CA"/>
    <w:rsid w:val="009501DC"/>
    <w:rsid w:val="00950221"/>
    <w:rsid w:val="009503B0"/>
    <w:rsid w:val="009504A9"/>
    <w:rsid w:val="009504B3"/>
    <w:rsid w:val="009504DD"/>
    <w:rsid w:val="00950527"/>
    <w:rsid w:val="009506D5"/>
    <w:rsid w:val="00950791"/>
    <w:rsid w:val="009507F6"/>
    <w:rsid w:val="00950930"/>
    <w:rsid w:val="00950976"/>
    <w:rsid w:val="00950991"/>
    <w:rsid w:val="009509FD"/>
    <w:rsid w:val="00950AEB"/>
    <w:rsid w:val="00950BD2"/>
    <w:rsid w:val="00950D1A"/>
    <w:rsid w:val="00950D97"/>
    <w:rsid w:val="00950DC8"/>
    <w:rsid w:val="00950F73"/>
    <w:rsid w:val="0095102D"/>
    <w:rsid w:val="00951059"/>
    <w:rsid w:val="0095105A"/>
    <w:rsid w:val="00951180"/>
    <w:rsid w:val="009514EA"/>
    <w:rsid w:val="009515A9"/>
    <w:rsid w:val="009515C1"/>
    <w:rsid w:val="00951751"/>
    <w:rsid w:val="00951BA2"/>
    <w:rsid w:val="00951C39"/>
    <w:rsid w:val="00951F05"/>
    <w:rsid w:val="00951F0A"/>
    <w:rsid w:val="00951F4C"/>
    <w:rsid w:val="00952044"/>
    <w:rsid w:val="00952146"/>
    <w:rsid w:val="00952224"/>
    <w:rsid w:val="00952311"/>
    <w:rsid w:val="009523A9"/>
    <w:rsid w:val="009523BC"/>
    <w:rsid w:val="009524C5"/>
    <w:rsid w:val="009525A9"/>
    <w:rsid w:val="0095263B"/>
    <w:rsid w:val="009526E5"/>
    <w:rsid w:val="009527E0"/>
    <w:rsid w:val="009528A4"/>
    <w:rsid w:val="0095295B"/>
    <w:rsid w:val="00952AA9"/>
    <w:rsid w:val="00952AB6"/>
    <w:rsid w:val="00952E8E"/>
    <w:rsid w:val="0095307B"/>
    <w:rsid w:val="0095310D"/>
    <w:rsid w:val="009534F0"/>
    <w:rsid w:val="0095367C"/>
    <w:rsid w:val="00953826"/>
    <w:rsid w:val="00953829"/>
    <w:rsid w:val="00953893"/>
    <w:rsid w:val="009539EB"/>
    <w:rsid w:val="00953A7B"/>
    <w:rsid w:val="00953A87"/>
    <w:rsid w:val="00953A95"/>
    <w:rsid w:val="00953B56"/>
    <w:rsid w:val="00953CEB"/>
    <w:rsid w:val="00953D2D"/>
    <w:rsid w:val="00953D60"/>
    <w:rsid w:val="00953DD6"/>
    <w:rsid w:val="00953DF9"/>
    <w:rsid w:val="00953EEA"/>
    <w:rsid w:val="00953F85"/>
    <w:rsid w:val="00954101"/>
    <w:rsid w:val="009541F9"/>
    <w:rsid w:val="009541FC"/>
    <w:rsid w:val="009543E7"/>
    <w:rsid w:val="009543FA"/>
    <w:rsid w:val="0095447A"/>
    <w:rsid w:val="0095448D"/>
    <w:rsid w:val="00954530"/>
    <w:rsid w:val="00954626"/>
    <w:rsid w:val="00954760"/>
    <w:rsid w:val="0095477B"/>
    <w:rsid w:val="009548DB"/>
    <w:rsid w:val="009548EB"/>
    <w:rsid w:val="0095490F"/>
    <w:rsid w:val="00954939"/>
    <w:rsid w:val="00954A44"/>
    <w:rsid w:val="00954B91"/>
    <w:rsid w:val="00954BAB"/>
    <w:rsid w:val="00954CFC"/>
    <w:rsid w:val="00954F3F"/>
    <w:rsid w:val="0095500A"/>
    <w:rsid w:val="0095501C"/>
    <w:rsid w:val="009550E2"/>
    <w:rsid w:val="0095519F"/>
    <w:rsid w:val="0095524A"/>
    <w:rsid w:val="00955325"/>
    <w:rsid w:val="00955370"/>
    <w:rsid w:val="0095537C"/>
    <w:rsid w:val="0095542E"/>
    <w:rsid w:val="0095557F"/>
    <w:rsid w:val="009556E7"/>
    <w:rsid w:val="0095571B"/>
    <w:rsid w:val="009557B3"/>
    <w:rsid w:val="00955805"/>
    <w:rsid w:val="00955997"/>
    <w:rsid w:val="00955B44"/>
    <w:rsid w:val="00955D29"/>
    <w:rsid w:val="00955F65"/>
    <w:rsid w:val="009561BC"/>
    <w:rsid w:val="0095631C"/>
    <w:rsid w:val="009563CF"/>
    <w:rsid w:val="0095646F"/>
    <w:rsid w:val="00956526"/>
    <w:rsid w:val="00956544"/>
    <w:rsid w:val="009565C3"/>
    <w:rsid w:val="009566A4"/>
    <w:rsid w:val="009566F6"/>
    <w:rsid w:val="0095678B"/>
    <w:rsid w:val="009567A0"/>
    <w:rsid w:val="0095681D"/>
    <w:rsid w:val="009568AF"/>
    <w:rsid w:val="00956966"/>
    <w:rsid w:val="00956C79"/>
    <w:rsid w:val="00956C8E"/>
    <w:rsid w:val="00956D02"/>
    <w:rsid w:val="00956DCF"/>
    <w:rsid w:val="00956E83"/>
    <w:rsid w:val="00957073"/>
    <w:rsid w:val="0095713D"/>
    <w:rsid w:val="009571AA"/>
    <w:rsid w:val="009571B8"/>
    <w:rsid w:val="009571CB"/>
    <w:rsid w:val="00957308"/>
    <w:rsid w:val="00957481"/>
    <w:rsid w:val="00957502"/>
    <w:rsid w:val="0095759A"/>
    <w:rsid w:val="009575CF"/>
    <w:rsid w:val="0095762F"/>
    <w:rsid w:val="00957676"/>
    <w:rsid w:val="00957679"/>
    <w:rsid w:val="0095769A"/>
    <w:rsid w:val="0095776A"/>
    <w:rsid w:val="00957787"/>
    <w:rsid w:val="009577D0"/>
    <w:rsid w:val="0095782C"/>
    <w:rsid w:val="00957851"/>
    <w:rsid w:val="009578C7"/>
    <w:rsid w:val="009578CF"/>
    <w:rsid w:val="009578E2"/>
    <w:rsid w:val="00957A60"/>
    <w:rsid w:val="00957AE6"/>
    <w:rsid w:val="00957C51"/>
    <w:rsid w:val="00957CE7"/>
    <w:rsid w:val="00957CE9"/>
    <w:rsid w:val="00957D42"/>
    <w:rsid w:val="00957D65"/>
    <w:rsid w:val="00957F12"/>
    <w:rsid w:val="00960086"/>
    <w:rsid w:val="009600F2"/>
    <w:rsid w:val="009603D8"/>
    <w:rsid w:val="009603DA"/>
    <w:rsid w:val="009603EC"/>
    <w:rsid w:val="00960589"/>
    <w:rsid w:val="0096066E"/>
    <w:rsid w:val="009606BB"/>
    <w:rsid w:val="0096076F"/>
    <w:rsid w:val="00960807"/>
    <w:rsid w:val="00960811"/>
    <w:rsid w:val="00960B5B"/>
    <w:rsid w:val="00960B60"/>
    <w:rsid w:val="00960C8E"/>
    <w:rsid w:val="00960CBA"/>
    <w:rsid w:val="00960DC8"/>
    <w:rsid w:val="00960E81"/>
    <w:rsid w:val="00960EB4"/>
    <w:rsid w:val="00960EDA"/>
    <w:rsid w:val="00960FC6"/>
    <w:rsid w:val="0096103E"/>
    <w:rsid w:val="00961048"/>
    <w:rsid w:val="00961138"/>
    <w:rsid w:val="00961228"/>
    <w:rsid w:val="009612C6"/>
    <w:rsid w:val="00961388"/>
    <w:rsid w:val="00961460"/>
    <w:rsid w:val="00961525"/>
    <w:rsid w:val="0096180B"/>
    <w:rsid w:val="0096186C"/>
    <w:rsid w:val="009618F3"/>
    <w:rsid w:val="0096196D"/>
    <w:rsid w:val="00961976"/>
    <w:rsid w:val="00961ADE"/>
    <w:rsid w:val="00961C62"/>
    <w:rsid w:val="00961D2D"/>
    <w:rsid w:val="00961D81"/>
    <w:rsid w:val="00961DCB"/>
    <w:rsid w:val="00962184"/>
    <w:rsid w:val="009621D9"/>
    <w:rsid w:val="00962239"/>
    <w:rsid w:val="00962282"/>
    <w:rsid w:val="00962290"/>
    <w:rsid w:val="00962300"/>
    <w:rsid w:val="00962303"/>
    <w:rsid w:val="00962401"/>
    <w:rsid w:val="00962511"/>
    <w:rsid w:val="009626AC"/>
    <w:rsid w:val="00962741"/>
    <w:rsid w:val="009627F1"/>
    <w:rsid w:val="009628EF"/>
    <w:rsid w:val="009629CA"/>
    <w:rsid w:val="00962B3C"/>
    <w:rsid w:val="00962BAB"/>
    <w:rsid w:val="00962C4A"/>
    <w:rsid w:val="00962D21"/>
    <w:rsid w:val="00962DE5"/>
    <w:rsid w:val="00962DF2"/>
    <w:rsid w:val="00962F56"/>
    <w:rsid w:val="00962FDC"/>
    <w:rsid w:val="00963115"/>
    <w:rsid w:val="0096322B"/>
    <w:rsid w:val="0096324E"/>
    <w:rsid w:val="00963285"/>
    <w:rsid w:val="0096333A"/>
    <w:rsid w:val="00963500"/>
    <w:rsid w:val="00963572"/>
    <w:rsid w:val="009635E5"/>
    <w:rsid w:val="00963625"/>
    <w:rsid w:val="00963642"/>
    <w:rsid w:val="009636AA"/>
    <w:rsid w:val="009637B3"/>
    <w:rsid w:val="0096382F"/>
    <w:rsid w:val="00963841"/>
    <w:rsid w:val="009638F7"/>
    <w:rsid w:val="00963A89"/>
    <w:rsid w:val="00963AD8"/>
    <w:rsid w:val="00963AE6"/>
    <w:rsid w:val="00963B4C"/>
    <w:rsid w:val="00963C02"/>
    <w:rsid w:val="00963CC7"/>
    <w:rsid w:val="00963CCE"/>
    <w:rsid w:val="00963CE6"/>
    <w:rsid w:val="00963E8B"/>
    <w:rsid w:val="00963ED3"/>
    <w:rsid w:val="00963FA3"/>
    <w:rsid w:val="00963FF6"/>
    <w:rsid w:val="0096407D"/>
    <w:rsid w:val="0096418E"/>
    <w:rsid w:val="0096437E"/>
    <w:rsid w:val="0096439F"/>
    <w:rsid w:val="009643C0"/>
    <w:rsid w:val="009646B2"/>
    <w:rsid w:val="00964702"/>
    <w:rsid w:val="0096474B"/>
    <w:rsid w:val="00964867"/>
    <w:rsid w:val="009648B5"/>
    <w:rsid w:val="009649A9"/>
    <w:rsid w:val="00964A49"/>
    <w:rsid w:val="00964A70"/>
    <w:rsid w:val="00964AA2"/>
    <w:rsid w:val="00964BE7"/>
    <w:rsid w:val="00964D1A"/>
    <w:rsid w:val="00964DB1"/>
    <w:rsid w:val="00964E43"/>
    <w:rsid w:val="00965009"/>
    <w:rsid w:val="0096510A"/>
    <w:rsid w:val="0096511D"/>
    <w:rsid w:val="009651D4"/>
    <w:rsid w:val="009651E2"/>
    <w:rsid w:val="0096526D"/>
    <w:rsid w:val="009652FA"/>
    <w:rsid w:val="00965388"/>
    <w:rsid w:val="00965528"/>
    <w:rsid w:val="0096554F"/>
    <w:rsid w:val="009656A9"/>
    <w:rsid w:val="00965761"/>
    <w:rsid w:val="00965787"/>
    <w:rsid w:val="00965807"/>
    <w:rsid w:val="0096582F"/>
    <w:rsid w:val="009658BE"/>
    <w:rsid w:val="009658C3"/>
    <w:rsid w:val="009658F8"/>
    <w:rsid w:val="00965B66"/>
    <w:rsid w:val="00965BAD"/>
    <w:rsid w:val="00965C0F"/>
    <w:rsid w:val="00965C39"/>
    <w:rsid w:val="00965EAE"/>
    <w:rsid w:val="00965EC6"/>
    <w:rsid w:val="00965EE4"/>
    <w:rsid w:val="00965EE7"/>
    <w:rsid w:val="00965F90"/>
    <w:rsid w:val="00965FE4"/>
    <w:rsid w:val="0096619C"/>
    <w:rsid w:val="0096628E"/>
    <w:rsid w:val="00966292"/>
    <w:rsid w:val="0096632C"/>
    <w:rsid w:val="00966364"/>
    <w:rsid w:val="009663A1"/>
    <w:rsid w:val="009663C1"/>
    <w:rsid w:val="00966453"/>
    <w:rsid w:val="00966473"/>
    <w:rsid w:val="0096654B"/>
    <w:rsid w:val="0096655F"/>
    <w:rsid w:val="009666A2"/>
    <w:rsid w:val="00966879"/>
    <w:rsid w:val="0096694D"/>
    <w:rsid w:val="00966A50"/>
    <w:rsid w:val="00966B06"/>
    <w:rsid w:val="00966C25"/>
    <w:rsid w:val="00966C4B"/>
    <w:rsid w:val="009670C6"/>
    <w:rsid w:val="009670F1"/>
    <w:rsid w:val="00967174"/>
    <w:rsid w:val="00967237"/>
    <w:rsid w:val="009672E2"/>
    <w:rsid w:val="00967306"/>
    <w:rsid w:val="0096730D"/>
    <w:rsid w:val="0096745E"/>
    <w:rsid w:val="0096776D"/>
    <w:rsid w:val="009677F5"/>
    <w:rsid w:val="00967A79"/>
    <w:rsid w:val="00967AFB"/>
    <w:rsid w:val="00967B40"/>
    <w:rsid w:val="00967BBC"/>
    <w:rsid w:val="00967BF7"/>
    <w:rsid w:val="00967C71"/>
    <w:rsid w:val="00967DEB"/>
    <w:rsid w:val="00967F37"/>
    <w:rsid w:val="00967F52"/>
    <w:rsid w:val="0097009E"/>
    <w:rsid w:val="009700EA"/>
    <w:rsid w:val="00970191"/>
    <w:rsid w:val="0097022D"/>
    <w:rsid w:val="00970392"/>
    <w:rsid w:val="0097055E"/>
    <w:rsid w:val="00970606"/>
    <w:rsid w:val="00970698"/>
    <w:rsid w:val="00970742"/>
    <w:rsid w:val="0097091C"/>
    <w:rsid w:val="00970922"/>
    <w:rsid w:val="00970BBD"/>
    <w:rsid w:val="00970C07"/>
    <w:rsid w:val="00970C5C"/>
    <w:rsid w:val="00970DE9"/>
    <w:rsid w:val="00970F18"/>
    <w:rsid w:val="00970F56"/>
    <w:rsid w:val="00970FE4"/>
    <w:rsid w:val="0097108F"/>
    <w:rsid w:val="0097119E"/>
    <w:rsid w:val="009711D8"/>
    <w:rsid w:val="0097145D"/>
    <w:rsid w:val="009715B0"/>
    <w:rsid w:val="009716F4"/>
    <w:rsid w:val="0097183A"/>
    <w:rsid w:val="0097183D"/>
    <w:rsid w:val="00971920"/>
    <w:rsid w:val="009719B1"/>
    <w:rsid w:val="00971AEE"/>
    <w:rsid w:val="00971B55"/>
    <w:rsid w:val="00971C6E"/>
    <w:rsid w:val="00971D0D"/>
    <w:rsid w:val="00971D58"/>
    <w:rsid w:val="00971E6D"/>
    <w:rsid w:val="00971FA1"/>
    <w:rsid w:val="009721F5"/>
    <w:rsid w:val="0097229B"/>
    <w:rsid w:val="009722B4"/>
    <w:rsid w:val="00972403"/>
    <w:rsid w:val="0097251B"/>
    <w:rsid w:val="0097252D"/>
    <w:rsid w:val="00972579"/>
    <w:rsid w:val="0097260C"/>
    <w:rsid w:val="009726F2"/>
    <w:rsid w:val="00972814"/>
    <w:rsid w:val="009728D9"/>
    <w:rsid w:val="00972959"/>
    <w:rsid w:val="009729D7"/>
    <w:rsid w:val="009729EB"/>
    <w:rsid w:val="00972A77"/>
    <w:rsid w:val="00972B53"/>
    <w:rsid w:val="00972C69"/>
    <w:rsid w:val="00972CFC"/>
    <w:rsid w:val="00972D4C"/>
    <w:rsid w:val="00972DFC"/>
    <w:rsid w:val="00972EE4"/>
    <w:rsid w:val="00973097"/>
    <w:rsid w:val="0097310B"/>
    <w:rsid w:val="0097316B"/>
    <w:rsid w:val="0097349D"/>
    <w:rsid w:val="00973505"/>
    <w:rsid w:val="0097361A"/>
    <w:rsid w:val="0097369E"/>
    <w:rsid w:val="009736EE"/>
    <w:rsid w:val="009736F1"/>
    <w:rsid w:val="00973824"/>
    <w:rsid w:val="00973ADD"/>
    <w:rsid w:val="00973B46"/>
    <w:rsid w:val="00973BA3"/>
    <w:rsid w:val="00973BB2"/>
    <w:rsid w:val="00973BE6"/>
    <w:rsid w:val="00973CDE"/>
    <w:rsid w:val="00973D49"/>
    <w:rsid w:val="00973DA0"/>
    <w:rsid w:val="00973DAA"/>
    <w:rsid w:val="00973FBC"/>
    <w:rsid w:val="0097411D"/>
    <w:rsid w:val="0097413A"/>
    <w:rsid w:val="009741DF"/>
    <w:rsid w:val="00974321"/>
    <w:rsid w:val="00974424"/>
    <w:rsid w:val="009744DB"/>
    <w:rsid w:val="009744F6"/>
    <w:rsid w:val="009746C5"/>
    <w:rsid w:val="0097484B"/>
    <w:rsid w:val="00974865"/>
    <w:rsid w:val="00974A57"/>
    <w:rsid w:val="00974AA4"/>
    <w:rsid w:val="00974B01"/>
    <w:rsid w:val="00974B10"/>
    <w:rsid w:val="00974BA5"/>
    <w:rsid w:val="00974C8E"/>
    <w:rsid w:val="00974F4A"/>
    <w:rsid w:val="0097528F"/>
    <w:rsid w:val="00975382"/>
    <w:rsid w:val="009753A7"/>
    <w:rsid w:val="00975419"/>
    <w:rsid w:val="009754B3"/>
    <w:rsid w:val="009754ED"/>
    <w:rsid w:val="009756D8"/>
    <w:rsid w:val="009757E0"/>
    <w:rsid w:val="009757FB"/>
    <w:rsid w:val="00975848"/>
    <w:rsid w:val="0097589C"/>
    <w:rsid w:val="00975932"/>
    <w:rsid w:val="00975938"/>
    <w:rsid w:val="00975A86"/>
    <w:rsid w:val="00975C29"/>
    <w:rsid w:val="00975F2F"/>
    <w:rsid w:val="00976039"/>
    <w:rsid w:val="009760E6"/>
    <w:rsid w:val="00976212"/>
    <w:rsid w:val="009762FD"/>
    <w:rsid w:val="00976329"/>
    <w:rsid w:val="009763A3"/>
    <w:rsid w:val="009763D9"/>
    <w:rsid w:val="00976410"/>
    <w:rsid w:val="00976432"/>
    <w:rsid w:val="00976453"/>
    <w:rsid w:val="009764E4"/>
    <w:rsid w:val="00976584"/>
    <w:rsid w:val="009765E7"/>
    <w:rsid w:val="0097670D"/>
    <w:rsid w:val="0097677A"/>
    <w:rsid w:val="009767B1"/>
    <w:rsid w:val="0097686E"/>
    <w:rsid w:val="009768DA"/>
    <w:rsid w:val="00976A9B"/>
    <w:rsid w:val="00976C35"/>
    <w:rsid w:val="00976DFD"/>
    <w:rsid w:val="00976EB8"/>
    <w:rsid w:val="00976F16"/>
    <w:rsid w:val="00976F45"/>
    <w:rsid w:val="00976FC9"/>
    <w:rsid w:val="00976FF1"/>
    <w:rsid w:val="00977009"/>
    <w:rsid w:val="0097701B"/>
    <w:rsid w:val="00977078"/>
    <w:rsid w:val="00977082"/>
    <w:rsid w:val="00977100"/>
    <w:rsid w:val="0097713E"/>
    <w:rsid w:val="00977181"/>
    <w:rsid w:val="009772C7"/>
    <w:rsid w:val="0097731A"/>
    <w:rsid w:val="009773D5"/>
    <w:rsid w:val="00977606"/>
    <w:rsid w:val="009776D5"/>
    <w:rsid w:val="00977745"/>
    <w:rsid w:val="009778DE"/>
    <w:rsid w:val="00977939"/>
    <w:rsid w:val="00977A39"/>
    <w:rsid w:val="00977A43"/>
    <w:rsid w:val="00977ABE"/>
    <w:rsid w:val="00977C46"/>
    <w:rsid w:val="00977E9B"/>
    <w:rsid w:val="00977F93"/>
    <w:rsid w:val="00977FEE"/>
    <w:rsid w:val="00980014"/>
    <w:rsid w:val="0098013F"/>
    <w:rsid w:val="00980285"/>
    <w:rsid w:val="009802EE"/>
    <w:rsid w:val="009803B0"/>
    <w:rsid w:val="00980707"/>
    <w:rsid w:val="0098072D"/>
    <w:rsid w:val="00980759"/>
    <w:rsid w:val="009807AC"/>
    <w:rsid w:val="0098080B"/>
    <w:rsid w:val="0098092F"/>
    <w:rsid w:val="009809F7"/>
    <w:rsid w:val="00980D88"/>
    <w:rsid w:val="00980EC4"/>
    <w:rsid w:val="00980FB5"/>
    <w:rsid w:val="0098104A"/>
    <w:rsid w:val="0098115B"/>
    <w:rsid w:val="0098130B"/>
    <w:rsid w:val="0098136B"/>
    <w:rsid w:val="009813C5"/>
    <w:rsid w:val="00981444"/>
    <w:rsid w:val="0098154E"/>
    <w:rsid w:val="00981559"/>
    <w:rsid w:val="0098157D"/>
    <w:rsid w:val="009815F0"/>
    <w:rsid w:val="0098171F"/>
    <w:rsid w:val="00981822"/>
    <w:rsid w:val="009818CB"/>
    <w:rsid w:val="009819ED"/>
    <w:rsid w:val="00981A4D"/>
    <w:rsid w:val="00981AA1"/>
    <w:rsid w:val="00981ADD"/>
    <w:rsid w:val="00981CAC"/>
    <w:rsid w:val="00981D23"/>
    <w:rsid w:val="00981EA8"/>
    <w:rsid w:val="00981F73"/>
    <w:rsid w:val="00981FE5"/>
    <w:rsid w:val="00982084"/>
    <w:rsid w:val="009820A7"/>
    <w:rsid w:val="0098214A"/>
    <w:rsid w:val="00982173"/>
    <w:rsid w:val="009821E4"/>
    <w:rsid w:val="0098220E"/>
    <w:rsid w:val="0098228B"/>
    <w:rsid w:val="0098233F"/>
    <w:rsid w:val="0098235D"/>
    <w:rsid w:val="009823C6"/>
    <w:rsid w:val="009824E5"/>
    <w:rsid w:val="009825A5"/>
    <w:rsid w:val="00982607"/>
    <w:rsid w:val="00982633"/>
    <w:rsid w:val="00982692"/>
    <w:rsid w:val="0098272E"/>
    <w:rsid w:val="009827F3"/>
    <w:rsid w:val="00982812"/>
    <w:rsid w:val="00982A0A"/>
    <w:rsid w:val="00982A4A"/>
    <w:rsid w:val="00982B5F"/>
    <w:rsid w:val="00982CB1"/>
    <w:rsid w:val="00982DA2"/>
    <w:rsid w:val="00982DC4"/>
    <w:rsid w:val="00982DD8"/>
    <w:rsid w:val="00982EC2"/>
    <w:rsid w:val="00983018"/>
    <w:rsid w:val="0098303A"/>
    <w:rsid w:val="0098329F"/>
    <w:rsid w:val="009832C6"/>
    <w:rsid w:val="0098335B"/>
    <w:rsid w:val="00983425"/>
    <w:rsid w:val="0098375B"/>
    <w:rsid w:val="00983761"/>
    <w:rsid w:val="009837F7"/>
    <w:rsid w:val="00983A2F"/>
    <w:rsid w:val="00983AD7"/>
    <w:rsid w:val="00983AEF"/>
    <w:rsid w:val="00983BAB"/>
    <w:rsid w:val="00983BCE"/>
    <w:rsid w:val="00983C06"/>
    <w:rsid w:val="00983DE7"/>
    <w:rsid w:val="00983E8C"/>
    <w:rsid w:val="00983FC9"/>
    <w:rsid w:val="00984063"/>
    <w:rsid w:val="009840B5"/>
    <w:rsid w:val="009840D3"/>
    <w:rsid w:val="00984288"/>
    <w:rsid w:val="009843BB"/>
    <w:rsid w:val="009843D4"/>
    <w:rsid w:val="009844A7"/>
    <w:rsid w:val="009844F9"/>
    <w:rsid w:val="009845B3"/>
    <w:rsid w:val="0098473E"/>
    <w:rsid w:val="00984796"/>
    <w:rsid w:val="009848C2"/>
    <w:rsid w:val="009848CC"/>
    <w:rsid w:val="009849E0"/>
    <w:rsid w:val="00984A84"/>
    <w:rsid w:val="00984B1F"/>
    <w:rsid w:val="00984BFA"/>
    <w:rsid w:val="00984C57"/>
    <w:rsid w:val="00984E56"/>
    <w:rsid w:val="00984F0A"/>
    <w:rsid w:val="00985032"/>
    <w:rsid w:val="00985173"/>
    <w:rsid w:val="00985269"/>
    <w:rsid w:val="009852AA"/>
    <w:rsid w:val="00985379"/>
    <w:rsid w:val="00985391"/>
    <w:rsid w:val="00985423"/>
    <w:rsid w:val="009857AC"/>
    <w:rsid w:val="00985807"/>
    <w:rsid w:val="0098595C"/>
    <w:rsid w:val="00985A01"/>
    <w:rsid w:val="00985A19"/>
    <w:rsid w:val="00985ABA"/>
    <w:rsid w:val="00985DA0"/>
    <w:rsid w:val="00985EA0"/>
    <w:rsid w:val="00985EA6"/>
    <w:rsid w:val="00985ED0"/>
    <w:rsid w:val="00985F86"/>
    <w:rsid w:val="00985FEF"/>
    <w:rsid w:val="009860DD"/>
    <w:rsid w:val="009860F7"/>
    <w:rsid w:val="009861A6"/>
    <w:rsid w:val="009861C9"/>
    <w:rsid w:val="0098620F"/>
    <w:rsid w:val="0098627A"/>
    <w:rsid w:val="009862EC"/>
    <w:rsid w:val="00986430"/>
    <w:rsid w:val="00986432"/>
    <w:rsid w:val="00986520"/>
    <w:rsid w:val="0098674A"/>
    <w:rsid w:val="00986824"/>
    <w:rsid w:val="00986831"/>
    <w:rsid w:val="0098684A"/>
    <w:rsid w:val="009869C2"/>
    <w:rsid w:val="00986A1F"/>
    <w:rsid w:val="00986A35"/>
    <w:rsid w:val="00986AD8"/>
    <w:rsid w:val="00986AE1"/>
    <w:rsid w:val="00986CF8"/>
    <w:rsid w:val="00986D12"/>
    <w:rsid w:val="00986FD2"/>
    <w:rsid w:val="0098703B"/>
    <w:rsid w:val="00987060"/>
    <w:rsid w:val="00987173"/>
    <w:rsid w:val="009871A6"/>
    <w:rsid w:val="009871DD"/>
    <w:rsid w:val="0098727B"/>
    <w:rsid w:val="00987297"/>
    <w:rsid w:val="0098731A"/>
    <w:rsid w:val="009874D6"/>
    <w:rsid w:val="009874F5"/>
    <w:rsid w:val="00987772"/>
    <w:rsid w:val="009878C4"/>
    <w:rsid w:val="0098794C"/>
    <w:rsid w:val="0098794F"/>
    <w:rsid w:val="009879E0"/>
    <w:rsid w:val="00987A75"/>
    <w:rsid w:val="00987A8E"/>
    <w:rsid w:val="00987DD6"/>
    <w:rsid w:val="00987DEF"/>
    <w:rsid w:val="00987E31"/>
    <w:rsid w:val="00987E8F"/>
    <w:rsid w:val="00987ECB"/>
    <w:rsid w:val="00990078"/>
    <w:rsid w:val="0099008D"/>
    <w:rsid w:val="00990107"/>
    <w:rsid w:val="0099019F"/>
    <w:rsid w:val="009902B0"/>
    <w:rsid w:val="009902CD"/>
    <w:rsid w:val="009902DE"/>
    <w:rsid w:val="0099035B"/>
    <w:rsid w:val="00990453"/>
    <w:rsid w:val="009904A3"/>
    <w:rsid w:val="009904DC"/>
    <w:rsid w:val="009904FE"/>
    <w:rsid w:val="00990565"/>
    <w:rsid w:val="0099067F"/>
    <w:rsid w:val="0099075A"/>
    <w:rsid w:val="009907A0"/>
    <w:rsid w:val="00990858"/>
    <w:rsid w:val="00990982"/>
    <w:rsid w:val="009909E5"/>
    <w:rsid w:val="00990B50"/>
    <w:rsid w:val="00990D33"/>
    <w:rsid w:val="00990D8C"/>
    <w:rsid w:val="00990DF6"/>
    <w:rsid w:val="00990E87"/>
    <w:rsid w:val="00990ECE"/>
    <w:rsid w:val="00990EDD"/>
    <w:rsid w:val="00990FFF"/>
    <w:rsid w:val="00991035"/>
    <w:rsid w:val="009911E9"/>
    <w:rsid w:val="0099125B"/>
    <w:rsid w:val="009912AA"/>
    <w:rsid w:val="009912BB"/>
    <w:rsid w:val="0099151A"/>
    <w:rsid w:val="0099154E"/>
    <w:rsid w:val="009918CE"/>
    <w:rsid w:val="009918E4"/>
    <w:rsid w:val="00991913"/>
    <w:rsid w:val="00991A3B"/>
    <w:rsid w:val="00991AA8"/>
    <w:rsid w:val="00991C4A"/>
    <w:rsid w:val="00991D54"/>
    <w:rsid w:val="00991E26"/>
    <w:rsid w:val="00991F4A"/>
    <w:rsid w:val="00991F91"/>
    <w:rsid w:val="00992371"/>
    <w:rsid w:val="00992425"/>
    <w:rsid w:val="009924C3"/>
    <w:rsid w:val="00992760"/>
    <w:rsid w:val="00992788"/>
    <w:rsid w:val="009927D8"/>
    <w:rsid w:val="0099281D"/>
    <w:rsid w:val="009928DE"/>
    <w:rsid w:val="00992A73"/>
    <w:rsid w:val="00992A7C"/>
    <w:rsid w:val="00992B0F"/>
    <w:rsid w:val="00992B58"/>
    <w:rsid w:val="00992B87"/>
    <w:rsid w:val="00992C33"/>
    <w:rsid w:val="00992D9C"/>
    <w:rsid w:val="00992DA2"/>
    <w:rsid w:val="00992E09"/>
    <w:rsid w:val="00992F93"/>
    <w:rsid w:val="009930E2"/>
    <w:rsid w:val="00993246"/>
    <w:rsid w:val="009932B2"/>
    <w:rsid w:val="0099343B"/>
    <w:rsid w:val="009934B7"/>
    <w:rsid w:val="009939BB"/>
    <w:rsid w:val="009939DA"/>
    <w:rsid w:val="00993AF2"/>
    <w:rsid w:val="00993B14"/>
    <w:rsid w:val="00993B89"/>
    <w:rsid w:val="00993C64"/>
    <w:rsid w:val="00993C8A"/>
    <w:rsid w:val="00993C9A"/>
    <w:rsid w:val="00993E3E"/>
    <w:rsid w:val="00993E93"/>
    <w:rsid w:val="00993F36"/>
    <w:rsid w:val="00993FCF"/>
    <w:rsid w:val="00994004"/>
    <w:rsid w:val="0099408D"/>
    <w:rsid w:val="009940F6"/>
    <w:rsid w:val="00994174"/>
    <w:rsid w:val="009941EC"/>
    <w:rsid w:val="0099423D"/>
    <w:rsid w:val="009942A5"/>
    <w:rsid w:val="00994362"/>
    <w:rsid w:val="009946B9"/>
    <w:rsid w:val="009949B4"/>
    <w:rsid w:val="00994A29"/>
    <w:rsid w:val="00994A71"/>
    <w:rsid w:val="00994ADB"/>
    <w:rsid w:val="00994B05"/>
    <w:rsid w:val="00994C02"/>
    <w:rsid w:val="00994CA4"/>
    <w:rsid w:val="00994CD6"/>
    <w:rsid w:val="00994D3A"/>
    <w:rsid w:val="00994D70"/>
    <w:rsid w:val="00994DC6"/>
    <w:rsid w:val="009950B1"/>
    <w:rsid w:val="0099528E"/>
    <w:rsid w:val="00995431"/>
    <w:rsid w:val="009954D1"/>
    <w:rsid w:val="00995607"/>
    <w:rsid w:val="00995615"/>
    <w:rsid w:val="00995632"/>
    <w:rsid w:val="00995658"/>
    <w:rsid w:val="009956FA"/>
    <w:rsid w:val="00995726"/>
    <w:rsid w:val="00995989"/>
    <w:rsid w:val="00995AF5"/>
    <w:rsid w:val="00995BB0"/>
    <w:rsid w:val="00995D8E"/>
    <w:rsid w:val="00995E64"/>
    <w:rsid w:val="00995EA9"/>
    <w:rsid w:val="00995F19"/>
    <w:rsid w:val="00995F66"/>
    <w:rsid w:val="00995FA2"/>
    <w:rsid w:val="00995FFE"/>
    <w:rsid w:val="009961AF"/>
    <w:rsid w:val="009962E6"/>
    <w:rsid w:val="00996317"/>
    <w:rsid w:val="00996627"/>
    <w:rsid w:val="00996832"/>
    <w:rsid w:val="009968B6"/>
    <w:rsid w:val="00996C35"/>
    <w:rsid w:val="00996D35"/>
    <w:rsid w:val="00996E86"/>
    <w:rsid w:val="00996ECF"/>
    <w:rsid w:val="00996F3E"/>
    <w:rsid w:val="0099705A"/>
    <w:rsid w:val="0099706B"/>
    <w:rsid w:val="0099725E"/>
    <w:rsid w:val="00997287"/>
    <w:rsid w:val="0099755C"/>
    <w:rsid w:val="0099767C"/>
    <w:rsid w:val="009976CE"/>
    <w:rsid w:val="00997740"/>
    <w:rsid w:val="0099784E"/>
    <w:rsid w:val="00997940"/>
    <w:rsid w:val="0099794A"/>
    <w:rsid w:val="009979AB"/>
    <w:rsid w:val="009979D9"/>
    <w:rsid w:val="00997BAB"/>
    <w:rsid w:val="00997C78"/>
    <w:rsid w:val="00997D2E"/>
    <w:rsid w:val="00997DE7"/>
    <w:rsid w:val="009A004F"/>
    <w:rsid w:val="009A00B4"/>
    <w:rsid w:val="009A00B6"/>
    <w:rsid w:val="009A00E1"/>
    <w:rsid w:val="009A0105"/>
    <w:rsid w:val="009A01AA"/>
    <w:rsid w:val="009A01D6"/>
    <w:rsid w:val="009A02AF"/>
    <w:rsid w:val="009A0386"/>
    <w:rsid w:val="009A03F0"/>
    <w:rsid w:val="009A040F"/>
    <w:rsid w:val="009A0583"/>
    <w:rsid w:val="009A0717"/>
    <w:rsid w:val="009A0736"/>
    <w:rsid w:val="009A0768"/>
    <w:rsid w:val="009A086C"/>
    <w:rsid w:val="009A08A4"/>
    <w:rsid w:val="009A08D7"/>
    <w:rsid w:val="009A0906"/>
    <w:rsid w:val="009A0960"/>
    <w:rsid w:val="009A0994"/>
    <w:rsid w:val="009A0A1A"/>
    <w:rsid w:val="009A0A97"/>
    <w:rsid w:val="009A0B65"/>
    <w:rsid w:val="009A0CCD"/>
    <w:rsid w:val="009A0D2F"/>
    <w:rsid w:val="009A0DDF"/>
    <w:rsid w:val="009A0EFD"/>
    <w:rsid w:val="009A0F7D"/>
    <w:rsid w:val="009A0FC2"/>
    <w:rsid w:val="009A0FD7"/>
    <w:rsid w:val="009A1054"/>
    <w:rsid w:val="009A1126"/>
    <w:rsid w:val="009A1240"/>
    <w:rsid w:val="009A125D"/>
    <w:rsid w:val="009A144F"/>
    <w:rsid w:val="009A1604"/>
    <w:rsid w:val="009A1878"/>
    <w:rsid w:val="009A1898"/>
    <w:rsid w:val="009A1AB2"/>
    <w:rsid w:val="009A1B83"/>
    <w:rsid w:val="009A1C1F"/>
    <w:rsid w:val="009A1DA6"/>
    <w:rsid w:val="009A1E87"/>
    <w:rsid w:val="009A1F20"/>
    <w:rsid w:val="009A1FBE"/>
    <w:rsid w:val="009A2072"/>
    <w:rsid w:val="009A2154"/>
    <w:rsid w:val="009A217F"/>
    <w:rsid w:val="009A22A7"/>
    <w:rsid w:val="009A22F3"/>
    <w:rsid w:val="009A2325"/>
    <w:rsid w:val="009A2342"/>
    <w:rsid w:val="009A2373"/>
    <w:rsid w:val="009A25C8"/>
    <w:rsid w:val="009A25D1"/>
    <w:rsid w:val="009A271B"/>
    <w:rsid w:val="009A29B9"/>
    <w:rsid w:val="009A2A0A"/>
    <w:rsid w:val="009A2A2C"/>
    <w:rsid w:val="009A2AD0"/>
    <w:rsid w:val="009A2BBC"/>
    <w:rsid w:val="009A2C7F"/>
    <w:rsid w:val="009A2EE0"/>
    <w:rsid w:val="009A2F0E"/>
    <w:rsid w:val="009A2FC9"/>
    <w:rsid w:val="009A3023"/>
    <w:rsid w:val="009A327F"/>
    <w:rsid w:val="009A32B6"/>
    <w:rsid w:val="009A3305"/>
    <w:rsid w:val="009A3462"/>
    <w:rsid w:val="009A35C7"/>
    <w:rsid w:val="009A37CB"/>
    <w:rsid w:val="009A3819"/>
    <w:rsid w:val="009A3850"/>
    <w:rsid w:val="009A392A"/>
    <w:rsid w:val="009A3A13"/>
    <w:rsid w:val="009A3AFD"/>
    <w:rsid w:val="009A3C09"/>
    <w:rsid w:val="009A3C6C"/>
    <w:rsid w:val="009A3D35"/>
    <w:rsid w:val="009A3DA1"/>
    <w:rsid w:val="009A3DE3"/>
    <w:rsid w:val="009A3E8C"/>
    <w:rsid w:val="009A4133"/>
    <w:rsid w:val="009A41C9"/>
    <w:rsid w:val="009A4231"/>
    <w:rsid w:val="009A4393"/>
    <w:rsid w:val="009A43A5"/>
    <w:rsid w:val="009A4580"/>
    <w:rsid w:val="009A4640"/>
    <w:rsid w:val="009A4642"/>
    <w:rsid w:val="009A4665"/>
    <w:rsid w:val="009A46FE"/>
    <w:rsid w:val="009A4761"/>
    <w:rsid w:val="009A47B4"/>
    <w:rsid w:val="009A48B8"/>
    <w:rsid w:val="009A49AD"/>
    <w:rsid w:val="009A4C51"/>
    <w:rsid w:val="009A4C82"/>
    <w:rsid w:val="009A4D5A"/>
    <w:rsid w:val="009A4D89"/>
    <w:rsid w:val="009A4DEF"/>
    <w:rsid w:val="009A4E02"/>
    <w:rsid w:val="009A4E5F"/>
    <w:rsid w:val="009A4F1D"/>
    <w:rsid w:val="009A507E"/>
    <w:rsid w:val="009A5082"/>
    <w:rsid w:val="009A50AE"/>
    <w:rsid w:val="009A521E"/>
    <w:rsid w:val="009A521F"/>
    <w:rsid w:val="009A529A"/>
    <w:rsid w:val="009A52B0"/>
    <w:rsid w:val="009A5427"/>
    <w:rsid w:val="009A54F9"/>
    <w:rsid w:val="009A554A"/>
    <w:rsid w:val="009A55E6"/>
    <w:rsid w:val="009A56B4"/>
    <w:rsid w:val="009A5701"/>
    <w:rsid w:val="009A575E"/>
    <w:rsid w:val="009A58B7"/>
    <w:rsid w:val="009A5955"/>
    <w:rsid w:val="009A5984"/>
    <w:rsid w:val="009A5A71"/>
    <w:rsid w:val="009A5A8F"/>
    <w:rsid w:val="009A5B0E"/>
    <w:rsid w:val="009A5B58"/>
    <w:rsid w:val="009A5D35"/>
    <w:rsid w:val="009A5E5C"/>
    <w:rsid w:val="009A5E95"/>
    <w:rsid w:val="009A5F45"/>
    <w:rsid w:val="009A6069"/>
    <w:rsid w:val="009A60FD"/>
    <w:rsid w:val="009A6199"/>
    <w:rsid w:val="009A619C"/>
    <w:rsid w:val="009A62EA"/>
    <w:rsid w:val="009A62F5"/>
    <w:rsid w:val="009A634D"/>
    <w:rsid w:val="009A6357"/>
    <w:rsid w:val="009A63C3"/>
    <w:rsid w:val="009A6418"/>
    <w:rsid w:val="009A65B9"/>
    <w:rsid w:val="009A65CF"/>
    <w:rsid w:val="009A65D9"/>
    <w:rsid w:val="009A673E"/>
    <w:rsid w:val="009A67CF"/>
    <w:rsid w:val="009A6811"/>
    <w:rsid w:val="009A681F"/>
    <w:rsid w:val="009A69AE"/>
    <w:rsid w:val="009A69CC"/>
    <w:rsid w:val="009A6A07"/>
    <w:rsid w:val="009A6A9F"/>
    <w:rsid w:val="009A6C90"/>
    <w:rsid w:val="009A6DC2"/>
    <w:rsid w:val="009A6E2B"/>
    <w:rsid w:val="009A6E6D"/>
    <w:rsid w:val="009A70B2"/>
    <w:rsid w:val="009A70E6"/>
    <w:rsid w:val="009A73D9"/>
    <w:rsid w:val="009A7738"/>
    <w:rsid w:val="009A78F2"/>
    <w:rsid w:val="009A7BCD"/>
    <w:rsid w:val="009A7C9D"/>
    <w:rsid w:val="009A7DD1"/>
    <w:rsid w:val="009A7FA0"/>
    <w:rsid w:val="009B0017"/>
    <w:rsid w:val="009B00E0"/>
    <w:rsid w:val="009B00EA"/>
    <w:rsid w:val="009B0209"/>
    <w:rsid w:val="009B023A"/>
    <w:rsid w:val="009B02ED"/>
    <w:rsid w:val="009B04CE"/>
    <w:rsid w:val="009B062E"/>
    <w:rsid w:val="009B06F8"/>
    <w:rsid w:val="009B07B0"/>
    <w:rsid w:val="009B083D"/>
    <w:rsid w:val="009B0848"/>
    <w:rsid w:val="009B0B6B"/>
    <w:rsid w:val="009B0D1C"/>
    <w:rsid w:val="009B0FE7"/>
    <w:rsid w:val="009B103E"/>
    <w:rsid w:val="009B107D"/>
    <w:rsid w:val="009B10CC"/>
    <w:rsid w:val="009B111D"/>
    <w:rsid w:val="009B1152"/>
    <w:rsid w:val="009B1185"/>
    <w:rsid w:val="009B12C2"/>
    <w:rsid w:val="009B14FD"/>
    <w:rsid w:val="009B17DD"/>
    <w:rsid w:val="009B184F"/>
    <w:rsid w:val="009B1858"/>
    <w:rsid w:val="009B18AE"/>
    <w:rsid w:val="009B19F7"/>
    <w:rsid w:val="009B1A02"/>
    <w:rsid w:val="009B1A37"/>
    <w:rsid w:val="009B1B19"/>
    <w:rsid w:val="009B1B91"/>
    <w:rsid w:val="009B1B9F"/>
    <w:rsid w:val="009B1C05"/>
    <w:rsid w:val="009B1C57"/>
    <w:rsid w:val="009B1C7F"/>
    <w:rsid w:val="009B1D40"/>
    <w:rsid w:val="009B1D7A"/>
    <w:rsid w:val="009B1DCE"/>
    <w:rsid w:val="009B1DF2"/>
    <w:rsid w:val="009B1FC1"/>
    <w:rsid w:val="009B2046"/>
    <w:rsid w:val="009B2078"/>
    <w:rsid w:val="009B2186"/>
    <w:rsid w:val="009B21E7"/>
    <w:rsid w:val="009B2226"/>
    <w:rsid w:val="009B22F5"/>
    <w:rsid w:val="009B2357"/>
    <w:rsid w:val="009B2401"/>
    <w:rsid w:val="009B2461"/>
    <w:rsid w:val="009B24A1"/>
    <w:rsid w:val="009B2627"/>
    <w:rsid w:val="009B27EE"/>
    <w:rsid w:val="009B2840"/>
    <w:rsid w:val="009B28E9"/>
    <w:rsid w:val="009B28F1"/>
    <w:rsid w:val="009B2A06"/>
    <w:rsid w:val="009B2C8A"/>
    <w:rsid w:val="009B2D74"/>
    <w:rsid w:val="009B2EB9"/>
    <w:rsid w:val="009B2EE7"/>
    <w:rsid w:val="009B2F31"/>
    <w:rsid w:val="009B323A"/>
    <w:rsid w:val="009B32AE"/>
    <w:rsid w:val="009B3377"/>
    <w:rsid w:val="009B33D9"/>
    <w:rsid w:val="009B358E"/>
    <w:rsid w:val="009B35FA"/>
    <w:rsid w:val="009B36D3"/>
    <w:rsid w:val="009B3802"/>
    <w:rsid w:val="009B38A3"/>
    <w:rsid w:val="009B395F"/>
    <w:rsid w:val="009B3CAF"/>
    <w:rsid w:val="009B3D4A"/>
    <w:rsid w:val="009B3F76"/>
    <w:rsid w:val="009B4012"/>
    <w:rsid w:val="009B421D"/>
    <w:rsid w:val="009B426D"/>
    <w:rsid w:val="009B431F"/>
    <w:rsid w:val="009B4329"/>
    <w:rsid w:val="009B44F5"/>
    <w:rsid w:val="009B47B9"/>
    <w:rsid w:val="009B4804"/>
    <w:rsid w:val="009B4823"/>
    <w:rsid w:val="009B499C"/>
    <w:rsid w:val="009B4BB2"/>
    <w:rsid w:val="009B4C09"/>
    <w:rsid w:val="009B4C5B"/>
    <w:rsid w:val="009B4C9C"/>
    <w:rsid w:val="009B4DDC"/>
    <w:rsid w:val="009B4E9E"/>
    <w:rsid w:val="009B518A"/>
    <w:rsid w:val="009B51D4"/>
    <w:rsid w:val="009B521F"/>
    <w:rsid w:val="009B526B"/>
    <w:rsid w:val="009B52FD"/>
    <w:rsid w:val="009B532D"/>
    <w:rsid w:val="009B5492"/>
    <w:rsid w:val="009B55C8"/>
    <w:rsid w:val="009B55F8"/>
    <w:rsid w:val="009B58E6"/>
    <w:rsid w:val="009B5D46"/>
    <w:rsid w:val="009B5DB1"/>
    <w:rsid w:val="009B6031"/>
    <w:rsid w:val="009B62DA"/>
    <w:rsid w:val="009B633E"/>
    <w:rsid w:val="009B6392"/>
    <w:rsid w:val="009B63B7"/>
    <w:rsid w:val="009B64BA"/>
    <w:rsid w:val="009B65EB"/>
    <w:rsid w:val="009B69BB"/>
    <w:rsid w:val="009B69BD"/>
    <w:rsid w:val="009B69C9"/>
    <w:rsid w:val="009B69E8"/>
    <w:rsid w:val="009B6AD8"/>
    <w:rsid w:val="009B6C8A"/>
    <w:rsid w:val="009B6D31"/>
    <w:rsid w:val="009B6D47"/>
    <w:rsid w:val="009B6DA2"/>
    <w:rsid w:val="009B6E0E"/>
    <w:rsid w:val="009B6EDC"/>
    <w:rsid w:val="009B71EA"/>
    <w:rsid w:val="009B720A"/>
    <w:rsid w:val="009B726A"/>
    <w:rsid w:val="009B72E5"/>
    <w:rsid w:val="009B7366"/>
    <w:rsid w:val="009B73BF"/>
    <w:rsid w:val="009B7431"/>
    <w:rsid w:val="009B749B"/>
    <w:rsid w:val="009B74E6"/>
    <w:rsid w:val="009B759F"/>
    <w:rsid w:val="009B7611"/>
    <w:rsid w:val="009B7752"/>
    <w:rsid w:val="009B7908"/>
    <w:rsid w:val="009B7955"/>
    <w:rsid w:val="009B79D5"/>
    <w:rsid w:val="009B7B67"/>
    <w:rsid w:val="009B7C06"/>
    <w:rsid w:val="009B7C60"/>
    <w:rsid w:val="009B7D18"/>
    <w:rsid w:val="009B7DD0"/>
    <w:rsid w:val="009B7F2D"/>
    <w:rsid w:val="009B7FB7"/>
    <w:rsid w:val="009C006B"/>
    <w:rsid w:val="009C0101"/>
    <w:rsid w:val="009C023F"/>
    <w:rsid w:val="009C040A"/>
    <w:rsid w:val="009C0801"/>
    <w:rsid w:val="009C0844"/>
    <w:rsid w:val="009C0A9B"/>
    <w:rsid w:val="009C0EA3"/>
    <w:rsid w:val="009C0EAA"/>
    <w:rsid w:val="009C0FA8"/>
    <w:rsid w:val="009C1016"/>
    <w:rsid w:val="009C1034"/>
    <w:rsid w:val="009C10C9"/>
    <w:rsid w:val="009C1134"/>
    <w:rsid w:val="009C11AA"/>
    <w:rsid w:val="009C144F"/>
    <w:rsid w:val="009C1543"/>
    <w:rsid w:val="009C17A6"/>
    <w:rsid w:val="009C17B6"/>
    <w:rsid w:val="009C189D"/>
    <w:rsid w:val="009C195D"/>
    <w:rsid w:val="009C198E"/>
    <w:rsid w:val="009C19CA"/>
    <w:rsid w:val="009C19F1"/>
    <w:rsid w:val="009C1A97"/>
    <w:rsid w:val="009C1ACB"/>
    <w:rsid w:val="009C1B2F"/>
    <w:rsid w:val="009C1BFD"/>
    <w:rsid w:val="009C1CD3"/>
    <w:rsid w:val="009C1DF6"/>
    <w:rsid w:val="009C1E5D"/>
    <w:rsid w:val="009C2014"/>
    <w:rsid w:val="009C218B"/>
    <w:rsid w:val="009C21A2"/>
    <w:rsid w:val="009C21F8"/>
    <w:rsid w:val="009C233D"/>
    <w:rsid w:val="009C2520"/>
    <w:rsid w:val="009C270F"/>
    <w:rsid w:val="009C272F"/>
    <w:rsid w:val="009C278A"/>
    <w:rsid w:val="009C27AA"/>
    <w:rsid w:val="009C27AB"/>
    <w:rsid w:val="009C2844"/>
    <w:rsid w:val="009C284D"/>
    <w:rsid w:val="009C285F"/>
    <w:rsid w:val="009C297F"/>
    <w:rsid w:val="009C2B2A"/>
    <w:rsid w:val="009C2B3C"/>
    <w:rsid w:val="009C2C39"/>
    <w:rsid w:val="009C2CF7"/>
    <w:rsid w:val="009C2D1B"/>
    <w:rsid w:val="009C2E0A"/>
    <w:rsid w:val="009C2E37"/>
    <w:rsid w:val="009C2F7C"/>
    <w:rsid w:val="009C30D6"/>
    <w:rsid w:val="009C313F"/>
    <w:rsid w:val="009C3245"/>
    <w:rsid w:val="009C32F0"/>
    <w:rsid w:val="009C337C"/>
    <w:rsid w:val="009C350C"/>
    <w:rsid w:val="009C36D7"/>
    <w:rsid w:val="009C373B"/>
    <w:rsid w:val="009C37C7"/>
    <w:rsid w:val="009C3873"/>
    <w:rsid w:val="009C3889"/>
    <w:rsid w:val="009C3989"/>
    <w:rsid w:val="009C39D2"/>
    <w:rsid w:val="009C39E2"/>
    <w:rsid w:val="009C3A7D"/>
    <w:rsid w:val="009C3AA8"/>
    <w:rsid w:val="009C3B6C"/>
    <w:rsid w:val="009C3C39"/>
    <w:rsid w:val="009C3D05"/>
    <w:rsid w:val="009C3EA6"/>
    <w:rsid w:val="009C3F4C"/>
    <w:rsid w:val="009C40DE"/>
    <w:rsid w:val="009C41D2"/>
    <w:rsid w:val="009C4200"/>
    <w:rsid w:val="009C42E9"/>
    <w:rsid w:val="009C42EB"/>
    <w:rsid w:val="009C43AC"/>
    <w:rsid w:val="009C4437"/>
    <w:rsid w:val="009C4636"/>
    <w:rsid w:val="009C47F9"/>
    <w:rsid w:val="009C48C2"/>
    <w:rsid w:val="009C48E9"/>
    <w:rsid w:val="009C4960"/>
    <w:rsid w:val="009C49FD"/>
    <w:rsid w:val="009C4AD7"/>
    <w:rsid w:val="009C4BA6"/>
    <w:rsid w:val="009C4D28"/>
    <w:rsid w:val="009C4D8A"/>
    <w:rsid w:val="009C4D94"/>
    <w:rsid w:val="009C4F42"/>
    <w:rsid w:val="009C4F73"/>
    <w:rsid w:val="009C4FA8"/>
    <w:rsid w:val="009C500F"/>
    <w:rsid w:val="009C5063"/>
    <w:rsid w:val="009C50CA"/>
    <w:rsid w:val="009C519C"/>
    <w:rsid w:val="009C5228"/>
    <w:rsid w:val="009C5465"/>
    <w:rsid w:val="009C5583"/>
    <w:rsid w:val="009C5665"/>
    <w:rsid w:val="009C56AF"/>
    <w:rsid w:val="009C56CB"/>
    <w:rsid w:val="009C5830"/>
    <w:rsid w:val="009C5919"/>
    <w:rsid w:val="009C593B"/>
    <w:rsid w:val="009C5AA4"/>
    <w:rsid w:val="009C5C10"/>
    <w:rsid w:val="009C5C71"/>
    <w:rsid w:val="009C5CC1"/>
    <w:rsid w:val="009C5D3D"/>
    <w:rsid w:val="009C5D49"/>
    <w:rsid w:val="009C5D5B"/>
    <w:rsid w:val="009C5F2F"/>
    <w:rsid w:val="009C6010"/>
    <w:rsid w:val="009C60F2"/>
    <w:rsid w:val="009C61FC"/>
    <w:rsid w:val="009C62C2"/>
    <w:rsid w:val="009C62D4"/>
    <w:rsid w:val="009C63B1"/>
    <w:rsid w:val="009C641C"/>
    <w:rsid w:val="009C6439"/>
    <w:rsid w:val="009C6479"/>
    <w:rsid w:val="009C647C"/>
    <w:rsid w:val="009C64B1"/>
    <w:rsid w:val="009C64B6"/>
    <w:rsid w:val="009C654B"/>
    <w:rsid w:val="009C65D1"/>
    <w:rsid w:val="009C65F6"/>
    <w:rsid w:val="009C6621"/>
    <w:rsid w:val="009C6664"/>
    <w:rsid w:val="009C6693"/>
    <w:rsid w:val="009C66A2"/>
    <w:rsid w:val="009C67D4"/>
    <w:rsid w:val="009C69CD"/>
    <w:rsid w:val="009C69F8"/>
    <w:rsid w:val="009C69FB"/>
    <w:rsid w:val="009C6A35"/>
    <w:rsid w:val="009C6A91"/>
    <w:rsid w:val="009C6AC1"/>
    <w:rsid w:val="009C6C70"/>
    <w:rsid w:val="009C6FCF"/>
    <w:rsid w:val="009C7004"/>
    <w:rsid w:val="009C7180"/>
    <w:rsid w:val="009C71BB"/>
    <w:rsid w:val="009C71C9"/>
    <w:rsid w:val="009C71D2"/>
    <w:rsid w:val="009C723B"/>
    <w:rsid w:val="009C724C"/>
    <w:rsid w:val="009C7492"/>
    <w:rsid w:val="009C75F6"/>
    <w:rsid w:val="009C7779"/>
    <w:rsid w:val="009C77AB"/>
    <w:rsid w:val="009C77D2"/>
    <w:rsid w:val="009C7810"/>
    <w:rsid w:val="009C7876"/>
    <w:rsid w:val="009C78A5"/>
    <w:rsid w:val="009C7936"/>
    <w:rsid w:val="009C79A6"/>
    <w:rsid w:val="009C7BC4"/>
    <w:rsid w:val="009C7D38"/>
    <w:rsid w:val="009C7E76"/>
    <w:rsid w:val="009C7F5D"/>
    <w:rsid w:val="009C7F78"/>
    <w:rsid w:val="009D00BC"/>
    <w:rsid w:val="009D00BD"/>
    <w:rsid w:val="009D00F2"/>
    <w:rsid w:val="009D0228"/>
    <w:rsid w:val="009D0255"/>
    <w:rsid w:val="009D032A"/>
    <w:rsid w:val="009D03AA"/>
    <w:rsid w:val="009D05D5"/>
    <w:rsid w:val="009D06F6"/>
    <w:rsid w:val="009D0B06"/>
    <w:rsid w:val="009D0D3B"/>
    <w:rsid w:val="009D0DA1"/>
    <w:rsid w:val="009D0EF0"/>
    <w:rsid w:val="009D0F58"/>
    <w:rsid w:val="009D1021"/>
    <w:rsid w:val="009D107E"/>
    <w:rsid w:val="009D1317"/>
    <w:rsid w:val="009D132B"/>
    <w:rsid w:val="009D1464"/>
    <w:rsid w:val="009D1572"/>
    <w:rsid w:val="009D15FC"/>
    <w:rsid w:val="009D1667"/>
    <w:rsid w:val="009D169B"/>
    <w:rsid w:val="009D170B"/>
    <w:rsid w:val="009D17B5"/>
    <w:rsid w:val="009D17EF"/>
    <w:rsid w:val="009D17FA"/>
    <w:rsid w:val="009D1859"/>
    <w:rsid w:val="009D1CA8"/>
    <w:rsid w:val="009D1DD5"/>
    <w:rsid w:val="009D1E5A"/>
    <w:rsid w:val="009D1F49"/>
    <w:rsid w:val="009D2055"/>
    <w:rsid w:val="009D20C6"/>
    <w:rsid w:val="009D20DE"/>
    <w:rsid w:val="009D2130"/>
    <w:rsid w:val="009D2211"/>
    <w:rsid w:val="009D2259"/>
    <w:rsid w:val="009D22DF"/>
    <w:rsid w:val="009D2307"/>
    <w:rsid w:val="009D2309"/>
    <w:rsid w:val="009D230C"/>
    <w:rsid w:val="009D23AD"/>
    <w:rsid w:val="009D24AD"/>
    <w:rsid w:val="009D24BB"/>
    <w:rsid w:val="009D2519"/>
    <w:rsid w:val="009D2590"/>
    <w:rsid w:val="009D25E3"/>
    <w:rsid w:val="009D264D"/>
    <w:rsid w:val="009D26CD"/>
    <w:rsid w:val="009D2722"/>
    <w:rsid w:val="009D27A4"/>
    <w:rsid w:val="009D2829"/>
    <w:rsid w:val="009D28DC"/>
    <w:rsid w:val="009D2974"/>
    <w:rsid w:val="009D29C6"/>
    <w:rsid w:val="009D2A6A"/>
    <w:rsid w:val="009D2B84"/>
    <w:rsid w:val="009D2D64"/>
    <w:rsid w:val="009D2F23"/>
    <w:rsid w:val="009D2F8D"/>
    <w:rsid w:val="009D314D"/>
    <w:rsid w:val="009D314F"/>
    <w:rsid w:val="009D3284"/>
    <w:rsid w:val="009D33D3"/>
    <w:rsid w:val="009D3422"/>
    <w:rsid w:val="009D343E"/>
    <w:rsid w:val="009D360A"/>
    <w:rsid w:val="009D366F"/>
    <w:rsid w:val="009D36B5"/>
    <w:rsid w:val="009D36F2"/>
    <w:rsid w:val="009D3811"/>
    <w:rsid w:val="009D38ED"/>
    <w:rsid w:val="009D393B"/>
    <w:rsid w:val="009D3AFB"/>
    <w:rsid w:val="009D3CB9"/>
    <w:rsid w:val="009D3D91"/>
    <w:rsid w:val="009D3DE2"/>
    <w:rsid w:val="009D3E3B"/>
    <w:rsid w:val="009D3E52"/>
    <w:rsid w:val="009D3ED6"/>
    <w:rsid w:val="009D3EE3"/>
    <w:rsid w:val="009D3F64"/>
    <w:rsid w:val="009D3F8D"/>
    <w:rsid w:val="009D3FED"/>
    <w:rsid w:val="009D4083"/>
    <w:rsid w:val="009D4129"/>
    <w:rsid w:val="009D4150"/>
    <w:rsid w:val="009D4168"/>
    <w:rsid w:val="009D422E"/>
    <w:rsid w:val="009D424A"/>
    <w:rsid w:val="009D4253"/>
    <w:rsid w:val="009D446A"/>
    <w:rsid w:val="009D451B"/>
    <w:rsid w:val="009D4522"/>
    <w:rsid w:val="009D4640"/>
    <w:rsid w:val="009D46E1"/>
    <w:rsid w:val="009D4938"/>
    <w:rsid w:val="009D49CC"/>
    <w:rsid w:val="009D49EB"/>
    <w:rsid w:val="009D4AC4"/>
    <w:rsid w:val="009D4CD6"/>
    <w:rsid w:val="009D4F07"/>
    <w:rsid w:val="009D4FA9"/>
    <w:rsid w:val="009D5E6B"/>
    <w:rsid w:val="009D5F25"/>
    <w:rsid w:val="009D603F"/>
    <w:rsid w:val="009D6086"/>
    <w:rsid w:val="009D61B4"/>
    <w:rsid w:val="009D61BC"/>
    <w:rsid w:val="009D61F5"/>
    <w:rsid w:val="009D6362"/>
    <w:rsid w:val="009D6499"/>
    <w:rsid w:val="009D6592"/>
    <w:rsid w:val="009D6923"/>
    <w:rsid w:val="009D6A0B"/>
    <w:rsid w:val="009D6B32"/>
    <w:rsid w:val="009D6BFC"/>
    <w:rsid w:val="009D6C34"/>
    <w:rsid w:val="009D6CC7"/>
    <w:rsid w:val="009D6D47"/>
    <w:rsid w:val="009D6DD2"/>
    <w:rsid w:val="009D6FEB"/>
    <w:rsid w:val="009D70F8"/>
    <w:rsid w:val="009D7168"/>
    <w:rsid w:val="009D727D"/>
    <w:rsid w:val="009D73B5"/>
    <w:rsid w:val="009D73E5"/>
    <w:rsid w:val="009D7431"/>
    <w:rsid w:val="009D7445"/>
    <w:rsid w:val="009D754F"/>
    <w:rsid w:val="009D7672"/>
    <w:rsid w:val="009D768B"/>
    <w:rsid w:val="009D76B3"/>
    <w:rsid w:val="009D76D5"/>
    <w:rsid w:val="009D77FD"/>
    <w:rsid w:val="009D79DB"/>
    <w:rsid w:val="009D7A2B"/>
    <w:rsid w:val="009D7A45"/>
    <w:rsid w:val="009D7B3C"/>
    <w:rsid w:val="009D7BE4"/>
    <w:rsid w:val="009D7CA0"/>
    <w:rsid w:val="009D7DAE"/>
    <w:rsid w:val="009D7EFF"/>
    <w:rsid w:val="009D7F47"/>
    <w:rsid w:val="009E008C"/>
    <w:rsid w:val="009E0154"/>
    <w:rsid w:val="009E01EE"/>
    <w:rsid w:val="009E023C"/>
    <w:rsid w:val="009E0255"/>
    <w:rsid w:val="009E02A0"/>
    <w:rsid w:val="009E037F"/>
    <w:rsid w:val="009E0394"/>
    <w:rsid w:val="009E0403"/>
    <w:rsid w:val="009E04AD"/>
    <w:rsid w:val="009E0557"/>
    <w:rsid w:val="009E06E7"/>
    <w:rsid w:val="009E08B2"/>
    <w:rsid w:val="009E08C7"/>
    <w:rsid w:val="009E09C2"/>
    <w:rsid w:val="009E0A66"/>
    <w:rsid w:val="009E0CF1"/>
    <w:rsid w:val="009E0EB2"/>
    <w:rsid w:val="009E112F"/>
    <w:rsid w:val="009E11DB"/>
    <w:rsid w:val="009E123D"/>
    <w:rsid w:val="009E125C"/>
    <w:rsid w:val="009E13F8"/>
    <w:rsid w:val="009E1570"/>
    <w:rsid w:val="009E15EA"/>
    <w:rsid w:val="009E170D"/>
    <w:rsid w:val="009E1786"/>
    <w:rsid w:val="009E17C2"/>
    <w:rsid w:val="009E1835"/>
    <w:rsid w:val="009E1839"/>
    <w:rsid w:val="009E1858"/>
    <w:rsid w:val="009E1921"/>
    <w:rsid w:val="009E194F"/>
    <w:rsid w:val="009E199C"/>
    <w:rsid w:val="009E19BD"/>
    <w:rsid w:val="009E19F2"/>
    <w:rsid w:val="009E1A16"/>
    <w:rsid w:val="009E1A22"/>
    <w:rsid w:val="009E1A86"/>
    <w:rsid w:val="009E1D43"/>
    <w:rsid w:val="009E2027"/>
    <w:rsid w:val="009E206D"/>
    <w:rsid w:val="009E2086"/>
    <w:rsid w:val="009E20AB"/>
    <w:rsid w:val="009E20C0"/>
    <w:rsid w:val="009E20CE"/>
    <w:rsid w:val="009E216F"/>
    <w:rsid w:val="009E2208"/>
    <w:rsid w:val="009E22BC"/>
    <w:rsid w:val="009E22FF"/>
    <w:rsid w:val="009E2339"/>
    <w:rsid w:val="009E235D"/>
    <w:rsid w:val="009E239E"/>
    <w:rsid w:val="009E240F"/>
    <w:rsid w:val="009E24F0"/>
    <w:rsid w:val="009E24F4"/>
    <w:rsid w:val="009E2503"/>
    <w:rsid w:val="009E2627"/>
    <w:rsid w:val="009E2867"/>
    <w:rsid w:val="009E28DF"/>
    <w:rsid w:val="009E2A88"/>
    <w:rsid w:val="009E2B6D"/>
    <w:rsid w:val="009E2C5A"/>
    <w:rsid w:val="009E2F8D"/>
    <w:rsid w:val="009E2FC2"/>
    <w:rsid w:val="009E3089"/>
    <w:rsid w:val="009E30E6"/>
    <w:rsid w:val="009E3122"/>
    <w:rsid w:val="009E317C"/>
    <w:rsid w:val="009E31FB"/>
    <w:rsid w:val="009E32A9"/>
    <w:rsid w:val="009E32ED"/>
    <w:rsid w:val="009E334F"/>
    <w:rsid w:val="009E3373"/>
    <w:rsid w:val="009E356C"/>
    <w:rsid w:val="009E3718"/>
    <w:rsid w:val="009E3729"/>
    <w:rsid w:val="009E3750"/>
    <w:rsid w:val="009E386A"/>
    <w:rsid w:val="009E3948"/>
    <w:rsid w:val="009E39C8"/>
    <w:rsid w:val="009E3A7E"/>
    <w:rsid w:val="009E3B22"/>
    <w:rsid w:val="009E3B46"/>
    <w:rsid w:val="009E3BD3"/>
    <w:rsid w:val="009E3BD6"/>
    <w:rsid w:val="009E3C0C"/>
    <w:rsid w:val="009E3CBE"/>
    <w:rsid w:val="009E3FBF"/>
    <w:rsid w:val="009E3FFD"/>
    <w:rsid w:val="009E407B"/>
    <w:rsid w:val="009E40CC"/>
    <w:rsid w:val="009E4152"/>
    <w:rsid w:val="009E41D9"/>
    <w:rsid w:val="009E41E4"/>
    <w:rsid w:val="009E42C9"/>
    <w:rsid w:val="009E4582"/>
    <w:rsid w:val="009E45EF"/>
    <w:rsid w:val="009E4645"/>
    <w:rsid w:val="009E46EA"/>
    <w:rsid w:val="009E47B2"/>
    <w:rsid w:val="009E4805"/>
    <w:rsid w:val="009E4B15"/>
    <w:rsid w:val="009E4B85"/>
    <w:rsid w:val="009E4CAA"/>
    <w:rsid w:val="009E4E39"/>
    <w:rsid w:val="009E4F10"/>
    <w:rsid w:val="009E4F95"/>
    <w:rsid w:val="009E4FB8"/>
    <w:rsid w:val="009E52D5"/>
    <w:rsid w:val="009E53AE"/>
    <w:rsid w:val="009E54C3"/>
    <w:rsid w:val="009E54C4"/>
    <w:rsid w:val="009E5550"/>
    <w:rsid w:val="009E5558"/>
    <w:rsid w:val="009E55FD"/>
    <w:rsid w:val="009E5762"/>
    <w:rsid w:val="009E58BA"/>
    <w:rsid w:val="009E58C7"/>
    <w:rsid w:val="009E5AA4"/>
    <w:rsid w:val="009E5AC3"/>
    <w:rsid w:val="009E5C05"/>
    <w:rsid w:val="009E5C0A"/>
    <w:rsid w:val="009E5D36"/>
    <w:rsid w:val="009E5E28"/>
    <w:rsid w:val="009E5EA9"/>
    <w:rsid w:val="009E5ED1"/>
    <w:rsid w:val="009E5EDE"/>
    <w:rsid w:val="009E5F6D"/>
    <w:rsid w:val="009E6174"/>
    <w:rsid w:val="009E61EE"/>
    <w:rsid w:val="009E6381"/>
    <w:rsid w:val="009E66EF"/>
    <w:rsid w:val="009E6761"/>
    <w:rsid w:val="009E67AB"/>
    <w:rsid w:val="009E67B3"/>
    <w:rsid w:val="009E6808"/>
    <w:rsid w:val="009E68B5"/>
    <w:rsid w:val="009E68C8"/>
    <w:rsid w:val="009E690D"/>
    <w:rsid w:val="009E6D12"/>
    <w:rsid w:val="009E6F04"/>
    <w:rsid w:val="009E702E"/>
    <w:rsid w:val="009E70F6"/>
    <w:rsid w:val="009E7134"/>
    <w:rsid w:val="009E7509"/>
    <w:rsid w:val="009E77D4"/>
    <w:rsid w:val="009E7894"/>
    <w:rsid w:val="009E791E"/>
    <w:rsid w:val="009E7B1B"/>
    <w:rsid w:val="009E7C0B"/>
    <w:rsid w:val="009E7E4D"/>
    <w:rsid w:val="009E7F14"/>
    <w:rsid w:val="009F0161"/>
    <w:rsid w:val="009F022B"/>
    <w:rsid w:val="009F031F"/>
    <w:rsid w:val="009F038D"/>
    <w:rsid w:val="009F0393"/>
    <w:rsid w:val="009F03A5"/>
    <w:rsid w:val="009F0437"/>
    <w:rsid w:val="009F05A2"/>
    <w:rsid w:val="009F069F"/>
    <w:rsid w:val="009F071B"/>
    <w:rsid w:val="009F0808"/>
    <w:rsid w:val="009F08AD"/>
    <w:rsid w:val="009F08C8"/>
    <w:rsid w:val="009F09AA"/>
    <w:rsid w:val="009F0A8D"/>
    <w:rsid w:val="009F0B93"/>
    <w:rsid w:val="009F0CB2"/>
    <w:rsid w:val="009F0D69"/>
    <w:rsid w:val="009F0D87"/>
    <w:rsid w:val="009F0F26"/>
    <w:rsid w:val="009F0F8A"/>
    <w:rsid w:val="009F1045"/>
    <w:rsid w:val="009F11B7"/>
    <w:rsid w:val="009F1242"/>
    <w:rsid w:val="009F12CE"/>
    <w:rsid w:val="009F1332"/>
    <w:rsid w:val="009F13A5"/>
    <w:rsid w:val="009F145D"/>
    <w:rsid w:val="009F150B"/>
    <w:rsid w:val="009F155A"/>
    <w:rsid w:val="009F1594"/>
    <w:rsid w:val="009F1627"/>
    <w:rsid w:val="009F16FF"/>
    <w:rsid w:val="009F1763"/>
    <w:rsid w:val="009F1817"/>
    <w:rsid w:val="009F1CD9"/>
    <w:rsid w:val="009F1DC4"/>
    <w:rsid w:val="009F1FDF"/>
    <w:rsid w:val="009F2002"/>
    <w:rsid w:val="009F208B"/>
    <w:rsid w:val="009F212F"/>
    <w:rsid w:val="009F2155"/>
    <w:rsid w:val="009F2167"/>
    <w:rsid w:val="009F2192"/>
    <w:rsid w:val="009F21DA"/>
    <w:rsid w:val="009F2209"/>
    <w:rsid w:val="009F22BE"/>
    <w:rsid w:val="009F2361"/>
    <w:rsid w:val="009F23D0"/>
    <w:rsid w:val="009F23FB"/>
    <w:rsid w:val="009F25C2"/>
    <w:rsid w:val="009F26BB"/>
    <w:rsid w:val="009F26FE"/>
    <w:rsid w:val="009F2726"/>
    <w:rsid w:val="009F273A"/>
    <w:rsid w:val="009F29EF"/>
    <w:rsid w:val="009F2A78"/>
    <w:rsid w:val="009F2B0E"/>
    <w:rsid w:val="009F2B2F"/>
    <w:rsid w:val="009F2BB0"/>
    <w:rsid w:val="009F2BBD"/>
    <w:rsid w:val="009F2C56"/>
    <w:rsid w:val="009F2D0B"/>
    <w:rsid w:val="009F2D1E"/>
    <w:rsid w:val="009F2FAA"/>
    <w:rsid w:val="009F2FD1"/>
    <w:rsid w:val="009F3010"/>
    <w:rsid w:val="009F32C5"/>
    <w:rsid w:val="009F3309"/>
    <w:rsid w:val="009F3375"/>
    <w:rsid w:val="009F33D8"/>
    <w:rsid w:val="009F3451"/>
    <w:rsid w:val="009F34BF"/>
    <w:rsid w:val="009F350E"/>
    <w:rsid w:val="009F3593"/>
    <w:rsid w:val="009F35BD"/>
    <w:rsid w:val="009F3678"/>
    <w:rsid w:val="009F3686"/>
    <w:rsid w:val="009F3847"/>
    <w:rsid w:val="009F3A25"/>
    <w:rsid w:val="009F3C11"/>
    <w:rsid w:val="009F3D1F"/>
    <w:rsid w:val="009F3E2E"/>
    <w:rsid w:val="009F3E88"/>
    <w:rsid w:val="009F3EA4"/>
    <w:rsid w:val="009F3EB3"/>
    <w:rsid w:val="009F3FB9"/>
    <w:rsid w:val="009F4010"/>
    <w:rsid w:val="009F4052"/>
    <w:rsid w:val="009F40D1"/>
    <w:rsid w:val="009F4266"/>
    <w:rsid w:val="009F4268"/>
    <w:rsid w:val="009F44D3"/>
    <w:rsid w:val="009F4556"/>
    <w:rsid w:val="009F4973"/>
    <w:rsid w:val="009F49ED"/>
    <w:rsid w:val="009F4A50"/>
    <w:rsid w:val="009F4B4A"/>
    <w:rsid w:val="009F4B61"/>
    <w:rsid w:val="009F4BFB"/>
    <w:rsid w:val="009F4BFC"/>
    <w:rsid w:val="009F4D6B"/>
    <w:rsid w:val="009F4DA6"/>
    <w:rsid w:val="009F4E68"/>
    <w:rsid w:val="009F4F57"/>
    <w:rsid w:val="009F4F62"/>
    <w:rsid w:val="009F4FCB"/>
    <w:rsid w:val="009F504D"/>
    <w:rsid w:val="009F5108"/>
    <w:rsid w:val="009F5174"/>
    <w:rsid w:val="009F5212"/>
    <w:rsid w:val="009F5268"/>
    <w:rsid w:val="009F5330"/>
    <w:rsid w:val="009F5383"/>
    <w:rsid w:val="009F5532"/>
    <w:rsid w:val="009F555E"/>
    <w:rsid w:val="009F55C0"/>
    <w:rsid w:val="009F57FC"/>
    <w:rsid w:val="009F58E7"/>
    <w:rsid w:val="009F59EC"/>
    <w:rsid w:val="009F5A62"/>
    <w:rsid w:val="009F5ABD"/>
    <w:rsid w:val="009F5B84"/>
    <w:rsid w:val="009F5C07"/>
    <w:rsid w:val="009F5C39"/>
    <w:rsid w:val="009F5C8D"/>
    <w:rsid w:val="009F5CDE"/>
    <w:rsid w:val="009F5E37"/>
    <w:rsid w:val="009F5F5F"/>
    <w:rsid w:val="009F6008"/>
    <w:rsid w:val="009F60D3"/>
    <w:rsid w:val="009F61C4"/>
    <w:rsid w:val="009F61E3"/>
    <w:rsid w:val="009F633F"/>
    <w:rsid w:val="009F63FC"/>
    <w:rsid w:val="009F644B"/>
    <w:rsid w:val="009F6512"/>
    <w:rsid w:val="009F6518"/>
    <w:rsid w:val="009F655D"/>
    <w:rsid w:val="009F662F"/>
    <w:rsid w:val="009F66E9"/>
    <w:rsid w:val="009F6754"/>
    <w:rsid w:val="009F6757"/>
    <w:rsid w:val="009F69A3"/>
    <w:rsid w:val="009F6A8D"/>
    <w:rsid w:val="009F6BA1"/>
    <w:rsid w:val="009F6BFF"/>
    <w:rsid w:val="009F6DF5"/>
    <w:rsid w:val="009F6E4E"/>
    <w:rsid w:val="009F6E85"/>
    <w:rsid w:val="009F70A7"/>
    <w:rsid w:val="009F71D8"/>
    <w:rsid w:val="009F7233"/>
    <w:rsid w:val="009F7290"/>
    <w:rsid w:val="009F72AF"/>
    <w:rsid w:val="009F7386"/>
    <w:rsid w:val="009F73D8"/>
    <w:rsid w:val="009F746F"/>
    <w:rsid w:val="009F74FB"/>
    <w:rsid w:val="009F752B"/>
    <w:rsid w:val="009F7574"/>
    <w:rsid w:val="009F75EA"/>
    <w:rsid w:val="009F7608"/>
    <w:rsid w:val="009F7852"/>
    <w:rsid w:val="009F7985"/>
    <w:rsid w:val="009F798D"/>
    <w:rsid w:val="009F7A20"/>
    <w:rsid w:val="009F7AD6"/>
    <w:rsid w:val="009F7AF9"/>
    <w:rsid w:val="009F7C69"/>
    <w:rsid w:val="009F7CB7"/>
    <w:rsid w:val="009F7D51"/>
    <w:rsid w:val="009F7D76"/>
    <w:rsid w:val="009F7D87"/>
    <w:rsid w:val="009F7F12"/>
    <w:rsid w:val="009F7FC3"/>
    <w:rsid w:val="009F7FD3"/>
    <w:rsid w:val="00A00028"/>
    <w:rsid w:val="00A00267"/>
    <w:rsid w:val="00A0035E"/>
    <w:rsid w:val="00A0036A"/>
    <w:rsid w:val="00A00529"/>
    <w:rsid w:val="00A00544"/>
    <w:rsid w:val="00A005F5"/>
    <w:rsid w:val="00A00610"/>
    <w:rsid w:val="00A00646"/>
    <w:rsid w:val="00A0067F"/>
    <w:rsid w:val="00A00734"/>
    <w:rsid w:val="00A00753"/>
    <w:rsid w:val="00A0076C"/>
    <w:rsid w:val="00A0077B"/>
    <w:rsid w:val="00A007E5"/>
    <w:rsid w:val="00A008C4"/>
    <w:rsid w:val="00A00943"/>
    <w:rsid w:val="00A00A7A"/>
    <w:rsid w:val="00A00BB0"/>
    <w:rsid w:val="00A00C6C"/>
    <w:rsid w:val="00A00C96"/>
    <w:rsid w:val="00A00CDF"/>
    <w:rsid w:val="00A00D2C"/>
    <w:rsid w:val="00A00DCA"/>
    <w:rsid w:val="00A010EC"/>
    <w:rsid w:val="00A01266"/>
    <w:rsid w:val="00A012B8"/>
    <w:rsid w:val="00A0132B"/>
    <w:rsid w:val="00A01384"/>
    <w:rsid w:val="00A013F1"/>
    <w:rsid w:val="00A01431"/>
    <w:rsid w:val="00A014A2"/>
    <w:rsid w:val="00A014EC"/>
    <w:rsid w:val="00A0157A"/>
    <w:rsid w:val="00A0159E"/>
    <w:rsid w:val="00A01819"/>
    <w:rsid w:val="00A018AC"/>
    <w:rsid w:val="00A018C4"/>
    <w:rsid w:val="00A018C8"/>
    <w:rsid w:val="00A01B7D"/>
    <w:rsid w:val="00A01CA7"/>
    <w:rsid w:val="00A01D09"/>
    <w:rsid w:val="00A01D11"/>
    <w:rsid w:val="00A01F32"/>
    <w:rsid w:val="00A01F8B"/>
    <w:rsid w:val="00A02017"/>
    <w:rsid w:val="00A02109"/>
    <w:rsid w:val="00A022ED"/>
    <w:rsid w:val="00A02338"/>
    <w:rsid w:val="00A023B5"/>
    <w:rsid w:val="00A0240F"/>
    <w:rsid w:val="00A02425"/>
    <w:rsid w:val="00A024DD"/>
    <w:rsid w:val="00A02B42"/>
    <w:rsid w:val="00A02C22"/>
    <w:rsid w:val="00A02D7E"/>
    <w:rsid w:val="00A02E37"/>
    <w:rsid w:val="00A02F7B"/>
    <w:rsid w:val="00A03061"/>
    <w:rsid w:val="00A03081"/>
    <w:rsid w:val="00A030CC"/>
    <w:rsid w:val="00A031BA"/>
    <w:rsid w:val="00A03201"/>
    <w:rsid w:val="00A03263"/>
    <w:rsid w:val="00A03326"/>
    <w:rsid w:val="00A0347A"/>
    <w:rsid w:val="00A0367D"/>
    <w:rsid w:val="00A036C5"/>
    <w:rsid w:val="00A03721"/>
    <w:rsid w:val="00A03751"/>
    <w:rsid w:val="00A037C1"/>
    <w:rsid w:val="00A038D8"/>
    <w:rsid w:val="00A039AF"/>
    <w:rsid w:val="00A03ABE"/>
    <w:rsid w:val="00A03AEB"/>
    <w:rsid w:val="00A03B0E"/>
    <w:rsid w:val="00A03B20"/>
    <w:rsid w:val="00A03B2A"/>
    <w:rsid w:val="00A03B8C"/>
    <w:rsid w:val="00A03BDB"/>
    <w:rsid w:val="00A03C3E"/>
    <w:rsid w:val="00A03C64"/>
    <w:rsid w:val="00A03D75"/>
    <w:rsid w:val="00A03F0A"/>
    <w:rsid w:val="00A03F5F"/>
    <w:rsid w:val="00A03FB3"/>
    <w:rsid w:val="00A04072"/>
    <w:rsid w:val="00A0419B"/>
    <w:rsid w:val="00A04473"/>
    <w:rsid w:val="00A044E2"/>
    <w:rsid w:val="00A045A0"/>
    <w:rsid w:val="00A045F3"/>
    <w:rsid w:val="00A0470D"/>
    <w:rsid w:val="00A04769"/>
    <w:rsid w:val="00A04872"/>
    <w:rsid w:val="00A048DC"/>
    <w:rsid w:val="00A04A80"/>
    <w:rsid w:val="00A04B82"/>
    <w:rsid w:val="00A04B8B"/>
    <w:rsid w:val="00A04D0F"/>
    <w:rsid w:val="00A04D32"/>
    <w:rsid w:val="00A04F14"/>
    <w:rsid w:val="00A04F9B"/>
    <w:rsid w:val="00A04FF4"/>
    <w:rsid w:val="00A0500B"/>
    <w:rsid w:val="00A0520B"/>
    <w:rsid w:val="00A052A6"/>
    <w:rsid w:val="00A052E8"/>
    <w:rsid w:val="00A05310"/>
    <w:rsid w:val="00A05398"/>
    <w:rsid w:val="00A053F6"/>
    <w:rsid w:val="00A05489"/>
    <w:rsid w:val="00A054D0"/>
    <w:rsid w:val="00A054DA"/>
    <w:rsid w:val="00A0591F"/>
    <w:rsid w:val="00A059D0"/>
    <w:rsid w:val="00A05AFE"/>
    <w:rsid w:val="00A05B83"/>
    <w:rsid w:val="00A05BE5"/>
    <w:rsid w:val="00A05C16"/>
    <w:rsid w:val="00A05C95"/>
    <w:rsid w:val="00A05D09"/>
    <w:rsid w:val="00A05E30"/>
    <w:rsid w:val="00A05EBD"/>
    <w:rsid w:val="00A060A4"/>
    <w:rsid w:val="00A06126"/>
    <w:rsid w:val="00A06153"/>
    <w:rsid w:val="00A06186"/>
    <w:rsid w:val="00A06241"/>
    <w:rsid w:val="00A062C2"/>
    <w:rsid w:val="00A0639F"/>
    <w:rsid w:val="00A0642B"/>
    <w:rsid w:val="00A06434"/>
    <w:rsid w:val="00A0657D"/>
    <w:rsid w:val="00A065AD"/>
    <w:rsid w:val="00A065D4"/>
    <w:rsid w:val="00A066CF"/>
    <w:rsid w:val="00A06757"/>
    <w:rsid w:val="00A06799"/>
    <w:rsid w:val="00A067A4"/>
    <w:rsid w:val="00A067AE"/>
    <w:rsid w:val="00A068A2"/>
    <w:rsid w:val="00A06A44"/>
    <w:rsid w:val="00A06A5C"/>
    <w:rsid w:val="00A06BC0"/>
    <w:rsid w:val="00A06C3D"/>
    <w:rsid w:val="00A06C62"/>
    <w:rsid w:val="00A06C8F"/>
    <w:rsid w:val="00A06D64"/>
    <w:rsid w:val="00A0702C"/>
    <w:rsid w:val="00A07060"/>
    <w:rsid w:val="00A07073"/>
    <w:rsid w:val="00A072E4"/>
    <w:rsid w:val="00A07335"/>
    <w:rsid w:val="00A073F4"/>
    <w:rsid w:val="00A0744E"/>
    <w:rsid w:val="00A074DE"/>
    <w:rsid w:val="00A0752E"/>
    <w:rsid w:val="00A076C8"/>
    <w:rsid w:val="00A077ED"/>
    <w:rsid w:val="00A07806"/>
    <w:rsid w:val="00A07831"/>
    <w:rsid w:val="00A078D9"/>
    <w:rsid w:val="00A0793C"/>
    <w:rsid w:val="00A079A5"/>
    <w:rsid w:val="00A07B53"/>
    <w:rsid w:val="00A07CC8"/>
    <w:rsid w:val="00A07D41"/>
    <w:rsid w:val="00A07D97"/>
    <w:rsid w:val="00A10055"/>
    <w:rsid w:val="00A101A3"/>
    <w:rsid w:val="00A1024C"/>
    <w:rsid w:val="00A102B7"/>
    <w:rsid w:val="00A10367"/>
    <w:rsid w:val="00A10389"/>
    <w:rsid w:val="00A10397"/>
    <w:rsid w:val="00A10535"/>
    <w:rsid w:val="00A10683"/>
    <w:rsid w:val="00A107FF"/>
    <w:rsid w:val="00A10832"/>
    <w:rsid w:val="00A10947"/>
    <w:rsid w:val="00A109CA"/>
    <w:rsid w:val="00A10AB1"/>
    <w:rsid w:val="00A10B08"/>
    <w:rsid w:val="00A10B9A"/>
    <w:rsid w:val="00A10DB9"/>
    <w:rsid w:val="00A10F34"/>
    <w:rsid w:val="00A110EF"/>
    <w:rsid w:val="00A110F4"/>
    <w:rsid w:val="00A113A4"/>
    <w:rsid w:val="00A113D1"/>
    <w:rsid w:val="00A11517"/>
    <w:rsid w:val="00A11583"/>
    <w:rsid w:val="00A115A7"/>
    <w:rsid w:val="00A1162F"/>
    <w:rsid w:val="00A116B6"/>
    <w:rsid w:val="00A117EA"/>
    <w:rsid w:val="00A11957"/>
    <w:rsid w:val="00A119A5"/>
    <w:rsid w:val="00A11A43"/>
    <w:rsid w:val="00A11A87"/>
    <w:rsid w:val="00A11AEA"/>
    <w:rsid w:val="00A11C25"/>
    <w:rsid w:val="00A11CB1"/>
    <w:rsid w:val="00A11CE8"/>
    <w:rsid w:val="00A11DF1"/>
    <w:rsid w:val="00A11E4E"/>
    <w:rsid w:val="00A11EE0"/>
    <w:rsid w:val="00A11F95"/>
    <w:rsid w:val="00A120B4"/>
    <w:rsid w:val="00A12145"/>
    <w:rsid w:val="00A1217B"/>
    <w:rsid w:val="00A1237D"/>
    <w:rsid w:val="00A1249B"/>
    <w:rsid w:val="00A124AE"/>
    <w:rsid w:val="00A124E5"/>
    <w:rsid w:val="00A128B1"/>
    <w:rsid w:val="00A128D1"/>
    <w:rsid w:val="00A1290C"/>
    <w:rsid w:val="00A12911"/>
    <w:rsid w:val="00A12959"/>
    <w:rsid w:val="00A129C2"/>
    <w:rsid w:val="00A12A27"/>
    <w:rsid w:val="00A12A5F"/>
    <w:rsid w:val="00A12A6A"/>
    <w:rsid w:val="00A12A70"/>
    <w:rsid w:val="00A12ABC"/>
    <w:rsid w:val="00A12BD4"/>
    <w:rsid w:val="00A12BF7"/>
    <w:rsid w:val="00A12C4D"/>
    <w:rsid w:val="00A12D44"/>
    <w:rsid w:val="00A12E4C"/>
    <w:rsid w:val="00A12FB2"/>
    <w:rsid w:val="00A12FDF"/>
    <w:rsid w:val="00A1302F"/>
    <w:rsid w:val="00A131D0"/>
    <w:rsid w:val="00A1336E"/>
    <w:rsid w:val="00A1344E"/>
    <w:rsid w:val="00A135EF"/>
    <w:rsid w:val="00A1361D"/>
    <w:rsid w:val="00A136ED"/>
    <w:rsid w:val="00A13806"/>
    <w:rsid w:val="00A13819"/>
    <w:rsid w:val="00A13887"/>
    <w:rsid w:val="00A138DD"/>
    <w:rsid w:val="00A139DB"/>
    <w:rsid w:val="00A13A5A"/>
    <w:rsid w:val="00A13AA2"/>
    <w:rsid w:val="00A13AE4"/>
    <w:rsid w:val="00A13B76"/>
    <w:rsid w:val="00A13D27"/>
    <w:rsid w:val="00A13DE5"/>
    <w:rsid w:val="00A13E2A"/>
    <w:rsid w:val="00A13F50"/>
    <w:rsid w:val="00A13FF6"/>
    <w:rsid w:val="00A14054"/>
    <w:rsid w:val="00A1419B"/>
    <w:rsid w:val="00A14231"/>
    <w:rsid w:val="00A142BE"/>
    <w:rsid w:val="00A1438E"/>
    <w:rsid w:val="00A14397"/>
    <w:rsid w:val="00A143E3"/>
    <w:rsid w:val="00A1457E"/>
    <w:rsid w:val="00A145B0"/>
    <w:rsid w:val="00A14665"/>
    <w:rsid w:val="00A1468E"/>
    <w:rsid w:val="00A146BB"/>
    <w:rsid w:val="00A147C1"/>
    <w:rsid w:val="00A14A0A"/>
    <w:rsid w:val="00A14B6C"/>
    <w:rsid w:val="00A14BB4"/>
    <w:rsid w:val="00A14C26"/>
    <w:rsid w:val="00A14FD5"/>
    <w:rsid w:val="00A15247"/>
    <w:rsid w:val="00A15386"/>
    <w:rsid w:val="00A15408"/>
    <w:rsid w:val="00A15429"/>
    <w:rsid w:val="00A15477"/>
    <w:rsid w:val="00A1550A"/>
    <w:rsid w:val="00A15652"/>
    <w:rsid w:val="00A15671"/>
    <w:rsid w:val="00A15695"/>
    <w:rsid w:val="00A15731"/>
    <w:rsid w:val="00A15967"/>
    <w:rsid w:val="00A15998"/>
    <w:rsid w:val="00A15A04"/>
    <w:rsid w:val="00A15AC5"/>
    <w:rsid w:val="00A15CDF"/>
    <w:rsid w:val="00A160B0"/>
    <w:rsid w:val="00A16201"/>
    <w:rsid w:val="00A1656C"/>
    <w:rsid w:val="00A166B3"/>
    <w:rsid w:val="00A1690F"/>
    <w:rsid w:val="00A16A31"/>
    <w:rsid w:val="00A16BD2"/>
    <w:rsid w:val="00A16BEF"/>
    <w:rsid w:val="00A16C8A"/>
    <w:rsid w:val="00A16D1A"/>
    <w:rsid w:val="00A16D7C"/>
    <w:rsid w:val="00A16E1B"/>
    <w:rsid w:val="00A16E40"/>
    <w:rsid w:val="00A16F49"/>
    <w:rsid w:val="00A170FB"/>
    <w:rsid w:val="00A17130"/>
    <w:rsid w:val="00A171B9"/>
    <w:rsid w:val="00A17237"/>
    <w:rsid w:val="00A172A8"/>
    <w:rsid w:val="00A17301"/>
    <w:rsid w:val="00A17399"/>
    <w:rsid w:val="00A173E4"/>
    <w:rsid w:val="00A17598"/>
    <w:rsid w:val="00A17961"/>
    <w:rsid w:val="00A17996"/>
    <w:rsid w:val="00A179A5"/>
    <w:rsid w:val="00A179CA"/>
    <w:rsid w:val="00A17A4E"/>
    <w:rsid w:val="00A17B53"/>
    <w:rsid w:val="00A17D0E"/>
    <w:rsid w:val="00A17EC4"/>
    <w:rsid w:val="00A17F17"/>
    <w:rsid w:val="00A17F36"/>
    <w:rsid w:val="00A17FE1"/>
    <w:rsid w:val="00A17FEB"/>
    <w:rsid w:val="00A20111"/>
    <w:rsid w:val="00A20225"/>
    <w:rsid w:val="00A20488"/>
    <w:rsid w:val="00A204C0"/>
    <w:rsid w:val="00A205C8"/>
    <w:rsid w:val="00A205F9"/>
    <w:rsid w:val="00A20646"/>
    <w:rsid w:val="00A20695"/>
    <w:rsid w:val="00A206C5"/>
    <w:rsid w:val="00A20721"/>
    <w:rsid w:val="00A2084C"/>
    <w:rsid w:val="00A20957"/>
    <w:rsid w:val="00A20A65"/>
    <w:rsid w:val="00A20ABE"/>
    <w:rsid w:val="00A20B6C"/>
    <w:rsid w:val="00A20B7C"/>
    <w:rsid w:val="00A20B9C"/>
    <w:rsid w:val="00A20CA2"/>
    <w:rsid w:val="00A20D18"/>
    <w:rsid w:val="00A20E91"/>
    <w:rsid w:val="00A20F45"/>
    <w:rsid w:val="00A20FE6"/>
    <w:rsid w:val="00A211A6"/>
    <w:rsid w:val="00A211AB"/>
    <w:rsid w:val="00A212DA"/>
    <w:rsid w:val="00A21541"/>
    <w:rsid w:val="00A215C1"/>
    <w:rsid w:val="00A217D1"/>
    <w:rsid w:val="00A21852"/>
    <w:rsid w:val="00A219CE"/>
    <w:rsid w:val="00A21AC2"/>
    <w:rsid w:val="00A21B18"/>
    <w:rsid w:val="00A21D32"/>
    <w:rsid w:val="00A21E71"/>
    <w:rsid w:val="00A21F35"/>
    <w:rsid w:val="00A22091"/>
    <w:rsid w:val="00A22169"/>
    <w:rsid w:val="00A22219"/>
    <w:rsid w:val="00A22265"/>
    <w:rsid w:val="00A2260E"/>
    <w:rsid w:val="00A2261D"/>
    <w:rsid w:val="00A2269E"/>
    <w:rsid w:val="00A227C8"/>
    <w:rsid w:val="00A2282E"/>
    <w:rsid w:val="00A22957"/>
    <w:rsid w:val="00A229F7"/>
    <w:rsid w:val="00A22A07"/>
    <w:rsid w:val="00A22A8D"/>
    <w:rsid w:val="00A22C5B"/>
    <w:rsid w:val="00A22CE3"/>
    <w:rsid w:val="00A22DC4"/>
    <w:rsid w:val="00A22E54"/>
    <w:rsid w:val="00A22E82"/>
    <w:rsid w:val="00A230CC"/>
    <w:rsid w:val="00A23179"/>
    <w:rsid w:val="00A23236"/>
    <w:rsid w:val="00A2325C"/>
    <w:rsid w:val="00A233D8"/>
    <w:rsid w:val="00A2348E"/>
    <w:rsid w:val="00A234E1"/>
    <w:rsid w:val="00A23653"/>
    <w:rsid w:val="00A236E2"/>
    <w:rsid w:val="00A237DE"/>
    <w:rsid w:val="00A23943"/>
    <w:rsid w:val="00A23B68"/>
    <w:rsid w:val="00A23BDC"/>
    <w:rsid w:val="00A23D23"/>
    <w:rsid w:val="00A23D94"/>
    <w:rsid w:val="00A23F9A"/>
    <w:rsid w:val="00A24093"/>
    <w:rsid w:val="00A2409E"/>
    <w:rsid w:val="00A24114"/>
    <w:rsid w:val="00A242FD"/>
    <w:rsid w:val="00A24505"/>
    <w:rsid w:val="00A24512"/>
    <w:rsid w:val="00A2459F"/>
    <w:rsid w:val="00A245CC"/>
    <w:rsid w:val="00A246FD"/>
    <w:rsid w:val="00A24708"/>
    <w:rsid w:val="00A247E0"/>
    <w:rsid w:val="00A24858"/>
    <w:rsid w:val="00A249F0"/>
    <w:rsid w:val="00A24A6F"/>
    <w:rsid w:val="00A24ABE"/>
    <w:rsid w:val="00A24B49"/>
    <w:rsid w:val="00A24D88"/>
    <w:rsid w:val="00A250CA"/>
    <w:rsid w:val="00A251B4"/>
    <w:rsid w:val="00A2523A"/>
    <w:rsid w:val="00A2531B"/>
    <w:rsid w:val="00A25358"/>
    <w:rsid w:val="00A25410"/>
    <w:rsid w:val="00A2549D"/>
    <w:rsid w:val="00A25502"/>
    <w:rsid w:val="00A25A70"/>
    <w:rsid w:val="00A25B21"/>
    <w:rsid w:val="00A25CCD"/>
    <w:rsid w:val="00A25CE8"/>
    <w:rsid w:val="00A25E55"/>
    <w:rsid w:val="00A25ED8"/>
    <w:rsid w:val="00A25F51"/>
    <w:rsid w:val="00A25FFA"/>
    <w:rsid w:val="00A26266"/>
    <w:rsid w:val="00A26553"/>
    <w:rsid w:val="00A26640"/>
    <w:rsid w:val="00A2677E"/>
    <w:rsid w:val="00A26797"/>
    <w:rsid w:val="00A26802"/>
    <w:rsid w:val="00A268CB"/>
    <w:rsid w:val="00A26B32"/>
    <w:rsid w:val="00A26BB2"/>
    <w:rsid w:val="00A26BD3"/>
    <w:rsid w:val="00A26C26"/>
    <w:rsid w:val="00A26CBE"/>
    <w:rsid w:val="00A26CDA"/>
    <w:rsid w:val="00A26CFC"/>
    <w:rsid w:val="00A26D88"/>
    <w:rsid w:val="00A26DC6"/>
    <w:rsid w:val="00A26E70"/>
    <w:rsid w:val="00A26EB2"/>
    <w:rsid w:val="00A26F5C"/>
    <w:rsid w:val="00A26FD5"/>
    <w:rsid w:val="00A27007"/>
    <w:rsid w:val="00A2706A"/>
    <w:rsid w:val="00A2708D"/>
    <w:rsid w:val="00A27110"/>
    <w:rsid w:val="00A2727E"/>
    <w:rsid w:val="00A274C6"/>
    <w:rsid w:val="00A27548"/>
    <w:rsid w:val="00A27672"/>
    <w:rsid w:val="00A27683"/>
    <w:rsid w:val="00A277F0"/>
    <w:rsid w:val="00A277F4"/>
    <w:rsid w:val="00A2783E"/>
    <w:rsid w:val="00A278CE"/>
    <w:rsid w:val="00A278F4"/>
    <w:rsid w:val="00A27ABA"/>
    <w:rsid w:val="00A27BDA"/>
    <w:rsid w:val="00A27C8A"/>
    <w:rsid w:val="00A27D01"/>
    <w:rsid w:val="00A27D07"/>
    <w:rsid w:val="00A27F43"/>
    <w:rsid w:val="00A27F8A"/>
    <w:rsid w:val="00A27F9D"/>
    <w:rsid w:val="00A3006C"/>
    <w:rsid w:val="00A3013C"/>
    <w:rsid w:val="00A30213"/>
    <w:rsid w:val="00A302A4"/>
    <w:rsid w:val="00A30496"/>
    <w:rsid w:val="00A304FF"/>
    <w:rsid w:val="00A30522"/>
    <w:rsid w:val="00A3059C"/>
    <w:rsid w:val="00A30603"/>
    <w:rsid w:val="00A306CE"/>
    <w:rsid w:val="00A30904"/>
    <w:rsid w:val="00A3097C"/>
    <w:rsid w:val="00A309DB"/>
    <w:rsid w:val="00A30A0D"/>
    <w:rsid w:val="00A30A5B"/>
    <w:rsid w:val="00A30AA4"/>
    <w:rsid w:val="00A30C59"/>
    <w:rsid w:val="00A30C7C"/>
    <w:rsid w:val="00A30E46"/>
    <w:rsid w:val="00A30F3D"/>
    <w:rsid w:val="00A30F44"/>
    <w:rsid w:val="00A31209"/>
    <w:rsid w:val="00A312D3"/>
    <w:rsid w:val="00A314C4"/>
    <w:rsid w:val="00A314EA"/>
    <w:rsid w:val="00A31786"/>
    <w:rsid w:val="00A3184B"/>
    <w:rsid w:val="00A31A72"/>
    <w:rsid w:val="00A31AC6"/>
    <w:rsid w:val="00A31AE5"/>
    <w:rsid w:val="00A31B24"/>
    <w:rsid w:val="00A31C15"/>
    <w:rsid w:val="00A31D25"/>
    <w:rsid w:val="00A31D74"/>
    <w:rsid w:val="00A31D9D"/>
    <w:rsid w:val="00A31D9F"/>
    <w:rsid w:val="00A31DDF"/>
    <w:rsid w:val="00A31E64"/>
    <w:rsid w:val="00A31ECC"/>
    <w:rsid w:val="00A32001"/>
    <w:rsid w:val="00A3232C"/>
    <w:rsid w:val="00A324D6"/>
    <w:rsid w:val="00A324F3"/>
    <w:rsid w:val="00A32521"/>
    <w:rsid w:val="00A32598"/>
    <w:rsid w:val="00A325BA"/>
    <w:rsid w:val="00A325F4"/>
    <w:rsid w:val="00A32615"/>
    <w:rsid w:val="00A32673"/>
    <w:rsid w:val="00A32780"/>
    <w:rsid w:val="00A327B3"/>
    <w:rsid w:val="00A328AA"/>
    <w:rsid w:val="00A329C2"/>
    <w:rsid w:val="00A329C7"/>
    <w:rsid w:val="00A32A9D"/>
    <w:rsid w:val="00A32AA5"/>
    <w:rsid w:val="00A32C05"/>
    <w:rsid w:val="00A32C46"/>
    <w:rsid w:val="00A32C95"/>
    <w:rsid w:val="00A32D46"/>
    <w:rsid w:val="00A32DA0"/>
    <w:rsid w:val="00A32DB9"/>
    <w:rsid w:val="00A32DC2"/>
    <w:rsid w:val="00A32DD5"/>
    <w:rsid w:val="00A32F32"/>
    <w:rsid w:val="00A32F46"/>
    <w:rsid w:val="00A32FDA"/>
    <w:rsid w:val="00A33053"/>
    <w:rsid w:val="00A33123"/>
    <w:rsid w:val="00A33646"/>
    <w:rsid w:val="00A337A5"/>
    <w:rsid w:val="00A3389A"/>
    <w:rsid w:val="00A3391D"/>
    <w:rsid w:val="00A3392F"/>
    <w:rsid w:val="00A33D42"/>
    <w:rsid w:val="00A33D82"/>
    <w:rsid w:val="00A33E27"/>
    <w:rsid w:val="00A341D0"/>
    <w:rsid w:val="00A3420A"/>
    <w:rsid w:val="00A34211"/>
    <w:rsid w:val="00A34220"/>
    <w:rsid w:val="00A343DB"/>
    <w:rsid w:val="00A3446B"/>
    <w:rsid w:val="00A3447E"/>
    <w:rsid w:val="00A34516"/>
    <w:rsid w:val="00A34556"/>
    <w:rsid w:val="00A3457C"/>
    <w:rsid w:val="00A34601"/>
    <w:rsid w:val="00A34748"/>
    <w:rsid w:val="00A347D3"/>
    <w:rsid w:val="00A34850"/>
    <w:rsid w:val="00A349E1"/>
    <w:rsid w:val="00A34A11"/>
    <w:rsid w:val="00A34A67"/>
    <w:rsid w:val="00A34AC4"/>
    <w:rsid w:val="00A34B3B"/>
    <w:rsid w:val="00A34CB1"/>
    <w:rsid w:val="00A34E50"/>
    <w:rsid w:val="00A34F49"/>
    <w:rsid w:val="00A34F61"/>
    <w:rsid w:val="00A351CC"/>
    <w:rsid w:val="00A353DF"/>
    <w:rsid w:val="00A35551"/>
    <w:rsid w:val="00A355BB"/>
    <w:rsid w:val="00A3565B"/>
    <w:rsid w:val="00A35867"/>
    <w:rsid w:val="00A35A3E"/>
    <w:rsid w:val="00A35B1E"/>
    <w:rsid w:val="00A35D74"/>
    <w:rsid w:val="00A35E5C"/>
    <w:rsid w:val="00A35EFE"/>
    <w:rsid w:val="00A3615A"/>
    <w:rsid w:val="00A361F8"/>
    <w:rsid w:val="00A3624E"/>
    <w:rsid w:val="00A36297"/>
    <w:rsid w:val="00A362F9"/>
    <w:rsid w:val="00A36446"/>
    <w:rsid w:val="00A3645A"/>
    <w:rsid w:val="00A3645C"/>
    <w:rsid w:val="00A36502"/>
    <w:rsid w:val="00A36674"/>
    <w:rsid w:val="00A366A5"/>
    <w:rsid w:val="00A36720"/>
    <w:rsid w:val="00A36732"/>
    <w:rsid w:val="00A3675E"/>
    <w:rsid w:val="00A3679F"/>
    <w:rsid w:val="00A367AB"/>
    <w:rsid w:val="00A36844"/>
    <w:rsid w:val="00A368BB"/>
    <w:rsid w:val="00A36A8B"/>
    <w:rsid w:val="00A36AEE"/>
    <w:rsid w:val="00A36B1B"/>
    <w:rsid w:val="00A36B95"/>
    <w:rsid w:val="00A36D56"/>
    <w:rsid w:val="00A36E35"/>
    <w:rsid w:val="00A36EC7"/>
    <w:rsid w:val="00A36F0B"/>
    <w:rsid w:val="00A37068"/>
    <w:rsid w:val="00A37221"/>
    <w:rsid w:val="00A37280"/>
    <w:rsid w:val="00A372C6"/>
    <w:rsid w:val="00A3734F"/>
    <w:rsid w:val="00A37415"/>
    <w:rsid w:val="00A37418"/>
    <w:rsid w:val="00A3750D"/>
    <w:rsid w:val="00A3751F"/>
    <w:rsid w:val="00A375D9"/>
    <w:rsid w:val="00A37635"/>
    <w:rsid w:val="00A3778F"/>
    <w:rsid w:val="00A37932"/>
    <w:rsid w:val="00A37B17"/>
    <w:rsid w:val="00A37B57"/>
    <w:rsid w:val="00A37BAA"/>
    <w:rsid w:val="00A37E37"/>
    <w:rsid w:val="00A37F41"/>
    <w:rsid w:val="00A37FC6"/>
    <w:rsid w:val="00A40058"/>
    <w:rsid w:val="00A400F6"/>
    <w:rsid w:val="00A4012A"/>
    <w:rsid w:val="00A4012C"/>
    <w:rsid w:val="00A40247"/>
    <w:rsid w:val="00A4035A"/>
    <w:rsid w:val="00A403FC"/>
    <w:rsid w:val="00A404CD"/>
    <w:rsid w:val="00A40530"/>
    <w:rsid w:val="00A40675"/>
    <w:rsid w:val="00A4067F"/>
    <w:rsid w:val="00A4079E"/>
    <w:rsid w:val="00A4082F"/>
    <w:rsid w:val="00A408A7"/>
    <w:rsid w:val="00A408CE"/>
    <w:rsid w:val="00A408FF"/>
    <w:rsid w:val="00A40B05"/>
    <w:rsid w:val="00A40C37"/>
    <w:rsid w:val="00A40F83"/>
    <w:rsid w:val="00A40FA7"/>
    <w:rsid w:val="00A41057"/>
    <w:rsid w:val="00A410EA"/>
    <w:rsid w:val="00A41130"/>
    <w:rsid w:val="00A41267"/>
    <w:rsid w:val="00A4127B"/>
    <w:rsid w:val="00A41319"/>
    <w:rsid w:val="00A413A4"/>
    <w:rsid w:val="00A4142B"/>
    <w:rsid w:val="00A4148F"/>
    <w:rsid w:val="00A41627"/>
    <w:rsid w:val="00A416B8"/>
    <w:rsid w:val="00A41712"/>
    <w:rsid w:val="00A418EA"/>
    <w:rsid w:val="00A41914"/>
    <w:rsid w:val="00A41958"/>
    <w:rsid w:val="00A4197A"/>
    <w:rsid w:val="00A41990"/>
    <w:rsid w:val="00A41A55"/>
    <w:rsid w:val="00A41ADF"/>
    <w:rsid w:val="00A41B15"/>
    <w:rsid w:val="00A41B83"/>
    <w:rsid w:val="00A41C0C"/>
    <w:rsid w:val="00A41C65"/>
    <w:rsid w:val="00A41C80"/>
    <w:rsid w:val="00A41E1A"/>
    <w:rsid w:val="00A41EC5"/>
    <w:rsid w:val="00A420EC"/>
    <w:rsid w:val="00A4215B"/>
    <w:rsid w:val="00A421DB"/>
    <w:rsid w:val="00A42267"/>
    <w:rsid w:val="00A423D2"/>
    <w:rsid w:val="00A423FA"/>
    <w:rsid w:val="00A42411"/>
    <w:rsid w:val="00A424CF"/>
    <w:rsid w:val="00A4256C"/>
    <w:rsid w:val="00A42655"/>
    <w:rsid w:val="00A4269B"/>
    <w:rsid w:val="00A428C7"/>
    <w:rsid w:val="00A42912"/>
    <w:rsid w:val="00A42976"/>
    <w:rsid w:val="00A42BDE"/>
    <w:rsid w:val="00A42DC0"/>
    <w:rsid w:val="00A42DE6"/>
    <w:rsid w:val="00A42E03"/>
    <w:rsid w:val="00A42EC7"/>
    <w:rsid w:val="00A431A9"/>
    <w:rsid w:val="00A433B5"/>
    <w:rsid w:val="00A4345C"/>
    <w:rsid w:val="00A43549"/>
    <w:rsid w:val="00A435FC"/>
    <w:rsid w:val="00A4362D"/>
    <w:rsid w:val="00A43670"/>
    <w:rsid w:val="00A436AA"/>
    <w:rsid w:val="00A438E8"/>
    <w:rsid w:val="00A4398F"/>
    <w:rsid w:val="00A43B69"/>
    <w:rsid w:val="00A43DF1"/>
    <w:rsid w:val="00A43EAC"/>
    <w:rsid w:val="00A43FF1"/>
    <w:rsid w:val="00A43FFE"/>
    <w:rsid w:val="00A440CC"/>
    <w:rsid w:val="00A44158"/>
    <w:rsid w:val="00A441BD"/>
    <w:rsid w:val="00A44391"/>
    <w:rsid w:val="00A443E1"/>
    <w:rsid w:val="00A44477"/>
    <w:rsid w:val="00A44824"/>
    <w:rsid w:val="00A4486B"/>
    <w:rsid w:val="00A448D7"/>
    <w:rsid w:val="00A44A01"/>
    <w:rsid w:val="00A44AB1"/>
    <w:rsid w:val="00A44B7D"/>
    <w:rsid w:val="00A44C08"/>
    <w:rsid w:val="00A44D07"/>
    <w:rsid w:val="00A44E3C"/>
    <w:rsid w:val="00A44FD4"/>
    <w:rsid w:val="00A44FDB"/>
    <w:rsid w:val="00A45023"/>
    <w:rsid w:val="00A450F7"/>
    <w:rsid w:val="00A45188"/>
    <w:rsid w:val="00A4518F"/>
    <w:rsid w:val="00A451F0"/>
    <w:rsid w:val="00A454E4"/>
    <w:rsid w:val="00A45595"/>
    <w:rsid w:val="00A456A4"/>
    <w:rsid w:val="00A456F7"/>
    <w:rsid w:val="00A45876"/>
    <w:rsid w:val="00A45887"/>
    <w:rsid w:val="00A4588D"/>
    <w:rsid w:val="00A45B05"/>
    <w:rsid w:val="00A45B54"/>
    <w:rsid w:val="00A45B82"/>
    <w:rsid w:val="00A45F15"/>
    <w:rsid w:val="00A4609B"/>
    <w:rsid w:val="00A460F7"/>
    <w:rsid w:val="00A4611A"/>
    <w:rsid w:val="00A462C8"/>
    <w:rsid w:val="00A46438"/>
    <w:rsid w:val="00A4684D"/>
    <w:rsid w:val="00A468E0"/>
    <w:rsid w:val="00A46921"/>
    <w:rsid w:val="00A46953"/>
    <w:rsid w:val="00A4695C"/>
    <w:rsid w:val="00A469F1"/>
    <w:rsid w:val="00A46B52"/>
    <w:rsid w:val="00A46B70"/>
    <w:rsid w:val="00A46BB6"/>
    <w:rsid w:val="00A46C9A"/>
    <w:rsid w:val="00A46D66"/>
    <w:rsid w:val="00A46D95"/>
    <w:rsid w:val="00A46E57"/>
    <w:rsid w:val="00A46EFC"/>
    <w:rsid w:val="00A46F3A"/>
    <w:rsid w:val="00A46F97"/>
    <w:rsid w:val="00A4701D"/>
    <w:rsid w:val="00A470CA"/>
    <w:rsid w:val="00A47271"/>
    <w:rsid w:val="00A47381"/>
    <w:rsid w:val="00A4761B"/>
    <w:rsid w:val="00A4774F"/>
    <w:rsid w:val="00A47920"/>
    <w:rsid w:val="00A47AEC"/>
    <w:rsid w:val="00A47CED"/>
    <w:rsid w:val="00A47D3F"/>
    <w:rsid w:val="00A47D9C"/>
    <w:rsid w:val="00A47ED6"/>
    <w:rsid w:val="00A47EF7"/>
    <w:rsid w:val="00A50029"/>
    <w:rsid w:val="00A5012B"/>
    <w:rsid w:val="00A5016D"/>
    <w:rsid w:val="00A501A4"/>
    <w:rsid w:val="00A503C7"/>
    <w:rsid w:val="00A50424"/>
    <w:rsid w:val="00A505BD"/>
    <w:rsid w:val="00A50709"/>
    <w:rsid w:val="00A50714"/>
    <w:rsid w:val="00A509EA"/>
    <w:rsid w:val="00A50A83"/>
    <w:rsid w:val="00A50C41"/>
    <w:rsid w:val="00A50CDA"/>
    <w:rsid w:val="00A50D21"/>
    <w:rsid w:val="00A50DA1"/>
    <w:rsid w:val="00A50F0E"/>
    <w:rsid w:val="00A50F29"/>
    <w:rsid w:val="00A50FB8"/>
    <w:rsid w:val="00A50FCA"/>
    <w:rsid w:val="00A51052"/>
    <w:rsid w:val="00A510DE"/>
    <w:rsid w:val="00A510E3"/>
    <w:rsid w:val="00A5119A"/>
    <w:rsid w:val="00A512E9"/>
    <w:rsid w:val="00A5133D"/>
    <w:rsid w:val="00A5169A"/>
    <w:rsid w:val="00A5174E"/>
    <w:rsid w:val="00A518AA"/>
    <w:rsid w:val="00A51A7D"/>
    <w:rsid w:val="00A51AA6"/>
    <w:rsid w:val="00A51BB6"/>
    <w:rsid w:val="00A51D8C"/>
    <w:rsid w:val="00A51DBA"/>
    <w:rsid w:val="00A51EBE"/>
    <w:rsid w:val="00A51EF5"/>
    <w:rsid w:val="00A51FB2"/>
    <w:rsid w:val="00A52068"/>
    <w:rsid w:val="00A52163"/>
    <w:rsid w:val="00A52296"/>
    <w:rsid w:val="00A522F0"/>
    <w:rsid w:val="00A522FF"/>
    <w:rsid w:val="00A524B6"/>
    <w:rsid w:val="00A525F2"/>
    <w:rsid w:val="00A52608"/>
    <w:rsid w:val="00A52696"/>
    <w:rsid w:val="00A526D0"/>
    <w:rsid w:val="00A526D4"/>
    <w:rsid w:val="00A52867"/>
    <w:rsid w:val="00A528C4"/>
    <w:rsid w:val="00A52A4E"/>
    <w:rsid w:val="00A52ABA"/>
    <w:rsid w:val="00A52B25"/>
    <w:rsid w:val="00A52B87"/>
    <w:rsid w:val="00A52E26"/>
    <w:rsid w:val="00A52F63"/>
    <w:rsid w:val="00A52F87"/>
    <w:rsid w:val="00A52FB1"/>
    <w:rsid w:val="00A52FC2"/>
    <w:rsid w:val="00A531F5"/>
    <w:rsid w:val="00A5322A"/>
    <w:rsid w:val="00A532EC"/>
    <w:rsid w:val="00A53332"/>
    <w:rsid w:val="00A53380"/>
    <w:rsid w:val="00A53463"/>
    <w:rsid w:val="00A53780"/>
    <w:rsid w:val="00A53942"/>
    <w:rsid w:val="00A53955"/>
    <w:rsid w:val="00A53A43"/>
    <w:rsid w:val="00A53B4D"/>
    <w:rsid w:val="00A53B67"/>
    <w:rsid w:val="00A53B8D"/>
    <w:rsid w:val="00A53BD7"/>
    <w:rsid w:val="00A53BF6"/>
    <w:rsid w:val="00A53C48"/>
    <w:rsid w:val="00A53C7D"/>
    <w:rsid w:val="00A53CA2"/>
    <w:rsid w:val="00A53DDF"/>
    <w:rsid w:val="00A53FD5"/>
    <w:rsid w:val="00A540A1"/>
    <w:rsid w:val="00A54124"/>
    <w:rsid w:val="00A542C0"/>
    <w:rsid w:val="00A544D8"/>
    <w:rsid w:val="00A54517"/>
    <w:rsid w:val="00A54540"/>
    <w:rsid w:val="00A54A9F"/>
    <w:rsid w:val="00A54AF3"/>
    <w:rsid w:val="00A54B12"/>
    <w:rsid w:val="00A54B8A"/>
    <w:rsid w:val="00A54BF6"/>
    <w:rsid w:val="00A54CF4"/>
    <w:rsid w:val="00A54D27"/>
    <w:rsid w:val="00A54D79"/>
    <w:rsid w:val="00A54DCE"/>
    <w:rsid w:val="00A54E8B"/>
    <w:rsid w:val="00A54EB2"/>
    <w:rsid w:val="00A55011"/>
    <w:rsid w:val="00A5502D"/>
    <w:rsid w:val="00A5504D"/>
    <w:rsid w:val="00A55304"/>
    <w:rsid w:val="00A553A9"/>
    <w:rsid w:val="00A553EE"/>
    <w:rsid w:val="00A5563E"/>
    <w:rsid w:val="00A559BC"/>
    <w:rsid w:val="00A559F5"/>
    <w:rsid w:val="00A55A11"/>
    <w:rsid w:val="00A55C2F"/>
    <w:rsid w:val="00A55C4D"/>
    <w:rsid w:val="00A55E78"/>
    <w:rsid w:val="00A55EDF"/>
    <w:rsid w:val="00A55FDE"/>
    <w:rsid w:val="00A56098"/>
    <w:rsid w:val="00A5629B"/>
    <w:rsid w:val="00A5657F"/>
    <w:rsid w:val="00A5660C"/>
    <w:rsid w:val="00A56625"/>
    <w:rsid w:val="00A56696"/>
    <w:rsid w:val="00A566E8"/>
    <w:rsid w:val="00A56771"/>
    <w:rsid w:val="00A567C7"/>
    <w:rsid w:val="00A569E0"/>
    <w:rsid w:val="00A56BD3"/>
    <w:rsid w:val="00A56BD8"/>
    <w:rsid w:val="00A56BFB"/>
    <w:rsid w:val="00A56E40"/>
    <w:rsid w:val="00A56F6B"/>
    <w:rsid w:val="00A56FEA"/>
    <w:rsid w:val="00A56FEE"/>
    <w:rsid w:val="00A57117"/>
    <w:rsid w:val="00A5715F"/>
    <w:rsid w:val="00A57353"/>
    <w:rsid w:val="00A57473"/>
    <w:rsid w:val="00A576C8"/>
    <w:rsid w:val="00A57739"/>
    <w:rsid w:val="00A57770"/>
    <w:rsid w:val="00A57776"/>
    <w:rsid w:val="00A57832"/>
    <w:rsid w:val="00A57902"/>
    <w:rsid w:val="00A57957"/>
    <w:rsid w:val="00A57A2C"/>
    <w:rsid w:val="00A57B1A"/>
    <w:rsid w:val="00A57BC2"/>
    <w:rsid w:val="00A57BE4"/>
    <w:rsid w:val="00A57CBC"/>
    <w:rsid w:val="00A57CBD"/>
    <w:rsid w:val="00A57D29"/>
    <w:rsid w:val="00A57D3B"/>
    <w:rsid w:val="00A57D6E"/>
    <w:rsid w:val="00A57DE2"/>
    <w:rsid w:val="00A57E21"/>
    <w:rsid w:val="00A57E4A"/>
    <w:rsid w:val="00A57FA6"/>
    <w:rsid w:val="00A6000B"/>
    <w:rsid w:val="00A60028"/>
    <w:rsid w:val="00A600C6"/>
    <w:rsid w:val="00A60340"/>
    <w:rsid w:val="00A603A2"/>
    <w:rsid w:val="00A6041D"/>
    <w:rsid w:val="00A60529"/>
    <w:rsid w:val="00A60599"/>
    <w:rsid w:val="00A605A2"/>
    <w:rsid w:val="00A606F8"/>
    <w:rsid w:val="00A6096F"/>
    <w:rsid w:val="00A6098F"/>
    <w:rsid w:val="00A60999"/>
    <w:rsid w:val="00A60A48"/>
    <w:rsid w:val="00A60AF0"/>
    <w:rsid w:val="00A60D3A"/>
    <w:rsid w:val="00A60E53"/>
    <w:rsid w:val="00A60E69"/>
    <w:rsid w:val="00A60FE3"/>
    <w:rsid w:val="00A60FE9"/>
    <w:rsid w:val="00A6104E"/>
    <w:rsid w:val="00A61392"/>
    <w:rsid w:val="00A613DC"/>
    <w:rsid w:val="00A613DD"/>
    <w:rsid w:val="00A61425"/>
    <w:rsid w:val="00A6155E"/>
    <w:rsid w:val="00A61569"/>
    <w:rsid w:val="00A616E6"/>
    <w:rsid w:val="00A61757"/>
    <w:rsid w:val="00A61764"/>
    <w:rsid w:val="00A617FE"/>
    <w:rsid w:val="00A61841"/>
    <w:rsid w:val="00A618B9"/>
    <w:rsid w:val="00A6198A"/>
    <w:rsid w:val="00A61992"/>
    <w:rsid w:val="00A61D26"/>
    <w:rsid w:val="00A61EAB"/>
    <w:rsid w:val="00A61EF1"/>
    <w:rsid w:val="00A61F56"/>
    <w:rsid w:val="00A61FAB"/>
    <w:rsid w:val="00A6206C"/>
    <w:rsid w:val="00A62139"/>
    <w:rsid w:val="00A62376"/>
    <w:rsid w:val="00A6238E"/>
    <w:rsid w:val="00A625CF"/>
    <w:rsid w:val="00A62749"/>
    <w:rsid w:val="00A627BD"/>
    <w:rsid w:val="00A628B4"/>
    <w:rsid w:val="00A628CA"/>
    <w:rsid w:val="00A62B80"/>
    <w:rsid w:val="00A62C31"/>
    <w:rsid w:val="00A62C47"/>
    <w:rsid w:val="00A62CD2"/>
    <w:rsid w:val="00A62DB4"/>
    <w:rsid w:val="00A62E27"/>
    <w:rsid w:val="00A62EE5"/>
    <w:rsid w:val="00A62F5E"/>
    <w:rsid w:val="00A62FB5"/>
    <w:rsid w:val="00A6315E"/>
    <w:rsid w:val="00A6328E"/>
    <w:rsid w:val="00A6330B"/>
    <w:rsid w:val="00A6337A"/>
    <w:rsid w:val="00A63387"/>
    <w:rsid w:val="00A6353B"/>
    <w:rsid w:val="00A63576"/>
    <w:rsid w:val="00A63707"/>
    <w:rsid w:val="00A63740"/>
    <w:rsid w:val="00A637D9"/>
    <w:rsid w:val="00A6386F"/>
    <w:rsid w:val="00A63A35"/>
    <w:rsid w:val="00A63A4A"/>
    <w:rsid w:val="00A63BAF"/>
    <w:rsid w:val="00A63C04"/>
    <w:rsid w:val="00A63C40"/>
    <w:rsid w:val="00A63C68"/>
    <w:rsid w:val="00A63D1C"/>
    <w:rsid w:val="00A63D6C"/>
    <w:rsid w:val="00A63DBC"/>
    <w:rsid w:val="00A63E7D"/>
    <w:rsid w:val="00A63F49"/>
    <w:rsid w:val="00A6403E"/>
    <w:rsid w:val="00A640F7"/>
    <w:rsid w:val="00A6423A"/>
    <w:rsid w:val="00A64852"/>
    <w:rsid w:val="00A64918"/>
    <w:rsid w:val="00A64997"/>
    <w:rsid w:val="00A649E1"/>
    <w:rsid w:val="00A64B38"/>
    <w:rsid w:val="00A64D3C"/>
    <w:rsid w:val="00A64E46"/>
    <w:rsid w:val="00A64F68"/>
    <w:rsid w:val="00A65097"/>
    <w:rsid w:val="00A6515E"/>
    <w:rsid w:val="00A65245"/>
    <w:rsid w:val="00A6534E"/>
    <w:rsid w:val="00A6538A"/>
    <w:rsid w:val="00A6543A"/>
    <w:rsid w:val="00A65441"/>
    <w:rsid w:val="00A65535"/>
    <w:rsid w:val="00A655EA"/>
    <w:rsid w:val="00A65641"/>
    <w:rsid w:val="00A65AFA"/>
    <w:rsid w:val="00A65B30"/>
    <w:rsid w:val="00A65BAC"/>
    <w:rsid w:val="00A65C12"/>
    <w:rsid w:val="00A65C66"/>
    <w:rsid w:val="00A65E1D"/>
    <w:rsid w:val="00A65ED9"/>
    <w:rsid w:val="00A65F96"/>
    <w:rsid w:val="00A660CB"/>
    <w:rsid w:val="00A66246"/>
    <w:rsid w:val="00A663AD"/>
    <w:rsid w:val="00A663FB"/>
    <w:rsid w:val="00A66599"/>
    <w:rsid w:val="00A6665D"/>
    <w:rsid w:val="00A666C4"/>
    <w:rsid w:val="00A667AC"/>
    <w:rsid w:val="00A66807"/>
    <w:rsid w:val="00A66849"/>
    <w:rsid w:val="00A66AE2"/>
    <w:rsid w:val="00A66C7B"/>
    <w:rsid w:val="00A66D11"/>
    <w:rsid w:val="00A66D50"/>
    <w:rsid w:val="00A66DA8"/>
    <w:rsid w:val="00A66DB1"/>
    <w:rsid w:val="00A66E30"/>
    <w:rsid w:val="00A66F3D"/>
    <w:rsid w:val="00A67188"/>
    <w:rsid w:val="00A671A4"/>
    <w:rsid w:val="00A671B5"/>
    <w:rsid w:val="00A67232"/>
    <w:rsid w:val="00A6735B"/>
    <w:rsid w:val="00A673F4"/>
    <w:rsid w:val="00A674A3"/>
    <w:rsid w:val="00A6755B"/>
    <w:rsid w:val="00A6757C"/>
    <w:rsid w:val="00A67748"/>
    <w:rsid w:val="00A67B39"/>
    <w:rsid w:val="00A67B6F"/>
    <w:rsid w:val="00A67C42"/>
    <w:rsid w:val="00A67D84"/>
    <w:rsid w:val="00A67E26"/>
    <w:rsid w:val="00A67F59"/>
    <w:rsid w:val="00A7017C"/>
    <w:rsid w:val="00A702C9"/>
    <w:rsid w:val="00A702FE"/>
    <w:rsid w:val="00A70314"/>
    <w:rsid w:val="00A7037F"/>
    <w:rsid w:val="00A703F9"/>
    <w:rsid w:val="00A70407"/>
    <w:rsid w:val="00A70498"/>
    <w:rsid w:val="00A704CD"/>
    <w:rsid w:val="00A70525"/>
    <w:rsid w:val="00A7062E"/>
    <w:rsid w:val="00A706B7"/>
    <w:rsid w:val="00A70727"/>
    <w:rsid w:val="00A70890"/>
    <w:rsid w:val="00A708BA"/>
    <w:rsid w:val="00A708F3"/>
    <w:rsid w:val="00A70966"/>
    <w:rsid w:val="00A70972"/>
    <w:rsid w:val="00A709FE"/>
    <w:rsid w:val="00A70AAB"/>
    <w:rsid w:val="00A70D6B"/>
    <w:rsid w:val="00A70E93"/>
    <w:rsid w:val="00A71039"/>
    <w:rsid w:val="00A71080"/>
    <w:rsid w:val="00A710DF"/>
    <w:rsid w:val="00A71204"/>
    <w:rsid w:val="00A71224"/>
    <w:rsid w:val="00A713E0"/>
    <w:rsid w:val="00A71400"/>
    <w:rsid w:val="00A7140E"/>
    <w:rsid w:val="00A71419"/>
    <w:rsid w:val="00A71453"/>
    <w:rsid w:val="00A714D0"/>
    <w:rsid w:val="00A7165D"/>
    <w:rsid w:val="00A716A0"/>
    <w:rsid w:val="00A71736"/>
    <w:rsid w:val="00A71737"/>
    <w:rsid w:val="00A7175C"/>
    <w:rsid w:val="00A71788"/>
    <w:rsid w:val="00A71865"/>
    <w:rsid w:val="00A719E2"/>
    <w:rsid w:val="00A71A2B"/>
    <w:rsid w:val="00A71ABF"/>
    <w:rsid w:val="00A71C19"/>
    <w:rsid w:val="00A71D0D"/>
    <w:rsid w:val="00A71E43"/>
    <w:rsid w:val="00A720AB"/>
    <w:rsid w:val="00A72197"/>
    <w:rsid w:val="00A721E6"/>
    <w:rsid w:val="00A721EB"/>
    <w:rsid w:val="00A72225"/>
    <w:rsid w:val="00A72277"/>
    <w:rsid w:val="00A722AB"/>
    <w:rsid w:val="00A72310"/>
    <w:rsid w:val="00A723FF"/>
    <w:rsid w:val="00A72591"/>
    <w:rsid w:val="00A72776"/>
    <w:rsid w:val="00A72799"/>
    <w:rsid w:val="00A729F2"/>
    <w:rsid w:val="00A72AD1"/>
    <w:rsid w:val="00A72B18"/>
    <w:rsid w:val="00A72BFE"/>
    <w:rsid w:val="00A72C04"/>
    <w:rsid w:val="00A72C28"/>
    <w:rsid w:val="00A72DF4"/>
    <w:rsid w:val="00A72E42"/>
    <w:rsid w:val="00A72F1A"/>
    <w:rsid w:val="00A73172"/>
    <w:rsid w:val="00A732D6"/>
    <w:rsid w:val="00A73376"/>
    <w:rsid w:val="00A733E2"/>
    <w:rsid w:val="00A733E6"/>
    <w:rsid w:val="00A734E3"/>
    <w:rsid w:val="00A734FE"/>
    <w:rsid w:val="00A73531"/>
    <w:rsid w:val="00A73631"/>
    <w:rsid w:val="00A7370F"/>
    <w:rsid w:val="00A737E0"/>
    <w:rsid w:val="00A738AD"/>
    <w:rsid w:val="00A738BE"/>
    <w:rsid w:val="00A738DA"/>
    <w:rsid w:val="00A7397C"/>
    <w:rsid w:val="00A7399D"/>
    <w:rsid w:val="00A73AA3"/>
    <w:rsid w:val="00A73AAD"/>
    <w:rsid w:val="00A73AE5"/>
    <w:rsid w:val="00A73B23"/>
    <w:rsid w:val="00A73B98"/>
    <w:rsid w:val="00A73C45"/>
    <w:rsid w:val="00A73D47"/>
    <w:rsid w:val="00A73E12"/>
    <w:rsid w:val="00A73EA2"/>
    <w:rsid w:val="00A73F1D"/>
    <w:rsid w:val="00A73F21"/>
    <w:rsid w:val="00A740F7"/>
    <w:rsid w:val="00A7414B"/>
    <w:rsid w:val="00A7414C"/>
    <w:rsid w:val="00A74200"/>
    <w:rsid w:val="00A74307"/>
    <w:rsid w:val="00A74402"/>
    <w:rsid w:val="00A74732"/>
    <w:rsid w:val="00A7475A"/>
    <w:rsid w:val="00A747D2"/>
    <w:rsid w:val="00A748E1"/>
    <w:rsid w:val="00A7499F"/>
    <w:rsid w:val="00A749C1"/>
    <w:rsid w:val="00A749D9"/>
    <w:rsid w:val="00A74A72"/>
    <w:rsid w:val="00A74AA5"/>
    <w:rsid w:val="00A74BA7"/>
    <w:rsid w:val="00A74CDF"/>
    <w:rsid w:val="00A74D49"/>
    <w:rsid w:val="00A74EF2"/>
    <w:rsid w:val="00A74F6D"/>
    <w:rsid w:val="00A74FBF"/>
    <w:rsid w:val="00A75028"/>
    <w:rsid w:val="00A75061"/>
    <w:rsid w:val="00A75107"/>
    <w:rsid w:val="00A75364"/>
    <w:rsid w:val="00A75473"/>
    <w:rsid w:val="00A75476"/>
    <w:rsid w:val="00A75526"/>
    <w:rsid w:val="00A7561A"/>
    <w:rsid w:val="00A758D2"/>
    <w:rsid w:val="00A75979"/>
    <w:rsid w:val="00A75A72"/>
    <w:rsid w:val="00A75AAD"/>
    <w:rsid w:val="00A75AE1"/>
    <w:rsid w:val="00A75D14"/>
    <w:rsid w:val="00A75DA7"/>
    <w:rsid w:val="00A75DB0"/>
    <w:rsid w:val="00A76053"/>
    <w:rsid w:val="00A763BB"/>
    <w:rsid w:val="00A76411"/>
    <w:rsid w:val="00A764E2"/>
    <w:rsid w:val="00A767DA"/>
    <w:rsid w:val="00A767E0"/>
    <w:rsid w:val="00A76882"/>
    <w:rsid w:val="00A76994"/>
    <w:rsid w:val="00A76B0C"/>
    <w:rsid w:val="00A76B16"/>
    <w:rsid w:val="00A76C18"/>
    <w:rsid w:val="00A76CC9"/>
    <w:rsid w:val="00A76E1E"/>
    <w:rsid w:val="00A76FFC"/>
    <w:rsid w:val="00A7712A"/>
    <w:rsid w:val="00A771BB"/>
    <w:rsid w:val="00A77214"/>
    <w:rsid w:val="00A77280"/>
    <w:rsid w:val="00A7732E"/>
    <w:rsid w:val="00A77553"/>
    <w:rsid w:val="00A77611"/>
    <w:rsid w:val="00A7784F"/>
    <w:rsid w:val="00A77903"/>
    <w:rsid w:val="00A77955"/>
    <w:rsid w:val="00A77974"/>
    <w:rsid w:val="00A77993"/>
    <w:rsid w:val="00A77A33"/>
    <w:rsid w:val="00A77AE2"/>
    <w:rsid w:val="00A77AF9"/>
    <w:rsid w:val="00A77DEE"/>
    <w:rsid w:val="00A77E66"/>
    <w:rsid w:val="00A8003F"/>
    <w:rsid w:val="00A80056"/>
    <w:rsid w:val="00A80091"/>
    <w:rsid w:val="00A800CC"/>
    <w:rsid w:val="00A80117"/>
    <w:rsid w:val="00A8072C"/>
    <w:rsid w:val="00A8075D"/>
    <w:rsid w:val="00A80936"/>
    <w:rsid w:val="00A8099E"/>
    <w:rsid w:val="00A80A8D"/>
    <w:rsid w:val="00A80AD0"/>
    <w:rsid w:val="00A80B17"/>
    <w:rsid w:val="00A80B18"/>
    <w:rsid w:val="00A80C13"/>
    <w:rsid w:val="00A80C20"/>
    <w:rsid w:val="00A80CB1"/>
    <w:rsid w:val="00A80D3E"/>
    <w:rsid w:val="00A80D65"/>
    <w:rsid w:val="00A80D69"/>
    <w:rsid w:val="00A81012"/>
    <w:rsid w:val="00A812CC"/>
    <w:rsid w:val="00A81344"/>
    <w:rsid w:val="00A81389"/>
    <w:rsid w:val="00A814EC"/>
    <w:rsid w:val="00A81566"/>
    <w:rsid w:val="00A816BF"/>
    <w:rsid w:val="00A818E7"/>
    <w:rsid w:val="00A8191C"/>
    <w:rsid w:val="00A81A18"/>
    <w:rsid w:val="00A81A55"/>
    <w:rsid w:val="00A81A69"/>
    <w:rsid w:val="00A81AA5"/>
    <w:rsid w:val="00A81AFA"/>
    <w:rsid w:val="00A81BD2"/>
    <w:rsid w:val="00A81C1E"/>
    <w:rsid w:val="00A81D61"/>
    <w:rsid w:val="00A821BA"/>
    <w:rsid w:val="00A821DD"/>
    <w:rsid w:val="00A821FC"/>
    <w:rsid w:val="00A82397"/>
    <w:rsid w:val="00A8246F"/>
    <w:rsid w:val="00A82485"/>
    <w:rsid w:val="00A824B4"/>
    <w:rsid w:val="00A825C6"/>
    <w:rsid w:val="00A82836"/>
    <w:rsid w:val="00A828FC"/>
    <w:rsid w:val="00A82A86"/>
    <w:rsid w:val="00A82A8F"/>
    <w:rsid w:val="00A82BBD"/>
    <w:rsid w:val="00A82CEA"/>
    <w:rsid w:val="00A82E3C"/>
    <w:rsid w:val="00A82EE9"/>
    <w:rsid w:val="00A82EEB"/>
    <w:rsid w:val="00A83002"/>
    <w:rsid w:val="00A83030"/>
    <w:rsid w:val="00A8317A"/>
    <w:rsid w:val="00A832FE"/>
    <w:rsid w:val="00A83358"/>
    <w:rsid w:val="00A83453"/>
    <w:rsid w:val="00A834B7"/>
    <w:rsid w:val="00A83527"/>
    <w:rsid w:val="00A835A7"/>
    <w:rsid w:val="00A836AD"/>
    <w:rsid w:val="00A83731"/>
    <w:rsid w:val="00A837BD"/>
    <w:rsid w:val="00A8395C"/>
    <w:rsid w:val="00A83985"/>
    <w:rsid w:val="00A839A5"/>
    <w:rsid w:val="00A839B2"/>
    <w:rsid w:val="00A839D9"/>
    <w:rsid w:val="00A83A09"/>
    <w:rsid w:val="00A83B15"/>
    <w:rsid w:val="00A83B1F"/>
    <w:rsid w:val="00A83B52"/>
    <w:rsid w:val="00A83C2A"/>
    <w:rsid w:val="00A83D0B"/>
    <w:rsid w:val="00A83DA3"/>
    <w:rsid w:val="00A83DB5"/>
    <w:rsid w:val="00A83DB9"/>
    <w:rsid w:val="00A83E8A"/>
    <w:rsid w:val="00A83EB4"/>
    <w:rsid w:val="00A83EC6"/>
    <w:rsid w:val="00A83EE0"/>
    <w:rsid w:val="00A83F23"/>
    <w:rsid w:val="00A83F88"/>
    <w:rsid w:val="00A8416C"/>
    <w:rsid w:val="00A8416F"/>
    <w:rsid w:val="00A84290"/>
    <w:rsid w:val="00A842B1"/>
    <w:rsid w:val="00A84317"/>
    <w:rsid w:val="00A844D8"/>
    <w:rsid w:val="00A8452C"/>
    <w:rsid w:val="00A84586"/>
    <w:rsid w:val="00A84922"/>
    <w:rsid w:val="00A849E1"/>
    <w:rsid w:val="00A84A92"/>
    <w:rsid w:val="00A84AF8"/>
    <w:rsid w:val="00A84B17"/>
    <w:rsid w:val="00A84BCA"/>
    <w:rsid w:val="00A84BDA"/>
    <w:rsid w:val="00A84C7D"/>
    <w:rsid w:val="00A84CA6"/>
    <w:rsid w:val="00A84D04"/>
    <w:rsid w:val="00A84E2C"/>
    <w:rsid w:val="00A84FF5"/>
    <w:rsid w:val="00A8505C"/>
    <w:rsid w:val="00A850FF"/>
    <w:rsid w:val="00A85123"/>
    <w:rsid w:val="00A8537F"/>
    <w:rsid w:val="00A853D6"/>
    <w:rsid w:val="00A85434"/>
    <w:rsid w:val="00A8543F"/>
    <w:rsid w:val="00A85452"/>
    <w:rsid w:val="00A85559"/>
    <w:rsid w:val="00A8558A"/>
    <w:rsid w:val="00A85698"/>
    <w:rsid w:val="00A8569C"/>
    <w:rsid w:val="00A8588C"/>
    <w:rsid w:val="00A859BE"/>
    <w:rsid w:val="00A85A19"/>
    <w:rsid w:val="00A85A7C"/>
    <w:rsid w:val="00A85D70"/>
    <w:rsid w:val="00A85D8F"/>
    <w:rsid w:val="00A85E8B"/>
    <w:rsid w:val="00A85EE5"/>
    <w:rsid w:val="00A8600E"/>
    <w:rsid w:val="00A86015"/>
    <w:rsid w:val="00A8613D"/>
    <w:rsid w:val="00A86153"/>
    <w:rsid w:val="00A86326"/>
    <w:rsid w:val="00A8639C"/>
    <w:rsid w:val="00A863A9"/>
    <w:rsid w:val="00A86559"/>
    <w:rsid w:val="00A865B4"/>
    <w:rsid w:val="00A86759"/>
    <w:rsid w:val="00A86775"/>
    <w:rsid w:val="00A867A5"/>
    <w:rsid w:val="00A86866"/>
    <w:rsid w:val="00A868AE"/>
    <w:rsid w:val="00A86A17"/>
    <w:rsid w:val="00A86A23"/>
    <w:rsid w:val="00A86B45"/>
    <w:rsid w:val="00A86F77"/>
    <w:rsid w:val="00A86F99"/>
    <w:rsid w:val="00A87035"/>
    <w:rsid w:val="00A87050"/>
    <w:rsid w:val="00A870A9"/>
    <w:rsid w:val="00A8717C"/>
    <w:rsid w:val="00A87346"/>
    <w:rsid w:val="00A87524"/>
    <w:rsid w:val="00A87589"/>
    <w:rsid w:val="00A876DC"/>
    <w:rsid w:val="00A87807"/>
    <w:rsid w:val="00A8788F"/>
    <w:rsid w:val="00A87901"/>
    <w:rsid w:val="00A8797D"/>
    <w:rsid w:val="00A87995"/>
    <w:rsid w:val="00A87AA2"/>
    <w:rsid w:val="00A87B0A"/>
    <w:rsid w:val="00A87B40"/>
    <w:rsid w:val="00A87BCE"/>
    <w:rsid w:val="00A87D29"/>
    <w:rsid w:val="00A87DA1"/>
    <w:rsid w:val="00A87E2C"/>
    <w:rsid w:val="00A90282"/>
    <w:rsid w:val="00A9038B"/>
    <w:rsid w:val="00A903A9"/>
    <w:rsid w:val="00A90410"/>
    <w:rsid w:val="00A90889"/>
    <w:rsid w:val="00A90940"/>
    <w:rsid w:val="00A909E9"/>
    <w:rsid w:val="00A90B74"/>
    <w:rsid w:val="00A90BAF"/>
    <w:rsid w:val="00A90DAA"/>
    <w:rsid w:val="00A90E49"/>
    <w:rsid w:val="00A90EE3"/>
    <w:rsid w:val="00A90F07"/>
    <w:rsid w:val="00A90F6E"/>
    <w:rsid w:val="00A90FC3"/>
    <w:rsid w:val="00A9101E"/>
    <w:rsid w:val="00A91021"/>
    <w:rsid w:val="00A9107A"/>
    <w:rsid w:val="00A9119E"/>
    <w:rsid w:val="00A91299"/>
    <w:rsid w:val="00A912C8"/>
    <w:rsid w:val="00A9136E"/>
    <w:rsid w:val="00A91394"/>
    <w:rsid w:val="00A913EC"/>
    <w:rsid w:val="00A914F7"/>
    <w:rsid w:val="00A91579"/>
    <w:rsid w:val="00A915C9"/>
    <w:rsid w:val="00A916AA"/>
    <w:rsid w:val="00A917D8"/>
    <w:rsid w:val="00A91889"/>
    <w:rsid w:val="00A9197C"/>
    <w:rsid w:val="00A919F1"/>
    <w:rsid w:val="00A91B1D"/>
    <w:rsid w:val="00A91C01"/>
    <w:rsid w:val="00A91C72"/>
    <w:rsid w:val="00A91D55"/>
    <w:rsid w:val="00A91E8E"/>
    <w:rsid w:val="00A91ED1"/>
    <w:rsid w:val="00A91EE6"/>
    <w:rsid w:val="00A91F77"/>
    <w:rsid w:val="00A9244A"/>
    <w:rsid w:val="00A924BF"/>
    <w:rsid w:val="00A924D4"/>
    <w:rsid w:val="00A924EB"/>
    <w:rsid w:val="00A92585"/>
    <w:rsid w:val="00A92589"/>
    <w:rsid w:val="00A925FE"/>
    <w:rsid w:val="00A92629"/>
    <w:rsid w:val="00A9265F"/>
    <w:rsid w:val="00A927EF"/>
    <w:rsid w:val="00A92810"/>
    <w:rsid w:val="00A92829"/>
    <w:rsid w:val="00A92A80"/>
    <w:rsid w:val="00A92C71"/>
    <w:rsid w:val="00A92C98"/>
    <w:rsid w:val="00A92DAD"/>
    <w:rsid w:val="00A92E04"/>
    <w:rsid w:val="00A92E99"/>
    <w:rsid w:val="00A92F6B"/>
    <w:rsid w:val="00A92F75"/>
    <w:rsid w:val="00A92FF0"/>
    <w:rsid w:val="00A930EA"/>
    <w:rsid w:val="00A93232"/>
    <w:rsid w:val="00A93238"/>
    <w:rsid w:val="00A93321"/>
    <w:rsid w:val="00A9339E"/>
    <w:rsid w:val="00A93592"/>
    <w:rsid w:val="00A935EB"/>
    <w:rsid w:val="00A9362D"/>
    <w:rsid w:val="00A93701"/>
    <w:rsid w:val="00A937ED"/>
    <w:rsid w:val="00A93A12"/>
    <w:rsid w:val="00A93DA1"/>
    <w:rsid w:val="00A93F8A"/>
    <w:rsid w:val="00A93FBA"/>
    <w:rsid w:val="00A93FE0"/>
    <w:rsid w:val="00A940C5"/>
    <w:rsid w:val="00A9411A"/>
    <w:rsid w:val="00A941B0"/>
    <w:rsid w:val="00A94366"/>
    <w:rsid w:val="00A943BE"/>
    <w:rsid w:val="00A94408"/>
    <w:rsid w:val="00A9449C"/>
    <w:rsid w:val="00A945C1"/>
    <w:rsid w:val="00A945C6"/>
    <w:rsid w:val="00A94701"/>
    <w:rsid w:val="00A948E6"/>
    <w:rsid w:val="00A94941"/>
    <w:rsid w:val="00A94984"/>
    <w:rsid w:val="00A94B4D"/>
    <w:rsid w:val="00A94B62"/>
    <w:rsid w:val="00A94B75"/>
    <w:rsid w:val="00A94BFF"/>
    <w:rsid w:val="00A94DE2"/>
    <w:rsid w:val="00A94E9F"/>
    <w:rsid w:val="00A94EB0"/>
    <w:rsid w:val="00A950F3"/>
    <w:rsid w:val="00A95313"/>
    <w:rsid w:val="00A953FF"/>
    <w:rsid w:val="00A95522"/>
    <w:rsid w:val="00A95649"/>
    <w:rsid w:val="00A9568A"/>
    <w:rsid w:val="00A956CC"/>
    <w:rsid w:val="00A95731"/>
    <w:rsid w:val="00A95734"/>
    <w:rsid w:val="00A9599A"/>
    <w:rsid w:val="00A95A8D"/>
    <w:rsid w:val="00A95D89"/>
    <w:rsid w:val="00A95F40"/>
    <w:rsid w:val="00A96001"/>
    <w:rsid w:val="00A9604E"/>
    <w:rsid w:val="00A96074"/>
    <w:rsid w:val="00A960CA"/>
    <w:rsid w:val="00A9619F"/>
    <w:rsid w:val="00A961D7"/>
    <w:rsid w:val="00A96238"/>
    <w:rsid w:val="00A9629C"/>
    <w:rsid w:val="00A962F7"/>
    <w:rsid w:val="00A96321"/>
    <w:rsid w:val="00A96327"/>
    <w:rsid w:val="00A96332"/>
    <w:rsid w:val="00A963B4"/>
    <w:rsid w:val="00A964EB"/>
    <w:rsid w:val="00A9651E"/>
    <w:rsid w:val="00A9653D"/>
    <w:rsid w:val="00A965F0"/>
    <w:rsid w:val="00A966B4"/>
    <w:rsid w:val="00A966E6"/>
    <w:rsid w:val="00A969B8"/>
    <w:rsid w:val="00A96A1C"/>
    <w:rsid w:val="00A96C22"/>
    <w:rsid w:val="00A96D63"/>
    <w:rsid w:val="00A96E11"/>
    <w:rsid w:val="00A96F49"/>
    <w:rsid w:val="00A96F4B"/>
    <w:rsid w:val="00A973C7"/>
    <w:rsid w:val="00A9743A"/>
    <w:rsid w:val="00A9783B"/>
    <w:rsid w:val="00A97984"/>
    <w:rsid w:val="00A97B6C"/>
    <w:rsid w:val="00A97BD5"/>
    <w:rsid w:val="00A97C50"/>
    <w:rsid w:val="00A97F1C"/>
    <w:rsid w:val="00A97F33"/>
    <w:rsid w:val="00A97FD1"/>
    <w:rsid w:val="00AA023A"/>
    <w:rsid w:val="00AA0337"/>
    <w:rsid w:val="00AA033E"/>
    <w:rsid w:val="00AA0369"/>
    <w:rsid w:val="00AA03B1"/>
    <w:rsid w:val="00AA0423"/>
    <w:rsid w:val="00AA049C"/>
    <w:rsid w:val="00AA052B"/>
    <w:rsid w:val="00AA0934"/>
    <w:rsid w:val="00AA0CDF"/>
    <w:rsid w:val="00AA0E38"/>
    <w:rsid w:val="00AA0EFF"/>
    <w:rsid w:val="00AA0FBA"/>
    <w:rsid w:val="00AA103D"/>
    <w:rsid w:val="00AA10CF"/>
    <w:rsid w:val="00AA119F"/>
    <w:rsid w:val="00AA1239"/>
    <w:rsid w:val="00AA1244"/>
    <w:rsid w:val="00AA12BD"/>
    <w:rsid w:val="00AA1526"/>
    <w:rsid w:val="00AA155F"/>
    <w:rsid w:val="00AA15F9"/>
    <w:rsid w:val="00AA1656"/>
    <w:rsid w:val="00AA1665"/>
    <w:rsid w:val="00AA1695"/>
    <w:rsid w:val="00AA17E8"/>
    <w:rsid w:val="00AA184C"/>
    <w:rsid w:val="00AA1B90"/>
    <w:rsid w:val="00AA1D50"/>
    <w:rsid w:val="00AA1E2D"/>
    <w:rsid w:val="00AA1FBB"/>
    <w:rsid w:val="00AA1FE0"/>
    <w:rsid w:val="00AA2010"/>
    <w:rsid w:val="00AA2079"/>
    <w:rsid w:val="00AA22C8"/>
    <w:rsid w:val="00AA2459"/>
    <w:rsid w:val="00AA250E"/>
    <w:rsid w:val="00AA25C9"/>
    <w:rsid w:val="00AA266C"/>
    <w:rsid w:val="00AA2676"/>
    <w:rsid w:val="00AA27BE"/>
    <w:rsid w:val="00AA287C"/>
    <w:rsid w:val="00AA2900"/>
    <w:rsid w:val="00AA294E"/>
    <w:rsid w:val="00AA2978"/>
    <w:rsid w:val="00AA29E5"/>
    <w:rsid w:val="00AA2CA1"/>
    <w:rsid w:val="00AA2F17"/>
    <w:rsid w:val="00AA2F4B"/>
    <w:rsid w:val="00AA2FA8"/>
    <w:rsid w:val="00AA3186"/>
    <w:rsid w:val="00AA31EC"/>
    <w:rsid w:val="00AA3244"/>
    <w:rsid w:val="00AA341D"/>
    <w:rsid w:val="00AA36E7"/>
    <w:rsid w:val="00AA36E9"/>
    <w:rsid w:val="00AA3928"/>
    <w:rsid w:val="00AA396A"/>
    <w:rsid w:val="00AA3A58"/>
    <w:rsid w:val="00AA3AC5"/>
    <w:rsid w:val="00AA3C07"/>
    <w:rsid w:val="00AA3C49"/>
    <w:rsid w:val="00AA3C65"/>
    <w:rsid w:val="00AA3CD0"/>
    <w:rsid w:val="00AA3CF7"/>
    <w:rsid w:val="00AA3D10"/>
    <w:rsid w:val="00AA3DB8"/>
    <w:rsid w:val="00AA3E5C"/>
    <w:rsid w:val="00AA3F0B"/>
    <w:rsid w:val="00AA3F23"/>
    <w:rsid w:val="00AA41E7"/>
    <w:rsid w:val="00AA4277"/>
    <w:rsid w:val="00AA4534"/>
    <w:rsid w:val="00AA45EE"/>
    <w:rsid w:val="00AA465A"/>
    <w:rsid w:val="00AA47D4"/>
    <w:rsid w:val="00AA4864"/>
    <w:rsid w:val="00AA4A6F"/>
    <w:rsid w:val="00AA4BD8"/>
    <w:rsid w:val="00AA4BFB"/>
    <w:rsid w:val="00AA4C64"/>
    <w:rsid w:val="00AA4C91"/>
    <w:rsid w:val="00AA4D1C"/>
    <w:rsid w:val="00AA4E3A"/>
    <w:rsid w:val="00AA4E82"/>
    <w:rsid w:val="00AA4EE8"/>
    <w:rsid w:val="00AA4F0F"/>
    <w:rsid w:val="00AA4FA9"/>
    <w:rsid w:val="00AA5076"/>
    <w:rsid w:val="00AA5159"/>
    <w:rsid w:val="00AA5265"/>
    <w:rsid w:val="00AA5400"/>
    <w:rsid w:val="00AA5667"/>
    <w:rsid w:val="00AA575D"/>
    <w:rsid w:val="00AA58DB"/>
    <w:rsid w:val="00AA59D9"/>
    <w:rsid w:val="00AA5A2D"/>
    <w:rsid w:val="00AA5A54"/>
    <w:rsid w:val="00AA5AE9"/>
    <w:rsid w:val="00AA5B13"/>
    <w:rsid w:val="00AA5B22"/>
    <w:rsid w:val="00AA5B25"/>
    <w:rsid w:val="00AA5C6A"/>
    <w:rsid w:val="00AA5C8D"/>
    <w:rsid w:val="00AA5D1D"/>
    <w:rsid w:val="00AA5EB2"/>
    <w:rsid w:val="00AA5F2D"/>
    <w:rsid w:val="00AA6019"/>
    <w:rsid w:val="00AA6147"/>
    <w:rsid w:val="00AA6394"/>
    <w:rsid w:val="00AA6420"/>
    <w:rsid w:val="00AA6579"/>
    <w:rsid w:val="00AA67F1"/>
    <w:rsid w:val="00AA682E"/>
    <w:rsid w:val="00AA69A9"/>
    <w:rsid w:val="00AA6B0E"/>
    <w:rsid w:val="00AA6B1A"/>
    <w:rsid w:val="00AA6B5A"/>
    <w:rsid w:val="00AA6BE5"/>
    <w:rsid w:val="00AA6C0A"/>
    <w:rsid w:val="00AA6CAF"/>
    <w:rsid w:val="00AA6CC1"/>
    <w:rsid w:val="00AA6EBB"/>
    <w:rsid w:val="00AA6F1C"/>
    <w:rsid w:val="00AA70F0"/>
    <w:rsid w:val="00AA716C"/>
    <w:rsid w:val="00AA7254"/>
    <w:rsid w:val="00AA72A9"/>
    <w:rsid w:val="00AA7504"/>
    <w:rsid w:val="00AA7593"/>
    <w:rsid w:val="00AA763C"/>
    <w:rsid w:val="00AA770F"/>
    <w:rsid w:val="00AA7819"/>
    <w:rsid w:val="00AA798D"/>
    <w:rsid w:val="00AA7B20"/>
    <w:rsid w:val="00AA7CCA"/>
    <w:rsid w:val="00AA7DC1"/>
    <w:rsid w:val="00AA7DFC"/>
    <w:rsid w:val="00AA7E25"/>
    <w:rsid w:val="00AA7E3D"/>
    <w:rsid w:val="00AB01DC"/>
    <w:rsid w:val="00AB041B"/>
    <w:rsid w:val="00AB0531"/>
    <w:rsid w:val="00AB0562"/>
    <w:rsid w:val="00AB0573"/>
    <w:rsid w:val="00AB0696"/>
    <w:rsid w:val="00AB08D7"/>
    <w:rsid w:val="00AB0A32"/>
    <w:rsid w:val="00AB0A3C"/>
    <w:rsid w:val="00AB0AC8"/>
    <w:rsid w:val="00AB0ADC"/>
    <w:rsid w:val="00AB0B1E"/>
    <w:rsid w:val="00AB0B74"/>
    <w:rsid w:val="00AB0C6D"/>
    <w:rsid w:val="00AB0D5A"/>
    <w:rsid w:val="00AB0E7D"/>
    <w:rsid w:val="00AB0F51"/>
    <w:rsid w:val="00AB0FD9"/>
    <w:rsid w:val="00AB100D"/>
    <w:rsid w:val="00AB10AB"/>
    <w:rsid w:val="00AB10F9"/>
    <w:rsid w:val="00AB1286"/>
    <w:rsid w:val="00AB139A"/>
    <w:rsid w:val="00AB159D"/>
    <w:rsid w:val="00AB1678"/>
    <w:rsid w:val="00AB1704"/>
    <w:rsid w:val="00AB172E"/>
    <w:rsid w:val="00AB181F"/>
    <w:rsid w:val="00AB1921"/>
    <w:rsid w:val="00AB192D"/>
    <w:rsid w:val="00AB1BB5"/>
    <w:rsid w:val="00AB1CF6"/>
    <w:rsid w:val="00AB1D79"/>
    <w:rsid w:val="00AB1EA4"/>
    <w:rsid w:val="00AB1ED0"/>
    <w:rsid w:val="00AB1EEC"/>
    <w:rsid w:val="00AB1F66"/>
    <w:rsid w:val="00AB1FB4"/>
    <w:rsid w:val="00AB1FDA"/>
    <w:rsid w:val="00AB2006"/>
    <w:rsid w:val="00AB202F"/>
    <w:rsid w:val="00AB2360"/>
    <w:rsid w:val="00AB23DB"/>
    <w:rsid w:val="00AB23EC"/>
    <w:rsid w:val="00AB23F7"/>
    <w:rsid w:val="00AB2412"/>
    <w:rsid w:val="00AB247D"/>
    <w:rsid w:val="00AB24DD"/>
    <w:rsid w:val="00AB251A"/>
    <w:rsid w:val="00AB25AF"/>
    <w:rsid w:val="00AB25B7"/>
    <w:rsid w:val="00AB26D8"/>
    <w:rsid w:val="00AB2782"/>
    <w:rsid w:val="00AB28F6"/>
    <w:rsid w:val="00AB29C4"/>
    <w:rsid w:val="00AB2A37"/>
    <w:rsid w:val="00AB2A8C"/>
    <w:rsid w:val="00AB2AC3"/>
    <w:rsid w:val="00AB2BA0"/>
    <w:rsid w:val="00AB2C14"/>
    <w:rsid w:val="00AB2C89"/>
    <w:rsid w:val="00AB2D26"/>
    <w:rsid w:val="00AB2D2B"/>
    <w:rsid w:val="00AB2DAE"/>
    <w:rsid w:val="00AB2EAB"/>
    <w:rsid w:val="00AB2F21"/>
    <w:rsid w:val="00AB2F85"/>
    <w:rsid w:val="00AB3059"/>
    <w:rsid w:val="00AB3078"/>
    <w:rsid w:val="00AB309A"/>
    <w:rsid w:val="00AB3110"/>
    <w:rsid w:val="00AB3481"/>
    <w:rsid w:val="00AB36D9"/>
    <w:rsid w:val="00AB3767"/>
    <w:rsid w:val="00AB37DA"/>
    <w:rsid w:val="00AB38AA"/>
    <w:rsid w:val="00AB38CA"/>
    <w:rsid w:val="00AB38FA"/>
    <w:rsid w:val="00AB393F"/>
    <w:rsid w:val="00AB3B7A"/>
    <w:rsid w:val="00AB3B8C"/>
    <w:rsid w:val="00AB3B96"/>
    <w:rsid w:val="00AB3C02"/>
    <w:rsid w:val="00AB3D1A"/>
    <w:rsid w:val="00AB3D4F"/>
    <w:rsid w:val="00AB3D54"/>
    <w:rsid w:val="00AB3D89"/>
    <w:rsid w:val="00AB3D9A"/>
    <w:rsid w:val="00AB3E0C"/>
    <w:rsid w:val="00AB3EF7"/>
    <w:rsid w:val="00AB402B"/>
    <w:rsid w:val="00AB4135"/>
    <w:rsid w:val="00AB417B"/>
    <w:rsid w:val="00AB419C"/>
    <w:rsid w:val="00AB43A2"/>
    <w:rsid w:val="00AB43C9"/>
    <w:rsid w:val="00AB44F5"/>
    <w:rsid w:val="00AB471F"/>
    <w:rsid w:val="00AB48D0"/>
    <w:rsid w:val="00AB4A31"/>
    <w:rsid w:val="00AB4A3B"/>
    <w:rsid w:val="00AB4A6A"/>
    <w:rsid w:val="00AB4B27"/>
    <w:rsid w:val="00AB4BA6"/>
    <w:rsid w:val="00AB4C3A"/>
    <w:rsid w:val="00AB4CFF"/>
    <w:rsid w:val="00AB4D16"/>
    <w:rsid w:val="00AB4DFB"/>
    <w:rsid w:val="00AB5075"/>
    <w:rsid w:val="00AB5370"/>
    <w:rsid w:val="00AB53DA"/>
    <w:rsid w:val="00AB5476"/>
    <w:rsid w:val="00AB54E3"/>
    <w:rsid w:val="00AB5776"/>
    <w:rsid w:val="00AB57D5"/>
    <w:rsid w:val="00AB57E5"/>
    <w:rsid w:val="00AB5889"/>
    <w:rsid w:val="00AB592B"/>
    <w:rsid w:val="00AB594C"/>
    <w:rsid w:val="00AB59B9"/>
    <w:rsid w:val="00AB5AA8"/>
    <w:rsid w:val="00AB5B2A"/>
    <w:rsid w:val="00AB5B45"/>
    <w:rsid w:val="00AB5C66"/>
    <w:rsid w:val="00AB5C76"/>
    <w:rsid w:val="00AB5D05"/>
    <w:rsid w:val="00AB5E21"/>
    <w:rsid w:val="00AB5E90"/>
    <w:rsid w:val="00AB600B"/>
    <w:rsid w:val="00AB616C"/>
    <w:rsid w:val="00AB618A"/>
    <w:rsid w:val="00AB626C"/>
    <w:rsid w:val="00AB62E9"/>
    <w:rsid w:val="00AB642F"/>
    <w:rsid w:val="00AB64DE"/>
    <w:rsid w:val="00AB65B9"/>
    <w:rsid w:val="00AB6692"/>
    <w:rsid w:val="00AB6AF4"/>
    <w:rsid w:val="00AB6BA4"/>
    <w:rsid w:val="00AB6C70"/>
    <w:rsid w:val="00AB6C92"/>
    <w:rsid w:val="00AB6D8C"/>
    <w:rsid w:val="00AB6E05"/>
    <w:rsid w:val="00AB6E52"/>
    <w:rsid w:val="00AB7064"/>
    <w:rsid w:val="00AB718E"/>
    <w:rsid w:val="00AB722E"/>
    <w:rsid w:val="00AB72A1"/>
    <w:rsid w:val="00AB72B4"/>
    <w:rsid w:val="00AB74E3"/>
    <w:rsid w:val="00AB7530"/>
    <w:rsid w:val="00AB758D"/>
    <w:rsid w:val="00AB765B"/>
    <w:rsid w:val="00AB76B9"/>
    <w:rsid w:val="00AB78E1"/>
    <w:rsid w:val="00AB7CD8"/>
    <w:rsid w:val="00AB7D82"/>
    <w:rsid w:val="00AB7FA1"/>
    <w:rsid w:val="00AC002E"/>
    <w:rsid w:val="00AC0097"/>
    <w:rsid w:val="00AC01E0"/>
    <w:rsid w:val="00AC01EE"/>
    <w:rsid w:val="00AC0235"/>
    <w:rsid w:val="00AC0267"/>
    <w:rsid w:val="00AC026C"/>
    <w:rsid w:val="00AC0373"/>
    <w:rsid w:val="00AC0460"/>
    <w:rsid w:val="00AC04E3"/>
    <w:rsid w:val="00AC05FB"/>
    <w:rsid w:val="00AC060D"/>
    <w:rsid w:val="00AC062A"/>
    <w:rsid w:val="00AC06BE"/>
    <w:rsid w:val="00AC06F7"/>
    <w:rsid w:val="00AC074F"/>
    <w:rsid w:val="00AC07B6"/>
    <w:rsid w:val="00AC0801"/>
    <w:rsid w:val="00AC0902"/>
    <w:rsid w:val="00AC091F"/>
    <w:rsid w:val="00AC0977"/>
    <w:rsid w:val="00AC09B7"/>
    <w:rsid w:val="00AC09D8"/>
    <w:rsid w:val="00AC09ED"/>
    <w:rsid w:val="00AC0A0D"/>
    <w:rsid w:val="00AC0A15"/>
    <w:rsid w:val="00AC0A4F"/>
    <w:rsid w:val="00AC0A50"/>
    <w:rsid w:val="00AC0A71"/>
    <w:rsid w:val="00AC0BA4"/>
    <w:rsid w:val="00AC0BEA"/>
    <w:rsid w:val="00AC0D07"/>
    <w:rsid w:val="00AC0DCA"/>
    <w:rsid w:val="00AC0F40"/>
    <w:rsid w:val="00AC10E8"/>
    <w:rsid w:val="00AC1312"/>
    <w:rsid w:val="00AC13DA"/>
    <w:rsid w:val="00AC13F0"/>
    <w:rsid w:val="00AC164A"/>
    <w:rsid w:val="00AC1670"/>
    <w:rsid w:val="00AC16B2"/>
    <w:rsid w:val="00AC1745"/>
    <w:rsid w:val="00AC1799"/>
    <w:rsid w:val="00AC1849"/>
    <w:rsid w:val="00AC19B3"/>
    <w:rsid w:val="00AC1B32"/>
    <w:rsid w:val="00AC1D3D"/>
    <w:rsid w:val="00AC1D46"/>
    <w:rsid w:val="00AC1D70"/>
    <w:rsid w:val="00AC1D7B"/>
    <w:rsid w:val="00AC1D8E"/>
    <w:rsid w:val="00AC1E38"/>
    <w:rsid w:val="00AC1F0C"/>
    <w:rsid w:val="00AC1FFA"/>
    <w:rsid w:val="00AC20A1"/>
    <w:rsid w:val="00AC23EE"/>
    <w:rsid w:val="00AC2728"/>
    <w:rsid w:val="00AC2780"/>
    <w:rsid w:val="00AC2847"/>
    <w:rsid w:val="00AC28A6"/>
    <w:rsid w:val="00AC29AE"/>
    <w:rsid w:val="00AC29F7"/>
    <w:rsid w:val="00AC2AC3"/>
    <w:rsid w:val="00AC2B37"/>
    <w:rsid w:val="00AC2C64"/>
    <w:rsid w:val="00AC2CBF"/>
    <w:rsid w:val="00AC2CC0"/>
    <w:rsid w:val="00AC2FC4"/>
    <w:rsid w:val="00AC2FF8"/>
    <w:rsid w:val="00AC3125"/>
    <w:rsid w:val="00AC3141"/>
    <w:rsid w:val="00AC314B"/>
    <w:rsid w:val="00AC330D"/>
    <w:rsid w:val="00AC33C2"/>
    <w:rsid w:val="00AC33C4"/>
    <w:rsid w:val="00AC34DD"/>
    <w:rsid w:val="00AC359B"/>
    <w:rsid w:val="00AC35E3"/>
    <w:rsid w:val="00AC3633"/>
    <w:rsid w:val="00AC3641"/>
    <w:rsid w:val="00AC3718"/>
    <w:rsid w:val="00AC37A4"/>
    <w:rsid w:val="00AC37B4"/>
    <w:rsid w:val="00AC37D4"/>
    <w:rsid w:val="00AC38C1"/>
    <w:rsid w:val="00AC38ED"/>
    <w:rsid w:val="00AC3A22"/>
    <w:rsid w:val="00AC3A97"/>
    <w:rsid w:val="00AC3BAD"/>
    <w:rsid w:val="00AC3BF8"/>
    <w:rsid w:val="00AC3CC9"/>
    <w:rsid w:val="00AC3D19"/>
    <w:rsid w:val="00AC3DC8"/>
    <w:rsid w:val="00AC3E5D"/>
    <w:rsid w:val="00AC3F00"/>
    <w:rsid w:val="00AC3FFA"/>
    <w:rsid w:val="00AC406D"/>
    <w:rsid w:val="00AC4154"/>
    <w:rsid w:val="00AC42FA"/>
    <w:rsid w:val="00AC4553"/>
    <w:rsid w:val="00AC46A9"/>
    <w:rsid w:val="00AC474B"/>
    <w:rsid w:val="00AC476B"/>
    <w:rsid w:val="00AC477E"/>
    <w:rsid w:val="00AC4851"/>
    <w:rsid w:val="00AC48AC"/>
    <w:rsid w:val="00AC48B4"/>
    <w:rsid w:val="00AC48F5"/>
    <w:rsid w:val="00AC497E"/>
    <w:rsid w:val="00AC49C5"/>
    <w:rsid w:val="00AC49F7"/>
    <w:rsid w:val="00AC4AC8"/>
    <w:rsid w:val="00AC4B71"/>
    <w:rsid w:val="00AC4BF6"/>
    <w:rsid w:val="00AC4C4C"/>
    <w:rsid w:val="00AC4CA7"/>
    <w:rsid w:val="00AC4E82"/>
    <w:rsid w:val="00AC4EA0"/>
    <w:rsid w:val="00AC4F8E"/>
    <w:rsid w:val="00AC510D"/>
    <w:rsid w:val="00AC510F"/>
    <w:rsid w:val="00AC5165"/>
    <w:rsid w:val="00AC5176"/>
    <w:rsid w:val="00AC518A"/>
    <w:rsid w:val="00AC51AC"/>
    <w:rsid w:val="00AC52BC"/>
    <w:rsid w:val="00AC52D8"/>
    <w:rsid w:val="00AC5329"/>
    <w:rsid w:val="00AC555D"/>
    <w:rsid w:val="00AC576B"/>
    <w:rsid w:val="00AC5770"/>
    <w:rsid w:val="00AC57A1"/>
    <w:rsid w:val="00AC57B1"/>
    <w:rsid w:val="00AC58E6"/>
    <w:rsid w:val="00AC5983"/>
    <w:rsid w:val="00AC59E3"/>
    <w:rsid w:val="00AC5AB2"/>
    <w:rsid w:val="00AC5ABB"/>
    <w:rsid w:val="00AC5B31"/>
    <w:rsid w:val="00AC5C64"/>
    <w:rsid w:val="00AC5C6E"/>
    <w:rsid w:val="00AC5D89"/>
    <w:rsid w:val="00AC5DA9"/>
    <w:rsid w:val="00AC5DCC"/>
    <w:rsid w:val="00AC5E18"/>
    <w:rsid w:val="00AC5F1C"/>
    <w:rsid w:val="00AC5FAD"/>
    <w:rsid w:val="00AC600A"/>
    <w:rsid w:val="00AC60BE"/>
    <w:rsid w:val="00AC64B9"/>
    <w:rsid w:val="00AC6566"/>
    <w:rsid w:val="00AC6673"/>
    <w:rsid w:val="00AC66D1"/>
    <w:rsid w:val="00AC6823"/>
    <w:rsid w:val="00AC687C"/>
    <w:rsid w:val="00AC6995"/>
    <w:rsid w:val="00AC69B9"/>
    <w:rsid w:val="00AC69D3"/>
    <w:rsid w:val="00AC6AD2"/>
    <w:rsid w:val="00AC6B69"/>
    <w:rsid w:val="00AC6B7A"/>
    <w:rsid w:val="00AC6B81"/>
    <w:rsid w:val="00AC6C17"/>
    <w:rsid w:val="00AC6C69"/>
    <w:rsid w:val="00AC6CE4"/>
    <w:rsid w:val="00AC6D44"/>
    <w:rsid w:val="00AC706A"/>
    <w:rsid w:val="00AC7072"/>
    <w:rsid w:val="00AC70D3"/>
    <w:rsid w:val="00AC7118"/>
    <w:rsid w:val="00AC72AD"/>
    <w:rsid w:val="00AC731E"/>
    <w:rsid w:val="00AC73ED"/>
    <w:rsid w:val="00AC73F0"/>
    <w:rsid w:val="00AC73FA"/>
    <w:rsid w:val="00AC74A3"/>
    <w:rsid w:val="00AC74AF"/>
    <w:rsid w:val="00AC74B9"/>
    <w:rsid w:val="00AC75E9"/>
    <w:rsid w:val="00AC7655"/>
    <w:rsid w:val="00AC765F"/>
    <w:rsid w:val="00AC76C3"/>
    <w:rsid w:val="00AC77B2"/>
    <w:rsid w:val="00AC7A83"/>
    <w:rsid w:val="00AC7AB4"/>
    <w:rsid w:val="00AC7C23"/>
    <w:rsid w:val="00AC7C2C"/>
    <w:rsid w:val="00AC7D5E"/>
    <w:rsid w:val="00AC7DC2"/>
    <w:rsid w:val="00AC7E47"/>
    <w:rsid w:val="00AD02AC"/>
    <w:rsid w:val="00AD02FA"/>
    <w:rsid w:val="00AD034D"/>
    <w:rsid w:val="00AD0686"/>
    <w:rsid w:val="00AD07C5"/>
    <w:rsid w:val="00AD0858"/>
    <w:rsid w:val="00AD0873"/>
    <w:rsid w:val="00AD08E2"/>
    <w:rsid w:val="00AD0B86"/>
    <w:rsid w:val="00AD0C8B"/>
    <w:rsid w:val="00AD0D91"/>
    <w:rsid w:val="00AD0EAA"/>
    <w:rsid w:val="00AD0F0B"/>
    <w:rsid w:val="00AD0F52"/>
    <w:rsid w:val="00AD0F65"/>
    <w:rsid w:val="00AD0F6E"/>
    <w:rsid w:val="00AD1012"/>
    <w:rsid w:val="00AD1090"/>
    <w:rsid w:val="00AD10C1"/>
    <w:rsid w:val="00AD10E3"/>
    <w:rsid w:val="00AD12C7"/>
    <w:rsid w:val="00AD12C9"/>
    <w:rsid w:val="00AD1426"/>
    <w:rsid w:val="00AD17CA"/>
    <w:rsid w:val="00AD1863"/>
    <w:rsid w:val="00AD1881"/>
    <w:rsid w:val="00AD1A05"/>
    <w:rsid w:val="00AD1ADA"/>
    <w:rsid w:val="00AD1B80"/>
    <w:rsid w:val="00AD1BB0"/>
    <w:rsid w:val="00AD1C97"/>
    <w:rsid w:val="00AD1D00"/>
    <w:rsid w:val="00AD1E78"/>
    <w:rsid w:val="00AD1E7B"/>
    <w:rsid w:val="00AD2162"/>
    <w:rsid w:val="00AD21A8"/>
    <w:rsid w:val="00AD21EC"/>
    <w:rsid w:val="00AD2373"/>
    <w:rsid w:val="00AD2433"/>
    <w:rsid w:val="00AD249D"/>
    <w:rsid w:val="00AD255F"/>
    <w:rsid w:val="00AD2577"/>
    <w:rsid w:val="00AD2679"/>
    <w:rsid w:val="00AD286F"/>
    <w:rsid w:val="00AD28C6"/>
    <w:rsid w:val="00AD2B03"/>
    <w:rsid w:val="00AD2BD4"/>
    <w:rsid w:val="00AD2E0A"/>
    <w:rsid w:val="00AD2E78"/>
    <w:rsid w:val="00AD2F57"/>
    <w:rsid w:val="00AD2FF2"/>
    <w:rsid w:val="00AD3225"/>
    <w:rsid w:val="00AD32A9"/>
    <w:rsid w:val="00AD3305"/>
    <w:rsid w:val="00AD3327"/>
    <w:rsid w:val="00AD3383"/>
    <w:rsid w:val="00AD3446"/>
    <w:rsid w:val="00AD353A"/>
    <w:rsid w:val="00AD35A3"/>
    <w:rsid w:val="00AD374F"/>
    <w:rsid w:val="00AD37A0"/>
    <w:rsid w:val="00AD3834"/>
    <w:rsid w:val="00AD3902"/>
    <w:rsid w:val="00AD395F"/>
    <w:rsid w:val="00AD39BE"/>
    <w:rsid w:val="00AD3A17"/>
    <w:rsid w:val="00AD3C1F"/>
    <w:rsid w:val="00AD3C2B"/>
    <w:rsid w:val="00AD3D1F"/>
    <w:rsid w:val="00AD3F98"/>
    <w:rsid w:val="00AD401E"/>
    <w:rsid w:val="00AD4036"/>
    <w:rsid w:val="00AD40A0"/>
    <w:rsid w:val="00AD4140"/>
    <w:rsid w:val="00AD421F"/>
    <w:rsid w:val="00AD422D"/>
    <w:rsid w:val="00AD424F"/>
    <w:rsid w:val="00AD42F9"/>
    <w:rsid w:val="00AD43F9"/>
    <w:rsid w:val="00AD4457"/>
    <w:rsid w:val="00AD456C"/>
    <w:rsid w:val="00AD4609"/>
    <w:rsid w:val="00AD4612"/>
    <w:rsid w:val="00AD461F"/>
    <w:rsid w:val="00AD4684"/>
    <w:rsid w:val="00AD469A"/>
    <w:rsid w:val="00AD47F4"/>
    <w:rsid w:val="00AD4965"/>
    <w:rsid w:val="00AD496B"/>
    <w:rsid w:val="00AD49AF"/>
    <w:rsid w:val="00AD4A8C"/>
    <w:rsid w:val="00AD4ADF"/>
    <w:rsid w:val="00AD4B63"/>
    <w:rsid w:val="00AD4B76"/>
    <w:rsid w:val="00AD4C9F"/>
    <w:rsid w:val="00AD4CDD"/>
    <w:rsid w:val="00AD4D33"/>
    <w:rsid w:val="00AD50D9"/>
    <w:rsid w:val="00AD5234"/>
    <w:rsid w:val="00AD5303"/>
    <w:rsid w:val="00AD53A6"/>
    <w:rsid w:val="00AD54AB"/>
    <w:rsid w:val="00AD550F"/>
    <w:rsid w:val="00AD55DC"/>
    <w:rsid w:val="00AD581C"/>
    <w:rsid w:val="00AD5877"/>
    <w:rsid w:val="00AD587D"/>
    <w:rsid w:val="00AD5A6E"/>
    <w:rsid w:val="00AD5B8D"/>
    <w:rsid w:val="00AD5C97"/>
    <w:rsid w:val="00AD5D1F"/>
    <w:rsid w:val="00AD5DED"/>
    <w:rsid w:val="00AD5E10"/>
    <w:rsid w:val="00AD5E4E"/>
    <w:rsid w:val="00AD5E74"/>
    <w:rsid w:val="00AD5F30"/>
    <w:rsid w:val="00AD6070"/>
    <w:rsid w:val="00AD62EA"/>
    <w:rsid w:val="00AD6346"/>
    <w:rsid w:val="00AD63B2"/>
    <w:rsid w:val="00AD63BC"/>
    <w:rsid w:val="00AD645A"/>
    <w:rsid w:val="00AD6490"/>
    <w:rsid w:val="00AD64E3"/>
    <w:rsid w:val="00AD6527"/>
    <w:rsid w:val="00AD66DA"/>
    <w:rsid w:val="00AD683B"/>
    <w:rsid w:val="00AD6A6A"/>
    <w:rsid w:val="00AD6C4A"/>
    <w:rsid w:val="00AD6FDB"/>
    <w:rsid w:val="00AD705F"/>
    <w:rsid w:val="00AD70CB"/>
    <w:rsid w:val="00AD71D1"/>
    <w:rsid w:val="00AD721A"/>
    <w:rsid w:val="00AD727D"/>
    <w:rsid w:val="00AD73A2"/>
    <w:rsid w:val="00AD74A0"/>
    <w:rsid w:val="00AD74B1"/>
    <w:rsid w:val="00AD74BD"/>
    <w:rsid w:val="00AD7740"/>
    <w:rsid w:val="00AD782D"/>
    <w:rsid w:val="00AD782E"/>
    <w:rsid w:val="00AD7899"/>
    <w:rsid w:val="00AD78E3"/>
    <w:rsid w:val="00AD7972"/>
    <w:rsid w:val="00AD7980"/>
    <w:rsid w:val="00AD7A92"/>
    <w:rsid w:val="00AD7AC2"/>
    <w:rsid w:val="00AD7AF0"/>
    <w:rsid w:val="00AD7C1F"/>
    <w:rsid w:val="00AD7CED"/>
    <w:rsid w:val="00AD7E37"/>
    <w:rsid w:val="00AD7E4F"/>
    <w:rsid w:val="00AD7E53"/>
    <w:rsid w:val="00AE041D"/>
    <w:rsid w:val="00AE0435"/>
    <w:rsid w:val="00AE04D7"/>
    <w:rsid w:val="00AE04EA"/>
    <w:rsid w:val="00AE0719"/>
    <w:rsid w:val="00AE07E8"/>
    <w:rsid w:val="00AE09DB"/>
    <w:rsid w:val="00AE0E15"/>
    <w:rsid w:val="00AE0E30"/>
    <w:rsid w:val="00AE0E46"/>
    <w:rsid w:val="00AE0EDE"/>
    <w:rsid w:val="00AE0FC6"/>
    <w:rsid w:val="00AE126F"/>
    <w:rsid w:val="00AE12BC"/>
    <w:rsid w:val="00AE130F"/>
    <w:rsid w:val="00AE13B5"/>
    <w:rsid w:val="00AE14CA"/>
    <w:rsid w:val="00AE15E5"/>
    <w:rsid w:val="00AE16E1"/>
    <w:rsid w:val="00AE17AE"/>
    <w:rsid w:val="00AE17AF"/>
    <w:rsid w:val="00AE187C"/>
    <w:rsid w:val="00AE1938"/>
    <w:rsid w:val="00AE1A05"/>
    <w:rsid w:val="00AE1A85"/>
    <w:rsid w:val="00AE1C93"/>
    <w:rsid w:val="00AE1DE4"/>
    <w:rsid w:val="00AE1EA4"/>
    <w:rsid w:val="00AE1FAA"/>
    <w:rsid w:val="00AE239E"/>
    <w:rsid w:val="00AE25A7"/>
    <w:rsid w:val="00AE25C4"/>
    <w:rsid w:val="00AE26C5"/>
    <w:rsid w:val="00AE27FB"/>
    <w:rsid w:val="00AE2830"/>
    <w:rsid w:val="00AE28A3"/>
    <w:rsid w:val="00AE28BD"/>
    <w:rsid w:val="00AE2A8D"/>
    <w:rsid w:val="00AE2B0F"/>
    <w:rsid w:val="00AE2B8F"/>
    <w:rsid w:val="00AE2C21"/>
    <w:rsid w:val="00AE2D56"/>
    <w:rsid w:val="00AE2D6F"/>
    <w:rsid w:val="00AE2DA4"/>
    <w:rsid w:val="00AE2DC3"/>
    <w:rsid w:val="00AE2E06"/>
    <w:rsid w:val="00AE2E6F"/>
    <w:rsid w:val="00AE30DD"/>
    <w:rsid w:val="00AE3292"/>
    <w:rsid w:val="00AE34F0"/>
    <w:rsid w:val="00AE35A7"/>
    <w:rsid w:val="00AE35A9"/>
    <w:rsid w:val="00AE3906"/>
    <w:rsid w:val="00AE391B"/>
    <w:rsid w:val="00AE3941"/>
    <w:rsid w:val="00AE39F8"/>
    <w:rsid w:val="00AE3A69"/>
    <w:rsid w:val="00AE3BCF"/>
    <w:rsid w:val="00AE3CE9"/>
    <w:rsid w:val="00AE3D18"/>
    <w:rsid w:val="00AE3E70"/>
    <w:rsid w:val="00AE3EE2"/>
    <w:rsid w:val="00AE3F8D"/>
    <w:rsid w:val="00AE3FAE"/>
    <w:rsid w:val="00AE3FC0"/>
    <w:rsid w:val="00AE3FCD"/>
    <w:rsid w:val="00AE4139"/>
    <w:rsid w:val="00AE437C"/>
    <w:rsid w:val="00AE43C2"/>
    <w:rsid w:val="00AE4409"/>
    <w:rsid w:val="00AE444C"/>
    <w:rsid w:val="00AE45C6"/>
    <w:rsid w:val="00AE46C3"/>
    <w:rsid w:val="00AE46C9"/>
    <w:rsid w:val="00AE46CC"/>
    <w:rsid w:val="00AE473D"/>
    <w:rsid w:val="00AE4744"/>
    <w:rsid w:val="00AE4765"/>
    <w:rsid w:val="00AE486D"/>
    <w:rsid w:val="00AE489A"/>
    <w:rsid w:val="00AE4930"/>
    <w:rsid w:val="00AE4952"/>
    <w:rsid w:val="00AE4B27"/>
    <w:rsid w:val="00AE4BD0"/>
    <w:rsid w:val="00AE4C0B"/>
    <w:rsid w:val="00AE4C79"/>
    <w:rsid w:val="00AE4D0D"/>
    <w:rsid w:val="00AE4E56"/>
    <w:rsid w:val="00AE4E68"/>
    <w:rsid w:val="00AE4FCA"/>
    <w:rsid w:val="00AE52AA"/>
    <w:rsid w:val="00AE52B1"/>
    <w:rsid w:val="00AE54F2"/>
    <w:rsid w:val="00AE5570"/>
    <w:rsid w:val="00AE57B0"/>
    <w:rsid w:val="00AE591B"/>
    <w:rsid w:val="00AE5962"/>
    <w:rsid w:val="00AE5A5B"/>
    <w:rsid w:val="00AE5A6D"/>
    <w:rsid w:val="00AE5A80"/>
    <w:rsid w:val="00AE5B73"/>
    <w:rsid w:val="00AE5C0C"/>
    <w:rsid w:val="00AE5CD3"/>
    <w:rsid w:val="00AE5CFB"/>
    <w:rsid w:val="00AE5E0B"/>
    <w:rsid w:val="00AE5EA1"/>
    <w:rsid w:val="00AE5EDB"/>
    <w:rsid w:val="00AE5F3A"/>
    <w:rsid w:val="00AE5FF3"/>
    <w:rsid w:val="00AE60CE"/>
    <w:rsid w:val="00AE60E4"/>
    <w:rsid w:val="00AE6206"/>
    <w:rsid w:val="00AE6386"/>
    <w:rsid w:val="00AE646C"/>
    <w:rsid w:val="00AE691E"/>
    <w:rsid w:val="00AE6998"/>
    <w:rsid w:val="00AE6BD2"/>
    <w:rsid w:val="00AE6D48"/>
    <w:rsid w:val="00AE6F31"/>
    <w:rsid w:val="00AE701C"/>
    <w:rsid w:val="00AE733F"/>
    <w:rsid w:val="00AE73AF"/>
    <w:rsid w:val="00AE75B2"/>
    <w:rsid w:val="00AE763C"/>
    <w:rsid w:val="00AE76F9"/>
    <w:rsid w:val="00AE78D4"/>
    <w:rsid w:val="00AE7B3D"/>
    <w:rsid w:val="00AE7BCF"/>
    <w:rsid w:val="00AE7E10"/>
    <w:rsid w:val="00AE7E55"/>
    <w:rsid w:val="00AE7FA8"/>
    <w:rsid w:val="00AF0041"/>
    <w:rsid w:val="00AF02FA"/>
    <w:rsid w:val="00AF0441"/>
    <w:rsid w:val="00AF04EF"/>
    <w:rsid w:val="00AF04FC"/>
    <w:rsid w:val="00AF050E"/>
    <w:rsid w:val="00AF0535"/>
    <w:rsid w:val="00AF058B"/>
    <w:rsid w:val="00AF0718"/>
    <w:rsid w:val="00AF08B3"/>
    <w:rsid w:val="00AF08E1"/>
    <w:rsid w:val="00AF0936"/>
    <w:rsid w:val="00AF0CD7"/>
    <w:rsid w:val="00AF0E27"/>
    <w:rsid w:val="00AF0E50"/>
    <w:rsid w:val="00AF0F50"/>
    <w:rsid w:val="00AF0F83"/>
    <w:rsid w:val="00AF0F98"/>
    <w:rsid w:val="00AF0FB2"/>
    <w:rsid w:val="00AF0FE5"/>
    <w:rsid w:val="00AF1013"/>
    <w:rsid w:val="00AF1050"/>
    <w:rsid w:val="00AF110F"/>
    <w:rsid w:val="00AF1353"/>
    <w:rsid w:val="00AF14C6"/>
    <w:rsid w:val="00AF14C9"/>
    <w:rsid w:val="00AF15CC"/>
    <w:rsid w:val="00AF1762"/>
    <w:rsid w:val="00AF188F"/>
    <w:rsid w:val="00AF193B"/>
    <w:rsid w:val="00AF1989"/>
    <w:rsid w:val="00AF1A96"/>
    <w:rsid w:val="00AF1AC8"/>
    <w:rsid w:val="00AF1B25"/>
    <w:rsid w:val="00AF1CCE"/>
    <w:rsid w:val="00AF1D3D"/>
    <w:rsid w:val="00AF1D77"/>
    <w:rsid w:val="00AF1EB4"/>
    <w:rsid w:val="00AF206D"/>
    <w:rsid w:val="00AF219E"/>
    <w:rsid w:val="00AF21C2"/>
    <w:rsid w:val="00AF22DE"/>
    <w:rsid w:val="00AF2340"/>
    <w:rsid w:val="00AF2637"/>
    <w:rsid w:val="00AF26C5"/>
    <w:rsid w:val="00AF26D9"/>
    <w:rsid w:val="00AF270F"/>
    <w:rsid w:val="00AF27FD"/>
    <w:rsid w:val="00AF288A"/>
    <w:rsid w:val="00AF292C"/>
    <w:rsid w:val="00AF29C7"/>
    <w:rsid w:val="00AF2BAA"/>
    <w:rsid w:val="00AF2CEA"/>
    <w:rsid w:val="00AF2E6B"/>
    <w:rsid w:val="00AF2FDE"/>
    <w:rsid w:val="00AF30D7"/>
    <w:rsid w:val="00AF3195"/>
    <w:rsid w:val="00AF31CD"/>
    <w:rsid w:val="00AF32F5"/>
    <w:rsid w:val="00AF35B1"/>
    <w:rsid w:val="00AF36C3"/>
    <w:rsid w:val="00AF3781"/>
    <w:rsid w:val="00AF3807"/>
    <w:rsid w:val="00AF383E"/>
    <w:rsid w:val="00AF3846"/>
    <w:rsid w:val="00AF397D"/>
    <w:rsid w:val="00AF39AF"/>
    <w:rsid w:val="00AF3A1E"/>
    <w:rsid w:val="00AF3BF7"/>
    <w:rsid w:val="00AF3C38"/>
    <w:rsid w:val="00AF3CDE"/>
    <w:rsid w:val="00AF3CFA"/>
    <w:rsid w:val="00AF3D2C"/>
    <w:rsid w:val="00AF3DDF"/>
    <w:rsid w:val="00AF3F08"/>
    <w:rsid w:val="00AF3F4F"/>
    <w:rsid w:val="00AF40A1"/>
    <w:rsid w:val="00AF414A"/>
    <w:rsid w:val="00AF41C8"/>
    <w:rsid w:val="00AF4280"/>
    <w:rsid w:val="00AF45B1"/>
    <w:rsid w:val="00AF45EF"/>
    <w:rsid w:val="00AF45F8"/>
    <w:rsid w:val="00AF466F"/>
    <w:rsid w:val="00AF46AD"/>
    <w:rsid w:val="00AF46B2"/>
    <w:rsid w:val="00AF46D3"/>
    <w:rsid w:val="00AF47F4"/>
    <w:rsid w:val="00AF4A08"/>
    <w:rsid w:val="00AF4A68"/>
    <w:rsid w:val="00AF4B29"/>
    <w:rsid w:val="00AF4B45"/>
    <w:rsid w:val="00AF4BB4"/>
    <w:rsid w:val="00AF4EE4"/>
    <w:rsid w:val="00AF4F3A"/>
    <w:rsid w:val="00AF5055"/>
    <w:rsid w:val="00AF51EC"/>
    <w:rsid w:val="00AF533E"/>
    <w:rsid w:val="00AF542F"/>
    <w:rsid w:val="00AF5480"/>
    <w:rsid w:val="00AF54F8"/>
    <w:rsid w:val="00AF55A5"/>
    <w:rsid w:val="00AF567F"/>
    <w:rsid w:val="00AF57DA"/>
    <w:rsid w:val="00AF58DD"/>
    <w:rsid w:val="00AF5A06"/>
    <w:rsid w:val="00AF5B46"/>
    <w:rsid w:val="00AF5C20"/>
    <w:rsid w:val="00AF5C51"/>
    <w:rsid w:val="00AF5E8C"/>
    <w:rsid w:val="00AF5ED5"/>
    <w:rsid w:val="00AF5F5B"/>
    <w:rsid w:val="00AF5FEA"/>
    <w:rsid w:val="00AF6296"/>
    <w:rsid w:val="00AF62E3"/>
    <w:rsid w:val="00AF6341"/>
    <w:rsid w:val="00AF6405"/>
    <w:rsid w:val="00AF645A"/>
    <w:rsid w:val="00AF6526"/>
    <w:rsid w:val="00AF6677"/>
    <w:rsid w:val="00AF6710"/>
    <w:rsid w:val="00AF6748"/>
    <w:rsid w:val="00AF67F7"/>
    <w:rsid w:val="00AF69AC"/>
    <w:rsid w:val="00AF6A81"/>
    <w:rsid w:val="00AF6B19"/>
    <w:rsid w:val="00AF6D35"/>
    <w:rsid w:val="00AF6EAD"/>
    <w:rsid w:val="00AF7023"/>
    <w:rsid w:val="00AF70BD"/>
    <w:rsid w:val="00AF7123"/>
    <w:rsid w:val="00AF7209"/>
    <w:rsid w:val="00AF7253"/>
    <w:rsid w:val="00AF72A8"/>
    <w:rsid w:val="00AF72B6"/>
    <w:rsid w:val="00AF72C7"/>
    <w:rsid w:val="00AF72E1"/>
    <w:rsid w:val="00AF7314"/>
    <w:rsid w:val="00AF7350"/>
    <w:rsid w:val="00AF7370"/>
    <w:rsid w:val="00AF73A2"/>
    <w:rsid w:val="00AF73D5"/>
    <w:rsid w:val="00AF73DA"/>
    <w:rsid w:val="00AF74EB"/>
    <w:rsid w:val="00AF759F"/>
    <w:rsid w:val="00AF75C3"/>
    <w:rsid w:val="00AF769A"/>
    <w:rsid w:val="00AF76D9"/>
    <w:rsid w:val="00AF76EF"/>
    <w:rsid w:val="00AF772A"/>
    <w:rsid w:val="00AF77A8"/>
    <w:rsid w:val="00AF793E"/>
    <w:rsid w:val="00AF79FD"/>
    <w:rsid w:val="00AF79FF"/>
    <w:rsid w:val="00AF7B0B"/>
    <w:rsid w:val="00AF7B0F"/>
    <w:rsid w:val="00AF7BE2"/>
    <w:rsid w:val="00AF7BE5"/>
    <w:rsid w:val="00AF7C95"/>
    <w:rsid w:val="00AF7DF2"/>
    <w:rsid w:val="00AF7E16"/>
    <w:rsid w:val="00AF7E71"/>
    <w:rsid w:val="00AF7F05"/>
    <w:rsid w:val="00AF7FDA"/>
    <w:rsid w:val="00B00022"/>
    <w:rsid w:val="00B000A7"/>
    <w:rsid w:val="00B00195"/>
    <w:rsid w:val="00B001A8"/>
    <w:rsid w:val="00B001C9"/>
    <w:rsid w:val="00B00248"/>
    <w:rsid w:val="00B0040D"/>
    <w:rsid w:val="00B00488"/>
    <w:rsid w:val="00B0052B"/>
    <w:rsid w:val="00B0071A"/>
    <w:rsid w:val="00B00733"/>
    <w:rsid w:val="00B0085F"/>
    <w:rsid w:val="00B009A7"/>
    <w:rsid w:val="00B00A44"/>
    <w:rsid w:val="00B00A7B"/>
    <w:rsid w:val="00B00BF1"/>
    <w:rsid w:val="00B00E9B"/>
    <w:rsid w:val="00B00FF7"/>
    <w:rsid w:val="00B01122"/>
    <w:rsid w:val="00B0120F"/>
    <w:rsid w:val="00B01277"/>
    <w:rsid w:val="00B01425"/>
    <w:rsid w:val="00B01724"/>
    <w:rsid w:val="00B017CB"/>
    <w:rsid w:val="00B019C4"/>
    <w:rsid w:val="00B01C4C"/>
    <w:rsid w:val="00B01D72"/>
    <w:rsid w:val="00B01F56"/>
    <w:rsid w:val="00B01FF5"/>
    <w:rsid w:val="00B02042"/>
    <w:rsid w:val="00B02185"/>
    <w:rsid w:val="00B021B2"/>
    <w:rsid w:val="00B021DA"/>
    <w:rsid w:val="00B0237E"/>
    <w:rsid w:val="00B0253D"/>
    <w:rsid w:val="00B0259C"/>
    <w:rsid w:val="00B025CA"/>
    <w:rsid w:val="00B02753"/>
    <w:rsid w:val="00B027FF"/>
    <w:rsid w:val="00B02847"/>
    <w:rsid w:val="00B028A3"/>
    <w:rsid w:val="00B02950"/>
    <w:rsid w:val="00B02AD0"/>
    <w:rsid w:val="00B02AE0"/>
    <w:rsid w:val="00B02B3A"/>
    <w:rsid w:val="00B02CD0"/>
    <w:rsid w:val="00B02D04"/>
    <w:rsid w:val="00B02D2E"/>
    <w:rsid w:val="00B02E2A"/>
    <w:rsid w:val="00B02E8E"/>
    <w:rsid w:val="00B02EAB"/>
    <w:rsid w:val="00B02EEA"/>
    <w:rsid w:val="00B02F36"/>
    <w:rsid w:val="00B03028"/>
    <w:rsid w:val="00B0303B"/>
    <w:rsid w:val="00B0313C"/>
    <w:rsid w:val="00B0324F"/>
    <w:rsid w:val="00B0328C"/>
    <w:rsid w:val="00B032FD"/>
    <w:rsid w:val="00B033DC"/>
    <w:rsid w:val="00B036D7"/>
    <w:rsid w:val="00B03785"/>
    <w:rsid w:val="00B037B0"/>
    <w:rsid w:val="00B038F5"/>
    <w:rsid w:val="00B0392A"/>
    <w:rsid w:val="00B03972"/>
    <w:rsid w:val="00B03A1E"/>
    <w:rsid w:val="00B03A1F"/>
    <w:rsid w:val="00B03A59"/>
    <w:rsid w:val="00B03B9D"/>
    <w:rsid w:val="00B03BC3"/>
    <w:rsid w:val="00B03BFE"/>
    <w:rsid w:val="00B03C78"/>
    <w:rsid w:val="00B03D9C"/>
    <w:rsid w:val="00B03FAC"/>
    <w:rsid w:val="00B03FFC"/>
    <w:rsid w:val="00B04091"/>
    <w:rsid w:val="00B042A2"/>
    <w:rsid w:val="00B0430C"/>
    <w:rsid w:val="00B043D1"/>
    <w:rsid w:val="00B04409"/>
    <w:rsid w:val="00B045EA"/>
    <w:rsid w:val="00B0476A"/>
    <w:rsid w:val="00B0483D"/>
    <w:rsid w:val="00B04A9D"/>
    <w:rsid w:val="00B04B1A"/>
    <w:rsid w:val="00B04B2F"/>
    <w:rsid w:val="00B04B83"/>
    <w:rsid w:val="00B04CDD"/>
    <w:rsid w:val="00B04D4F"/>
    <w:rsid w:val="00B04F85"/>
    <w:rsid w:val="00B04FF6"/>
    <w:rsid w:val="00B0516B"/>
    <w:rsid w:val="00B05175"/>
    <w:rsid w:val="00B051EB"/>
    <w:rsid w:val="00B051FD"/>
    <w:rsid w:val="00B052E9"/>
    <w:rsid w:val="00B05356"/>
    <w:rsid w:val="00B053F1"/>
    <w:rsid w:val="00B055EE"/>
    <w:rsid w:val="00B05802"/>
    <w:rsid w:val="00B05810"/>
    <w:rsid w:val="00B05B02"/>
    <w:rsid w:val="00B05B85"/>
    <w:rsid w:val="00B05CEF"/>
    <w:rsid w:val="00B05D41"/>
    <w:rsid w:val="00B05F28"/>
    <w:rsid w:val="00B05F91"/>
    <w:rsid w:val="00B05FAB"/>
    <w:rsid w:val="00B0603D"/>
    <w:rsid w:val="00B0604A"/>
    <w:rsid w:val="00B060F8"/>
    <w:rsid w:val="00B06144"/>
    <w:rsid w:val="00B0636D"/>
    <w:rsid w:val="00B0649E"/>
    <w:rsid w:val="00B06501"/>
    <w:rsid w:val="00B06512"/>
    <w:rsid w:val="00B06567"/>
    <w:rsid w:val="00B06629"/>
    <w:rsid w:val="00B0665C"/>
    <w:rsid w:val="00B067FF"/>
    <w:rsid w:val="00B06AFD"/>
    <w:rsid w:val="00B06B22"/>
    <w:rsid w:val="00B06C4E"/>
    <w:rsid w:val="00B06CC8"/>
    <w:rsid w:val="00B07015"/>
    <w:rsid w:val="00B0729C"/>
    <w:rsid w:val="00B073FA"/>
    <w:rsid w:val="00B0742E"/>
    <w:rsid w:val="00B07739"/>
    <w:rsid w:val="00B07898"/>
    <w:rsid w:val="00B078F7"/>
    <w:rsid w:val="00B079DD"/>
    <w:rsid w:val="00B07AE6"/>
    <w:rsid w:val="00B07C3F"/>
    <w:rsid w:val="00B07C62"/>
    <w:rsid w:val="00B07CF6"/>
    <w:rsid w:val="00B07CFD"/>
    <w:rsid w:val="00B07D7A"/>
    <w:rsid w:val="00B07DE0"/>
    <w:rsid w:val="00B07F8D"/>
    <w:rsid w:val="00B07FCA"/>
    <w:rsid w:val="00B07FDD"/>
    <w:rsid w:val="00B1002E"/>
    <w:rsid w:val="00B1007B"/>
    <w:rsid w:val="00B1020F"/>
    <w:rsid w:val="00B1030E"/>
    <w:rsid w:val="00B10627"/>
    <w:rsid w:val="00B1064A"/>
    <w:rsid w:val="00B10722"/>
    <w:rsid w:val="00B108CE"/>
    <w:rsid w:val="00B109D2"/>
    <w:rsid w:val="00B10A90"/>
    <w:rsid w:val="00B10AE4"/>
    <w:rsid w:val="00B10D9B"/>
    <w:rsid w:val="00B10E29"/>
    <w:rsid w:val="00B10F55"/>
    <w:rsid w:val="00B112D3"/>
    <w:rsid w:val="00B112DE"/>
    <w:rsid w:val="00B11473"/>
    <w:rsid w:val="00B1152F"/>
    <w:rsid w:val="00B115AD"/>
    <w:rsid w:val="00B118E7"/>
    <w:rsid w:val="00B1198A"/>
    <w:rsid w:val="00B11B23"/>
    <w:rsid w:val="00B11C61"/>
    <w:rsid w:val="00B11CC1"/>
    <w:rsid w:val="00B11EF3"/>
    <w:rsid w:val="00B12051"/>
    <w:rsid w:val="00B12067"/>
    <w:rsid w:val="00B12179"/>
    <w:rsid w:val="00B12307"/>
    <w:rsid w:val="00B12411"/>
    <w:rsid w:val="00B124D6"/>
    <w:rsid w:val="00B125F9"/>
    <w:rsid w:val="00B12635"/>
    <w:rsid w:val="00B1263E"/>
    <w:rsid w:val="00B12708"/>
    <w:rsid w:val="00B128C0"/>
    <w:rsid w:val="00B1293E"/>
    <w:rsid w:val="00B12A9A"/>
    <w:rsid w:val="00B12AAC"/>
    <w:rsid w:val="00B12AF1"/>
    <w:rsid w:val="00B12B82"/>
    <w:rsid w:val="00B12BDF"/>
    <w:rsid w:val="00B12C9B"/>
    <w:rsid w:val="00B12E86"/>
    <w:rsid w:val="00B12FA8"/>
    <w:rsid w:val="00B1300C"/>
    <w:rsid w:val="00B1302D"/>
    <w:rsid w:val="00B1305C"/>
    <w:rsid w:val="00B13150"/>
    <w:rsid w:val="00B131AA"/>
    <w:rsid w:val="00B133C1"/>
    <w:rsid w:val="00B1346C"/>
    <w:rsid w:val="00B135D4"/>
    <w:rsid w:val="00B138EE"/>
    <w:rsid w:val="00B1393D"/>
    <w:rsid w:val="00B13B4C"/>
    <w:rsid w:val="00B13BC1"/>
    <w:rsid w:val="00B13C01"/>
    <w:rsid w:val="00B13EF1"/>
    <w:rsid w:val="00B13F35"/>
    <w:rsid w:val="00B13F4D"/>
    <w:rsid w:val="00B13FBD"/>
    <w:rsid w:val="00B14096"/>
    <w:rsid w:val="00B14168"/>
    <w:rsid w:val="00B1418B"/>
    <w:rsid w:val="00B143C2"/>
    <w:rsid w:val="00B144A2"/>
    <w:rsid w:val="00B14535"/>
    <w:rsid w:val="00B14585"/>
    <w:rsid w:val="00B14593"/>
    <w:rsid w:val="00B147BD"/>
    <w:rsid w:val="00B14872"/>
    <w:rsid w:val="00B148B6"/>
    <w:rsid w:val="00B14975"/>
    <w:rsid w:val="00B14A42"/>
    <w:rsid w:val="00B14B42"/>
    <w:rsid w:val="00B14D32"/>
    <w:rsid w:val="00B14D65"/>
    <w:rsid w:val="00B14DFA"/>
    <w:rsid w:val="00B14E00"/>
    <w:rsid w:val="00B14E78"/>
    <w:rsid w:val="00B14E7D"/>
    <w:rsid w:val="00B1514C"/>
    <w:rsid w:val="00B15198"/>
    <w:rsid w:val="00B151F4"/>
    <w:rsid w:val="00B15298"/>
    <w:rsid w:val="00B152E0"/>
    <w:rsid w:val="00B1539B"/>
    <w:rsid w:val="00B154D7"/>
    <w:rsid w:val="00B1567C"/>
    <w:rsid w:val="00B1574B"/>
    <w:rsid w:val="00B159BA"/>
    <w:rsid w:val="00B15A1E"/>
    <w:rsid w:val="00B15A67"/>
    <w:rsid w:val="00B15B07"/>
    <w:rsid w:val="00B15B22"/>
    <w:rsid w:val="00B15BE1"/>
    <w:rsid w:val="00B15CEE"/>
    <w:rsid w:val="00B15CFC"/>
    <w:rsid w:val="00B15D1E"/>
    <w:rsid w:val="00B15E68"/>
    <w:rsid w:val="00B16027"/>
    <w:rsid w:val="00B1603C"/>
    <w:rsid w:val="00B16317"/>
    <w:rsid w:val="00B163B2"/>
    <w:rsid w:val="00B164A3"/>
    <w:rsid w:val="00B164E9"/>
    <w:rsid w:val="00B1658F"/>
    <w:rsid w:val="00B165AB"/>
    <w:rsid w:val="00B1674F"/>
    <w:rsid w:val="00B167DC"/>
    <w:rsid w:val="00B1682C"/>
    <w:rsid w:val="00B16832"/>
    <w:rsid w:val="00B16846"/>
    <w:rsid w:val="00B169C1"/>
    <w:rsid w:val="00B16A6D"/>
    <w:rsid w:val="00B16B0B"/>
    <w:rsid w:val="00B16CC5"/>
    <w:rsid w:val="00B16D5F"/>
    <w:rsid w:val="00B16F0B"/>
    <w:rsid w:val="00B1709A"/>
    <w:rsid w:val="00B17234"/>
    <w:rsid w:val="00B1737F"/>
    <w:rsid w:val="00B17450"/>
    <w:rsid w:val="00B17484"/>
    <w:rsid w:val="00B17529"/>
    <w:rsid w:val="00B17544"/>
    <w:rsid w:val="00B1760C"/>
    <w:rsid w:val="00B1773B"/>
    <w:rsid w:val="00B17820"/>
    <w:rsid w:val="00B17921"/>
    <w:rsid w:val="00B17927"/>
    <w:rsid w:val="00B17962"/>
    <w:rsid w:val="00B179B9"/>
    <w:rsid w:val="00B179C2"/>
    <w:rsid w:val="00B17AAA"/>
    <w:rsid w:val="00B17CC8"/>
    <w:rsid w:val="00B17D4F"/>
    <w:rsid w:val="00B20201"/>
    <w:rsid w:val="00B20668"/>
    <w:rsid w:val="00B206AD"/>
    <w:rsid w:val="00B206DE"/>
    <w:rsid w:val="00B207B5"/>
    <w:rsid w:val="00B207D4"/>
    <w:rsid w:val="00B2098A"/>
    <w:rsid w:val="00B20A3F"/>
    <w:rsid w:val="00B20BC4"/>
    <w:rsid w:val="00B20C66"/>
    <w:rsid w:val="00B20D80"/>
    <w:rsid w:val="00B20DCD"/>
    <w:rsid w:val="00B20E7E"/>
    <w:rsid w:val="00B20E8A"/>
    <w:rsid w:val="00B20E8C"/>
    <w:rsid w:val="00B20EDD"/>
    <w:rsid w:val="00B20EF9"/>
    <w:rsid w:val="00B21066"/>
    <w:rsid w:val="00B21101"/>
    <w:rsid w:val="00B21156"/>
    <w:rsid w:val="00B2118E"/>
    <w:rsid w:val="00B211EE"/>
    <w:rsid w:val="00B212C1"/>
    <w:rsid w:val="00B21334"/>
    <w:rsid w:val="00B2136D"/>
    <w:rsid w:val="00B21524"/>
    <w:rsid w:val="00B215F9"/>
    <w:rsid w:val="00B216B1"/>
    <w:rsid w:val="00B21746"/>
    <w:rsid w:val="00B217CC"/>
    <w:rsid w:val="00B21961"/>
    <w:rsid w:val="00B21AAA"/>
    <w:rsid w:val="00B21D8A"/>
    <w:rsid w:val="00B21DA0"/>
    <w:rsid w:val="00B21DF2"/>
    <w:rsid w:val="00B21FDF"/>
    <w:rsid w:val="00B22006"/>
    <w:rsid w:val="00B22172"/>
    <w:rsid w:val="00B221B7"/>
    <w:rsid w:val="00B222EF"/>
    <w:rsid w:val="00B2245E"/>
    <w:rsid w:val="00B224BE"/>
    <w:rsid w:val="00B224C3"/>
    <w:rsid w:val="00B2255E"/>
    <w:rsid w:val="00B22573"/>
    <w:rsid w:val="00B2269C"/>
    <w:rsid w:val="00B22710"/>
    <w:rsid w:val="00B22722"/>
    <w:rsid w:val="00B227A2"/>
    <w:rsid w:val="00B227DA"/>
    <w:rsid w:val="00B22849"/>
    <w:rsid w:val="00B228BC"/>
    <w:rsid w:val="00B228CD"/>
    <w:rsid w:val="00B2291C"/>
    <w:rsid w:val="00B22995"/>
    <w:rsid w:val="00B229A9"/>
    <w:rsid w:val="00B22AC9"/>
    <w:rsid w:val="00B22B52"/>
    <w:rsid w:val="00B22BE0"/>
    <w:rsid w:val="00B22C45"/>
    <w:rsid w:val="00B22C54"/>
    <w:rsid w:val="00B22CB2"/>
    <w:rsid w:val="00B22E6F"/>
    <w:rsid w:val="00B22F18"/>
    <w:rsid w:val="00B23180"/>
    <w:rsid w:val="00B2323F"/>
    <w:rsid w:val="00B233ED"/>
    <w:rsid w:val="00B23583"/>
    <w:rsid w:val="00B235AA"/>
    <w:rsid w:val="00B235B9"/>
    <w:rsid w:val="00B23644"/>
    <w:rsid w:val="00B236A8"/>
    <w:rsid w:val="00B236F6"/>
    <w:rsid w:val="00B2378C"/>
    <w:rsid w:val="00B237C8"/>
    <w:rsid w:val="00B23828"/>
    <w:rsid w:val="00B23DC0"/>
    <w:rsid w:val="00B23F79"/>
    <w:rsid w:val="00B23F91"/>
    <w:rsid w:val="00B23F92"/>
    <w:rsid w:val="00B240AE"/>
    <w:rsid w:val="00B24167"/>
    <w:rsid w:val="00B2417E"/>
    <w:rsid w:val="00B242C6"/>
    <w:rsid w:val="00B24320"/>
    <w:rsid w:val="00B243F3"/>
    <w:rsid w:val="00B243FA"/>
    <w:rsid w:val="00B244E6"/>
    <w:rsid w:val="00B2459E"/>
    <w:rsid w:val="00B246B1"/>
    <w:rsid w:val="00B246D7"/>
    <w:rsid w:val="00B24891"/>
    <w:rsid w:val="00B24A06"/>
    <w:rsid w:val="00B24BFA"/>
    <w:rsid w:val="00B24C1A"/>
    <w:rsid w:val="00B24DC7"/>
    <w:rsid w:val="00B24E60"/>
    <w:rsid w:val="00B25053"/>
    <w:rsid w:val="00B2510F"/>
    <w:rsid w:val="00B25172"/>
    <w:rsid w:val="00B2522F"/>
    <w:rsid w:val="00B252B1"/>
    <w:rsid w:val="00B2534E"/>
    <w:rsid w:val="00B253E9"/>
    <w:rsid w:val="00B254CA"/>
    <w:rsid w:val="00B255BC"/>
    <w:rsid w:val="00B255CA"/>
    <w:rsid w:val="00B255DA"/>
    <w:rsid w:val="00B258B6"/>
    <w:rsid w:val="00B258C5"/>
    <w:rsid w:val="00B258C6"/>
    <w:rsid w:val="00B25A35"/>
    <w:rsid w:val="00B25AE6"/>
    <w:rsid w:val="00B25AF2"/>
    <w:rsid w:val="00B25B54"/>
    <w:rsid w:val="00B25D98"/>
    <w:rsid w:val="00B25E83"/>
    <w:rsid w:val="00B25F0C"/>
    <w:rsid w:val="00B25FC7"/>
    <w:rsid w:val="00B26017"/>
    <w:rsid w:val="00B2609D"/>
    <w:rsid w:val="00B260F0"/>
    <w:rsid w:val="00B2635D"/>
    <w:rsid w:val="00B2641D"/>
    <w:rsid w:val="00B26604"/>
    <w:rsid w:val="00B266F3"/>
    <w:rsid w:val="00B267C4"/>
    <w:rsid w:val="00B26806"/>
    <w:rsid w:val="00B2682A"/>
    <w:rsid w:val="00B26889"/>
    <w:rsid w:val="00B26898"/>
    <w:rsid w:val="00B26A86"/>
    <w:rsid w:val="00B26B85"/>
    <w:rsid w:val="00B26BDB"/>
    <w:rsid w:val="00B26BEA"/>
    <w:rsid w:val="00B26DFD"/>
    <w:rsid w:val="00B26E66"/>
    <w:rsid w:val="00B26E87"/>
    <w:rsid w:val="00B27005"/>
    <w:rsid w:val="00B2707C"/>
    <w:rsid w:val="00B2714D"/>
    <w:rsid w:val="00B27235"/>
    <w:rsid w:val="00B27396"/>
    <w:rsid w:val="00B27537"/>
    <w:rsid w:val="00B27577"/>
    <w:rsid w:val="00B2758D"/>
    <w:rsid w:val="00B277D4"/>
    <w:rsid w:val="00B2785F"/>
    <w:rsid w:val="00B278C5"/>
    <w:rsid w:val="00B278F3"/>
    <w:rsid w:val="00B27900"/>
    <w:rsid w:val="00B27905"/>
    <w:rsid w:val="00B279AE"/>
    <w:rsid w:val="00B279C2"/>
    <w:rsid w:val="00B27A20"/>
    <w:rsid w:val="00B27A8B"/>
    <w:rsid w:val="00B27AA2"/>
    <w:rsid w:val="00B27AD0"/>
    <w:rsid w:val="00B27B7C"/>
    <w:rsid w:val="00B27C15"/>
    <w:rsid w:val="00B27D37"/>
    <w:rsid w:val="00B27DA8"/>
    <w:rsid w:val="00B27E94"/>
    <w:rsid w:val="00B27F38"/>
    <w:rsid w:val="00B30060"/>
    <w:rsid w:val="00B30218"/>
    <w:rsid w:val="00B3026C"/>
    <w:rsid w:val="00B304B3"/>
    <w:rsid w:val="00B304C2"/>
    <w:rsid w:val="00B306A2"/>
    <w:rsid w:val="00B30806"/>
    <w:rsid w:val="00B30859"/>
    <w:rsid w:val="00B30970"/>
    <w:rsid w:val="00B30A56"/>
    <w:rsid w:val="00B30A59"/>
    <w:rsid w:val="00B30C31"/>
    <w:rsid w:val="00B30C45"/>
    <w:rsid w:val="00B30D76"/>
    <w:rsid w:val="00B30E07"/>
    <w:rsid w:val="00B30EE1"/>
    <w:rsid w:val="00B310BD"/>
    <w:rsid w:val="00B3114C"/>
    <w:rsid w:val="00B31189"/>
    <w:rsid w:val="00B31372"/>
    <w:rsid w:val="00B31501"/>
    <w:rsid w:val="00B31580"/>
    <w:rsid w:val="00B31975"/>
    <w:rsid w:val="00B31989"/>
    <w:rsid w:val="00B31A94"/>
    <w:rsid w:val="00B31C58"/>
    <w:rsid w:val="00B31D36"/>
    <w:rsid w:val="00B31D68"/>
    <w:rsid w:val="00B31FE9"/>
    <w:rsid w:val="00B32220"/>
    <w:rsid w:val="00B32487"/>
    <w:rsid w:val="00B324D6"/>
    <w:rsid w:val="00B324DF"/>
    <w:rsid w:val="00B326BB"/>
    <w:rsid w:val="00B326C2"/>
    <w:rsid w:val="00B32736"/>
    <w:rsid w:val="00B32832"/>
    <w:rsid w:val="00B32CCB"/>
    <w:rsid w:val="00B32CDC"/>
    <w:rsid w:val="00B32E38"/>
    <w:rsid w:val="00B32E4A"/>
    <w:rsid w:val="00B32E79"/>
    <w:rsid w:val="00B32F1D"/>
    <w:rsid w:val="00B3318F"/>
    <w:rsid w:val="00B3322B"/>
    <w:rsid w:val="00B33339"/>
    <w:rsid w:val="00B3338B"/>
    <w:rsid w:val="00B334AE"/>
    <w:rsid w:val="00B3352F"/>
    <w:rsid w:val="00B33606"/>
    <w:rsid w:val="00B3360A"/>
    <w:rsid w:val="00B3361B"/>
    <w:rsid w:val="00B33620"/>
    <w:rsid w:val="00B33668"/>
    <w:rsid w:val="00B3377F"/>
    <w:rsid w:val="00B33D19"/>
    <w:rsid w:val="00B33F19"/>
    <w:rsid w:val="00B33F3B"/>
    <w:rsid w:val="00B33F60"/>
    <w:rsid w:val="00B34019"/>
    <w:rsid w:val="00B34192"/>
    <w:rsid w:val="00B342C4"/>
    <w:rsid w:val="00B34386"/>
    <w:rsid w:val="00B343EB"/>
    <w:rsid w:val="00B343EF"/>
    <w:rsid w:val="00B344DB"/>
    <w:rsid w:val="00B34546"/>
    <w:rsid w:val="00B34614"/>
    <w:rsid w:val="00B34658"/>
    <w:rsid w:val="00B34787"/>
    <w:rsid w:val="00B347B7"/>
    <w:rsid w:val="00B349F0"/>
    <w:rsid w:val="00B34A66"/>
    <w:rsid w:val="00B34ACB"/>
    <w:rsid w:val="00B34C32"/>
    <w:rsid w:val="00B34C4B"/>
    <w:rsid w:val="00B34C67"/>
    <w:rsid w:val="00B34C7F"/>
    <w:rsid w:val="00B34CA4"/>
    <w:rsid w:val="00B34E8C"/>
    <w:rsid w:val="00B34F4F"/>
    <w:rsid w:val="00B34F85"/>
    <w:rsid w:val="00B34FA4"/>
    <w:rsid w:val="00B35225"/>
    <w:rsid w:val="00B35267"/>
    <w:rsid w:val="00B353C0"/>
    <w:rsid w:val="00B353F3"/>
    <w:rsid w:val="00B35527"/>
    <w:rsid w:val="00B35717"/>
    <w:rsid w:val="00B357AD"/>
    <w:rsid w:val="00B358E2"/>
    <w:rsid w:val="00B35912"/>
    <w:rsid w:val="00B359A4"/>
    <w:rsid w:val="00B35A00"/>
    <w:rsid w:val="00B35A59"/>
    <w:rsid w:val="00B35BC3"/>
    <w:rsid w:val="00B35BF2"/>
    <w:rsid w:val="00B35C17"/>
    <w:rsid w:val="00B35CD0"/>
    <w:rsid w:val="00B35DC3"/>
    <w:rsid w:val="00B35EC7"/>
    <w:rsid w:val="00B35F3E"/>
    <w:rsid w:val="00B35F83"/>
    <w:rsid w:val="00B35F9D"/>
    <w:rsid w:val="00B35FA0"/>
    <w:rsid w:val="00B36185"/>
    <w:rsid w:val="00B363AE"/>
    <w:rsid w:val="00B36407"/>
    <w:rsid w:val="00B3657E"/>
    <w:rsid w:val="00B3667A"/>
    <w:rsid w:val="00B36760"/>
    <w:rsid w:val="00B3681A"/>
    <w:rsid w:val="00B3688D"/>
    <w:rsid w:val="00B36938"/>
    <w:rsid w:val="00B3698A"/>
    <w:rsid w:val="00B36AB6"/>
    <w:rsid w:val="00B36B65"/>
    <w:rsid w:val="00B36BE3"/>
    <w:rsid w:val="00B36D56"/>
    <w:rsid w:val="00B36DC6"/>
    <w:rsid w:val="00B36F03"/>
    <w:rsid w:val="00B36F8B"/>
    <w:rsid w:val="00B37018"/>
    <w:rsid w:val="00B3706A"/>
    <w:rsid w:val="00B37087"/>
    <w:rsid w:val="00B3712D"/>
    <w:rsid w:val="00B37178"/>
    <w:rsid w:val="00B37494"/>
    <w:rsid w:val="00B374EE"/>
    <w:rsid w:val="00B375C2"/>
    <w:rsid w:val="00B37642"/>
    <w:rsid w:val="00B37683"/>
    <w:rsid w:val="00B3770C"/>
    <w:rsid w:val="00B37800"/>
    <w:rsid w:val="00B3783F"/>
    <w:rsid w:val="00B3787E"/>
    <w:rsid w:val="00B378A5"/>
    <w:rsid w:val="00B378D8"/>
    <w:rsid w:val="00B3795C"/>
    <w:rsid w:val="00B37A84"/>
    <w:rsid w:val="00B37B71"/>
    <w:rsid w:val="00B37B82"/>
    <w:rsid w:val="00B37C3F"/>
    <w:rsid w:val="00B37E28"/>
    <w:rsid w:val="00B37E82"/>
    <w:rsid w:val="00B37F41"/>
    <w:rsid w:val="00B40242"/>
    <w:rsid w:val="00B40282"/>
    <w:rsid w:val="00B402EA"/>
    <w:rsid w:val="00B402FF"/>
    <w:rsid w:val="00B40320"/>
    <w:rsid w:val="00B403BB"/>
    <w:rsid w:val="00B40415"/>
    <w:rsid w:val="00B40503"/>
    <w:rsid w:val="00B40507"/>
    <w:rsid w:val="00B40552"/>
    <w:rsid w:val="00B406BF"/>
    <w:rsid w:val="00B4087F"/>
    <w:rsid w:val="00B40934"/>
    <w:rsid w:val="00B40A5C"/>
    <w:rsid w:val="00B40B93"/>
    <w:rsid w:val="00B40EB5"/>
    <w:rsid w:val="00B40F09"/>
    <w:rsid w:val="00B410F0"/>
    <w:rsid w:val="00B41171"/>
    <w:rsid w:val="00B41276"/>
    <w:rsid w:val="00B41470"/>
    <w:rsid w:val="00B41473"/>
    <w:rsid w:val="00B4165D"/>
    <w:rsid w:val="00B4175B"/>
    <w:rsid w:val="00B417C2"/>
    <w:rsid w:val="00B417D5"/>
    <w:rsid w:val="00B41916"/>
    <w:rsid w:val="00B41A0D"/>
    <w:rsid w:val="00B41A56"/>
    <w:rsid w:val="00B41AC8"/>
    <w:rsid w:val="00B41B12"/>
    <w:rsid w:val="00B41B24"/>
    <w:rsid w:val="00B41B54"/>
    <w:rsid w:val="00B41C48"/>
    <w:rsid w:val="00B41C54"/>
    <w:rsid w:val="00B41D3F"/>
    <w:rsid w:val="00B41E0B"/>
    <w:rsid w:val="00B41FE7"/>
    <w:rsid w:val="00B42019"/>
    <w:rsid w:val="00B420B6"/>
    <w:rsid w:val="00B4215D"/>
    <w:rsid w:val="00B42276"/>
    <w:rsid w:val="00B422EC"/>
    <w:rsid w:val="00B42345"/>
    <w:rsid w:val="00B424B3"/>
    <w:rsid w:val="00B424F0"/>
    <w:rsid w:val="00B4267B"/>
    <w:rsid w:val="00B4273B"/>
    <w:rsid w:val="00B427EE"/>
    <w:rsid w:val="00B42802"/>
    <w:rsid w:val="00B428D4"/>
    <w:rsid w:val="00B429F0"/>
    <w:rsid w:val="00B42A86"/>
    <w:rsid w:val="00B42BF3"/>
    <w:rsid w:val="00B42C22"/>
    <w:rsid w:val="00B42C50"/>
    <w:rsid w:val="00B42CEF"/>
    <w:rsid w:val="00B42DDB"/>
    <w:rsid w:val="00B42E4F"/>
    <w:rsid w:val="00B42EB8"/>
    <w:rsid w:val="00B42EC9"/>
    <w:rsid w:val="00B43014"/>
    <w:rsid w:val="00B4304A"/>
    <w:rsid w:val="00B43115"/>
    <w:rsid w:val="00B431A2"/>
    <w:rsid w:val="00B431B1"/>
    <w:rsid w:val="00B4324C"/>
    <w:rsid w:val="00B432FD"/>
    <w:rsid w:val="00B43474"/>
    <w:rsid w:val="00B43522"/>
    <w:rsid w:val="00B43557"/>
    <w:rsid w:val="00B43580"/>
    <w:rsid w:val="00B435FA"/>
    <w:rsid w:val="00B43646"/>
    <w:rsid w:val="00B437CA"/>
    <w:rsid w:val="00B4398D"/>
    <w:rsid w:val="00B43A54"/>
    <w:rsid w:val="00B43A5D"/>
    <w:rsid w:val="00B43B10"/>
    <w:rsid w:val="00B43B1B"/>
    <w:rsid w:val="00B43F98"/>
    <w:rsid w:val="00B4405E"/>
    <w:rsid w:val="00B440CF"/>
    <w:rsid w:val="00B44109"/>
    <w:rsid w:val="00B441A5"/>
    <w:rsid w:val="00B44214"/>
    <w:rsid w:val="00B44298"/>
    <w:rsid w:val="00B44341"/>
    <w:rsid w:val="00B44460"/>
    <w:rsid w:val="00B44542"/>
    <w:rsid w:val="00B445DF"/>
    <w:rsid w:val="00B44648"/>
    <w:rsid w:val="00B447EE"/>
    <w:rsid w:val="00B44823"/>
    <w:rsid w:val="00B44829"/>
    <w:rsid w:val="00B448B4"/>
    <w:rsid w:val="00B448F5"/>
    <w:rsid w:val="00B44A8A"/>
    <w:rsid w:val="00B44ABC"/>
    <w:rsid w:val="00B44AE4"/>
    <w:rsid w:val="00B44B01"/>
    <w:rsid w:val="00B44B51"/>
    <w:rsid w:val="00B44C9C"/>
    <w:rsid w:val="00B44CCB"/>
    <w:rsid w:val="00B44D32"/>
    <w:rsid w:val="00B44D33"/>
    <w:rsid w:val="00B44D75"/>
    <w:rsid w:val="00B45009"/>
    <w:rsid w:val="00B45018"/>
    <w:rsid w:val="00B4502F"/>
    <w:rsid w:val="00B45114"/>
    <w:rsid w:val="00B451F9"/>
    <w:rsid w:val="00B4525B"/>
    <w:rsid w:val="00B4534A"/>
    <w:rsid w:val="00B45351"/>
    <w:rsid w:val="00B454F1"/>
    <w:rsid w:val="00B45512"/>
    <w:rsid w:val="00B45521"/>
    <w:rsid w:val="00B4563F"/>
    <w:rsid w:val="00B457F7"/>
    <w:rsid w:val="00B458AE"/>
    <w:rsid w:val="00B4599E"/>
    <w:rsid w:val="00B459C6"/>
    <w:rsid w:val="00B45ABA"/>
    <w:rsid w:val="00B45B5D"/>
    <w:rsid w:val="00B45E90"/>
    <w:rsid w:val="00B46022"/>
    <w:rsid w:val="00B4609F"/>
    <w:rsid w:val="00B460E5"/>
    <w:rsid w:val="00B46322"/>
    <w:rsid w:val="00B4636C"/>
    <w:rsid w:val="00B463C3"/>
    <w:rsid w:val="00B46457"/>
    <w:rsid w:val="00B464BB"/>
    <w:rsid w:val="00B464EA"/>
    <w:rsid w:val="00B464FC"/>
    <w:rsid w:val="00B46861"/>
    <w:rsid w:val="00B468E5"/>
    <w:rsid w:val="00B46901"/>
    <w:rsid w:val="00B46BD9"/>
    <w:rsid w:val="00B46CC9"/>
    <w:rsid w:val="00B46E34"/>
    <w:rsid w:val="00B46EAE"/>
    <w:rsid w:val="00B46EE9"/>
    <w:rsid w:val="00B46FA6"/>
    <w:rsid w:val="00B47083"/>
    <w:rsid w:val="00B470EF"/>
    <w:rsid w:val="00B47230"/>
    <w:rsid w:val="00B47253"/>
    <w:rsid w:val="00B47286"/>
    <w:rsid w:val="00B4748C"/>
    <w:rsid w:val="00B47526"/>
    <w:rsid w:val="00B47551"/>
    <w:rsid w:val="00B4757C"/>
    <w:rsid w:val="00B475F2"/>
    <w:rsid w:val="00B47A85"/>
    <w:rsid w:val="00B47AA8"/>
    <w:rsid w:val="00B47C29"/>
    <w:rsid w:val="00B47E18"/>
    <w:rsid w:val="00B47ED2"/>
    <w:rsid w:val="00B50011"/>
    <w:rsid w:val="00B50079"/>
    <w:rsid w:val="00B50138"/>
    <w:rsid w:val="00B50178"/>
    <w:rsid w:val="00B502DB"/>
    <w:rsid w:val="00B504B6"/>
    <w:rsid w:val="00B505EE"/>
    <w:rsid w:val="00B5069E"/>
    <w:rsid w:val="00B5073F"/>
    <w:rsid w:val="00B50863"/>
    <w:rsid w:val="00B508F4"/>
    <w:rsid w:val="00B50982"/>
    <w:rsid w:val="00B50B89"/>
    <w:rsid w:val="00B50E50"/>
    <w:rsid w:val="00B50EFD"/>
    <w:rsid w:val="00B5100C"/>
    <w:rsid w:val="00B510A1"/>
    <w:rsid w:val="00B511A4"/>
    <w:rsid w:val="00B513D4"/>
    <w:rsid w:val="00B51634"/>
    <w:rsid w:val="00B5166D"/>
    <w:rsid w:val="00B516D0"/>
    <w:rsid w:val="00B516E2"/>
    <w:rsid w:val="00B5177B"/>
    <w:rsid w:val="00B517E8"/>
    <w:rsid w:val="00B5182B"/>
    <w:rsid w:val="00B51AFD"/>
    <w:rsid w:val="00B51AFF"/>
    <w:rsid w:val="00B51B31"/>
    <w:rsid w:val="00B51BD5"/>
    <w:rsid w:val="00B51BEE"/>
    <w:rsid w:val="00B51E12"/>
    <w:rsid w:val="00B51E95"/>
    <w:rsid w:val="00B51EE6"/>
    <w:rsid w:val="00B51F7B"/>
    <w:rsid w:val="00B52175"/>
    <w:rsid w:val="00B523A8"/>
    <w:rsid w:val="00B52431"/>
    <w:rsid w:val="00B524A3"/>
    <w:rsid w:val="00B525CE"/>
    <w:rsid w:val="00B52606"/>
    <w:rsid w:val="00B5268D"/>
    <w:rsid w:val="00B52745"/>
    <w:rsid w:val="00B5281D"/>
    <w:rsid w:val="00B529B2"/>
    <w:rsid w:val="00B52B07"/>
    <w:rsid w:val="00B52B0F"/>
    <w:rsid w:val="00B52CF9"/>
    <w:rsid w:val="00B52D73"/>
    <w:rsid w:val="00B52DA2"/>
    <w:rsid w:val="00B52DD4"/>
    <w:rsid w:val="00B52E7F"/>
    <w:rsid w:val="00B52F86"/>
    <w:rsid w:val="00B52FE7"/>
    <w:rsid w:val="00B530B2"/>
    <w:rsid w:val="00B531F5"/>
    <w:rsid w:val="00B53274"/>
    <w:rsid w:val="00B532F4"/>
    <w:rsid w:val="00B53425"/>
    <w:rsid w:val="00B534DE"/>
    <w:rsid w:val="00B53522"/>
    <w:rsid w:val="00B53647"/>
    <w:rsid w:val="00B536CC"/>
    <w:rsid w:val="00B53864"/>
    <w:rsid w:val="00B5398D"/>
    <w:rsid w:val="00B53AE1"/>
    <w:rsid w:val="00B53B85"/>
    <w:rsid w:val="00B53C61"/>
    <w:rsid w:val="00B53D82"/>
    <w:rsid w:val="00B53D88"/>
    <w:rsid w:val="00B53E09"/>
    <w:rsid w:val="00B53EF2"/>
    <w:rsid w:val="00B53F11"/>
    <w:rsid w:val="00B53F1C"/>
    <w:rsid w:val="00B53F66"/>
    <w:rsid w:val="00B53FB0"/>
    <w:rsid w:val="00B54038"/>
    <w:rsid w:val="00B5413D"/>
    <w:rsid w:val="00B54287"/>
    <w:rsid w:val="00B542CC"/>
    <w:rsid w:val="00B542E4"/>
    <w:rsid w:val="00B5441C"/>
    <w:rsid w:val="00B5455E"/>
    <w:rsid w:val="00B545F1"/>
    <w:rsid w:val="00B54658"/>
    <w:rsid w:val="00B546AA"/>
    <w:rsid w:val="00B546E8"/>
    <w:rsid w:val="00B5480C"/>
    <w:rsid w:val="00B54BAF"/>
    <w:rsid w:val="00B54CE2"/>
    <w:rsid w:val="00B54D12"/>
    <w:rsid w:val="00B54FA5"/>
    <w:rsid w:val="00B54FB0"/>
    <w:rsid w:val="00B54FD9"/>
    <w:rsid w:val="00B55029"/>
    <w:rsid w:val="00B5520A"/>
    <w:rsid w:val="00B552DB"/>
    <w:rsid w:val="00B553AF"/>
    <w:rsid w:val="00B553EF"/>
    <w:rsid w:val="00B55445"/>
    <w:rsid w:val="00B555F2"/>
    <w:rsid w:val="00B5581D"/>
    <w:rsid w:val="00B558D7"/>
    <w:rsid w:val="00B558FE"/>
    <w:rsid w:val="00B55993"/>
    <w:rsid w:val="00B559D6"/>
    <w:rsid w:val="00B55B69"/>
    <w:rsid w:val="00B55BE6"/>
    <w:rsid w:val="00B55BF1"/>
    <w:rsid w:val="00B55C0B"/>
    <w:rsid w:val="00B55CAC"/>
    <w:rsid w:val="00B55CBA"/>
    <w:rsid w:val="00B55EA2"/>
    <w:rsid w:val="00B55EED"/>
    <w:rsid w:val="00B560E6"/>
    <w:rsid w:val="00B560EA"/>
    <w:rsid w:val="00B56118"/>
    <w:rsid w:val="00B56148"/>
    <w:rsid w:val="00B56497"/>
    <w:rsid w:val="00B564BE"/>
    <w:rsid w:val="00B56608"/>
    <w:rsid w:val="00B5671A"/>
    <w:rsid w:val="00B56755"/>
    <w:rsid w:val="00B5689C"/>
    <w:rsid w:val="00B568E4"/>
    <w:rsid w:val="00B5693D"/>
    <w:rsid w:val="00B56A3F"/>
    <w:rsid w:val="00B56A59"/>
    <w:rsid w:val="00B56BBC"/>
    <w:rsid w:val="00B56C07"/>
    <w:rsid w:val="00B56CBD"/>
    <w:rsid w:val="00B56CCF"/>
    <w:rsid w:val="00B56CF0"/>
    <w:rsid w:val="00B56D0F"/>
    <w:rsid w:val="00B56D72"/>
    <w:rsid w:val="00B56D79"/>
    <w:rsid w:val="00B56E4C"/>
    <w:rsid w:val="00B56E6E"/>
    <w:rsid w:val="00B56F2E"/>
    <w:rsid w:val="00B57017"/>
    <w:rsid w:val="00B571FE"/>
    <w:rsid w:val="00B572A4"/>
    <w:rsid w:val="00B57340"/>
    <w:rsid w:val="00B573E8"/>
    <w:rsid w:val="00B57668"/>
    <w:rsid w:val="00B57833"/>
    <w:rsid w:val="00B57978"/>
    <w:rsid w:val="00B57AD0"/>
    <w:rsid w:val="00B57D2B"/>
    <w:rsid w:val="00B57D40"/>
    <w:rsid w:val="00B57D4F"/>
    <w:rsid w:val="00B57DF3"/>
    <w:rsid w:val="00B57F4A"/>
    <w:rsid w:val="00B5ED3F"/>
    <w:rsid w:val="00B601DF"/>
    <w:rsid w:val="00B602DD"/>
    <w:rsid w:val="00B6046B"/>
    <w:rsid w:val="00B604C9"/>
    <w:rsid w:val="00B60631"/>
    <w:rsid w:val="00B608CA"/>
    <w:rsid w:val="00B6095B"/>
    <w:rsid w:val="00B609A3"/>
    <w:rsid w:val="00B60A1C"/>
    <w:rsid w:val="00B60ACA"/>
    <w:rsid w:val="00B60B3A"/>
    <w:rsid w:val="00B60BBB"/>
    <w:rsid w:val="00B60C84"/>
    <w:rsid w:val="00B60CB2"/>
    <w:rsid w:val="00B60D2E"/>
    <w:rsid w:val="00B60DD5"/>
    <w:rsid w:val="00B60E31"/>
    <w:rsid w:val="00B60E39"/>
    <w:rsid w:val="00B61081"/>
    <w:rsid w:val="00B611A4"/>
    <w:rsid w:val="00B61303"/>
    <w:rsid w:val="00B61674"/>
    <w:rsid w:val="00B6170A"/>
    <w:rsid w:val="00B618CB"/>
    <w:rsid w:val="00B6190E"/>
    <w:rsid w:val="00B61965"/>
    <w:rsid w:val="00B619AA"/>
    <w:rsid w:val="00B61A5E"/>
    <w:rsid w:val="00B61AD9"/>
    <w:rsid w:val="00B61B3F"/>
    <w:rsid w:val="00B61B56"/>
    <w:rsid w:val="00B61C39"/>
    <w:rsid w:val="00B61C95"/>
    <w:rsid w:val="00B61D0B"/>
    <w:rsid w:val="00B61DF4"/>
    <w:rsid w:val="00B61E53"/>
    <w:rsid w:val="00B61EF2"/>
    <w:rsid w:val="00B6223D"/>
    <w:rsid w:val="00B6228B"/>
    <w:rsid w:val="00B622D4"/>
    <w:rsid w:val="00B62421"/>
    <w:rsid w:val="00B62469"/>
    <w:rsid w:val="00B62584"/>
    <w:rsid w:val="00B6259E"/>
    <w:rsid w:val="00B62645"/>
    <w:rsid w:val="00B62741"/>
    <w:rsid w:val="00B62790"/>
    <w:rsid w:val="00B627E2"/>
    <w:rsid w:val="00B628E1"/>
    <w:rsid w:val="00B6291F"/>
    <w:rsid w:val="00B62960"/>
    <w:rsid w:val="00B62A29"/>
    <w:rsid w:val="00B62AD3"/>
    <w:rsid w:val="00B62ADC"/>
    <w:rsid w:val="00B62C61"/>
    <w:rsid w:val="00B62CFC"/>
    <w:rsid w:val="00B62DB3"/>
    <w:rsid w:val="00B62ECF"/>
    <w:rsid w:val="00B6309E"/>
    <w:rsid w:val="00B6318C"/>
    <w:rsid w:val="00B631D3"/>
    <w:rsid w:val="00B63238"/>
    <w:rsid w:val="00B63469"/>
    <w:rsid w:val="00B634CD"/>
    <w:rsid w:val="00B6352D"/>
    <w:rsid w:val="00B63636"/>
    <w:rsid w:val="00B6363E"/>
    <w:rsid w:val="00B6397A"/>
    <w:rsid w:val="00B63A2C"/>
    <w:rsid w:val="00B63C02"/>
    <w:rsid w:val="00B63C8D"/>
    <w:rsid w:val="00B63DC9"/>
    <w:rsid w:val="00B63DE7"/>
    <w:rsid w:val="00B64005"/>
    <w:rsid w:val="00B640A5"/>
    <w:rsid w:val="00B642D9"/>
    <w:rsid w:val="00B64354"/>
    <w:rsid w:val="00B6438B"/>
    <w:rsid w:val="00B6442A"/>
    <w:rsid w:val="00B64487"/>
    <w:rsid w:val="00B6462E"/>
    <w:rsid w:val="00B64775"/>
    <w:rsid w:val="00B648E4"/>
    <w:rsid w:val="00B64923"/>
    <w:rsid w:val="00B64A6F"/>
    <w:rsid w:val="00B64B60"/>
    <w:rsid w:val="00B64C17"/>
    <w:rsid w:val="00B64C7C"/>
    <w:rsid w:val="00B65370"/>
    <w:rsid w:val="00B653D0"/>
    <w:rsid w:val="00B654B5"/>
    <w:rsid w:val="00B654EE"/>
    <w:rsid w:val="00B6554A"/>
    <w:rsid w:val="00B65568"/>
    <w:rsid w:val="00B6562A"/>
    <w:rsid w:val="00B6573B"/>
    <w:rsid w:val="00B6581F"/>
    <w:rsid w:val="00B65855"/>
    <w:rsid w:val="00B659C3"/>
    <w:rsid w:val="00B65A2C"/>
    <w:rsid w:val="00B65A41"/>
    <w:rsid w:val="00B65A4C"/>
    <w:rsid w:val="00B65AE4"/>
    <w:rsid w:val="00B65B9B"/>
    <w:rsid w:val="00B65BED"/>
    <w:rsid w:val="00B65D2B"/>
    <w:rsid w:val="00B65EB9"/>
    <w:rsid w:val="00B65F6F"/>
    <w:rsid w:val="00B6605E"/>
    <w:rsid w:val="00B660B5"/>
    <w:rsid w:val="00B66106"/>
    <w:rsid w:val="00B662CD"/>
    <w:rsid w:val="00B662F0"/>
    <w:rsid w:val="00B66301"/>
    <w:rsid w:val="00B66328"/>
    <w:rsid w:val="00B66348"/>
    <w:rsid w:val="00B664AA"/>
    <w:rsid w:val="00B664E7"/>
    <w:rsid w:val="00B666FB"/>
    <w:rsid w:val="00B66750"/>
    <w:rsid w:val="00B667FA"/>
    <w:rsid w:val="00B6693C"/>
    <w:rsid w:val="00B66986"/>
    <w:rsid w:val="00B66A8A"/>
    <w:rsid w:val="00B66BBB"/>
    <w:rsid w:val="00B66C33"/>
    <w:rsid w:val="00B66C47"/>
    <w:rsid w:val="00B66CF1"/>
    <w:rsid w:val="00B66D53"/>
    <w:rsid w:val="00B66EA4"/>
    <w:rsid w:val="00B66F74"/>
    <w:rsid w:val="00B66FAA"/>
    <w:rsid w:val="00B67038"/>
    <w:rsid w:val="00B670B0"/>
    <w:rsid w:val="00B6721B"/>
    <w:rsid w:val="00B67305"/>
    <w:rsid w:val="00B673C2"/>
    <w:rsid w:val="00B673F7"/>
    <w:rsid w:val="00B67444"/>
    <w:rsid w:val="00B67564"/>
    <w:rsid w:val="00B6760A"/>
    <w:rsid w:val="00B67648"/>
    <w:rsid w:val="00B67768"/>
    <w:rsid w:val="00B677D8"/>
    <w:rsid w:val="00B678D7"/>
    <w:rsid w:val="00B67BED"/>
    <w:rsid w:val="00B67C20"/>
    <w:rsid w:val="00B67C42"/>
    <w:rsid w:val="00B67CB3"/>
    <w:rsid w:val="00B67DA1"/>
    <w:rsid w:val="00B67F56"/>
    <w:rsid w:val="00B67FD7"/>
    <w:rsid w:val="00B70015"/>
    <w:rsid w:val="00B70159"/>
    <w:rsid w:val="00B70310"/>
    <w:rsid w:val="00B7032C"/>
    <w:rsid w:val="00B70449"/>
    <w:rsid w:val="00B704F4"/>
    <w:rsid w:val="00B7052F"/>
    <w:rsid w:val="00B706D0"/>
    <w:rsid w:val="00B706FD"/>
    <w:rsid w:val="00B70707"/>
    <w:rsid w:val="00B708F8"/>
    <w:rsid w:val="00B708FB"/>
    <w:rsid w:val="00B709CB"/>
    <w:rsid w:val="00B70A04"/>
    <w:rsid w:val="00B70B99"/>
    <w:rsid w:val="00B70BDB"/>
    <w:rsid w:val="00B70C00"/>
    <w:rsid w:val="00B70C18"/>
    <w:rsid w:val="00B70DBA"/>
    <w:rsid w:val="00B70EE1"/>
    <w:rsid w:val="00B70FC1"/>
    <w:rsid w:val="00B710F3"/>
    <w:rsid w:val="00B71132"/>
    <w:rsid w:val="00B712C2"/>
    <w:rsid w:val="00B713CD"/>
    <w:rsid w:val="00B71485"/>
    <w:rsid w:val="00B7149C"/>
    <w:rsid w:val="00B714E0"/>
    <w:rsid w:val="00B715DC"/>
    <w:rsid w:val="00B716C7"/>
    <w:rsid w:val="00B7172A"/>
    <w:rsid w:val="00B717BD"/>
    <w:rsid w:val="00B719E3"/>
    <w:rsid w:val="00B71ACA"/>
    <w:rsid w:val="00B71B90"/>
    <w:rsid w:val="00B71BDF"/>
    <w:rsid w:val="00B71C8C"/>
    <w:rsid w:val="00B71D3B"/>
    <w:rsid w:val="00B71DBD"/>
    <w:rsid w:val="00B71E5B"/>
    <w:rsid w:val="00B71FC0"/>
    <w:rsid w:val="00B72096"/>
    <w:rsid w:val="00B720E3"/>
    <w:rsid w:val="00B7238C"/>
    <w:rsid w:val="00B723F2"/>
    <w:rsid w:val="00B7241E"/>
    <w:rsid w:val="00B7248A"/>
    <w:rsid w:val="00B725B4"/>
    <w:rsid w:val="00B725C5"/>
    <w:rsid w:val="00B7288D"/>
    <w:rsid w:val="00B72AB2"/>
    <w:rsid w:val="00B72C11"/>
    <w:rsid w:val="00B72D21"/>
    <w:rsid w:val="00B72E88"/>
    <w:rsid w:val="00B72EBC"/>
    <w:rsid w:val="00B72EC1"/>
    <w:rsid w:val="00B72F2F"/>
    <w:rsid w:val="00B73140"/>
    <w:rsid w:val="00B7323D"/>
    <w:rsid w:val="00B7339B"/>
    <w:rsid w:val="00B7340E"/>
    <w:rsid w:val="00B735C5"/>
    <w:rsid w:val="00B73600"/>
    <w:rsid w:val="00B73660"/>
    <w:rsid w:val="00B73668"/>
    <w:rsid w:val="00B73694"/>
    <w:rsid w:val="00B7378E"/>
    <w:rsid w:val="00B73843"/>
    <w:rsid w:val="00B738F6"/>
    <w:rsid w:val="00B73916"/>
    <w:rsid w:val="00B73A63"/>
    <w:rsid w:val="00B73AAA"/>
    <w:rsid w:val="00B73B79"/>
    <w:rsid w:val="00B73BEB"/>
    <w:rsid w:val="00B73C4D"/>
    <w:rsid w:val="00B73DF7"/>
    <w:rsid w:val="00B73E24"/>
    <w:rsid w:val="00B73FC9"/>
    <w:rsid w:val="00B7400D"/>
    <w:rsid w:val="00B7401E"/>
    <w:rsid w:val="00B74120"/>
    <w:rsid w:val="00B742EB"/>
    <w:rsid w:val="00B743B7"/>
    <w:rsid w:val="00B743DE"/>
    <w:rsid w:val="00B7463D"/>
    <w:rsid w:val="00B746AA"/>
    <w:rsid w:val="00B74794"/>
    <w:rsid w:val="00B747AE"/>
    <w:rsid w:val="00B74835"/>
    <w:rsid w:val="00B7485E"/>
    <w:rsid w:val="00B748ED"/>
    <w:rsid w:val="00B74A98"/>
    <w:rsid w:val="00B74C54"/>
    <w:rsid w:val="00B74D5D"/>
    <w:rsid w:val="00B74DBA"/>
    <w:rsid w:val="00B74DBD"/>
    <w:rsid w:val="00B74E33"/>
    <w:rsid w:val="00B7526C"/>
    <w:rsid w:val="00B752A5"/>
    <w:rsid w:val="00B752A9"/>
    <w:rsid w:val="00B7536C"/>
    <w:rsid w:val="00B754AA"/>
    <w:rsid w:val="00B754EC"/>
    <w:rsid w:val="00B754F7"/>
    <w:rsid w:val="00B75516"/>
    <w:rsid w:val="00B75598"/>
    <w:rsid w:val="00B75642"/>
    <w:rsid w:val="00B757FE"/>
    <w:rsid w:val="00B75840"/>
    <w:rsid w:val="00B75868"/>
    <w:rsid w:val="00B75916"/>
    <w:rsid w:val="00B759E9"/>
    <w:rsid w:val="00B75B30"/>
    <w:rsid w:val="00B75B4D"/>
    <w:rsid w:val="00B75B66"/>
    <w:rsid w:val="00B75B9A"/>
    <w:rsid w:val="00B75BFE"/>
    <w:rsid w:val="00B75C0D"/>
    <w:rsid w:val="00B75CB6"/>
    <w:rsid w:val="00B75D4F"/>
    <w:rsid w:val="00B75DCF"/>
    <w:rsid w:val="00B75E67"/>
    <w:rsid w:val="00B75F1B"/>
    <w:rsid w:val="00B761D3"/>
    <w:rsid w:val="00B762FE"/>
    <w:rsid w:val="00B76532"/>
    <w:rsid w:val="00B7655A"/>
    <w:rsid w:val="00B7655B"/>
    <w:rsid w:val="00B76655"/>
    <w:rsid w:val="00B766E2"/>
    <w:rsid w:val="00B767AE"/>
    <w:rsid w:val="00B768EB"/>
    <w:rsid w:val="00B76983"/>
    <w:rsid w:val="00B76985"/>
    <w:rsid w:val="00B76AA2"/>
    <w:rsid w:val="00B76B06"/>
    <w:rsid w:val="00B76B4B"/>
    <w:rsid w:val="00B76DC4"/>
    <w:rsid w:val="00B76E42"/>
    <w:rsid w:val="00B76FEC"/>
    <w:rsid w:val="00B77018"/>
    <w:rsid w:val="00B7705B"/>
    <w:rsid w:val="00B77144"/>
    <w:rsid w:val="00B773A1"/>
    <w:rsid w:val="00B774AC"/>
    <w:rsid w:val="00B775AA"/>
    <w:rsid w:val="00B775EB"/>
    <w:rsid w:val="00B77719"/>
    <w:rsid w:val="00B77831"/>
    <w:rsid w:val="00B778CE"/>
    <w:rsid w:val="00B77959"/>
    <w:rsid w:val="00B779CA"/>
    <w:rsid w:val="00B779D9"/>
    <w:rsid w:val="00B779F3"/>
    <w:rsid w:val="00B77AB1"/>
    <w:rsid w:val="00B77AFB"/>
    <w:rsid w:val="00B77B46"/>
    <w:rsid w:val="00B77BC2"/>
    <w:rsid w:val="00B77BCD"/>
    <w:rsid w:val="00B77C28"/>
    <w:rsid w:val="00B77CE7"/>
    <w:rsid w:val="00B77D40"/>
    <w:rsid w:val="00B77D48"/>
    <w:rsid w:val="00B77D5A"/>
    <w:rsid w:val="00B77DBC"/>
    <w:rsid w:val="00B77EB2"/>
    <w:rsid w:val="00B77ECD"/>
    <w:rsid w:val="00B77EFB"/>
    <w:rsid w:val="00B77F18"/>
    <w:rsid w:val="00B77F34"/>
    <w:rsid w:val="00B80008"/>
    <w:rsid w:val="00B80025"/>
    <w:rsid w:val="00B800EE"/>
    <w:rsid w:val="00B80122"/>
    <w:rsid w:val="00B80189"/>
    <w:rsid w:val="00B801AE"/>
    <w:rsid w:val="00B80238"/>
    <w:rsid w:val="00B803B5"/>
    <w:rsid w:val="00B8050C"/>
    <w:rsid w:val="00B805A7"/>
    <w:rsid w:val="00B806CB"/>
    <w:rsid w:val="00B807AF"/>
    <w:rsid w:val="00B80840"/>
    <w:rsid w:val="00B80847"/>
    <w:rsid w:val="00B8084B"/>
    <w:rsid w:val="00B80968"/>
    <w:rsid w:val="00B809D9"/>
    <w:rsid w:val="00B80A8E"/>
    <w:rsid w:val="00B80AAE"/>
    <w:rsid w:val="00B80B67"/>
    <w:rsid w:val="00B80B78"/>
    <w:rsid w:val="00B80BB5"/>
    <w:rsid w:val="00B80C12"/>
    <w:rsid w:val="00B80C7E"/>
    <w:rsid w:val="00B80DA4"/>
    <w:rsid w:val="00B80ED5"/>
    <w:rsid w:val="00B80F3E"/>
    <w:rsid w:val="00B80F86"/>
    <w:rsid w:val="00B80FAC"/>
    <w:rsid w:val="00B80FF3"/>
    <w:rsid w:val="00B81078"/>
    <w:rsid w:val="00B810D5"/>
    <w:rsid w:val="00B8122F"/>
    <w:rsid w:val="00B81300"/>
    <w:rsid w:val="00B81308"/>
    <w:rsid w:val="00B81377"/>
    <w:rsid w:val="00B813BB"/>
    <w:rsid w:val="00B81471"/>
    <w:rsid w:val="00B814C6"/>
    <w:rsid w:val="00B81730"/>
    <w:rsid w:val="00B81764"/>
    <w:rsid w:val="00B817F6"/>
    <w:rsid w:val="00B81830"/>
    <w:rsid w:val="00B8185E"/>
    <w:rsid w:val="00B818E4"/>
    <w:rsid w:val="00B819BA"/>
    <w:rsid w:val="00B81C41"/>
    <w:rsid w:val="00B81CA3"/>
    <w:rsid w:val="00B81CEA"/>
    <w:rsid w:val="00B81D4F"/>
    <w:rsid w:val="00B81E37"/>
    <w:rsid w:val="00B81E5D"/>
    <w:rsid w:val="00B820EB"/>
    <w:rsid w:val="00B821C6"/>
    <w:rsid w:val="00B822D3"/>
    <w:rsid w:val="00B825CF"/>
    <w:rsid w:val="00B827B1"/>
    <w:rsid w:val="00B82A0C"/>
    <w:rsid w:val="00B82A41"/>
    <w:rsid w:val="00B82BBA"/>
    <w:rsid w:val="00B82DED"/>
    <w:rsid w:val="00B82E4E"/>
    <w:rsid w:val="00B8313C"/>
    <w:rsid w:val="00B831BA"/>
    <w:rsid w:val="00B831C7"/>
    <w:rsid w:val="00B8334A"/>
    <w:rsid w:val="00B83380"/>
    <w:rsid w:val="00B83480"/>
    <w:rsid w:val="00B83601"/>
    <w:rsid w:val="00B83604"/>
    <w:rsid w:val="00B83633"/>
    <w:rsid w:val="00B836B3"/>
    <w:rsid w:val="00B8373E"/>
    <w:rsid w:val="00B83767"/>
    <w:rsid w:val="00B8379A"/>
    <w:rsid w:val="00B83A68"/>
    <w:rsid w:val="00B83A71"/>
    <w:rsid w:val="00B83AA5"/>
    <w:rsid w:val="00B83B21"/>
    <w:rsid w:val="00B83B22"/>
    <w:rsid w:val="00B83DD5"/>
    <w:rsid w:val="00B83FA3"/>
    <w:rsid w:val="00B84000"/>
    <w:rsid w:val="00B84045"/>
    <w:rsid w:val="00B84071"/>
    <w:rsid w:val="00B840E8"/>
    <w:rsid w:val="00B842D4"/>
    <w:rsid w:val="00B84347"/>
    <w:rsid w:val="00B8438B"/>
    <w:rsid w:val="00B843E2"/>
    <w:rsid w:val="00B8454E"/>
    <w:rsid w:val="00B84632"/>
    <w:rsid w:val="00B84841"/>
    <w:rsid w:val="00B849BC"/>
    <w:rsid w:val="00B84B8B"/>
    <w:rsid w:val="00B84C9B"/>
    <w:rsid w:val="00B84CCA"/>
    <w:rsid w:val="00B84E07"/>
    <w:rsid w:val="00B84ECA"/>
    <w:rsid w:val="00B84FE8"/>
    <w:rsid w:val="00B8500D"/>
    <w:rsid w:val="00B851C8"/>
    <w:rsid w:val="00B8526D"/>
    <w:rsid w:val="00B852A5"/>
    <w:rsid w:val="00B8538D"/>
    <w:rsid w:val="00B853AF"/>
    <w:rsid w:val="00B853D5"/>
    <w:rsid w:val="00B85434"/>
    <w:rsid w:val="00B8558C"/>
    <w:rsid w:val="00B856EC"/>
    <w:rsid w:val="00B8577F"/>
    <w:rsid w:val="00B85978"/>
    <w:rsid w:val="00B85982"/>
    <w:rsid w:val="00B85A42"/>
    <w:rsid w:val="00B85E63"/>
    <w:rsid w:val="00B85ED6"/>
    <w:rsid w:val="00B86117"/>
    <w:rsid w:val="00B86134"/>
    <w:rsid w:val="00B86234"/>
    <w:rsid w:val="00B863E6"/>
    <w:rsid w:val="00B863EE"/>
    <w:rsid w:val="00B86411"/>
    <w:rsid w:val="00B8645A"/>
    <w:rsid w:val="00B864E8"/>
    <w:rsid w:val="00B865AB"/>
    <w:rsid w:val="00B867E9"/>
    <w:rsid w:val="00B86851"/>
    <w:rsid w:val="00B86893"/>
    <w:rsid w:val="00B868E6"/>
    <w:rsid w:val="00B869EC"/>
    <w:rsid w:val="00B86B80"/>
    <w:rsid w:val="00B86BB8"/>
    <w:rsid w:val="00B86C92"/>
    <w:rsid w:val="00B86C9C"/>
    <w:rsid w:val="00B86D91"/>
    <w:rsid w:val="00B86D93"/>
    <w:rsid w:val="00B86F7E"/>
    <w:rsid w:val="00B87134"/>
    <w:rsid w:val="00B87214"/>
    <w:rsid w:val="00B8724F"/>
    <w:rsid w:val="00B8754A"/>
    <w:rsid w:val="00B8754F"/>
    <w:rsid w:val="00B876AF"/>
    <w:rsid w:val="00B8771A"/>
    <w:rsid w:val="00B8774B"/>
    <w:rsid w:val="00B878B1"/>
    <w:rsid w:val="00B8792A"/>
    <w:rsid w:val="00B8797D"/>
    <w:rsid w:val="00B879F7"/>
    <w:rsid w:val="00B87AA5"/>
    <w:rsid w:val="00B87C20"/>
    <w:rsid w:val="00B87C8E"/>
    <w:rsid w:val="00B87D76"/>
    <w:rsid w:val="00B87DFE"/>
    <w:rsid w:val="00B87E00"/>
    <w:rsid w:val="00B900C8"/>
    <w:rsid w:val="00B9039E"/>
    <w:rsid w:val="00B9040B"/>
    <w:rsid w:val="00B90527"/>
    <w:rsid w:val="00B90530"/>
    <w:rsid w:val="00B9059D"/>
    <w:rsid w:val="00B905E5"/>
    <w:rsid w:val="00B90755"/>
    <w:rsid w:val="00B907C8"/>
    <w:rsid w:val="00B908D0"/>
    <w:rsid w:val="00B909FB"/>
    <w:rsid w:val="00B90A13"/>
    <w:rsid w:val="00B90B64"/>
    <w:rsid w:val="00B90BEF"/>
    <w:rsid w:val="00B90EE1"/>
    <w:rsid w:val="00B90F04"/>
    <w:rsid w:val="00B90FC3"/>
    <w:rsid w:val="00B90FC5"/>
    <w:rsid w:val="00B90FEF"/>
    <w:rsid w:val="00B90FF3"/>
    <w:rsid w:val="00B91005"/>
    <w:rsid w:val="00B91119"/>
    <w:rsid w:val="00B9118E"/>
    <w:rsid w:val="00B9119B"/>
    <w:rsid w:val="00B91417"/>
    <w:rsid w:val="00B91424"/>
    <w:rsid w:val="00B914E2"/>
    <w:rsid w:val="00B9159C"/>
    <w:rsid w:val="00B91707"/>
    <w:rsid w:val="00B917F5"/>
    <w:rsid w:val="00B917FE"/>
    <w:rsid w:val="00B91848"/>
    <w:rsid w:val="00B91923"/>
    <w:rsid w:val="00B91B82"/>
    <w:rsid w:val="00B91BB1"/>
    <w:rsid w:val="00B91C94"/>
    <w:rsid w:val="00B91D30"/>
    <w:rsid w:val="00B91ED6"/>
    <w:rsid w:val="00B91EDE"/>
    <w:rsid w:val="00B91F71"/>
    <w:rsid w:val="00B91FE8"/>
    <w:rsid w:val="00B92213"/>
    <w:rsid w:val="00B923D4"/>
    <w:rsid w:val="00B92458"/>
    <w:rsid w:val="00B926F0"/>
    <w:rsid w:val="00B92862"/>
    <w:rsid w:val="00B9295F"/>
    <w:rsid w:val="00B92A1B"/>
    <w:rsid w:val="00B92A21"/>
    <w:rsid w:val="00B92B0E"/>
    <w:rsid w:val="00B92EB9"/>
    <w:rsid w:val="00B93061"/>
    <w:rsid w:val="00B9324E"/>
    <w:rsid w:val="00B932EC"/>
    <w:rsid w:val="00B9337F"/>
    <w:rsid w:val="00B934CE"/>
    <w:rsid w:val="00B934E1"/>
    <w:rsid w:val="00B935DA"/>
    <w:rsid w:val="00B935DB"/>
    <w:rsid w:val="00B9366B"/>
    <w:rsid w:val="00B93671"/>
    <w:rsid w:val="00B93684"/>
    <w:rsid w:val="00B937BD"/>
    <w:rsid w:val="00B9380C"/>
    <w:rsid w:val="00B93830"/>
    <w:rsid w:val="00B9383A"/>
    <w:rsid w:val="00B938F4"/>
    <w:rsid w:val="00B93956"/>
    <w:rsid w:val="00B939E8"/>
    <w:rsid w:val="00B93BF7"/>
    <w:rsid w:val="00B93C37"/>
    <w:rsid w:val="00B93D2A"/>
    <w:rsid w:val="00B93DE3"/>
    <w:rsid w:val="00B93FB6"/>
    <w:rsid w:val="00B941A6"/>
    <w:rsid w:val="00B942DF"/>
    <w:rsid w:val="00B94333"/>
    <w:rsid w:val="00B94479"/>
    <w:rsid w:val="00B944CC"/>
    <w:rsid w:val="00B94563"/>
    <w:rsid w:val="00B945C1"/>
    <w:rsid w:val="00B9466F"/>
    <w:rsid w:val="00B946B8"/>
    <w:rsid w:val="00B94788"/>
    <w:rsid w:val="00B947B5"/>
    <w:rsid w:val="00B94854"/>
    <w:rsid w:val="00B949F7"/>
    <w:rsid w:val="00B94BF5"/>
    <w:rsid w:val="00B94D3A"/>
    <w:rsid w:val="00B94D75"/>
    <w:rsid w:val="00B94DF0"/>
    <w:rsid w:val="00B94F14"/>
    <w:rsid w:val="00B94F5D"/>
    <w:rsid w:val="00B94FA9"/>
    <w:rsid w:val="00B94FD4"/>
    <w:rsid w:val="00B951A2"/>
    <w:rsid w:val="00B9528F"/>
    <w:rsid w:val="00B952A7"/>
    <w:rsid w:val="00B952B5"/>
    <w:rsid w:val="00B953F1"/>
    <w:rsid w:val="00B954C7"/>
    <w:rsid w:val="00B954F5"/>
    <w:rsid w:val="00B9573A"/>
    <w:rsid w:val="00B95A40"/>
    <w:rsid w:val="00B95A42"/>
    <w:rsid w:val="00B95A63"/>
    <w:rsid w:val="00B95B8B"/>
    <w:rsid w:val="00B95BB2"/>
    <w:rsid w:val="00B95C8B"/>
    <w:rsid w:val="00B95C90"/>
    <w:rsid w:val="00B95D3D"/>
    <w:rsid w:val="00B95D80"/>
    <w:rsid w:val="00B95E1B"/>
    <w:rsid w:val="00B95E56"/>
    <w:rsid w:val="00B95EA9"/>
    <w:rsid w:val="00B96182"/>
    <w:rsid w:val="00B96223"/>
    <w:rsid w:val="00B9627A"/>
    <w:rsid w:val="00B962A6"/>
    <w:rsid w:val="00B9632E"/>
    <w:rsid w:val="00B963D1"/>
    <w:rsid w:val="00B964F7"/>
    <w:rsid w:val="00B96520"/>
    <w:rsid w:val="00B96589"/>
    <w:rsid w:val="00B9664B"/>
    <w:rsid w:val="00B96676"/>
    <w:rsid w:val="00B966BB"/>
    <w:rsid w:val="00B9687F"/>
    <w:rsid w:val="00B969B1"/>
    <w:rsid w:val="00B96A25"/>
    <w:rsid w:val="00B96AFB"/>
    <w:rsid w:val="00B96B5F"/>
    <w:rsid w:val="00B96B9F"/>
    <w:rsid w:val="00B96BC2"/>
    <w:rsid w:val="00B96CE7"/>
    <w:rsid w:val="00B96D37"/>
    <w:rsid w:val="00B96F85"/>
    <w:rsid w:val="00B96F98"/>
    <w:rsid w:val="00B97042"/>
    <w:rsid w:val="00B97075"/>
    <w:rsid w:val="00B97443"/>
    <w:rsid w:val="00B9747F"/>
    <w:rsid w:val="00B97696"/>
    <w:rsid w:val="00B976B6"/>
    <w:rsid w:val="00B9774E"/>
    <w:rsid w:val="00B9786C"/>
    <w:rsid w:val="00B9791D"/>
    <w:rsid w:val="00B9798B"/>
    <w:rsid w:val="00B979C6"/>
    <w:rsid w:val="00B97A33"/>
    <w:rsid w:val="00B97B39"/>
    <w:rsid w:val="00B97D54"/>
    <w:rsid w:val="00B97D8A"/>
    <w:rsid w:val="00B97E64"/>
    <w:rsid w:val="00B97EBA"/>
    <w:rsid w:val="00B97F62"/>
    <w:rsid w:val="00BA0001"/>
    <w:rsid w:val="00BA00FE"/>
    <w:rsid w:val="00BA023B"/>
    <w:rsid w:val="00BA0345"/>
    <w:rsid w:val="00BA044F"/>
    <w:rsid w:val="00BA0488"/>
    <w:rsid w:val="00BA064D"/>
    <w:rsid w:val="00BA0677"/>
    <w:rsid w:val="00BA0915"/>
    <w:rsid w:val="00BA0AB5"/>
    <w:rsid w:val="00BA0BAB"/>
    <w:rsid w:val="00BA0BD0"/>
    <w:rsid w:val="00BA0CB3"/>
    <w:rsid w:val="00BA0D91"/>
    <w:rsid w:val="00BA0D94"/>
    <w:rsid w:val="00BA1041"/>
    <w:rsid w:val="00BA10A3"/>
    <w:rsid w:val="00BA10B9"/>
    <w:rsid w:val="00BA1420"/>
    <w:rsid w:val="00BA142E"/>
    <w:rsid w:val="00BA1579"/>
    <w:rsid w:val="00BA166F"/>
    <w:rsid w:val="00BA1690"/>
    <w:rsid w:val="00BA16D4"/>
    <w:rsid w:val="00BA172F"/>
    <w:rsid w:val="00BA180B"/>
    <w:rsid w:val="00BA18DE"/>
    <w:rsid w:val="00BA1A1B"/>
    <w:rsid w:val="00BA1CD5"/>
    <w:rsid w:val="00BA1CFE"/>
    <w:rsid w:val="00BA1D02"/>
    <w:rsid w:val="00BA1D25"/>
    <w:rsid w:val="00BA1D6D"/>
    <w:rsid w:val="00BA1EE2"/>
    <w:rsid w:val="00BA1F50"/>
    <w:rsid w:val="00BA2035"/>
    <w:rsid w:val="00BA2057"/>
    <w:rsid w:val="00BA20FE"/>
    <w:rsid w:val="00BA2179"/>
    <w:rsid w:val="00BA22BC"/>
    <w:rsid w:val="00BA22C9"/>
    <w:rsid w:val="00BA238D"/>
    <w:rsid w:val="00BA23E2"/>
    <w:rsid w:val="00BA23FB"/>
    <w:rsid w:val="00BA2468"/>
    <w:rsid w:val="00BA24A9"/>
    <w:rsid w:val="00BA24CD"/>
    <w:rsid w:val="00BA2680"/>
    <w:rsid w:val="00BA26F9"/>
    <w:rsid w:val="00BA29E6"/>
    <w:rsid w:val="00BA2A04"/>
    <w:rsid w:val="00BA2A41"/>
    <w:rsid w:val="00BA2D01"/>
    <w:rsid w:val="00BA2D99"/>
    <w:rsid w:val="00BA2E08"/>
    <w:rsid w:val="00BA2E82"/>
    <w:rsid w:val="00BA2F47"/>
    <w:rsid w:val="00BA305C"/>
    <w:rsid w:val="00BA3102"/>
    <w:rsid w:val="00BA3106"/>
    <w:rsid w:val="00BA318E"/>
    <w:rsid w:val="00BA32AF"/>
    <w:rsid w:val="00BA330B"/>
    <w:rsid w:val="00BA333D"/>
    <w:rsid w:val="00BA3342"/>
    <w:rsid w:val="00BA3356"/>
    <w:rsid w:val="00BA35AC"/>
    <w:rsid w:val="00BA3622"/>
    <w:rsid w:val="00BA3699"/>
    <w:rsid w:val="00BA36B7"/>
    <w:rsid w:val="00BA3733"/>
    <w:rsid w:val="00BA3758"/>
    <w:rsid w:val="00BA37A5"/>
    <w:rsid w:val="00BA3883"/>
    <w:rsid w:val="00BA3943"/>
    <w:rsid w:val="00BA3A94"/>
    <w:rsid w:val="00BA3C21"/>
    <w:rsid w:val="00BA3DED"/>
    <w:rsid w:val="00BA3E85"/>
    <w:rsid w:val="00BA3E8F"/>
    <w:rsid w:val="00BA3E92"/>
    <w:rsid w:val="00BA3F15"/>
    <w:rsid w:val="00BA3F21"/>
    <w:rsid w:val="00BA3FF9"/>
    <w:rsid w:val="00BA4012"/>
    <w:rsid w:val="00BA4085"/>
    <w:rsid w:val="00BA4189"/>
    <w:rsid w:val="00BA41A9"/>
    <w:rsid w:val="00BA41DB"/>
    <w:rsid w:val="00BA44E4"/>
    <w:rsid w:val="00BA4679"/>
    <w:rsid w:val="00BA478E"/>
    <w:rsid w:val="00BA47A0"/>
    <w:rsid w:val="00BA482D"/>
    <w:rsid w:val="00BA48B3"/>
    <w:rsid w:val="00BA48DB"/>
    <w:rsid w:val="00BA4924"/>
    <w:rsid w:val="00BA4B23"/>
    <w:rsid w:val="00BA4B3B"/>
    <w:rsid w:val="00BA4B7E"/>
    <w:rsid w:val="00BA4B99"/>
    <w:rsid w:val="00BA4BDB"/>
    <w:rsid w:val="00BA4C45"/>
    <w:rsid w:val="00BA4C51"/>
    <w:rsid w:val="00BA4C69"/>
    <w:rsid w:val="00BA4D42"/>
    <w:rsid w:val="00BA4D52"/>
    <w:rsid w:val="00BA4DB0"/>
    <w:rsid w:val="00BA4EB0"/>
    <w:rsid w:val="00BA5166"/>
    <w:rsid w:val="00BA52E6"/>
    <w:rsid w:val="00BA53D8"/>
    <w:rsid w:val="00BA5447"/>
    <w:rsid w:val="00BA5761"/>
    <w:rsid w:val="00BA5977"/>
    <w:rsid w:val="00BA5A41"/>
    <w:rsid w:val="00BA5B0E"/>
    <w:rsid w:val="00BA5B5C"/>
    <w:rsid w:val="00BA5BC9"/>
    <w:rsid w:val="00BA5BE4"/>
    <w:rsid w:val="00BA5C5A"/>
    <w:rsid w:val="00BA5D4C"/>
    <w:rsid w:val="00BA5DC0"/>
    <w:rsid w:val="00BA5DDA"/>
    <w:rsid w:val="00BA5DF4"/>
    <w:rsid w:val="00BA5E27"/>
    <w:rsid w:val="00BA5E52"/>
    <w:rsid w:val="00BA5E6D"/>
    <w:rsid w:val="00BA5E90"/>
    <w:rsid w:val="00BA5FB1"/>
    <w:rsid w:val="00BA6059"/>
    <w:rsid w:val="00BA605E"/>
    <w:rsid w:val="00BA616C"/>
    <w:rsid w:val="00BA6229"/>
    <w:rsid w:val="00BA6258"/>
    <w:rsid w:val="00BA6290"/>
    <w:rsid w:val="00BA62A2"/>
    <w:rsid w:val="00BA62BA"/>
    <w:rsid w:val="00BA633B"/>
    <w:rsid w:val="00BA656D"/>
    <w:rsid w:val="00BA6579"/>
    <w:rsid w:val="00BA65B7"/>
    <w:rsid w:val="00BA67C6"/>
    <w:rsid w:val="00BA693B"/>
    <w:rsid w:val="00BA6AB2"/>
    <w:rsid w:val="00BA6B12"/>
    <w:rsid w:val="00BA6BCF"/>
    <w:rsid w:val="00BA6CAB"/>
    <w:rsid w:val="00BA6CE3"/>
    <w:rsid w:val="00BA6D05"/>
    <w:rsid w:val="00BA6DB4"/>
    <w:rsid w:val="00BA6E5D"/>
    <w:rsid w:val="00BA6FB4"/>
    <w:rsid w:val="00BA709B"/>
    <w:rsid w:val="00BA70E2"/>
    <w:rsid w:val="00BA72BD"/>
    <w:rsid w:val="00BA72DC"/>
    <w:rsid w:val="00BA7348"/>
    <w:rsid w:val="00BA73D9"/>
    <w:rsid w:val="00BA747B"/>
    <w:rsid w:val="00BA75F3"/>
    <w:rsid w:val="00BA762F"/>
    <w:rsid w:val="00BA79EE"/>
    <w:rsid w:val="00BA79FD"/>
    <w:rsid w:val="00BA7A49"/>
    <w:rsid w:val="00BA7B99"/>
    <w:rsid w:val="00BA7BB5"/>
    <w:rsid w:val="00BA7C1A"/>
    <w:rsid w:val="00BA7C30"/>
    <w:rsid w:val="00BA7C6B"/>
    <w:rsid w:val="00BA7C80"/>
    <w:rsid w:val="00BA7E04"/>
    <w:rsid w:val="00BA7E25"/>
    <w:rsid w:val="00BA7FE9"/>
    <w:rsid w:val="00BB0073"/>
    <w:rsid w:val="00BB00BB"/>
    <w:rsid w:val="00BB0130"/>
    <w:rsid w:val="00BB0137"/>
    <w:rsid w:val="00BB02ED"/>
    <w:rsid w:val="00BB054D"/>
    <w:rsid w:val="00BB063D"/>
    <w:rsid w:val="00BB065A"/>
    <w:rsid w:val="00BB0762"/>
    <w:rsid w:val="00BB07B7"/>
    <w:rsid w:val="00BB0887"/>
    <w:rsid w:val="00BB08BA"/>
    <w:rsid w:val="00BB093E"/>
    <w:rsid w:val="00BB09A4"/>
    <w:rsid w:val="00BB0A73"/>
    <w:rsid w:val="00BB0A95"/>
    <w:rsid w:val="00BB0B43"/>
    <w:rsid w:val="00BB0C21"/>
    <w:rsid w:val="00BB0CA7"/>
    <w:rsid w:val="00BB0CB5"/>
    <w:rsid w:val="00BB0D1E"/>
    <w:rsid w:val="00BB0D5E"/>
    <w:rsid w:val="00BB101F"/>
    <w:rsid w:val="00BB10E5"/>
    <w:rsid w:val="00BB1106"/>
    <w:rsid w:val="00BB116D"/>
    <w:rsid w:val="00BB1198"/>
    <w:rsid w:val="00BB119E"/>
    <w:rsid w:val="00BB1366"/>
    <w:rsid w:val="00BB1534"/>
    <w:rsid w:val="00BB1600"/>
    <w:rsid w:val="00BB161B"/>
    <w:rsid w:val="00BB16BD"/>
    <w:rsid w:val="00BB17DD"/>
    <w:rsid w:val="00BB1926"/>
    <w:rsid w:val="00BB1B37"/>
    <w:rsid w:val="00BB1B52"/>
    <w:rsid w:val="00BB1CB1"/>
    <w:rsid w:val="00BB1D09"/>
    <w:rsid w:val="00BB1D41"/>
    <w:rsid w:val="00BB1D62"/>
    <w:rsid w:val="00BB1E57"/>
    <w:rsid w:val="00BB1F2E"/>
    <w:rsid w:val="00BB1FFC"/>
    <w:rsid w:val="00BB1FFD"/>
    <w:rsid w:val="00BB2127"/>
    <w:rsid w:val="00BB2151"/>
    <w:rsid w:val="00BB2191"/>
    <w:rsid w:val="00BB2221"/>
    <w:rsid w:val="00BB23DD"/>
    <w:rsid w:val="00BB24C5"/>
    <w:rsid w:val="00BB251D"/>
    <w:rsid w:val="00BB25A3"/>
    <w:rsid w:val="00BB26A1"/>
    <w:rsid w:val="00BB26D7"/>
    <w:rsid w:val="00BB26E3"/>
    <w:rsid w:val="00BB273A"/>
    <w:rsid w:val="00BB27F7"/>
    <w:rsid w:val="00BB288D"/>
    <w:rsid w:val="00BB2982"/>
    <w:rsid w:val="00BB29DE"/>
    <w:rsid w:val="00BB2A95"/>
    <w:rsid w:val="00BB2AE9"/>
    <w:rsid w:val="00BB2BAA"/>
    <w:rsid w:val="00BB2C23"/>
    <w:rsid w:val="00BB2C31"/>
    <w:rsid w:val="00BB2D53"/>
    <w:rsid w:val="00BB2DA7"/>
    <w:rsid w:val="00BB2E81"/>
    <w:rsid w:val="00BB2EA3"/>
    <w:rsid w:val="00BB300E"/>
    <w:rsid w:val="00BB300F"/>
    <w:rsid w:val="00BB30E6"/>
    <w:rsid w:val="00BB3162"/>
    <w:rsid w:val="00BB31CD"/>
    <w:rsid w:val="00BB32EC"/>
    <w:rsid w:val="00BB3369"/>
    <w:rsid w:val="00BB3536"/>
    <w:rsid w:val="00BB3574"/>
    <w:rsid w:val="00BB365A"/>
    <w:rsid w:val="00BB370D"/>
    <w:rsid w:val="00BB3731"/>
    <w:rsid w:val="00BB3735"/>
    <w:rsid w:val="00BB38FF"/>
    <w:rsid w:val="00BB390E"/>
    <w:rsid w:val="00BB3962"/>
    <w:rsid w:val="00BB3D11"/>
    <w:rsid w:val="00BB3E1F"/>
    <w:rsid w:val="00BB3F46"/>
    <w:rsid w:val="00BB4075"/>
    <w:rsid w:val="00BB416A"/>
    <w:rsid w:val="00BB41E2"/>
    <w:rsid w:val="00BB42A0"/>
    <w:rsid w:val="00BB4450"/>
    <w:rsid w:val="00BB4617"/>
    <w:rsid w:val="00BB4736"/>
    <w:rsid w:val="00BB49B9"/>
    <w:rsid w:val="00BB4A55"/>
    <w:rsid w:val="00BB4B08"/>
    <w:rsid w:val="00BB4B54"/>
    <w:rsid w:val="00BB4C0B"/>
    <w:rsid w:val="00BB4E3E"/>
    <w:rsid w:val="00BB4E44"/>
    <w:rsid w:val="00BB4E78"/>
    <w:rsid w:val="00BB5000"/>
    <w:rsid w:val="00BB5007"/>
    <w:rsid w:val="00BB5020"/>
    <w:rsid w:val="00BB5160"/>
    <w:rsid w:val="00BB521C"/>
    <w:rsid w:val="00BB523C"/>
    <w:rsid w:val="00BB527F"/>
    <w:rsid w:val="00BB5474"/>
    <w:rsid w:val="00BB5546"/>
    <w:rsid w:val="00BB55BE"/>
    <w:rsid w:val="00BB55DF"/>
    <w:rsid w:val="00BB563D"/>
    <w:rsid w:val="00BB56D5"/>
    <w:rsid w:val="00BB56E3"/>
    <w:rsid w:val="00BB576B"/>
    <w:rsid w:val="00BB57A4"/>
    <w:rsid w:val="00BB57E8"/>
    <w:rsid w:val="00BB5816"/>
    <w:rsid w:val="00BB5894"/>
    <w:rsid w:val="00BB59E5"/>
    <w:rsid w:val="00BB5A22"/>
    <w:rsid w:val="00BB5A42"/>
    <w:rsid w:val="00BB5BFF"/>
    <w:rsid w:val="00BB5E8F"/>
    <w:rsid w:val="00BB5F10"/>
    <w:rsid w:val="00BB61D2"/>
    <w:rsid w:val="00BB61FC"/>
    <w:rsid w:val="00BB6500"/>
    <w:rsid w:val="00BB6634"/>
    <w:rsid w:val="00BB683F"/>
    <w:rsid w:val="00BB68CB"/>
    <w:rsid w:val="00BB6928"/>
    <w:rsid w:val="00BB6A4E"/>
    <w:rsid w:val="00BB6C29"/>
    <w:rsid w:val="00BB6C6E"/>
    <w:rsid w:val="00BB6C83"/>
    <w:rsid w:val="00BB6D67"/>
    <w:rsid w:val="00BB6E19"/>
    <w:rsid w:val="00BB6EF7"/>
    <w:rsid w:val="00BB6F0F"/>
    <w:rsid w:val="00BB6F68"/>
    <w:rsid w:val="00BB70C8"/>
    <w:rsid w:val="00BB72F4"/>
    <w:rsid w:val="00BB74D7"/>
    <w:rsid w:val="00BB7577"/>
    <w:rsid w:val="00BB75BA"/>
    <w:rsid w:val="00BB75CC"/>
    <w:rsid w:val="00BB764B"/>
    <w:rsid w:val="00BB768D"/>
    <w:rsid w:val="00BB76B8"/>
    <w:rsid w:val="00BB76E3"/>
    <w:rsid w:val="00BB77BC"/>
    <w:rsid w:val="00BB7897"/>
    <w:rsid w:val="00BB78CC"/>
    <w:rsid w:val="00BB78F6"/>
    <w:rsid w:val="00BB7AD5"/>
    <w:rsid w:val="00BB7ADA"/>
    <w:rsid w:val="00BB7B70"/>
    <w:rsid w:val="00BB7BB4"/>
    <w:rsid w:val="00BB7CE4"/>
    <w:rsid w:val="00BB7E5D"/>
    <w:rsid w:val="00BB7EF9"/>
    <w:rsid w:val="00BB7FD0"/>
    <w:rsid w:val="00BC0087"/>
    <w:rsid w:val="00BC0185"/>
    <w:rsid w:val="00BC01D3"/>
    <w:rsid w:val="00BC02FE"/>
    <w:rsid w:val="00BC031F"/>
    <w:rsid w:val="00BC03BB"/>
    <w:rsid w:val="00BC071B"/>
    <w:rsid w:val="00BC0808"/>
    <w:rsid w:val="00BC08F1"/>
    <w:rsid w:val="00BC0A17"/>
    <w:rsid w:val="00BC0A53"/>
    <w:rsid w:val="00BC0B44"/>
    <w:rsid w:val="00BC0C11"/>
    <w:rsid w:val="00BC0C59"/>
    <w:rsid w:val="00BC0D37"/>
    <w:rsid w:val="00BC0D69"/>
    <w:rsid w:val="00BC0E60"/>
    <w:rsid w:val="00BC0F2E"/>
    <w:rsid w:val="00BC0F9B"/>
    <w:rsid w:val="00BC1068"/>
    <w:rsid w:val="00BC1122"/>
    <w:rsid w:val="00BC119D"/>
    <w:rsid w:val="00BC148D"/>
    <w:rsid w:val="00BC14C2"/>
    <w:rsid w:val="00BC1505"/>
    <w:rsid w:val="00BC16E6"/>
    <w:rsid w:val="00BC178C"/>
    <w:rsid w:val="00BC1866"/>
    <w:rsid w:val="00BC18DE"/>
    <w:rsid w:val="00BC1966"/>
    <w:rsid w:val="00BC197C"/>
    <w:rsid w:val="00BC1A13"/>
    <w:rsid w:val="00BC1BE4"/>
    <w:rsid w:val="00BC1C85"/>
    <w:rsid w:val="00BC1EB1"/>
    <w:rsid w:val="00BC2079"/>
    <w:rsid w:val="00BC2181"/>
    <w:rsid w:val="00BC2240"/>
    <w:rsid w:val="00BC2287"/>
    <w:rsid w:val="00BC231B"/>
    <w:rsid w:val="00BC24FD"/>
    <w:rsid w:val="00BC261E"/>
    <w:rsid w:val="00BC2670"/>
    <w:rsid w:val="00BC26AD"/>
    <w:rsid w:val="00BC27EE"/>
    <w:rsid w:val="00BC28B3"/>
    <w:rsid w:val="00BC295F"/>
    <w:rsid w:val="00BC29F7"/>
    <w:rsid w:val="00BC2A8B"/>
    <w:rsid w:val="00BC2B1F"/>
    <w:rsid w:val="00BC2BE1"/>
    <w:rsid w:val="00BC2CA1"/>
    <w:rsid w:val="00BC2D57"/>
    <w:rsid w:val="00BC2F74"/>
    <w:rsid w:val="00BC2F8C"/>
    <w:rsid w:val="00BC2FFE"/>
    <w:rsid w:val="00BC3079"/>
    <w:rsid w:val="00BC307F"/>
    <w:rsid w:val="00BC30FF"/>
    <w:rsid w:val="00BC310F"/>
    <w:rsid w:val="00BC3165"/>
    <w:rsid w:val="00BC3350"/>
    <w:rsid w:val="00BC347B"/>
    <w:rsid w:val="00BC35EC"/>
    <w:rsid w:val="00BC35F6"/>
    <w:rsid w:val="00BC3770"/>
    <w:rsid w:val="00BC37B1"/>
    <w:rsid w:val="00BC384D"/>
    <w:rsid w:val="00BC3A6F"/>
    <w:rsid w:val="00BC3B02"/>
    <w:rsid w:val="00BC3B72"/>
    <w:rsid w:val="00BC3BD6"/>
    <w:rsid w:val="00BC3C80"/>
    <w:rsid w:val="00BC3C9E"/>
    <w:rsid w:val="00BC3DF1"/>
    <w:rsid w:val="00BC3E74"/>
    <w:rsid w:val="00BC3EE1"/>
    <w:rsid w:val="00BC3FC3"/>
    <w:rsid w:val="00BC4067"/>
    <w:rsid w:val="00BC422D"/>
    <w:rsid w:val="00BC4472"/>
    <w:rsid w:val="00BC447A"/>
    <w:rsid w:val="00BC44D0"/>
    <w:rsid w:val="00BC4506"/>
    <w:rsid w:val="00BC4549"/>
    <w:rsid w:val="00BC4566"/>
    <w:rsid w:val="00BC477F"/>
    <w:rsid w:val="00BC47FA"/>
    <w:rsid w:val="00BC4813"/>
    <w:rsid w:val="00BC4816"/>
    <w:rsid w:val="00BC4967"/>
    <w:rsid w:val="00BC4A0E"/>
    <w:rsid w:val="00BC4A2A"/>
    <w:rsid w:val="00BC4A34"/>
    <w:rsid w:val="00BC4AC2"/>
    <w:rsid w:val="00BC4AF6"/>
    <w:rsid w:val="00BC4C5E"/>
    <w:rsid w:val="00BC50E4"/>
    <w:rsid w:val="00BC5119"/>
    <w:rsid w:val="00BC51B9"/>
    <w:rsid w:val="00BC51C8"/>
    <w:rsid w:val="00BC5232"/>
    <w:rsid w:val="00BC5399"/>
    <w:rsid w:val="00BC53CA"/>
    <w:rsid w:val="00BC53D8"/>
    <w:rsid w:val="00BC53EB"/>
    <w:rsid w:val="00BC545C"/>
    <w:rsid w:val="00BC5580"/>
    <w:rsid w:val="00BC55D1"/>
    <w:rsid w:val="00BC5838"/>
    <w:rsid w:val="00BC59BE"/>
    <w:rsid w:val="00BC5A4C"/>
    <w:rsid w:val="00BC5BA5"/>
    <w:rsid w:val="00BC5BCF"/>
    <w:rsid w:val="00BC5C22"/>
    <w:rsid w:val="00BC5C46"/>
    <w:rsid w:val="00BC5CF8"/>
    <w:rsid w:val="00BC5D14"/>
    <w:rsid w:val="00BC5D97"/>
    <w:rsid w:val="00BC5D9E"/>
    <w:rsid w:val="00BC5E29"/>
    <w:rsid w:val="00BC5FB1"/>
    <w:rsid w:val="00BC62F0"/>
    <w:rsid w:val="00BC6383"/>
    <w:rsid w:val="00BC6535"/>
    <w:rsid w:val="00BC66E9"/>
    <w:rsid w:val="00BC6759"/>
    <w:rsid w:val="00BC69F2"/>
    <w:rsid w:val="00BC6A08"/>
    <w:rsid w:val="00BC6A82"/>
    <w:rsid w:val="00BC6A8A"/>
    <w:rsid w:val="00BC6B2F"/>
    <w:rsid w:val="00BC6C29"/>
    <w:rsid w:val="00BC6CE9"/>
    <w:rsid w:val="00BC6D7A"/>
    <w:rsid w:val="00BC7000"/>
    <w:rsid w:val="00BC7030"/>
    <w:rsid w:val="00BC70FB"/>
    <w:rsid w:val="00BC719D"/>
    <w:rsid w:val="00BC721B"/>
    <w:rsid w:val="00BC7421"/>
    <w:rsid w:val="00BC74BD"/>
    <w:rsid w:val="00BC768A"/>
    <w:rsid w:val="00BC7968"/>
    <w:rsid w:val="00BC79F2"/>
    <w:rsid w:val="00BC7A06"/>
    <w:rsid w:val="00BC7A93"/>
    <w:rsid w:val="00BC7B3F"/>
    <w:rsid w:val="00BC7BAD"/>
    <w:rsid w:val="00BC7C0A"/>
    <w:rsid w:val="00BC7C0C"/>
    <w:rsid w:val="00BC7D24"/>
    <w:rsid w:val="00BC7E26"/>
    <w:rsid w:val="00BC7F2C"/>
    <w:rsid w:val="00BD00BE"/>
    <w:rsid w:val="00BD00C8"/>
    <w:rsid w:val="00BD011F"/>
    <w:rsid w:val="00BD01F6"/>
    <w:rsid w:val="00BD03D5"/>
    <w:rsid w:val="00BD03D9"/>
    <w:rsid w:val="00BD03EA"/>
    <w:rsid w:val="00BD04FE"/>
    <w:rsid w:val="00BD0535"/>
    <w:rsid w:val="00BD0582"/>
    <w:rsid w:val="00BD059A"/>
    <w:rsid w:val="00BD065A"/>
    <w:rsid w:val="00BD0749"/>
    <w:rsid w:val="00BD07CA"/>
    <w:rsid w:val="00BD07CD"/>
    <w:rsid w:val="00BD0982"/>
    <w:rsid w:val="00BD0A22"/>
    <w:rsid w:val="00BD0C3D"/>
    <w:rsid w:val="00BD0E0A"/>
    <w:rsid w:val="00BD0E39"/>
    <w:rsid w:val="00BD0E50"/>
    <w:rsid w:val="00BD0F18"/>
    <w:rsid w:val="00BD0FDE"/>
    <w:rsid w:val="00BD0FFD"/>
    <w:rsid w:val="00BD106E"/>
    <w:rsid w:val="00BD111E"/>
    <w:rsid w:val="00BD1156"/>
    <w:rsid w:val="00BD1487"/>
    <w:rsid w:val="00BD1497"/>
    <w:rsid w:val="00BD1562"/>
    <w:rsid w:val="00BD162E"/>
    <w:rsid w:val="00BD168A"/>
    <w:rsid w:val="00BD173D"/>
    <w:rsid w:val="00BD176D"/>
    <w:rsid w:val="00BD1978"/>
    <w:rsid w:val="00BD1A1F"/>
    <w:rsid w:val="00BD1A88"/>
    <w:rsid w:val="00BD1BF1"/>
    <w:rsid w:val="00BD1C3D"/>
    <w:rsid w:val="00BD1CE2"/>
    <w:rsid w:val="00BD1D7D"/>
    <w:rsid w:val="00BD2059"/>
    <w:rsid w:val="00BD21A0"/>
    <w:rsid w:val="00BD21AC"/>
    <w:rsid w:val="00BD21F1"/>
    <w:rsid w:val="00BD21F5"/>
    <w:rsid w:val="00BD2290"/>
    <w:rsid w:val="00BD23D3"/>
    <w:rsid w:val="00BD2431"/>
    <w:rsid w:val="00BD266C"/>
    <w:rsid w:val="00BD27F9"/>
    <w:rsid w:val="00BD2824"/>
    <w:rsid w:val="00BD282C"/>
    <w:rsid w:val="00BD28D2"/>
    <w:rsid w:val="00BD28EE"/>
    <w:rsid w:val="00BD29F9"/>
    <w:rsid w:val="00BD2BEE"/>
    <w:rsid w:val="00BD2E37"/>
    <w:rsid w:val="00BD2F4C"/>
    <w:rsid w:val="00BD2FC4"/>
    <w:rsid w:val="00BD3073"/>
    <w:rsid w:val="00BD32B9"/>
    <w:rsid w:val="00BD3329"/>
    <w:rsid w:val="00BD33BD"/>
    <w:rsid w:val="00BD33E1"/>
    <w:rsid w:val="00BD3481"/>
    <w:rsid w:val="00BD3614"/>
    <w:rsid w:val="00BD3774"/>
    <w:rsid w:val="00BD38A4"/>
    <w:rsid w:val="00BD3AFB"/>
    <w:rsid w:val="00BD3B89"/>
    <w:rsid w:val="00BD3BA7"/>
    <w:rsid w:val="00BD3C4E"/>
    <w:rsid w:val="00BD3C64"/>
    <w:rsid w:val="00BD3CB1"/>
    <w:rsid w:val="00BD3D36"/>
    <w:rsid w:val="00BD3D6E"/>
    <w:rsid w:val="00BD3D91"/>
    <w:rsid w:val="00BD4040"/>
    <w:rsid w:val="00BD407A"/>
    <w:rsid w:val="00BD41EA"/>
    <w:rsid w:val="00BD41FB"/>
    <w:rsid w:val="00BD42C2"/>
    <w:rsid w:val="00BD43D4"/>
    <w:rsid w:val="00BD440D"/>
    <w:rsid w:val="00BD44CB"/>
    <w:rsid w:val="00BD45E0"/>
    <w:rsid w:val="00BD466D"/>
    <w:rsid w:val="00BD46FE"/>
    <w:rsid w:val="00BD4727"/>
    <w:rsid w:val="00BD478B"/>
    <w:rsid w:val="00BD4804"/>
    <w:rsid w:val="00BD4878"/>
    <w:rsid w:val="00BD48C9"/>
    <w:rsid w:val="00BD48FA"/>
    <w:rsid w:val="00BD4925"/>
    <w:rsid w:val="00BD4A60"/>
    <w:rsid w:val="00BD4BAB"/>
    <w:rsid w:val="00BD4CCD"/>
    <w:rsid w:val="00BD4D97"/>
    <w:rsid w:val="00BD4E57"/>
    <w:rsid w:val="00BD50C1"/>
    <w:rsid w:val="00BD5175"/>
    <w:rsid w:val="00BD523E"/>
    <w:rsid w:val="00BD5362"/>
    <w:rsid w:val="00BD551E"/>
    <w:rsid w:val="00BD55A4"/>
    <w:rsid w:val="00BD55F5"/>
    <w:rsid w:val="00BD583F"/>
    <w:rsid w:val="00BD5881"/>
    <w:rsid w:val="00BD5951"/>
    <w:rsid w:val="00BD5AD6"/>
    <w:rsid w:val="00BD5C68"/>
    <w:rsid w:val="00BD5E6F"/>
    <w:rsid w:val="00BD6129"/>
    <w:rsid w:val="00BD6170"/>
    <w:rsid w:val="00BD61AF"/>
    <w:rsid w:val="00BD61EF"/>
    <w:rsid w:val="00BD622D"/>
    <w:rsid w:val="00BD6274"/>
    <w:rsid w:val="00BD6276"/>
    <w:rsid w:val="00BD63D6"/>
    <w:rsid w:val="00BD640B"/>
    <w:rsid w:val="00BD6413"/>
    <w:rsid w:val="00BD665A"/>
    <w:rsid w:val="00BD673A"/>
    <w:rsid w:val="00BD6816"/>
    <w:rsid w:val="00BD6A41"/>
    <w:rsid w:val="00BD6A52"/>
    <w:rsid w:val="00BD6AC0"/>
    <w:rsid w:val="00BD6AD5"/>
    <w:rsid w:val="00BD6BA7"/>
    <w:rsid w:val="00BD6C20"/>
    <w:rsid w:val="00BD6CDF"/>
    <w:rsid w:val="00BD6E0A"/>
    <w:rsid w:val="00BD6EAE"/>
    <w:rsid w:val="00BD6F0A"/>
    <w:rsid w:val="00BD6F1E"/>
    <w:rsid w:val="00BD6F4F"/>
    <w:rsid w:val="00BD6F8C"/>
    <w:rsid w:val="00BD6F9E"/>
    <w:rsid w:val="00BD709A"/>
    <w:rsid w:val="00BD70DD"/>
    <w:rsid w:val="00BD7138"/>
    <w:rsid w:val="00BD72B6"/>
    <w:rsid w:val="00BD7327"/>
    <w:rsid w:val="00BD7361"/>
    <w:rsid w:val="00BD7382"/>
    <w:rsid w:val="00BD7534"/>
    <w:rsid w:val="00BD76D0"/>
    <w:rsid w:val="00BD7732"/>
    <w:rsid w:val="00BD7A67"/>
    <w:rsid w:val="00BD7B04"/>
    <w:rsid w:val="00BD7D93"/>
    <w:rsid w:val="00BD7E05"/>
    <w:rsid w:val="00BD7F8B"/>
    <w:rsid w:val="00BD7FF8"/>
    <w:rsid w:val="00BE00B9"/>
    <w:rsid w:val="00BE0127"/>
    <w:rsid w:val="00BE01C6"/>
    <w:rsid w:val="00BE0411"/>
    <w:rsid w:val="00BE0522"/>
    <w:rsid w:val="00BE058A"/>
    <w:rsid w:val="00BE0899"/>
    <w:rsid w:val="00BE0941"/>
    <w:rsid w:val="00BE095F"/>
    <w:rsid w:val="00BE0A23"/>
    <w:rsid w:val="00BE0A77"/>
    <w:rsid w:val="00BE0B8E"/>
    <w:rsid w:val="00BE0E9E"/>
    <w:rsid w:val="00BE1032"/>
    <w:rsid w:val="00BE11BE"/>
    <w:rsid w:val="00BE12E4"/>
    <w:rsid w:val="00BE130F"/>
    <w:rsid w:val="00BE134D"/>
    <w:rsid w:val="00BE1537"/>
    <w:rsid w:val="00BE16DF"/>
    <w:rsid w:val="00BE1855"/>
    <w:rsid w:val="00BE1910"/>
    <w:rsid w:val="00BE19B6"/>
    <w:rsid w:val="00BE1B5E"/>
    <w:rsid w:val="00BE1BEB"/>
    <w:rsid w:val="00BE1C58"/>
    <w:rsid w:val="00BE1D9A"/>
    <w:rsid w:val="00BE1DB7"/>
    <w:rsid w:val="00BE1E74"/>
    <w:rsid w:val="00BE1E94"/>
    <w:rsid w:val="00BE1F52"/>
    <w:rsid w:val="00BE2028"/>
    <w:rsid w:val="00BE209A"/>
    <w:rsid w:val="00BE211D"/>
    <w:rsid w:val="00BE216F"/>
    <w:rsid w:val="00BE2222"/>
    <w:rsid w:val="00BE22C5"/>
    <w:rsid w:val="00BE2570"/>
    <w:rsid w:val="00BE2717"/>
    <w:rsid w:val="00BE27AF"/>
    <w:rsid w:val="00BE2A9D"/>
    <w:rsid w:val="00BE2AC2"/>
    <w:rsid w:val="00BE2CBE"/>
    <w:rsid w:val="00BE2EBC"/>
    <w:rsid w:val="00BE2EED"/>
    <w:rsid w:val="00BE2FC0"/>
    <w:rsid w:val="00BE308F"/>
    <w:rsid w:val="00BE30D8"/>
    <w:rsid w:val="00BE32BC"/>
    <w:rsid w:val="00BE3396"/>
    <w:rsid w:val="00BE3650"/>
    <w:rsid w:val="00BE37D3"/>
    <w:rsid w:val="00BE3835"/>
    <w:rsid w:val="00BE3876"/>
    <w:rsid w:val="00BE38F0"/>
    <w:rsid w:val="00BE38F3"/>
    <w:rsid w:val="00BE3A01"/>
    <w:rsid w:val="00BE3ABD"/>
    <w:rsid w:val="00BE3AF0"/>
    <w:rsid w:val="00BE3B7C"/>
    <w:rsid w:val="00BE3CCB"/>
    <w:rsid w:val="00BE3D5E"/>
    <w:rsid w:val="00BE3DA9"/>
    <w:rsid w:val="00BE3DCB"/>
    <w:rsid w:val="00BE3E1A"/>
    <w:rsid w:val="00BE3F21"/>
    <w:rsid w:val="00BE3F51"/>
    <w:rsid w:val="00BE3F93"/>
    <w:rsid w:val="00BE43E5"/>
    <w:rsid w:val="00BE458D"/>
    <w:rsid w:val="00BE4635"/>
    <w:rsid w:val="00BE46FE"/>
    <w:rsid w:val="00BE470D"/>
    <w:rsid w:val="00BE494D"/>
    <w:rsid w:val="00BE4A7A"/>
    <w:rsid w:val="00BE4B9F"/>
    <w:rsid w:val="00BE4C62"/>
    <w:rsid w:val="00BE4DB8"/>
    <w:rsid w:val="00BE4E3B"/>
    <w:rsid w:val="00BE4ED6"/>
    <w:rsid w:val="00BE5006"/>
    <w:rsid w:val="00BE51B7"/>
    <w:rsid w:val="00BE53E6"/>
    <w:rsid w:val="00BE53EC"/>
    <w:rsid w:val="00BE54AE"/>
    <w:rsid w:val="00BE5555"/>
    <w:rsid w:val="00BE5564"/>
    <w:rsid w:val="00BE5581"/>
    <w:rsid w:val="00BE55AD"/>
    <w:rsid w:val="00BE5630"/>
    <w:rsid w:val="00BE56D1"/>
    <w:rsid w:val="00BE57DE"/>
    <w:rsid w:val="00BE586C"/>
    <w:rsid w:val="00BE58BE"/>
    <w:rsid w:val="00BE59D3"/>
    <w:rsid w:val="00BE5A15"/>
    <w:rsid w:val="00BE5A88"/>
    <w:rsid w:val="00BE5AAC"/>
    <w:rsid w:val="00BE5B28"/>
    <w:rsid w:val="00BE5C9A"/>
    <w:rsid w:val="00BE5D2A"/>
    <w:rsid w:val="00BE5D4E"/>
    <w:rsid w:val="00BE5D90"/>
    <w:rsid w:val="00BE5DAA"/>
    <w:rsid w:val="00BE5E4F"/>
    <w:rsid w:val="00BE5E8C"/>
    <w:rsid w:val="00BE5EDB"/>
    <w:rsid w:val="00BE5EED"/>
    <w:rsid w:val="00BE5F22"/>
    <w:rsid w:val="00BE5FCA"/>
    <w:rsid w:val="00BE5FCB"/>
    <w:rsid w:val="00BE603E"/>
    <w:rsid w:val="00BE60A5"/>
    <w:rsid w:val="00BE6343"/>
    <w:rsid w:val="00BE6390"/>
    <w:rsid w:val="00BE64AE"/>
    <w:rsid w:val="00BE64EE"/>
    <w:rsid w:val="00BE6525"/>
    <w:rsid w:val="00BE6571"/>
    <w:rsid w:val="00BE677C"/>
    <w:rsid w:val="00BE682B"/>
    <w:rsid w:val="00BE6834"/>
    <w:rsid w:val="00BE6989"/>
    <w:rsid w:val="00BE69F5"/>
    <w:rsid w:val="00BE6A64"/>
    <w:rsid w:val="00BE6B10"/>
    <w:rsid w:val="00BE6C54"/>
    <w:rsid w:val="00BE6C81"/>
    <w:rsid w:val="00BE6CA9"/>
    <w:rsid w:val="00BE6D29"/>
    <w:rsid w:val="00BE6DDC"/>
    <w:rsid w:val="00BE6E96"/>
    <w:rsid w:val="00BE6EEB"/>
    <w:rsid w:val="00BE6F3A"/>
    <w:rsid w:val="00BE6FC7"/>
    <w:rsid w:val="00BE7050"/>
    <w:rsid w:val="00BE70A0"/>
    <w:rsid w:val="00BE71C3"/>
    <w:rsid w:val="00BE71FF"/>
    <w:rsid w:val="00BE7272"/>
    <w:rsid w:val="00BE729E"/>
    <w:rsid w:val="00BE72D5"/>
    <w:rsid w:val="00BE72E1"/>
    <w:rsid w:val="00BE73A9"/>
    <w:rsid w:val="00BE73B7"/>
    <w:rsid w:val="00BE7467"/>
    <w:rsid w:val="00BE7475"/>
    <w:rsid w:val="00BE74AA"/>
    <w:rsid w:val="00BE74D4"/>
    <w:rsid w:val="00BE7534"/>
    <w:rsid w:val="00BE76BE"/>
    <w:rsid w:val="00BE776D"/>
    <w:rsid w:val="00BE777A"/>
    <w:rsid w:val="00BE779A"/>
    <w:rsid w:val="00BE7870"/>
    <w:rsid w:val="00BE79A5"/>
    <w:rsid w:val="00BE79E2"/>
    <w:rsid w:val="00BE7A57"/>
    <w:rsid w:val="00BE7B1C"/>
    <w:rsid w:val="00BE7BA4"/>
    <w:rsid w:val="00BE7C83"/>
    <w:rsid w:val="00BE7D12"/>
    <w:rsid w:val="00BE7D1D"/>
    <w:rsid w:val="00BE7DEE"/>
    <w:rsid w:val="00BE7E7D"/>
    <w:rsid w:val="00BE7F90"/>
    <w:rsid w:val="00BE7FB4"/>
    <w:rsid w:val="00BF0259"/>
    <w:rsid w:val="00BF032F"/>
    <w:rsid w:val="00BF0381"/>
    <w:rsid w:val="00BF03BC"/>
    <w:rsid w:val="00BF03F5"/>
    <w:rsid w:val="00BF04C6"/>
    <w:rsid w:val="00BF04DC"/>
    <w:rsid w:val="00BF0568"/>
    <w:rsid w:val="00BF056C"/>
    <w:rsid w:val="00BF0572"/>
    <w:rsid w:val="00BF05EF"/>
    <w:rsid w:val="00BF0604"/>
    <w:rsid w:val="00BF0676"/>
    <w:rsid w:val="00BF08AB"/>
    <w:rsid w:val="00BF09AC"/>
    <w:rsid w:val="00BF0AE3"/>
    <w:rsid w:val="00BF0BD7"/>
    <w:rsid w:val="00BF0C93"/>
    <w:rsid w:val="00BF0E4D"/>
    <w:rsid w:val="00BF0F3E"/>
    <w:rsid w:val="00BF0FF6"/>
    <w:rsid w:val="00BF10FD"/>
    <w:rsid w:val="00BF1306"/>
    <w:rsid w:val="00BF1372"/>
    <w:rsid w:val="00BF138E"/>
    <w:rsid w:val="00BF13DC"/>
    <w:rsid w:val="00BF13FE"/>
    <w:rsid w:val="00BF1418"/>
    <w:rsid w:val="00BF1430"/>
    <w:rsid w:val="00BF159A"/>
    <w:rsid w:val="00BF15C5"/>
    <w:rsid w:val="00BF1645"/>
    <w:rsid w:val="00BF17B1"/>
    <w:rsid w:val="00BF185B"/>
    <w:rsid w:val="00BF18BD"/>
    <w:rsid w:val="00BF197C"/>
    <w:rsid w:val="00BF199E"/>
    <w:rsid w:val="00BF19AC"/>
    <w:rsid w:val="00BF1A6B"/>
    <w:rsid w:val="00BF1ABF"/>
    <w:rsid w:val="00BF1C12"/>
    <w:rsid w:val="00BF1D31"/>
    <w:rsid w:val="00BF1D7F"/>
    <w:rsid w:val="00BF1F07"/>
    <w:rsid w:val="00BF1F5B"/>
    <w:rsid w:val="00BF20D4"/>
    <w:rsid w:val="00BF2175"/>
    <w:rsid w:val="00BF22D5"/>
    <w:rsid w:val="00BF2336"/>
    <w:rsid w:val="00BF235C"/>
    <w:rsid w:val="00BF2364"/>
    <w:rsid w:val="00BF23A3"/>
    <w:rsid w:val="00BF23CF"/>
    <w:rsid w:val="00BF23F4"/>
    <w:rsid w:val="00BF245F"/>
    <w:rsid w:val="00BF2479"/>
    <w:rsid w:val="00BF24FB"/>
    <w:rsid w:val="00BF2557"/>
    <w:rsid w:val="00BF2609"/>
    <w:rsid w:val="00BF2625"/>
    <w:rsid w:val="00BF2661"/>
    <w:rsid w:val="00BF267E"/>
    <w:rsid w:val="00BF2839"/>
    <w:rsid w:val="00BF29DC"/>
    <w:rsid w:val="00BF2BD1"/>
    <w:rsid w:val="00BF3139"/>
    <w:rsid w:val="00BF3144"/>
    <w:rsid w:val="00BF3197"/>
    <w:rsid w:val="00BF3227"/>
    <w:rsid w:val="00BF32A4"/>
    <w:rsid w:val="00BF3305"/>
    <w:rsid w:val="00BF333E"/>
    <w:rsid w:val="00BF3348"/>
    <w:rsid w:val="00BF3382"/>
    <w:rsid w:val="00BF33B5"/>
    <w:rsid w:val="00BF3468"/>
    <w:rsid w:val="00BF35A7"/>
    <w:rsid w:val="00BF376E"/>
    <w:rsid w:val="00BF37BF"/>
    <w:rsid w:val="00BF3879"/>
    <w:rsid w:val="00BF38D0"/>
    <w:rsid w:val="00BF39A5"/>
    <w:rsid w:val="00BF3B45"/>
    <w:rsid w:val="00BF3B55"/>
    <w:rsid w:val="00BF3B6B"/>
    <w:rsid w:val="00BF3C10"/>
    <w:rsid w:val="00BF3E19"/>
    <w:rsid w:val="00BF3FE7"/>
    <w:rsid w:val="00BF3FEC"/>
    <w:rsid w:val="00BF40FB"/>
    <w:rsid w:val="00BF4190"/>
    <w:rsid w:val="00BF41A4"/>
    <w:rsid w:val="00BF41BC"/>
    <w:rsid w:val="00BF43E2"/>
    <w:rsid w:val="00BF4550"/>
    <w:rsid w:val="00BF45CB"/>
    <w:rsid w:val="00BF45DD"/>
    <w:rsid w:val="00BF46A8"/>
    <w:rsid w:val="00BF47EA"/>
    <w:rsid w:val="00BF48C2"/>
    <w:rsid w:val="00BF4977"/>
    <w:rsid w:val="00BF49DC"/>
    <w:rsid w:val="00BF4AB0"/>
    <w:rsid w:val="00BF4D52"/>
    <w:rsid w:val="00BF4D99"/>
    <w:rsid w:val="00BF4DE9"/>
    <w:rsid w:val="00BF4EC7"/>
    <w:rsid w:val="00BF4FF1"/>
    <w:rsid w:val="00BF50C8"/>
    <w:rsid w:val="00BF51DC"/>
    <w:rsid w:val="00BF54DC"/>
    <w:rsid w:val="00BF54F3"/>
    <w:rsid w:val="00BF5576"/>
    <w:rsid w:val="00BF560C"/>
    <w:rsid w:val="00BF56EB"/>
    <w:rsid w:val="00BF57D6"/>
    <w:rsid w:val="00BF5889"/>
    <w:rsid w:val="00BF5920"/>
    <w:rsid w:val="00BF59AB"/>
    <w:rsid w:val="00BF5AED"/>
    <w:rsid w:val="00BF5C00"/>
    <w:rsid w:val="00BF5E0E"/>
    <w:rsid w:val="00BF5EE2"/>
    <w:rsid w:val="00BF5F89"/>
    <w:rsid w:val="00BF610E"/>
    <w:rsid w:val="00BF615C"/>
    <w:rsid w:val="00BF62A7"/>
    <w:rsid w:val="00BF6324"/>
    <w:rsid w:val="00BF63A0"/>
    <w:rsid w:val="00BF6481"/>
    <w:rsid w:val="00BF65B1"/>
    <w:rsid w:val="00BF678C"/>
    <w:rsid w:val="00BF68EB"/>
    <w:rsid w:val="00BF6914"/>
    <w:rsid w:val="00BF696F"/>
    <w:rsid w:val="00BF69C5"/>
    <w:rsid w:val="00BF6A94"/>
    <w:rsid w:val="00BF6BC0"/>
    <w:rsid w:val="00BF6BCB"/>
    <w:rsid w:val="00BF6BEE"/>
    <w:rsid w:val="00BF6DA5"/>
    <w:rsid w:val="00BF6DEE"/>
    <w:rsid w:val="00BF6E88"/>
    <w:rsid w:val="00BF6ECD"/>
    <w:rsid w:val="00BF6F30"/>
    <w:rsid w:val="00BF6F88"/>
    <w:rsid w:val="00BF7104"/>
    <w:rsid w:val="00BF7173"/>
    <w:rsid w:val="00BF732E"/>
    <w:rsid w:val="00BF73E9"/>
    <w:rsid w:val="00BF769D"/>
    <w:rsid w:val="00BF7714"/>
    <w:rsid w:val="00BF772D"/>
    <w:rsid w:val="00BF77C0"/>
    <w:rsid w:val="00BF78E4"/>
    <w:rsid w:val="00BF7943"/>
    <w:rsid w:val="00BF79F0"/>
    <w:rsid w:val="00BF7AB4"/>
    <w:rsid w:val="00BF7BAD"/>
    <w:rsid w:val="00BF7D4C"/>
    <w:rsid w:val="00BF7DDC"/>
    <w:rsid w:val="00BF7EAB"/>
    <w:rsid w:val="00BF7FC9"/>
    <w:rsid w:val="00BFF12B"/>
    <w:rsid w:val="00C0003C"/>
    <w:rsid w:val="00C00064"/>
    <w:rsid w:val="00C00073"/>
    <w:rsid w:val="00C000A5"/>
    <w:rsid w:val="00C00434"/>
    <w:rsid w:val="00C004A5"/>
    <w:rsid w:val="00C005E1"/>
    <w:rsid w:val="00C0067D"/>
    <w:rsid w:val="00C0068D"/>
    <w:rsid w:val="00C007B7"/>
    <w:rsid w:val="00C009A2"/>
    <w:rsid w:val="00C00B21"/>
    <w:rsid w:val="00C00C6A"/>
    <w:rsid w:val="00C00C83"/>
    <w:rsid w:val="00C00CE6"/>
    <w:rsid w:val="00C00D18"/>
    <w:rsid w:val="00C00D72"/>
    <w:rsid w:val="00C00D7D"/>
    <w:rsid w:val="00C00E56"/>
    <w:rsid w:val="00C00F71"/>
    <w:rsid w:val="00C00F84"/>
    <w:rsid w:val="00C01022"/>
    <w:rsid w:val="00C01094"/>
    <w:rsid w:val="00C01188"/>
    <w:rsid w:val="00C012D9"/>
    <w:rsid w:val="00C012E3"/>
    <w:rsid w:val="00C01319"/>
    <w:rsid w:val="00C01429"/>
    <w:rsid w:val="00C0145B"/>
    <w:rsid w:val="00C0149E"/>
    <w:rsid w:val="00C014A2"/>
    <w:rsid w:val="00C01610"/>
    <w:rsid w:val="00C016C0"/>
    <w:rsid w:val="00C017AA"/>
    <w:rsid w:val="00C01810"/>
    <w:rsid w:val="00C0190A"/>
    <w:rsid w:val="00C01B3C"/>
    <w:rsid w:val="00C01E51"/>
    <w:rsid w:val="00C01FD6"/>
    <w:rsid w:val="00C02021"/>
    <w:rsid w:val="00C02273"/>
    <w:rsid w:val="00C02291"/>
    <w:rsid w:val="00C022EE"/>
    <w:rsid w:val="00C0232C"/>
    <w:rsid w:val="00C024A9"/>
    <w:rsid w:val="00C024DF"/>
    <w:rsid w:val="00C02545"/>
    <w:rsid w:val="00C025EC"/>
    <w:rsid w:val="00C027F7"/>
    <w:rsid w:val="00C0294D"/>
    <w:rsid w:val="00C02988"/>
    <w:rsid w:val="00C02A38"/>
    <w:rsid w:val="00C02AAE"/>
    <w:rsid w:val="00C02B2E"/>
    <w:rsid w:val="00C02DF0"/>
    <w:rsid w:val="00C03170"/>
    <w:rsid w:val="00C031BE"/>
    <w:rsid w:val="00C03293"/>
    <w:rsid w:val="00C032EB"/>
    <w:rsid w:val="00C03343"/>
    <w:rsid w:val="00C03344"/>
    <w:rsid w:val="00C03358"/>
    <w:rsid w:val="00C0338B"/>
    <w:rsid w:val="00C0339F"/>
    <w:rsid w:val="00C033BD"/>
    <w:rsid w:val="00C033F4"/>
    <w:rsid w:val="00C03414"/>
    <w:rsid w:val="00C0343E"/>
    <w:rsid w:val="00C03625"/>
    <w:rsid w:val="00C03683"/>
    <w:rsid w:val="00C037EB"/>
    <w:rsid w:val="00C037FA"/>
    <w:rsid w:val="00C038AA"/>
    <w:rsid w:val="00C03BB6"/>
    <w:rsid w:val="00C03D1F"/>
    <w:rsid w:val="00C03DBB"/>
    <w:rsid w:val="00C03EE1"/>
    <w:rsid w:val="00C03FFA"/>
    <w:rsid w:val="00C0401D"/>
    <w:rsid w:val="00C04030"/>
    <w:rsid w:val="00C040D7"/>
    <w:rsid w:val="00C0415C"/>
    <w:rsid w:val="00C041DC"/>
    <w:rsid w:val="00C041EA"/>
    <w:rsid w:val="00C0428D"/>
    <w:rsid w:val="00C04346"/>
    <w:rsid w:val="00C04357"/>
    <w:rsid w:val="00C044A6"/>
    <w:rsid w:val="00C044C4"/>
    <w:rsid w:val="00C045AD"/>
    <w:rsid w:val="00C045E1"/>
    <w:rsid w:val="00C0477D"/>
    <w:rsid w:val="00C0493A"/>
    <w:rsid w:val="00C04A5B"/>
    <w:rsid w:val="00C04B23"/>
    <w:rsid w:val="00C04B62"/>
    <w:rsid w:val="00C04D94"/>
    <w:rsid w:val="00C04E06"/>
    <w:rsid w:val="00C05021"/>
    <w:rsid w:val="00C050F6"/>
    <w:rsid w:val="00C0520C"/>
    <w:rsid w:val="00C0527A"/>
    <w:rsid w:val="00C0533F"/>
    <w:rsid w:val="00C054AF"/>
    <w:rsid w:val="00C054B0"/>
    <w:rsid w:val="00C054F2"/>
    <w:rsid w:val="00C05549"/>
    <w:rsid w:val="00C0554E"/>
    <w:rsid w:val="00C05577"/>
    <w:rsid w:val="00C055C7"/>
    <w:rsid w:val="00C05696"/>
    <w:rsid w:val="00C05857"/>
    <w:rsid w:val="00C05A16"/>
    <w:rsid w:val="00C05B01"/>
    <w:rsid w:val="00C05DCA"/>
    <w:rsid w:val="00C05DFF"/>
    <w:rsid w:val="00C05E32"/>
    <w:rsid w:val="00C05EAE"/>
    <w:rsid w:val="00C05EE8"/>
    <w:rsid w:val="00C05FA2"/>
    <w:rsid w:val="00C0600D"/>
    <w:rsid w:val="00C06014"/>
    <w:rsid w:val="00C060F7"/>
    <w:rsid w:val="00C061DE"/>
    <w:rsid w:val="00C0622A"/>
    <w:rsid w:val="00C06330"/>
    <w:rsid w:val="00C06569"/>
    <w:rsid w:val="00C065A7"/>
    <w:rsid w:val="00C067C3"/>
    <w:rsid w:val="00C06825"/>
    <w:rsid w:val="00C068C3"/>
    <w:rsid w:val="00C068E8"/>
    <w:rsid w:val="00C0694A"/>
    <w:rsid w:val="00C06AC8"/>
    <w:rsid w:val="00C06AFC"/>
    <w:rsid w:val="00C06B06"/>
    <w:rsid w:val="00C06B64"/>
    <w:rsid w:val="00C06DA2"/>
    <w:rsid w:val="00C06DAB"/>
    <w:rsid w:val="00C06E33"/>
    <w:rsid w:val="00C06E9B"/>
    <w:rsid w:val="00C06EF8"/>
    <w:rsid w:val="00C06F7E"/>
    <w:rsid w:val="00C0703F"/>
    <w:rsid w:val="00C07092"/>
    <w:rsid w:val="00C07095"/>
    <w:rsid w:val="00C070AC"/>
    <w:rsid w:val="00C07125"/>
    <w:rsid w:val="00C07163"/>
    <w:rsid w:val="00C07175"/>
    <w:rsid w:val="00C07213"/>
    <w:rsid w:val="00C0724C"/>
    <w:rsid w:val="00C0733B"/>
    <w:rsid w:val="00C073A6"/>
    <w:rsid w:val="00C07497"/>
    <w:rsid w:val="00C074B3"/>
    <w:rsid w:val="00C074B6"/>
    <w:rsid w:val="00C07517"/>
    <w:rsid w:val="00C07530"/>
    <w:rsid w:val="00C07B57"/>
    <w:rsid w:val="00C07BA0"/>
    <w:rsid w:val="00C07CC1"/>
    <w:rsid w:val="00C07CD4"/>
    <w:rsid w:val="00C07D9B"/>
    <w:rsid w:val="00C07DFA"/>
    <w:rsid w:val="00C07F75"/>
    <w:rsid w:val="00C101E1"/>
    <w:rsid w:val="00C10288"/>
    <w:rsid w:val="00C10342"/>
    <w:rsid w:val="00C10412"/>
    <w:rsid w:val="00C104EE"/>
    <w:rsid w:val="00C1050B"/>
    <w:rsid w:val="00C1062A"/>
    <w:rsid w:val="00C10642"/>
    <w:rsid w:val="00C106E0"/>
    <w:rsid w:val="00C1085B"/>
    <w:rsid w:val="00C108AD"/>
    <w:rsid w:val="00C109F1"/>
    <w:rsid w:val="00C10A12"/>
    <w:rsid w:val="00C10BF4"/>
    <w:rsid w:val="00C10D45"/>
    <w:rsid w:val="00C10D99"/>
    <w:rsid w:val="00C10FFB"/>
    <w:rsid w:val="00C11272"/>
    <w:rsid w:val="00C1128B"/>
    <w:rsid w:val="00C11328"/>
    <w:rsid w:val="00C1133E"/>
    <w:rsid w:val="00C113E2"/>
    <w:rsid w:val="00C1141A"/>
    <w:rsid w:val="00C115F9"/>
    <w:rsid w:val="00C117C8"/>
    <w:rsid w:val="00C11A6F"/>
    <w:rsid w:val="00C11A8F"/>
    <w:rsid w:val="00C11B26"/>
    <w:rsid w:val="00C11BDD"/>
    <w:rsid w:val="00C11C56"/>
    <w:rsid w:val="00C11FCF"/>
    <w:rsid w:val="00C12039"/>
    <w:rsid w:val="00C12173"/>
    <w:rsid w:val="00C121B9"/>
    <w:rsid w:val="00C12251"/>
    <w:rsid w:val="00C12320"/>
    <w:rsid w:val="00C123F2"/>
    <w:rsid w:val="00C1250F"/>
    <w:rsid w:val="00C12869"/>
    <w:rsid w:val="00C12928"/>
    <w:rsid w:val="00C1299A"/>
    <w:rsid w:val="00C129B6"/>
    <w:rsid w:val="00C129FD"/>
    <w:rsid w:val="00C12B66"/>
    <w:rsid w:val="00C12BF3"/>
    <w:rsid w:val="00C12DA9"/>
    <w:rsid w:val="00C12EFE"/>
    <w:rsid w:val="00C12F61"/>
    <w:rsid w:val="00C1309B"/>
    <w:rsid w:val="00C1313C"/>
    <w:rsid w:val="00C13175"/>
    <w:rsid w:val="00C132EB"/>
    <w:rsid w:val="00C133B2"/>
    <w:rsid w:val="00C133C9"/>
    <w:rsid w:val="00C133FB"/>
    <w:rsid w:val="00C13577"/>
    <w:rsid w:val="00C135B2"/>
    <w:rsid w:val="00C136B7"/>
    <w:rsid w:val="00C1376D"/>
    <w:rsid w:val="00C137E8"/>
    <w:rsid w:val="00C13835"/>
    <w:rsid w:val="00C13925"/>
    <w:rsid w:val="00C13A68"/>
    <w:rsid w:val="00C13C63"/>
    <w:rsid w:val="00C13C7D"/>
    <w:rsid w:val="00C13EB1"/>
    <w:rsid w:val="00C13EE4"/>
    <w:rsid w:val="00C14091"/>
    <w:rsid w:val="00C140C4"/>
    <w:rsid w:val="00C142EB"/>
    <w:rsid w:val="00C14310"/>
    <w:rsid w:val="00C1454E"/>
    <w:rsid w:val="00C1458F"/>
    <w:rsid w:val="00C14650"/>
    <w:rsid w:val="00C146F7"/>
    <w:rsid w:val="00C14867"/>
    <w:rsid w:val="00C1486E"/>
    <w:rsid w:val="00C14888"/>
    <w:rsid w:val="00C148CA"/>
    <w:rsid w:val="00C149CE"/>
    <w:rsid w:val="00C14A95"/>
    <w:rsid w:val="00C14BBC"/>
    <w:rsid w:val="00C14C2D"/>
    <w:rsid w:val="00C14CA8"/>
    <w:rsid w:val="00C14DA6"/>
    <w:rsid w:val="00C14F26"/>
    <w:rsid w:val="00C1500F"/>
    <w:rsid w:val="00C15182"/>
    <w:rsid w:val="00C1523C"/>
    <w:rsid w:val="00C15249"/>
    <w:rsid w:val="00C153E9"/>
    <w:rsid w:val="00C15421"/>
    <w:rsid w:val="00C1560D"/>
    <w:rsid w:val="00C1567C"/>
    <w:rsid w:val="00C158FE"/>
    <w:rsid w:val="00C15CD4"/>
    <w:rsid w:val="00C15D0F"/>
    <w:rsid w:val="00C15E02"/>
    <w:rsid w:val="00C15EF5"/>
    <w:rsid w:val="00C15F07"/>
    <w:rsid w:val="00C16081"/>
    <w:rsid w:val="00C16099"/>
    <w:rsid w:val="00C161BD"/>
    <w:rsid w:val="00C1621E"/>
    <w:rsid w:val="00C16276"/>
    <w:rsid w:val="00C162D9"/>
    <w:rsid w:val="00C163B6"/>
    <w:rsid w:val="00C163EB"/>
    <w:rsid w:val="00C16478"/>
    <w:rsid w:val="00C168AE"/>
    <w:rsid w:val="00C168B3"/>
    <w:rsid w:val="00C169D6"/>
    <w:rsid w:val="00C16A52"/>
    <w:rsid w:val="00C16BF0"/>
    <w:rsid w:val="00C16CE2"/>
    <w:rsid w:val="00C16E8E"/>
    <w:rsid w:val="00C16F65"/>
    <w:rsid w:val="00C17011"/>
    <w:rsid w:val="00C17013"/>
    <w:rsid w:val="00C170A0"/>
    <w:rsid w:val="00C170C2"/>
    <w:rsid w:val="00C17119"/>
    <w:rsid w:val="00C17144"/>
    <w:rsid w:val="00C17191"/>
    <w:rsid w:val="00C17213"/>
    <w:rsid w:val="00C172AD"/>
    <w:rsid w:val="00C17315"/>
    <w:rsid w:val="00C173E7"/>
    <w:rsid w:val="00C17598"/>
    <w:rsid w:val="00C17603"/>
    <w:rsid w:val="00C17672"/>
    <w:rsid w:val="00C176F9"/>
    <w:rsid w:val="00C17752"/>
    <w:rsid w:val="00C17783"/>
    <w:rsid w:val="00C177D4"/>
    <w:rsid w:val="00C1794A"/>
    <w:rsid w:val="00C1798D"/>
    <w:rsid w:val="00C17A79"/>
    <w:rsid w:val="00C17A9C"/>
    <w:rsid w:val="00C17AB3"/>
    <w:rsid w:val="00C17BB5"/>
    <w:rsid w:val="00C17C7E"/>
    <w:rsid w:val="00C17D8A"/>
    <w:rsid w:val="00C17F7A"/>
    <w:rsid w:val="00C17FBD"/>
    <w:rsid w:val="00C20005"/>
    <w:rsid w:val="00C20207"/>
    <w:rsid w:val="00C20384"/>
    <w:rsid w:val="00C204EE"/>
    <w:rsid w:val="00C206AC"/>
    <w:rsid w:val="00C20757"/>
    <w:rsid w:val="00C2095C"/>
    <w:rsid w:val="00C20A58"/>
    <w:rsid w:val="00C20AA3"/>
    <w:rsid w:val="00C20B1F"/>
    <w:rsid w:val="00C20B22"/>
    <w:rsid w:val="00C20B54"/>
    <w:rsid w:val="00C20C95"/>
    <w:rsid w:val="00C20CBF"/>
    <w:rsid w:val="00C20D15"/>
    <w:rsid w:val="00C20E3F"/>
    <w:rsid w:val="00C20E44"/>
    <w:rsid w:val="00C20EA2"/>
    <w:rsid w:val="00C20EE8"/>
    <w:rsid w:val="00C21227"/>
    <w:rsid w:val="00C2127E"/>
    <w:rsid w:val="00C2131D"/>
    <w:rsid w:val="00C21442"/>
    <w:rsid w:val="00C21516"/>
    <w:rsid w:val="00C2179C"/>
    <w:rsid w:val="00C217D2"/>
    <w:rsid w:val="00C21826"/>
    <w:rsid w:val="00C219A1"/>
    <w:rsid w:val="00C21A76"/>
    <w:rsid w:val="00C21B8A"/>
    <w:rsid w:val="00C21BC3"/>
    <w:rsid w:val="00C21BE5"/>
    <w:rsid w:val="00C21D3D"/>
    <w:rsid w:val="00C21DC5"/>
    <w:rsid w:val="00C21F0F"/>
    <w:rsid w:val="00C2217B"/>
    <w:rsid w:val="00C221AF"/>
    <w:rsid w:val="00C2226A"/>
    <w:rsid w:val="00C22350"/>
    <w:rsid w:val="00C22383"/>
    <w:rsid w:val="00C224EA"/>
    <w:rsid w:val="00C22526"/>
    <w:rsid w:val="00C2267A"/>
    <w:rsid w:val="00C227BA"/>
    <w:rsid w:val="00C22A15"/>
    <w:rsid w:val="00C22A58"/>
    <w:rsid w:val="00C22A75"/>
    <w:rsid w:val="00C22CCE"/>
    <w:rsid w:val="00C22F55"/>
    <w:rsid w:val="00C22F99"/>
    <w:rsid w:val="00C2301B"/>
    <w:rsid w:val="00C2306A"/>
    <w:rsid w:val="00C2330B"/>
    <w:rsid w:val="00C23420"/>
    <w:rsid w:val="00C23442"/>
    <w:rsid w:val="00C23495"/>
    <w:rsid w:val="00C23569"/>
    <w:rsid w:val="00C2368A"/>
    <w:rsid w:val="00C236E2"/>
    <w:rsid w:val="00C23731"/>
    <w:rsid w:val="00C23880"/>
    <w:rsid w:val="00C238A6"/>
    <w:rsid w:val="00C238CC"/>
    <w:rsid w:val="00C23920"/>
    <w:rsid w:val="00C23935"/>
    <w:rsid w:val="00C23A88"/>
    <w:rsid w:val="00C23AF5"/>
    <w:rsid w:val="00C23CE0"/>
    <w:rsid w:val="00C23DE6"/>
    <w:rsid w:val="00C23E58"/>
    <w:rsid w:val="00C23E6E"/>
    <w:rsid w:val="00C23E7B"/>
    <w:rsid w:val="00C23F14"/>
    <w:rsid w:val="00C23FB1"/>
    <w:rsid w:val="00C23FC1"/>
    <w:rsid w:val="00C240A0"/>
    <w:rsid w:val="00C24218"/>
    <w:rsid w:val="00C2423E"/>
    <w:rsid w:val="00C24290"/>
    <w:rsid w:val="00C244FA"/>
    <w:rsid w:val="00C245B7"/>
    <w:rsid w:val="00C245DB"/>
    <w:rsid w:val="00C2462E"/>
    <w:rsid w:val="00C24703"/>
    <w:rsid w:val="00C24867"/>
    <w:rsid w:val="00C248D0"/>
    <w:rsid w:val="00C249D2"/>
    <w:rsid w:val="00C24A23"/>
    <w:rsid w:val="00C24A62"/>
    <w:rsid w:val="00C24AC0"/>
    <w:rsid w:val="00C24AE2"/>
    <w:rsid w:val="00C24B42"/>
    <w:rsid w:val="00C24BBD"/>
    <w:rsid w:val="00C24D2E"/>
    <w:rsid w:val="00C24E2C"/>
    <w:rsid w:val="00C25171"/>
    <w:rsid w:val="00C2527F"/>
    <w:rsid w:val="00C25361"/>
    <w:rsid w:val="00C25392"/>
    <w:rsid w:val="00C253B9"/>
    <w:rsid w:val="00C253C2"/>
    <w:rsid w:val="00C25447"/>
    <w:rsid w:val="00C254FF"/>
    <w:rsid w:val="00C25644"/>
    <w:rsid w:val="00C25A41"/>
    <w:rsid w:val="00C25AC8"/>
    <w:rsid w:val="00C25BB6"/>
    <w:rsid w:val="00C25D89"/>
    <w:rsid w:val="00C2605E"/>
    <w:rsid w:val="00C26093"/>
    <w:rsid w:val="00C26161"/>
    <w:rsid w:val="00C262D1"/>
    <w:rsid w:val="00C26397"/>
    <w:rsid w:val="00C2659F"/>
    <w:rsid w:val="00C265C6"/>
    <w:rsid w:val="00C26716"/>
    <w:rsid w:val="00C26890"/>
    <w:rsid w:val="00C26925"/>
    <w:rsid w:val="00C2692D"/>
    <w:rsid w:val="00C26B5D"/>
    <w:rsid w:val="00C26B79"/>
    <w:rsid w:val="00C26BA9"/>
    <w:rsid w:val="00C26CAB"/>
    <w:rsid w:val="00C26CEF"/>
    <w:rsid w:val="00C26F29"/>
    <w:rsid w:val="00C26FF8"/>
    <w:rsid w:val="00C27076"/>
    <w:rsid w:val="00C270AC"/>
    <w:rsid w:val="00C270F1"/>
    <w:rsid w:val="00C270FC"/>
    <w:rsid w:val="00C2713C"/>
    <w:rsid w:val="00C27140"/>
    <w:rsid w:val="00C2741B"/>
    <w:rsid w:val="00C276F7"/>
    <w:rsid w:val="00C2790F"/>
    <w:rsid w:val="00C27934"/>
    <w:rsid w:val="00C279C7"/>
    <w:rsid w:val="00C27AFD"/>
    <w:rsid w:val="00C27B38"/>
    <w:rsid w:val="00C27BED"/>
    <w:rsid w:val="00C27DBC"/>
    <w:rsid w:val="00C27EC3"/>
    <w:rsid w:val="00C27F3C"/>
    <w:rsid w:val="00C27FAA"/>
    <w:rsid w:val="00C27FBF"/>
    <w:rsid w:val="00C3002E"/>
    <w:rsid w:val="00C300A1"/>
    <w:rsid w:val="00C3021A"/>
    <w:rsid w:val="00C30403"/>
    <w:rsid w:val="00C3048C"/>
    <w:rsid w:val="00C304A7"/>
    <w:rsid w:val="00C305B7"/>
    <w:rsid w:val="00C3063D"/>
    <w:rsid w:val="00C30682"/>
    <w:rsid w:val="00C30792"/>
    <w:rsid w:val="00C30804"/>
    <w:rsid w:val="00C30943"/>
    <w:rsid w:val="00C309AB"/>
    <w:rsid w:val="00C30A40"/>
    <w:rsid w:val="00C30A60"/>
    <w:rsid w:val="00C30D7A"/>
    <w:rsid w:val="00C30E4C"/>
    <w:rsid w:val="00C30EAC"/>
    <w:rsid w:val="00C30F2E"/>
    <w:rsid w:val="00C31154"/>
    <w:rsid w:val="00C31310"/>
    <w:rsid w:val="00C3138F"/>
    <w:rsid w:val="00C3140D"/>
    <w:rsid w:val="00C31471"/>
    <w:rsid w:val="00C3153F"/>
    <w:rsid w:val="00C31591"/>
    <w:rsid w:val="00C31691"/>
    <w:rsid w:val="00C316DC"/>
    <w:rsid w:val="00C316EC"/>
    <w:rsid w:val="00C3170A"/>
    <w:rsid w:val="00C317CE"/>
    <w:rsid w:val="00C31937"/>
    <w:rsid w:val="00C31972"/>
    <w:rsid w:val="00C31B2A"/>
    <w:rsid w:val="00C31B48"/>
    <w:rsid w:val="00C31BDC"/>
    <w:rsid w:val="00C31CC3"/>
    <w:rsid w:val="00C31EE9"/>
    <w:rsid w:val="00C32067"/>
    <w:rsid w:val="00C321CF"/>
    <w:rsid w:val="00C3243B"/>
    <w:rsid w:val="00C32745"/>
    <w:rsid w:val="00C3275D"/>
    <w:rsid w:val="00C327FC"/>
    <w:rsid w:val="00C328B7"/>
    <w:rsid w:val="00C328DE"/>
    <w:rsid w:val="00C32989"/>
    <w:rsid w:val="00C329F7"/>
    <w:rsid w:val="00C32A3D"/>
    <w:rsid w:val="00C32AB6"/>
    <w:rsid w:val="00C32AC7"/>
    <w:rsid w:val="00C32AD0"/>
    <w:rsid w:val="00C32AFF"/>
    <w:rsid w:val="00C32E72"/>
    <w:rsid w:val="00C32E77"/>
    <w:rsid w:val="00C32E91"/>
    <w:rsid w:val="00C32EEF"/>
    <w:rsid w:val="00C32FBE"/>
    <w:rsid w:val="00C331B6"/>
    <w:rsid w:val="00C33383"/>
    <w:rsid w:val="00C33447"/>
    <w:rsid w:val="00C33454"/>
    <w:rsid w:val="00C3348B"/>
    <w:rsid w:val="00C336B2"/>
    <w:rsid w:val="00C337FE"/>
    <w:rsid w:val="00C338DC"/>
    <w:rsid w:val="00C3391C"/>
    <w:rsid w:val="00C33BC5"/>
    <w:rsid w:val="00C33C04"/>
    <w:rsid w:val="00C33C37"/>
    <w:rsid w:val="00C33CD8"/>
    <w:rsid w:val="00C33D14"/>
    <w:rsid w:val="00C33D23"/>
    <w:rsid w:val="00C33D3E"/>
    <w:rsid w:val="00C33ED3"/>
    <w:rsid w:val="00C3407B"/>
    <w:rsid w:val="00C340EC"/>
    <w:rsid w:val="00C342BB"/>
    <w:rsid w:val="00C34812"/>
    <w:rsid w:val="00C34841"/>
    <w:rsid w:val="00C34943"/>
    <w:rsid w:val="00C34972"/>
    <w:rsid w:val="00C34D69"/>
    <w:rsid w:val="00C34DCB"/>
    <w:rsid w:val="00C34DE0"/>
    <w:rsid w:val="00C34DF8"/>
    <w:rsid w:val="00C34FA3"/>
    <w:rsid w:val="00C350B4"/>
    <w:rsid w:val="00C35180"/>
    <w:rsid w:val="00C35269"/>
    <w:rsid w:val="00C354C5"/>
    <w:rsid w:val="00C354C6"/>
    <w:rsid w:val="00C3568F"/>
    <w:rsid w:val="00C3596C"/>
    <w:rsid w:val="00C35A67"/>
    <w:rsid w:val="00C35D33"/>
    <w:rsid w:val="00C35D5A"/>
    <w:rsid w:val="00C35FED"/>
    <w:rsid w:val="00C36008"/>
    <w:rsid w:val="00C36185"/>
    <w:rsid w:val="00C3643B"/>
    <w:rsid w:val="00C364BB"/>
    <w:rsid w:val="00C364E0"/>
    <w:rsid w:val="00C364E3"/>
    <w:rsid w:val="00C36759"/>
    <w:rsid w:val="00C36791"/>
    <w:rsid w:val="00C3681F"/>
    <w:rsid w:val="00C36AE9"/>
    <w:rsid w:val="00C36AF7"/>
    <w:rsid w:val="00C36BFE"/>
    <w:rsid w:val="00C36C87"/>
    <w:rsid w:val="00C36CC4"/>
    <w:rsid w:val="00C36D40"/>
    <w:rsid w:val="00C36E23"/>
    <w:rsid w:val="00C36E79"/>
    <w:rsid w:val="00C36E7C"/>
    <w:rsid w:val="00C370E5"/>
    <w:rsid w:val="00C37112"/>
    <w:rsid w:val="00C3714A"/>
    <w:rsid w:val="00C3714B"/>
    <w:rsid w:val="00C37162"/>
    <w:rsid w:val="00C37192"/>
    <w:rsid w:val="00C371D6"/>
    <w:rsid w:val="00C37204"/>
    <w:rsid w:val="00C37254"/>
    <w:rsid w:val="00C372DC"/>
    <w:rsid w:val="00C3732F"/>
    <w:rsid w:val="00C373C6"/>
    <w:rsid w:val="00C373FA"/>
    <w:rsid w:val="00C37417"/>
    <w:rsid w:val="00C375D0"/>
    <w:rsid w:val="00C37736"/>
    <w:rsid w:val="00C3777B"/>
    <w:rsid w:val="00C37816"/>
    <w:rsid w:val="00C37AAB"/>
    <w:rsid w:val="00C37ADD"/>
    <w:rsid w:val="00C37B0F"/>
    <w:rsid w:val="00C37B7F"/>
    <w:rsid w:val="00C37C07"/>
    <w:rsid w:val="00C37D8B"/>
    <w:rsid w:val="00C37E9D"/>
    <w:rsid w:val="00C37F8B"/>
    <w:rsid w:val="00C40036"/>
    <w:rsid w:val="00C40123"/>
    <w:rsid w:val="00C40132"/>
    <w:rsid w:val="00C401C6"/>
    <w:rsid w:val="00C402CE"/>
    <w:rsid w:val="00C402DF"/>
    <w:rsid w:val="00C402EA"/>
    <w:rsid w:val="00C4035B"/>
    <w:rsid w:val="00C404B9"/>
    <w:rsid w:val="00C40512"/>
    <w:rsid w:val="00C40540"/>
    <w:rsid w:val="00C4065A"/>
    <w:rsid w:val="00C4066F"/>
    <w:rsid w:val="00C407D2"/>
    <w:rsid w:val="00C40823"/>
    <w:rsid w:val="00C4094E"/>
    <w:rsid w:val="00C409F3"/>
    <w:rsid w:val="00C40D98"/>
    <w:rsid w:val="00C40E3E"/>
    <w:rsid w:val="00C40E61"/>
    <w:rsid w:val="00C40F52"/>
    <w:rsid w:val="00C40FA4"/>
    <w:rsid w:val="00C40FA9"/>
    <w:rsid w:val="00C41083"/>
    <w:rsid w:val="00C410B1"/>
    <w:rsid w:val="00C41186"/>
    <w:rsid w:val="00C4119D"/>
    <w:rsid w:val="00C411F2"/>
    <w:rsid w:val="00C41215"/>
    <w:rsid w:val="00C4121F"/>
    <w:rsid w:val="00C41235"/>
    <w:rsid w:val="00C41356"/>
    <w:rsid w:val="00C4146F"/>
    <w:rsid w:val="00C414A4"/>
    <w:rsid w:val="00C4150F"/>
    <w:rsid w:val="00C415E4"/>
    <w:rsid w:val="00C4168D"/>
    <w:rsid w:val="00C416B8"/>
    <w:rsid w:val="00C417F4"/>
    <w:rsid w:val="00C41890"/>
    <w:rsid w:val="00C41972"/>
    <w:rsid w:val="00C41B2C"/>
    <w:rsid w:val="00C41C1A"/>
    <w:rsid w:val="00C41C74"/>
    <w:rsid w:val="00C41CE0"/>
    <w:rsid w:val="00C41D60"/>
    <w:rsid w:val="00C41DC4"/>
    <w:rsid w:val="00C41DEE"/>
    <w:rsid w:val="00C41F3D"/>
    <w:rsid w:val="00C41FE7"/>
    <w:rsid w:val="00C42069"/>
    <w:rsid w:val="00C420C3"/>
    <w:rsid w:val="00C424E8"/>
    <w:rsid w:val="00C42777"/>
    <w:rsid w:val="00C4278F"/>
    <w:rsid w:val="00C427AB"/>
    <w:rsid w:val="00C428DE"/>
    <w:rsid w:val="00C429B3"/>
    <w:rsid w:val="00C42A8F"/>
    <w:rsid w:val="00C42AEF"/>
    <w:rsid w:val="00C42B0C"/>
    <w:rsid w:val="00C42CF1"/>
    <w:rsid w:val="00C42EBB"/>
    <w:rsid w:val="00C42ECA"/>
    <w:rsid w:val="00C42EEF"/>
    <w:rsid w:val="00C42FBF"/>
    <w:rsid w:val="00C42FE8"/>
    <w:rsid w:val="00C430CB"/>
    <w:rsid w:val="00C434B1"/>
    <w:rsid w:val="00C43512"/>
    <w:rsid w:val="00C436B4"/>
    <w:rsid w:val="00C4371D"/>
    <w:rsid w:val="00C4376A"/>
    <w:rsid w:val="00C437A8"/>
    <w:rsid w:val="00C438E7"/>
    <w:rsid w:val="00C439F0"/>
    <w:rsid w:val="00C43A35"/>
    <w:rsid w:val="00C43A60"/>
    <w:rsid w:val="00C43BA4"/>
    <w:rsid w:val="00C43C68"/>
    <w:rsid w:val="00C43CD1"/>
    <w:rsid w:val="00C43D42"/>
    <w:rsid w:val="00C43FC4"/>
    <w:rsid w:val="00C43FFD"/>
    <w:rsid w:val="00C44098"/>
    <w:rsid w:val="00C441B0"/>
    <w:rsid w:val="00C441B1"/>
    <w:rsid w:val="00C44236"/>
    <w:rsid w:val="00C44301"/>
    <w:rsid w:val="00C4432E"/>
    <w:rsid w:val="00C4440D"/>
    <w:rsid w:val="00C44423"/>
    <w:rsid w:val="00C4447D"/>
    <w:rsid w:val="00C44547"/>
    <w:rsid w:val="00C4462A"/>
    <w:rsid w:val="00C4464F"/>
    <w:rsid w:val="00C446A6"/>
    <w:rsid w:val="00C446E4"/>
    <w:rsid w:val="00C44730"/>
    <w:rsid w:val="00C4475A"/>
    <w:rsid w:val="00C4475C"/>
    <w:rsid w:val="00C447E7"/>
    <w:rsid w:val="00C4485A"/>
    <w:rsid w:val="00C448F3"/>
    <w:rsid w:val="00C44941"/>
    <w:rsid w:val="00C44965"/>
    <w:rsid w:val="00C44ABE"/>
    <w:rsid w:val="00C44BDA"/>
    <w:rsid w:val="00C44C43"/>
    <w:rsid w:val="00C44D0A"/>
    <w:rsid w:val="00C44D85"/>
    <w:rsid w:val="00C44D8A"/>
    <w:rsid w:val="00C44E68"/>
    <w:rsid w:val="00C44EB9"/>
    <w:rsid w:val="00C44FA1"/>
    <w:rsid w:val="00C4510B"/>
    <w:rsid w:val="00C45177"/>
    <w:rsid w:val="00C45311"/>
    <w:rsid w:val="00C45323"/>
    <w:rsid w:val="00C453FC"/>
    <w:rsid w:val="00C45451"/>
    <w:rsid w:val="00C454BC"/>
    <w:rsid w:val="00C454E0"/>
    <w:rsid w:val="00C4560D"/>
    <w:rsid w:val="00C45739"/>
    <w:rsid w:val="00C45882"/>
    <w:rsid w:val="00C4590E"/>
    <w:rsid w:val="00C4591F"/>
    <w:rsid w:val="00C45960"/>
    <w:rsid w:val="00C45CB3"/>
    <w:rsid w:val="00C45D94"/>
    <w:rsid w:val="00C4609F"/>
    <w:rsid w:val="00C462CB"/>
    <w:rsid w:val="00C46355"/>
    <w:rsid w:val="00C463AA"/>
    <w:rsid w:val="00C46503"/>
    <w:rsid w:val="00C465E7"/>
    <w:rsid w:val="00C466FE"/>
    <w:rsid w:val="00C46744"/>
    <w:rsid w:val="00C467A0"/>
    <w:rsid w:val="00C46940"/>
    <w:rsid w:val="00C46994"/>
    <w:rsid w:val="00C46A2D"/>
    <w:rsid w:val="00C46AC5"/>
    <w:rsid w:val="00C46C66"/>
    <w:rsid w:val="00C46DE1"/>
    <w:rsid w:val="00C46FA9"/>
    <w:rsid w:val="00C47004"/>
    <w:rsid w:val="00C47083"/>
    <w:rsid w:val="00C470D4"/>
    <w:rsid w:val="00C4716B"/>
    <w:rsid w:val="00C47248"/>
    <w:rsid w:val="00C4727A"/>
    <w:rsid w:val="00C472B1"/>
    <w:rsid w:val="00C472C9"/>
    <w:rsid w:val="00C473D7"/>
    <w:rsid w:val="00C4744E"/>
    <w:rsid w:val="00C4748E"/>
    <w:rsid w:val="00C474E4"/>
    <w:rsid w:val="00C474EB"/>
    <w:rsid w:val="00C4767C"/>
    <w:rsid w:val="00C4772B"/>
    <w:rsid w:val="00C4784B"/>
    <w:rsid w:val="00C478A9"/>
    <w:rsid w:val="00C478FA"/>
    <w:rsid w:val="00C479BA"/>
    <w:rsid w:val="00C47A19"/>
    <w:rsid w:val="00C47A4E"/>
    <w:rsid w:val="00C47A97"/>
    <w:rsid w:val="00C47C17"/>
    <w:rsid w:val="00C47DD5"/>
    <w:rsid w:val="00C47E39"/>
    <w:rsid w:val="00C47E93"/>
    <w:rsid w:val="00C47EA9"/>
    <w:rsid w:val="00C47F34"/>
    <w:rsid w:val="00C47FA6"/>
    <w:rsid w:val="00C50085"/>
    <w:rsid w:val="00C500AF"/>
    <w:rsid w:val="00C500FC"/>
    <w:rsid w:val="00C5035E"/>
    <w:rsid w:val="00C5057D"/>
    <w:rsid w:val="00C506C3"/>
    <w:rsid w:val="00C50709"/>
    <w:rsid w:val="00C50738"/>
    <w:rsid w:val="00C50835"/>
    <w:rsid w:val="00C50846"/>
    <w:rsid w:val="00C5089C"/>
    <w:rsid w:val="00C50914"/>
    <w:rsid w:val="00C50A29"/>
    <w:rsid w:val="00C50A9D"/>
    <w:rsid w:val="00C50BCC"/>
    <w:rsid w:val="00C50D5A"/>
    <w:rsid w:val="00C50E3E"/>
    <w:rsid w:val="00C50E75"/>
    <w:rsid w:val="00C51045"/>
    <w:rsid w:val="00C510B7"/>
    <w:rsid w:val="00C51141"/>
    <w:rsid w:val="00C51199"/>
    <w:rsid w:val="00C511D2"/>
    <w:rsid w:val="00C511DC"/>
    <w:rsid w:val="00C51468"/>
    <w:rsid w:val="00C51480"/>
    <w:rsid w:val="00C515A8"/>
    <w:rsid w:val="00C517F3"/>
    <w:rsid w:val="00C51804"/>
    <w:rsid w:val="00C5181D"/>
    <w:rsid w:val="00C51C32"/>
    <w:rsid w:val="00C51CD5"/>
    <w:rsid w:val="00C51ED2"/>
    <w:rsid w:val="00C5207F"/>
    <w:rsid w:val="00C52139"/>
    <w:rsid w:val="00C52159"/>
    <w:rsid w:val="00C52286"/>
    <w:rsid w:val="00C523B0"/>
    <w:rsid w:val="00C524ED"/>
    <w:rsid w:val="00C52737"/>
    <w:rsid w:val="00C52906"/>
    <w:rsid w:val="00C52914"/>
    <w:rsid w:val="00C52999"/>
    <w:rsid w:val="00C52B45"/>
    <w:rsid w:val="00C52C92"/>
    <w:rsid w:val="00C52DAC"/>
    <w:rsid w:val="00C52DEF"/>
    <w:rsid w:val="00C5302F"/>
    <w:rsid w:val="00C53039"/>
    <w:rsid w:val="00C5335B"/>
    <w:rsid w:val="00C53383"/>
    <w:rsid w:val="00C533FE"/>
    <w:rsid w:val="00C53580"/>
    <w:rsid w:val="00C535BB"/>
    <w:rsid w:val="00C53686"/>
    <w:rsid w:val="00C5379C"/>
    <w:rsid w:val="00C53812"/>
    <w:rsid w:val="00C53840"/>
    <w:rsid w:val="00C5384F"/>
    <w:rsid w:val="00C538DB"/>
    <w:rsid w:val="00C539DF"/>
    <w:rsid w:val="00C53ABD"/>
    <w:rsid w:val="00C53AC7"/>
    <w:rsid w:val="00C53B12"/>
    <w:rsid w:val="00C53B14"/>
    <w:rsid w:val="00C53BAB"/>
    <w:rsid w:val="00C53C10"/>
    <w:rsid w:val="00C53E33"/>
    <w:rsid w:val="00C53E96"/>
    <w:rsid w:val="00C542DC"/>
    <w:rsid w:val="00C5436D"/>
    <w:rsid w:val="00C54383"/>
    <w:rsid w:val="00C5455F"/>
    <w:rsid w:val="00C54588"/>
    <w:rsid w:val="00C5467D"/>
    <w:rsid w:val="00C546F0"/>
    <w:rsid w:val="00C5474C"/>
    <w:rsid w:val="00C54990"/>
    <w:rsid w:val="00C54AE9"/>
    <w:rsid w:val="00C54D00"/>
    <w:rsid w:val="00C54F73"/>
    <w:rsid w:val="00C54FBC"/>
    <w:rsid w:val="00C550AE"/>
    <w:rsid w:val="00C551F3"/>
    <w:rsid w:val="00C55396"/>
    <w:rsid w:val="00C553A2"/>
    <w:rsid w:val="00C5553F"/>
    <w:rsid w:val="00C5561D"/>
    <w:rsid w:val="00C55660"/>
    <w:rsid w:val="00C55840"/>
    <w:rsid w:val="00C55890"/>
    <w:rsid w:val="00C55931"/>
    <w:rsid w:val="00C55947"/>
    <w:rsid w:val="00C55A36"/>
    <w:rsid w:val="00C55A5B"/>
    <w:rsid w:val="00C55C02"/>
    <w:rsid w:val="00C55D19"/>
    <w:rsid w:val="00C55E04"/>
    <w:rsid w:val="00C55E20"/>
    <w:rsid w:val="00C55F4D"/>
    <w:rsid w:val="00C55FDA"/>
    <w:rsid w:val="00C56031"/>
    <w:rsid w:val="00C5612E"/>
    <w:rsid w:val="00C5619E"/>
    <w:rsid w:val="00C56225"/>
    <w:rsid w:val="00C562FD"/>
    <w:rsid w:val="00C563FC"/>
    <w:rsid w:val="00C5642F"/>
    <w:rsid w:val="00C56498"/>
    <w:rsid w:val="00C564E6"/>
    <w:rsid w:val="00C5650F"/>
    <w:rsid w:val="00C5654D"/>
    <w:rsid w:val="00C56636"/>
    <w:rsid w:val="00C567B5"/>
    <w:rsid w:val="00C567ED"/>
    <w:rsid w:val="00C568C7"/>
    <w:rsid w:val="00C568F3"/>
    <w:rsid w:val="00C56B03"/>
    <w:rsid w:val="00C56B05"/>
    <w:rsid w:val="00C56B2D"/>
    <w:rsid w:val="00C56C72"/>
    <w:rsid w:val="00C56CBB"/>
    <w:rsid w:val="00C56D1B"/>
    <w:rsid w:val="00C56D93"/>
    <w:rsid w:val="00C56F13"/>
    <w:rsid w:val="00C5700E"/>
    <w:rsid w:val="00C570A1"/>
    <w:rsid w:val="00C5713B"/>
    <w:rsid w:val="00C5718B"/>
    <w:rsid w:val="00C573CB"/>
    <w:rsid w:val="00C57420"/>
    <w:rsid w:val="00C57546"/>
    <w:rsid w:val="00C575AC"/>
    <w:rsid w:val="00C575B4"/>
    <w:rsid w:val="00C5768F"/>
    <w:rsid w:val="00C576C1"/>
    <w:rsid w:val="00C579CC"/>
    <w:rsid w:val="00C579FE"/>
    <w:rsid w:val="00C57B9B"/>
    <w:rsid w:val="00C57C39"/>
    <w:rsid w:val="00C57C9E"/>
    <w:rsid w:val="00C57D46"/>
    <w:rsid w:val="00C57D7F"/>
    <w:rsid w:val="00C57DA5"/>
    <w:rsid w:val="00C57F7A"/>
    <w:rsid w:val="00C60061"/>
    <w:rsid w:val="00C60200"/>
    <w:rsid w:val="00C6024B"/>
    <w:rsid w:val="00C60281"/>
    <w:rsid w:val="00C6063E"/>
    <w:rsid w:val="00C60792"/>
    <w:rsid w:val="00C607F4"/>
    <w:rsid w:val="00C607F9"/>
    <w:rsid w:val="00C6088E"/>
    <w:rsid w:val="00C608A6"/>
    <w:rsid w:val="00C608E1"/>
    <w:rsid w:val="00C609E5"/>
    <w:rsid w:val="00C60A20"/>
    <w:rsid w:val="00C60AB5"/>
    <w:rsid w:val="00C60BE2"/>
    <w:rsid w:val="00C60C03"/>
    <w:rsid w:val="00C60CBA"/>
    <w:rsid w:val="00C60CEB"/>
    <w:rsid w:val="00C60E17"/>
    <w:rsid w:val="00C60E4C"/>
    <w:rsid w:val="00C60FB2"/>
    <w:rsid w:val="00C610B9"/>
    <w:rsid w:val="00C610F6"/>
    <w:rsid w:val="00C61156"/>
    <w:rsid w:val="00C6115E"/>
    <w:rsid w:val="00C6147A"/>
    <w:rsid w:val="00C6166C"/>
    <w:rsid w:val="00C61759"/>
    <w:rsid w:val="00C619ED"/>
    <w:rsid w:val="00C61C34"/>
    <w:rsid w:val="00C61C4C"/>
    <w:rsid w:val="00C61CAF"/>
    <w:rsid w:val="00C61D0E"/>
    <w:rsid w:val="00C61D4D"/>
    <w:rsid w:val="00C61DF3"/>
    <w:rsid w:val="00C61FC6"/>
    <w:rsid w:val="00C621DE"/>
    <w:rsid w:val="00C62352"/>
    <w:rsid w:val="00C6287D"/>
    <w:rsid w:val="00C628B1"/>
    <w:rsid w:val="00C629E4"/>
    <w:rsid w:val="00C62C2C"/>
    <w:rsid w:val="00C62CFB"/>
    <w:rsid w:val="00C62DB7"/>
    <w:rsid w:val="00C62E3A"/>
    <w:rsid w:val="00C62E4A"/>
    <w:rsid w:val="00C62F1F"/>
    <w:rsid w:val="00C62F3D"/>
    <w:rsid w:val="00C6304D"/>
    <w:rsid w:val="00C63280"/>
    <w:rsid w:val="00C6334C"/>
    <w:rsid w:val="00C63361"/>
    <w:rsid w:val="00C637B9"/>
    <w:rsid w:val="00C637BE"/>
    <w:rsid w:val="00C637F4"/>
    <w:rsid w:val="00C639C5"/>
    <w:rsid w:val="00C639DB"/>
    <w:rsid w:val="00C63A1A"/>
    <w:rsid w:val="00C63AD7"/>
    <w:rsid w:val="00C63CBC"/>
    <w:rsid w:val="00C63CCE"/>
    <w:rsid w:val="00C63D03"/>
    <w:rsid w:val="00C63D97"/>
    <w:rsid w:val="00C63F34"/>
    <w:rsid w:val="00C63FF9"/>
    <w:rsid w:val="00C6417D"/>
    <w:rsid w:val="00C642CD"/>
    <w:rsid w:val="00C643CF"/>
    <w:rsid w:val="00C64462"/>
    <w:rsid w:val="00C64577"/>
    <w:rsid w:val="00C645E9"/>
    <w:rsid w:val="00C646DB"/>
    <w:rsid w:val="00C647C0"/>
    <w:rsid w:val="00C647C9"/>
    <w:rsid w:val="00C649DE"/>
    <w:rsid w:val="00C64A0E"/>
    <w:rsid w:val="00C64BF0"/>
    <w:rsid w:val="00C64CD1"/>
    <w:rsid w:val="00C64CF5"/>
    <w:rsid w:val="00C64DD4"/>
    <w:rsid w:val="00C64E35"/>
    <w:rsid w:val="00C64F5C"/>
    <w:rsid w:val="00C65006"/>
    <w:rsid w:val="00C6508C"/>
    <w:rsid w:val="00C65212"/>
    <w:rsid w:val="00C65236"/>
    <w:rsid w:val="00C6523E"/>
    <w:rsid w:val="00C6524A"/>
    <w:rsid w:val="00C652E2"/>
    <w:rsid w:val="00C65565"/>
    <w:rsid w:val="00C655F1"/>
    <w:rsid w:val="00C6562E"/>
    <w:rsid w:val="00C6567A"/>
    <w:rsid w:val="00C65687"/>
    <w:rsid w:val="00C656F2"/>
    <w:rsid w:val="00C657B8"/>
    <w:rsid w:val="00C6585A"/>
    <w:rsid w:val="00C65A1E"/>
    <w:rsid w:val="00C65AC9"/>
    <w:rsid w:val="00C65B67"/>
    <w:rsid w:val="00C65C38"/>
    <w:rsid w:val="00C65D07"/>
    <w:rsid w:val="00C65D81"/>
    <w:rsid w:val="00C65DFF"/>
    <w:rsid w:val="00C65E28"/>
    <w:rsid w:val="00C65E74"/>
    <w:rsid w:val="00C65E9C"/>
    <w:rsid w:val="00C66062"/>
    <w:rsid w:val="00C66217"/>
    <w:rsid w:val="00C66252"/>
    <w:rsid w:val="00C663D4"/>
    <w:rsid w:val="00C66434"/>
    <w:rsid w:val="00C6647E"/>
    <w:rsid w:val="00C664E8"/>
    <w:rsid w:val="00C66510"/>
    <w:rsid w:val="00C666B8"/>
    <w:rsid w:val="00C6688A"/>
    <w:rsid w:val="00C668E6"/>
    <w:rsid w:val="00C6693D"/>
    <w:rsid w:val="00C66BED"/>
    <w:rsid w:val="00C66C01"/>
    <w:rsid w:val="00C66E27"/>
    <w:rsid w:val="00C66E98"/>
    <w:rsid w:val="00C671F3"/>
    <w:rsid w:val="00C6727C"/>
    <w:rsid w:val="00C6743D"/>
    <w:rsid w:val="00C67472"/>
    <w:rsid w:val="00C674A5"/>
    <w:rsid w:val="00C67553"/>
    <w:rsid w:val="00C675CC"/>
    <w:rsid w:val="00C67822"/>
    <w:rsid w:val="00C679E0"/>
    <w:rsid w:val="00C67C43"/>
    <w:rsid w:val="00C67C9A"/>
    <w:rsid w:val="00C67CD1"/>
    <w:rsid w:val="00C67D23"/>
    <w:rsid w:val="00C67D6D"/>
    <w:rsid w:val="00C67F22"/>
    <w:rsid w:val="00C7014E"/>
    <w:rsid w:val="00C701EF"/>
    <w:rsid w:val="00C70267"/>
    <w:rsid w:val="00C7041D"/>
    <w:rsid w:val="00C7057D"/>
    <w:rsid w:val="00C706DC"/>
    <w:rsid w:val="00C7072A"/>
    <w:rsid w:val="00C707DE"/>
    <w:rsid w:val="00C707E4"/>
    <w:rsid w:val="00C70806"/>
    <w:rsid w:val="00C70870"/>
    <w:rsid w:val="00C70983"/>
    <w:rsid w:val="00C709E5"/>
    <w:rsid w:val="00C709EC"/>
    <w:rsid w:val="00C70A7B"/>
    <w:rsid w:val="00C70B26"/>
    <w:rsid w:val="00C70B28"/>
    <w:rsid w:val="00C70D9F"/>
    <w:rsid w:val="00C70DB7"/>
    <w:rsid w:val="00C70F98"/>
    <w:rsid w:val="00C71062"/>
    <w:rsid w:val="00C710A3"/>
    <w:rsid w:val="00C711E5"/>
    <w:rsid w:val="00C7120B"/>
    <w:rsid w:val="00C7122F"/>
    <w:rsid w:val="00C712AB"/>
    <w:rsid w:val="00C7137F"/>
    <w:rsid w:val="00C715A3"/>
    <w:rsid w:val="00C716EB"/>
    <w:rsid w:val="00C718CA"/>
    <w:rsid w:val="00C718D1"/>
    <w:rsid w:val="00C71B92"/>
    <w:rsid w:val="00C71C6A"/>
    <w:rsid w:val="00C71C7F"/>
    <w:rsid w:val="00C71CBE"/>
    <w:rsid w:val="00C71D15"/>
    <w:rsid w:val="00C71E06"/>
    <w:rsid w:val="00C71EAD"/>
    <w:rsid w:val="00C71F98"/>
    <w:rsid w:val="00C71FA4"/>
    <w:rsid w:val="00C71FF4"/>
    <w:rsid w:val="00C72036"/>
    <w:rsid w:val="00C72052"/>
    <w:rsid w:val="00C7216C"/>
    <w:rsid w:val="00C72273"/>
    <w:rsid w:val="00C72411"/>
    <w:rsid w:val="00C7242D"/>
    <w:rsid w:val="00C724AE"/>
    <w:rsid w:val="00C7250A"/>
    <w:rsid w:val="00C72570"/>
    <w:rsid w:val="00C72717"/>
    <w:rsid w:val="00C72822"/>
    <w:rsid w:val="00C728A6"/>
    <w:rsid w:val="00C72A33"/>
    <w:rsid w:val="00C72CBE"/>
    <w:rsid w:val="00C72D10"/>
    <w:rsid w:val="00C72DD4"/>
    <w:rsid w:val="00C72DE0"/>
    <w:rsid w:val="00C7308D"/>
    <w:rsid w:val="00C731AF"/>
    <w:rsid w:val="00C731DA"/>
    <w:rsid w:val="00C7336E"/>
    <w:rsid w:val="00C733F8"/>
    <w:rsid w:val="00C737E1"/>
    <w:rsid w:val="00C7388B"/>
    <w:rsid w:val="00C73927"/>
    <w:rsid w:val="00C739D8"/>
    <w:rsid w:val="00C73B61"/>
    <w:rsid w:val="00C73C65"/>
    <w:rsid w:val="00C73D2D"/>
    <w:rsid w:val="00C73DF3"/>
    <w:rsid w:val="00C73F03"/>
    <w:rsid w:val="00C7414C"/>
    <w:rsid w:val="00C7422E"/>
    <w:rsid w:val="00C742F3"/>
    <w:rsid w:val="00C74332"/>
    <w:rsid w:val="00C74388"/>
    <w:rsid w:val="00C743D5"/>
    <w:rsid w:val="00C74592"/>
    <w:rsid w:val="00C745B2"/>
    <w:rsid w:val="00C74909"/>
    <w:rsid w:val="00C749CA"/>
    <w:rsid w:val="00C74B0D"/>
    <w:rsid w:val="00C74D54"/>
    <w:rsid w:val="00C74D78"/>
    <w:rsid w:val="00C74F67"/>
    <w:rsid w:val="00C75004"/>
    <w:rsid w:val="00C7510B"/>
    <w:rsid w:val="00C7511D"/>
    <w:rsid w:val="00C751EE"/>
    <w:rsid w:val="00C7520E"/>
    <w:rsid w:val="00C7529F"/>
    <w:rsid w:val="00C7539B"/>
    <w:rsid w:val="00C754F3"/>
    <w:rsid w:val="00C75566"/>
    <w:rsid w:val="00C75739"/>
    <w:rsid w:val="00C757A2"/>
    <w:rsid w:val="00C757F9"/>
    <w:rsid w:val="00C7581E"/>
    <w:rsid w:val="00C75994"/>
    <w:rsid w:val="00C75AC1"/>
    <w:rsid w:val="00C75B03"/>
    <w:rsid w:val="00C75DF7"/>
    <w:rsid w:val="00C75E06"/>
    <w:rsid w:val="00C76003"/>
    <w:rsid w:val="00C76072"/>
    <w:rsid w:val="00C760CA"/>
    <w:rsid w:val="00C7635D"/>
    <w:rsid w:val="00C7644C"/>
    <w:rsid w:val="00C764B6"/>
    <w:rsid w:val="00C76503"/>
    <w:rsid w:val="00C7663C"/>
    <w:rsid w:val="00C7676E"/>
    <w:rsid w:val="00C76B0C"/>
    <w:rsid w:val="00C76B6D"/>
    <w:rsid w:val="00C76B73"/>
    <w:rsid w:val="00C76CF9"/>
    <w:rsid w:val="00C76E4F"/>
    <w:rsid w:val="00C76E7F"/>
    <w:rsid w:val="00C76EA9"/>
    <w:rsid w:val="00C76EDD"/>
    <w:rsid w:val="00C76F11"/>
    <w:rsid w:val="00C77016"/>
    <w:rsid w:val="00C77066"/>
    <w:rsid w:val="00C770D0"/>
    <w:rsid w:val="00C77221"/>
    <w:rsid w:val="00C7725A"/>
    <w:rsid w:val="00C77284"/>
    <w:rsid w:val="00C772C9"/>
    <w:rsid w:val="00C77387"/>
    <w:rsid w:val="00C774BA"/>
    <w:rsid w:val="00C7750B"/>
    <w:rsid w:val="00C77573"/>
    <w:rsid w:val="00C776CC"/>
    <w:rsid w:val="00C77727"/>
    <w:rsid w:val="00C7777C"/>
    <w:rsid w:val="00C7790D"/>
    <w:rsid w:val="00C77AF1"/>
    <w:rsid w:val="00C77D10"/>
    <w:rsid w:val="00C77DE1"/>
    <w:rsid w:val="00C77ED3"/>
    <w:rsid w:val="00C77EE3"/>
    <w:rsid w:val="00C77EE8"/>
    <w:rsid w:val="00C77EEE"/>
    <w:rsid w:val="00C77F0A"/>
    <w:rsid w:val="00C77F3E"/>
    <w:rsid w:val="00C8001A"/>
    <w:rsid w:val="00C80055"/>
    <w:rsid w:val="00C8013B"/>
    <w:rsid w:val="00C80159"/>
    <w:rsid w:val="00C80208"/>
    <w:rsid w:val="00C802FA"/>
    <w:rsid w:val="00C802FC"/>
    <w:rsid w:val="00C80306"/>
    <w:rsid w:val="00C80315"/>
    <w:rsid w:val="00C80351"/>
    <w:rsid w:val="00C805E2"/>
    <w:rsid w:val="00C8060E"/>
    <w:rsid w:val="00C80691"/>
    <w:rsid w:val="00C80748"/>
    <w:rsid w:val="00C80800"/>
    <w:rsid w:val="00C8088D"/>
    <w:rsid w:val="00C8095F"/>
    <w:rsid w:val="00C80A36"/>
    <w:rsid w:val="00C80A9D"/>
    <w:rsid w:val="00C80EE0"/>
    <w:rsid w:val="00C80F18"/>
    <w:rsid w:val="00C81017"/>
    <w:rsid w:val="00C81090"/>
    <w:rsid w:val="00C810BC"/>
    <w:rsid w:val="00C810BF"/>
    <w:rsid w:val="00C81315"/>
    <w:rsid w:val="00C81517"/>
    <w:rsid w:val="00C81530"/>
    <w:rsid w:val="00C81578"/>
    <w:rsid w:val="00C817B3"/>
    <w:rsid w:val="00C817B4"/>
    <w:rsid w:val="00C817BC"/>
    <w:rsid w:val="00C817FD"/>
    <w:rsid w:val="00C8187C"/>
    <w:rsid w:val="00C818A3"/>
    <w:rsid w:val="00C81DCC"/>
    <w:rsid w:val="00C81DF4"/>
    <w:rsid w:val="00C82003"/>
    <w:rsid w:val="00C8200E"/>
    <w:rsid w:val="00C82017"/>
    <w:rsid w:val="00C820A5"/>
    <w:rsid w:val="00C8214D"/>
    <w:rsid w:val="00C8220A"/>
    <w:rsid w:val="00C82297"/>
    <w:rsid w:val="00C822D1"/>
    <w:rsid w:val="00C822E9"/>
    <w:rsid w:val="00C823AD"/>
    <w:rsid w:val="00C824B2"/>
    <w:rsid w:val="00C8263C"/>
    <w:rsid w:val="00C82669"/>
    <w:rsid w:val="00C826DA"/>
    <w:rsid w:val="00C82728"/>
    <w:rsid w:val="00C82775"/>
    <w:rsid w:val="00C82825"/>
    <w:rsid w:val="00C8291D"/>
    <w:rsid w:val="00C82924"/>
    <w:rsid w:val="00C82B9D"/>
    <w:rsid w:val="00C82C9F"/>
    <w:rsid w:val="00C82DAD"/>
    <w:rsid w:val="00C82F34"/>
    <w:rsid w:val="00C83054"/>
    <w:rsid w:val="00C8307F"/>
    <w:rsid w:val="00C8309A"/>
    <w:rsid w:val="00C83163"/>
    <w:rsid w:val="00C83256"/>
    <w:rsid w:val="00C832AD"/>
    <w:rsid w:val="00C832E0"/>
    <w:rsid w:val="00C83358"/>
    <w:rsid w:val="00C83432"/>
    <w:rsid w:val="00C835A2"/>
    <w:rsid w:val="00C83610"/>
    <w:rsid w:val="00C83692"/>
    <w:rsid w:val="00C837EF"/>
    <w:rsid w:val="00C837F3"/>
    <w:rsid w:val="00C8399C"/>
    <w:rsid w:val="00C83A44"/>
    <w:rsid w:val="00C83B03"/>
    <w:rsid w:val="00C83BFD"/>
    <w:rsid w:val="00C83D05"/>
    <w:rsid w:val="00C83D06"/>
    <w:rsid w:val="00C83D40"/>
    <w:rsid w:val="00C83FF2"/>
    <w:rsid w:val="00C8404E"/>
    <w:rsid w:val="00C840B0"/>
    <w:rsid w:val="00C8418B"/>
    <w:rsid w:val="00C842F0"/>
    <w:rsid w:val="00C842F8"/>
    <w:rsid w:val="00C8432F"/>
    <w:rsid w:val="00C8447F"/>
    <w:rsid w:val="00C8449F"/>
    <w:rsid w:val="00C84584"/>
    <w:rsid w:val="00C8464A"/>
    <w:rsid w:val="00C8469B"/>
    <w:rsid w:val="00C846AD"/>
    <w:rsid w:val="00C84724"/>
    <w:rsid w:val="00C8482C"/>
    <w:rsid w:val="00C8482F"/>
    <w:rsid w:val="00C84833"/>
    <w:rsid w:val="00C848D9"/>
    <w:rsid w:val="00C84903"/>
    <w:rsid w:val="00C84967"/>
    <w:rsid w:val="00C84A26"/>
    <w:rsid w:val="00C84A5D"/>
    <w:rsid w:val="00C84C8C"/>
    <w:rsid w:val="00C84CFA"/>
    <w:rsid w:val="00C84FE0"/>
    <w:rsid w:val="00C851F3"/>
    <w:rsid w:val="00C8526D"/>
    <w:rsid w:val="00C85367"/>
    <w:rsid w:val="00C85368"/>
    <w:rsid w:val="00C85386"/>
    <w:rsid w:val="00C854EF"/>
    <w:rsid w:val="00C85502"/>
    <w:rsid w:val="00C85558"/>
    <w:rsid w:val="00C85564"/>
    <w:rsid w:val="00C855B5"/>
    <w:rsid w:val="00C8560F"/>
    <w:rsid w:val="00C8562D"/>
    <w:rsid w:val="00C8565E"/>
    <w:rsid w:val="00C85670"/>
    <w:rsid w:val="00C85890"/>
    <w:rsid w:val="00C858D3"/>
    <w:rsid w:val="00C8598D"/>
    <w:rsid w:val="00C85A9E"/>
    <w:rsid w:val="00C85AB8"/>
    <w:rsid w:val="00C85BD4"/>
    <w:rsid w:val="00C85BEB"/>
    <w:rsid w:val="00C85DB4"/>
    <w:rsid w:val="00C85FA8"/>
    <w:rsid w:val="00C86091"/>
    <w:rsid w:val="00C86092"/>
    <w:rsid w:val="00C861AE"/>
    <w:rsid w:val="00C861B2"/>
    <w:rsid w:val="00C861F3"/>
    <w:rsid w:val="00C86224"/>
    <w:rsid w:val="00C8623E"/>
    <w:rsid w:val="00C86294"/>
    <w:rsid w:val="00C86372"/>
    <w:rsid w:val="00C86421"/>
    <w:rsid w:val="00C8644F"/>
    <w:rsid w:val="00C86498"/>
    <w:rsid w:val="00C864AE"/>
    <w:rsid w:val="00C868F0"/>
    <w:rsid w:val="00C8690D"/>
    <w:rsid w:val="00C86A42"/>
    <w:rsid w:val="00C86A80"/>
    <w:rsid w:val="00C86BDA"/>
    <w:rsid w:val="00C86E67"/>
    <w:rsid w:val="00C86EB8"/>
    <w:rsid w:val="00C87003"/>
    <w:rsid w:val="00C87014"/>
    <w:rsid w:val="00C8709E"/>
    <w:rsid w:val="00C870A2"/>
    <w:rsid w:val="00C870A4"/>
    <w:rsid w:val="00C87196"/>
    <w:rsid w:val="00C871B9"/>
    <w:rsid w:val="00C87241"/>
    <w:rsid w:val="00C873CF"/>
    <w:rsid w:val="00C874A0"/>
    <w:rsid w:val="00C87594"/>
    <w:rsid w:val="00C875C4"/>
    <w:rsid w:val="00C875EF"/>
    <w:rsid w:val="00C8762E"/>
    <w:rsid w:val="00C8779A"/>
    <w:rsid w:val="00C8785F"/>
    <w:rsid w:val="00C87A2E"/>
    <w:rsid w:val="00C87A73"/>
    <w:rsid w:val="00C87AA4"/>
    <w:rsid w:val="00C87BF3"/>
    <w:rsid w:val="00C87C2A"/>
    <w:rsid w:val="00C87C42"/>
    <w:rsid w:val="00C87CF2"/>
    <w:rsid w:val="00C87DDC"/>
    <w:rsid w:val="00C900FE"/>
    <w:rsid w:val="00C90139"/>
    <w:rsid w:val="00C90161"/>
    <w:rsid w:val="00C901A3"/>
    <w:rsid w:val="00C9032B"/>
    <w:rsid w:val="00C903A5"/>
    <w:rsid w:val="00C90436"/>
    <w:rsid w:val="00C90477"/>
    <w:rsid w:val="00C90492"/>
    <w:rsid w:val="00C9050D"/>
    <w:rsid w:val="00C90543"/>
    <w:rsid w:val="00C90556"/>
    <w:rsid w:val="00C905C6"/>
    <w:rsid w:val="00C9087B"/>
    <w:rsid w:val="00C908B3"/>
    <w:rsid w:val="00C90903"/>
    <w:rsid w:val="00C90921"/>
    <w:rsid w:val="00C909E9"/>
    <w:rsid w:val="00C909F3"/>
    <w:rsid w:val="00C90A53"/>
    <w:rsid w:val="00C90ED2"/>
    <w:rsid w:val="00C90EE0"/>
    <w:rsid w:val="00C90F52"/>
    <w:rsid w:val="00C90F5E"/>
    <w:rsid w:val="00C90FA8"/>
    <w:rsid w:val="00C90FB5"/>
    <w:rsid w:val="00C910BD"/>
    <w:rsid w:val="00C910C6"/>
    <w:rsid w:val="00C91216"/>
    <w:rsid w:val="00C9126E"/>
    <w:rsid w:val="00C91304"/>
    <w:rsid w:val="00C91308"/>
    <w:rsid w:val="00C9156B"/>
    <w:rsid w:val="00C9159F"/>
    <w:rsid w:val="00C91668"/>
    <w:rsid w:val="00C91818"/>
    <w:rsid w:val="00C91870"/>
    <w:rsid w:val="00C9193A"/>
    <w:rsid w:val="00C91A25"/>
    <w:rsid w:val="00C91A8D"/>
    <w:rsid w:val="00C91AB9"/>
    <w:rsid w:val="00C91B1C"/>
    <w:rsid w:val="00C91BCF"/>
    <w:rsid w:val="00C91C75"/>
    <w:rsid w:val="00C91DF5"/>
    <w:rsid w:val="00C91DFA"/>
    <w:rsid w:val="00C91E08"/>
    <w:rsid w:val="00C91E2A"/>
    <w:rsid w:val="00C91EB6"/>
    <w:rsid w:val="00C9223A"/>
    <w:rsid w:val="00C922A6"/>
    <w:rsid w:val="00C923A6"/>
    <w:rsid w:val="00C923F0"/>
    <w:rsid w:val="00C9250E"/>
    <w:rsid w:val="00C9259F"/>
    <w:rsid w:val="00C92623"/>
    <w:rsid w:val="00C92657"/>
    <w:rsid w:val="00C927CE"/>
    <w:rsid w:val="00C9284E"/>
    <w:rsid w:val="00C9286C"/>
    <w:rsid w:val="00C92906"/>
    <w:rsid w:val="00C92B86"/>
    <w:rsid w:val="00C92C2C"/>
    <w:rsid w:val="00C92C63"/>
    <w:rsid w:val="00C92C7A"/>
    <w:rsid w:val="00C92CE7"/>
    <w:rsid w:val="00C92D83"/>
    <w:rsid w:val="00C92EF6"/>
    <w:rsid w:val="00C92F73"/>
    <w:rsid w:val="00C93002"/>
    <w:rsid w:val="00C9306C"/>
    <w:rsid w:val="00C930A2"/>
    <w:rsid w:val="00C930FE"/>
    <w:rsid w:val="00C93258"/>
    <w:rsid w:val="00C93317"/>
    <w:rsid w:val="00C93432"/>
    <w:rsid w:val="00C93687"/>
    <w:rsid w:val="00C936CF"/>
    <w:rsid w:val="00C9370D"/>
    <w:rsid w:val="00C93720"/>
    <w:rsid w:val="00C937B5"/>
    <w:rsid w:val="00C937FA"/>
    <w:rsid w:val="00C937FF"/>
    <w:rsid w:val="00C938B7"/>
    <w:rsid w:val="00C9393D"/>
    <w:rsid w:val="00C93A00"/>
    <w:rsid w:val="00C93A14"/>
    <w:rsid w:val="00C93A68"/>
    <w:rsid w:val="00C93AE9"/>
    <w:rsid w:val="00C93BE9"/>
    <w:rsid w:val="00C93C29"/>
    <w:rsid w:val="00C93E06"/>
    <w:rsid w:val="00C93E43"/>
    <w:rsid w:val="00C93EC0"/>
    <w:rsid w:val="00C93F02"/>
    <w:rsid w:val="00C9435D"/>
    <w:rsid w:val="00C94499"/>
    <w:rsid w:val="00C944BF"/>
    <w:rsid w:val="00C944E0"/>
    <w:rsid w:val="00C944EC"/>
    <w:rsid w:val="00C94530"/>
    <w:rsid w:val="00C9461F"/>
    <w:rsid w:val="00C94626"/>
    <w:rsid w:val="00C94705"/>
    <w:rsid w:val="00C947C0"/>
    <w:rsid w:val="00C948D5"/>
    <w:rsid w:val="00C94924"/>
    <w:rsid w:val="00C949F1"/>
    <w:rsid w:val="00C94B38"/>
    <w:rsid w:val="00C94B5F"/>
    <w:rsid w:val="00C94D5A"/>
    <w:rsid w:val="00C94D7F"/>
    <w:rsid w:val="00C95114"/>
    <w:rsid w:val="00C95251"/>
    <w:rsid w:val="00C9531C"/>
    <w:rsid w:val="00C95394"/>
    <w:rsid w:val="00C954A3"/>
    <w:rsid w:val="00C954DB"/>
    <w:rsid w:val="00C955AC"/>
    <w:rsid w:val="00C95709"/>
    <w:rsid w:val="00C95911"/>
    <w:rsid w:val="00C9592E"/>
    <w:rsid w:val="00C959F4"/>
    <w:rsid w:val="00C95A7A"/>
    <w:rsid w:val="00C95AAD"/>
    <w:rsid w:val="00C95C6E"/>
    <w:rsid w:val="00C95CAF"/>
    <w:rsid w:val="00C96234"/>
    <w:rsid w:val="00C96379"/>
    <w:rsid w:val="00C963AA"/>
    <w:rsid w:val="00C964C7"/>
    <w:rsid w:val="00C965E2"/>
    <w:rsid w:val="00C96832"/>
    <w:rsid w:val="00C96864"/>
    <w:rsid w:val="00C9695E"/>
    <w:rsid w:val="00C969E9"/>
    <w:rsid w:val="00C96A37"/>
    <w:rsid w:val="00C96A7F"/>
    <w:rsid w:val="00C96AEE"/>
    <w:rsid w:val="00C96B3C"/>
    <w:rsid w:val="00C96C6D"/>
    <w:rsid w:val="00C96C87"/>
    <w:rsid w:val="00C96ED8"/>
    <w:rsid w:val="00C96F36"/>
    <w:rsid w:val="00C9701B"/>
    <w:rsid w:val="00C9703E"/>
    <w:rsid w:val="00C9707C"/>
    <w:rsid w:val="00C97299"/>
    <w:rsid w:val="00C9735D"/>
    <w:rsid w:val="00C973B0"/>
    <w:rsid w:val="00C973DB"/>
    <w:rsid w:val="00C97431"/>
    <w:rsid w:val="00C97621"/>
    <w:rsid w:val="00C97800"/>
    <w:rsid w:val="00C978A1"/>
    <w:rsid w:val="00C97A6D"/>
    <w:rsid w:val="00C97AA0"/>
    <w:rsid w:val="00C97EA7"/>
    <w:rsid w:val="00C97EFC"/>
    <w:rsid w:val="00C97F32"/>
    <w:rsid w:val="00CA0019"/>
    <w:rsid w:val="00CA0192"/>
    <w:rsid w:val="00CA02FC"/>
    <w:rsid w:val="00CA0358"/>
    <w:rsid w:val="00CA03F1"/>
    <w:rsid w:val="00CA05DB"/>
    <w:rsid w:val="00CA0654"/>
    <w:rsid w:val="00CA0697"/>
    <w:rsid w:val="00CA06BE"/>
    <w:rsid w:val="00CA0714"/>
    <w:rsid w:val="00CA0740"/>
    <w:rsid w:val="00CA0869"/>
    <w:rsid w:val="00CA08DE"/>
    <w:rsid w:val="00CA09DD"/>
    <w:rsid w:val="00CA0A0C"/>
    <w:rsid w:val="00CA0BA1"/>
    <w:rsid w:val="00CA0BED"/>
    <w:rsid w:val="00CA0CB6"/>
    <w:rsid w:val="00CA0D2A"/>
    <w:rsid w:val="00CA0D70"/>
    <w:rsid w:val="00CA0E23"/>
    <w:rsid w:val="00CA0E9B"/>
    <w:rsid w:val="00CA0F7E"/>
    <w:rsid w:val="00CA1313"/>
    <w:rsid w:val="00CA1325"/>
    <w:rsid w:val="00CA1422"/>
    <w:rsid w:val="00CA1477"/>
    <w:rsid w:val="00CA14CA"/>
    <w:rsid w:val="00CA1689"/>
    <w:rsid w:val="00CA17D4"/>
    <w:rsid w:val="00CA1812"/>
    <w:rsid w:val="00CA1984"/>
    <w:rsid w:val="00CA1BFF"/>
    <w:rsid w:val="00CA1C01"/>
    <w:rsid w:val="00CA1C60"/>
    <w:rsid w:val="00CA20B5"/>
    <w:rsid w:val="00CA20D2"/>
    <w:rsid w:val="00CA2117"/>
    <w:rsid w:val="00CA215A"/>
    <w:rsid w:val="00CA2162"/>
    <w:rsid w:val="00CA21FF"/>
    <w:rsid w:val="00CA23F4"/>
    <w:rsid w:val="00CA245C"/>
    <w:rsid w:val="00CA266A"/>
    <w:rsid w:val="00CA26D7"/>
    <w:rsid w:val="00CA2726"/>
    <w:rsid w:val="00CA28B0"/>
    <w:rsid w:val="00CA28BD"/>
    <w:rsid w:val="00CA2A70"/>
    <w:rsid w:val="00CA2ABD"/>
    <w:rsid w:val="00CA2ADD"/>
    <w:rsid w:val="00CA2B2C"/>
    <w:rsid w:val="00CA2BB0"/>
    <w:rsid w:val="00CA2C42"/>
    <w:rsid w:val="00CA2D48"/>
    <w:rsid w:val="00CA2DBE"/>
    <w:rsid w:val="00CA2DE2"/>
    <w:rsid w:val="00CA2F01"/>
    <w:rsid w:val="00CA2F43"/>
    <w:rsid w:val="00CA3047"/>
    <w:rsid w:val="00CA3089"/>
    <w:rsid w:val="00CA313A"/>
    <w:rsid w:val="00CA31BE"/>
    <w:rsid w:val="00CA32C4"/>
    <w:rsid w:val="00CA33C4"/>
    <w:rsid w:val="00CA3440"/>
    <w:rsid w:val="00CA364A"/>
    <w:rsid w:val="00CA3737"/>
    <w:rsid w:val="00CA378F"/>
    <w:rsid w:val="00CA37C7"/>
    <w:rsid w:val="00CA3807"/>
    <w:rsid w:val="00CA3844"/>
    <w:rsid w:val="00CA387F"/>
    <w:rsid w:val="00CA38FF"/>
    <w:rsid w:val="00CA39DC"/>
    <w:rsid w:val="00CA3B91"/>
    <w:rsid w:val="00CA3C57"/>
    <w:rsid w:val="00CA3D2A"/>
    <w:rsid w:val="00CA3E44"/>
    <w:rsid w:val="00CA3F74"/>
    <w:rsid w:val="00CA3FF9"/>
    <w:rsid w:val="00CA40D4"/>
    <w:rsid w:val="00CA40EE"/>
    <w:rsid w:val="00CA43FA"/>
    <w:rsid w:val="00CA44B0"/>
    <w:rsid w:val="00CA45DF"/>
    <w:rsid w:val="00CA45E1"/>
    <w:rsid w:val="00CA466B"/>
    <w:rsid w:val="00CA4785"/>
    <w:rsid w:val="00CA478A"/>
    <w:rsid w:val="00CA47EF"/>
    <w:rsid w:val="00CA48DC"/>
    <w:rsid w:val="00CA4919"/>
    <w:rsid w:val="00CA49A4"/>
    <w:rsid w:val="00CA49C7"/>
    <w:rsid w:val="00CA49C9"/>
    <w:rsid w:val="00CA4AE7"/>
    <w:rsid w:val="00CA4B06"/>
    <w:rsid w:val="00CA4D19"/>
    <w:rsid w:val="00CA4D88"/>
    <w:rsid w:val="00CA4EAB"/>
    <w:rsid w:val="00CA4F39"/>
    <w:rsid w:val="00CA4F3C"/>
    <w:rsid w:val="00CA4FA9"/>
    <w:rsid w:val="00CA5003"/>
    <w:rsid w:val="00CA50B6"/>
    <w:rsid w:val="00CA51EC"/>
    <w:rsid w:val="00CA520E"/>
    <w:rsid w:val="00CA52A1"/>
    <w:rsid w:val="00CA52A3"/>
    <w:rsid w:val="00CA53CC"/>
    <w:rsid w:val="00CA5423"/>
    <w:rsid w:val="00CA5543"/>
    <w:rsid w:val="00CA5561"/>
    <w:rsid w:val="00CA55DB"/>
    <w:rsid w:val="00CA562C"/>
    <w:rsid w:val="00CA56CF"/>
    <w:rsid w:val="00CA5701"/>
    <w:rsid w:val="00CA5729"/>
    <w:rsid w:val="00CA5790"/>
    <w:rsid w:val="00CA57E5"/>
    <w:rsid w:val="00CA5862"/>
    <w:rsid w:val="00CA58A7"/>
    <w:rsid w:val="00CA58E4"/>
    <w:rsid w:val="00CA5962"/>
    <w:rsid w:val="00CA5A9A"/>
    <w:rsid w:val="00CA5B38"/>
    <w:rsid w:val="00CA5DD0"/>
    <w:rsid w:val="00CA5E01"/>
    <w:rsid w:val="00CA5E4C"/>
    <w:rsid w:val="00CA5EBA"/>
    <w:rsid w:val="00CA5EE9"/>
    <w:rsid w:val="00CA5F26"/>
    <w:rsid w:val="00CA5F7E"/>
    <w:rsid w:val="00CA5F89"/>
    <w:rsid w:val="00CA6006"/>
    <w:rsid w:val="00CA60F0"/>
    <w:rsid w:val="00CA6169"/>
    <w:rsid w:val="00CA62A2"/>
    <w:rsid w:val="00CA6355"/>
    <w:rsid w:val="00CA635A"/>
    <w:rsid w:val="00CA6528"/>
    <w:rsid w:val="00CA65A3"/>
    <w:rsid w:val="00CA6653"/>
    <w:rsid w:val="00CA6682"/>
    <w:rsid w:val="00CA66BF"/>
    <w:rsid w:val="00CA6733"/>
    <w:rsid w:val="00CA6790"/>
    <w:rsid w:val="00CA67A3"/>
    <w:rsid w:val="00CA68D4"/>
    <w:rsid w:val="00CA69DB"/>
    <w:rsid w:val="00CA6ADA"/>
    <w:rsid w:val="00CA6AEA"/>
    <w:rsid w:val="00CA6B77"/>
    <w:rsid w:val="00CA6CFB"/>
    <w:rsid w:val="00CA6F16"/>
    <w:rsid w:val="00CA7447"/>
    <w:rsid w:val="00CA748C"/>
    <w:rsid w:val="00CA7558"/>
    <w:rsid w:val="00CA75C0"/>
    <w:rsid w:val="00CA7612"/>
    <w:rsid w:val="00CA763C"/>
    <w:rsid w:val="00CA7651"/>
    <w:rsid w:val="00CA76E9"/>
    <w:rsid w:val="00CA7706"/>
    <w:rsid w:val="00CA77F6"/>
    <w:rsid w:val="00CA78A3"/>
    <w:rsid w:val="00CA79FF"/>
    <w:rsid w:val="00CA7B55"/>
    <w:rsid w:val="00CA7CBC"/>
    <w:rsid w:val="00CA7D86"/>
    <w:rsid w:val="00CA7E15"/>
    <w:rsid w:val="00CB0026"/>
    <w:rsid w:val="00CB0090"/>
    <w:rsid w:val="00CB00BF"/>
    <w:rsid w:val="00CB00C2"/>
    <w:rsid w:val="00CB016C"/>
    <w:rsid w:val="00CB0329"/>
    <w:rsid w:val="00CB0345"/>
    <w:rsid w:val="00CB040A"/>
    <w:rsid w:val="00CB05C2"/>
    <w:rsid w:val="00CB0604"/>
    <w:rsid w:val="00CB064B"/>
    <w:rsid w:val="00CB0703"/>
    <w:rsid w:val="00CB0737"/>
    <w:rsid w:val="00CB07DB"/>
    <w:rsid w:val="00CB0846"/>
    <w:rsid w:val="00CB0891"/>
    <w:rsid w:val="00CB0956"/>
    <w:rsid w:val="00CB0BB6"/>
    <w:rsid w:val="00CB0C3E"/>
    <w:rsid w:val="00CB0C5B"/>
    <w:rsid w:val="00CB0C68"/>
    <w:rsid w:val="00CB0C9B"/>
    <w:rsid w:val="00CB0CA7"/>
    <w:rsid w:val="00CB0DA5"/>
    <w:rsid w:val="00CB0DC8"/>
    <w:rsid w:val="00CB0F2C"/>
    <w:rsid w:val="00CB0F5F"/>
    <w:rsid w:val="00CB1073"/>
    <w:rsid w:val="00CB109B"/>
    <w:rsid w:val="00CB110A"/>
    <w:rsid w:val="00CB113F"/>
    <w:rsid w:val="00CB152E"/>
    <w:rsid w:val="00CB1667"/>
    <w:rsid w:val="00CB1778"/>
    <w:rsid w:val="00CB1823"/>
    <w:rsid w:val="00CB1B2F"/>
    <w:rsid w:val="00CB1B4F"/>
    <w:rsid w:val="00CB1C20"/>
    <w:rsid w:val="00CB1C5C"/>
    <w:rsid w:val="00CB1C8D"/>
    <w:rsid w:val="00CB1D9D"/>
    <w:rsid w:val="00CB1DA2"/>
    <w:rsid w:val="00CB1DF1"/>
    <w:rsid w:val="00CB1E3A"/>
    <w:rsid w:val="00CB1E88"/>
    <w:rsid w:val="00CB1F1D"/>
    <w:rsid w:val="00CB2033"/>
    <w:rsid w:val="00CB2069"/>
    <w:rsid w:val="00CB2104"/>
    <w:rsid w:val="00CB2257"/>
    <w:rsid w:val="00CB225D"/>
    <w:rsid w:val="00CB233B"/>
    <w:rsid w:val="00CB2375"/>
    <w:rsid w:val="00CB24B7"/>
    <w:rsid w:val="00CB252F"/>
    <w:rsid w:val="00CB253E"/>
    <w:rsid w:val="00CB2549"/>
    <w:rsid w:val="00CB2750"/>
    <w:rsid w:val="00CB28EB"/>
    <w:rsid w:val="00CB294D"/>
    <w:rsid w:val="00CB2A53"/>
    <w:rsid w:val="00CB2AFD"/>
    <w:rsid w:val="00CB2B16"/>
    <w:rsid w:val="00CB2BD1"/>
    <w:rsid w:val="00CB2BF3"/>
    <w:rsid w:val="00CB2C6E"/>
    <w:rsid w:val="00CB2DC2"/>
    <w:rsid w:val="00CB2ED0"/>
    <w:rsid w:val="00CB317E"/>
    <w:rsid w:val="00CB31B7"/>
    <w:rsid w:val="00CB31C8"/>
    <w:rsid w:val="00CB33E4"/>
    <w:rsid w:val="00CB344D"/>
    <w:rsid w:val="00CB357C"/>
    <w:rsid w:val="00CB3721"/>
    <w:rsid w:val="00CB383B"/>
    <w:rsid w:val="00CB38BE"/>
    <w:rsid w:val="00CB3AAC"/>
    <w:rsid w:val="00CB3B43"/>
    <w:rsid w:val="00CB3C94"/>
    <w:rsid w:val="00CB3F9D"/>
    <w:rsid w:val="00CB3FA0"/>
    <w:rsid w:val="00CB400A"/>
    <w:rsid w:val="00CB40CB"/>
    <w:rsid w:val="00CB417D"/>
    <w:rsid w:val="00CB4197"/>
    <w:rsid w:val="00CB420A"/>
    <w:rsid w:val="00CB4294"/>
    <w:rsid w:val="00CB42B6"/>
    <w:rsid w:val="00CB4316"/>
    <w:rsid w:val="00CB432B"/>
    <w:rsid w:val="00CB45CE"/>
    <w:rsid w:val="00CB4600"/>
    <w:rsid w:val="00CB48B9"/>
    <w:rsid w:val="00CB4918"/>
    <w:rsid w:val="00CB4A2F"/>
    <w:rsid w:val="00CB4B0D"/>
    <w:rsid w:val="00CB4D12"/>
    <w:rsid w:val="00CB4D58"/>
    <w:rsid w:val="00CB4D74"/>
    <w:rsid w:val="00CB4D98"/>
    <w:rsid w:val="00CB4DBD"/>
    <w:rsid w:val="00CB4DD1"/>
    <w:rsid w:val="00CB4ED7"/>
    <w:rsid w:val="00CB4FAA"/>
    <w:rsid w:val="00CB50A2"/>
    <w:rsid w:val="00CB5127"/>
    <w:rsid w:val="00CB5266"/>
    <w:rsid w:val="00CB542F"/>
    <w:rsid w:val="00CB557E"/>
    <w:rsid w:val="00CB594A"/>
    <w:rsid w:val="00CB5B3F"/>
    <w:rsid w:val="00CB5C1A"/>
    <w:rsid w:val="00CB5E15"/>
    <w:rsid w:val="00CB6018"/>
    <w:rsid w:val="00CB607B"/>
    <w:rsid w:val="00CB60BF"/>
    <w:rsid w:val="00CB615E"/>
    <w:rsid w:val="00CB65C3"/>
    <w:rsid w:val="00CB66D8"/>
    <w:rsid w:val="00CB6767"/>
    <w:rsid w:val="00CB6A21"/>
    <w:rsid w:val="00CB6A8E"/>
    <w:rsid w:val="00CB6AAE"/>
    <w:rsid w:val="00CB6ABD"/>
    <w:rsid w:val="00CB6C6D"/>
    <w:rsid w:val="00CB6E3F"/>
    <w:rsid w:val="00CB6E44"/>
    <w:rsid w:val="00CB6EB2"/>
    <w:rsid w:val="00CB6ED0"/>
    <w:rsid w:val="00CB6FA7"/>
    <w:rsid w:val="00CB7003"/>
    <w:rsid w:val="00CB7058"/>
    <w:rsid w:val="00CB7114"/>
    <w:rsid w:val="00CB71D9"/>
    <w:rsid w:val="00CB7317"/>
    <w:rsid w:val="00CB7366"/>
    <w:rsid w:val="00CB73CE"/>
    <w:rsid w:val="00CB742A"/>
    <w:rsid w:val="00CB7448"/>
    <w:rsid w:val="00CB7483"/>
    <w:rsid w:val="00CB766A"/>
    <w:rsid w:val="00CB7919"/>
    <w:rsid w:val="00CB7A99"/>
    <w:rsid w:val="00CB7ACA"/>
    <w:rsid w:val="00CB7B8B"/>
    <w:rsid w:val="00CB7CEC"/>
    <w:rsid w:val="00CB7DAA"/>
    <w:rsid w:val="00CC0149"/>
    <w:rsid w:val="00CC01AC"/>
    <w:rsid w:val="00CC01FF"/>
    <w:rsid w:val="00CC025F"/>
    <w:rsid w:val="00CC048F"/>
    <w:rsid w:val="00CC0774"/>
    <w:rsid w:val="00CC0845"/>
    <w:rsid w:val="00CC08E1"/>
    <w:rsid w:val="00CC0A69"/>
    <w:rsid w:val="00CC0A93"/>
    <w:rsid w:val="00CC0B81"/>
    <w:rsid w:val="00CC0CE7"/>
    <w:rsid w:val="00CC0D82"/>
    <w:rsid w:val="00CC0DEF"/>
    <w:rsid w:val="00CC0DF3"/>
    <w:rsid w:val="00CC0EE5"/>
    <w:rsid w:val="00CC0F37"/>
    <w:rsid w:val="00CC10C8"/>
    <w:rsid w:val="00CC1137"/>
    <w:rsid w:val="00CC1141"/>
    <w:rsid w:val="00CC11B6"/>
    <w:rsid w:val="00CC1247"/>
    <w:rsid w:val="00CC128D"/>
    <w:rsid w:val="00CC12AE"/>
    <w:rsid w:val="00CC13A0"/>
    <w:rsid w:val="00CC13F8"/>
    <w:rsid w:val="00CC1535"/>
    <w:rsid w:val="00CC153B"/>
    <w:rsid w:val="00CC159A"/>
    <w:rsid w:val="00CC15FC"/>
    <w:rsid w:val="00CC1670"/>
    <w:rsid w:val="00CC170C"/>
    <w:rsid w:val="00CC1967"/>
    <w:rsid w:val="00CC19C1"/>
    <w:rsid w:val="00CC1A2A"/>
    <w:rsid w:val="00CC1A56"/>
    <w:rsid w:val="00CC1A85"/>
    <w:rsid w:val="00CC1B44"/>
    <w:rsid w:val="00CC1C10"/>
    <w:rsid w:val="00CC1CA0"/>
    <w:rsid w:val="00CC1DEC"/>
    <w:rsid w:val="00CC1E6B"/>
    <w:rsid w:val="00CC205C"/>
    <w:rsid w:val="00CC20AE"/>
    <w:rsid w:val="00CC246F"/>
    <w:rsid w:val="00CC262E"/>
    <w:rsid w:val="00CC2651"/>
    <w:rsid w:val="00CC28E0"/>
    <w:rsid w:val="00CC28FE"/>
    <w:rsid w:val="00CC2C9C"/>
    <w:rsid w:val="00CC2E60"/>
    <w:rsid w:val="00CC2E6C"/>
    <w:rsid w:val="00CC2F55"/>
    <w:rsid w:val="00CC3005"/>
    <w:rsid w:val="00CC32C8"/>
    <w:rsid w:val="00CC32DA"/>
    <w:rsid w:val="00CC3369"/>
    <w:rsid w:val="00CC34DE"/>
    <w:rsid w:val="00CC3547"/>
    <w:rsid w:val="00CC35D3"/>
    <w:rsid w:val="00CC360C"/>
    <w:rsid w:val="00CC366D"/>
    <w:rsid w:val="00CC36F4"/>
    <w:rsid w:val="00CC383E"/>
    <w:rsid w:val="00CC38EB"/>
    <w:rsid w:val="00CC3AD0"/>
    <w:rsid w:val="00CC3AFC"/>
    <w:rsid w:val="00CC3BA7"/>
    <w:rsid w:val="00CC3D73"/>
    <w:rsid w:val="00CC3E7A"/>
    <w:rsid w:val="00CC3EE4"/>
    <w:rsid w:val="00CC4017"/>
    <w:rsid w:val="00CC40D7"/>
    <w:rsid w:val="00CC40EB"/>
    <w:rsid w:val="00CC4114"/>
    <w:rsid w:val="00CC4133"/>
    <w:rsid w:val="00CC41C2"/>
    <w:rsid w:val="00CC42F7"/>
    <w:rsid w:val="00CC4360"/>
    <w:rsid w:val="00CC4584"/>
    <w:rsid w:val="00CC463D"/>
    <w:rsid w:val="00CC46ED"/>
    <w:rsid w:val="00CC4764"/>
    <w:rsid w:val="00CC47EF"/>
    <w:rsid w:val="00CC47F8"/>
    <w:rsid w:val="00CC4805"/>
    <w:rsid w:val="00CC4963"/>
    <w:rsid w:val="00CC4A09"/>
    <w:rsid w:val="00CC4A47"/>
    <w:rsid w:val="00CC4A4E"/>
    <w:rsid w:val="00CC4AE0"/>
    <w:rsid w:val="00CC4B50"/>
    <w:rsid w:val="00CC4C02"/>
    <w:rsid w:val="00CC4C5D"/>
    <w:rsid w:val="00CC4C93"/>
    <w:rsid w:val="00CC4CDB"/>
    <w:rsid w:val="00CC4D51"/>
    <w:rsid w:val="00CC4DFF"/>
    <w:rsid w:val="00CC4E26"/>
    <w:rsid w:val="00CC4E64"/>
    <w:rsid w:val="00CC4EC1"/>
    <w:rsid w:val="00CC4EFB"/>
    <w:rsid w:val="00CC4F40"/>
    <w:rsid w:val="00CC52EA"/>
    <w:rsid w:val="00CC53FB"/>
    <w:rsid w:val="00CC543E"/>
    <w:rsid w:val="00CC5516"/>
    <w:rsid w:val="00CC551F"/>
    <w:rsid w:val="00CC5544"/>
    <w:rsid w:val="00CC5910"/>
    <w:rsid w:val="00CC59E7"/>
    <w:rsid w:val="00CC5ABF"/>
    <w:rsid w:val="00CC5DEF"/>
    <w:rsid w:val="00CC5DF0"/>
    <w:rsid w:val="00CC5E7F"/>
    <w:rsid w:val="00CC5E8A"/>
    <w:rsid w:val="00CC5FCE"/>
    <w:rsid w:val="00CC602C"/>
    <w:rsid w:val="00CC6173"/>
    <w:rsid w:val="00CC6304"/>
    <w:rsid w:val="00CC640E"/>
    <w:rsid w:val="00CC641A"/>
    <w:rsid w:val="00CC6447"/>
    <w:rsid w:val="00CC659F"/>
    <w:rsid w:val="00CC6612"/>
    <w:rsid w:val="00CC661B"/>
    <w:rsid w:val="00CC6778"/>
    <w:rsid w:val="00CC6780"/>
    <w:rsid w:val="00CC679B"/>
    <w:rsid w:val="00CC6824"/>
    <w:rsid w:val="00CC6978"/>
    <w:rsid w:val="00CC6A55"/>
    <w:rsid w:val="00CC6AB2"/>
    <w:rsid w:val="00CC6BB6"/>
    <w:rsid w:val="00CC6C9F"/>
    <w:rsid w:val="00CC6CA1"/>
    <w:rsid w:val="00CC6CCA"/>
    <w:rsid w:val="00CC6CD9"/>
    <w:rsid w:val="00CC6D25"/>
    <w:rsid w:val="00CC6E76"/>
    <w:rsid w:val="00CC6EE2"/>
    <w:rsid w:val="00CC701B"/>
    <w:rsid w:val="00CC70CD"/>
    <w:rsid w:val="00CC718E"/>
    <w:rsid w:val="00CC7350"/>
    <w:rsid w:val="00CC743E"/>
    <w:rsid w:val="00CC74C9"/>
    <w:rsid w:val="00CC74CE"/>
    <w:rsid w:val="00CC7521"/>
    <w:rsid w:val="00CC7581"/>
    <w:rsid w:val="00CC75E3"/>
    <w:rsid w:val="00CC789C"/>
    <w:rsid w:val="00CC78DB"/>
    <w:rsid w:val="00CC795F"/>
    <w:rsid w:val="00CC7B46"/>
    <w:rsid w:val="00CC7DB7"/>
    <w:rsid w:val="00CC7E96"/>
    <w:rsid w:val="00CC7EB4"/>
    <w:rsid w:val="00CC7F86"/>
    <w:rsid w:val="00CC7FAB"/>
    <w:rsid w:val="00CD0021"/>
    <w:rsid w:val="00CD0030"/>
    <w:rsid w:val="00CD01FE"/>
    <w:rsid w:val="00CD024A"/>
    <w:rsid w:val="00CD033F"/>
    <w:rsid w:val="00CD03A1"/>
    <w:rsid w:val="00CD03B2"/>
    <w:rsid w:val="00CD047A"/>
    <w:rsid w:val="00CD05B0"/>
    <w:rsid w:val="00CD0748"/>
    <w:rsid w:val="00CD08C6"/>
    <w:rsid w:val="00CD0911"/>
    <w:rsid w:val="00CD0A32"/>
    <w:rsid w:val="00CD0AA2"/>
    <w:rsid w:val="00CD0C83"/>
    <w:rsid w:val="00CD0CE6"/>
    <w:rsid w:val="00CD0E42"/>
    <w:rsid w:val="00CD0F5B"/>
    <w:rsid w:val="00CD0F6E"/>
    <w:rsid w:val="00CD0FD8"/>
    <w:rsid w:val="00CD116C"/>
    <w:rsid w:val="00CD11E5"/>
    <w:rsid w:val="00CD1291"/>
    <w:rsid w:val="00CD143F"/>
    <w:rsid w:val="00CD1487"/>
    <w:rsid w:val="00CD1627"/>
    <w:rsid w:val="00CD16CC"/>
    <w:rsid w:val="00CD1A37"/>
    <w:rsid w:val="00CD1AE8"/>
    <w:rsid w:val="00CD1C2B"/>
    <w:rsid w:val="00CD1C90"/>
    <w:rsid w:val="00CD1CBF"/>
    <w:rsid w:val="00CD1F87"/>
    <w:rsid w:val="00CD1FA1"/>
    <w:rsid w:val="00CD21F8"/>
    <w:rsid w:val="00CD22AE"/>
    <w:rsid w:val="00CD22D8"/>
    <w:rsid w:val="00CD23E2"/>
    <w:rsid w:val="00CD2633"/>
    <w:rsid w:val="00CD2660"/>
    <w:rsid w:val="00CD26B5"/>
    <w:rsid w:val="00CD285F"/>
    <w:rsid w:val="00CD28F7"/>
    <w:rsid w:val="00CD293C"/>
    <w:rsid w:val="00CD2AA0"/>
    <w:rsid w:val="00CD2AE6"/>
    <w:rsid w:val="00CD2B8C"/>
    <w:rsid w:val="00CD2C00"/>
    <w:rsid w:val="00CD2C39"/>
    <w:rsid w:val="00CD2D89"/>
    <w:rsid w:val="00CD2EE1"/>
    <w:rsid w:val="00CD2FDD"/>
    <w:rsid w:val="00CD3028"/>
    <w:rsid w:val="00CD3194"/>
    <w:rsid w:val="00CD319D"/>
    <w:rsid w:val="00CD31FF"/>
    <w:rsid w:val="00CD3631"/>
    <w:rsid w:val="00CD3651"/>
    <w:rsid w:val="00CD36B8"/>
    <w:rsid w:val="00CD3B5D"/>
    <w:rsid w:val="00CD3BC5"/>
    <w:rsid w:val="00CD3BDE"/>
    <w:rsid w:val="00CD3C45"/>
    <w:rsid w:val="00CD3D66"/>
    <w:rsid w:val="00CD3DDC"/>
    <w:rsid w:val="00CD3E66"/>
    <w:rsid w:val="00CD3EAA"/>
    <w:rsid w:val="00CD40D7"/>
    <w:rsid w:val="00CD42BB"/>
    <w:rsid w:val="00CD4351"/>
    <w:rsid w:val="00CD4400"/>
    <w:rsid w:val="00CD4490"/>
    <w:rsid w:val="00CD44D6"/>
    <w:rsid w:val="00CD452A"/>
    <w:rsid w:val="00CD4656"/>
    <w:rsid w:val="00CD46DC"/>
    <w:rsid w:val="00CD46F0"/>
    <w:rsid w:val="00CD4912"/>
    <w:rsid w:val="00CD49EB"/>
    <w:rsid w:val="00CD4B20"/>
    <w:rsid w:val="00CD4B6D"/>
    <w:rsid w:val="00CD4C43"/>
    <w:rsid w:val="00CD4DD2"/>
    <w:rsid w:val="00CD501C"/>
    <w:rsid w:val="00CD510F"/>
    <w:rsid w:val="00CD52D8"/>
    <w:rsid w:val="00CD53C8"/>
    <w:rsid w:val="00CD55A2"/>
    <w:rsid w:val="00CD5688"/>
    <w:rsid w:val="00CD56E8"/>
    <w:rsid w:val="00CD5756"/>
    <w:rsid w:val="00CD5888"/>
    <w:rsid w:val="00CD5902"/>
    <w:rsid w:val="00CD59C5"/>
    <w:rsid w:val="00CD5B8A"/>
    <w:rsid w:val="00CD5EED"/>
    <w:rsid w:val="00CD5F8D"/>
    <w:rsid w:val="00CD604D"/>
    <w:rsid w:val="00CD60E8"/>
    <w:rsid w:val="00CD6105"/>
    <w:rsid w:val="00CD6108"/>
    <w:rsid w:val="00CD620A"/>
    <w:rsid w:val="00CD6572"/>
    <w:rsid w:val="00CD668D"/>
    <w:rsid w:val="00CD66F1"/>
    <w:rsid w:val="00CD67F4"/>
    <w:rsid w:val="00CD686D"/>
    <w:rsid w:val="00CD68BB"/>
    <w:rsid w:val="00CD69C0"/>
    <w:rsid w:val="00CD6A22"/>
    <w:rsid w:val="00CD6A29"/>
    <w:rsid w:val="00CD6C70"/>
    <w:rsid w:val="00CD6E2C"/>
    <w:rsid w:val="00CD6EEB"/>
    <w:rsid w:val="00CD6EEC"/>
    <w:rsid w:val="00CD6EF9"/>
    <w:rsid w:val="00CD739F"/>
    <w:rsid w:val="00CD7418"/>
    <w:rsid w:val="00CD75B2"/>
    <w:rsid w:val="00CD75D5"/>
    <w:rsid w:val="00CD76D2"/>
    <w:rsid w:val="00CD7748"/>
    <w:rsid w:val="00CD79B5"/>
    <w:rsid w:val="00CD79C5"/>
    <w:rsid w:val="00CD79F3"/>
    <w:rsid w:val="00CD7AE0"/>
    <w:rsid w:val="00CD7B5F"/>
    <w:rsid w:val="00CD7CC6"/>
    <w:rsid w:val="00CD7D30"/>
    <w:rsid w:val="00CD7D49"/>
    <w:rsid w:val="00CD7E10"/>
    <w:rsid w:val="00CD7E7A"/>
    <w:rsid w:val="00CD7ECC"/>
    <w:rsid w:val="00CD7FA1"/>
    <w:rsid w:val="00CE0426"/>
    <w:rsid w:val="00CE0545"/>
    <w:rsid w:val="00CE0589"/>
    <w:rsid w:val="00CE0627"/>
    <w:rsid w:val="00CE06FA"/>
    <w:rsid w:val="00CE07B3"/>
    <w:rsid w:val="00CE07D6"/>
    <w:rsid w:val="00CE0893"/>
    <w:rsid w:val="00CE08C9"/>
    <w:rsid w:val="00CE0954"/>
    <w:rsid w:val="00CE0A05"/>
    <w:rsid w:val="00CE0A2A"/>
    <w:rsid w:val="00CE0A74"/>
    <w:rsid w:val="00CE0BC2"/>
    <w:rsid w:val="00CE0BD2"/>
    <w:rsid w:val="00CE0C5D"/>
    <w:rsid w:val="00CE0DC3"/>
    <w:rsid w:val="00CE0DCA"/>
    <w:rsid w:val="00CE0DDB"/>
    <w:rsid w:val="00CE0EDF"/>
    <w:rsid w:val="00CE104E"/>
    <w:rsid w:val="00CE1075"/>
    <w:rsid w:val="00CE129E"/>
    <w:rsid w:val="00CE12A5"/>
    <w:rsid w:val="00CE1336"/>
    <w:rsid w:val="00CE136E"/>
    <w:rsid w:val="00CE13B0"/>
    <w:rsid w:val="00CE1447"/>
    <w:rsid w:val="00CE1472"/>
    <w:rsid w:val="00CE14F7"/>
    <w:rsid w:val="00CE150A"/>
    <w:rsid w:val="00CE15C7"/>
    <w:rsid w:val="00CE1751"/>
    <w:rsid w:val="00CE1828"/>
    <w:rsid w:val="00CE184D"/>
    <w:rsid w:val="00CE18DB"/>
    <w:rsid w:val="00CE1B00"/>
    <w:rsid w:val="00CE1B1A"/>
    <w:rsid w:val="00CE1C5D"/>
    <w:rsid w:val="00CE1D21"/>
    <w:rsid w:val="00CE1E1F"/>
    <w:rsid w:val="00CE1F09"/>
    <w:rsid w:val="00CE1F94"/>
    <w:rsid w:val="00CE1FC0"/>
    <w:rsid w:val="00CE1FC6"/>
    <w:rsid w:val="00CE209C"/>
    <w:rsid w:val="00CE20E9"/>
    <w:rsid w:val="00CE212A"/>
    <w:rsid w:val="00CE21B0"/>
    <w:rsid w:val="00CE236B"/>
    <w:rsid w:val="00CE2548"/>
    <w:rsid w:val="00CE2724"/>
    <w:rsid w:val="00CE273A"/>
    <w:rsid w:val="00CE2905"/>
    <w:rsid w:val="00CE2948"/>
    <w:rsid w:val="00CE2A20"/>
    <w:rsid w:val="00CE2A87"/>
    <w:rsid w:val="00CE2B63"/>
    <w:rsid w:val="00CE2B8C"/>
    <w:rsid w:val="00CE2C62"/>
    <w:rsid w:val="00CE2DA8"/>
    <w:rsid w:val="00CE2E7E"/>
    <w:rsid w:val="00CE2E82"/>
    <w:rsid w:val="00CE3094"/>
    <w:rsid w:val="00CE32AD"/>
    <w:rsid w:val="00CE32F0"/>
    <w:rsid w:val="00CE344F"/>
    <w:rsid w:val="00CE347F"/>
    <w:rsid w:val="00CE3518"/>
    <w:rsid w:val="00CE351C"/>
    <w:rsid w:val="00CE36DA"/>
    <w:rsid w:val="00CE3725"/>
    <w:rsid w:val="00CE378D"/>
    <w:rsid w:val="00CE3B8A"/>
    <w:rsid w:val="00CE3B92"/>
    <w:rsid w:val="00CE3BD8"/>
    <w:rsid w:val="00CE3C1E"/>
    <w:rsid w:val="00CE3C90"/>
    <w:rsid w:val="00CE3D86"/>
    <w:rsid w:val="00CE3DA4"/>
    <w:rsid w:val="00CE3E04"/>
    <w:rsid w:val="00CE3ED8"/>
    <w:rsid w:val="00CE402D"/>
    <w:rsid w:val="00CE40CE"/>
    <w:rsid w:val="00CE417D"/>
    <w:rsid w:val="00CE432C"/>
    <w:rsid w:val="00CE4423"/>
    <w:rsid w:val="00CE4431"/>
    <w:rsid w:val="00CE447A"/>
    <w:rsid w:val="00CE44AA"/>
    <w:rsid w:val="00CE44DC"/>
    <w:rsid w:val="00CE4637"/>
    <w:rsid w:val="00CE463B"/>
    <w:rsid w:val="00CE4674"/>
    <w:rsid w:val="00CE472D"/>
    <w:rsid w:val="00CE4799"/>
    <w:rsid w:val="00CE479F"/>
    <w:rsid w:val="00CE47CD"/>
    <w:rsid w:val="00CE4824"/>
    <w:rsid w:val="00CE48BC"/>
    <w:rsid w:val="00CE492F"/>
    <w:rsid w:val="00CE4994"/>
    <w:rsid w:val="00CE4A02"/>
    <w:rsid w:val="00CE4A38"/>
    <w:rsid w:val="00CE4B19"/>
    <w:rsid w:val="00CE4CA0"/>
    <w:rsid w:val="00CE4D13"/>
    <w:rsid w:val="00CE4F3F"/>
    <w:rsid w:val="00CE4F55"/>
    <w:rsid w:val="00CE5006"/>
    <w:rsid w:val="00CE506B"/>
    <w:rsid w:val="00CE5291"/>
    <w:rsid w:val="00CE53B2"/>
    <w:rsid w:val="00CE546E"/>
    <w:rsid w:val="00CE5544"/>
    <w:rsid w:val="00CE5646"/>
    <w:rsid w:val="00CE5685"/>
    <w:rsid w:val="00CE56BF"/>
    <w:rsid w:val="00CE5732"/>
    <w:rsid w:val="00CE5735"/>
    <w:rsid w:val="00CE5793"/>
    <w:rsid w:val="00CE57EF"/>
    <w:rsid w:val="00CE59A4"/>
    <w:rsid w:val="00CE5C0B"/>
    <w:rsid w:val="00CE5CB1"/>
    <w:rsid w:val="00CE5D02"/>
    <w:rsid w:val="00CE5E74"/>
    <w:rsid w:val="00CE5F99"/>
    <w:rsid w:val="00CE5FFE"/>
    <w:rsid w:val="00CE6215"/>
    <w:rsid w:val="00CE63D8"/>
    <w:rsid w:val="00CE64F0"/>
    <w:rsid w:val="00CE65DF"/>
    <w:rsid w:val="00CE65F0"/>
    <w:rsid w:val="00CE65F3"/>
    <w:rsid w:val="00CE6643"/>
    <w:rsid w:val="00CE66DB"/>
    <w:rsid w:val="00CE6782"/>
    <w:rsid w:val="00CE6795"/>
    <w:rsid w:val="00CE67A3"/>
    <w:rsid w:val="00CE68E4"/>
    <w:rsid w:val="00CE69E9"/>
    <w:rsid w:val="00CE6A02"/>
    <w:rsid w:val="00CE6A20"/>
    <w:rsid w:val="00CE6B00"/>
    <w:rsid w:val="00CE6BFA"/>
    <w:rsid w:val="00CE6D20"/>
    <w:rsid w:val="00CE6D49"/>
    <w:rsid w:val="00CE7215"/>
    <w:rsid w:val="00CE723A"/>
    <w:rsid w:val="00CE727D"/>
    <w:rsid w:val="00CE7284"/>
    <w:rsid w:val="00CE751F"/>
    <w:rsid w:val="00CE75C2"/>
    <w:rsid w:val="00CE7846"/>
    <w:rsid w:val="00CE7A6E"/>
    <w:rsid w:val="00CE7AA9"/>
    <w:rsid w:val="00CE7C00"/>
    <w:rsid w:val="00CE7D2B"/>
    <w:rsid w:val="00CE7EC8"/>
    <w:rsid w:val="00CE7F1E"/>
    <w:rsid w:val="00CE7F82"/>
    <w:rsid w:val="00CE7FDF"/>
    <w:rsid w:val="00CF014A"/>
    <w:rsid w:val="00CF0182"/>
    <w:rsid w:val="00CF0201"/>
    <w:rsid w:val="00CF0246"/>
    <w:rsid w:val="00CF025A"/>
    <w:rsid w:val="00CF0481"/>
    <w:rsid w:val="00CF04A7"/>
    <w:rsid w:val="00CF0507"/>
    <w:rsid w:val="00CF05A5"/>
    <w:rsid w:val="00CF05F2"/>
    <w:rsid w:val="00CF0693"/>
    <w:rsid w:val="00CF069E"/>
    <w:rsid w:val="00CF0706"/>
    <w:rsid w:val="00CF0783"/>
    <w:rsid w:val="00CF0A96"/>
    <w:rsid w:val="00CF0AB5"/>
    <w:rsid w:val="00CF0BDB"/>
    <w:rsid w:val="00CF0C2C"/>
    <w:rsid w:val="00CF0C74"/>
    <w:rsid w:val="00CF0CC4"/>
    <w:rsid w:val="00CF0CEC"/>
    <w:rsid w:val="00CF0D41"/>
    <w:rsid w:val="00CF0F59"/>
    <w:rsid w:val="00CF108F"/>
    <w:rsid w:val="00CF123F"/>
    <w:rsid w:val="00CF12B8"/>
    <w:rsid w:val="00CF1332"/>
    <w:rsid w:val="00CF1451"/>
    <w:rsid w:val="00CF153D"/>
    <w:rsid w:val="00CF1548"/>
    <w:rsid w:val="00CF1595"/>
    <w:rsid w:val="00CF159C"/>
    <w:rsid w:val="00CF1746"/>
    <w:rsid w:val="00CF181C"/>
    <w:rsid w:val="00CF187F"/>
    <w:rsid w:val="00CF1975"/>
    <w:rsid w:val="00CF1A3F"/>
    <w:rsid w:val="00CF1A63"/>
    <w:rsid w:val="00CF1B6A"/>
    <w:rsid w:val="00CF1B77"/>
    <w:rsid w:val="00CF1B8B"/>
    <w:rsid w:val="00CF1BF7"/>
    <w:rsid w:val="00CF1C44"/>
    <w:rsid w:val="00CF1C93"/>
    <w:rsid w:val="00CF1CAB"/>
    <w:rsid w:val="00CF1D43"/>
    <w:rsid w:val="00CF1DE1"/>
    <w:rsid w:val="00CF1E9B"/>
    <w:rsid w:val="00CF20A5"/>
    <w:rsid w:val="00CF211B"/>
    <w:rsid w:val="00CF21AE"/>
    <w:rsid w:val="00CF24BC"/>
    <w:rsid w:val="00CF2523"/>
    <w:rsid w:val="00CF27FD"/>
    <w:rsid w:val="00CF287E"/>
    <w:rsid w:val="00CF2943"/>
    <w:rsid w:val="00CF2965"/>
    <w:rsid w:val="00CF29D0"/>
    <w:rsid w:val="00CF2A68"/>
    <w:rsid w:val="00CF2B0A"/>
    <w:rsid w:val="00CF2CBA"/>
    <w:rsid w:val="00CF2D0A"/>
    <w:rsid w:val="00CF2D10"/>
    <w:rsid w:val="00CF3032"/>
    <w:rsid w:val="00CF30EE"/>
    <w:rsid w:val="00CF3275"/>
    <w:rsid w:val="00CF32B3"/>
    <w:rsid w:val="00CF32BD"/>
    <w:rsid w:val="00CF333F"/>
    <w:rsid w:val="00CF3364"/>
    <w:rsid w:val="00CF349C"/>
    <w:rsid w:val="00CF35E9"/>
    <w:rsid w:val="00CF3615"/>
    <w:rsid w:val="00CF3629"/>
    <w:rsid w:val="00CF3635"/>
    <w:rsid w:val="00CF3688"/>
    <w:rsid w:val="00CF36C4"/>
    <w:rsid w:val="00CF3713"/>
    <w:rsid w:val="00CF3732"/>
    <w:rsid w:val="00CF3804"/>
    <w:rsid w:val="00CF393E"/>
    <w:rsid w:val="00CF394A"/>
    <w:rsid w:val="00CF398D"/>
    <w:rsid w:val="00CF39D4"/>
    <w:rsid w:val="00CF3B0B"/>
    <w:rsid w:val="00CF3B74"/>
    <w:rsid w:val="00CF3C57"/>
    <w:rsid w:val="00CF3C7A"/>
    <w:rsid w:val="00CF3DA2"/>
    <w:rsid w:val="00CF3DBA"/>
    <w:rsid w:val="00CF3E8C"/>
    <w:rsid w:val="00CF4072"/>
    <w:rsid w:val="00CF4361"/>
    <w:rsid w:val="00CF448E"/>
    <w:rsid w:val="00CF4661"/>
    <w:rsid w:val="00CF4749"/>
    <w:rsid w:val="00CF48C7"/>
    <w:rsid w:val="00CF4974"/>
    <w:rsid w:val="00CF4CD8"/>
    <w:rsid w:val="00CF4E0E"/>
    <w:rsid w:val="00CF4F07"/>
    <w:rsid w:val="00CF514C"/>
    <w:rsid w:val="00CF5154"/>
    <w:rsid w:val="00CF517C"/>
    <w:rsid w:val="00CF51EF"/>
    <w:rsid w:val="00CF5244"/>
    <w:rsid w:val="00CF5377"/>
    <w:rsid w:val="00CF539C"/>
    <w:rsid w:val="00CF53FB"/>
    <w:rsid w:val="00CF562C"/>
    <w:rsid w:val="00CF5639"/>
    <w:rsid w:val="00CF5755"/>
    <w:rsid w:val="00CF5772"/>
    <w:rsid w:val="00CF57BE"/>
    <w:rsid w:val="00CF5834"/>
    <w:rsid w:val="00CF5896"/>
    <w:rsid w:val="00CF58DE"/>
    <w:rsid w:val="00CF591C"/>
    <w:rsid w:val="00CF5953"/>
    <w:rsid w:val="00CF5A9D"/>
    <w:rsid w:val="00CF5AD1"/>
    <w:rsid w:val="00CF5AF8"/>
    <w:rsid w:val="00CF5B78"/>
    <w:rsid w:val="00CF5CC3"/>
    <w:rsid w:val="00CF5DBB"/>
    <w:rsid w:val="00CF5E61"/>
    <w:rsid w:val="00CF5EC2"/>
    <w:rsid w:val="00CF619D"/>
    <w:rsid w:val="00CF61B6"/>
    <w:rsid w:val="00CF6378"/>
    <w:rsid w:val="00CF639C"/>
    <w:rsid w:val="00CF67C0"/>
    <w:rsid w:val="00CF6A21"/>
    <w:rsid w:val="00CF6AA6"/>
    <w:rsid w:val="00CF6B69"/>
    <w:rsid w:val="00CF6D88"/>
    <w:rsid w:val="00CF6F77"/>
    <w:rsid w:val="00CF701D"/>
    <w:rsid w:val="00CF70D4"/>
    <w:rsid w:val="00CF7272"/>
    <w:rsid w:val="00CF7393"/>
    <w:rsid w:val="00CF7539"/>
    <w:rsid w:val="00CF75D3"/>
    <w:rsid w:val="00CF767B"/>
    <w:rsid w:val="00CF769A"/>
    <w:rsid w:val="00CF7866"/>
    <w:rsid w:val="00CF78EE"/>
    <w:rsid w:val="00CF7938"/>
    <w:rsid w:val="00CF794F"/>
    <w:rsid w:val="00CF797F"/>
    <w:rsid w:val="00CF7991"/>
    <w:rsid w:val="00CF7A94"/>
    <w:rsid w:val="00CF7AA5"/>
    <w:rsid w:val="00CF7AC8"/>
    <w:rsid w:val="00CF7AF7"/>
    <w:rsid w:val="00CF7DA0"/>
    <w:rsid w:val="00CF7E59"/>
    <w:rsid w:val="00CF7EC9"/>
    <w:rsid w:val="00CF7F01"/>
    <w:rsid w:val="00CF7F20"/>
    <w:rsid w:val="00CF7F63"/>
    <w:rsid w:val="00CF7F6A"/>
    <w:rsid w:val="00CF7FF6"/>
    <w:rsid w:val="00D00079"/>
    <w:rsid w:val="00D00132"/>
    <w:rsid w:val="00D00165"/>
    <w:rsid w:val="00D001DA"/>
    <w:rsid w:val="00D00290"/>
    <w:rsid w:val="00D002C8"/>
    <w:rsid w:val="00D002CE"/>
    <w:rsid w:val="00D004AE"/>
    <w:rsid w:val="00D00643"/>
    <w:rsid w:val="00D00649"/>
    <w:rsid w:val="00D0072E"/>
    <w:rsid w:val="00D00830"/>
    <w:rsid w:val="00D008C4"/>
    <w:rsid w:val="00D008D2"/>
    <w:rsid w:val="00D00A17"/>
    <w:rsid w:val="00D00AF4"/>
    <w:rsid w:val="00D00B0E"/>
    <w:rsid w:val="00D00B54"/>
    <w:rsid w:val="00D00B9E"/>
    <w:rsid w:val="00D00BB0"/>
    <w:rsid w:val="00D00BEA"/>
    <w:rsid w:val="00D00CEF"/>
    <w:rsid w:val="00D00D27"/>
    <w:rsid w:val="00D00DB5"/>
    <w:rsid w:val="00D00DCD"/>
    <w:rsid w:val="00D00EB7"/>
    <w:rsid w:val="00D010C4"/>
    <w:rsid w:val="00D01114"/>
    <w:rsid w:val="00D01168"/>
    <w:rsid w:val="00D011A0"/>
    <w:rsid w:val="00D01306"/>
    <w:rsid w:val="00D01454"/>
    <w:rsid w:val="00D01477"/>
    <w:rsid w:val="00D014B6"/>
    <w:rsid w:val="00D01535"/>
    <w:rsid w:val="00D0175B"/>
    <w:rsid w:val="00D01862"/>
    <w:rsid w:val="00D018D8"/>
    <w:rsid w:val="00D0195E"/>
    <w:rsid w:val="00D01A34"/>
    <w:rsid w:val="00D01B00"/>
    <w:rsid w:val="00D01EB6"/>
    <w:rsid w:val="00D020A5"/>
    <w:rsid w:val="00D020C1"/>
    <w:rsid w:val="00D020DB"/>
    <w:rsid w:val="00D021F9"/>
    <w:rsid w:val="00D02216"/>
    <w:rsid w:val="00D02241"/>
    <w:rsid w:val="00D0228B"/>
    <w:rsid w:val="00D02379"/>
    <w:rsid w:val="00D023F4"/>
    <w:rsid w:val="00D02415"/>
    <w:rsid w:val="00D0245D"/>
    <w:rsid w:val="00D0257D"/>
    <w:rsid w:val="00D025EA"/>
    <w:rsid w:val="00D026E4"/>
    <w:rsid w:val="00D028D5"/>
    <w:rsid w:val="00D02A82"/>
    <w:rsid w:val="00D02B5F"/>
    <w:rsid w:val="00D02BBA"/>
    <w:rsid w:val="00D02CE7"/>
    <w:rsid w:val="00D02D0C"/>
    <w:rsid w:val="00D02D86"/>
    <w:rsid w:val="00D02E84"/>
    <w:rsid w:val="00D02EA0"/>
    <w:rsid w:val="00D02F46"/>
    <w:rsid w:val="00D02FB8"/>
    <w:rsid w:val="00D030D1"/>
    <w:rsid w:val="00D0329B"/>
    <w:rsid w:val="00D033D8"/>
    <w:rsid w:val="00D034E6"/>
    <w:rsid w:val="00D035A6"/>
    <w:rsid w:val="00D035C6"/>
    <w:rsid w:val="00D03603"/>
    <w:rsid w:val="00D03746"/>
    <w:rsid w:val="00D037FF"/>
    <w:rsid w:val="00D03A45"/>
    <w:rsid w:val="00D03A5C"/>
    <w:rsid w:val="00D03BA4"/>
    <w:rsid w:val="00D03BC7"/>
    <w:rsid w:val="00D03C2D"/>
    <w:rsid w:val="00D03C55"/>
    <w:rsid w:val="00D03CDB"/>
    <w:rsid w:val="00D03E70"/>
    <w:rsid w:val="00D042CA"/>
    <w:rsid w:val="00D043B4"/>
    <w:rsid w:val="00D043C7"/>
    <w:rsid w:val="00D0448E"/>
    <w:rsid w:val="00D045AE"/>
    <w:rsid w:val="00D047B3"/>
    <w:rsid w:val="00D04827"/>
    <w:rsid w:val="00D04916"/>
    <w:rsid w:val="00D049B1"/>
    <w:rsid w:val="00D04A6B"/>
    <w:rsid w:val="00D04AE4"/>
    <w:rsid w:val="00D04B8A"/>
    <w:rsid w:val="00D04E60"/>
    <w:rsid w:val="00D04F37"/>
    <w:rsid w:val="00D04FAB"/>
    <w:rsid w:val="00D05073"/>
    <w:rsid w:val="00D051E1"/>
    <w:rsid w:val="00D052CA"/>
    <w:rsid w:val="00D055DA"/>
    <w:rsid w:val="00D0572D"/>
    <w:rsid w:val="00D05823"/>
    <w:rsid w:val="00D058BA"/>
    <w:rsid w:val="00D05943"/>
    <w:rsid w:val="00D059D4"/>
    <w:rsid w:val="00D05AB2"/>
    <w:rsid w:val="00D05B64"/>
    <w:rsid w:val="00D05B67"/>
    <w:rsid w:val="00D05DD7"/>
    <w:rsid w:val="00D05E33"/>
    <w:rsid w:val="00D05E6E"/>
    <w:rsid w:val="00D05F4F"/>
    <w:rsid w:val="00D060B2"/>
    <w:rsid w:val="00D06226"/>
    <w:rsid w:val="00D06260"/>
    <w:rsid w:val="00D0627A"/>
    <w:rsid w:val="00D0627F"/>
    <w:rsid w:val="00D062C6"/>
    <w:rsid w:val="00D0636A"/>
    <w:rsid w:val="00D0654A"/>
    <w:rsid w:val="00D06681"/>
    <w:rsid w:val="00D0680D"/>
    <w:rsid w:val="00D068BA"/>
    <w:rsid w:val="00D068FA"/>
    <w:rsid w:val="00D06C70"/>
    <w:rsid w:val="00D06D94"/>
    <w:rsid w:val="00D06D9C"/>
    <w:rsid w:val="00D06F99"/>
    <w:rsid w:val="00D06F9B"/>
    <w:rsid w:val="00D06FBF"/>
    <w:rsid w:val="00D07069"/>
    <w:rsid w:val="00D0708D"/>
    <w:rsid w:val="00D07190"/>
    <w:rsid w:val="00D071C4"/>
    <w:rsid w:val="00D07285"/>
    <w:rsid w:val="00D072FC"/>
    <w:rsid w:val="00D07555"/>
    <w:rsid w:val="00D07664"/>
    <w:rsid w:val="00D07861"/>
    <w:rsid w:val="00D0787B"/>
    <w:rsid w:val="00D07913"/>
    <w:rsid w:val="00D07991"/>
    <w:rsid w:val="00D079BC"/>
    <w:rsid w:val="00D07A9D"/>
    <w:rsid w:val="00D07AFE"/>
    <w:rsid w:val="00D07C0F"/>
    <w:rsid w:val="00D07C3C"/>
    <w:rsid w:val="00D07CE8"/>
    <w:rsid w:val="00D07D47"/>
    <w:rsid w:val="00D07FCE"/>
    <w:rsid w:val="00D10479"/>
    <w:rsid w:val="00D10481"/>
    <w:rsid w:val="00D10530"/>
    <w:rsid w:val="00D105EA"/>
    <w:rsid w:val="00D1068F"/>
    <w:rsid w:val="00D10776"/>
    <w:rsid w:val="00D10821"/>
    <w:rsid w:val="00D10837"/>
    <w:rsid w:val="00D10854"/>
    <w:rsid w:val="00D10872"/>
    <w:rsid w:val="00D10C5D"/>
    <w:rsid w:val="00D10CD0"/>
    <w:rsid w:val="00D10E20"/>
    <w:rsid w:val="00D1105D"/>
    <w:rsid w:val="00D110B5"/>
    <w:rsid w:val="00D11339"/>
    <w:rsid w:val="00D113D1"/>
    <w:rsid w:val="00D114AC"/>
    <w:rsid w:val="00D1150D"/>
    <w:rsid w:val="00D115B9"/>
    <w:rsid w:val="00D11616"/>
    <w:rsid w:val="00D116A3"/>
    <w:rsid w:val="00D117A3"/>
    <w:rsid w:val="00D11876"/>
    <w:rsid w:val="00D118AA"/>
    <w:rsid w:val="00D1196D"/>
    <w:rsid w:val="00D1197E"/>
    <w:rsid w:val="00D119C9"/>
    <w:rsid w:val="00D11B6E"/>
    <w:rsid w:val="00D11D34"/>
    <w:rsid w:val="00D11D42"/>
    <w:rsid w:val="00D11E4D"/>
    <w:rsid w:val="00D11EB5"/>
    <w:rsid w:val="00D11F2A"/>
    <w:rsid w:val="00D12085"/>
    <w:rsid w:val="00D12276"/>
    <w:rsid w:val="00D122FB"/>
    <w:rsid w:val="00D123DE"/>
    <w:rsid w:val="00D12475"/>
    <w:rsid w:val="00D12525"/>
    <w:rsid w:val="00D125E8"/>
    <w:rsid w:val="00D126D0"/>
    <w:rsid w:val="00D1276A"/>
    <w:rsid w:val="00D1278F"/>
    <w:rsid w:val="00D12861"/>
    <w:rsid w:val="00D12892"/>
    <w:rsid w:val="00D12919"/>
    <w:rsid w:val="00D12926"/>
    <w:rsid w:val="00D129D0"/>
    <w:rsid w:val="00D12A00"/>
    <w:rsid w:val="00D12C2E"/>
    <w:rsid w:val="00D12C33"/>
    <w:rsid w:val="00D12C9D"/>
    <w:rsid w:val="00D12EDB"/>
    <w:rsid w:val="00D12F23"/>
    <w:rsid w:val="00D12F2C"/>
    <w:rsid w:val="00D12F84"/>
    <w:rsid w:val="00D13005"/>
    <w:rsid w:val="00D1300D"/>
    <w:rsid w:val="00D130F4"/>
    <w:rsid w:val="00D13106"/>
    <w:rsid w:val="00D13261"/>
    <w:rsid w:val="00D1328E"/>
    <w:rsid w:val="00D132EB"/>
    <w:rsid w:val="00D134AD"/>
    <w:rsid w:val="00D135B6"/>
    <w:rsid w:val="00D13767"/>
    <w:rsid w:val="00D137D0"/>
    <w:rsid w:val="00D1391B"/>
    <w:rsid w:val="00D139B4"/>
    <w:rsid w:val="00D13B10"/>
    <w:rsid w:val="00D13DC6"/>
    <w:rsid w:val="00D13DEA"/>
    <w:rsid w:val="00D13EAC"/>
    <w:rsid w:val="00D13EE5"/>
    <w:rsid w:val="00D13F70"/>
    <w:rsid w:val="00D14002"/>
    <w:rsid w:val="00D140D6"/>
    <w:rsid w:val="00D141DE"/>
    <w:rsid w:val="00D141E9"/>
    <w:rsid w:val="00D14402"/>
    <w:rsid w:val="00D145AE"/>
    <w:rsid w:val="00D145E3"/>
    <w:rsid w:val="00D146DB"/>
    <w:rsid w:val="00D147BA"/>
    <w:rsid w:val="00D147F8"/>
    <w:rsid w:val="00D1485D"/>
    <w:rsid w:val="00D14926"/>
    <w:rsid w:val="00D14960"/>
    <w:rsid w:val="00D14991"/>
    <w:rsid w:val="00D14AA6"/>
    <w:rsid w:val="00D14BC2"/>
    <w:rsid w:val="00D14BDA"/>
    <w:rsid w:val="00D14BDB"/>
    <w:rsid w:val="00D14C5F"/>
    <w:rsid w:val="00D14DBD"/>
    <w:rsid w:val="00D14E25"/>
    <w:rsid w:val="00D14E26"/>
    <w:rsid w:val="00D14E31"/>
    <w:rsid w:val="00D14EB9"/>
    <w:rsid w:val="00D14EBD"/>
    <w:rsid w:val="00D14F90"/>
    <w:rsid w:val="00D14FEA"/>
    <w:rsid w:val="00D1507F"/>
    <w:rsid w:val="00D1509C"/>
    <w:rsid w:val="00D150D9"/>
    <w:rsid w:val="00D1534B"/>
    <w:rsid w:val="00D15365"/>
    <w:rsid w:val="00D1536A"/>
    <w:rsid w:val="00D154E8"/>
    <w:rsid w:val="00D154FA"/>
    <w:rsid w:val="00D156B5"/>
    <w:rsid w:val="00D15761"/>
    <w:rsid w:val="00D157BB"/>
    <w:rsid w:val="00D157C4"/>
    <w:rsid w:val="00D158A5"/>
    <w:rsid w:val="00D15B42"/>
    <w:rsid w:val="00D15C1F"/>
    <w:rsid w:val="00D15C75"/>
    <w:rsid w:val="00D15EA9"/>
    <w:rsid w:val="00D15F41"/>
    <w:rsid w:val="00D16062"/>
    <w:rsid w:val="00D161F1"/>
    <w:rsid w:val="00D162FA"/>
    <w:rsid w:val="00D163C2"/>
    <w:rsid w:val="00D1650D"/>
    <w:rsid w:val="00D16646"/>
    <w:rsid w:val="00D16687"/>
    <w:rsid w:val="00D16882"/>
    <w:rsid w:val="00D1697B"/>
    <w:rsid w:val="00D16991"/>
    <w:rsid w:val="00D16A13"/>
    <w:rsid w:val="00D16A58"/>
    <w:rsid w:val="00D16AD7"/>
    <w:rsid w:val="00D16BD7"/>
    <w:rsid w:val="00D16C6D"/>
    <w:rsid w:val="00D16C6E"/>
    <w:rsid w:val="00D16DEA"/>
    <w:rsid w:val="00D16ECD"/>
    <w:rsid w:val="00D16F2F"/>
    <w:rsid w:val="00D17026"/>
    <w:rsid w:val="00D17035"/>
    <w:rsid w:val="00D1709A"/>
    <w:rsid w:val="00D170F1"/>
    <w:rsid w:val="00D1714D"/>
    <w:rsid w:val="00D1721F"/>
    <w:rsid w:val="00D173C4"/>
    <w:rsid w:val="00D173D0"/>
    <w:rsid w:val="00D173D7"/>
    <w:rsid w:val="00D1741C"/>
    <w:rsid w:val="00D1756E"/>
    <w:rsid w:val="00D17693"/>
    <w:rsid w:val="00D17802"/>
    <w:rsid w:val="00D17829"/>
    <w:rsid w:val="00D17852"/>
    <w:rsid w:val="00D178DA"/>
    <w:rsid w:val="00D17A55"/>
    <w:rsid w:val="00D17A7F"/>
    <w:rsid w:val="00D17C2E"/>
    <w:rsid w:val="00D17C2F"/>
    <w:rsid w:val="00D17D37"/>
    <w:rsid w:val="00D17D9E"/>
    <w:rsid w:val="00D17E67"/>
    <w:rsid w:val="00D17E76"/>
    <w:rsid w:val="00D17E79"/>
    <w:rsid w:val="00D17EDF"/>
    <w:rsid w:val="00D17F7F"/>
    <w:rsid w:val="00D17FFB"/>
    <w:rsid w:val="00D2001F"/>
    <w:rsid w:val="00D201D5"/>
    <w:rsid w:val="00D203AE"/>
    <w:rsid w:val="00D203E2"/>
    <w:rsid w:val="00D203F8"/>
    <w:rsid w:val="00D20480"/>
    <w:rsid w:val="00D204F9"/>
    <w:rsid w:val="00D205F7"/>
    <w:rsid w:val="00D2062B"/>
    <w:rsid w:val="00D206B9"/>
    <w:rsid w:val="00D2071C"/>
    <w:rsid w:val="00D207B7"/>
    <w:rsid w:val="00D207BC"/>
    <w:rsid w:val="00D208BF"/>
    <w:rsid w:val="00D208C8"/>
    <w:rsid w:val="00D20917"/>
    <w:rsid w:val="00D20AAC"/>
    <w:rsid w:val="00D20AF1"/>
    <w:rsid w:val="00D20C2A"/>
    <w:rsid w:val="00D20C79"/>
    <w:rsid w:val="00D20CBA"/>
    <w:rsid w:val="00D20D3A"/>
    <w:rsid w:val="00D20D8E"/>
    <w:rsid w:val="00D20ECA"/>
    <w:rsid w:val="00D20F3E"/>
    <w:rsid w:val="00D20FFE"/>
    <w:rsid w:val="00D210B0"/>
    <w:rsid w:val="00D211AD"/>
    <w:rsid w:val="00D2120D"/>
    <w:rsid w:val="00D212CF"/>
    <w:rsid w:val="00D2151B"/>
    <w:rsid w:val="00D21574"/>
    <w:rsid w:val="00D215F5"/>
    <w:rsid w:val="00D2165C"/>
    <w:rsid w:val="00D217B8"/>
    <w:rsid w:val="00D217EE"/>
    <w:rsid w:val="00D21801"/>
    <w:rsid w:val="00D21833"/>
    <w:rsid w:val="00D2194C"/>
    <w:rsid w:val="00D21A0E"/>
    <w:rsid w:val="00D21B36"/>
    <w:rsid w:val="00D21B3B"/>
    <w:rsid w:val="00D21E0C"/>
    <w:rsid w:val="00D21E36"/>
    <w:rsid w:val="00D22047"/>
    <w:rsid w:val="00D223B7"/>
    <w:rsid w:val="00D22440"/>
    <w:rsid w:val="00D226C3"/>
    <w:rsid w:val="00D227A5"/>
    <w:rsid w:val="00D2281F"/>
    <w:rsid w:val="00D229A0"/>
    <w:rsid w:val="00D22BCD"/>
    <w:rsid w:val="00D22BCE"/>
    <w:rsid w:val="00D22C9F"/>
    <w:rsid w:val="00D22CFC"/>
    <w:rsid w:val="00D22D2A"/>
    <w:rsid w:val="00D23162"/>
    <w:rsid w:val="00D231CE"/>
    <w:rsid w:val="00D23215"/>
    <w:rsid w:val="00D2324B"/>
    <w:rsid w:val="00D233B0"/>
    <w:rsid w:val="00D23423"/>
    <w:rsid w:val="00D236BF"/>
    <w:rsid w:val="00D2375B"/>
    <w:rsid w:val="00D237B1"/>
    <w:rsid w:val="00D237F1"/>
    <w:rsid w:val="00D2381B"/>
    <w:rsid w:val="00D23893"/>
    <w:rsid w:val="00D23A29"/>
    <w:rsid w:val="00D23B2A"/>
    <w:rsid w:val="00D23B43"/>
    <w:rsid w:val="00D23B7B"/>
    <w:rsid w:val="00D23B89"/>
    <w:rsid w:val="00D23B9E"/>
    <w:rsid w:val="00D23DC2"/>
    <w:rsid w:val="00D23E1C"/>
    <w:rsid w:val="00D23E55"/>
    <w:rsid w:val="00D23FE1"/>
    <w:rsid w:val="00D241CC"/>
    <w:rsid w:val="00D243EF"/>
    <w:rsid w:val="00D244E7"/>
    <w:rsid w:val="00D24553"/>
    <w:rsid w:val="00D24586"/>
    <w:rsid w:val="00D24693"/>
    <w:rsid w:val="00D246BF"/>
    <w:rsid w:val="00D247FC"/>
    <w:rsid w:val="00D2493E"/>
    <w:rsid w:val="00D24A23"/>
    <w:rsid w:val="00D24A42"/>
    <w:rsid w:val="00D24B69"/>
    <w:rsid w:val="00D24F82"/>
    <w:rsid w:val="00D24FBF"/>
    <w:rsid w:val="00D2501F"/>
    <w:rsid w:val="00D25043"/>
    <w:rsid w:val="00D25049"/>
    <w:rsid w:val="00D25077"/>
    <w:rsid w:val="00D25079"/>
    <w:rsid w:val="00D25265"/>
    <w:rsid w:val="00D2527F"/>
    <w:rsid w:val="00D254DF"/>
    <w:rsid w:val="00D25594"/>
    <w:rsid w:val="00D256AC"/>
    <w:rsid w:val="00D256B2"/>
    <w:rsid w:val="00D25773"/>
    <w:rsid w:val="00D258DB"/>
    <w:rsid w:val="00D25927"/>
    <w:rsid w:val="00D25A75"/>
    <w:rsid w:val="00D25ADD"/>
    <w:rsid w:val="00D25C11"/>
    <w:rsid w:val="00D25C2D"/>
    <w:rsid w:val="00D25CDC"/>
    <w:rsid w:val="00D25D5B"/>
    <w:rsid w:val="00D25D99"/>
    <w:rsid w:val="00D25E52"/>
    <w:rsid w:val="00D25F48"/>
    <w:rsid w:val="00D2610D"/>
    <w:rsid w:val="00D26163"/>
    <w:rsid w:val="00D2629E"/>
    <w:rsid w:val="00D266E5"/>
    <w:rsid w:val="00D26737"/>
    <w:rsid w:val="00D26803"/>
    <w:rsid w:val="00D268EB"/>
    <w:rsid w:val="00D26968"/>
    <w:rsid w:val="00D269EA"/>
    <w:rsid w:val="00D26B0C"/>
    <w:rsid w:val="00D26BEA"/>
    <w:rsid w:val="00D26C88"/>
    <w:rsid w:val="00D26E60"/>
    <w:rsid w:val="00D26EC1"/>
    <w:rsid w:val="00D26EE1"/>
    <w:rsid w:val="00D2701E"/>
    <w:rsid w:val="00D27065"/>
    <w:rsid w:val="00D27168"/>
    <w:rsid w:val="00D27198"/>
    <w:rsid w:val="00D27236"/>
    <w:rsid w:val="00D2726D"/>
    <w:rsid w:val="00D272AE"/>
    <w:rsid w:val="00D2738E"/>
    <w:rsid w:val="00D273CB"/>
    <w:rsid w:val="00D2746D"/>
    <w:rsid w:val="00D275E3"/>
    <w:rsid w:val="00D27628"/>
    <w:rsid w:val="00D27744"/>
    <w:rsid w:val="00D27756"/>
    <w:rsid w:val="00D278EA"/>
    <w:rsid w:val="00D27B0E"/>
    <w:rsid w:val="00D27BB1"/>
    <w:rsid w:val="00D27BB7"/>
    <w:rsid w:val="00D27C05"/>
    <w:rsid w:val="00D27D2C"/>
    <w:rsid w:val="00D27D32"/>
    <w:rsid w:val="00D27F11"/>
    <w:rsid w:val="00D3003B"/>
    <w:rsid w:val="00D30055"/>
    <w:rsid w:val="00D30058"/>
    <w:rsid w:val="00D30146"/>
    <w:rsid w:val="00D302E8"/>
    <w:rsid w:val="00D3055D"/>
    <w:rsid w:val="00D30621"/>
    <w:rsid w:val="00D30695"/>
    <w:rsid w:val="00D306BF"/>
    <w:rsid w:val="00D306E0"/>
    <w:rsid w:val="00D30713"/>
    <w:rsid w:val="00D307A2"/>
    <w:rsid w:val="00D307BE"/>
    <w:rsid w:val="00D308AF"/>
    <w:rsid w:val="00D3099A"/>
    <w:rsid w:val="00D309F3"/>
    <w:rsid w:val="00D30A67"/>
    <w:rsid w:val="00D30C80"/>
    <w:rsid w:val="00D30CA0"/>
    <w:rsid w:val="00D30CA4"/>
    <w:rsid w:val="00D30CEE"/>
    <w:rsid w:val="00D30D0F"/>
    <w:rsid w:val="00D30D45"/>
    <w:rsid w:val="00D30DB0"/>
    <w:rsid w:val="00D30EBC"/>
    <w:rsid w:val="00D30F74"/>
    <w:rsid w:val="00D30FEF"/>
    <w:rsid w:val="00D31027"/>
    <w:rsid w:val="00D31120"/>
    <w:rsid w:val="00D312B2"/>
    <w:rsid w:val="00D313CF"/>
    <w:rsid w:val="00D31430"/>
    <w:rsid w:val="00D3144D"/>
    <w:rsid w:val="00D315AA"/>
    <w:rsid w:val="00D315D8"/>
    <w:rsid w:val="00D31600"/>
    <w:rsid w:val="00D3160A"/>
    <w:rsid w:val="00D31725"/>
    <w:rsid w:val="00D319BF"/>
    <w:rsid w:val="00D319E6"/>
    <w:rsid w:val="00D31A03"/>
    <w:rsid w:val="00D31A73"/>
    <w:rsid w:val="00D31C23"/>
    <w:rsid w:val="00D31C34"/>
    <w:rsid w:val="00D31C4E"/>
    <w:rsid w:val="00D31DA0"/>
    <w:rsid w:val="00D31DD3"/>
    <w:rsid w:val="00D32080"/>
    <w:rsid w:val="00D321D9"/>
    <w:rsid w:val="00D321F9"/>
    <w:rsid w:val="00D322CE"/>
    <w:rsid w:val="00D32315"/>
    <w:rsid w:val="00D32489"/>
    <w:rsid w:val="00D3257D"/>
    <w:rsid w:val="00D325B1"/>
    <w:rsid w:val="00D3261E"/>
    <w:rsid w:val="00D3264F"/>
    <w:rsid w:val="00D3269C"/>
    <w:rsid w:val="00D326D0"/>
    <w:rsid w:val="00D32A28"/>
    <w:rsid w:val="00D32BCE"/>
    <w:rsid w:val="00D32BE0"/>
    <w:rsid w:val="00D32BFF"/>
    <w:rsid w:val="00D32C1E"/>
    <w:rsid w:val="00D32DC8"/>
    <w:rsid w:val="00D32DDF"/>
    <w:rsid w:val="00D32E34"/>
    <w:rsid w:val="00D32EDD"/>
    <w:rsid w:val="00D3305A"/>
    <w:rsid w:val="00D3308B"/>
    <w:rsid w:val="00D3309E"/>
    <w:rsid w:val="00D330CB"/>
    <w:rsid w:val="00D33314"/>
    <w:rsid w:val="00D33353"/>
    <w:rsid w:val="00D3337E"/>
    <w:rsid w:val="00D334E6"/>
    <w:rsid w:val="00D3350E"/>
    <w:rsid w:val="00D335CD"/>
    <w:rsid w:val="00D336BE"/>
    <w:rsid w:val="00D33806"/>
    <w:rsid w:val="00D33859"/>
    <w:rsid w:val="00D338FE"/>
    <w:rsid w:val="00D3399F"/>
    <w:rsid w:val="00D33A00"/>
    <w:rsid w:val="00D33A65"/>
    <w:rsid w:val="00D33AF1"/>
    <w:rsid w:val="00D33B05"/>
    <w:rsid w:val="00D33C98"/>
    <w:rsid w:val="00D33DBF"/>
    <w:rsid w:val="00D33E14"/>
    <w:rsid w:val="00D33F06"/>
    <w:rsid w:val="00D340C1"/>
    <w:rsid w:val="00D34154"/>
    <w:rsid w:val="00D34202"/>
    <w:rsid w:val="00D3427A"/>
    <w:rsid w:val="00D3438C"/>
    <w:rsid w:val="00D343AC"/>
    <w:rsid w:val="00D343B9"/>
    <w:rsid w:val="00D346B3"/>
    <w:rsid w:val="00D34739"/>
    <w:rsid w:val="00D348B0"/>
    <w:rsid w:val="00D349CC"/>
    <w:rsid w:val="00D349D2"/>
    <w:rsid w:val="00D34B73"/>
    <w:rsid w:val="00D34BC1"/>
    <w:rsid w:val="00D34DB5"/>
    <w:rsid w:val="00D34F45"/>
    <w:rsid w:val="00D35197"/>
    <w:rsid w:val="00D352EF"/>
    <w:rsid w:val="00D353E9"/>
    <w:rsid w:val="00D3549C"/>
    <w:rsid w:val="00D354F6"/>
    <w:rsid w:val="00D35559"/>
    <w:rsid w:val="00D35665"/>
    <w:rsid w:val="00D35751"/>
    <w:rsid w:val="00D3587D"/>
    <w:rsid w:val="00D358A2"/>
    <w:rsid w:val="00D35B78"/>
    <w:rsid w:val="00D35C88"/>
    <w:rsid w:val="00D35C97"/>
    <w:rsid w:val="00D35EC9"/>
    <w:rsid w:val="00D36019"/>
    <w:rsid w:val="00D36021"/>
    <w:rsid w:val="00D36136"/>
    <w:rsid w:val="00D36319"/>
    <w:rsid w:val="00D363B1"/>
    <w:rsid w:val="00D363F1"/>
    <w:rsid w:val="00D36408"/>
    <w:rsid w:val="00D3645E"/>
    <w:rsid w:val="00D364EB"/>
    <w:rsid w:val="00D36590"/>
    <w:rsid w:val="00D367C7"/>
    <w:rsid w:val="00D3682C"/>
    <w:rsid w:val="00D369A5"/>
    <w:rsid w:val="00D36A18"/>
    <w:rsid w:val="00D36B61"/>
    <w:rsid w:val="00D36BFB"/>
    <w:rsid w:val="00D36DE9"/>
    <w:rsid w:val="00D36E6C"/>
    <w:rsid w:val="00D36F43"/>
    <w:rsid w:val="00D36F67"/>
    <w:rsid w:val="00D370E0"/>
    <w:rsid w:val="00D37139"/>
    <w:rsid w:val="00D37153"/>
    <w:rsid w:val="00D371BD"/>
    <w:rsid w:val="00D3725A"/>
    <w:rsid w:val="00D372E1"/>
    <w:rsid w:val="00D3738E"/>
    <w:rsid w:val="00D37411"/>
    <w:rsid w:val="00D374CC"/>
    <w:rsid w:val="00D37539"/>
    <w:rsid w:val="00D37574"/>
    <w:rsid w:val="00D3772E"/>
    <w:rsid w:val="00D377F8"/>
    <w:rsid w:val="00D37897"/>
    <w:rsid w:val="00D379E4"/>
    <w:rsid w:val="00D37A68"/>
    <w:rsid w:val="00D37ABB"/>
    <w:rsid w:val="00D37BE0"/>
    <w:rsid w:val="00D37CAB"/>
    <w:rsid w:val="00D37E00"/>
    <w:rsid w:val="00D37E19"/>
    <w:rsid w:val="00D37E59"/>
    <w:rsid w:val="00D37F69"/>
    <w:rsid w:val="00D37FCA"/>
    <w:rsid w:val="00D4018A"/>
    <w:rsid w:val="00D4020E"/>
    <w:rsid w:val="00D4025D"/>
    <w:rsid w:val="00D40332"/>
    <w:rsid w:val="00D40575"/>
    <w:rsid w:val="00D4058C"/>
    <w:rsid w:val="00D406C3"/>
    <w:rsid w:val="00D408A0"/>
    <w:rsid w:val="00D40968"/>
    <w:rsid w:val="00D40A9A"/>
    <w:rsid w:val="00D40B4C"/>
    <w:rsid w:val="00D40BB8"/>
    <w:rsid w:val="00D40BF0"/>
    <w:rsid w:val="00D40C8D"/>
    <w:rsid w:val="00D40CFB"/>
    <w:rsid w:val="00D40D38"/>
    <w:rsid w:val="00D40D53"/>
    <w:rsid w:val="00D40ED2"/>
    <w:rsid w:val="00D40F0B"/>
    <w:rsid w:val="00D40F0D"/>
    <w:rsid w:val="00D40F2B"/>
    <w:rsid w:val="00D41044"/>
    <w:rsid w:val="00D410CA"/>
    <w:rsid w:val="00D410D4"/>
    <w:rsid w:val="00D411C2"/>
    <w:rsid w:val="00D4140E"/>
    <w:rsid w:val="00D41436"/>
    <w:rsid w:val="00D414C1"/>
    <w:rsid w:val="00D4156B"/>
    <w:rsid w:val="00D41591"/>
    <w:rsid w:val="00D41687"/>
    <w:rsid w:val="00D417F4"/>
    <w:rsid w:val="00D41848"/>
    <w:rsid w:val="00D41990"/>
    <w:rsid w:val="00D41AAD"/>
    <w:rsid w:val="00D41C9A"/>
    <w:rsid w:val="00D41CCB"/>
    <w:rsid w:val="00D41CD6"/>
    <w:rsid w:val="00D41D7D"/>
    <w:rsid w:val="00D41EB6"/>
    <w:rsid w:val="00D41EDA"/>
    <w:rsid w:val="00D4200C"/>
    <w:rsid w:val="00D4201B"/>
    <w:rsid w:val="00D42021"/>
    <w:rsid w:val="00D42092"/>
    <w:rsid w:val="00D420A9"/>
    <w:rsid w:val="00D4216A"/>
    <w:rsid w:val="00D421C8"/>
    <w:rsid w:val="00D421F0"/>
    <w:rsid w:val="00D4224D"/>
    <w:rsid w:val="00D423B0"/>
    <w:rsid w:val="00D423DA"/>
    <w:rsid w:val="00D4243D"/>
    <w:rsid w:val="00D426B6"/>
    <w:rsid w:val="00D426CF"/>
    <w:rsid w:val="00D42AE8"/>
    <w:rsid w:val="00D42B1A"/>
    <w:rsid w:val="00D42C90"/>
    <w:rsid w:val="00D42D56"/>
    <w:rsid w:val="00D42F92"/>
    <w:rsid w:val="00D430BD"/>
    <w:rsid w:val="00D43185"/>
    <w:rsid w:val="00D43284"/>
    <w:rsid w:val="00D43371"/>
    <w:rsid w:val="00D43401"/>
    <w:rsid w:val="00D434C8"/>
    <w:rsid w:val="00D435DF"/>
    <w:rsid w:val="00D4363F"/>
    <w:rsid w:val="00D43729"/>
    <w:rsid w:val="00D437C0"/>
    <w:rsid w:val="00D438A0"/>
    <w:rsid w:val="00D438AD"/>
    <w:rsid w:val="00D439EC"/>
    <w:rsid w:val="00D43B53"/>
    <w:rsid w:val="00D43BD2"/>
    <w:rsid w:val="00D43E05"/>
    <w:rsid w:val="00D43E7C"/>
    <w:rsid w:val="00D43EB6"/>
    <w:rsid w:val="00D440EC"/>
    <w:rsid w:val="00D440EE"/>
    <w:rsid w:val="00D44264"/>
    <w:rsid w:val="00D44310"/>
    <w:rsid w:val="00D44320"/>
    <w:rsid w:val="00D44379"/>
    <w:rsid w:val="00D44565"/>
    <w:rsid w:val="00D4487F"/>
    <w:rsid w:val="00D449A6"/>
    <w:rsid w:val="00D44A8C"/>
    <w:rsid w:val="00D44BD9"/>
    <w:rsid w:val="00D44DA7"/>
    <w:rsid w:val="00D44DF6"/>
    <w:rsid w:val="00D44E09"/>
    <w:rsid w:val="00D44E52"/>
    <w:rsid w:val="00D44FDE"/>
    <w:rsid w:val="00D45008"/>
    <w:rsid w:val="00D4503B"/>
    <w:rsid w:val="00D450C7"/>
    <w:rsid w:val="00D45316"/>
    <w:rsid w:val="00D453C8"/>
    <w:rsid w:val="00D45479"/>
    <w:rsid w:val="00D45574"/>
    <w:rsid w:val="00D4564B"/>
    <w:rsid w:val="00D4565B"/>
    <w:rsid w:val="00D4570F"/>
    <w:rsid w:val="00D4571C"/>
    <w:rsid w:val="00D457AA"/>
    <w:rsid w:val="00D459C4"/>
    <w:rsid w:val="00D45A82"/>
    <w:rsid w:val="00D45B15"/>
    <w:rsid w:val="00D45B67"/>
    <w:rsid w:val="00D45B82"/>
    <w:rsid w:val="00D45C38"/>
    <w:rsid w:val="00D45C44"/>
    <w:rsid w:val="00D45D1E"/>
    <w:rsid w:val="00D45E33"/>
    <w:rsid w:val="00D45FDB"/>
    <w:rsid w:val="00D46034"/>
    <w:rsid w:val="00D46085"/>
    <w:rsid w:val="00D46169"/>
    <w:rsid w:val="00D4617C"/>
    <w:rsid w:val="00D461FA"/>
    <w:rsid w:val="00D46287"/>
    <w:rsid w:val="00D46315"/>
    <w:rsid w:val="00D4633F"/>
    <w:rsid w:val="00D463BA"/>
    <w:rsid w:val="00D46489"/>
    <w:rsid w:val="00D46569"/>
    <w:rsid w:val="00D46643"/>
    <w:rsid w:val="00D46865"/>
    <w:rsid w:val="00D468FE"/>
    <w:rsid w:val="00D46985"/>
    <w:rsid w:val="00D46B60"/>
    <w:rsid w:val="00D46CD5"/>
    <w:rsid w:val="00D46EF0"/>
    <w:rsid w:val="00D46F85"/>
    <w:rsid w:val="00D46FAB"/>
    <w:rsid w:val="00D46FF1"/>
    <w:rsid w:val="00D4708A"/>
    <w:rsid w:val="00D47103"/>
    <w:rsid w:val="00D4716F"/>
    <w:rsid w:val="00D471C3"/>
    <w:rsid w:val="00D47374"/>
    <w:rsid w:val="00D474E5"/>
    <w:rsid w:val="00D47553"/>
    <w:rsid w:val="00D47559"/>
    <w:rsid w:val="00D475F3"/>
    <w:rsid w:val="00D47B2A"/>
    <w:rsid w:val="00D47D28"/>
    <w:rsid w:val="00D47E69"/>
    <w:rsid w:val="00D47F3F"/>
    <w:rsid w:val="00D47FA1"/>
    <w:rsid w:val="00D47FC5"/>
    <w:rsid w:val="00D5006C"/>
    <w:rsid w:val="00D500C7"/>
    <w:rsid w:val="00D50376"/>
    <w:rsid w:val="00D505C6"/>
    <w:rsid w:val="00D505FD"/>
    <w:rsid w:val="00D50789"/>
    <w:rsid w:val="00D50811"/>
    <w:rsid w:val="00D50A74"/>
    <w:rsid w:val="00D50B44"/>
    <w:rsid w:val="00D50C4B"/>
    <w:rsid w:val="00D50C80"/>
    <w:rsid w:val="00D50CB4"/>
    <w:rsid w:val="00D50D16"/>
    <w:rsid w:val="00D50D25"/>
    <w:rsid w:val="00D50DC8"/>
    <w:rsid w:val="00D50E19"/>
    <w:rsid w:val="00D50E63"/>
    <w:rsid w:val="00D511EA"/>
    <w:rsid w:val="00D51260"/>
    <w:rsid w:val="00D514EF"/>
    <w:rsid w:val="00D51691"/>
    <w:rsid w:val="00D516B9"/>
    <w:rsid w:val="00D516E3"/>
    <w:rsid w:val="00D5179D"/>
    <w:rsid w:val="00D517A5"/>
    <w:rsid w:val="00D51925"/>
    <w:rsid w:val="00D51BDF"/>
    <w:rsid w:val="00D51CB6"/>
    <w:rsid w:val="00D51CB8"/>
    <w:rsid w:val="00D51D8C"/>
    <w:rsid w:val="00D51E2A"/>
    <w:rsid w:val="00D51EF3"/>
    <w:rsid w:val="00D51FE3"/>
    <w:rsid w:val="00D521A5"/>
    <w:rsid w:val="00D521EE"/>
    <w:rsid w:val="00D52595"/>
    <w:rsid w:val="00D5263F"/>
    <w:rsid w:val="00D5273C"/>
    <w:rsid w:val="00D52849"/>
    <w:rsid w:val="00D52901"/>
    <w:rsid w:val="00D529D4"/>
    <w:rsid w:val="00D529E6"/>
    <w:rsid w:val="00D52A07"/>
    <w:rsid w:val="00D52A20"/>
    <w:rsid w:val="00D52AAF"/>
    <w:rsid w:val="00D52BBB"/>
    <w:rsid w:val="00D52BF6"/>
    <w:rsid w:val="00D52C64"/>
    <w:rsid w:val="00D52C88"/>
    <w:rsid w:val="00D52C89"/>
    <w:rsid w:val="00D52DBD"/>
    <w:rsid w:val="00D52DC5"/>
    <w:rsid w:val="00D52DE1"/>
    <w:rsid w:val="00D52F81"/>
    <w:rsid w:val="00D52FDC"/>
    <w:rsid w:val="00D52FED"/>
    <w:rsid w:val="00D53022"/>
    <w:rsid w:val="00D5306E"/>
    <w:rsid w:val="00D530A0"/>
    <w:rsid w:val="00D530FC"/>
    <w:rsid w:val="00D53119"/>
    <w:rsid w:val="00D53197"/>
    <w:rsid w:val="00D531A5"/>
    <w:rsid w:val="00D531D6"/>
    <w:rsid w:val="00D533F4"/>
    <w:rsid w:val="00D535B2"/>
    <w:rsid w:val="00D537DA"/>
    <w:rsid w:val="00D53808"/>
    <w:rsid w:val="00D53840"/>
    <w:rsid w:val="00D53A60"/>
    <w:rsid w:val="00D53AF2"/>
    <w:rsid w:val="00D53C7B"/>
    <w:rsid w:val="00D53D8B"/>
    <w:rsid w:val="00D53FCB"/>
    <w:rsid w:val="00D53FEC"/>
    <w:rsid w:val="00D5445A"/>
    <w:rsid w:val="00D5464C"/>
    <w:rsid w:val="00D546A8"/>
    <w:rsid w:val="00D546D3"/>
    <w:rsid w:val="00D546F3"/>
    <w:rsid w:val="00D546FA"/>
    <w:rsid w:val="00D54899"/>
    <w:rsid w:val="00D548CF"/>
    <w:rsid w:val="00D549A0"/>
    <w:rsid w:val="00D54A42"/>
    <w:rsid w:val="00D54B72"/>
    <w:rsid w:val="00D54BD3"/>
    <w:rsid w:val="00D54BD5"/>
    <w:rsid w:val="00D54BD9"/>
    <w:rsid w:val="00D54D1D"/>
    <w:rsid w:val="00D54DEB"/>
    <w:rsid w:val="00D54FB0"/>
    <w:rsid w:val="00D5515A"/>
    <w:rsid w:val="00D55282"/>
    <w:rsid w:val="00D553C8"/>
    <w:rsid w:val="00D553E4"/>
    <w:rsid w:val="00D554C6"/>
    <w:rsid w:val="00D55599"/>
    <w:rsid w:val="00D555EB"/>
    <w:rsid w:val="00D556FE"/>
    <w:rsid w:val="00D557DF"/>
    <w:rsid w:val="00D557E6"/>
    <w:rsid w:val="00D55954"/>
    <w:rsid w:val="00D5596D"/>
    <w:rsid w:val="00D559AB"/>
    <w:rsid w:val="00D55A18"/>
    <w:rsid w:val="00D55A70"/>
    <w:rsid w:val="00D55AF8"/>
    <w:rsid w:val="00D55BB9"/>
    <w:rsid w:val="00D55BC1"/>
    <w:rsid w:val="00D55CF4"/>
    <w:rsid w:val="00D55DC1"/>
    <w:rsid w:val="00D55DE6"/>
    <w:rsid w:val="00D55F8C"/>
    <w:rsid w:val="00D56049"/>
    <w:rsid w:val="00D5605F"/>
    <w:rsid w:val="00D56472"/>
    <w:rsid w:val="00D56540"/>
    <w:rsid w:val="00D565B4"/>
    <w:rsid w:val="00D5679C"/>
    <w:rsid w:val="00D56865"/>
    <w:rsid w:val="00D56896"/>
    <w:rsid w:val="00D56AEF"/>
    <w:rsid w:val="00D56B63"/>
    <w:rsid w:val="00D56BF9"/>
    <w:rsid w:val="00D56C4F"/>
    <w:rsid w:val="00D56DF7"/>
    <w:rsid w:val="00D56E8E"/>
    <w:rsid w:val="00D56F63"/>
    <w:rsid w:val="00D56F9B"/>
    <w:rsid w:val="00D56FDF"/>
    <w:rsid w:val="00D5708C"/>
    <w:rsid w:val="00D570A7"/>
    <w:rsid w:val="00D57199"/>
    <w:rsid w:val="00D572FA"/>
    <w:rsid w:val="00D573A8"/>
    <w:rsid w:val="00D5744F"/>
    <w:rsid w:val="00D575F9"/>
    <w:rsid w:val="00D5769B"/>
    <w:rsid w:val="00D57719"/>
    <w:rsid w:val="00D578A1"/>
    <w:rsid w:val="00D57BBE"/>
    <w:rsid w:val="00D57CFF"/>
    <w:rsid w:val="00D57D4D"/>
    <w:rsid w:val="00D57D64"/>
    <w:rsid w:val="00D57EDA"/>
    <w:rsid w:val="00D57FE9"/>
    <w:rsid w:val="00D60231"/>
    <w:rsid w:val="00D602AA"/>
    <w:rsid w:val="00D60314"/>
    <w:rsid w:val="00D60328"/>
    <w:rsid w:val="00D60343"/>
    <w:rsid w:val="00D6035E"/>
    <w:rsid w:val="00D603A8"/>
    <w:rsid w:val="00D603C5"/>
    <w:rsid w:val="00D60A04"/>
    <w:rsid w:val="00D60A22"/>
    <w:rsid w:val="00D60A54"/>
    <w:rsid w:val="00D60AFA"/>
    <w:rsid w:val="00D60C7D"/>
    <w:rsid w:val="00D60DDA"/>
    <w:rsid w:val="00D60DFE"/>
    <w:rsid w:val="00D60E3B"/>
    <w:rsid w:val="00D61018"/>
    <w:rsid w:val="00D6101A"/>
    <w:rsid w:val="00D6110F"/>
    <w:rsid w:val="00D6114A"/>
    <w:rsid w:val="00D6147E"/>
    <w:rsid w:val="00D616D0"/>
    <w:rsid w:val="00D617A5"/>
    <w:rsid w:val="00D617AD"/>
    <w:rsid w:val="00D618BC"/>
    <w:rsid w:val="00D619DE"/>
    <w:rsid w:val="00D61A94"/>
    <w:rsid w:val="00D61AEA"/>
    <w:rsid w:val="00D61C72"/>
    <w:rsid w:val="00D61C90"/>
    <w:rsid w:val="00D61CC3"/>
    <w:rsid w:val="00D61E05"/>
    <w:rsid w:val="00D620A2"/>
    <w:rsid w:val="00D6228C"/>
    <w:rsid w:val="00D62310"/>
    <w:rsid w:val="00D623B0"/>
    <w:rsid w:val="00D62505"/>
    <w:rsid w:val="00D62640"/>
    <w:rsid w:val="00D6273A"/>
    <w:rsid w:val="00D627EC"/>
    <w:rsid w:val="00D62841"/>
    <w:rsid w:val="00D6287C"/>
    <w:rsid w:val="00D628DA"/>
    <w:rsid w:val="00D62930"/>
    <w:rsid w:val="00D62957"/>
    <w:rsid w:val="00D6299F"/>
    <w:rsid w:val="00D629A0"/>
    <w:rsid w:val="00D62A6F"/>
    <w:rsid w:val="00D62C3D"/>
    <w:rsid w:val="00D62EAE"/>
    <w:rsid w:val="00D63038"/>
    <w:rsid w:val="00D63068"/>
    <w:rsid w:val="00D630CB"/>
    <w:rsid w:val="00D6318B"/>
    <w:rsid w:val="00D632CD"/>
    <w:rsid w:val="00D632D2"/>
    <w:rsid w:val="00D633AF"/>
    <w:rsid w:val="00D63410"/>
    <w:rsid w:val="00D637A4"/>
    <w:rsid w:val="00D637C9"/>
    <w:rsid w:val="00D63804"/>
    <w:rsid w:val="00D6380D"/>
    <w:rsid w:val="00D6383E"/>
    <w:rsid w:val="00D63886"/>
    <w:rsid w:val="00D63A51"/>
    <w:rsid w:val="00D63A89"/>
    <w:rsid w:val="00D63B57"/>
    <w:rsid w:val="00D63B7A"/>
    <w:rsid w:val="00D63CE3"/>
    <w:rsid w:val="00D63D35"/>
    <w:rsid w:val="00D63D74"/>
    <w:rsid w:val="00D63DA6"/>
    <w:rsid w:val="00D63DB1"/>
    <w:rsid w:val="00D63E12"/>
    <w:rsid w:val="00D63EB9"/>
    <w:rsid w:val="00D63FA2"/>
    <w:rsid w:val="00D6413C"/>
    <w:rsid w:val="00D64232"/>
    <w:rsid w:val="00D6434C"/>
    <w:rsid w:val="00D6437B"/>
    <w:rsid w:val="00D64390"/>
    <w:rsid w:val="00D6457F"/>
    <w:rsid w:val="00D64605"/>
    <w:rsid w:val="00D64952"/>
    <w:rsid w:val="00D64B15"/>
    <w:rsid w:val="00D64C65"/>
    <w:rsid w:val="00D64C74"/>
    <w:rsid w:val="00D64CD9"/>
    <w:rsid w:val="00D64D4A"/>
    <w:rsid w:val="00D64E26"/>
    <w:rsid w:val="00D64E35"/>
    <w:rsid w:val="00D64EC8"/>
    <w:rsid w:val="00D64FEB"/>
    <w:rsid w:val="00D65174"/>
    <w:rsid w:val="00D652C1"/>
    <w:rsid w:val="00D6536E"/>
    <w:rsid w:val="00D653AD"/>
    <w:rsid w:val="00D65644"/>
    <w:rsid w:val="00D65738"/>
    <w:rsid w:val="00D6584B"/>
    <w:rsid w:val="00D658A3"/>
    <w:rsid w:val="00D658FD"/>
    <w:rsid w:val="00D659D9"/>
    <w:rsid w:val="00D65A38"/>
    <w:rsid w:val="00D65A8A"/>
    <w:rsid w:val="00D65AEF"/>
    <w:rsid w:val="00D65C90"/>
    <w:rsid w:val="00D65CC8"/>
    <w:rsid w:val="00D65D0E"/>
    <w:rsid w:val="00D65DA9"/>
    <w:rsid w:val="00D65DDE"/>
    <w:rsid w:val="00D65E34"/>
    <w:rsid w:val="00D65FB8"/>
    <w:rsid w:val="00D65FD0"/>
    <w:rsid w:val="00D65FDE"/>
    <w:rsid w:val="00D660B8"/>
    <w:rsid w:val="00D6617C"/>
    <w:rsid w:val="00D6619A"/>
    <w:rsid w:val="00D66283"/>
    <w:rsid w:val="00D6628C"/>
    <w:rsid w:val="00D66329"/>
    <w:rsid w:val="00D663C9"/>
    <w:rsid w:val="00D665A8"/>
    <w:rsid w:val="00D665CA"/>
    <w:rsid w:val="00D6673C"/>
    <w:rsid w:val="00D66740"/>
    <w:rsid w:val="00D668B8"/>
    <w:rsid w:val="00D66967"/>
    <w:rsid w:val="00D66973"/>
    <w:rsid w:val="00D66AD1"/>
    <w:rsid w:val="00D66B35"/>
    <w:rsid w:val="00D66C09"/>
    <w:rsid w:val="00D66D16"/>
    <w:rsid w:val="00D66F9A"/>
    <w:rsid w:val="00D67093"/>
    <w:rsid w:val="00D67153"/>
    <w:rsid w:val="00D67196"/>
    <w:rsid w:val="00D673AB"/>
    <w:rsid w:val="00D67411"/>
    <w:rsid w:val="00D6744C"/>
    <w:rsid w:val="00D6754E"/>
    <w:rsid w:val="00D675F5"/>
    <w:rsid w:val="00D6761E"/>
    <w:rsid w:val="00D676AD"/>
    <w:rsid w:val="00D6770A"/>
    <w:rsid w:val="00D67719"/>
    <w:rsid w:val="00D67726"/>
    <w:rsid w:val="00D67758"/>
    <w:rsid w:val="00D67771"/>
    <w:rsid w:val="00D677EC"/>
    <w:rsid w:val="00D67847"/>
    <w:rsid w:val="00D67868"/>
    <w:rsid w:val="00D678A2"/>
    <w:rsid w:val="00D679DC"/>
    <w:rsid w:val="00D67B1D"/>
    <w:rsid w:val="00D67B8B"/>
    <w:rsid w:val="00D67B9F"/>
    <w:rsid w:val="00D67D70"/>
    <w:rsid w:val="00D67DC5"/>
    <w:rsid w:val="00D67F8D"/>
    <w:rsid w:val="00D700BE"/>
    <w:rsid w:val="00D701CA"/>
    <w:rsid w:val="00D70394"/>
    <w:rsid w:val="00D70486"/>
    <w:rsid w:val="00D70529"/>
    <w:rsid w:val="00D70538"/>
    <w:rsid w:val="00D705C6"/>
    <w:rsid w:val="00D705D4"/>
    <w:rsid w:val="00D706FC"/>
    <w:rsid w:val="00D70791"/>
    <w:rsid w:val="00D70792"/>
    <w:rsid w:val="00D708EE"/>
    <w:rsid w:val="00D70913"/>
    <w:rsid w:val="00D7094C"/>
    <w:rsid w:val="00D70CB6"/>
    <w:rsid w:val="00D70D04"/>
    <w:rsid w:val="00D70D43"/>
    <w:rsid w:val="00D70E43"/>
    <w:rsid w:val="00D70EBF"/>
    <w:rsid w:val="00D7102C"/>
    <w:rsid w:val="00D7117F"/>
    <w:rsid w:val="00D7118D"/>
    <w:rsid w:val="00D71291"/>
    <w:rsid w:val="00D7130F"/>
    <w:rsid w:val="00D71559"/>
    <w:rsid w:val="00D715B5"/>
    <w:rsid w:val="00D715BE"/>
    <w:rsid w:val="00D7182B"/>
    <w:rsid w:val="00D71933"/>
    <w:rsid w:val="00D71BA6"/>
    <w:rsid w:val="00D71BBA"/>
    <w:rsid w:val="00D71C75"/>
    <w:rsid w:val="00D71C8B"/>
    <w:rsid w:val="00D71E0A"/>
    <w:rsid w:val="00D71F44"/>
    <w:rsid w:val="00D71FB8"/>
    <w:rsid w:val="00D72017"/>
    <w:rsid w:val="00D72070"/>
    <w:rsid w:val="00D720E1"/>
    <w:rsid w:val="00D72246"/>
    <w:rsid w:val="00D7226B"/>
    <w:rsid w:val="00D72328"/>
    <w:rsid w:val="00D723EC"/>
    <w:rsid w:val="00D725C1"/>
    <w:rsid w:val="00D72602"/>
    <w:rsid w:val="00D72817"/>
    <w:rsid w:val="00D7287B"/>
    <w:rsid w:val="00D728B3"/>
    <w:rsid w:val="00D72908"/>
    <w:rsid w:val="00D72911"/>
    <w:rsid w:val="00D72950"/>
    <w:rsid w:val="00D72B62"/>
    <w:rsid w:val="00D72BCC"/>
    <w:rsid w:val="00D72C57"/>
    <w:rsid w:val="00D72D43"/>
    <w:rsid w:val="00D72E0A"/>
    <w:rsid w:val="00D72E37"/>
    <w:rsid w:val="00D72EB7"/>
    <w:rsid w:val="00D7300D"/>
    <w:rsid w:val="00D7314B"/>
    <w:rsid w:val="00D732A2"/>
    <w:rsid w:val="00D73319"/>
    <w:rsid w:val="00D73349"/>
    <w:rsid w:val="00D73383"/>
    <w:rsid w:val="00D7338F"/>
    <w:rsid w:val="00D7346C"/>
    <w:rsid w:val="00D73489"/>
    <w:rsid w:val="00D7349D"/>
    <w:rsid w:val="00D73537"/>
    <w:rsid w:val="00D735A9"/>
    <w:rsid w:val="00D735F0"/>
    <w:rsid w:val="00D73726"/>
    <w:rsid w:val="00D73901"/>
    <w:rsid w:val="00D73942"/>
    <w:rsid w:val="00D73A2D"/>
    <w:rsid w:val="00D73AFD"/>
    <w:rsid w:val="00D73BE1"/>
    <w:rsid w:val="00D73D49"/>
    <w:rsid w:val="00D73ECB"/>
    <w:rsid w:val="00D73F78"/>
    <w:rsid w:val="00D73FD8"/>
    <w:rsid w:val="00D73FFC"/>
    <w:rsid w:val="00D74141"/>
    <w:rsid w:val="00D74213"/>
    <w:rsid w:val="00D742CE"/>
    <w:rsid w:val="00D742FA"/>
    <w:rsid w:val="00D743D8"/>
    <w:rsid w:val="00D7449E"/>
    <w:rsid w:val="00D745CB"/>
    <w:rsid w:val="00D746FB"/>
    <w:rsid w:val="00D7482B"/>
    <w:rsid w:val="00D74898"/>
    <w:rsid w:val="00D74922"/>
    <w:rsid w:val="00D749C8"/>
    <w:rsid w:val="00D749CB"/>
    <w:rsid w:val="00D74BCE"/>
    <w:rsid w:val="00D74C5F"/>
    <w:rsid w:val="00D74CA9"/>
    <w:rsid w:val="00D74CFC"/>
    <w:rsid w:val="00D74D1B"/>
    <w:rsid w:val="00D74D3E"/>
    <w:rsid w:val="00D74F7B"/>
    <w:rsid w:val="00D74FB3"/>
    <w:rsid w:val="00D74FCE"/>
    <w:rsid w:val="00D74FFB"/>
    <w:rsid w:val="00D7502F"/>
    <w:rsid w:val="00D75032"/>
    <w:rsid w:val="00D751AA"/>
    <w:rsid w:val="00D754DB"/>
    <w:rsid w:val="00D754F0"/>
    <w:rsid w:val="00D7556F"/>
    <w:rsid w:val="00D755C6"/>
    <w:rsid w:val="00D755E1"/>
    <w:rsid w:val="00D7570A"/>
    <w:rsid w:val="00D7573B"/>
    <w:rsid w:val="00D75844"/>
    <w:rsid w:val="00D758C1"/>
    <w:rsid w:val="00D75945"/>
    <w:rsid w:val="00D75A39"/>
    <w:rsid w:val="00D75AD9"/>
    <w:rsid w:val="00D75B06"/>
    <w:rsid w:val="00D75C4E"/>
    <w:rsid w:val="00D75C9C"/>
    <w:rsid w:val="00D75CB2"/>
    <w:rsid w:val="00D75E5B"/>
    <w:rsid w:val="00D75E74"/>
    <w:rsid w:val="00D75F6D"/>
    <w:rsid w:val="00D75F83"/>
    <w:rsid w:val="00D761E3"/>
    <w:rsid w:val="00D76235"/>
    <w:rsid w:val="00D76285"/>
    <w:rsid w:val="00D762F5"/>
    <w:rsid w:val="00D763FB"/>
    <w:rsid w:val="00D76464"/>
    <w:rsid w:val="00D76528"/>
    <w:rsid w:val="00D76636"/>
    <w:rsid w:val="00D76754"/>
    <w:rsid w:val="00D76759"/>
    <w:rsid w:val="00D768C2"/>
    <w:rsid w:val="00D76991"/>
    <w:rsid w:val="00D76A66"/>
    <w:rsid w:val="00D76C98"/>
    <w:rsid w:val="00D76D24"/>
    <w:rsid w:val="00D76D4A"/>
    <w:rsid w:val="00D76D61"/>
    <w:rsid w:val="00D76DC0"/>
    <w:rsid w:val="00D76E68"/>
    <w:rsid w:val="00D7708C"/>
    <w:rsid w:val="00D77096"/>
    <w:rsid w:val="00D77162"/>
    <w:rsid w:val="00D77246"/>
    <w:rsid w:val="00D77448"/>
    <w:rsid w:val="00D7745B"/>
    <w:rsid w:val="00D7766D"/>
    <w:rsid w:val="00D7767B"/>
    <w:rsid w:val="00D7776E"/>
    <w:rsid w:val="00D7786D"/>
    <w:rsid w:val="00D77915"/>
    <w:rsid w:val="00D77943"/>
    <w:rsid w:val="00D77979"/>
    <w:rsid w:val="00D7797B"/>
    <w:rsid w:val="00D77991"/>
    <w:rsid w:val="00D779BC"/>
    <w:rsid w:val="00D77A0E"/>
    <w:rsid w:val="00D77A63"/>
    <w:rsid w:val="00D77AD9"/>
    <w:rsid w:val="00D77B00"/>
    <w:rsid w:val="00D77BF1"/>
    <w:rsid w:val="00D77C9C"/>
    <w:rsid w:val="00D77CCF"/>
    <w:rsid w:val="00D77E1E"/>
    <w:rsid w:val="00D77E4F"/>
    <w:rsid w:val="00D77E84"/>
    <w:rsid w:val="00D8005F"/>
    <w:rsid w:val="00D80076"/>
    <w:rsid w:val="00D8014F"/>
    <w:rsid w:val="00D8022A"/>
    <w:rsid w:val="00D80286"/>
    <w:rsid w:val="00D804B8"/>
    <w:rsid w:val="00D804CB"/>
    <w:rsid w:val="00D80517"/>
    <w:rsid w:val="00D8062A"/>
    <w:rsid w:val="00D80653"/>
    <w:rsid w:val="00D8069A"/>
    <w:rsid w:val="00D806F8"/>
    <w:rsid w:val="00D80721"/>
    <w:rsid w:val="00D8076F"/>
    <w:rsid w:val="00D80866"/>
    <w:rsid w:val="00D80888"/>
    <w:rsid w:val="00D80A81"/>
    <w:rsid w:val="00D80B84"/>
    <w:rsid w:val="00D80BE0"/>
    <w:rsid w:val="00D80D5A"/>
    <w:rsid w:val="00D80D64"/>
    <w:rsid w:val="00D80E46"/>
    <w:rsid w:val="00D811CF"/>
    <w:rsid w:val="00D81247"/>
    <w:rsid w:val="00D81293"/>
    <w:rsid w:val="00D81387"/>
    <w:rsid w:val="00D813D0"/>
    <w:rsid w:val="00D813E7"/>
    <w:rsid w:val="00D81454"/>
    <w:rsid w:val="00D8145A"/>
    <w:rsid w:val="00D814D7"/>
    <w:rsid w:val="00D817B0"/>
    <w:rsid w:val="00D8187C"/>
    <w:rsid w:val="00D81899"/>
    <w:rsid w:val="00D818B7"/>
    <w:rsid w:val="00D819AC"/>
    <w:rsid w:val="00D81A53"/>
    <w:rsid w:val="00D81C21"/>
    <w:rsid w:val="00D81C58"/>
    <w:rsid w:val="00D81CB5"/>
    <w:rsid w:val="00D81DFD"/>
    <w:rsid w:val="00D81E40"/>
    <w:rsid w:val="00D81F22"/>
    <w:rsid w:val="00D81F2D"/>
    <w:rsid w:val="00D81F46"/>
    <w:rsid w:val="00D81FBA"/>
    <w:rsid w:val="00D8201A"/>
    <w:rsid w:val="00D8201F"/>
    <w:rsid w:val="00D82092"/>
    <w:rsid w:val="00D82225"/>
    <w:rsid w:val="00D8233A"/>
    <w:rsid w:val="00D82455"/>
    <w:rsid w:val="00D82537"/>
    <w:rsid w:val="00D82621"/>
    <w:rsid w:val="00D82656"/>
    <w:rsid w:val="00D8276C"/>
    <w:rsid w:val="00D82773"/>
    <w:rsid w:val="00D82959"/>
    <w:rsid w:val="00D82A69"/>
    <w:rsid w:val="00D82AA7"/>
    <w:rsid w:val="00D82B80"/>
    <w:rsid w:val="00D82BAE"/>
    <w:rsid w:val="00D82C6B"/>
    <w:rsid w:val="00D82C80"/>
    <w:rsid w:val="00D82D5D"/>
    <w:rsid w:val="00D82D99"/>
    <w:rsid w:val="00D82DD4"/>
    <w:rsid w:val="00D82EAE"/>
    <w:rsid w:val="00D82F47"/>
    <w:rsid w:val="00D82FB5"/>
    <w:rsid w:val="00D82FE3"/>
    <w:rsid w:val="00D83021"/>
    <w:rsid w:val="00D8316D"/>
    <w:rsid w:val="00D8318C"/>
    <w:rsid w:val="00D83231"/>
    <w:rsid w:val="00D83245"/>
    <w:rsid w:val="00D833FE"/>
    <w:rsid w:val="00D83485"/>
    <w:rsid w:val="00D834F3"/>
    <w:rsid w:val="00D8352F"/>
    <w:rsid w:val="00D83590"/>
    <w:rsid w:val="00D8359F"/>
    <w:rsid w:val="00D836A7"/>
    <w:rsid w:val="00D83912"/>
    <w:rsid w:val="00D839C9"/>
    <w:rsid w:val="00D83A9D"/>
    <w:rsid w:val="00D83BC1"/>
    <w:rsid w:val="00D83BDC"/>
    <w:rsid w:val="00D83C11"/>
    <w:rsid w:val="00D83C8C"/>
    <w:rsid w:val="00D83CAC"/>
    <w:rsid w:val="00D83D70"/>
    <w:rsid w:val="00D83DC3"/>
    <w:rsid w:val="00D83DCA"/>
    <w:rsid w:val="00D83E40"/>
    <w:rsid w:val="00D83FF1"/>
    <w:rsid w:val="00D84008"/>
    <w:rsid w:val="00D8404E"/>
    <w:rsid w:val="00D84057"/>
    <w:rsid w:val="00D84166"/>
    <w:rsid w:val="00D841BC"/>
    <w:rsid w:val="00D841E9"/>
    <w:rsid w:val="00D8425E"/>
    <w:rsid w:val="00D842FC"/>
    <w:rsid w:val="00D8448B"/>
    <w:rsid w:val="00D84531"/>
    <w:rsid w:val="00D8469F"/>
    <w:rsid w:val="00D84885"/>
    <w:rsid w:val="00D848CC"/>
    <w:rsid w:val="00D849F1"/>
    <w:rsid w:val="00D84AC1"/>
    <w:rsid w:val="00D84B8F"/>
    <w:rsid w:val="00D84B99"/>
    <w:rsid w:val="00D84CE8"/>
    <w:rsid w:val="00D84D0D"/>
    <w:rsid w:val="00D84E55"/>
    <w:rsid w:val="00D84ECF"/>
    <w:rsid w:val="00D84F88"/>
    <w:rsid w:val="00D85081"/>
    <w:rsid w:val="00D850AE"/>
    <w:rsid w:val="00D85165"/>
    <w:rsid w:val="00D85270"/>
    <w:rsid w:val="00D852E2"/>
    <w:rsid w:val="00D856D3"/>
    <w:rsid w:val="00D856FD"/>
    <w:rsid w:val="00D8599C"/>
    <w:rsid w:val="00D859A9"/>
    <w:rsid w:val="00D859E9"/>
    <w:rsid w:val="00D85AF2"/>
    <w:rsid w:val="00D85B02"/>
    <w:rsid w:val="00D85B70"/>
    <w:rsid w:val="00D85B83"/>
    <w:rsid w:val="00D85BE5"/>
    <w:rsid w:val="00D86126"/>
    <w:rsid w:val="00D8615C"/>
    <w:rsid w:val="00D86166"/>
    <w:rsid w:val="00D86311"/>
    <w:rsid w:val="00D863D8"/>
    <w:rsid w:val="00D86437"/>
    <w:rsid w:val="00D86529"/>
    <w:rsid w:val="00D865D4"/>
    <w:rsid w:val="00D867C8"/>
    <w:rsid w:val="00D8682B"/>
    <w:rsid w:val="00D8684F"/>
    <w:rsid w:val="00D8692A"/>
    <w:rsid w:val="00D86A17"/>
    <w:rsid w:val="00D86B58"/>
    <w:rsid w:val="00D86B78"/>
    <w:rsid w:val="00D86B92"/>
    <w:rsid w:val="00D86CC2"/>
    <w:rsid w:val="00D86CF3"/>
    <w:rsid w:val="00D86DD5"/>
    <w:rsid w:val="00D86FA3"/>
    <w:rsid w:val="00D87022"/>
    <w:rsid w:val="00D8705C"/>
    <w:rsid w:val="00D8707C"/>
    <w:rsid w:val="00D872DF"/>
    <w:rsid w:val="00D87355"/>
    <w:rsid w:val="00D8738A"/>
    <w:rsid w:val="00D8739F"/>
    <w:rsid w:val="00D873A9"/>
    <w:rsid w:val="00D873CD"/>
    <w:rsid w:val="00D874F6"/>
    <w:rsid w:val="00D8751C"/>
    <w:rsid w:val="00D875BB"/>
    <w:rsid w:val="00D875EA"/>
    <w:rsid w:val="00D8765C"/>
    <w:rsid w:val="00D8767C"/>
    <w:rsid w:val="00D87794"/>
    <w:rsid w:val="00D8798C"/>
    <w:rsid w:val="00D87A71"/>
    <w:rsid w:val="00D87B0B"/>
    <w:rsid w:val="00D87BA0"/>
    <w:rsid w:val="00D87FEB"/>
    <w:rsid w:val="00D90092"/>
    <w:rsid w:val="00D90191"/>
    <w:rsid w:val="00D901DD"/>
    <w:rsid w:val="00D902E9"/>
    <w:rsid w:val="00D90319"/>
    <w:rsid w:val="00D90606"/>
    <w:rsid w:val="00D90659"/>
    <w:rsid w:val="00D906ED"/>
    <w:rsid w:val="00D907AE"/>
    <w:rsid w:val="00D90844"/>
    <w:rsid w:val="00D90894"/>
    <w:rsid w:val="00D909AC"/>
    <w:rsid w:val="00D90A90"/>
    <w:rsid w:val="00D90B56"/>
    <w:rsid w:val="00D90C4B"/>
    <w:rsid w:val="00D90C8F"/>
    <w:rsid w:val="00D90D18"/>
    <w:rsid w:val="00D90E70"/>
    <w:rsid w:val="00D90F03"/>
    <w:rsid w:val="00D91062"/>
    <w:rsid w:val="00D913C1"/>
    <w:rsid w:val="00D913E1"/>
    <w:rsid w:val="00D913F8"/>
    <w:rsid w:val="00D91B3E"/>
    <w:rsid w:val="00D91EB6"/>
    <w:rsid w:val="00D91FB8"/>
    <w:rsid w:val="00D9211D"/>
    <w:rsid w:val="00D922D8"/>
    <w:rsid w:val="00D922E3"/>
    <w:rsid w:val="00D92367"/>
    <w:rsid w:val="00D9244D"/>
    <w:rsid w:val="00D92671"/>
    <w:rsid w:val="00D9270F"/>
    <w:rsid w:val="00D92754"/>
    <w:rsid w:val="00D92782"/>
    <w:rsid w:val="00D927C7"/>
    <w:rsid w:val="00D927CA"/>
    <w:rsid w:val="00D9297A"/>
    <w:rsid w:val="00D92A9A"/>
    <w:rsid w:val="00D92AAB"/>
    <w:rsid w:val="00D92B9C"/>
    <w:rsid w:val="00D92BFD"/>
    <w:rsid w:val="00D92C5D"/>
    <w:rsid w:val="00D92C73"/>
    <w:rsid w:val="00D92DEC"/>
    <w:rsid w:val="00D92E7A"/>
    <w:rsid w:val="00D92FDD"/>
    <w:rsid w:val="00D92FE4"/>
    <w:rsid w:val="00D9301C"/>
    <w:rsid w:val="00D9321A"/>
    <w:rsid w:val="00D9324F"/>
    <w:rsid w:val="00D932E2"/>
    <w:rsid w:val="00D932EA"/>
    <w:rsid w:val="00D932F1"/>
    <w:rsid w:val="00D93498"/>
    <w:rsid w:val="00D93623"/>
    <w:rsid w:val="00D93702"/>
    <w:rsid w:val="00D93786"/>
    <w:rsid w:val="00D937AE"/>
    <w:rsid w:val="00D937B8"/>
    <w:rsid w:val="00D93809"/>
    <w:rsid w:val="00D938A1"/>
    <w:rsid w:val="00D938FF"/>
    <w:rsid w:val="00D93922"/>
    <w:rsid w:val="00D93936"/>
    <w:rsid w:val="00D939D5"/>
    <w:rsid w:val="00D93AA1"/>
    <w:rsid w:val="00D93AF5"/>
    <w:rsid w:val="00D93B42"/>
    <w:rsid w:val="00D93B48"/>
    <w:rsid w:val="00D93C33"/>
    <w:rsid w:val="00D93CE2"/>
    <w:rsid w:val="00D93DE8"/>
    <w:rsid w:val="00D93E52"/>
    <w:rsid w:val="00D93EDE"/>
    <w:rsid w:val="00D93F64"/>
    <w:rsid w:val="00D94003"/>
    <w:rsid w:val="00D94040"/>
    <w:rsid w:val="00D940D5"/>
    <w:rsid w:val="00D941F1"/>
    <w:rsid w:val="00D94209"/>
    <w:rsid w:val="00D9421B"/>
    <w:rsid w:val="00D94220"/>
    <w:rsid w:val="00D94241"/>
    <w:rsid w:val="00D94273"/>
    <w:rsid w:val="00D94398"/>
    <w:rsid w:val="00D9449B"/>
    <w:rsid w:val="00D944B3"/>
    <w:rsid w:val="00D94801"/>
    <w:rsid w:val="00D9494E"/>
    <w:rsid w:val="00D9497A"/>
    <w:rsid w:val="00D94A35"/>
    <w:rsid w:val="00D94A8F"/>
    <w:rsid w:val="00D94B8C"/>
    <w:rsid w:val="00D94B91"/>
    <w:rsid w:val="00D94BB3"/>
    <w:rsid w:val="00D94BBA"/>
    <w:rsid w:val="00D94BBD"/>
    <w:rsid w:val="00D94CB5"/>
    <w:rsid w:val="00D94E68"/>
    <w:rsid w:val="00D94FFB"/>
    <w:rsid w:val="00D95013"/>
    <w:rsid w:val="00D9506B"/>
    <w:rsid w:val="00D951E5"/>
    <w:rsid w:val="00D9523B"/>
    <w:rsid w:val="00D9542B"/>
    <w:rsid w:val="00D95448"/>
    <w:rsid w:val="00D954BE"/>
    <w:rsid w:val="00D954F3"/>
    <w:rsid w:val="00D9557D"/>
    <w:rsid w:val="00D95583"/>
    <w:rsid w:val="00D955CE"/>
    <w:rsid w:val="00D955D2"/>
    <w:rsid w:val="00D955ED"/>
    <w:rsid w:val="00D95653"/>
    <w:rsid w:val="00D95724"/>
    <w:rsid w:val="00D957EC"/>
    <w:rsid w:val="00D95824"/>
    <w:rsid w:val="00D9583D"/>
    <w:rsid w:val="00D95865"/>
    <w:rsid w:val="00D959B6"/>
    <w:rsid w:val="00D959EC"/>
    <w:rsid w:val="00D95A86"/>
    <w:rsid w:val="00D95B1A"/>
    <w:rsid w:val="00D95BDE"/>
    <w:rsid w:val="00D95C24"/>
    <w:rsid w:val="00D95D77"/>
    <w:rsid w:val="00D95D86"/>
    <w:rsid w:val="00D95ECB"/>
    <w:rsid w:val="00D95F9B"/>
    <w:rsid w:val="00D95FD3"/>
    <w:rsid w:val="00D9606C"/>
    <w:rsid w:val="00D960A1"/>
    <w:rsid w:val="00D960C6"/>
    <w:rsid w:val="00D960D2"/>
    <w:rsid w:val="00D961FB"/>
    <w:rsid w:val="00D96350"/>
    <w:rsid w:val="00D963A7"/>
    <w:rsid w:val="00D964FD"/>
    <w:rsid w:val="00D96622"/>
    <w:rsid w:val="00D9685D"/>
    <w:rsid w:val="00D969C5"/>
    <w:rsid w:val="00D969D7"/>
    <w:rsid w:val="00D96B77"/>
    <w:rsid w:val="00D96BD1"/>
    <w:rsid w:val="00D96C08"/>
    <w:rsid w:val="00D96C24"/>
    <w:rsid w:val="00D96C26"/>
    <w:rsid w:val="00D96CB6"/>
    <w:rsid w:val="00D96D55"/>
    <w:rsid w:val="00D96D74"/>
    <w:rsid w:val="00D96E52"/>
    <w:rsid w:val="00D96EC6"/>
    <w:rsid w:val="00D96EE9"/>
    <w:rsid w:val="00D971D1"/>
    <w:rsid w:val="00D9724A"/>
    <w:rsid w:val="00D972B7"/>
    <w:rsid w:val="00D973CD"/>
    <w:rsid w:val="00D973D1"/>
    <w:rsid w:val="00D9746C"/>
    <w:rsid w:val="00D974FE"/>
    <w:rsid w:val="00D975A3"/>
    <w:rsid w:val="00D9760B"/>
    <w:rsid w:val="00D97654"/>
    <w:rsid w:val="00D977D8"/>
    <w:rsid w:val="00D978C0"/>
    <w:rsid w:val="00D97B2C"/>
    <w:rsid w:val="00D97BB1"/>
    <w:rsid w:val="00D97C0C"/>
    <w:rsid w:val="00D97C58"/>
    <w:rsid w:val="00D97DA0"/>
    <w:rsid w:val="00D97ECE"/>
    <w:rsid w:val="00DA00C5"/>
    <w:rsid w:val="00DA0145"/>
    <w:rsid w:val="00DA034E"/>
    <w:rsid w:val="00DA03C4"/>
    <w:rsid w:val="00DA0430"/>
    <w:rsid w:val="00DA0BDB"/>
    <w:rsid w:val="00DA0C34"/>
    <w:rsid w:val="00DA0C5D"/>
    <w:rsid w:val="00DA0D1E"/>
    <w:rsid w:val="00DA0D34"/>
    <w:rsid w:val="00DA0E64"/>
    <w:rsid w:val="00DA0F15"/>
    <w:rsid w:val="00DA0F1A"/>
    <w:rsid w:val="00DA106D"/>
    <w:rsid w:val="00DA10C3"/>
    <w:rsid w:val="00DA117D"/>
    <w:rsid w:val="00DA12C0"/>
    <w:rsid w:val="00DA1483"/>
    <w:rsid w:val="00DA159A"/>
    <w:rsid w:val="00DA15E9"/>
    <w:rsid w:val="00DA162A"/>
    <w:rsid w:val="00DA198F"/>
    <w:rsid w:val="00DA1AFB"/>
    <w:rsid w:val="00DA1C1B"/>
    <w:rsid w:val="00DA1CB0"/>
    <w:rsid w:val="00DA1D4C"/>
    <w:rsid w:val="00DA1D57"/>
    <w:rsid w:val="00DA1DD1"/>
    <w:rsid w:val="00DA1F48"/>
    <w:rsid w:val="00DA201C"/>
    <w:rsid w:val="00DA20FE"/>
    <w:rsid w:val="00DA21F8"/>
    <w:rsid w:val="00DA2289"/>
    <w:rsid w:val="00DA22BD"/>
    <w:rsid w:val="00DA2306"/>
    <w:rsid w:val="00DA2349"/>
    <w:rsid w:val="00DA23F2"/>
    <w:rsid w:val="00DA2550"/>
    <w:rsid w:val="00DA25B5"/>
    <w:rsid w:val="00DA2634"/>
    <w:rsid w:val="00DA291C"/>
    <w:rsid w:val="00DA2A27"/>
    <w:rsid w:val="00DA2C2B"/>
    <w:rsid w:val="00DA2CC7"/>
    <w:rsid w:val="00DA2D01"/>
    <w:rsid w:val="00DA2D31"/>
    <w:rsid w:val="00DA2FF0"/>
    <w:rsid w:val="00DA31B7"/>
    <w:rsid w:val="00DA325A"/>
    <w:rsid w:val="00DA3331"/>
    <w:rsid w:val="00DA34C2"/>
    <w:rsid w:val="00DA372C"/>
    <w:rsid w:val="00DA3883"/>
    <w:rsid w:val="00DA38F5"/>
    <w:rsid w:val="00DA3964"/>
    <w:rsid w:val="00DA39BA"/>
    <w:rsid w:val="00DA3A6D"/>
    <w:rsid w:val="00DA3AAA"/>
    <w:rsid w:val="00DA3B19"/>
    <w:rsid w:val="00DA3E61"/>
    <w:rsid w:val="00DA3E93"/>
    <w:rsid w:val="00DA3F37"/>
    <w:rsid w:val="00DA3F61"/>
    <w:rsid w:val="00DA4020"/>
    <w:rsid w:val="00DA4106"/>
    <w:rsid w:val="00DA41B7"/>
    <w:rsid w:val="00DA422A"/>
    <w:rsid w:val="00DA440E"/>
    <w:rsid w:val="00DA4485"/>
    <w:rsid w:val="00DA45AE"/>
    <w:rsid w:val="00DA45B4"/>
    <w:rsid w:val="00DA46AE"/>
    <w:rsid w:val="00DA46C2"/>
    <w:rsid w:val="00DA498E"/>
    <w:rsid w:val="00DA4B27"/>
    <w:rsid w:val="00DA4B7D"/>
    <w:rsid w:val="00DA4B85"/>
    <w:rsid w:val="00DA4C56"/>
    <w:rsid w:val="00DA4CA7"/>
    <w:rsid w:val="00DA4E1A"/>
    <w:rsid w:val="00DA4E24"/>
    <w:rsid w:val="00DA4EE7"/>
    <w:rsid w:val="00DA4F6B"/>
    <w:rsid w:val="00DA4F86"/>
    <w:rsid w:val="00DA5168"/>
    <w:rsid w:val="00DA52B7"/>
    <w:rsid w:val="00DA5475"/>
    <w:rsid w:val="00DA5559"/>
    <w:rsid w:val="00DA556B"/>
    <w:rsid w:val="00DA564C"/>
    <w:rsid w:val="00DA56D3"/>
    <w:rsid w:val="00DA5752"/>
    <w:rsid w:val="00DA579D"/>
    <w:rsid w:val="00DA58C8"/>
    <w:rsid w:val="00DA5901"/>
    <w:rsid w:val="00DA59E6"/>
    <w:rsid w:val="00DA5A88"/>
    <w:rsid w:val="00DA5B37"/>
    <w:rsid w:val="00DA5BC4"/>
    <w:rsid w:val="00DA5BD6"/>
    <w:rsid w:val="00DA5DF3"/>
    <w:rsid w:val="00DA6023"/>
    <w:rsid w:val="00DA6099"/>
    <w:rsid w:val="00DA6110"/>
    <w:rsid w:val="00DA61D1"/>
    <w:rsid w:val="00DA649E"/>
    <w:rsid w:val="00DA6637"/>
    <w:rsid w:val="00DA6719"/>
    <w:rsid w:val="00DA67A5"/>
    <w:rsid w:val="00DA67C0"/>
    <w:rsid w:val="00DA68BC"/>
    <w:rsid w:val="00DA6991"/>
    <w:rsid w:val="00DA6A76"/>
    <w:rsid w:val="00DA6B85"/>
    <w:rsid w:val="00DA6BD2"/>
    <w:rsid w:val="00DA6CE7"/>
    <w:rsid w:val="00DA6DF4"/>
    <w:rsid w:val="00DA6E30"/>
    <w:rsid w:val="00DA6E4A"/>
    <w:rsid w:val="00DA7050"/>
    <w:rsid w:val="00DA70B6"/>
    <w:rsid w:val="00DA7120"/>
    <w:rsid w:val="00DA720D"/>
    <w:rsid w:val="00DA724D"/>
    <w:rsid w:val="00DA7260"/>
    <w:rsid w:val="00DA7263"/>
    <w:rsid w:val="00DA7270"/>
    <w:rsid w:val="00DA74B0"/>
    <w:rsid w:val="00DA7727"/>
    <w:rsid w:val="00DA773B"/>
    <w:rsid w:val="00DA7772"/>
    <w:rsid w:val="00DA77D7"/>
    <w:rsid w:val="00DA7999"/>
    <w:rsid w:val="00DA7BA5"/>
    <w:rsid w:val="00DA7C4B"/>
    <w:rsid w:val="00DA7C50"/>
    <w:rsid w:val="00DA7C54"/>
    <w:rsid w:val="00DA7CDA"/>
    <w:rsid w:val="00DA7D6A"/>
    <w:rsid w:val="00DA7DC5"/>
    <w:rsid w:val="00DA7DDF"/>
    <w:rsid w:val="00DA7FE1"/>
    <w:rsid w:val="00DA7FF7"/>
    <w:rsid w:val="00DB00B1"/>
    <w:rsid w:val="00DB0159"/>
    <w:rsid w:val="00DB01F9"/>
    <w:rsid w:val="00DB0227"/>
    <w:rsid w:val="00DB0266"/>
    <w:rsid w:val="00DB02E8"/>
    <w:rsid w:val="00DB0321"/>
    <w:rsid w:val="00DB04C2"/>
    <w:rsid w:val="00DB0530"/>
    <w:rsid w:val="00DB064B"/>
    <w:rsid w:val="00DB076C"/>
    <w:rsid w:val="00DB07BF"/>
    <w:rsid w:val="00DB07D7"/>
    <w:rsid w:val="00DB0A13"/>
    <w:rsid w:val="00DB0B8C"/>
    <w:rsid w:val="00DB0BFD"/>
    <w:rsid w:val="00DB0C4A"/>
    <w:rsid w:val="00DB0CA3"/>
    <w:rsid w:val="00DB0CDB"/>
    <w:rsid w:val="00DB0D05"/>
    <w:rsid w:val="00DB0D1E"/>
    <w:rsid w:val="00DB0E97"/>
    <w:rsid w:val="00DB0FA2"/>
    <w:rsid w:val="00DB0FDC"/>
    <w:rsid w:val="00DB0FEA"/>
    <w:rsid w:val="00DB116F"/>
    <w:rsid w:val="00DB11D1"/>
    <w:rsid w:val="00DB1466"/>
    <w:rsid w:val="00DB1BEF"/>
    <w:rsid w:val="00DB1D80"/>
    <w:rsid w:val="00DB1E81"/>
    <w:rsid w:val="00DB219C"/>
    <w:rsid w:val="00DB2209"/>
    <w:rsid w:val="00DB226B"/>
    <w:rsid w:val="00DB2392"/>
    <w:rsid w:val="00DB25C1"/>
    <w:rsid w:val="00DB269B"/>
    <w:rsid w:val="00DB27F3"/>
    <w:rsid w:val="00DB29D0"/>
    <w:rsid w:val="00DB2C96"/>
    <w:rsid w:val="00DB2D07"/>
    <w:rsid w:val="00DB2F70"/>
    <w:rsid w:val="00DB3016"/>
    <w:rsid w:val="00DB307C"/>
    <w:rsid w:val="00DB309C"/>
    <w:rsid w:val="00DB31DE"/>
    <w:rsid w:val="00DB322C"/>
    <w:rsid w:val="00DB32CC"/>
    <w:rsid w:val="00DB33D8"/>
    <w:rsid w:val="00DB34D0"/>
    <w:rsid w:val="00DB3509"/>
    <w:rsid w:val="00DB373B"/>
    <w:rsid w:val="00DB373C"/>
    <w:rsid w:val="00DB3823"/>
    <w:rsid w:val="00DB386B"/>
    <w:rsid w:val="00DB3CBA"/>
    <w:rsid w:val="00DB3F0D"/>
    <w:rsid w:val="00DB3F31"/>
    <w:rsid w:val="00DB3F64"/>
    <w:rsid w:val="00DB3FA3"/>
    <w:rsid w:val="00DB4191"/>
    <w:rsid w:val="00DB41A5"/>
    <w:rsid w:val="00DB41E6"/>
    <w:rsid w:val="00DB4263"/>
    <w:rsid w:val="00DB42F6"/>
    <w:rsid w:val="00DB43C5"/>
    <w:rsid w:val="00DB43EF"/>
    <w:rsid w:val="00DB4626"/>
    <w:rsid w:val="00DB4773"/>
    <w:rsid w:val="00DB478C"/>
    <w:rsid w:val="00DB47EC"/>
    <w:rsid w:val="00DB48EA"/>
    <w:rsid w:val="00DB49D4"/>
    <w:rsid w:val="00DB4B21"/>
    <w:rsid w:val="00DB4BB9"/>
    <w:rsid w:val="00DB4D16"/>
    <w:rsid w:val="00DB4DA0"/>
    <w:rsid w:val="00DB4DE8"/>
    <w:rsid w:val="00DB4FDA"/>
    <w:rsid w:val="00DB4FE1"/>
    <w:rsid w:val="00DB5001"/>
    <w:rsid w:val="00DB5131"/>
    <w:rsid w:val="00DB543C"/>
    <w:rsid w:val="00DB5615"/>
    <w:rsid w:val="00DB57A1"/>
    <w:rsid w:val="00DB5883"/>
    <w:rsid w:val="00DB5914"/>
    <w:rsid w:val="00DB594F"/>
    <w:rsid w:val="00DB5B28"/>
    <w:rsid w:val="00DB5B66"/>
    <w:rsid w:val="00DB5B7B"/>
    <w:rsid w:val="00DB5BDC"/>
    <w:rsid w:val="00DB5D19"/>
    <w:rsid w:val="00DB5DEA"/>
    <w:rsid w:val="00DB5DF0"/>
    <w:rsid w:val="00DB5E07"/>
    <w:rsid w:val="00DB6019"/>
    <w:rsid w:val="00DB601C"/>
    <w:rsid w:val="00DB60F6"/>
    <w:rsid w:val="00DB61C8"/>
    <w:rsid w:val="00DB62FE"/>
    <w:rsid w:val="00DB6340"/>
    <w:rsid w:val="00DB63B7"/>
    <w:rsid w:val="00DB63D2"/>
    <w:rsid w:val="00DB6717"/>
    <w:rsid w:val="00DB6B8F"/>
    <w:rsid w:val="00DB6C78"/>
    <w:rsid w:val="00DB6D3E"/>
    <w:rsid w:val="00DB6DFB"/>
    <w:rsid w:val="00DB6E03"/>
    <w:rsid w:val="00DB6FD0"/>
    <w:rsid w:val="00DB7011"/>
    <w:rsid w:val="00DB70AE"/>
    <w:rsid w:val="00DB7106"/>
    <w:rsid w:val="00DB7197"/>
    <w:rsid w:val="00DB719A"/>
    <w:rsid w:val="00DB71AF"/>
    <w:rsid w:val="00DB734F"/>
    <w:rsid w:val="00DB7488"/>
    <w:rsid w:val="00DB74D5"/>
    <w:rsid w:val="00DB7564"/>
    <w:rsid w:val="00DB7568"/>
    <w:rsid w:val="00DB7575"/>
    <w:rsid w:val="00DB75BA"/>
    <w:rsid w:val="00DB75CC"/>
    <w:rsid w:val="00DB75E7"/>
    <w:rsid w:val="00DB76DC"/>
    <w:rsid w:val="00DB7774"/>
    <w:rsid w:val="00DB7902"/>
    <w:rsid w:val="00DB792B"/>
    <w:rsid w:val="00DB79F0"/>
    <w:rsid w:val="00DB7B7F"/>
    <w:rsid w:val="00DB7C32"/>
    <w:rsid w:val="00DB7D72"/>
    <w:rsid w:val="00DB7DC0"/>
    <w:rsid w:val="00DB7E83"/>
    <w:rsid w:val="00DB7EB8"/>
    <w:rsid w:val="00DB7EE8"/>
    <w:rsid w:val="00DB7EFA"/>
    <w:rsid w:val="00DB7F9E"/>
    <w:rsid w:val="00DB7FD4"/>
    <w:rsid w:val="00DC0006"/>
    <w:rsid w:val="00DC0013"/>
    <w:rsid w:val="00DC00AC"/>
    <w:rsid w:val="00DC00C3"/>
    <w:rsid w:val="00DC017A"/>
    <w:rsid w:val="00DC02B7"/>
    <w:rsid w:val="00DC0311"/>
    <w:rsid w:val="00DC0316"/>
    <w:rsid w:val="00DC03BD"/>
    <w:rsid w:val="00DC03DB"/>
    <w:rsid w:val="00DC0420"/>
    <w:rsid w:val="00DC04C1"/>
    <w:rsid w:val="00DC065B"/>
    <w:rsid w:val="00DC0790"/>
    <w:rsid w:val="00DC081A"/>
    <w:rsid w:val="00DC0995"/>
    <w:rsid w:val="00DC0ADD"/>
    <w:rsid w:val="00DC0AEA"/>
    <w:rsid w:val="00DC0B97"/>
    <w:rsid w:val="00DC0C91"/>
    <w:rsid w:val="00DC0D08"/>
    <w:rsid w:val="00DC0DCF"/>
    <w:rsid w:val="00DC0EBD"/>
    <w:rsid w:val="00DC0F17"/>
    <w:rsid w:val="00DC0FE1"/>
    <w:rsid w:val="00DC1000"/>
    <w:rsid w:val="00DC1012"/>
    <w:rsid w:val="00DC101A"/>
    <w:rsid w:val="00DC11C6"/>
    <w:rsid w:val="00DC124F"/>
    <w:rsid w:val="00DC125B"/>
    <w:rsid w:val="00DC1272"/>
    <w:rsid w:val="00DC1288"/>
    <w:rsid w:val="00DC12B1"/>
    <w:rsid w:val="00DC13F3"/>
    <w:rsid w:val="00DC14DB"/>
    <w:rsid w:val="00DC1612"/>
    <w:rsid w:val="00DC16F9"/>
    <w:rsid w:val="00DC17E7"/>
    <w:rsid w:val="00DC19F4"/>
    <w:rsid w:val="00DC1ADB"/>
    <w:rsid w:val="00DC1B28"/>
    <w:rsid w:val="00DC1B3C"/>
    <w:rsid w:val="00DC1B4F"/>
    <w:rsid w:val="00DC1B7D"/>
    <w:rsid w:val="00DC1C5B"/>
    <w:rsid w:val="00DC1CFB"/>
    <w:rsid w:val="00DC1D14"/>
    <w:rsid w:val="00DC1ED1"/>
    <w:rsid w:val="00DC1F24"/>
    <w:rsid w:val="00DC1F80"/>
    <w:rsid w:val="00DC20A0"/>
    <w:rsid w:val="00DC20CE"/>
    <w:rsid w:val="00DC20DB"/>
    <w:rsid w:val="00DC21E2"/>
    <w:rsid w:val="00DC249E"/>
    <w:rsid w:val="00DC255B"/>
    <w:rsid w:val="00DC257E"/>
    <w:rsid w:val="00DC25BE"/>
    <w:rsid w:val="00DC26DF"/>
    <w:rsid w:val="00DC270C"/>
    <w:rsid w:val="00DC2844"/>
    <w:rsid w:val="00DC29A9"/>
    <w:rsid w:val="00DC29DC"/>
    <w:rsid w:val="00DC2A38"/>
    <w:rsid w:val="00DC2A50"/>
    <w:rsid w:val="00DC2B6D"/>
    <w:rsid w:val="00DC2C77"/>
    <w:rsid w:val="00DC2CA4"/>
    <w:rsid w:val="00DC2D75"/>
    <w:rsid w:val="00DC2D80"/>
    <w:rsid w:val="00DC2E17"/>
    <w:rsid w:val="00DC2E6E"/>
    <w:rsid w:val="00DC2FB1"/>
    <w:rsid w:val="00DC3233"/>
    <w:rsid w:val="00DC3443"/>
    <w:rsid w:val="00DC34CC"/>
    <w:rsid w:val="00DC35EB"/>
    <w:rsid w:val="00DC3821"/>
    <w:rsid w:val="00DC388E"/>
    <w:rsid w:val="00DC3A24"/>
    <w:rsid w:val="00DC3AF9"/>
    <w:rsid w:val="00DC3BA6"/>
    <w:rsid w:val="00DC3C42"/>
    <w:rsid w:val="00DC3D7A"/>
    <w:rsid w:val="00DC3D8E"/>
    <w:rsid w:val="00DC3E57"/>
    <w:rsid w:val="00DC3EBA"/>
    <w:rsid w:val="00DC3EE0"/>
    <w:rsid w:val="00DC3F20"/>
    <w:rsid w:val="00DC3F45"/>
    <w:rsid w:val="00DC410F"/>
    <w:rsid w:val="00DC4185"/>
    <w:rsid w:val="00DC41A7"/>
    <w:rsid w:val="00DC43DD"/>
    <w:rsid w:val="00DC4476"/>
    <w:rsid w:val="00DC4492"/>
    <w:rsid w:val="00DC451F"/>
    <w:rsid w:val="00DC4534"/>
    <w:rsid w:val="00DC45CF"/>
    <w:rsid w:val="00DC4618"/>
    <w:rsid w:val="00DC4689"/>
    <w:rsid w:val="00DC476F"/>
    <w:rsid w:val="00DC4918"/>
    <w:rsid w:val="00DC49F6"/>
    <w:rsid w:val="00DC4BA2"/>
    <w:rsid w:val="00DC4D3A"/>
    <w:rsid w:val="00DC4D98"/>
    <w:rsid w:val="00DC4FD4"/>
    <w:rsid w:val="00DC50FD"/>
    <w:rsid w:val="00DC50FF"/>
    <w:rsid w:val="00DC51F5"/>
    <w:rsid w:val="00DC5418"/>
    <w:rsid w:val="00DC54BB"/>
    <w:rsid w:val="00DC54FD"/>
    <w:rsid w:val="00DC555D"/>
    <w:rsid w:val="00DC56C6"/>
    <w:rsid w:val="00DC5768"/>
    <w:rsid w:val="00DC584F"/>
    <w:rsid w:val="00DC58FC"/>
    <w:rsid w:val="00DC59AD"/>
    <w:rsid w:val="00DC59E7"/>
    <w:rsid w:val="00DC5A23"/>
    <w:rsid w:val="00DC5B67"/>
    <w:rsid w:val="00DC5B72"/>
    <w:rsid w:val="00DC5BAD"/>
    <w:rsid w:val="00DC5BE9"/>
    <w:rsid w:val="00DC5CD9"/>
    <w:rsid w:val="00DC5DCE"/>
    <w:rsid w:val="00DC5E79"/>
    <w:rsid w:val="00DC5EB7"/>
    <w:rsid w:val="00DC6002"/>
    <w:rsid w:val="00DC6116"/>
    <w:rsid w:val="00DC6130"/>
    <w:rsid w:val="00DC62B1"/>
    <w:rsid w:val="00DC6340"/>
    <w:rsid w:val="00DC63C8"/>
    <w:rsid w:val="00DC63F4"/>
    <w:rsid w:val="00DC641D"/>
    <w:rsid w:val="00DC649C"/>
    <w:rsid w:val="00DC668E"/>
    <w:rsid w:val="00DC66F7"/>
    <w:rsid w:val="00DC6910"/>
    <w:rsid w:val="00DC69C2"/>
    <w:rsid w:val="00DC6A79"/>
    <w:rsid w:val="00DC6C8B"/>
    <w:rsid w:val="00DC6D14"/>
    <w:rsid w:val="00DC6D58"/>
    <w:rsid w:val="00DC6DD7"/>
    <w:rsid w:val="00DC6ED5"/>
    <w:rsid w:val="00DC6F4A"/>
    <w:rsid w:val="00DC6F94"/>
    <w:rsid w:val="00DC6FEA"/>
    <w:rsid w:val="00DC711E"/>
    <w:rsid w:val="00DC718C"/>
    <w:rsid w:val="00DC72AF"/>
    <w:rsid w:val="00DC7329"/>
    <w:rsid w:val="00DC75EF"/>
    <w:rsid w:val="00DC777F"/>
    <w:rsid w:val="00DC78CC"/>
    <w:rsid w:val="00DC7B08"/>
    <w:rsid w:val="00DC7C17"/>
    <w:rsid w:val="00DC7D49"/>
    <w:rsid w:val="00DC7D5B"/>
    <w:rsid w:val="00DC7D83"/>
    <w:rsid w:val="00DC7E29"/>
    <w:rsid w:val="00DC7E63"/>
    <w:rsid w:val="00DC7E8F"/>
    <w:rsid w:val="00DD007C"/>
    <w:rsid w:val="00DD0111"/>
    <w:rsid w:val="00DD0284"/>
    <w:rsid w:val="00DD0374"/>
    <w:rsid w:val="00DD06D7"/>
    <w:rsid w:val="00DD06F5"/>
    <w:rsid w:val="00DD07F3"/>
    <w:rsid w:val="00DD08F6"/>
    <w:rsid w:val="00DD0951"/>
    <w:rsid w:val="00DD0A47"/>
    <w:rsid w:val="00DD0AE3"/>
    <w:rsid w:val="00DD0BBF"/>
    <w:rsid w:val="00DD0C1D"/>
    <w:rsid w:val="00DD0C56"/>
    <w:rsid w:val="00DD0D11"/>
    <w:rsid w:val="00DD0E37"/>
    <w:rsid w:val="00DD0E4F"/>
    <w:rsid w:val="00DD10DB"/>
    <w:rsid w:val="00DD1192"/>
    <w:rsid w:val="00DD127C"/>
    <w:rsid w:val="00DD12AF"/>
    <w:rsid w:val="00DD155F"/>
    <w:rsid w:val="00DD161F"/>
    <w:rsid w:val="00DD1637"/>
    <w:rsid w:val="00DD17DF"/>
    <w:rsid w:val="00DD17F6"/>
    <w:rsid w:val="00DD195E"/>
    <w:rsid w:val="00DD1A4B"/>
    <w:rsid w:val="00DD1B34"/>
    <w:rsid w:val="00DD1BDE"/>
    <w:rsid w:val="00DD1C58"/>
    <w:rsid w:val="00DD1C9F"/>
    <w:rsid w:val="00DD1D1D"/>
    <w:rsid w:val="00DD1E7C"/>
    <w:rsid w:val="00DD1EF9"/>
    <w:rsid w:val="00DD1F03"/>
    <w:rsid w:val="00DD1F1F"/>
    <w:rsid w:val="00DD1FF4"/>
    <w:rsid w:val="00DD2010"/>
    <w:rsid w:val="00DD2160"/>
    <w:rsid w:val="00DD234F"/>
    <w:rsid w:val="00DD2352"/>
    <w:rsid w:val="00DD243A"/>
    <w:rsid w:val="00DD249C"/>
    <w:rsid w:val="00DD2502"/>
    <w:rsid w:val="00DD2706"/>
    <w:rsid w:val="00DD278A"/>
    <w:rsid w:val="00DD28CD"/>
    <w:rsid w:val="00DD29AA"/>
    <w:rsid w:val="00DD29AB"/>
    <w:rsid w:val="00DD29E6"/>
    <w:rsid w:val="00DD2A0C"/>
    <w:rsid w:val="00DD2C2E"/>
    <w:rsid w:val="00DD2C40"/>
    <w:rsid w:val="00DD2E9C"/>
    <w:rsid w:val="00DD2FB4"/>
    <w:rsid w:val="00DD31FB"/>
    <w:rsid w:val="00DD3207"/>
    <w:rsid w:val="00DD3349"/>
    <w:rsid w:val="00DD3456"/>
    <w:rsid w:val="00DD34BE"/>
    <w:rsid w:val="00DD34FC"/>
    <w:rsid w:val="00DD354D"/>
    <w:rsid w:val="00DD355D"/>
    <w:rsid w:val="00DD3840"/>
    <w:rsid w:val="00DD38C2"/>
    <w:rsid w:val="00DD396A"/>
    <w:rsid w:val="00DD39B9"/>
    <w:rsid w:val="00DD39FF"/>
    <w:rsid w:val="00DD3A1A"/>
    <w:rsid w:val="00DD3F92"/>
    <w:rsid w:val="00DD3F9C"/>
    <w:rsid w:val="00DD4067"/>
    <w:rsid w:val="00DD4096"/>
    <w:rsid w:val="00DD442B"/>
    <w:rsid w:val="00DD4680"/>
    <w:rsid w:val="00DD46F0"/>
    <w:rsid w:val="00DD473B"/>
    <w:rsid w:val="00DD48E3"/>
    <w:rsid w:val="00DD49E3"/>
    <w:rsid w:val="00DD4A25"/>
    <w:rsid w:val="00DD4AA2"/>
    <w:rsid w:val="00DD4CC7"/>
    <w:rsid w:val="00DD4D31"/>
    <w:rsid w:val="00DD4E2E"/>
    <w:rsid w:val="00DD4E44"/>
    <w:rsid w:val="00DD4F45"/>
    <w:rsid w:val="00DD4F55"/>
    <w:rsid w:val="00DD4F70"/>
    <w:rsid w:val="00DD4FBD"/>
    <w:rsid w:val="00DD5042"/>
    <w:rsid w:val="00DD5198"/>
    <w:rsid w:val="00DD5253"/>
    <w:rsid w:val="00DD5256"/>
    <w:rsid w:val="00DD5419"/>
    <w:rsid w:val="00DD556C"/>
    <w:rsid w:val="00DD56AD"/>
    <w:rsid w:val="00DD577D"/>
    <w:rsid w:val="00DD57C0"/>
    <w:rsid w:val="00DD599E"/>
    <w:rsid w:val="00DD5B08"/>
    <w:rsid w:val="00DD5BF4"/>
    <w:rsid w:val="00DD5CC7"/>
    <w:rsid w:val="00DD5D1D"/>
    <w:rsid w:val="00DD5D43"/>
    <w:rsid w:val="00DD5E74"/>
    <w:rsid w:val="00DD5F3A"/>
    <w:rsid w:val="00DD5F60"/>
    <w:rsid w:val="00DD5FF1"/>
    <w:rsid w:val="00DD606D"/>
    <w:rsid w:val="00DD60E5"/>
    <w:rsid w:val="00DD60F9"/>
    <w:rsid w:val="00DD611B"/>
    <w:rsid w:val="00DD61B0"/>
    <w:rsid w:val="00DD6266"/>
    <w:rsid w:val="00DD634E"/>
    <w:rsid w:val="00DD63C7"/>
    <w:rsid w:val="00DD63E3"/>
    <w:rsid w:val="00DD6463"/>
    <w:rsid w:val="00DD658B"/>
    <w:rsid w:val="00DD65B9"/>
    <w:rsid w:val="00DD669D"/>
    <w:rsid w:val="00DD6994"/>
    <w:rsid w:val="00DD69FD"/>
    <w:rsid w:val="00DD6A4D"/>
    <w:rsid w:val="00DD6AA2"/>
    <w:rsid w:val="00DD6CC9"/>
    <w:rsid w:val="00DD6D65"/>
    <w:rsid w:val="00DD6D90"/>
    <w:rsid w:val="00DD6F48"/>
    <w:rsid w:val="00DD6F84"/>
    <w:rsid w:val="00DD6FFC"/>
    <w:rsid w:val="00DD71AD"/>
    <w:rsid w:val="00DD7253"/>
    <w:rsid w:val="00DD72B4"/>
    <w:rsid w:val="00DD72D5"/>
    <w:rsid w:val="00DD74B2"/>
    <w:rsid w:val="00DD757B"/>
    <w:rsid w:val="00DD75F1"/>
    <w:rsid w:val="00DD76A9"/>
    <w:rsid w:val="00DD7718"/>
    <w:rsid w:val="00DD778B"/>
    <w:rsid w:val="00DD779E"/>
    <w:rsid w:val="00DD7809"/>
    <w:rsid w:val="00DD7872"/>
    <w:rsid w:val="00DD7887"/>
    <w:rsid w:val="00DD7A40"/>
    <w:rsid w:val="00DD7A99"/>
    <w:rsid w:val="00DD7AB5"/>
    <w:rsid w:val="00DD7CD5"/>
    <w:rsid w:val="00DD7DA7"/>
    <w:rsid w:val="00DD7EF3"/>
    <w:rsid w:val="00DD7F99"/>
    <w:rsid w:val="00DD7FCB"/>
    <w:rsid w:val="00DE00A8"/>
    <w:rsid w:val="00DE012C"/>
    <w:rsid w:val="00DE0246"/>
    <w:rsid w:val="00DE037B"/>
    <w:rsid w:val="00DE043C"/>
    <w:rsid w:val="00DE043E"/>
    <w:rsid w:val="00DE0550"/>
    <w:rsid w:val="00DE064A"/>
    <w:rsid w:val="00DE0780"/>
    <w:rsid w:val="00DE07CA"/>
    <w:rsid w:val="00DE080C"/>
    <w:rsid w:val="00DE0843"/>
    <w:rsid w:val="00DE090C"/>
    <w:rsid w:val="00DE0B5B"/>
    <w:rsid w:val="00DE0C50"/>
    <w:rsid w:val="00DE0D24"/>
    <w:rsid w:val="00DE0D31"/>
    <w:rsid w:val="00DE0E30"/>
    <w:rsid w:val="00DE1016"/>
    <w:rsid w:val="00DE107F"/>
    <w:rsid w:val="00DE1131"/>
    <w:rsid w:val="00DE117E"/>
    <w:rsid w:val="00DE127F"/>
    <w:rsid w:val="00DE14D6"/>
    <w:rsid w:val="00DE156F"/>
    <w:rsid w:val="00DE1635"/>
    <w:rsid w:val="00DE179E"/>
    <w:rsid w:val="00DE17B1"/>
    <w:rsid w:val="00DE1939"/>
    <w:rsid w:val="00DE195E"/>
    <w:rsid w:val="00DE1A59"/>
    <w:rsid w:val="00DE1BDC"/>
    <w:rsid w:val="00DE1BE9"/>
    <w:rsid w:val="00DE1C98"/>
    <w:rsid w:val="00DE1CC2"/>
    <w:rsid w:val="00DE200E"/>
    <w:rsid w:val="00DE21CD"/>
    <w:rsid w:val="00DE21E8"/>
    <w:rsid w:val="00DE22A9"/>
    <w:rsid w:val="00DE22D5"/>
    <w:rsid w:val="00DE22E0"/>
    <w:rsid w:val="00DE23CA"/>
    <w:rsid w:val="00DE255D"/>
    <w:rsid w:val="00DE25C7"/>
    <w:rsid w:val="00DE25DA"/>
    <w:rsid w:val="00DE2600"/>
    <w:rsid w:val="00DE2685"/>
    <w:rsid w:val="00DE2695"/>
    <w:rsid w:val="00DE26C0"/>
    <w:rsid w:val="00DE2806"/>
    <w:rsid w:val="00DE2900"/>
    <w:rsid w:val="00DE292C"/>
    <w:rsid w:val="00DE293E"/>
    <w:rsid w:val="00DE29C2"/>
    <w:rsid w:val="00DE2BA5"/>
    <w:rsid w:val="00DE2F63"/>
    <w:rsid w:val="00DE2FAE"/>
    <w:rsid w:val="00DE2FE6"/>
    <w:rsid w:val="00DE2FFE"/>
    <w:rsid w:val="00DE3020"/>
    <w:rsid w:val="00DE3058"/>
    <w:rsid w:val="00DE30FA"/>
    <w:rsid w:val="00DE3160"/>
    <w:rsid w:val="00DE316A"/>
    <w:rsid w:val="00DE3254"/>
    <w:rsid w:val="00DE32C1"/>
    <w:rsid w:val="00DE338C"/>
    <w:rsid w:val="00DE338F"/>
    <w:rsid w:val="00DE339F"/>
    <w:rsid w:val="00DE3554"/>
    <w:rsid w:val="00DE3565"/>
    <w:rsid w:val="00DE3654"/>
    <w:rsid w:val="00DE373A"/>
    <w:rsid w:val="00DE3799"/>
    <w:rsid w:val="00DE37C3"/>
    <w:rsid w:val="00DE37DC"/>
    <w:rsid w:val="00DE37F0"/>
    <w:rsid w:val="00DE3900"/>
    <w:rsid w:val="00DE3985"/>
    <w:rsid w:val="00DE3AAF"/>
    <w:rsid w:val="00DE3AEB"/>
    <w:rsid w:val="00DE3B37"/>
    <w:rsid w:val="00DE3B5F"/>
    <w:rsid w:val="00DE3C74"/>
    <w:rsid w:val="00DE3CC8"/>
    <w:rsid w:val="00DE3CE4"/>
    <w:rsid w:val="00DE3D8B"/>
    <w:rsid w:val="00DE3E16"/>
    <w:rsid w:val="00DE3FA1"/>
    <w:rsid w:val="00DE411D"/>
    <w:rsid w:val="00DE4219"/>
    <w:rsid w:val="00DE4262"/>
    <w:rsid w:val="00DE429E"/>
    <w:rsid w:val="00DE42D9"/>
    <w:rsid w:val="00DE4339"/>
    <w:rsid w:val="00DE44D9"/>
    <w:rsid w:val="00DE450D"/>
    <w:rsid w:val="00DE450F"/>
    <w:rsid w:val="00DE46C0"/>
    <w:rsid w:val="00DE46DA"/>
    <w:rsid w:val="00DE4738"/>
    <w:rsid w:val="00DE48E3"/>
    <w:rsid w:val="00DE4958"/>
    <w:rsid w:val="00DE49ED"/>
    <w:rsid w:val="00DE4A03"/>
    <w:rsid w:val="00DE4A8E"/>
    <w:rsid w:val="00DE4AE7"/>
    <w:rsid w:val="00DE4BBA"/>
    <w:rsid w:val="00DE4BCC"/>
    <w:rsid w:val="00DE4C92"/>
    <w:rsid w:val="00DE4C95"/>
    <w:rsid w:val="00DE4E6D"/>
    <w:rsid w:val="00DE50BE"/>
    <w:rsid w:val="00DE51C5"/>
    <w:rsid w:val="00DE5201"/>
    <w:rsid w:val="00DE52A7"/>
    <w:rsid w:val="00DE52E1"/>
    <w:rsid w:val="00DE52E6"/>
    <w:rsid w:val="00DE53A3"/>
    <w:rsid w:val="00DE53A8"/>
    <w:rsid w:val="00DE5411"/>
    <w:rsid w:val="00DE5417"/>
    <w:rsid w:val="00DE5592"/>
    <w:rsid w:val="00DE565D"/>
    <w:rsid w:val="00DE5710"/>
    <w:rsid w:val="00DE5760"/>
    <w:rsid w:val="00DE5831"/>
    <w:rsid w:val="00DE5863"/>
    <w:rsid w:val="00DE588F"/>
    <w:rsid w:val="00DE5B7B"/>
    <w:rsid w:val="00DE5C4F"/>
    <w:rsid w:val="00DE5CDB"/>
    <w:rsid w:val="00DE5D7D"/>
    <w:rsid w:val="00DE5DEE"/>
    <w:rsid w:val="00DE5E47"/>
    <w:rsid w:val="00DE5F6F"/>
    <w:rsid w:val="00DE5F9B"/>
    <w:rsid w:val="00DE5FD6"/>
    <w:rsid w:val="00DE61FD"/>
    <w:rsid w:val="00DE62B7"/>
    <w:rsid w:val="00DE6387"/>
    <w:rsid w:val="00DE655C"/>
    <w:rsid w:val="00DE6567"/>
    <w:rsid w:val="00DE6589"/>
    <w:rsid w:val="00DE65C4"/>
    <w:rsid w:val="00DE6640"/>
    <w:rsid w:val="00DE6868"/>
    <w:rsid w:val="00DE68E6"/>
    <w:rsid w:val="00DE6A53"/>
    <w:rsid w:val="00DE6A78"/>
    <w:rsid w:val="00DE6AAF"/>
    <w:rsid w:val="00DE6ABB"/>
    <w:rsid w:val="00DE6BD3"/>
    <w:rsid w:val="00DE6C60"/>
    <w:rsid w:val="00DE6F0B"/>
    <w:rsid w:val="00DE6F54"/>
    <w:rsid w:val="00DE6F62"/>
    <w:rsid w:val="00DE6F7B"/>
    <w:rsid w:val="00DE6F81"/>
    <w:rsid w:val="00DE702C"/>
    <w:rsid w:val="00DE70E6"/>
    <w:rsid w:val="00DE71AA"/>
    <w:rsid w:val="00DE71DE"/>
    <w:rsid w:val="00DE71EC"/>
    <w:rsid w:val="00DE71FD"/>
    <w:rsid w:val="00DE7203"/>
    <w:rsid w:val="00DE73A4"/>
    <w:rsid w:val="00DE7450"/>
    <w:rsid w:val="00DE766C"/>
    <w:rsid w:val="00DE7682"/>
    <w:rsid w:val="00DE77E1"/>
    <w:rsid w:val="00DE7959"/>
    <w:rsid w:val="00DE7A49"/>
    <w:rsid w:val="00DE7B7A"/>
    <w:rsid w:val="00DE7C87"/>
    <w:rsid w:val="00DE7CA7"/>
    <w:rsid w:val="00DE7D2C"/>
    <w:rsid w:val="00DE7E08"/>
    <w:rsid w:val="00DE7F59"/>
    <w:rsid w:val="00DE7F5B"/>
    <w:rsid w:val="00DE7F73"/>
    <w:rsid w:val="00DF0283"/>
    <w:rsid w:val="00DF033E"/>
    <w:rsid w:val="00DF035E"/>
    <w:rsid w:val="00DF037C"/>
    <w:rsid w:val="00DF0381"/>
    <w:rsid w:val="00DF0595"/>
    <w:rsid w:val="00DF05B3"/>
    <w:rsid w:val="00DF0744"/>
    <w:rsid w:val="00DF0A33"/>
    <w:rsid w:val="00DF0A85"/>
    <w:rsid w:val="00DF0B0D"/>
    <w:rsid w:val="00DF0B4B"/>
    <w:rsid w:val="00DF0BF3"/>
    <w:rsid w:val="00DF0CAF"/>
    <w:rsid w:val="00DF0D02"/>
    <w:rsid w:val="00DF0D15"/>
    <w:rsid w:val="00DF0D92"/>
    <w:rsid w:val="00DF0EF1"/>
    <w:rsid w:val="00DF0EF2"/>
    <w:rsid w:val="00DF11C8"/>
    <w:rsid w:val="00DF11DD"/>
    <w:rsid w:val="00DF137D"/>
    <w:rsid w:val="00DF13D2"/>
    <w:rsid w:val="00DF1460"/>
    <w:rsid w:val="00DF1643"/>
    <w:rsid w:val="00DF1690"/>
    <w:rsid w:val="00DF16EB"/>
    <w:rsid w:val="00DF1722"/>
    <w:rsid w:val="00DF176E"/>
    <w:rsid w:val="00DF183E"/>
    <w:rsid w:val="00DF18C0"/>
    <w:rsid w:val="00DF1A8A"/>
    <w:rsid w:val="00DF1C00"/>
    <w:rsid w:val="00DF1D0C"/>
    <w:rsid w:val="00DF1D57"/>
    <w:rsid w:val="00DF1DC9"/>
    <w:rsid w:val="00DF1E12"/>
    <w:rsid w:val="00DF1F12"/>
    <w:rsid w:val="00DF1FFD"/>
    <w:rsid w:val="00DF205C"/>
    <w:rsid w:val="00DF2113"/>
    <w:rsid w:val="00DF21CF"/>
    <w:rsid w:val="00DF22AB"/>
    <w:rsid w:val="00DF2576"/>
    <w:rsid w:val="00DF257D"/>
    <w:rsid w:val="00DF27FA"/>
    <w:rsid w:val="00DF28A8"/>
    <w:rsid w:val="00DF2926"/>
    <w:rsid w:val="00DF2B0D"/>
    <w:rsid w:val="00DF2BF9"/>
    <w:rsid w:val="00DF2C0C"/>
    <w:rsid w:val="00DF2E96"/>
    <w:rsid w:val="00DF306F"/>
    <w:rsid w:val="00DF3071"/>
    <w:rsid w:val="00DF339A"/>
    <w:rsid w:val="00DF33A2"/>
    <w:rsid w:val="00DF33CB"/>
    <w:rsid w:val="00DF34FF"/>
    <w:rsid w:val="00DF37F5"/>
    <w:rsid w:val="00DF381B"/>
    <w:rsid w:val="00DF388B"/>
    <w:rsid w:val="00DF3900"/>
    <w:rsid w:val="00DF3A2A"/>
    <w:rsid w:val="00DF3A47"/>
    <w:rsid w:val="00DF3A96"/>
    <w:rsid w:val="00DF3BFD"/>
    <w:rsid w:val="00DF3C21"/>
    <w:rsid w:val="00DF3CAF"/>
    <w:rsid w:val="00DF3E29"/>
    <w:rsid w:val="00DF3E9C"/>
    <w:rsid w:val="00DF4023"/>
    <w:rsid w:val="00DF420B"/>
    <w:rsid w:val="00DF4211"/>
    <w:rsid w:val="00DF4286"/>
    <w:rsid w:val="00DF4394"/>
    <w:rsid w:val="00DF452B"/>
    <w:rsid w:val="00DF4557"/>
    <w:rsid w:val="00DF46E1"/>
    <w:rsid w:val="00DF4758"/>
    <w:rsid w:val="00DF486E"/>
    <w:rsid w:val="00DF4992"/>
    <w:rsid w:val="00DF4C72"/>
    <w:rsid w:val="00DF4D05"/>
    <w:rsid w:val="00DF4D40"/>
    <w:rsid w:val="00DF4DD1"/>
    <w:rsid w:val="00DF4E18"/>
    <w:rsid w:val="00DF4E62"/>
    <w:rsid w:val="00DF4F63"/>
    <w:rsid w:val="00DF4F88"/>
    <w:rsid w:val="00DF5127"/>
    <w:rsid w:val="00DF51D3"/>
    <w:rsid w:val="00DF52BB"/>
    <w:rsid w:val="00DF5341"/>
    <w:rsid w:val="00DF5353"/>
    <w:rsid w:val="00DF5397"/>
    <w:rsid w:val="00DF5472"/>
    <w:rsid w:val="00DF547F"/>
    <w:rsid w:val="00DF5505"/>
    <w:rsid w:val="00DF5656"/>
    <w:rsid w:val="00DF56AC"/>
    <w:rsid w:val="00DF56EB"/>
    <w:rsid w:val="00DF572D"/>
    <w:rsid w:val="00DF5840"/>
    <w:rsid w:val="00DF587A"/>
    <w:rsid w:val="00DF5881"/>
    <w:rsid w:val="00DF58DC"/>
    <w:rsid w:val="00DF5959"/>
    <w:rsid w:val="00DF59D8"/>
    <w:rsid w:val="00DF59FC"/>
    <w:rsid w:val="00DF5A3C"/>
    <w:rsid w:val="00DF5A90"/>
    <w:rsid w:val="00DF5C8C"/>
    <w:rsid w:val="00DF5CDF"/>
    <w:rsid w:val="00DF5E07"/>
    <w:rsid w:val="00DF5EB0"/>
    <w:rsid w:val="00DF5F5E"/>
    <w:rsid w:val="00DF605D"/>
    <w:rsid w:val="00DF6073"/>
    <w:rsid w:val="00DF6105"/>
    <w:rsid w:val="00DF62F0"/>
    <w:rsid w:val="00DF63D9"/>
    <w:rsid w:val="00DF643E"/>
    <w:rsid w:val="00DF64F0"/>
    <w:rsid w:val="00DF6730"/>
    <w:rsid w:val="00DF6746"/>
    <w:rsid w:val="00DF6767"/>
    <w:rsid w:val="00DF6790"/>
    <w:rsid w:val="00DF67C1"/>
    <w:rsid w:val="00DF6A5F"/>
    <w:rsid w:val="00DF6AF1"/>
    <w:rsid w:val="00DF6D98"/>
    <w:rsid w:val="00DF6DA3"/>
    <w:rsid w:val="00DF6DA7"/>
    <w:rsid w:val="00DF6E86"/>
    <w:rsid w:val="00DF6F0A"/>
    <w:rsid w:val="00DF70AC"/>
    <w:rsid w:val="00DF71AC"/>
    <w:rsid w:val="00DF71B3"/>
    <w:rsid w:val="00DF71BF"/>
    <w:rsid w:val="00DF7242"/>
    <w:rsid w:val="00DF7281"/>
    <w:rsid w:val="00DF733F"/>
    <w:rsid w:val="00DF738C"/>
    <w:rsid w:val="00DF7499"/>
    <w:rsid w:val="00DF753F"/>
    <w:rsid w:val="00DF7546"/>
    <w:rsid w:val="00DF787F"/>
    <w:rsid w:val="00DF78B3"/>
    <w:rsid w:val="00DF7927"/>
    <w:rsid w:val="00DF7A7E"/>
    <w:rsid w:val="00DF7AEC"/>
    <w:rsid w:val="00DF7E3A"/>
    <w:rsid w:val="00DF7EFE"/>
    <w:rsid w:val="00DF7FD8"/>
    <w:rsid w:val="00E0004D"/>
    <w:rsid w:val="00E00086"/>
    <w:rsid w:val="00E00126"/>
    <w:rsid w:val="00E0016E"/>
    <w:rsid w:val="00E001B1"/>
    <w:rsid w:val="00E00290"/>
    <w:rsid w:val="00E00351"/>
    <w:rsid w:val="00E003BC"/>
    <w:rsid w:val="00E0042C"/>
    <w:rsid w:val="00E00433"/>
    <w:rsid w:val="00E00603"/>
    <w:rsid w:val="00E0075A"/>
    <w:rsid w:val="00E0095B"/>
    <w:rsid w:val="00E00A8B"/>
    <w:rsid w:val="00E00B1C"/>
    <w:rsid w:val="00E00C12"/>
    <w:rsid w:val="00E00D3E"/>
    <w:rsid w:val="00E00D4C"/>
    <w:rsid w:val="00E01005"/>
    <w:rsid w:val="00E01105"/>
    <w:rsid w:val="00E011F2"/>
    <w:rsid w:val="00E01247"/>
    <w:rsid w:val="00E012AC"/>
    <w:rsid w:val="00E01326"/>
    <w:rsid w:val="00E01403"/>
    <w:rsid w:val="00E014F5"/>
    <w:rsid w:val="00E0151F"/>
    <w:rsid w:val="00E015EE"/>
    <w:rsid w:val="00E01601"/>
    <w:rsid w:val="00E0161C"/>
    <w:rsid w:val="00E01628"/>
    <w:rsid w:val="00E0167F"/>
    <w:rsid w:val="00E01745"/>
    <w:rsid w:val="00E0182D"/>
    <w:rsid w:val="00E01917"/>
    <w:rsid w:val="00E01984"/>
    <w:rsid w:val="00E019A4"/>
    <w:rsid w:val="00E01A8D"/>
    <w:rsid w:val="00E01ACA"/>
    <w:rsid w:val="00E01AD8"/>
    <w:rsid w:val="00E01C2C"/>
    <w:rsid w:val="00E01C51"/>
    <w:rsid w:val="00E01D1C"/>
    <w:rsid w:val="00E01DAB"/>
    <w:rsid w:val="00E01E85"/>
    <w:rsid w:val="00E01FB7"/>
    <w:rsid w:val="00E020BA"/>
    <w:rsid w:val="00E020CF"/>
    <w:rsid w:val="00E020DE"/>
    <w:rsid w:val="00E022DF"/>
    <w:rsid w:val="00E022F3"/>
    <w:rsid w:val="00E0237E"/>
    <w:rsid w:val="00E0259D"/>
    <w:rsid w:val="00E02647"/>
    <w:rsid w:val="00E02824"/>
    <w:rsid w:val="00E02895"/>
    <w:rsid w:val="00E028E6"/>
    <w:rsid w:val="00E02952"/>
    <w:rsid w:val="00E029BC"/>
    <w:rsid w:val="00E02A07"/>
    <w:rsid w:val="00E02C42"/>
    <w:rsid w:val="00E02DB3"/>
    <w:rsid w:val="00E02DC3"/>
    <w:rsid w:val="00E02E33"/>
    <w:rsid w:val="00E02F42"/>
    <w:rsid w:val="00E032B2"/>
    <w:rsid w:val="00E03322"/>
    <w:rsid w:val="00E03350"/>
    <w:rsid w:val="00E03552"/>
    <w:rsid w:val="00E03668"/>
    <w:rsid w:val="00E036A4"/>
    <w:rsid w:val="00E0384C"/>
    <w:rsid w:val="00E038D9"/>
    <w:rsid w:val="00E03A80"/>
    <w:rsid w:val="00E03B64"/>
    <w:rsid w:val="00E03BD9"/>
    <w:rsid w:val="00E03BDF"/>
    <w:rsid w:val="00E03D4E"/>
    <w:rsid w:val="00E04232"/>
    <w:rsid w:val="00E0437B"/>
    <w:rsid w:val="00E043BC"/>
    <w:rsid w:val="00E04435"/>
    <w:rsid w:val="00E044EF"/>
    <w:rsid w:val="00E04521"/>
    <w:rsid w:val="00E04696"/>
    <w:rsid w:val="00E046AF"/>
    <w:rsid w:val="00E0474A"/>
    <w:rsid w:val="00E047ED"/>
    <w:rsid w:val="00E048E0"/>
    <w:rsid w:val="00E0497C"/>
    <w:rsid w:val="00E04A06"/>
    <w:rsid w:val="00E04A8A"/>
    <w:rsid w:val="00E04B94"/>
    <w:rsid w:val="00E04CB9"/>
    <w:rsid w:val="00E04D5F"/>
    <w:rsid w:val="00E04E50"/>
    <w:rsid w:val="00E04E6D"/>
    <w:rsid w:val="00E04EA8"/>
    <w:rsid w:val="00E04EBC"/>
    <w:rsid w:val="00E050D1"/>
    <w:rsid w:val="00E0515E"/>
    <w:rsid w:val="00E051A7"/>
    <w:rsid w:val="00E052C4"/>
    <w:rsid w:val="00E052CB"/>
    <w:rsid w:val="00E05378"/>
    <w:rsid w:val="00E053DD"/>
    <w:rsid w:val="00E0541C"/>
    <w:rsid w:val="00E05465"/>
    <w:rsid w:val="00E05587"/>
    <w:rsid w:val="00E0561B"/>
    <w:rsid w:val="00E05685"/>
    <w:rsid w:val="00E056DA"/>
    <w:rsid w:val="00E0581A"/>
    <w:rsid w:val="00E05876"/>
    <w:rsid w:val="00E05B7A"/>
    <w:rsid w:val="00E05CCD"/>
    <w:rsid w:val="00E05D15"/>
    <w:rsid w:val="00E05E0F"/>
    <w:rsid w:val="00E05F3C"/>
    <w:rsid w:val="00E05F3E"/>
    <w:rsid w:val="00E0605D"/>
    <w:rsid w:val="00E060F6"/>
    <w:rsid w:val="00E06421"/>
    <w:rsid w:val="00E06445"/>
    <w:rsid w:val="00E0666F"/>
    <w:rsid w:val="00E06695"/>
    <w:rsid w:val="00E0672A"/>
    <w:rsid w:val="00E0675D"/>
    <w:rsid w:val="00E0681F"/>
    <w:rsid w:val="00E0684E"/>
    <w:rsid w:val="00E06863"/>
    <w:rsid w:val="00E068BB"/>
    <w:rsid w:val="00E068EA"/>
    <w:rsid w:val="00E069A5"/>
    <w:rsid w:val="00E069C1"/>
    <w:rsid w:val="00E069D0"/>
    <w:rsid w:val="00E06A09"/>
    <w:rsid w:val="00E06A7B"/>
    <w:rsid w:val="00E06B17"/>
    <w:rsid w:val="00E06DE4"/>
    <w:rsid w:val="00E071D8"/>
    <w:rsid w:val="00E07220"/>
    <w:rsid w:val="00E0738B"/>
    <w:rsid w:val="00E073F1"/>
    <w:rsid w:val="00E07462"/>
    <w:rsid w:val="00E07499"/>
    <w:rsid w:val="00E0766E"/>
    <w:rsid w:val="00E07697"/>
    <w:rsid w:val="00E0784B"/>
    <w:rsid w:val="00E07A2F"/>
    <w:rsid w:val="00E07AEB"/>
    <w:rsid w:val="00E07F34"/>
    <w:rsid w:val="00E07F4F"/>
    <w:rsid w:val="00E101BB"/>
    <w:rsid w:val="00E1035E"/>
    <w:rsid w:val="00E10431"/>
    <w:rsid w:val="00E1044B"/>
    <w:rsid w:val="00E10560"/>
    <w:rsid w:val="00E105D3"/>
    <w:rsid w:val="00E10694"/>
    <w:rsid w:val="00E106F7"/>
    <w:rsid w:val="00E10827"/>
    <w:rsid w:val="00E10B01"/>
    <w:rsid w:val="00E10B36"/>
    <w:rsid w:val="00E10BA4"/>
    <w:rsid w:val="00E10C99"/>
    <w:rsid w:val="00E10CAB"/>
    <w:rsid w:val="00E10CDE"/>
    <w:rsid w:val="00E10CFF"/>
    <w:rsid w:val="00E10D43"/>
    <w:rsid w:val="00E10D5C"/>
    <w:rsid w:val="00E10D77"/>
    <w:rsid w:val="00E10DAA"/>
    <w:rsid w:val="00E10DD0"/>
    <w:rsid w:val="00E10EBA"/>
    <w:rsid w:val="00E10EEB"/>
    <w:rsid w:val="00E10F57"/>
    <w:rsid w:val="00E10F9A"/>
    <w:rsid w:val="00E10FAF"/>
    <w:rsid w:val="00E10FF9"/>
    <w:rsid w:val="00E110B1"/>
    <w:rsid w:val="00E11196"/>
    <w:rsid w:val="00E11267"/>
    <w:rsid w:val="00E1130D"/>
    <w:rsid w:val="00E11491"/>
    <w:rsid w:val="00E11592"/>
    <w:rsid w:val="00E11890"/>
    <w:rsid w:val="00E1192E"/>
    <w:rsid w:val="00E11954"/>
    <w:rsid w:val="00E119E8"/>
    <w:rsid w:val="00E11A77"/>
    <w:rsid w:val="00E11A7A"/>
    <w:rsid w:val="00E11C4A"/>
    <w:rsid w:val="00E11C5D"/>
    <w:rsid w:val="00E11CB6"/>
    <w:rsid w:val="00E11CE5"/>
    <w:rsid w:val="00E11D75"/>
    <w:rsid w:val="00E11E03"/>
    <w:rsid w:val="00E11E40"/>
    <w:rsid w:val="00E11F6C"/>
    <w:rsid w:val="00E1205C"/>
    <w:rsid w:val="00E120F4"/>
    <w:rsid w:val="00E12151"/>
    <w:rsid w:val="00E121FC"/>
    <w:rsid w:val="00E12229"/>
    <w:rsid w:val="00E1226E"/>
    <w:rsid w:val="00E12407"/>
    <w:rsid w:val="00E12494"/>
    <w:rsid w:val="00E1270D"/>
    <w:rsid w:val="00E127F5"/>
    <w:rsid w:val="00E12807"/>
    <w:rsid w:val="00E12827"/>
    <w:rsid w:val="00E1286A"/>
    <w:rsid w:val="00E12936"/>
    <w:rsid w:val="00E12A49"/>
    <w:rsid w:val="00E12C01"/>
    <w:rsid w:val="00E12D32"/>
    <w:rsid w:val="00E12F04"/>
    <w:rsid w:val="00E1300D"/>
    <w:rsid w:val="00E1300F"/>
    <w:rsid w:val="00E1302B"/>
    <w:rsid w:val="00E13109"/>
    <w:rsid w:val="00E1319D"/>
    <w:rsid w:val="00E13343"/>
    <w:rsid w:val="00E1336A"/>
    <w:rsid w:val="00E13397"/>
    <w:rsid w:val="00E133FC"/>
    <w:rsid w:val="00E13484"/>
    <w:rsid w:val="00E13577"/>
    <w:rsid w:val="00E135DF"/>
    <w:rsid w:val="00E135F3"/>
    <w:rsid w:val="00E13607"/>
    <w:rsid w:val="00E1364A"/>
    <w:rsid w:val="00E1373D"/>
    <w:rsid w:val="00E137AB"/>
    <w:rsid w:val="00E1382C"/>
    <w:rsid w:val="00E13845"/>
    <w:rsid w:val="00E139C0"/>
    <w:rsid w:val="00E13CA1"/>
    <w:rsid w:val="00E13D0C"/>
    <w:rsid w:val="00E13F73"/>
    <w:rsid w:val="00E13F74"/>
    <w:rsid w:val="00E14138"/>
    <w:rsid w:val="00E14245"/>
    <w:rsid w:val="00E14396"/>
    <w:rsid w:val="00E14433"/>
    <w:rsid w:val="00E1443F"/>
    <w:rsid w:val="00E14471"/>
    <w:rsid w:val="00E14472"/>
    <w:rsid w:val="00E14512"/>
    <w:rsid w:val="00E145DF"/>
    <w:rsid w:val="00E145FF"/>
    <w:rsid w:val="00E14614"/>
    <w:rsid w:val="00E1476D"/>
    <w:rsid w:val="00E14799"/>
    <w:rsid w:val="00E147A3"/>
    <w:rsid w:val="00E1493B"/>
    <w:rsid w:val="00E14940"/>
    <w:rsid w:val="00E14976"/>
    <w:rsid w:val="00E14BC7"/>
    <w:rsid w:val="00E14BCD"/>
    <w:rsid w:val="00E14C0D"/>
    <w:rsid w:val="00E14C5F"/>
    <w:rsid w:val="00E14D0A"/>
    <w:rsid w:val="00E14D78"/>
    <w:rsid w:val="00E14D88"/>
    <w:rsid w:val="00E14DB7"/>
    <w:rsid w:val="00E15024"/>
    <w:rsid w:val="00E1529A"/>
    <w:rsid w:val="00E15366"/>
    <w:rsid w:val="00E15575"/>
    <w:rsid w:val="00E15722"/>
    <w:rsid w:val="00E1576E"/>
    <w:rsid w:val="00E157B2"/>
    <w:rsid w:val="00E1585B"/>
    <w:rsid w:val="00E15994"/>
    <w:rsid w:val="00E15A1D"/>
    <w:rsid w:val="00E15AF1"/>
    <w:rsid w:val="00E15B04"/>
    <w:rsid w:val="00E15B61"/>
    <w:rsid w:val="00E15EDB"/>
    <w:rsid w:val="00E15F32"/>
    <w:rsid w:val="00E1601C"/>
    <w:rsid w:val="00E160F8"/>
    <w:rsid w:val="00E161F1"/>
    <w:rsid w:val="00E1626B"/>
    <w:rsid w:val="00E162F3"/>
    <w:rsid w:val="00E1654A"/>
    <w:rsid w:val="00E165A1"/>
    <w:rsid w:val="00E165C7"/>
    <w:rsid w:val="00E168F0"/>
    <w:rsid w:val="00E1690B"/>
    <w:rsid w:val="00E16A35"/>
    <w:rsid w:val="00E16A88"/>
    <w:rsid w:val="00E16BFE"/>
    <w:rsid w:val="00E16CBA"/>
    <w:rsid w:val="00E16CCB"/>
    <w:rsid w:val="00E16CD5"/>
    <w:rsid w:val="00E16DBB"/>
    <w:rsid w:val="00E16EE9"/>
    <w:rsid w:val="00E16FF5"/>
    <w:rsid w:val="00E1713D"/>
    <w:rsid w:val="00E1720D"/>
    <w:rsid w:val="00E1725C"/>
    <w:rsid w:val="00E172BC"/>
    <w:rsid w:val="00E17443"/>
    <w:rsid w:val="00E17473"/>
    <w:rsid w:val="00E17489"/>
    <w:rsid w:val="00E17511"/>
    <w:rsid w:val="00E17535"/>
    <w:rsid w:val="00E175B8"/>
    <w:rsid w:val="00E17732"/>
    <w:rsid w:val="00E17766"/>
    <w:rsid w:val="00E17915"/>
    <w:rsid w:val="00E17A22"/>
    <w:rsid w:val="00E17B59"/>
    <w:rsid w:val="00E17BE0"/>
    <w:rsid w:val="00E17D46"/>
    <w:rsid w:val="00E2003A"/>
    <w:rsid w:val="00E20132"/>
    <w:rsid w:val="00E20291"/>
    <w:rsid w:val="00E202BE"/>
    <w:rsid w:val="00E20550"/>
    <w:rsid w:val="00E20653"/>
    <w:rsid w:val="00E206FB"/>
    <w:rsid w:val="00E20744"/>
    <w:rsid w:val="00E20766"/>
    <w:rsid w:val="00E2079B"/>
    <w:rsid w:val="00E207AD"/>
    <w:rsid w:val="00E207BF"/>
    <w:rsid w:val="00E2085C"/>
    <w:rsid w:val="00E20A13"/>
    <w:rsid w:val="00E20A4E"/>
    <w:rsid w:val="00E20ACD"/>
    <w:rsid w:val="00E20BD9"/>
    <w:rsid w:val="00E20C40"/>
    <w:rsid w:val="00E20CC7"/>
    <w:rsid w:val="00E20D20"/>
    <w:rsid w:val="00E20DA0"/>
    <w:rsid w:val="00E20E45"/>
    <w:rsid w:val="00E20EA3"/>
    <w:rsid w:val="00E20EE7"/>
    <w:rsid w:val="00E20F33"/>
    <w:rsid w:val="00E21080"/>
    <w:rsid w:val="00E21126"/>
    <w:rsid w:val="00E2114A"/>
    <w:rsid w:val="00E21289"/>
    <w:rsid w:val="00E2140C"/>
    <w:rsid w:val="00E2141A"/>
    <w:rsid w:val="00E21449"/>
    <w:rsid w:val="00E21471"/>
    <w:rsid w:val="00E214EF"/>
    <w:rsid w:val="00E2152C"/>
    <w:rsid w:val="00E21557"/>
    <w:rsid w:val="00E2160C"/>
    <w:rsid w:val="00E21626"/>
    <w:rsid w:val="00E2165C"/>
    <w:rsid w:val="00E21734"/>
    <w:rsid w:val="00E217AE"/>
    <w:rsid w:val="00E2185C"/>
    <w:rsid w:val="00E219F4"/>
    <w:rsid w:val="00E21A0E"/>
    <w:rsid w:val="00E21D0E"/>
    <w:rsid w:val="00E21EB5"/>
    <w:rsid w:val="00E21F16"/>
    <w:rsid w:val="00E21F5C"/>
    <w:rsid w:val="00E21F7A"/>
    <w:rsid w:val="00E22050"/>
    <w:rsid w:val="00E220CA"/>
    <w:rsid w:val="00E2214B"/>
    <w:rsid w:val="00E2219F"/>
    <w:rsid w:val="00E2225A"/>
    <w:rsid w:val="00E222C5"/>
    <w:rsid w:val="00E223F8"/>
    <w:rsid w:val="00E22480"/>
    <w:rsid w:val="00E224ED"/>
    <w:rsid w:val="00E2259C"/>
    <w:rsid w:val="00E225BE"/>
    <w:rsid w:val="00E227DF"/>
    <w:rsid w:val="00E228F6"/>
    <w:rsid w:val="00E22CDF"/>
    <w:rsid w:val="00E22CF5"/>
    <w:rsid w:val="00E2303F"/>
    <w:rsid w:val="00E230DE"/>
    <w:rsid w:val="00E23171"/>
    <w:rsid w:val="00E23178"/>
    <w:rsid w:val="00E23232"/>
    <w:rsid w:val="00E233C0"/>
    <w:rsid w:val="00E234F5"/>
    <w:rsid w:val="00E23537"/>
    <w:rsid w:val="00E236B3"/>
    <w:rsid w:val="00E236D0"/>
    <w:rsid w:val="00E2389E"/>
    <w:rsid w:val="00E239C5"/>
    <w:rsid w:val="00E239CA"/>
    <w:rsid w:val="00E23A5E"/>
    <w:rsid w:val="00E23B85"/>
    <w:rsid w:val="00E23BA4"/>
    <w:rsid w:val="00E23BBA"/>
    <w:rsid w:val="00E23F13"/>
    <w:rsid w:val="00E23F4F"/>
    <w:rsid w:val="00E240A3"/>
    <w:rsid w:val="00E240A4"/>
    <w:rsid w:val="00E240C0"/>
    <w:rsid w:val="00E2411F"/>
    <w:rsid w:val="00E241B6"/>
    <w:rsid w:val="00E241F3"/>
    <w:rsid w:val="00E24300"/>
    <w:rsid w:val="00E2464D"/>
    <w:rsid w:val="00E24BEC"/>
    <w:rsid w:val="00E2507D"/>
    <w:rsid w:val="00E250CB"/>
    <w:rsid w:val="00E251A8"/>
    <w:rsid w:val="00E252DF"/>
    <w:rsid w:val="00E25384"/>
    <w:rsid w:val="00E2542E"/>
    <w:rsid w:val="00E2553D"/>
    <w:rsid w:val="00E2557F"/>
    <w:rsid w:val="00E255FC"/>
    <w:rsid w:val="00E25605"/>
    <w:rsid w:val="00E256B9"/>
    <w:rsid w:val="00E257A0"/>
    <w:rsid w:val="00E257CF"/>
    <w:rsid w:val="00E2584B"/>
    <w:rsid w:val="00E25876"/>
    <w:rsid w:val="00E2589A"/>
    <w:rsid w:val="00E25988"/>
    <w:rsid w:val="00E259AE"/>
    <w:rsid w:val="00E25A36"/>
    <w:rsid w:val="00E25B4F"/>
    <w:rsid w:val="00E25BAF"/>
    <w:rsid w:val="00E25D35"/>
    <w:rsid w:val="00E25DAF"/>
    <w:rsid w:val="00E25E11"/>
    <w:rsid w:val="00E26018"/>
    <w:rsid w:val="00E26047"/>
    <w:rsid w:val="00E260E9"/>
    <w:rsid w:val="00E260FD"/>
    <w:rsid w:val="00E2614C"/>
    <w:rsid w:val="00E26300"/>
    <w:rsid w:val="00E2630D"/>
    <w:rsid w:val="00E2638D"/>
    <w:rsid w:val="00E26477"/>
    <w:rsid w:val="00E26483"/>
    <w:rsid w:val="00E264B5"/>
    <w:rsid w:val="00E2657B"/>
    <w:rsid w:val="00E266E0"/>
    <w:rsid w:val="00E26748"/>
    <w:rsid w:val="00E26749"/>
    <w:rsid w:val="00E267AF"/>
    <w:rsid w:val="00E2685A"/>
    <w:rsid w:val="00E26902"/>
    <w:rsid w:val="00E26994"/>
    <w:rsid w:val="00E26A4D"/>
    <w:rsid w:val="00E26A73"/>
    <w:rsid w:val="00E26B86"/>
    <w:rsid w:val="00E26C14"/>
    <w:rsid w:val="00E26C50"/>
    <w:rsid w:val="00E26C79"/>
    <w:rsid w:val="00E26CD8"/>
    <w:rsid w:val="00E26D29"/>
    <w:rsid w:val="00E27077"/>
    <w:rsid w:val="00E2710D"/>
    <w:rsid w:val="00E2721D"/>
    <w:rsid w:val="00E27277"/>
    <w:rsid w:val="00E272BE"/>
    <w:rsid w:val="00E2736F"/>
    <w:rsid w:val="00E2745E"/>
    <w:rsid w:val="00E2746E"/>
    <w:rsid w:val="00E27576"/>
    <w:rsid w:val="00E27619"/>
    <w:rsid w:val="00E2777D"/>
    <w:rsid w:val="00E278EE"/>
    <w:rsid w:val="00E279F7"/>
    <w:rsid w:val="00E27F29"/>
    <w:rsid w:val="00E27FA3"/>
    <w:rsid w:val="00E30075"/>
    <w:rsid w:val="00E300EE"/>
    <w:rsid w:val="00E301AC"/>
    <w:rsid w:val="00E30217"/>
    <w:rsid w:val="00E30227"/>
    <w:rsid w:val="00E303AE"/>
    <w:rsid w:val="00E304CE"/>
    <w:rsid w:val="00E304E5"/>
    <w:rsid w:val="00E3058D"/>
    <w:rsid w:val="00E307D0"/>
    <w:rsid w:val="00E307F1"/>
    <w:rsid w:val="00E309DB"/>
    <w:rsid w:val="00E30A84"/>
    <w:rsid w:val="00E30A98"/>
    <w:rsid w:val="00E30BD0"/>
    <w:rsid w:val="00E30C36"/>
    <w:rsid w:val="00E30E40"/>
    <w:rsid w:val="00E30F6D"/>
    <w:rsid w:val="00E30FA2"/>
    <w:rsid w:val="00E31038"/>
    <w:rsid w:val="00E311DE"/>
    <w:rsid w:val="00E3122F"/>
    <w:rsid w:val="00E31246"/>
    <w:rsid w:val="00E31255"/>
    <w:rsid w:val="00E31298"/>
    <w:rsid w:val="00E3129A"/>
    <w:rsid w:val="00E312E7"/>
    <w:rsid w:val="00E3137E"/>
    <w:rsid w:val="00E31423"/>
    <w:rsid w:val="00E3148A"/>
    <w:rsid w:val="00E314AF"/>
    <w:rsid w:val="00E3164A"/>
    <w:rsid w:val="00E31719"/>
    <w:rsid w:val="00E317F5"/>
    <w:rsid w:val="00E31930"/>
    <w:rsid w:val="00E319E7"/>
    <w:rsid w:val="00E31ACE"/>
    <w:rsid w:val="00E31B00"/>
    <w:rsid w:val="00E31B1B"/>
    <w:rsid w:val="00E31B25"/>
    <w:rsid w:val="00E31B69"/>
    <w:rsid w:val="00E31B9F"/>
    <w:rsid w:val="00E31E41"/>
    <w:rsid w:val="00E3229C"/>
    <w:rsid w:val="00E32357"/>
    <w:rsid w:val="00E32481"/>
    <w:rsid w:val="00E325AE"/>
    <w:rsid w:val="00E32617"/>
    <w:rsid w:val="00E32783"/>
    <w:rsid w:val="00E327E2"/>
    <w:rsid w:val="00E327F8"/>
    <w:rsid w:val="00E328F1"/>
    <w:rsid w:val="00E32919"/>
    <w:rsid w:val="00E3296D"/>
    <w:rsid w:val="00E32A48"/>
    <w:rsid w:val="00E32A80"/>
    <w:rsid w:val="00E32ACA"/>
    <w:rsid w:val="00E32BE3"/>
    <w:rsid w:val="00E32C45"/>
    <w:rsid w:val="00E32C68"/>
    <w:rsid w:val="00E32C88"/>
    <w:rsid w:val="00E32C89"/>
    <w:rsid w:val="00E32DD9"/>
    <w:rsid w:val="00E32DDA"/>
    <w:rsid w:val="00E32DF7"/>
    <w:rsid w:val="00E32E2C"/>
    <w:rsid w:val="00E32F01"/>
    <w:rsid w:val="00E32F15"/>
    <w:rsid w:val="00E32F4D"/>
    <w:rsid w:val="00E3300E"/>
    <w:rsid w:val="00E3320F"/>
    <w:rsid w:val="00E332DD"/>
    <w:rsid w:val="00E33332"/>
    <w:rsid w:val="00E33428"/>
    <w:rsid w:val="00E33486"/>
    <w:rsid w:val="00E33588"/>
    <w:rsid w:val="00E33830"/>
    <w:rsid w:val="00E33834"/>
    <w:rsid w:val="00E338D6"/>
    <w:rsid w:val="00E339FF"/>
    <w:rsid w:val="00E33BE2"/>
    <w:rsid w:val="00E33C33"/>
    <w:rsid w:val="00E33D0F"/>
    <w:rsid w:val="00E33D10"/>
    <w:rsid w:val="00E33DC4"/>
    <w:rsid w:val="00E33DE0"/>
    <w:rsid w:val="00E33E3B"/>
    <w:rsid w:val="00E33E54"/>
    <w:rsid w:val="00E33E84"/>
    <w:rsid w:val="00E33F79"/>
    <w:rsid w:val="00E34212"/>
    <w:rsid w:val="00E34218"/>
    <w:rsid w:val="00E34220"/>
    <w:rsid w:val="00E342AC"/>
    <w:rsid w:val="00E342D9"/>
    <w:rsid w:val="00E343B8"/>
    <w:rsid w:val="00E344CE"/>
    <w:rsid w:val="00E344E4"/>
    <w:rsid w:val="00E34568"/>
    <w:rsid w:val="00E34591"/>
    <w:rsid w:val="00E34B60"/>
    <w:rsid w:val="00E34C6D"/>
    <w:rsid w:val="00E34D55"/>
    <w:rsid w:val="00E34EAE"/>
    <w:rsid w:val="00E34F28"/>
    <w:rsid w:val="00E34FA2"/>
    <w:rsid w:val="00E34FBC"/>
    <w:rsid w:val="00E350C5"/>
    <w:rsid w:val="00E355FF"/>
    <w:rsid w:val="00E356BA"/>
    <w:rsid w:val="00E357E3"/>
    <w:rsid w:val="00E3584C"/>
    <w:rsid w:val="00E35889"/>
    <w:rsid w:val="00E35A12"/>
    <w:rsid w:val="00E35B33"/>
    <w:rsid w:val="00E35C0A"/>
    <w:rsid w:val="00E35C19"/>
    <w:rsid w:val="00E35C1C"/>
    <w:rsid w:val="00E35CBE"/>
    <w:rsid w:val="00E35D76"/>
    <w:rsid w:val="00E35D84"/>
    <w:rsid w:val="00E35EBE"/>
    <w:rsid w:val="00E35F49"/>
    <w:rsid w:val="00E3607A"/>
    <w:rsid w:val="00E360E3"/>
    <w:rsid w:val="00E36140"/>
    <w:rsid w:val="00E362F9"/>
    <w:rsid w:val="00E363B5"/>
    <w:rsid w:val="00E36581"/>
    <w:rsid w:val="00E36886"/>
    <w:rsid w:val="00E368B3"/>
    <w:rsid w:val="00E369F2"/>
    <w:rsid w:val="00E36AEE"/>
    <w:rsid w:val="00E36E89"/>
    <w:rsid w:val="00E36EFA"/>
    <w:rsid w:val="00E371E2"/>
    <w:rsid w:val="00E3721D"/>
    <w:rsid w:val="00E373D3"/>
    <w:rsid w:val="00E374BD"/>
    <w:rsid w:val="00E374E2"/>
    <w:rsid w:val="00E375C2"/>
    <w:rsid w:val="00E37613"/>
    <w:rsid w:val="00E37732"/>
    <w:rsid w:val="00E37757"/>
    <w:rsid w:val="00E37791"/>
    <w:rsid w:val="00E377A6"/>
    <w:rsid w:val="00E37817"/>
    <w:rsid w:val="00E3786C"/>
    <w:rsid w:val="00E378EA"/>
    <w:rsid w:val="00E37951"/>
    <w:rsid w:val="00E37A7A"/>
    <w:rsid w:val="00E37CC0"/>
    <w:rsid w:val="00E37D34"/>
    <w:rsid w:val="00E37D82"/>
    <w:rsid w:val="00E401E3"/>
    <w:rsid w:val="00E40269"/>
    <w:rsid w:val="00E402B1"/>
    <w:rsid w:val="00E40358"/>
    <w:rsid w:val="00E404D8"/>
    <w:rsid w:val="00E40575"/>
    <w:rsid w:val="00E4065F"/>
    <w:rsid w:val="00E406C1"/>
    <w:rsid w:val="00E406F2"/>
    <w:rsid w:val="00E4073F"/>
    <w:rsid w:val="00E4075F"/>
    <w:rsid w:val="00E408F4"/>
    <w:rsid w:val="00E409AC"/>
    <w:rsid w:val="00E40AE9"/>
    <w:rsid w:val="00E40BFC"/>
    <w:rsid w:val="00E40F58"/>
    <w:rsid w:val="00E40F9C"/>
    <w:rsid w:val="00E41022"/>
    <w:rsid w:val="00E4106D"/>
    <w:rsid w:val="00E411AE"/>
    <w:rsid w:val="00E41318"/>
    <w:rsid w:val="00E41373"/>
    <w:rsid w:val="00E41575"/>
    <w:rsid w:val="00E41713"/>
    <w:rsid w:val="00E418B8"/>
    <w:rsid w:val="00E41900"/>
    <w:rsid w:val="00E419C0"/>
    <w:rsid w:val="00E41CDA"/>
    <w:rsid w:val="00E41E23"/>
    <w:rsid w:val="00E41FDE"/>
    <w:rsid w:val="00E42134"/>
    <w:rsid w:val="00E42150"/>
    <w:rsid w:val="00E42175"/>
    <w:rsid w:val="00E42235"/>
    <w:rsid w:val="00E42305"/>
    <w:rsid w:val="00E4263F"/>
    <w:rsid w:val="00E42677"/>
    <w:rsid w:val="00E426F0"/>
    <w:rsid w:val="00E42726"/>
    <w:rsid w:val="00E42843"/>
    <w:rsid w:val="00E4296F"/>
    <w:rsid w:val="00E4299F"/>
    <w:rsid w:val="00E429EE"/>
    <w:rsid w:val="00E429F1"/>
    <w:rsid w:val="00E42A24"/>
    <w:rsid w:val="00E42A2E"/>
    <w:rsid w:val="00E42B4C"/>
    <w:rsid w:val="00E42C0E"/>
    <w:rsid w:val="00E42CC7"/>
    <w:rsid w:val="00E42D84"/>
    <w:rsid w:val="00E42DC5"/>
    <w:rsid w:val="00E42E5C"/>
    <w:rsid w:val="00E42F0E"/>
    <w:rsid w:val="00E42F65"/>
    <w:rsid w:val="00E43078"/>
    <w:rsid w:val="00E4309A"/>
    <w:rsid w:val="00E431A5"/>
    <w:rsid w:val="00E431D6"/>
    <w:rsid w:val="00E43244"/>
    <w:rsid w:val="00E432C8"/>
    <w:rsid w:val="00E432D7"/>
    <w:rsid w:val="00E43330"/>
    <w:rsid w:val="00E433FD"/>
    <w:rsid w:val="00E4343F"/>
    <w:rsid w:val="00E43501"/>
    <w:rsid w:val="00E435B7"/>
    <w:rsid w:val="00E43655"/>
    <w:rsid w:val="00E4367B"/>
    <w:rsid w:val="00E4369A"/>
    <w:rsid w:val="00E43757"/>
    <w:rsid w:val="00E438ED"/>
    <w:rsid w:val="00E43A19"/>
    <w:rsid w:val="00E43BDC"/>
    <w:rsid w:val="00E43D05"/>
    <w:rsid w:val="00E43DC1"/>
    <w:rsid w:val="00E43EBD"/>
    <w:rsid w:val="00E43FCA"/>
    <w:rsid w:val="00E43FD7"/>
    <w:rsid w:val="00E44071"/>
    <w:rsid w:val="00E4425F"/>
    <w:rsid w:val="00E44317"/>
    <w:rsid w:val="00E443F3"/>
    <w:rsid w:val="00E445AB"/>
    <w:rsid w:val="00E446F5"/>
    <w:rsid w:val="00E4484A"/>
    <w:rsid w:val="00E4484D"/>
    <w:rsid w:val="00E448AB"/>
    <w:rsid w:val="00E448D1"/>
    <w:rsid w:val="00E44969"/>
    <w:rsid w:val="00E44974"/>
    <w:rsid w:val="00E44A0E"/>
    <w:rsid w:val="00E44B63"/>
    <w:rsid w:val="00E44B9D"/>
    <w:rsid w:val="00E44C5F"/>
    <w:rsid w:val="00E44D07"/>
    <w:rsid w:val="00E44E72"/>
    <w:rsid w:val="00E44F7B"/>
    <w:rsid w:val="00E4503D"/>
    <w:rsid w:val="00E450C3"/>
    <w:rsid w:val="00E451BC"/>
    <w:rsid w:val="00E4529C"/>
    <w:rsid w:val="00E452E2"/>
    <w:rsid w:val="00E4548D"/>
    <w:rsid w:val="00E454C1"/>
    <w:rsid w:val="00E45580"/>
    <w:rsid w:val="00E4561E"/>
    <w:rsid w:val="00E4564E"/>
    <w:rsid w:val="00E45856"/>
    <w:rsid w:val="00E45B38"/>
    <w:rsid w:val="00E45B4F"/>
    <w:rsid w:val="00E45BE7"/>
    <w:rsid w:val="00E45CB0"/>
    <w:rsid w:val="00E45DB5"/>
    <w:rsid w:val="00E45DBA"/>
    <w:rsid w:val="00E45E66"/>
    <w:rsid w:val="00E45E7D"/>
    <w:rsid w:val="00E45E9E"/>
    <w:rsid w:val="00E45F0D"/>
    <w:rsid w:val="00E45F53"/>
    <w:rsid w:val="00E4603C"/>
    <w:rsid w:val="00E4606B"/>
    <w:rsid w:val="00E46072"/>
    <w:rsid w:val="00E460DB"/>
    <w:rsid w:val="00E460DD"/>
    <w:rsid w:val="00E46191"/>
    <w:rsid w:val="00E461E6"/>
    <w:rsid w:val="00E4621C"/>
    <w:rsid w:val="00E462E7"/>
    <w:rsid w:val="00E46300"/>
    <w:rsid w:val="00E465B2"/>
    <w:rsid w:val="00E465C6"/>
    <w:rsid w:val="00E465F4"/>
    <w:rsid w:val="00E46671"/>
    <w:rsid w:val="00E466CA"/>
    <w:rsid w:val="00E4674F"/>
    <w:rsid w:val="00E46843"/>
    <w:rsid w:val="00E46880"/>
    <w:rsid w:val="00E469A5"/>
    <w:rsid w:val="00E46AE2"/>
    <w:rsid w:val="00E46B1A"/>
    <w:rsid w:val="00E46C56"/>
    <w:rsid w:val="00E46D45"/>
    <w:rsid w:val="00E46D9F"/>
    <w:rsid w:val="00E46DAA"/>
    <w:rsid w:val="00E46DD9"/>
    <w:rsid w:val="00E46E77"/>
    <w:rsid w:val="00E46EA4"/>
    <w:rsid w:val="00E46ECC"/>
    <w:rsid w:val="00E46F01"/>
    <w:rsid w:val="00E46F0C"/>
    <w:rsid w:val="00E46F60"/>
    <w:rsid w:val="00E4704D"/>
    <w:rsid w:val="00E471C0"/>
    <w:rsid w:val="00E47245"/>
    <w:rsid w:val="00E473DE"/>
    <w:rsid w:val="00E47458"/>
    <w:rsid w:val="00E4758F"/>
    <w:rsid w:val="00E4763A"/>
    <w:rsid w:val="00E477F9"/>
    <w:rsid w:val="00E479E8"/>
    <w:rsid w:val="00E47A15"/>
    <w:rsid w:val="00E47A6E"/>
    <w:rsid w:val="00E47B5D"/>
    <w:rsid w:val="00E47C34"/>
    <w:rsid w:val="00E47C38"/>
    <w:rsid w:val="00E47C5B"/>
    <w:rsid w:val="00E47C62"/>
    <w:rsid w:val="00E47CFB"/>
    <w:rsid w:val="00E47E60"/>
    <w:rsid w:val="00E47F33"/>
    <w:rsid w:val="00E47F42"/>
    <w:rsid w:val="00E47FE5"/>
    <w:rsid w:val="00E5010B"/>
    <w:rsid w:val="00E50190"/>
    <w:rsid w:val="00E5025A"/>
    <w:rsid w:val="00E502A3"/>
    <w:rsid w:val="00E50324"/>
    <w:rsid w:val="00E5038E"/>
    <w:rsid w:val="00E50421"/>
    <w:rsid w:val="00E50471"/>
    <w:rsid w:val="00E50495"/>
    <w:rsid w:val="00E5078E"/>
    <w:rsid w:val="00E507C0"/>
    <w:rsid w:val="00E5092C"/>
    <w:rsid w:val="00E50977"/>
    <w:rsid w:val="00E50A55"/>
    <w:rsid w:val="00E50BD7"/>
    <w:rsid w:val="00E50CC8"/>
    <w:rsid w:val="00E50D12"/>
    <w:rsid w:val="00E50E71"/>
    <w:rsid w:val="00E510DB"/>
    <w:rsid w:val="00E51284"/>
    <w:rsid w:val="00E512E2"/>
    <w:rsid w:val="00E51532"/>
    <w:rsid w:val="00E51769"/>
    <w:rsid w:val="00E5177A"/>
    <w:rsid w:val="00E51945"/>
    <w:rsid w:val="00E51A1E"/>
    <w:rsid w:val="00E51B23"/>
    <w:rsid w:val="00E51B59"/>
    <w:rsid w:val="00E51BF5"/>
    <w:rsid w:val="00E51C1E"/>
    <w:rsid w:val="00E51C24"/>
    <w:rsid w:val="00E51C26"/>
    <w:rsid w:val="00E51C37"/>
    <w:rsid w:val="00E51CAD"/>
    <w:rsid w:val="00E51CB8"/>
    <w:rsid w:val="00E51D27"/>
    <w:rsid w:val="00E51D4D"/>
    <w:rsid w:val="00E51DF4"/>
    <w:rsid w:val="00E51F62"/>
    <w:rsid w:val="00E52024"/>
    <w:rsid w:val="00E52110"/>
    <w:rsid w:val="00E52244"/>
    <w:rsid w:val="00E522DA"/>
    <w:rsid w:val="00E524AE"/>
    <w:rsid w:val="00E525F4"/>
    <w:rsid w:val="00E5262C"/>
    <w:rsid w:val="00E52631"/>
    <w:rsid w:val="00E527BD"/>
    <w:rsid w:val="00E52845"/>
    <w:rsid w:val="00E5286B"/>
    <w:rsid w:val="00E52876"/>
    <w:rsid w:val="00E5289B"/>
    <w:rsid w:val="00E528C4"/>
    <w:rsid w:val="00E5296A"/>
    <w:rsid w:val="00E529DB"/>
    <w:rsid w:val="00E52A40"/>
    <w:rsid w:val="00E52AB0"/>
    <w:rsid w:val="00E52AD1"/>
    <w:rsid w:val="00E52F9A"/>
    <w:rsid w:val="00E52FCB"/>
    <w:rsid w:val="00E5301E"/>
    <w:rsid w:val="00E530D5"/>
    <w:rsid w:val="00E53348"/>
    <w:rsid w:val="00E5346B"/>
    <w:rsid w:val="00E534C1"/>
    <w:rsid w:val="00E53590"/>
    <w:rsid w:val="00E535CF"/>
    <w:rsid w:val="00E53720"/>
    <w:rsid w:val="00E53876"/>
    <w:rsid w:val="00E538EA"/>
    <w:rsid w:val="00E53A4F"/>
    <w:rsid w:val="00E53A70"/>
    <w:rsid w:val="00E53ABD"/>
    <w:rsid w:val="00E53B84"/>
    <w:rsid w:val="00E53C69"/>
    <w:rsid w:val="00E53D4C"/>
    <w:rsid w:val="00E53D54"/>
    <w:rsid w:val="00E53DEA"/>
    <w:rsid w:val="00E53FB2"/>
    <w:rsid w:val="00E54092"/>
    <w:rsid w:val="00E541FA"/>
    <w:rsid w:val="00E5438E"/>
    <w:rsid w:val="00E544C9"/>
    <w:rsid w:val="00E545A8"/>
    <w:rsid w:val="00E54625"/>
    <w:rsid w:val="00E5470B"/>
    <w:rsid w:val="00E547B6"/>
    <w:rsid w:val="00E5487E"/>
    <w:rsid w:val="00E549CE"/>
    <w:rsid w:val="00E549E9"/>
    <w:rsid w:val="00E549FD"/>
    <w:rsid w:val="00E54B05"/>
    <w:rsid w:val="00E54BA2"/>
    <w:rsid w:val="00E54DD1"/>
    <w:rsid w:val="00E54E09"/>
    <w:rsid w:val="00E54E4D"/>
    <w:rsid w:val="00E54F02"/>
    <w:rsid w:val="00E54FCD"/>
    <w:rsid w:val="00E55026"/>
    <w:rsid w:val="00E55093"/>
    <w:rsid w:val="00E5513D"/>
    <w:rsid w:val="00E5516E"/>
    <w:rsid w:val="00E551FC"/>
    <w:rsid w:val="00E55276"/>
    <w:rsid w:val="00E552E0"/>
    <w:rsid w:val="00E553BD"/>
    <w:rsid w:val="00E555B4"/>
    <w:rsid w:val="00E55692"/>
    <w:rsid w:val="00E556CA"/>
    <w:rsid w:val="00E5577B"/>
    <w:rsid w:val="00E5579A"/>
    <w:rsid w:val="00E557BC"/>
    <w:rsid w:val="00E558D0"/>
    <w:rsid w:val="00E558D7"/>
    <w:rsid w:val="00E5596B"/>
    <w:rsid w:val="00E55A6B"/>
    <w:rsid w:val="00E55A8E"/>
    <w:rsid w:val="00E55AC9"/>
    <w:rsid w:val="00E55B47"/>
    <w:rsid w:val="00E55CD0"/>
    <w:rsid w:val="00E55E49"/>
    <w:rsid w:val="00E55E7D"/>
    <w:rsid w:val="00E55F8E"/>
    <w:rsid w:val="00E56103"/>
    <w:rsid w:val="00E5614E"/>
    <w:rsid w:val="00E56153"/>
    <w:rsid w:val="00E561B4"/>
    <w:rsid w:val="00E5621E"/>
    <w:rsid w:val="00E5626A"/>
    <w:rsid w:val="00E56289"/>
    <w:rsid w:val="00E562F3"/>
    <w:rsid w:val="00E56345"/>
    <w:rsid w:val="00E563B8"/>
    <w:rsid w:val="00E563CE"/>
    <w:rsid w:val="00E563DE"/>
    <w:rsid w:val="00E564B2"/>
    <w:rsid w:val="00E565E1"/>
    <w:rsid w:val="00E56775"/>
    <w:rsid w:val="00E567EB"/>
    <w:rsid w:val="00E567FB"/>
    <w:rsid w:val="00E56C78"/>
    <w:rsid w:val="00E56E17"/>
    <w:rsid w:val="00E56EA0"/>
    <w:rsid w:val="00E56EA5"/>
    <w:rsid w:val="00E56EC8"/>
    <w:rsid w:val="00E56EEE"/>
    <w:rsid w:val="00E57191"/>
    <w:rsid w:val="00E572CE"/>
    <w:rsid w:val="00E57474"/>
    <w:rsid w:val="00E574B6"/>
    <w:rsid w:val="00E575C3"/>
    <w:rsid w:val="00E57723"/>
    <w:rsid w:val="00E577BE"/>
    <w:rsid w:val="00E57879"/>
    <w:rsid w:val="00E57977"/>
    <w:rsid w:val="00E579ED"/>
    <w:rsid w:val="00E57A15"/>
    <w:rsid w:val="00E57B8A"/>
    <w:rsid w:val="00E57C71"/>
    <w:rsid w:val="00E57C83"/>
    <w:rsid w:val="00E57C85"/>
    <w:rsid w:val="00E57C8F"/>
    <w:rsid w:val="00E57CEA"/>
    <w:rsid w:val="00E57DEA"/>
    <w:rsid w:val="00E57E97"/>
    <w:rsid w:val="00E60033"/>
    <w:rsid w:val="00E6003A"/>
    <w:rsid w:val="00E600F2"/>
    <w:rsid w:val="00E6019A"/>
    <w:rsid w:val="00E60220"/>
    <w:rsid w:val="00E603A8"/>
    <w:rsid w:val="00E603EB"/>
    <w:rsid w:val="00E604C6"/>
    <w:rsid w:val="00E6066A"/>
    <w:rsid w:val="00E60782"/>
    <w:rsid w:val="00E60853"/>
    <w:rsid w:val="00E60879"/>
    <w:rsid w:val="00E60A1E"/>
    <w:rsid w:val="00E60AED"/>
    <w:rsid w:val="00E60AFC"/>
    <w:rsid w:val="00E60B20"/>
    <w:rsid w:val="00E60C36"/>
    <w:rsid w:val="00E60C65"/>
    <w:rsid w:val="00E60D26"/>
    <w:rsid w:val="00E60D64"/>
    <w:rsid w:val="00E60D66"/>
    <w:rsid w:val="00E60E36"/>
    <w:rsid w:val="00E60F6C"/>
    <w:rsid w:val="00E61057"/>
    <w:rsid w:val="00E61095"/>
    <w:rsid w:val="00E61254"/>
    <w:rsid w:val="00E612B1"/>
    <w:rsid w:val="00E6131E"/>
    <w:rsid w:val="00E61508"/>
    <w:rsid w:val="00E6158C"/>
    <w:rsid w:val="00E617BA"/>
    <w:rsid w:val="00E618D0"/>
    <w:rsid w:val="00E61923"/>
    <w:rsid w:val="00E61976"/>
    <w:rsid w:val="00E619D4"/>
    <w:rsid w:val="00E61A56"/>
    <w:rsid w:val="00E61CBE"/>
    <w:rsid w:val="00E61D4B"/>
    <w:rsid w:val="00E61E3F"/>
    <w:rsid w:val="00E61E7B"/>
    <w:rsid w:val="00E61F4E"/>
    <w:rsid w:val="00E620C4"/>
    <w:rsid w:val="00E62169"/>
    <w:rsid w:val="00E6225B"/>
    <w:rsid w:val="00E62261"/>
    <w:rsid w:val="00E6229B"/>
    <w:rsid w:val="00E62385"/>
    <w:rsid w:val="00E623B4"/>
    <w:rsid w:val="00E624A4"/>
    <w:rsid w:val="00E6254E"/>
    <w:rsid w:val="00E62596"/>
    <w:rsid w:val="00E626BB"/>
    <w:rsid w:val="00E62802"/>
    <w:rsid w:val="00E62940"/>
    <w:rsid w:val="00E6295B"/>
    <w:rsid w:val="00E62AB4"/>
    <w:rsid w:val="00E62AE0"/>
    <w:rsid w:val="00E62C39"/>
    <w:rsid w:val="00E62CAE"/>
    <w:rsid w:val="00E630C5"/>
    <w:rsid w:val="00E6321F"/>
    <w:rsid w:val="00E63247"/>
    <w:rsid w:val="00E63278"/>
    <w:rsid w:val="00E633F9"/>
    <w:rsid w:val="00E6346D"/>
    <w:rsid w:val="00E634A6"/>
    <w:rsid w:val="00E63569"/>
    <w:rsid w:val="00E63706"/>
    <w:rsid w:val="00E63815"/>
    <w:rsid w:val="00E63920"/>
    <w:rsid w:val="00E639CA"/>
    <w:rsid w:val="00E63A3C"/>
    <w:rsid w:val="00E63BDC"/>
    <w:rsid w:val="00E63C7D"/>
    <w:rsid w:val="00E63CDA"/>
    <w:rsid w:val="00E63D4E"/>
    <w:rsid w:val="00E63D55"/>
    <w:rsid w:val="00E63D73"/>
    <w:rsid w:val="00E63E87"/>
    <w:rsid w:val="00E63EBA"/>
    <w:rsid w:val="00E63EED"/>
    <w:rsid w:val="00E63F47"/>
    <w:rsid w:val="00E63FC1"/>
    <w:rsid w:val="00E640A4"/>
    <w:rsid w:val="00E64130"/>
    <w:rsid w:val="00E6428D"/>
    <w:rsid w:val="00E6431F"/>
    <w:rsid w:val="00E64365"/>
    <w:rsid w:val="00E64464"/>
    <w:rsid w:val="00E644D7"/>
    <w:rsid w:val="00E64510"/>
    <w:rsid w:val="00E64731"/>
    <w:rsid w:val="00E64822"/>
    <w:rsid w:val="00E649A1"/>
    <w:rsid w:val="00E649B9"/>
    <w:rsid w:val="00E64B37"/>
    <w:rsid w:val="00E64BBA"/>
    <w:rsid w:val="00E64D0F"/>
    <w:rsid w:val="00E64DB0"/>
    <w:rsid w:val="00E650EA"/>
    <w:rsid w:val="00E6516D"/>
    <w:rsid w:val="00E651EB"/>
    <w:rsid w:val="00E6527B"/>
    <w:rsid w:val="00E65300"/>
    <w:rsid w:val="00E6530C"/>
    <w:rsid w:val="00E65570"/>
    <w:rsid w:val="00E65648"/>
    <w:rsid w:val="00E6570E"/>
    <w:rsid w:val="00E65745"/>
    <w:rsid w:val="00E657BC"/>
    <w:rsid w:val="00E65831"/>
    <w:rsid w:val="00E65A53"/>
    <w:rsid w:val="00E65AB7"/>
    <w:rsid w:val="00E65ACF"/>
    <w:rsid w:val="00E65C5D"/>
    <w:rsid w:val="00E65CC3"/>
    <w:rsid w:val="00E65F5C"/>
    <w:rsid w:val="00E65F74"/>
    <w:rsid w:val="00E66031"/>
    <w:rsid w:val="00E6618E"/>
    <w:rsid w:val="00E66193"/>
    <w:rsid w:val="00E661C5"/>
    <w:rsid w:val="00E6626D"/>
    <w:rsid w:val="00E66286"/>
    <w:rsid w:val="00E662B7"/>
    <w:rsid w:val="00E662F8"/>
    <w:rsid w:val="00E6630F"/>
    <w:rsid w:val="00E66364"/>
    <w:rsid w:val="00E66475"/>
    <w:rsid w:val="00E66638"/>
    <w:rsid w:val="00E666DD"/>
    <w:rsid w:val="00E66757"/>
    <w:rsid w:val="00E667DB"/>
    <w:rsid w:val="00E669D0"/>
    <w:rsid w:val="00E66A02"/>
    <w:rsid w:val="00E66B2A"/>
    <w:rsid w:val="00E66C54"/>
    <w:rsid w:val="00E66D50"/>
    <w:rsid w:val="00E66DE0"/>
    <w:rsid w:val="00E66EBE"/>
    <w:rsid w:val="00E66F04"/>
    <w:rsid w:val="00E66F53"/>
    <w:rsid w:val="00E670AC"/>
    <w:rsid w:val="00E67215"/>
    <w:rsid w:val="00E67220"/>
    <w:rsid w:val="00E6723A"/>
    <w:rsid w:val="00E6726D"/>
    <w:rsid w:val="00E67313"/>
    <w:rsid w:val="00E67332"/>
    <w:rsid w:val="00E67370"/>
    <w:rsid w:val="00E67389"/>
    <w:rsid w:val="00E6741E"/>
    <w:rsid w:val="00E6751F"/>
    <w:rsid w:val="00E67531"/>
    <w:rsid w:val="00E67592"/>
    <w:rsid w:val="00E675E8"/>
    <w:rsid w:val="00E677F1"/>
    <w:rsid w:val="00E67978"/>
    <w:rsid w:val="00E67A2E"/>
    <w:rsid w:val="00E67AC3"/>
    <w:rsid w:val="00E67AEF"/>
    <w:rsid w:val="00E67B65"/>
    <w:rsid w:val="00E67C99"/>
    <w:rsid w:val="00E67DAB"/>
    <w:rsid w:val="00E67EC0"/>
    <w:rsid w:val="00E67FE3"/>
    <w:rsid w:val="00E70000"/>
    <w:rsid w:val="00E700AF"/>
    <w:rsid w:val="00E700DA"/>
    <w:rsid w:val="00E701A8"/>
    <w:rsid w:val="00E7033B"/>
    <w:rsid w:val="00E703E1"/>
    <w:rsid w:val="00E703E5"/>
    <w:rsid w:val="00E70404"/>
    <w:rsid w:val="00E70432"/>
    <w:rsid w:val="00E7044B"/>
    <w:rsid w:val="00E705F9"/>
    <w:rsid w:val="00E70693"/>
    <w:rsid w:val="00E706FE"/>
    <w:rsid w:val="00E70739"/>
    <w:rsid w:val="00E707CE"/>
    <w:rsid w:val="00E70837"/>
    <w:rsid w:val="00E70840"/>
    <w:rsid w:val="00E70A82"/>
    <w:rsid w:val="00E70AFC"/>
    <w:rsid w:val="00E70B2D"/>
    <w:rsid w:val="00E70B58"/>
    <w:rsid w:val="00E70C64"/>
    <w:rsid w:val="00E70DF1"/>
    <w:rsid w:val="00E70EAC"/>
    <w:rsid w:val="00E70F3B"/>
    <w:rsid w:val="00E70FC0"/>
    <w:rsid w:val="00E70FCE"/>
    <w:rsid w:val="00E710B1"/>
    <w:rsid w:val="00E7112C"/>
    <w:rsid w:val="00E711AE"/>
    <w:rsid w:val="00E71248"/>
    <w:rsid w:val="00E713CC"/>
    <w:rsid w:val="00E71401"/>
    <w:rsid w:val="00E7168A"/>
    <w:rsid w:val="00E716D7"/>
    <w:rsid w:val="00E718CB"/>
    <w:rsid w:val="00E71915"/>
    <w:rsid w:val="00E71B03"/>
    <w:rsid w:val="00E71BD1"/>
    <w:rsid w:val="00E71CFC"/>
    <w:rsid w:val="00E71D73"/>
    <w:rsid w:val="00E71F76"/>
    <w:rsid w:val="00E71FCF"/>
    <w:rsid w:val="00E7203B"/>
    <w:rsid w:val="00E720F4"/>
    <w:rsid w:val="00E722D0"/>
    <w:rsid w:val="00E722E6"/>
    <w:rsid w:val="00E725E2"/>
    <w:rsid w:val="00E72660"/>
    <w:rsid w:val="00E72683"/>
    <w:rsid w:val="00E728C6"/>
    <w:rsid w:val="00E729E7"/>
    <w:rsid w:val="00E72A43"/>
    <w:rsid w:val="00E72A4C"/>
    <w:rsid w:val="00E72A7F"/>
    <w:rsid w:val="00E72AAE"/>
    <w:rsid w:val="00E72B45"/>
    <w:rsid w:val="00E72B62"/>
    <w:rsid w:val="00E72B85"/>
    <w:rsid w:val="00E72CCB"/>
    <w:rsid w:val="00E72D9F"/>
    <w:rsid w:val="00E7303D"/>
    <w:rsid w:val="00E730AF"/>
    <w:rsid w:val="00E730EE"/>
    <w:rsid w:val="00E73193"/>
    <w:rsid w:val="00E731B3"/>
    <w:rsid w:val="00E731D7"/>
    <w:rsid w:val="00E73213"/>
    <w:rsid w:val="00E7323A"/>
    <w:rsid w:val="00E7323B"/>
    <w:rsid w:val="00E73251"/>
    <w:rsid w:val="00E73313"/>
    <w:rsid w:val="00E73819"/>
    <w:rsid w:val="00E7389E"/>
    <w:rsid w:val="00E73A27"/>
    <w:rsid w:val="00E73A3F"/>
    <w:rsid w:val="00E73AB6"/>
    <w:rsid w:val="00E73C1D"/>
    <w:rsid w:val="00E73D96"/>
    <w:rsid w:val="00E73E31"/>
    <w:rsid w:val="00E73EB2"/>
    <w:rsid w:val="00E73F57"/>
    <w:rsid w:val="00E7409F"/>
    <w:rsid w:val="00E7456A"/>
    <w:rsid w:val="00E745CB"/>
    <w:rsid w:val="00E747C0"/>
    <w:rsid w:val="00E74A35"/>
    <w:rsid w:val="00E74B31"/>
    <w:rsid w:val="00E74CEA"/>
    <w:rsid w:val="00E74E7F"/>
    <w:rsid w:val="00E7506F"/>
    <w:rsid w:val="00E7509F"/>
    <w:rsid w:val="00E751D1"/>
    <w:rsid w:val="00E751F2"/>
    <w:rsid w:val="00E75228"/>
    <w:rsid w:val="00E753A7"/>
    <w:rsid w:val="00E753C7"/>
    <w:rsid w:val="00E754E3"/>
    <w:rsid w:val="00E75843"/>
    <w:rsid w:val="00E75981"/>
    <w:rsid w:val="00E75A58"/>
    <w:rsid w:val="00E75ACE"/>
    <w:rsid w:val="00E75AF4"/>
    <w:rsid w:val="00E75B48"/>
    <w:rsid w:val="00E75BE5"/>
    <w:rsid w:val="00E75C2B"/>
    <w:rsid w:val="00E75C59"/>
    <w:rsid w:val="00E75C68"/>
    <w:rsid w:val="00E75E02"/>
    <w:rsid w:val="00E76271"/>
    <w:rsid w:val="00E762C5"/>
    <w:rsid w:val="00E763C3"/>
    <w:rsid w:val="00E76523"/>
    <w:rsid w:val="00E76538"/>
    <w:rsid w:val="00E76568"/>
    <w:rsid w:val="00E7676D"/>
    <w:rsid w:val="00E767AC"/>
    <w:rsid w:val="00E768E3"/>
    <w:rsid w:val="00E7691C"/>
    <w:rsid w:val="00E76A34"/>
    <w:rsid w:val="00E76B99"/>
    <w:rsid w:val="00E76BD7"/>
    <w:rsid w:val="00E76C04"/>
    <w:rsid w:val="00E76D40"/>
    <w:rsid w:val="00E76E39"/>
    <w:rsid w:val="00E76E80"/>
    <w:rsid w:val="00E76F73"/>
    <w:rsid w:val="00E76FBD"/>
    <w:rsid w:val="00E770B8"/>
    <w:rsid w:val="00E7717D"/>
    <w:rsid w:val="00E771E5"/>
    <w:rsid w:val="00E774FE"/>
    <w:rsid w:val="00E77665"/>
    <w:rsid w:val="00E77724"/>
    <w:rsid w:val="00E7797B"/>
    <w:rsid w:val="00E779B5"/>
    <w:rsid w:val="00E77A15"/>
    <w:rsid w:val="00E77D1E"/>
    <w:rsid w:val="00E77D84"/>
    <w:rsid w:val="00E77E6A"/>
    <w:rsid w:val="00E77EFB"/>
    <w:rsid w:val="00E80018"/>
    <w:rsid w:val="00E8007B"/>
    <w:rsid w:val="00E8010A"/>
    <w:rsid w:val="00E801D5"/>
    <w:rsid w:val="00E801E0"/>
    <w:rsid w:val="00E801FD"/>
    <w:rsid w:val="00E804FE"/>
    <w:rsid w:val="00E805AD"/>
    <w:rsid w:val="00E805D8"/>
    <w:rsid w:val="00E805F9"/>
    <w:rsid w:val="00E80658"/>
    <w:rsid w:val="00E80660"/>
    <w:rsid w:val="00E8074D"/>
    <w:rsid w:val="00E80776"/>
    <w:rsid w:val="00E808B5"/>
    <w:rsid w:val="00E8094B"/>
    <w:rsid w:val="00E80B92"/>
    <w:rsid w:val="00E80C26"/>
    <w:rsid w:val="00E80C5D"/>
    <w:rsid w:val="00E80E1A"/>
    <w:rsid w:val="00E80EBE"/>
    <w:rsid w:val="00E8104F"/>
    <w:rsid w:val="00E81078"/>
    <w:rsid w:val="00E81106"/>
    <w:rsid w:val="00E81136"/>
    <w:rsid w:val="00E814A6"/>
    <w:rsid w:val="00E81588"/>
    <w:rsid w:val="00E81638"/>
    <w:rsid w:val="00E81684"/>
    <w:rsid w:val="00E816EE"/>
    <w:rsid w:val="00E81762"/>
    <w:rsid w:val="00E81883"/>
    <w:rsid w:val="00E818EE"/>
    <w:rsid w:val="00E8197F"/>
    <w:rsid w:val="00E8198D"/>
    <w:rsid w:val="00E819CC"/>
    <w:rsid w:val="00E81A01"/>
    <w:rsid w:val="00E81A13"/>
    <w:rsid w:val="00E81A49"/>
    <w:rsid w:val="00E81C2C"/>
    <w:rsid w:val="00E81DEA"/>
    <w:rsid w:val="00E82141"/>
    <w:rsid w:val="00E8222D"/>
    <w:rsid w:val="00E822A5"/>
    <w:rsid w:val="00E8248A"/>
    <w:rsid w:val="00E825FB"/>
    <w:rsid w:val="00E82638"/>
    <w:rsid w:val="00E826B4"/>
    <w:rsid w:val="00E82758"/>
    <w:rsid w:val="00E8276A"/>
    <w:rsid w:val="00E827D0"/>
    <w:rsid w:val="00E82809"/>
    <w:rsid w:val="00E8283E"/>
    <w:rsid w:val="00E82952"/>
    <w:rsid w:val="00E829E0"/>
    <w:rsid w:val="00E82AAA"/>
    <w:rsid w:val="00E82D03"/>
    <w:rsid w:val="00E82DFD"/>
    <w:rsid w:val="00E82E0B"/>
    <w:rsid w:val="00E82E5D"/>
    <w:rsid w:val="00E82E69"/>
    <w:rsid w:val="00E82E8A"/>
    <w:rsid w:val="00E83114"/>
    <w:rsid w:val="00E83187"/>
    <w:rsid w:val="00E83189"/>
    <w:rsid w:val="00E831CC"/>
    <w:rsid w:val="00E831DB"/>
    <w:rsid w:val="00E8320B"/>
    <w:rsid w:val="00E83289"/>
    <w:rsid w:val="00E8337B"/>
    <w:rsid w:val="00E833BE"/>
    <w:rsid w:val="00E83560"/>
    <w:rsid w:val="00E83705"/>
    <w:rsid w:val="00E8374A"/>
    <w:rsid w:val="00E8396B"/>
    <w:rsid w:val="00E83B49"/>
    <w:rsid w:val="00E83C6B"/>
    <w:rsid w:val="00E83E47"/>
    <w:rsid w:val="00E83E9A"/>
    <w:rsid w:val="00E83EB6"/>
    <w:rsid w:val="00E83FE5"/>
    <w:rsid w:val="00E84138"/>
    <w:rsid w:val="00E84160"/>
    <w:rsid w:val="00E842E0"/>
    <w:rsid w:val="00E8430D"/>
    <w:rsid w:val="00E843A0"/>
    <w:rsid w:val="00E843CF"/>
    <w:rsid w:val="00E844AE"/>
    <w:rsid w:val="00E84652"/>
    <w:rsid w:val="00E846E1"/>
    <w:rsid w:val="00E848F7"/>
    <w:rsid w:val="00E84966"/>
    <w:rsid w:val="00E849D7"/>
    <w:rsid w:val="00E84C6E"/>
    <w:rsid w:val="00E84C88"/>
    <w:rsid w:val="00E84CC2"/>
    <w:rsid w:val="00E84D92"/>
    <w:rsid w:val="00E84D97"/>
    <w:rsid w:val="00E84E14"/>
    <w:rsid w:val="00E84E1D"/>
    <w:rsid w:val="00E8504A"/>
    <w:rsid w:val="00E85286"/>
    <w:rsid w:val="00E85293"/>
    <w:rsid w:val="00E852D7"/>
    <w:rsid w:val="00E853B8"/>
    <w:rsid w:val="00E85411"/>
    <w:rsid w:val="00E85501"/>
    <w:rsid w:val="00E8551E"/>
    <w:rsid w:val="00E85592"/>
    <w:rsid w:val="00E855A0"/>
    <w:rsid w:val="00E8565C"/>
    <w:rsid w:val="00E856FF"/>
    <w:rsid w:val="00E857DE"/>
    <w:rsid w:val="00E85A0B"/>
    <w:rsid w:val="00E85A2C"/>
    <w:rsid w:val="00E85AAE"/>
    <w:rsid w:val="00E85B28"/>
    <w:rsid w:val="00E85C5F"/>
    <w:rsid w:val="00E85D19"/>
    <w:rsid w:val="00E85D3C"/>
    <w:rsid w:val="00E85F8C"/>
    <w:rsid w:val="00E86093"/>
    <w:rsid w:val="00E862E9"/>
    <w:rsid w:val="00E863BE"/>
    <w:rsid w:val="00E863DE"/>
    <w:rsid w:val="00E863F9"/>
    <w:rsid w:val="00E8672E"/>
    <w:rsid w:val="00E8690E"/>
    <w:rsid w:val="00E869FB"/>
    <w:rsid w:val="00E86A27"/>
    <w:rsid w:val="00E86A71"/>
    <w:rsid w:val="00E86B17"/>
    <w:rsid w:val="00E86B6C"/>
    <w:rsid w:val="00E86B7F"/>
    <w:rsid w:val="00E86D75"/>
    <w:rsid w:val="00E86DD9"/>
    <w:rsid w:val="00E8719F"/>
    <w:rsid w:val="00E871BF"/>
    <w:rsid w:val="00E8726D"/>
    <w:rsid w:val="00E872C6"/>
    <w:rsid w:val="00E87398"/>
    <w:rsid w:val="00E87438"/>
    <w:rsid w:val="00E87457"/>
    <w:rsid w:val="00E87611"/>
    <w:rsid w:val="00E876E7"/>
    <w:rsid w:val="00E877FD"/>
    <w:rsid w:val="00E87900"/>
    <w:rsid w:val="00E87999"/>
    <w:rsid w:val="00E87A6E"/>
    <w:rsid w:val="00E87A80"/>
    <w:rsid w:val="00E87C65"/>
    <w:rsid w:val="00E87CCD"/>
    <w:rsid w:val="00E87CDE"/>
    <w:rsid w:val="00E87FAB"/>
    <w:rsid w:val="00E87FDF"/>
    <w:rsid w:val="00E90080"/>
    <w:rsid w:val="00E901F3"/>
    <w:rsid w:val="00E903A4"/>
    <w:rsid w:val="00E90407"/>
    <w:rsid w:val="00E904E8"/>
    <w:rsid w:val="00E905E1"/>
    <w:rsid w:val="00E90623"/>
    <w:rsid w:val="00E908C0"/>
    <w:rsid w:val="00E90977"/>
    <w:rsid w:val="00E90994"/>
    <w:rsid w:val="00E90A30"/>
    <w:rsid w:val="00E90CF7"/>
    <w:rsid w:val="00E90E3E"/>
    <w:rsid w:val="00E90E4D"/>
    <w:rsid w:val="00E90E50"/>
    <w:rsid w:val="00E90EA3"/>
    <w:rsid w:val="00E9159E"/>
    <w:rsid w:val="00E915C4"/>
    <w:rsid w:val="00E9196E"/>
    <w:rsid w:val="00E91A6A"/>
    <w:rsid w:val="00E91A94"/>
    <w:rsid w:val="00E91C3D"/>
    <w:rsid w:val="00E91F59"/>
    <w:rsid w:val="00E92063"/>
    <w:rsid w:val="00E92200"/>
    <w:rsid w:val="00E92238"/>
    <w:rsid w:val="00E92262"/>
    <w:rsid w:val="00E9227F"/>
    <w:rsid w:val="00E92286"/>
    <w:rsid w:val="00E923DD"/>
    <w:rsid w:val="00E9246D"/>
    <w:rsid w:val="00E926A2"/>
    <w:rsid w:val="00E926A7"/>
    <w:rsid w:val="00E926C3"/>
    <w:rsid w:val="00E92813"/>
    <w:rsid w:val="00E928BE"/>
    <w:rsid w:val="00E92973"/>
    <w:rsid w:val="00E92B2D"/>
    <w:rsid w:val="00E92DA6"/>
    <w:rsid w:val="00E92E97"/>
    <w:rsid w:val="00E92F7A"/>
    <w:rsid w:val="00E92FCB"/>
    <w:rsid w:val="00E93095"/>
    <w:rsid w:val="00E930B9"/>
    <w:rsid w:val="00E9310B"/>
    <w:rsid w:val="00E93125"/>
    <w:rsid w:val="00E93248"/>
    <w:rsid w:val="00E93387"/>
    <w:rsid w:val="00E93416"/>
    <w:rsid w:val="00E9342D"/>
    <w:rsid w:val="00E93460"/>
    <w:rsid w:val="00E9352D"/>
    <w:rsid w:val="00E93545"/>
    <w:rsid w:val="00E93612"/>
    <w:rsid w:val="00E936C7"/>
    <w:rsid w:val="00E93726"/>
    <w:rsid w:val="00E93959"/>
    <w:rsid w:val="00E93ADE"/>
    <w:rsid w:val="00E93B2A"/>
    <w:rsid w:val="00E93BE8"/>
    <w:rsid w:val="00E93CD8"/>
    <w:rsid w:val="00E93D02"/>
    <w:rsid w:val="00E93D0E"/>
    <w:rsid w:val="00E93DE7"/>
    <w:rsid w:val="00E93E5F"/>
    <w:rsid w:val="00E93E68"/>
    <w:rsid w:val="00E93F08"/>
    <w:rsid w:val="00E93FA2"/>
    <w:rsid w:val="00E94025"/>
    <w:rsid w:val="00E9410C"/>
    <w:rsid w:val="00E9419C"/>
    <w:rsid w:val="00E94422"/>
    <w:rsid w:val="00E945D5"/>
    <w:rsid w:val="00E946BC"/>
    <w:rsid w:val="00E946C2"/>
    <w:rsid w:val="00E94755"/>
    <w:rsid w:val="00E94791"/>
    <w:rsid w:val="00E94793"/>
    <w:rsid w:val="00E94842"/>
    <w:rsid w:val="00E94849"/>
    <w:rsid w:val="00E94A17"/>
    <w:rsid w:val="00E94BCD"/>
    <w:rsid w:val="00E94DDF"/>
    <w:rsid w:val="00E94EFC"/>
    <w:rsid w:val="00E94F41"/>
    <w:rsid w:val="00E95034"/>
    <w:rsid w:val="00E95243"/>
    <w:rsid w:val="00E95254"/>
    <w:rsid w:val="00E95255"/>
    <w:rsid w:val="00E95287"/>
    <w:rsid w:val="00E952B5"/>
    <w:rsid w:val="00E95369"/>
    <w:rsid w:val="00E9539D"/>
    <w:rsid w:val="00E953F6"/>
    <w:rsid w:val="00E95438"/>
    <w:rsid w:val="00E9549C"/>
    <w:rsid w:val="00E954AB"/>
    <w:rsid w:val="00E9561C"/>
    <w:rsid w:val="00E95635"/>
    <w:rsid w:val="00E95682"/>
    <w:rsid w:val="00E956AE"/>
    <w:rsid w:val="00E9579E"/>
    <w:rsid w:val="00E95872"/>
    <w:rsid w:val="00E958B0"/>
    <w:rsid w:val="00E95912"/>
    <w:rsid w:val="00E95920"/>
    <w:rsid w:val="00E95960"/>
    <w:rsid w:val="00E959A1"/>
    <w:rsid w:val="00E959CD"/>
    <w:rsid w:val="00E95A30"/>
    <w:rsid w:val="00E95AAA"/>
    <w:rsid w:val="00E95B3A"/>
    <w:rsid w:val="00E95B49"/>
    <w:rsid w:val="00E95B66"/>
    <w:rsid w:val="00E95BD4"/>
    <w:rsid w:val="00E95C3A"/>
    <w:rsid w:val="00E95C5C"/>
    <w:rsid w:val="00E95CA6"/>
    <w:rsid w:val="00E95DB7"/>
    <w:rsid w:val="00E95F03"/>
    <w:rsid w:val="00E95F30"/>
    <w:rsid w:val="00E96167"/>
    <w:rsid w:val="00E961B0"/>
    <w:rsid w:val="00E962B0"/>
    <w:rsid w:val="00E96361"/>
    <w:rsid w:val="00E96395"/>
    <w:rsid w:val="00E964C7"/>
    <w:rsid w:val="00E965C2"/>
    <w:rsid w:val="00E965CD"/>
    <w:rsid w:val="00E9684A"/>
    <w:rsid w:val="00E96A91"/>
    <w:rsid w:val="00E96B4C"/>
    <w:rsid w:val="00E96B7D"/>
    <w:rsid w:val="00E96BB6"/>
    <w:rsid w:val="00E96E63"/>
    <w:rsid w:val="00E96EF1"/>
    <w:rsid w:val="00E96F24"/>
    <w:rsid w:val="00E96FC9"/>
    <w:rsid w:val="00E97060"/>
    <w:rsid w:val="00E9712C"/>
    <w:rsid w:val="00E97281"/>
    <w:rsid w:val="00E97282"/>
    <w:rsid w:val="00E974AB"/>
    <w:rsid w:val="00E97685"/>
    <w:rsid w:val="00E97695"/>
    <w:rsid w:val="00E976BD"/>
    <w:rsid w:val="00E976C7"/>
    <w:rsid w:val="00E977D9"/>
    <w:rsid w:val="00E97887"/>
    <w:rsid w:val="00E979C8"/>
    <w:rsid w:val="00E97DED"/>
    <w:rsid w:val="00E97E5E"/>
    <w:rsid w:val="00E97EA6"/>
    <w:rsid w:val="00E97EAF"/>
    <w:rsid w:val="00E97EEB"/>
    <w:rsid w:val="00EA01A5"/>
    <w:rsid w:val="00EA0219"/>
    <w:rsid w:val="00EA0313"/>
    <w:rsid w:val="00EA04C3"/>
    <w:rsid w:val="00EA04DD"/>
    <w:rsid w:val="00EA0624"/>
    <w:rsid w:val="00EA0695"/>
    <w:rsid w:val="00EA083A"/>
    <w:rsid w:val="00EA0981"/>
    <w:rsid w:val="00EA0A4B"/>
    <w:rsid w:val="00EA0AB7"/>
    <w:rsid w:val="00EA0AC4"/>
    <w:rsid w:val="00EA0AD1"/>
    <w:rsid w:val="00EA0CD2"/>
    <w:rsid w:val="00EA0CEE"/>
    <w:rsid w:val="00EA0D01"/>
    <w:rsid w:val="00EA0EF1"/>
    <w:rsid w:val="00EA0F9A"/>
    <w:rsid w:val="00EA100A"/>
    <w:rsid w:val="00EA1178"/>
    <w:rsid w:val="00EA1289"/>
    <w:rsid w:val="00EA133D"/>
    <w:rsid w:val="00EA13A7"/>
    <w:rsid w:val="00EA143F"/>
    <w:rsid w:val="00EA1524"/>
    <w:rsid w:val="00EA16B4"/>
    <w:rsid w:val="00EA1B3C"/>
    <w:rsid w:val="00EA1B84"/>
    <w:rsid w:val="00EA1B8D"/>
    <w:rsid w:val="00EA1C55"/>
    <w:rsid w:val="00EA1C62"/>
    <w:rsid w:val="00EA1EAC"/>
    <w:rsid w:val="00EA1EE1"/>
    <w:rsid w:val="00EA1F14"/>
    <w:rsid w:val="00EA202D"/>
    <w:rsid w:val="00EA20BC"/>
    <w:rsid w:val="00EA22DB"/>
    <w:rsid w:val="00EA235C"/>
    <w:rsid w:val="00EA249A"/>
    <w:rsid w:val="00EA2597"/>
    <w:rsid w:val="00EA2632"/>
    <w:rsid w:val="00EA2808"/>
    <w:rsid w:val="00EA2826"/>
    <w:rsid w:val="00EA282A"/>
    <w:rsid w:val="00EA2865"/>
    <w:rsid w:val="00EA2884"/>
    <w:rsid w:val="00EA288E"/>
    <w:rsid w:val="00EA28B7"/>
    <w:rsid w:val="00EA28FB"/>
    <w:rsid w:val="00EA293C"/>
    <w:rsid w:val="00EA2A6C"/>
    <w:rsid w:val="00EA2B8C"/>
    <w:rsid w:val="00EA2D35"/>
    <w:rsid w:val="00EA2DF3"/>
    <w:rsid w:val="00EA2E3F"/>
    <w:rsid w:val="00EA2ED1"/>
    <w:rsid w:val="00EA2EE2"/>
    <w:rsid w:val="00EA2FCE"/>
    <w:rsid w:val="00EA3006"/>
    <w:rsid w:val="00EA308C"/>
    <w:rsid w:val="00EA31F7"/>
    <w:rsid w:val="00EA3217"/>
    <w:rsid w:val="00EA32D1"/>
    <w:rsid w:val="00EA3569"/>
    <w:rsid w:val="00EA3690"/>
    <w:rsid w:val="00EA378A"/>
    <w:rsid w:val="00EA37C9"/>
    <w:rsid w:val="00EA37CB"/>
    <w:rsid w:val="00EA388F"/>
    <w:rsid w:val="00EA38AA"/>
    <w:rsid w:val="00EA39DD"/>
    <w:rsid w:val="00EA3A0C"/>
    <w:rsid w:val="00EA3DE0"/>
    <w:rsid w:val="00EA3F9D"/>
    <w:rsid w:val="00EA40D8"/>
    <w:rsid w:val="00EA4115"/>
    <w:rsid w:val="00EA41D8"/>
    <w:rsid w:val="00EA427B"/>
    <w:rsid w:val="00EA430D"/>
    <w:rsid w:val="00EA4343"/>
    <w:rsid w:val="00EA43E8"/>
    <w:rsid w:val="00EA445C"/>
    <w:rsid w:val="00EA44FD"/>
    <w:rsid w:val="00EA45AB"/>
    <w:rsid w:val="00EA45B0"/>
    <w:rsid w:val="00EA46DD"/>
    <w:rsid w:val="00EA472C"/>
    <w:rsid w:val="00EA47AF"/>
    <w:rsid w:val="00EA482F"/>
    <w:rsid w:val="00EA485D"/>
    <w:rsid w:val="00EA49D7"/>
    <w:rsid w:val="00EA4A71"/>
    <w:rsid w:val="00EA4AAD"/>
    <w:rsid w:val="00EA4B29"/>
    <w:rsid w:val="00EA4B58"/>
    <w:rsid w:val="00EA4B84"/>
    <w:rsid w:val="00EA4C00"/>
    <w:rsid w:val="00EA4C04"/>
    <w:rsid w:val="00EA4CFE"/>
    <w:rsid w:val="00EA4D46"/>
    <w:rsid w:val="00EA4D47"/>
    <w:rsid w:val="00EA4D57"/>
    <w:rsid w:val="00EA4DC2"/>
    <w:rsid w:val="00EA4E77"/>
    <w:rsid w:val="00EA4EA2"/>
    <w:rsid w:val="00EA4F4F"/>
    <w:rsid w:val="00EA4FAE"/>
    <w:rsid w:val="00EA503F"/>
    <w:rsid w:val="00EA508A"/>
    <w:rsid w:val="00EA5208"/>
    <w:rsid w:val="00EA52FF"/>
    <w:rsid w:val="00EA535C"/>
    <w:rsid w:val="00EA546E"/>
    <w:rsid w:val="00EA55B2"/>
    <w:rsid w:val="00EA55D7"/>
    <w:rsid w:val="00EA5601"/>
    <w:rsid w:val="00EA5639"/>
    <w:rsid w:val="00EA56E2"/>
    <w:rsid w:val="00EA57B1"/>
    <w:rsid w:val="00EA57DC"/>
    <w:rsid w:val="00EA5860"/>
    <w:rsid w:val="00EA58E5"/>
    <w:rsid w:val="00EA5957"/>
    <w:rsid w:val="00EA59EE"/>
    <w:rsid w:val="00EA5C51"/>
    <w:rsid w:val="00EA5C85"/>
    <w:rsid w:val="00EA5D88"/>
    <w:rsid w:val="00EA5D8E"/>
    <w:rsid w:val="00EA6025"/>
    <w:rsid w:val="00EA6054"/>
    <w:rsid w:val="00EA60B0"/>
    <w:rsid w:val="00EA6165"/>
    <w:rsid w:val="00EA61E9"/>
    <w:rsid w:val="00EA64A5"/>
    <w:rsid w:val="00EA6501"/>
    <w:rsid w:val="00EA659B"/>
    <w:rsid w:val="00EA669A"/>
    <w:rsid w:val="00EA68CE"/>
    <w:rsid w:val="00EA69E7"/>
    <w:rsid w:val="00EA6BDA"/>
    <w:rsid w:val="00EA6C80"/>
    <w:rsid w:val="00EA6CEE"/>
    <w:rsid w:val="00EA6E27"/>
    <w:rsid w:val="00EA6E80"/>
    <w:rsid w:val="00EA6FA1"/>
    <w:rsid w:val="00EA708F"/>
    <w:rsid w:val="00EA70C9"/>
    <w:rsid w:val="00EA71A4"/>
    <w:rsid w:val="00EA77AE"/>
    <w:rsid w:val="00EA7941"/>
    <w:rsid w:val="00EA79E1"/>
    <w:rsid w:val="00EA7AB3"/>
    <w:rsid w:val="00EA7AD9"/>
    <w:rsid w:val="00EA7C60"/>
    <w:rsid w:val="00EA7C6C"/>
    <w:rsid w:val="00EA7C98"/>
    <w:rsid w:val="00EA7E47"/>
    <w:rsid w:val="00EA7F28"/>
    <w:rsid w:val="00EB0116"/>
    <w:rsid w:val="00EB0161"/>
    <w:rsid w:val="00EB03A7"/>
    <w:rsid w:val="00EB05B5"/>
    <w:rsid w:val="00EB06F9"/>
    <w:rsid w:val="00EB0A36"/>
    <w:rsid w:val="00EB0B20"/>
    <w:rsid w:val="00EB0E19"/>
    <w:rsid w:val="00EB108A"/>
    <w:rsid w:val="00EB10A1"/>
    <w:rsid w:val="00EB110B"/>
    <w:rsid w:val="00EB11B2"/>
    <w:rsid w:val="00EB12CB"/>
    <w:rsid w:val="00EB13EC"/>
    <w:rsid w:val="00EB13F6"/>
    <w:rsid w:val="00EB1992"/>
    <w:rsid w:val="00EB1A10"/>
    <w:rsid w:val="00EB1ADE"/>
    <w:rsid w:val="00EB1BB4"/>
    <w:rsid w:val="00EB1BF5"/>
    <w:rsid w:val="00EB1C46"/>
    <w:rsid w:val="00EB1F00"/>
    <w:rsid w:val="00EB1F81"/>
    <w:rsid w:val="00EB2118"/>
    <w:rsid w:val="00EB212E"/>
    <w:rsid w:val="00EB21E2"/>
    <w:rsid w:val="00EB22B9"/>
    <w:rsid w:val="00EB234D"/>
    <w:rsid w:val="00EB2396"/>
    <w:rsid w:val="00EB23B7"/>
    <w:rsid w:val="00EB249A"/>
    <w:rsid w:val="00EB266A"/>
    <w:rsid w:val="00EB273E"/>
    <w:rsid w:val="00EB275E"/>
    <w:rsid w:val="00EB287B"/>
    <w:rsid w:val="00EB2A1B"/>
    <w:rsid w:val="00EB2A22"/>
    <w:rsid w:val="00EB2A23"/>
    <w:rsid w:val="00EB2A5D"/>
    <w:rsid w:val="00EB2AA9"/>
    <w:rsid w:val="00EB2B7E"/>
    <w:rsid w:val="00EB2CD0"/>
    <w:rsid w:val="00EB2DC9"/>
    <w:rsid w:val="00EB2DD4"/>
    <w:rsid w:val="00EB2F6C"/>
    <w:rsid w:val="00EB2FDD"/>
    <w:rsid w:val="00EB319E"/>
    <w:rsid w:val="00EB3232"/>
    <w:rsid w:val="00EB3415"/>
    <w:rsid w:val="00EB343E"/>
    <w:rsid w:val="00EB356A"/>
    <w:rsid w:val="00EB3708"/>
    <w:rsid w:val="00EB37C3"/>
    <w:rsid w:val="00EB38BD"/>
    <w:rsid w:val="00EB38CE"/>
    <w:rsid w:val="00EB39EB"/>
    <w:rsid w:val="00EB3B40"/>
    <w:rsid w:val="00EB3BA4"/>
    <w:rsid w:val="00EB3C53"/>
    <w:rsid w:val="00EB3CD7"/>
    <w:rsid w:val="00EB3EF4"/>
    <w:rsid w:val="00EB3EFE"/>
    <w:rsid w:val="00EB4295"/>
    <w:rsid w:val="00EB43B8"/>
    <w:rsid w:val="00EB443A"/>
    <w:rsid w:val="00EB44A2"/>
    <w:rsid w:val="00EB45E9"/>
    <w:rsid w:val="00EB4682"/>
    <w:rsid w:val="00EB46A6"/>
    <w:rsid w:val="00EB4701"/>
    <w:rsid w:val="00EB477A"/>
    <w:rsid w:val="00EB4787"/>
    <w:rsid w:val="00EB479B"/>
    <w:rsid w:val="00EB484B"/>
    <w:rsid w:val="00EB48A1"/>
    <w:rsid w:val="00EB49AA"/>
    <w:rsid w:val="00EB4A5E"/>
    <w:rsid w:val="00EB4A65"/>
    <w:rsid w:val="00EB4D18"/>
    <w:rsid w:val="00EB517A"/>
    <w:rsid w:val="00EB51E3"/>
    <w:rsid w:val="00EB53E9"/>
    <w:rsid w:val="00EB5475"/>
    <w:rsid w:val="00EB54F5"/>
    <w:rsid w:val="00EB5640"/>
    <w:rsid w:val="00EB5693"/>
    <w:rsid w:val="00EB5816"/>
    <w:rsid w:val="00EB59AC"/>
    <w:rsid w:val="00EB59D6"/>
    <w:rsid w:val="00EB5A46"/>
    <w:rsid w:val="00EB5A53"/>
    <w:rsid w:val="00EB5C3E"/>
    <w:rsid w:val="00EB5C8B"/>
    <w:rsid w:val="00EB5CB0"/>
    <w:rsid w:val="00EB5D86"/>
    <w:rsid w:val="00EB5DC6"/>
    <w:rsid w:val="00EB5DDC"/>
    <w:rsid w:val="00EB5E97"/>
    <w:rsid w:val="00EB601F"/>
    <w:rsid w:val="00EB6022"/>
    <w:rsid w:val="00EB606F"/>
    <w:rsid w:val="00EB63F4"/>
    <w:rsid w:val="00EB648A"/>
    <w:rsid w:val="00EB6549"/>
    <w:rsid w:val="00EB65D1"/>
    <w:rsid w:val="00EB664F"/>
    <w:rsid w:val="00EB6769"/>
    <w:rsid w:val="00EB67AD"/>
    <w:rsid w:val="00EB67F3"/>
    <w:rsid w:val="00EB68F4"/>
    <w:rsid w:val="00EB6912"/>
    <w:rsid w:val="00EB6922"/>
    <w:rsid w:val="00EB6929"/>
    <w:rsid w:val="00EB6A3B"/>
    <w:rsid w:val="00EB6B46"/>
    <w:rsid w:val="00EB6B7C"/>
    <w:rsid w:val="00EB6E3E"/>
    <w:rsid w:val="00EB6ED3"/>
    <w:rsid w:val="00EB6F13"/>
    <w:rsid w:val="00EB6F9C"/>
    <w:rsid w:val="00EB6FCD"/>
    <w:rsid w:val="00EB7076"/>
    <w:rsid w:val="00EB745D"/>
    <w:rsid w:val="00EB7557"/>
    <w:rsid w:val="00EB7607"/>
    <w:rsid w:val="00EB7609"/>
    <w:rsid w:val="00EB7677"/>
    <w:rsid w:val="00EB7741"/>
    <w:rsid w:val="00EB7AA3"/>
    <w:rsid w:val="00EB7D12"/>
    <w:rsid w:val="00EB7F5F"/>
    <w:rsid w:val="00EC0043"/>
    <w:rsid w:val="00EC013E"/>
    <w:rsid w:val="00EC01F4"/>
    <w:rsid w:val="00EC0217"/>
    <w:rsid w:val="00EC022F"/>
    <w:rsid w:val="00EC024E"/>
    <w:rsid w:val="00EC02EA"/>
    <w:rsid w:val="00EC0302"/>
    <w:rsid w:val="00EC03D9"/>
    <w:rsid w:val="00EC0480"/>
    <w:rsid w:val="00EC05AB"/>
    <w:rsid w:val="00EC063E"/>
    <w:rsid w:val="00EC07F2"/>
    <w:rsid w:val="00EC086B"/>
    <w:rsid w:val="00EC08A7"/>
    <w:rsid w:val="00EC0C8C"/>
    <w:rsid w:val="00EC0D1E"/>
    <w:rsid w:val="00EC0D47"/>
    <w:rsid w:val="00EC0D62"/>
    <w:rsid w:val="00EC0EAA"/>
    <w:rsid w:val="00EC0F9E"/>
    <w:rsid w:val="00EC10FD"/>
    <w:rsid w:val="00EC12F7"/>
    <w:rsid w:val="00EC1333"/>
    <w:rsid w:val="00EC1662"/>
    <w:rsid w:val="00EC166F"/>
    <w:rsid w:val="00EC168C"/>
    <w:rsid w:val="00EC171A"/>
    <w:rsid w:val="00EC18FE"/>
    <w:rsid w:val="00EC1995"/>
    <w:rsid w:val="00EC1A34"/>
    <w:rsid w:val="00EC1B83"/>
    <w:rsid w:val="00EC1B97"/>
    <w:rsid w:val="00EC1D7E"/>
    <w:rsid w:val="00EC1F65"/>
    <w:rsid w:val="00EC1FC1"/>
    <w:rsid w:val="00EC1FFE"/>
    <w:rsid w:val="00EC201E"/>
    <w:rsid w:val="00EC209F"/>
    <w:rsid w:val="00EC2215"/>
    <w:rsid w:val="00EC2256"/>
    <w:rsid w:val="00EC228A"/>
    <w:rsid w:val="00EC2293"/>
    <w:rsid w:val="00EC276F"/>
    <w:rsid w:val="00EC289A"/>
    <w:rsid w:val="00EC29E6"/>
    <w:rsid w:val="00EC2AC0"/>
    <w:rsid w:val="00EC2AC6"/>
    <w:rsid w:val="00EC2C42"/>
    <w:rsid w:val="00EC2D1F"/>
    <w:rsid w:val="00EC2E69"/>
    <w:rsid w:val="00EC2F23"/>
    <w:rsid w:val="00EC317D"/>
    <w:rsid w:val="00EC31A2"/>
    <w:rsid w:val="00EC322A"/>
    <w:rsid w:val="00EC3262"/>
    <w:rsid w:val="00EC331A"/>
    <w:rsid w:val="00EC33C0"/>
    <w:rsid w:val="00EC3590"/>
    <w:rsid w:val="00EC379F"/>
    <w:rsid w:val="00EC3805"/>
    <w:rsid w:val="00EC39C5"/>
    <w:rsid w:val="00EC39D3"/>
    <w:rsid w:val="00EC3A13"/>
    <w:rsid w:val="00EC3AA0"/>
    <w:rsid w:val="00EC3B09"/>
    <w:rsid w:val="00EC3C5B"/>
    <w:rsid w:val="00EC3E65"/>
    <w:rsid w:val="00EC41B8"/>
    <w:rsid w:val="00EC41BC"/>
    <w:rsid w:val="00EC422C"/>
    <w:rsid w:val="00EC4273"/>
    <w:rsid w:val="00EC4294"/>
    <w:rsid w:val="00EC42A8"/>
    <w:rsid w:val="00EC434E"/>
    <w:rsid w:val="00EC469D"/>
    <w:rsid w:val="00EC46F1"/>
    <w:rsid w:val="00EC480E"/>
    <w:rsid w:val="00EC48F3"/>
    <w:rsid w:val="00EC49F1"/>
    <w:rsid w:val="00EC4A32"/>
    <w:rsid w:val="00EC4A33"/>
    <w:rsid w:val="00EC4AB4"/>
    <w:rsid w:val="00EC4AB9"/>
    <w:rsid w:val="00EC4BC1"/>
    <w:rsid w:val="00EC4BE5"/>
    <w:rsid w:val="00EC4E9D"/>
    <w:rsid w:val="00EC4F56"/>
    <w:rsid w:val="00EC4FEF"/>
    <w:rsid w:val="00EC5011"/>
    <w:rsid w:val="00EC50D1"/>
    <w:rsid w:val="00EC5127"/>
    <w:rsid w:val="00EC52FA"/>
    <w:rsid w:val="00EC5316"/>
    <w:rsid w:val="00EC54A7"/>
    <w:rsid w:val="00EC550A"/>
    <w:rsid w:val="00EC55A1"/>
    <w:rsid w:val="00EC5793"/>
    <w:rsid w:val="00EC588D"/>
    <w:rsid w:val="00EC5B66"/>
    <w:rsid w:val="00EC5C54"/>
    <w:rsid w:val="00EC5C58"/>
    <w:rsid w:val="00EC5D11"/>
    <w:rsid w:val="00EC5D13"/>
    <w:rsid w:val="00EC5D38"/>
    <w:rsid w:val="00EC5E5F"/>
    <w:rsid w:val="00EC5E9E"/>
    <w:rsid w:val="00EC5FF1"/>
    <w:rsid w:val="00EC6010"/>
    <w:rsid w:val="00EC60E7"/>
    <w:rsid w:val="00EC612C"/>
    <w:rsid w:val="00EC615B"/>
    <w:rsid w:val="00EC6181"/>
    <w:rsid w:val="00EC61E3"/>
    <w:rsid w:val="00EC61E8"/>
    <w:rsid w:val="00EC64F8"/>
    <w:rsid w:val="00EC666D"/>
    <w:rsid w:val="00EC6786"/>
    <w:rsid w:val="00EC6958"/>
    <w:rsid w:val="00EC6C38"/>
    <w:rsid w:val="00EC6C71"/>
    <w:rsid w:val="00EC6C8C"/>
    <w:rsid w:val="00EC6C8D"/>
    <w:rsid w:val="00EC6CFC"/>
    <w:rsid w:val="00EC6D98"/>
    <w:rsid w:val="00EC6DF6"/>
    <w:rsid w:val="00EC708A"/>
    <w:rsid w:val="00EC71B5"/>
    <w:rsid w:val="00EC729D"/>
    <w:rsid w:val="00EC753B"/>
    <w:rsid w:val="00EC7622"/>
    <w:rsid w:val="00EC76DA"/>
    <w:rsid w:val="00EC76EE"/>
    <w:rsid w:val="00EC7840"/>
    <w:rsid w:val="00EC7974"/>
    <w:rsid w:val="00EC797B"/>
    <w:rsid w:val="00EC7A8B"/>
    <w:rsid w:val="00EC7BDA"/>
    <w:rsid w:val="00EC7C20"/>
    <w:rsid w:val="00EC7C89"/>
    <w:rsid w:val="00EC7CDC"/>
    <w:rsid w:val="00EC7D29"/>
    <w:rsid w:val="00EC7D5B"/>
    <w:rsid w:val="00EC7D83"/>
    <w:rsid w:val="00EC7D90"/>
    <w:rsid w:val="00EC7E3E"/>
    <w:rsid w:val="00EC7E47"/>
    <w:rsid w:val="00EC7E5A"/>
    <w:rsid w:val="00EC7EB1"/>
    <w:rsid w:val="00EC7F36"/>
    <w:rsid w:val="00EC7F55"/>
    <w:rsid w:val="00ED0014"/>
    <w:rsid w:val="00ED0080"/>
    <w:rsid w:val="00ED013B"/>
    <w:rsid w:val="00ED0347"/>
    <w:rsid w:val="00ED045F"/>
    <w:rsid w:val="00ED0663"/>
    <w:rsid w:val="00ED0826"/>
    <w:rsid w:val="00ED0901"/>
    <w:rsid w:val="00ED0920"/>
    <w:rsid w:val="00ED0959"/>
    <w:rsid w:val="00ED0A69"/>
    <w:rsid w:val="00ED0AC3"/>
    <w:rsid w:val="00ED0C89"/>
    <w:rsid w:val="00ED0D7F"/>
    <w:rsid w:val="00ED0DB8"/>
    <w:rsid w:val="00ED0E15"/>
    <w:rsid w:val="00ED0E93"/>
    <w:rsid w:val="00ED0ECF"/>
    <w:rsid w:val="00ED0ED7"/>
    <w:rsid w:val="00ED0FB4"/>
    <w:rsid w:val="00ED11BB"/>
    <w:rsid w:val="00ED1286"/>
    <w:rsid w:val="00ED130A"/>
    <w:rsid w:val="00ED1374"/>
    <w:rsid w:val="00ED13AF"/>
    <w:rsid w:val="00ED1447"/>
    <w:rsid w:val="00ED1464"/>
    <w:rsid w:val="00ED14A4"/>
    <w:rsid w:val="00ED14C4"/>
    <w:rsid w:val="00ED1532"/>
    <w:rsid w:val="00ED17F1"/>
    <w:rsid w:val="00ED1885"/>
    <w:rsid w:val="00ED194A"/>
    <w:rsid w:val="00ED19EB"/>
    <w:rsid w:val="00ED1A9A"/>
    <w:rsid w:val="00ED1BBA"/>
    <w:rsid w:val="00ED1BDC"/>
    <w:rsid w:val="00ED1BEC"/>
    <w:rsid w:val="00ED1C35"/>
    <w:rsid w:val="00ED1F1D"/>
    <w:rsid w:val="00ED207A"/>
    <w:rsid w:val="00ED2108"/>
    <w:rsid w:val="00ED2155"/>
    <w:rsid w:val="00ED22A5"/>
    <w:rsid w:val="00ED22CC"/>
    <w:rsid w:val="00ED234B"/>
    <w:rsid w:val="00ED25F3"/>
    <w:rsid w:val="00ED271B"/>
    <w:rsid w:val="00ED29E6"/>
    <w:rsid w:val="00ED29F0"/>
    <w:rsid w:val="00ED2A02"/>
    <w:rsid w:val="00ED2A6B"/>
    <w:rsid w:val="00ED2B08"/>
    <w:rsid w:val="00ED2B31"/>
    <w:rsid w:val="00ED2BB3"/>
    <w:rsid w:val="00ED2F07"/>
    <w:rsid w:val="00ED2F13"/>
    <w:rsid w:val="00ED2F22"/>
    <w:rsid w:val="00ED2F50"/>
    <w:rsid w:val="00ED2F62"/>
    <w:rsid w:val="00ED2F7D"/>
    <w:rsid w:val="00ED313B"/>
    <w:rsid w:val="00ED31F7"/>
    <w:rsid w:val="00ED3279"/>
    <w:rsid w:val="00ED328D"/>
    <w:rsid w:val="00ED32CA"/>
    <w:rsid w:val="00ED3466"/>
    <w:rsid w:val="00ED3590"/>
    <w:rsid w:val="00ED35B6"/>
    <w:rsid w:val="00ED3657"/>
    <w:rsid w:val="00ED366C"/>
    <w:rsid w:val="00ED3694"/>
    <w:rsid w:val="00ED36E0"/>
    <w:rsid w:val="00ED3867"/>
    <w:rsid w:val="00ED3877"/>
    <w:rsid w:val="00ED3A12"/>
    <w:rsid w:val="00ED3B3D"/>
    <w:rsid w:val="00ED3BA0"/>
    <w:rsid w:val="00ED3BFC"/>
    <w:rsid w:val="00ED3C9D"/>
    <w:rsid w:val="00ED3D23"/>
    <w:rsid w:val="00ED3DFA"/>
    <w:rsid w:val="00ED3E5A"/>
    <w:rsid w:val="00ED3EE4"/>
    <w:rsid w:val="00ED3F05"/>
    <w:rsid w:val="00ED3FD8"/>
    <w:rsid w:val="00ED4388"/>
    <w:rsid w:val="00ED43E9"/>
    <w:rsid w:val="00ED44E0"/>
    <w:rsid w:val="00ED459D"/>
    <w:rsid w:val="00ED45F0"/>
    <w:rsid w:val="00ED460F"/>
    <w:rsid w:val="00ED471F"/>
    <w:rsid w:val="00ED4765"/>
    <w:rsid w:val="00ED4772"/>
    <w:rsid w:val="00ED4988"/>
    <w:rsid w:val="00ED49E0"/>
    <w:rsid w:val="00ED4A03"/>
    <w:rsid w:val="00ED4B4B"/>
    <w:rsid w:val="00ED4CB9"/>
    <w:rsid w:val="00ED4D4D"/>
    <w:rsid w:val="00ED4D72"/>
    <w:rsid w:val="00ED4FF8"/>
    <w:rsid w:val="00ED5520"/>
    <w:rsid w:val="00ED560A"/>
    <w:rsid w:val="00ED566E"/>
    <w:rsid w:val="00ED5683"/>
    <w:rsid w:val="00ED56C1"/>
    <w:rsid w:val="00ED5734"/>
    <w:rsid w:val="00ED574A"/>
    <w:rsid w:val="00ED5765"/>
    <w:rsid w:val="00ED586E"/>
    <w:rsid w:val="00ED5904"/>
    <w:rsid w:val="00ED5AE8"/>
    <w:rsid w:val="00ED5B25"/>
    <w:rsid w:val="00ED5D38"/>
    <w:rsid w:val="00ED5E9A"/>
    <w:rsid w:val="00ED5F6A"/>
    <w:rsid w:val="00ED6078"/>
    <w:rsid w:val="00ED624F"/>
    <w:rsid w:val="00ED643D"/>
    <w:rsid w:val="00ED6556"/>
    <w:rsid w:val="00ED67CE"/>
    <w:rsid w:val="00ED6884"/>
    <w:rsid w:val="00ED6999"/>
    <w:rsid w:val="00ED6B32"/>
    <w:rsid w:val="00ED6B7A"/>
    <w:rsid w:val="00ED6CC3"/>
    <w:rsid w:val="00ED6D50"/>
    <w:rsid w:val="00ED6DB4"/>
    <w:rsid w:val="00ED6DD2"/>
    <w:rsid w:val="00ED6FE1"/>
    <w:rsid w:val="00ED700B"/>
    <w:rsid w:val="00ED71F8"/>
    <w:rsid w:val="00ED7382"/>
    <w:rsid w:val="00ED742B"/>
    <w:rsid w:val="00ED74AE"/>
    <w:rsid w:val="00ED74D8"/>
    <w:rsid w:val="00ED7617"/>
    <w:rsid w:val="00ED76BF"/>
    <w:rsid w:val="00ED7777"/>
    <w:rsid w:val="00ED79D6"/>
    <w:rsid w:val="00ED7ABA"/>
    <w:rsid w:val="00ED7C05"/>
    <w:rsid w:val="00ED7E40"/>
    <w:rsid w:val="00ED7EB7"/>
    <w:rsid w:val="00ED7F04"/>
    <w:rsid w:val="00ED7FA6"/>
    <w:rsid w:val="00EE0095"/>
    <w:rsid w:val="00EE009C"/>
    <w:rsid w:val="00EE01A8"/>
    <w:rsid w:val="00EE020E"/>
    <w:rsid w:val="00EE0434"/>
    <w:rsid w:val="00EE051E"/>
    <w:rsid w:val="00EE05D6"/>
    <w:rsid w:val="00EE067C"/>
    <w:rsid w:val="00EE06C8"/>
    <w:rsid w:val="00EE082F"/>
    <w:rsid w:val="00EE08C3"/>
    <w:rsid w:val="00EE097B"/>
    <w:rsid w:val="00EE0997"/>
    <w:rsid w:val="00EE0A01"/>
    <w:rsid w:val="00EE0BB8"/>
    <w:rsid w:val="00EE0C63"/>
    <w:rsid w:val="00EE0D65"/>
    <w:rsid w:val="00EE0E1B"/>
    <w:rsid w:val="00EE0EE2"/>
    <w:rsid w:val="00EE0EF2"/>
    <w:rsid w:val="00EE0F1C"/>
    <w:rsid w:val="00EE1028"/>
    <w:rsid w:val="00EE10A4"/>
    <w:rsid w:val="00EE10CE"/>
    <w:rsid w:val="00EE112A"/>
    <w:rsid w:val="00EE1221"/>
    <w:rsid w:val="00EE1280"/>
    <w:rsid w:val="00EE12C3"/>
    <w:rsid w:val="00EE132D"/>
    <w:rsid w:val="00EE146A"/>
    <w:rsid w:val="00EE15F7"/>
    <w:rsid w:val="00EE161C"/>
    <w:rsid w:val="00EE16BD"/>
    <w:rsid w:val="00EE180E"/>
    <w:rsid w:val="00EE1901"/>
    <w:rsid w:val="00EE191B"/>
    <w:rsid w:val="00EE1940"/>
    <w:rsid w:val="00EE194D"/>
    <w:rsid w:val="00EE194F"/>
    <w:rsid w:val="00EE19B7"/>
    <w:rsid w:val="00EE1B55"/>
    <w:rsid w:val="00EE1C49"/>
    <w:rsid w:val="00EE1C95"/>
    <w:rsid w:val="00EE1D1C"/>
    <w:rsid w:val="00EE1E64"/>
    <w:rsid w:val="00EE1E91"/>
    <w:rsid w:val="00EE1F06"/>
    <w:rsid w:val="00EE1FF5"/>
    <w:rsid w:val="00EE2080"/>
    <w:rsid w:val="00EE2376"/>
    <w:rsid w:val="00EE23C2"/>
    <w:rsid w:val="00EE2410"/>
    <w:rsid w:val="00EE24D2"/>
    <w:rsid w:val="00EE2527"/>
    <w:rsid w:val="00EE25D7"/>
    <w:rsid w:val="00EE2706"/>
    <w:rsid w:val="00EE2724"/>
    <w:rsid w:val="00EE27DB"/>
    <w:rsid w:val="00EE280C"/>
    <w:rsid w:val="00EE2923"/>
    <w:rsid w:val="00EE2927"/>
    <w:rsid w:val="00EE297A"/>
    <w:rsid w:val="00EE2AC1"/>
    <w:rsid w:val="00EE2C82"/>
    <w:rsid w:val="00EE2E63"/>
    <w:rsid w:val="00EE2ECB"/>
    <w:rsid w:val="00EE30C3"/>
    <w:rsid w:val="00EE30D0"/>
    <w:rsid w:val="00EE3170"/>
    <w:rsid w:val="00EE317F"/>
    <w:rsid w:val="00EE31AA"/>
    <w:rsid w:val="00EE3371"/>
    <w:rsid w:val="00EE33F1"/>
    <w:rsid w:val="00EE3626"/>
    <w:rsid w:val="00EE39A7"/>
    <w:rsid w:val="00EE39AA"/>
    <w:rsid w:val="00EE39B7"/>
    <w:rsid w:val="00EE39C4"/>
    <w:rsid w:val="00EE3A26"/>
    <w:rsid w:val="00EE3A36"/>
    <w:rsid w:val="00EE3AB4"/>
    <w:rsid w:val="00EE3AD7"/>
    <w:rsid w:val="00EE3B33"/>
    <w:rsid w:val="00EE3BB2"/>
    <w:rsid w:val="00EE3CC8"/>
    <w:rsid w:val="00EE3D52"/>
    <w:rsid w:val="00EE3E08"/>
    <w:rsid w:val="00EE3F30"/>
    <w:rsid w:val="00EE4027"/>
    <w:rsid w:val="00EE4073"/>
    <w:rsid w:val="00EE41C0"/>
    <w:rsid w:val="00EE4348"/>
    <w:rsid w:val="00EE442C"/>
    <w:rsid w:val="00EE4458"/>
    <w:rsid w:val="00EE4561"/>
    <w:rsid w:val="00EE458D"/>
    <w:rsid w:val="00EE458F"/>
    <w:rsid w:val="00EE4666"/>
    <w:rsid w:val="00EE4705"/>
    <w:rsid w:val="00EE486E"/>
    <w:rsid w:val="00EE487A"/>
    <w:rsid w:val="00EE48E2"/>
    <w:rsid w:val="00EE4AE8"/>
    <w:rsid w:val="00EE4C9C"/>
    <w:rsid w:val="00EE4CF0"/>
    <w:rsid w:val="00EE4D3A"/>
    <w:rsid w:val="00EE4D49"/>
    <w:rsid w:val="00EE4FD9"/>
    <w:rsid w:val="00EE5038"/>
    <w:rsid w:val="00EE5071"/>
    <w:rsid w:val="00EE509D"/>
    <w:rsid w:val="00EE51D7"/>
    <w:rsid w:val="00EE51EC"/>
    <w:rsid w:val="00EE5314"/>
    <w:rsid w:val="00EE53E6"/>
    <w:rsid w:val="00EE5421"/>
    <w:rsid w:val="00EE54C4"/>
    <w:rsid w:val="00EE54DD"/>
    <w:rsid w:val="00EE5591"/>
    <w:rsid w:val="00EE55B1"/>
    <w:rsid w:val="00EE563B"/>
    <w:rsid w:val="00EE5652"/>
    <w:rsid w:val="00EE56F7"/>
    <w:rsid w:val="00EE595E"/>
    <w:rsid w:val="00EE59BD"/>
    <w:rsid w:val="00EE5A49"/>
    <w:rsid w:val="00EE5A96"/>
    <w:rsid w:val="00EE5A9E"/>
    <w:rsid w:val="00EE5AEF"/>
    <w:rsid w:val="00EE5BC4"/>
    <w:rsid w:val="00EE5BF6"/>
    <w:rsid w:val="00EE5D63"/>
    <w:rsid w:val="00EE5E44"/>
    <w:rsid w:val="00EE5EE1"/>
    <w:rsid w:val="00EE5F43"/>
    <w:rsid w:val="00EE5F93"/>
    <w:rsid w:val="00EE6032"/>
    <w:rsid w:val="00EE6044"/>
    <w:rsid w:val="00EE6053"/>
    <w:rsid w:val="00EE6084"/>
    <w:rsid w:val="00EE6272"/>
    <w:rsid w:val="00EE62C7"/>
    <w:rsid w:val="00EE638A"/>
    <w:rsid w:val="00EE64D7"/>
    <w:rsid w:val="00EE6537"/>
    <w:rsid w:val="00EE6564"/>
    <w:rsid w:val="00EE65AE"/>
    <w:rsid w:val="00EE661E"/>
    <w:rsid w:val="00EE6929"/>
    <w:rsid w:val="00EE69AE"/>
    <w:rsid w:val="00EE69B8"/>
    <w:rsid w:val="00EE69F6"/>
    <w:rsid w:val="00EE6AD0"/>
    <w:rsid w:val="00EE6BA1"/>
    <w:rsid w:val="00EE6C8A"/>
    <w:rsid w:val="00EE6F80"/>
    <w:rsid w:val="00EE6F8F"/>
    <w:rsid w:val="00EE6F94"/>
    <w:rsid w:val="00EE70A8"/>
    <w:rsid w:val="00EE7200"/>
    <w:rsid w:val="00EE72D7"/>
    <w:rsid w:val="00EE737E"/>
    <w:rsid w:val="00EE73A7"/>
    <w:rsid w:val="00EE756E"/>
    <w:rsid w:val="00EE75CC"/>
    <w:rsid w:val="00EE75D6"/>
    <w:rsid w:val="00EE7663"/>
    <w:rsid w:val="00EE76B6"/>
    <w:rsid w:val="00EE7770"/>
    <w:rsid w:val="00EE781E"/>
    <w:rsid w:val="00EE7881"/>
    <w:rsid w:val="00EE78BA"/>
    <w:rsid w:val="00EE78E0"/>
    <w:rsid w:val="00EE7905"/>
    <w:rsid w:val="00EE792D"/>
    <w:rsid w:val="00EE7B40"/>
    <w:rsid w:val="00EE7C25"/>
    <w:rsid w:val="00EE7D0B"/>
    <w:rsid w:val="00EE7D3C"/>
    <w:rsid w:val="00EE7D71"/>
    <w:rsid w:val="00EE7E0E"/>
    <w:rsid w:val="00EE7E8A"/>
    <w:rsid w:val="00EE7EEF"/>
    <w:rsid w:val="00EF017C"/>
    <w:rsid w:val="00EF01A1"/>
    <w:rsid w:val="00EF0234"/>
    <w:rsid w:val="00EF0289"/>
    <w:rsid w:val="00EF030D"/>
    <w:rsid w:val="00EF0326"/>
    <w:rsid w:val="00EF03A4"/>
    <w:rsid w:val="00EF03A5"/>
    <w:rsid w:val="00EF03DF"/>
    <w:rsid w:val="00EF04A4"/>
    <w:rsid w:val="00EF066A"/>
    <w:rsid w:val="00EF0B7F"/>
    <w:rsid w:val="00EF0BD1"/>
    <w:rsid w:val="00EF0D3F"/>
    <w:rsid w:val="00EF0E28"/>
    <w:rsid w:val="00EF0E43"/>
    <w:rsid w:val="00EF0E71"/>
    <w:rsid w:val="00EF0EC7"/>
    <w:rsid w:val="00EF0F02"/>
    <w:rsid w:val="00EF0FE1"/>
    <w:rsid w:val="00EF11A4"/>
    <w:rsid w:val="00EF126E"/>
    <w:rsid w:val="00EF134B"/>
    <w:rsid w:val="00EF142A"/>
    <w:rsid w:val="00EF15C6"/>
    <w:rsid w:val="00EF1701"/>
    <w:rsid w:val="00EF179D"/>
    <w:rsid w:val="00EF1815"/>
    <w:rsid w:val="00EF1966"/>
    <w:rsid w:val="00EF1975"/>
    <w:rsid w:val="00EF1AA2"/>
    <w:rsid w:val="00EF1B87"/>
    <w:rsid w:val="00EF1BCC"/>
    <w:rsid w:val="00EF2146"/>
    <w:rsid w:val="00EF2294"/>
    <w:rsid w:val="00EF2544"/>
    <w:rsid w:val="00EF262E"/>
    <w:rsid w:val="00EF2773"/>
    <w:rsid w:val="00EF27EE"/>
    <w:rsid w:val="00EF288B"/>
    <w:rsid w:val="00EF2914"/>
    <w:rsid w:val="00EF2A1E"/>
    <w:rsid w:val="00EF2AA9"/>
    <w:rsid w:val="00EF2B2D"/>
    <w:rsid w:val="00EF2D3A"/>
    <w:rsid w:val="00EF30A3"/>
    <w:rsid w:val="00EF315F"/>
    <w:rsid w:val="00EF316C"/>
    <w:rsid w:val="00EF32C9"/>
    <w:rsid w:val="00EF3314"/>
    <w:rsid w:val="00EF3334"/>
    <w:rsid w:val="00EF349B"/>
    <w:rsid w:val="00EF34AB"/>
    <w:rsid w:val="00EF3602"/>
    <w:rsid w:val="00EF37CC"/>
    <w:rsid w:val="00EF3B20"/>
    <w:rsid w:val="00EF3B5B"/>
    <w:rsid w:val="00EF3BBC"/>
    <w:rsid w:val="00EF3BD5"/>
    <w:rsid w:val="00EF3D41"/>
    <w:rsid w:val="00EF3EBA"/>
    <w:rsid w:val="00EF3EDA"/>
    <w:rsid w:val="00EF3EDE"/>
    <w:rsid w:val="00EF3F2A"/>
    <w:rsid w:val="00EF3FD8"/>
    <w:rsid w:val="00EF41E1"/>
    <w:rsid w:val="00EF436C"/>
    <w:rsid w:val="00EF43B3"/>
    <w:rsid w:val="00EF4479"/>
    <w:rsid w:val="00EF44CE"/>
    <w:rsid w:val="00EF45FE"/>
    <w:rsid w:val="00EF47CE"/>
    <w:rsid w:val="00EF47D6"/>
    <w:rsid w:val="00EF483B"/>
    <w:rsid w:val="00EF487D"/>
    <w:rsid w:val="00EF4AAB"/>
    <w:rsid w:val="00EF5052"/>
    <w:rsid w:val="00EF5082"/>
    <w:rsid w:val="00EF50B1"/>
    <w:rsid w:val="00EF5202"/>
    <w:rsid w:val="00EF5215"/>
    <w:rsid w:val="00EF5229"/>
    <w:rsid w:val="00EF5260"/>
    <w:rsid w:val="00EF529A"/>
    <w:rsid w:val="00EF544D"/>
    <w:rsid w:val="00EF5457"/>
    <w:rsid w:val="00EF54B1"/>
    <w:rsid w:val="00EF551D"/>
    <w:rsid w:val="00EF5527"/>
    <w:rsid w:val="00EF5570"/>
    <w:rsid w:val="00EF5688"/>
    <w:rsid w:val="00EF56A9"/>
    <w:rsid w:val="00EF56DB"/>
    <w:rsid w:val="00EF56E0"/>
    <w:rsid w:val="00EF5700"/>
    <w:rsid w:val="00EF588F"/>
    <w:rsid w:val="00EF590F"/>
    <w:rsid w:val="00EF5982"/>
    <w:rsid w:val="00EF5ACB"/>
    <w:rsid w:val="00EF5C81"/>
    <w:rsid w:val="00EF5D45"/>
    <w:rsid w:val="00EF5D6B"/>
    <w:rsid w:val="00EF5E63"/>
    <w:rsid w:val="00EF60BA"/>
    <w:rsid w:val="00EF60D1"/>
    <w:rsid w:val="00EF6166"/>
    <w:rsid w:val="00EF62EF"/>
    <w:rsid w:val="00EF6368"/>
    <w:rsid w:val="00EF6430"/>
    <w:rsid w:val="00EF6477"/>
    <w:rsid w:val="00EF647A"/>
    <w:rsid w:val="00EF64A0"/>
    <w:rsid w:val="00EF6592"/>
    <w:rsid w:val="00EF65C6"/>
    <w:rsid w:val="00EF66A1"/>
    <w:rsid w:val="00EF6749"/>
    <w:rsid w:val="00EF68C0"/>
    <w:rsid w:val="00EF6969"/>
    <w:rsid w:val="00EF6AA7"/>
    <w:rsid w:val="00EF6B46"/>
    <w:rsid w:val="00EF6B48"/>
    <w:rsid w:val="00EF6B93"/>
    <w:rsid w:val="00EF6B9B"/>
    <w:rsid w:val="00EF6C90"/>
    <w:rsid w:val="00EF6D8A"/>
    <w:rsid w:val="00EF6F52"/>
    <w:rsid w:val="00EF70AC"/>
    <w:rsid w:val="00EF7275"/>
    <w:rsid w:val="00EF72A5"/>
    <w:rsid w:val="00EF7393"/>
    <w:rsid w:val="00EF73A1"/>
    <w:rsid w:val="00EF7601"/>
    <w:rsid w:val="00EF7687"/>
    <w:rsid w:val="00EF787E"/>
    <w:rsid w:val="00EF7A2A"/>
    <w:rsid w:val="00EF7CC1"/>
    <w:rsid w:val="00EF7D54"/>
    <w:rsid w:val="00F000CE"/>
    <w:rsid w:val="00F000DF"/>
    <w:rsid w:val="00F00114"/>
    <w:rsid w:val="00F002A5"/>
    <w:rsid w:val="00F002BD"/>
    <w:rsid w:val="00F004F9"/>
    <w:rsid w:val="00F0054B"/>
    <w:rsid w:val="00F0054D"/>
    <w:rsid w:val="00F005C8"/>
    <w:rsid w:val="00F005F3"/>
    <w:rsid w:val="00F005FD"/>
    <w:rsid w:val="00F0062C"/>
    <w:rsid w:val="00F00721"/>
    <w:rsid w:val="00F0086D"/>
    <w:rsid w:val="00F00925"/>
    <w:rsid w:val="00F0094E"/>
    <w:rsid w:val="00F00B86"/>
    <w:rsid w:val="00F00BD0"/>
    <w:rsid w:val="00F00CAD"/>
    <w:rsid w:val="00F00CF4"/>
    <w:rsid w:val="00F00F50"/>
    <w:rsid w:val="00F00FD5"/>
    <w:rsid w:val="00F010A2"/>
    <w:rsid w:val="00F01678"/>
    <w:rsid w:val="00F017FF"/>
    <w:rsid w:val="00F01938"/>
    <w:rsid w:val="00F01A79"/>
    <w:rsid w:val="00F01B5B"/>
    <w:rsid w:val="00F01BF2"/>
    <w:rsid w:val="00F01C90"/>
    <w:rsid w:val="00F01D24"/>
    <w:rsid w:val="00F01D62"/>
    <w:rsid w:val="00F01D6E"/>
    <w:rsid w:val="00F01EDB"/>
    <w:rsid w:val="00F01F3F"/>
    <w:rsid w:val="00F01FE6"/>
    <w:rsid w:val="00F02065"/>
    <w:rsid w:val="00F020AC"/>
    <w:rsid w:val="00F020C4"/>
    <w:rsid w:val="00F020CF"/>
    <w:rsid w:val="00F0245A"/>
    <w:rsid w:val="00F02610"/>
    <w:rsid w:val="00F026C1"/>
    <w:rsid w:val="00F028FD"/>
    <w:rsid w:val="00F0297F"/>
    <w:rsid w:val="00F02A74"/>
    <w:rsid w:val="00F02C55"/>
    <w:rsid w:val="00F02C98"/>
    <w:rsid w:val="00F02C9F"/>
    <w:rsid w:val="00F02D91"/>
    <w:rsid w:val="00F02D9E"/>
    <w:rsid w:val="00F02DA6"/>
    <w:rsid w:val="00F02E0A"/>
    <w:rsid w:val="00F02F1C"/>
    <w:rsid w:val="00F0325D"/>
    <w:rsid w:val="00F03375"/>
    <w:rsid w:val="00F03454"/>
    <w:rsid w:val="00F035D8"/>
    <w:rsid w:val="00F0374B"/>
    <w:rsid w:val="00F03893"/>
    <w:rsid w:val="00F038D3"/>
    <w:rsid w:val="00F0393C"/>
    <w:rsid w:val="00F03958"/>
    <w:rsid w:val="00F039B2"/>
    <w:rsid w:val="00F03B4D"/>
    <w:rsid w:val="00F03B84"/>
    <w:rsid w:val="00F03BEC"/>
    <w:rsid w:val="00F03BF1"/>
    <w:rsid w:val="00F03C18"/>
    <w:rsid w:val="00F03C76"/>
    <w:rsid w:val="00F03E03"/>
    <w:rsid w:val="00F03F6E"/>
    <w:rsid w:val="00F03F9F"/>
    <w:rsid w:val="00F03FD2"/>
    <w:rsid w:val="00F03FED"/>
    <w:rsid w:val="00F04004"/>
    <w:rsid w:val="00F041C4"/>
    <w:rsid w:val="00F041ED"/>
    <w:rsid w:val="00F042E9"/>
    <w:rsid w:val="00F043C7"/>
    <w:rsid w:val="00F044B6"/>
    <w:rsid w:val="00F045E3"/>
    <w:rsid w:val="00F04692"/>
    <w:rsid w:val="00F047DB"/>
    <w:rsid w:val="00F04815"/>
    <w:rsid w:val="00F0483C"/>
    <w:rsid w:val="00F048F8"/>
    <w:rsid w:val="00F04927"/>
    <w:rsid w:val="00F04A25"/>
    <w:rsid w:val="00F04A7A"/>
    <w:rsid w:val="00F04BD9"/>
    <w:rsid w:val="00F04C81"/>
    <w:rsid w:val="00F04D3E"/>
    <w:rsid w:val="00F04E11"/>
    <w:rsid w:val="00F04F5B"/>
    <w:rsid w:val="00F04F7D"/>
    <w:rsid w:val="00F04F84"/>
    <w:rsid w:val="00F04FEC"/>
    <w:rsid w:val="00F050EC"/>
    <w:rsid w:val="00F051D9"/>
    <w:rsid w:val="00F05219"/>
    <w:rsid w:val="00F0528F"/>
    <w:rsid w:val="00F05320"/>
    <w:rsid w:val="00F05504"/>
    <w:rsid w:val="00F05531"/>
    <w:rsid w:val="00F055F3"/>
    <w:rsid w:val="00F0580F"/>
    <w:rsid w:val="00F05820"/>
    <w:rsid w:val="00F058B8"/>
    <w:rsid w:val="00F05943"/>
    <w:rsid w:val="00F0595D"/>
    <w:rsid w:val="00F0596E"/>
    <w:rsid w:val="00F05A2C"/>
    <w:rsid w:val="00F05A92"/>
    <w:rsid w:val="00F05B1F"/>
    <w:rsid w:val="00F05B4D"/>
    <w:rsid w:val="00F05BC7"/>
    <w:rsid w:val="00F05CEB"/>
    <w:rsid w:val="00F05E9B"/>
    <w:rsid w:val="00F05FCC"/>
    <w:rsid w:val="00F06062"/>
    <w:rsid w:val="00F060A8"/>
    <w:rsid w:val="00F06162"/>
    <w:rsid w:val="00F06187"/>
    <w:rsid w:val="00F062CE"/>
    <w:rsid w:val="00F0647C"/>
    <w:rsid w:val="00F06487"/>
    <w:rsid w:val="00F0650C"/>
    <w:rsid w:val="00F06596"/>
    <w:rsid w:val="00F065B6"/>
    <w:rsid w:val="00F06667"/>
    <w:rsid w:val="00F06679"/>
    <w:rsid w:val="00F066F4"/>
    <w:rsid w:val="00F06742"/>
    <w:rsid w:val="00F0679E"/>
    <w:rsid w:val="00F067CF"/>
    <w:rsid w:val="00F06883"/>
    <w:rsid w:val="00F06957"/>
    <w:rsid w:val="00F06D16"/>
    <w:rsid w:val="00F06D2D"/>
    <w:rsid w:val="00F06D67"/>
    <w:rsid w:val="00F06DC1"/>
    <w:rsid w:val="00F06E2A"/>
    <w:rsid w:val="00F06FA7"/>
    <w:rsid w:val="00F06FF7"/>
    <w:rsid w:val="00F0717C"/>
    <w:rsid w:val="00F071BA"/>
    <w:rsid w:val="00F071FB"/>
    <w:rsid w:val="00F0729E"/>
    <w:rsid w:val="00F073F2"/>
    <w:rsid w:val="00F07555"/>
    <w:rsid w:val="00F0758D"/>
    <w:rsid w:val="00F076DE"/>
    <w:rsid w:val="00F07906"/>
    <w:rsid w:val="00F079A9"/>
    <w:rsid w:val="00F079DF"/>
    <w:rsid w:val="00F07E12"/>
    <w:rsid w:val="00F07E2C"/>
    <w:rsid w:val="00F07E47"/>
    <w:rsid w:val="00F07E74"/>
    <w:rsid w:val="00F07F3B"/>
    <w:rsid w:val="00F10046"/>
    <w:rsid w:val="00F10054"/>
    <w:rsid w:val="00F10122"/>
    <w:rsid w:val="00F10157"/>
    <w:rsid w:val="00F101EC"/>
    <w:rsid w:val="00F102B4"/>
    <w:rsid w:val="00F10481"/>
    <w:rsid w:val="00F1069E"/>
    <w:rsid w:val="00F10921"/>
    <w:rsid w:val="00F10946"/>
    <w:rsid w:val="00F10BDD"/>
    <w:rsid w:val="00F10C15"/>
    <w:rsid w:val="00F10D3C"/>
    <w:rsid w:val="00F10E86"/>
    <w:rsid w:val="00F10F1C"/>
    <w:rsid w:val="00F10FC1"/>
    <w:rsid w:val="00F111A5"/>
    <w:rsid w:val="00F1127A"/>
    <w:rsid w:val="00F11284"/>
    <w:rsid w:val="00F11295"/>
    <w:rsid w:val="00F112BA"/>
    <w:rsid w:val="00F11400"/>
    <w:rsid w:val="00F11555"/>
    <w:rsid w:val="00F1159E"/>
    <w:rsid w:val="00F115F0"/>
    <w:rsid w:val="00F1170E"/>
    <w:rsid w:val="00F118B2"/>
    <w:rsid w:val="00F11955"/>
    <w:rsid w:val="00F11A65"/>
    <w:rsid w:val="00F11AED"/>
    <w:rsid w:val="00F11C48"/>
    <w:rsid w:val="00F11C99"/>
    <w:rsid w:val="00F11D3F"/>
    <w:rsid w:val="00F11E0A"/>
    <w:rsid w:val="00F11EE5"/>
    <w:rsid w:val="00F11FA2"/>
    <w:rsid w:val="00F1201B"/>
    <w:rsid w:val="00F121EF"/>
    <w:rsid w:val="00F12221"/>
    <w:rsid w:val="00F125E5"/>
    <w:rsid w:val="00F12603"/>
    <w:rsid w:val="00F12683"/>
    <w:rsid w:val="00F126C5"/>
    <w:rsid w:val="00F12752"/>
    <w:rsid w:val="00F128B0"/>
    <w:rsid w:val="00F129A4"/>
    <w:rsid w:val="00F12C29"/>
    <w:rsid w:val="00F12DED"/>
    <w:rsid w:val="00F12E03"/>
    <w:rsid w:val="00F12F40"/>
    <w:rsid w:val="00F131A9"/>
    <w:rsid w:val="00F131F8"/>
    <w:rsid w:val="00F13463"/>
    <w:rsid w:val="00F135F4"/>
    <w:rsid w:val="00F1362B"/>
    <w:rsid w:val="00F139B8"/>
    <w:rsid w:val="00F13A72"/>
    <w:rsid w:val="00F13B64"/>
    <w:rsid w:val="00F13C58"/>
    <w:rsid w:val="00F13C93"/>
    <w:rsid w:val="00F13EBA"/>
    <w:rsid w:val="00F13FD8"/>
    <w:rsid w:val="00F14018"/>
    <w:rsid w:val="00F14373"/>
    <w:rsid w:val="00F143EA"/>
    <w:rsid w:val="00F14437"/>
    <w:rsid w:val="00F144CE"/>
    <w:rsid w:val="00F144E2"/>
    <w:rsid w:val="00F146ED"/>
    <w:rsid w:val="00F1470A"/>
    <w:rsid w:val="00F14937"/>
    <w:rsid w:val="00F14C82"/>
    <w:rsid w:val="00F14C8F"/>
    <w:rsid w:val="00F14D78"/>
    <w:rsid w:val="00F14F6B"/>
    <w:rsid w:val="00F14F83"/>
    <w:rsid w:val="00F14FBE"/>
    <w:rsid w:val="00F15019"/>
    <w:rsid w:val="00F1503C"/>
    <w:rsid w:val="00F1503F"/>
    <w:rsid w:val="00F15175"/>
    <w:rsid w:val="00F1524D"/>
    <w:rsid w:val="00F15342"/>
    <w:rsid w:val="00F15361"/>
    <w:rsid w:val="00F153C8"/>
    <w:rsid w:val="00F153DC"/>
    <w:rsid w:val="00F154C1"/>
    <w:rsid w:val="00F15547"/>
    <w:rsid w:val="00F1555D"/>
    <w:rsid w:val="00F155C2"/>
    <w:rsid w:val="00F155CC"/>
    <w:rsid w:val="00F1562D"/>
    <w:rsid w:val="00F1573D"/>
    <w:rsid w:val="00F157BA"/>
    <w:rsid w:val="00F157D6"/>
    <w:rsid w:val="00F1584D"/>
    <w:rsid w:val="00F1590B"/>
    <w:rsid w:val="00F159B7"/>
    <w:rsid w:val="00F15AC9"/>
    <w:rsid w:val="00F15AE4"/>
    <w:rsid w:val="00F15B3E"/>
    <w:rsid w:val="00F15B5E"/>
    <w:rsid w:val="00F15B9A"/>
    <w:rsid w:val="00F15C00"/>
    <w:rsid w:val="00F15C8C"/>
    <w:rsid w:val="00F15D05"/>
    <w:rsid w:val="00F15DDE"/>
    <w:rsid w:val="00F15FE5"/>
    <w:rsid w:val="00F161A3"/>
    <w:rsid w:val="00F163F1"/>
    <w:rsid w:val="00F164CD"/>
    <w:rsid w:val="00F16762"/>
    <w:rsid w:val="00F168BC"/>
    <w:rsid w:val="00F168BF"/>
    <w:rsid w:val="00F1691F"/>
    <w:rsid w:val="00F16A82"/>
    <w:rsid w:val="00F16B52"/>
    <w:rsid w:val="00F16B9A"/>
    <w:rsid w:val="00F16D27"/>
    <w:rsid w:val="00F16DD4"/>
    <w:rsid w:val="00F16EE6"/>
    <w:rsid w:val="00F16F23"/>
    <w:rsid w:val="00F1707A"/>
    <w:rsid w:val="00F172DA"/>
    <w:rsid w:val="00F1757B"/>
    <w:rsid w:val="00F1768D"/>
    <w:rsid w:val="00F17980"/>
    <w:rsid w:val="00F17AB9"/>
    <w:rsid w:val="00F17BBB"/>
    <w:rsid w:val="00F17DF4"/>
    <w:rsid w:val="00F17DF8"/>
    <w:rsid w:val="00F17E41"/>
    <w:rsid w:val="00F17ED9"/>
    <w:rsid w:val="00F20085"/>
    <w:rsid w:val="00F200C2"/>
    <w:rsid w:val="00F20105"/>
    <w:rsid w:val="00F20249"/>
    <w:rsid w:val="00F202BA"/>
    <w:rsid w:val="00F20378"/>
    <w:rsid w:val="00F20449"/>
    <w:rsid w:val="00F205DD"/>
    <w:rsid w:val="00F206B8"/>
    <w:rsid w:val="00F209B7"/>
    <w:rsid w:val="00F20A40"/>
    <w:rsid w:val="00F20B26"/>
    <w:rsid w:val="00F20C31"/>
    <w:rsid w:val="00F20CBF"/>
    <w:rsid w:val="00F20D07"/>
    <w:rsid w:val="00F20E71"/>
    <w:rsid w:val="00F20F45"/>
    <w:rsid w:val="00F210DD"/>
    <w:rsid w:val="00F2133F"/>
    <w:rsid w:val="00F2136C"/>
    <w:rsid w:val="00F21375"/>
    <w:rsid w:val="00F2147A"/>
    <w:rsid w:val="00F214C6"/>
    <w:rsid w:val="00F21720"/>
    <w:rsid w:val="00F2172B"/>
    <w:rsid w:val="00F217B4"/>
    <w:rsid w:val="00F21980"/>
    <w:rsid w:val="00F21A22"/>
    <w:rsid w:val="00F21B43"/>
    <w:rsid w:val="00F21B73"/>
    <w:rsid w:val="00F21DCB"/>
    <w:rsid w:val="00F21E07"/>
    <w:rsid w:val="00F21E4D"/>
    <w:rsid w:val="00F21FE2"/>
    <w:rsid w:val="00F2260B"/>
    <w:rsid w:val="00F22639"/>
    <w:rsid w:val="00F226F3"/>
    <w:rsid w:val="00F2277A"/>
    <w:rsid w:val="00F22C6C"/>
    <w:rsid w:val="00F22CC5"/>
    <w:rsid w:val="00F22D0B"/>
    <w:rsid w:val="00F22F8C"/>
    <w:rsid w:val="00F2306A"/>
    <w:rsid w:val="00F23087"/>
    <w:rsid w:val="00F230CD"/>
    <w:rsid w:val="00F23154"/>
    <w:rsid w:val="00F2318F"/>
    <w:rsid w:val="00F2321B"/>
    <w:rsid w:val="00F232D3"/>
    <w:rsid w:val="00F233BE"/>
    <w:rsid w:val="00F233C6"/>
    <w:rsid w:val="00F23755"/>
    <w:rsid w:val="00F237B7"/>
    <w:rsid w:val="00F23AC3"/>
    <w:rsid w:val="00F23B9C"/>
    <w:rsid w:val="00F23D75"/>
    <w:rsid w:val="00F23E8D"/>
    <w:rsid w:val="00F2418D"/>
    <w:rsid w:val="00F24355"/>
    <w:rsid w:val="00F243E6"/>
    <w:rsid w:val="00F243E7"/>
    <w:rsid w:val="00F24465"/>
    <w:rsid w:val="00F2450A"/>
    <w:rsid w:val="00F24539"/>
    <w:rsid w:val="00F24CE8"/>
    <w:rsid w:val="00F24D18"/>
    <w:rsid w:val="00F24E72"/>
    <w:rsid w:val="00F24E75"/>
    <w:rsid w:val="00F24EC3"/>
    <w:rsid w:val="00F24F4C"/>
    <w:rsid w:val="00F24FBB"/>
    <w:rsid w:val="00F250C0"/>
    <w:rsid w:val="00F251C3"/>
    <w:rsid w:val="00F251EB"/>
    <w:rsid w:val="00F25278"/>
    <w:rsid w:val="00F252B9"/>
    <w:rsid w:val="00F253C6"/>
    <w:rsid w:val="00F2544C"/>
    <w:rsid w:val="00F254B3"/>
    <w:rsid w:val="00F25608"/>
    <w:rsid w:val="00F256DD"/>
    <w:rsid w:val="00F25798"/>
    <w:rsid w:val="00F25836"/>
    <w:rsid w:val="00F258B0"/>
    <w:rsid w:val="00F258C6"/>
    <w:rsid w:val="00F25930"/>
    <w:rsid w:val="00F25A43"/>
    <w:rsid w:val="00F25A80"/>
    <w:rsid w:val="00F25B90"/>
    <w:rsid w:val="00F25C3E"/>
    <w:rsid w:val="00F25D15"/>
    <w:rsid w:val="00F25D23"/>
    <w:rsid w:val="00F25D93"/>
    <w:rsid w:val="00F25D9D"/>
    <w:rsid w:val="00F25DC9"/>
    <w:rsid w:val="00F25DEA"/>
    <w:rsid w:val="00F25E25"/>
    <w:rsid w:val="00F25E5A"/>
    <w:rsid w:val="00F2605A"/>
    <w:rsid w:val="00F26133"/>
    <w:rsid w:val="00F26186"/>
    <w:rsid w:val="00F261AE"/>
    <w:rsid w:val="00F261C4"/>
    <w:rsid w:val="00F262CD"/>
    <w:rsid w:val="00F2630B"/>
    <w:rsid w:val="00F263BF"/>
    <w:rsid w:val="00F26408"/>
    <w:rsid w:val="00F26589"/>
    <w:rsid w:val="00F265E4"/>
    <w:rsid w:val="00F26650"/>
    <w:rsid w:val="00F2670E"/>
    <w:rsid w:val="00F26785"/>
    <w:rsid w:val="00F26821"/>
    <w:rsid w:val="00F26896"/>
    <w:rsid w:val="00F26947"/>
    <w:rsid w:val="00F26A42"/>
    <w:rsid w:val="00F26A69"/>
    <w:rsid w:val="00F26B47"/>
    <w:rsid w:val="00F26B86"/>
    <w:rsid w:val="00F26CF8"/>
    <w:rsid w:val="00F26DE4"/>
    <w:rsid w:val="00F26E34"/>
    <w:rsid w:val="00F26E37"/>
    <w:rsid w:val="00F26F41"/>
    <w:rsid w:val="00F271B5"/>
    <w:rsid w:val="00F27312"/>
    <w:rsid w:val="00F273AD"/>
    <w:rsid w:val="00F2745C"/>
    <w:rsid w:val="00F274D3"/>
    <w:rsid w:val="00F27666"/>
    <w:rsid w:val="00F27759"/>
    <w:rsid w:val="00F2776C"/>
    <w:rsid w:val="00F278ED"/>
    <w:rsid w:val="00F27B11"/>
    <w:rsid w:val="00F27B72"/>
    <w:rsid w:val="00F27BCB"/>
    <w:rsid w:val="00F27BF4"/>
    <w:rsid w:val="00F27E33"/>
    <w:rsid w:val="00F27E43"/>
    <w:rsid w:val="00F27E48"/>
    <w:rsid w:val="00F27E56"/>
    <w:rsid w:val="00F27ECD"/>
    <w:rsid w:val="00F27F90"/>
    <w:rsid w:val="00F30039"/>
    <w:rsid w:val="00F30043"/>
    <w:rsid w:val="00F30046"/>
    <w:rsid w:val="00F30196"/>
    <w:rsid w:val="00F3020C"/>
    <w:rsid w:val="00F3036B"/>
    <w:rsid w:val="00F303BA"/>
    <w:rsid w:val="00F303EC"/>
    <w:rsid w:val="00F3041F"/>
    <w:rsid w:val="00F30582"/>
    <w:rsid w:val="00F3073D"/>
    <w:rsid w:val="00F307C1"/>
    <w:rsid w:val="00F30C3C"/>
    <w:rsid w:val="00F30D12"/>
    <w:rsid w:val="00F3100A"/>
    <w:rsid w:val="00F3107E"/>
    <w:rsid w:val="00F31088"/>
    <w:rsid w:val="00F3118E"/>
    <w:rsid w:val="00F31217"/>
    <w:rsid w:val="00F31330"/>
    <w:rsid w:val="00F3135C"/>
    <w:rsid w:val="00F313BC"/>
    <w:rsid w:val="00F31453"/>
    <w:rsid w:val="00F31463"/>
    <w:rsid w:val="00F3148D"/>
    <w:rsid w:val="00F314FF"/>
    <w:rsid w:val="00F31510"/>
    <w:rsid w:val="00F31555"/>
    <w:rsid w:val="00F3159C"/>
    <w:rsid w:val="00F315BF"/>
    <w:rsid w:val="00F315E4"/>
    <w:rsid w:val="00F3165B"/>
    <w:rsid w:val="00F316B6"/>
    <w:rsid w:val="00F31743"/>
    <w:rsid w:val="00F31762"/>
    <w:rsid w:val="00F3182B"/>
    <w:rsid w:val="00F31888"/>
    <w:rsid w:val="00F318E1"/>
    <w:rsid w:val="00F31A0C"/>
    <w:rsid w:val="00F31A12"/>
    <w:rsid w:val="00F31A7C"/>
    <w:rsid w:val="00F31B27"/>
    <w:rsid w:val="00F31CD7"/>
    <w:rsid w:val="00F31CFA"/>
    <w:rsid w:val="00F31E10"/>
    <w:rsid w:val="00F31FC3"/>
    <w:rsid w:val="00F32099"/>
    <w:rsid w:val="00F320E0"/>
    <w:rsid w:val="00F32249"/>
    <w:rsid w:val="00F32335"/>
    <w:rsid w:val="00F32691"/>
    <w:rsid w:val="00F32719"/>
    <w:rsid w:val="00F32731"/>
    <w:rsid w:val="00F32767"/>
    <w:rsid w:val="00F32796"/>
    <w:rsid w:val="00F3279F"/>
    <w:rsid w:val="00F327DF"/>
    <w:rsid w:val="00F32890"/>
    <w:rsid w:val="00F3298D"/>
    <w:rsid w:val="00F32AAB"/>
    <w:rsid w:val="00F32B2F"/>
    <w:rsid w:val="00F32BCF"/>
    <w:rsid w:val="00F32E21"/>
    <w:rsid w:val="00F32E6B"/>
    <w:rsid w:val="00F32E9F"/>
    <w:rsid w:val="00F32F22"/>
    <w:rsid w:val="00F32FF7"/>
    <w:rsid w:val="00F3315A"/>
    <w:rsid w:val="00F331C6"/>
    <w:rsid w:val="00F3323C"/>
    <w:rsid w:val="00F3323F"/>
    <w:rsid w:val="00F33400"/>
    <w:rsid w:val="00F3346B"/>
    <w:rsid w:val="00F334D1"/>
    <w:rsid w:val="00F33639"/>
    <w:rsid w:val="00F336D4"/>
    <w:rsid w:val="00F337EE"/>
    <w:rsid w:val="00F33901"/>
    <w:rsid w:val="00F33A86"/>
    <w:rsid w:val="00F33B11"/>
    <w:rsid w:val="00F33BD8"/>
    <w:rsid w:val="00F33DC4"/>
    <w:rsid w:val="00F33E43"/>
    <w:rsid w:val="00F33E64"/>
    <w:rsid w:val="00F33EA9"/>
    <w:rsid w:val="00F33F19"/>
    <w:rsid w:val="00F33F43"/>
    <w:rsid w:val="00F33FF9"/>
    <w:rsid w:val="00F34009"/>
    <w:rsid w:val="00F34090"/>
    <w:rsid w:val="00F3414C"/>
    <w:rsid w:val="00F3417D"/>
    <w:rsid w:val="00F3441E"/>
    <w:rsid w:val="00F34462"/>
    <w:rsid w:val="00F34695"/>
    <w:rsid w:val="00F346A5"/>
    <w:rsid w:val="00F347FD"/>
    <w:rsid w:val="00F34861"/>
    <w:rsid w:val="00F34894"/>
    <w:rsid w:val="00F34988"/>
    <w:rsid w:val="00F34AD7"/>
    <w:rsid w:val="00F34CB0"/>
    <w:rsid w:val="00F34DFF"/>
    <w:rsid w:val="00F34EC6"/>
    <w:rsid w:val="00F34FB0"/>
    <w:rsid w:val="00F34FB7"/>
    <w:rsid w:val="00F3501C"/>
    <w:rsid w:val="00F350B4"/>
    <w:rsid w:val="00F35117"/>
    <w:rsid w:val="00F35187"/>
    <w:rsid w:val="00F3518E"/>
    <w:rsid w:val="00F351F1"/>
    <w:rsid w:val="00F3537F"/>
    <w:rsid w:val="00F353B1"/>
    <w:rsid w:val="00F353C4"/>
    <w:rsid w:val="00F35471"/>
    <w:rsid w:val="00F354E3"/>
    <w:rsid w:val="00F35658"/>
    <w:rsid w:val="00F35705"/>
    <w:rsid w:val="00F3590E"/>
    <w:rsid w:val="00F35937"/>
    <w:rsid w:val="00F35AC8"/>
    <w:rsid w:val="00F35BAD"/>
    <w:rsid w:val="00F35C2F"/>
    <w:rsid w:val="00F35C72"/>
    <w:rsid w:val="00F35CB0"/>
    <w:rsid w:val="00F35CF5"/>
    <w:rsid w:val="00F35D8C"/>
    <w:rsid w:val="00F35E35"/>
    <w:rsid w:val="00F360AE"/>
    <w:rsid w:val="00F36282"/>
    <w:rsid w:val="00F362F0"/>
    <w:rsid w:val="00F36324"/>
    <w:rsid w:val="00F363E3"/>
    <w:rsid w:val="00F36461"/>
    <w:rsid w:val="00F36497"/>
    <w:rsid w:val="00F36583"/>
    <w:rsid w:val="00F36596"/>
    <w:rsid w:val="00F365DE"/>
    <w:rsid w:val="00F36708"/>
    <w:rsid w:val="00F3671D"/>
    <w:rsid w:val="00F3682F"/>
    <w:rsid w:val="00F36991"/>
    <w:rsid w:val="00F369BB"/>
    <w:rsid w:val="00F36A4A"/>
    <w:rsid w:val="00F36AF1"/>
    <w:rsid w:val="00F36B37"/>
    <w:rsid w:val="00F36D0D"/>
    <w:rsid w:val="00F36DBC"/>
    <w:rsid w:val="00F36F17"/>
    <w:rsid w:val="00F370A6"/>
    <w:rsid w:val="00F370E5"/>
    <w:rsid w:val="00F37129"/>
    <w:rsid w:val="00F371C5"/>
    <w:rsid w:val="00F3726B"/>
    <w:rsid w:val="00F372F8"/>
    <w:rsid w:val="00F3733B"/>
    <w:rsid w:val="00F37358"/>
    <w:rsid w:val="00F37850"/>
    <w:rsid w:val="00F37900"/>
    <w:rsid w:val="00F379F9"/>
    <w:rsid w:val="00F37A66"/>
    <w:rsid w:val="00F37BCC"/>
    <w:rsid w:val="00F37C1E"/>
    <w:rsid w:val="00F37CAB"/>
    <w:rsid w:val="00F37CAF"/>
    <w:rsid w:val="00F37CB5"/>
    <w:rsid w:val="00F37CF3"/>
    <w:rsid w:val="00F37CFB"/>
    <w:rsid w:val="00F37E90"/>
    <w:rsid w:val="00F40130"/>
    <w:rsid w:val="00F40141"/>
    <w:rsid w:val="00F4019C"/>
    <w:rsid w:val="00F402A5"/>
    <w:rsid w:val="00F402CD"/>
    <w:rsid w:val="00F4042C"/>
    <w:rsid w:val="00F4042D"/>
    <w:rsid w:val="00F4079B"/>
    <w:rsid w:val="00F407EA"/>
    <w:rsid w:val="00F408A5"/>
    <w:rsid w:val="00F408D5"/>
    <w:rsid w:val="00F40941"/>
    <w:rsid w:val="00F40948"/>
    <w:rsid w:val="00F40985"/>
    <w:rsid w:val="00F40A23"/>
    <w:rsid w:val="00F40A48"/>
    <w:rsid w:val="00F40A93"/>
    <w:rsid w:val="00F40A9F"/>
    <w:rsid w:val="00F40B3E"/>
    <w:rsid w:val="00F40CA9"/>
    <w:rsid w:val="00F40D14"/>
    <w:rsid w:val="00F40E81"/>
    <w:rsid w:val="00F40EA2"/>
    <w:rsid w:val="00F40EFC"/>
    <w:rsid w:val="00F40FCC"/>
    <w:rsid w:val="00F410F0"/>
    <w:rsid w:val="00F41199"/>
    <w:rsid w:val="00F413DF"/>
    <w:rsid w:val="00F4144C"/>
    <w:rsid w:val="00F41481"/>
    <w:rsid w:val="00F416E6"/>
    <w:rsid w:val="00F416F3"/>
    <w:rsid w:val="00F4171F"/>
    <w:rsid w:val="00F4176A"/>
    <w:rsid w:val="00F4179A"/>
    <w:rsid w:val="00F4193C"/>
    <w:rsid w:val="00F41995"/>
    <w:rsid w:val="00F41BDB"/>
    <w:rsid w:val="00F41C04"/>
    <w:rsid w:val="00F41C88"/>
    <w:rsid w:val="00F41DB3"/>
    <w:rsid w:val="00F41E3D"/>
    <w:rsid w:val="00F41E42"/>
    <w:rsid w:val="00F41E47"/>
    <w:rsid w:val="00F41ED0"/>
    <w:rsid w:val="00F41F01"/>
    <w:rsid w:val="00F41F80"/>
    <w:rsid w:val="00F41FF7"/>
    <w:rsid w:val="00F4206A"/>
    <w:rsid w:val="00F4221D"/>
    <w:rsid w:val="00F4231B"/>
    <w:rsid w:val="00F42492"/>
    <w:rsid w:val="00F42506"/>
    <w:rsid w:val="00F4252D"/>
    <w:rsid w:val="00F4273B"/>
    <w:rsid w:val="00F42BD0"/>
    <w:rsid w:val="00F42C63"/>
    <w:rsid w:val="00F42CCD"/>
    <w:rsid w:val="00F42D8C"/>
    <w:rsid w:val="00F42DF4"/>
    <w:rsid w:val="00F42E6B"/>
    <w:rsid w:val="00F42E8E"/>
    <w:rsid w:val="00F4320C"/>
    <w:rsid w:val="00F4324E"/>
    <w:rsid w:val="00F43262"/>
    <w:rsid w:val="00F432E1"/>
    <w:rsid w:val="00F433CD"/>
    <w:rsid w:val="00F4345F"/>
    <w:rsid w:val="00F4348C"/>
    <w:rsid w:val="00F434A1"/>
    <w:rsid w:val="00F434DF"/>
    <w:rsid w:val="00F43636"/>
    <w:rsid w:val="00F436FF"/>
    <w:rsid w:val="00F437AC"/>
    <w:rsid w:val="00F43826"/>
    <w:rsid w:val="00F43861"/>
    <w:rsid w:val="00F439AD"/>
    <w:rsid w:val="00F439C4"/>
    <w:rsid w:val="00F43A34"/>
    <w:rsid w:val="00F43AB5"/>
    <w:rsid w:val="00F43B3E"/>
    <w:rsid w:val="00F43C0E"/>
    <w:rsid w:val="00F43C1C"/>
    <w:rsid w:val="00F43DE6"/>
    <w:rsid w:val="00F43FFD"/>
    <w:rsid w:val="00F4402D"/>
    <w:rsid w:val="00F444FD"/>
    <w:rsid w:val="00F4467D"/>
    <w:rsid w:val="00F44762"/>
    <w:rsid w:val="00F447C4"/>
    <w:rsid w:val="00F447FE"/>
    <w:rsid w:val="00F448E6"/>
    <w:rsid w:val="00F448F0"/>
    <w:rsid w:val="00F4495D"/>
    <w:rsid w:val="00F44A7A"/>
    <w:rsid w:val="00F44B95"/>
    <w:rsid w:val="00F44DAC"/>
    <w:rsid w:val="00F451DA"/>
    <w:rsid w:val="00F451F0"/>
    <w:rsid w:val="00F453B9"/>
    <w:rsid w:val="00F453D0"/>
    <w:rsid w:val="00F453E2"/>
    <w:rsid w:val="00F4551B"/>
    <w:rsid w:val="00F4552B"/>
    <w:rsid w:val="00F455F5"/>
    <w:rsid w:val="00F45616"/>
    <w:rsid w:val="00F457AC"/>
    <w:rsid w:val="00F45890"/>
    <w:rsid w:val="00F458DF"/>
    <w:rsid w:val="00F458E0"/>
    <w:rsid w:val="00F45951"/>
    <w:rsid w:val="00F45A0F"/>
    <w:rsid w:val="00F45B36"/>
    <w:rsid w:val="00F45B78"/>
    <w:rsid w:val="00F45B9A"/>
    <w:rsid w:val="00F45B9D"/>
    <w:rsid w:val="00F45D2D"/>
    <w:rsid w:val="00F45F17"/>
    <w:rsid w:val="00F46060"/>
    <w:rsid w:val="00F46073"/>
    <w:rsid w:val="00F4623B"/>
    <w:rsid w:val="00F463A1"/>
    <w:rsid w:val="00F4654F"/>
    <w:rsid w:val="00F46772"/>
    <w:rsid w:val="00F467B6"/>
    <w:rsid w:val="00F4689E"/>
    <w:rsid w:val="00F46980"/>
    <w:rsid w:val="00F469BC"/>
    <w:rsid w:val="00F469CF"/>
    <w:rsid w:val="00F46C78"/>
    <w:rsid w:val="00F46C98"/>
    <w:rsid w:val="00F46D38"/>
    <w:rsid w:val="00F46DB5"/>
    <w:rsid w:val="00F46E32"/>
    <w:rsid w:val="00F46E3E"/>
    <w:rsid w:val="00F46E4E"/>
    <w:rsid w:val="00F46E74"/>
    <w:rsid w:val="00F46EEC"/>
    <w:rsid w:val="00F46F33"/>
    <w:rsid w:val="00F470FF"/>
    <w:rsid w:val="00F471D7"/>
    <w:rsid w:val="00F4723D"/>
    <w:rsid w:val="00F4723E"/>
    <w:rsid w:val="00F47252"/>
    <w:rsid w:val="00F4730F"/>
    <w:rsid w:val="00F4731B"/>
    <w:rsid w:val="00F473AD"/>
    <w:rsid w:val="00F4744D"/>
    <w:rsid w:val="00F474C9"/>
    <w:rsid w:val="00F474CA"/>
    <w:rsid w:val="00F47540"/>
    <w:rsid w:val="00F47576"/>
    <w:rsid w:val="00F47875"/>
    <w:rsid w:val="00F479A9"/>
    <w:rsid w:val="00F47A12"/>
    <w:rsid w:val="00F47A1F"/>
    <w:rsid w:val="00F47AB7"/>
    <w:rsid w:val="00F47B3A"/>
    <w:rsid w:val="00F47B75"/>
    <w:rsid w:val="00F47C57"/>
    <w:rsid w:val="00F47C76"/>
    <w:rsid w:val="00F47CA8"/>
    <w:rsid w:val="00F47D37"/>
    <w:rsid w:val="00F47E00"/>
    <w:rsid w:val="00F47E42"/>
    <w:rsid w:val="00F47E57"/>
    <w:rsid w:val="00F47E64"/>
    <w:rsid w:val="00F50026"/>
    <w:rsid w:val="00F50031"/>
    <w:rsid w:val="00F5011D"/>
    <w:rsid w:val="00F50170"/>
    <w:rsid w:val="00F501B9"/>
    <w:rsid w:val="00F5026A"/>
    <w:rsid w:val="00F50346"/>
    <w:rsid w:val="00F50372"/>
    <w:rsid w:val="00F503E3"/>
    <w:rsid w:val="00F5040E"/>
    <w:rsid w:val="00F50517"/>
    <w:rsid w:val="00F5054E"/>
    <w:rsid w:val="00F505CA"/>
    <w:rsid w:val="00F5098F"/>
    <w:rsid w:val="00F5099D"/>
    <w:rsid w:val="00F50A40"/>
    <w:rsid w:val="00F50AFD"/>
    <w:rsid w:val="00F50B7D"/>
    <w:rsid w:val="00F50D14"/>
    <w:rsid w:val="00F50DD9"/>
    <w:rsid w:val="00F50E40"/>
    <w:rsid w:val="00F50FC7"/>
    <w:rsid w:val="00F51176"/>
    <w:rsid w:val="00F51179"/>
    <w:rsid w:val="00F511C9"/>
    <w:rsid w:val="00F511D5"/>
    <w:rsid w:val="00F5134E"/>
    <w:rsid w:val="00F51389"/>
    <w:rsid w:val="00F513CD"/>
    <w:rsid w:val="00F5143D"/>
    <w:rsid w:val="00F51520"/>
    <w:rsid w:val="00F51526"/>
    <w:rsid w:val="00F51586"/>
    <w:rsid w:val="00F5166C"/>
    <w:rsid w:val="00F51701"/>
    <w:rsid w:val="00F519FE"/>
    <w:rsid w:val="00F51A7A"/>
    <w:rsid w:val="00F51B51"/>
    <w:rsid w:val="00F51B53"/>
    <w:rsid w:val="00F51C11"/>
    <w:rsid w:val="00F51C22"/>
    <w:rsid w:val="00F51E6E"/>
    <w:rsid w:val="00F51E92"/>
    <w:rsid w:val="00F51E9F"/>
    <w:rsid w:val="00F51F70"/>
    <w:rsid w:val="00F52070"/>
    <w:rsid w:val="00F52098"/>
    <w:rsid w:val="00F520BA"/>
    <w:rsid w:val="00F520DF"/>
    <w:rsid w:val="00F5210F"/>
    <w:rsid w:val="00F5212C"/>
    <w:rsid w:val="00F52189"/>
    <w:rsid w:val="00F52287"/>
    <w:rsid w:val="00F522B6"/>
    <w:rsid w:val="00F5236B"/>
    <w:rsid w:val="00F52437"/>
    <w:rsid w:val="00F524E8"/>
    <w:rsid w:val="00F526A3"/>
    <w:rsid w:val="00F526AA"/>
    <w:rsid w:val="00F52851"/>
    <w:rsid w:val="00F52979"/>
    <w:rsid w:val="00F52A25"/>
    <w:rsid w:val="00F52CE4"/>
    <w:rsid w:val="00F52DBF"/>
    <w:rsid w:val="00F52DCD"/>
    <w:rsid w:val="00F52DE7"/>
    <w:rsid w:val="00F52F61"/>
    <w:rsid w:val="00F53068"/>
    <w:rsid w:val="00F5322B"/>
    <w:rsid w:val="00F532CA"/>
    <w:rsid w:val="00F532ED"/>
    <w:rsid w:val="00F5345D"/>
    <w:rsid w:val="00F5346B"/>
    <w:rsid w:val="00F53489"/>
    <w:rsid w:val="00F535D8"/>
    <w:rsid w:val="00F53707"/>
    <w:rsid w:val="00F53773"/>
    <w:rsid w:val="00F537C4"/>
    <w:rsid w:val="00F53815"/>
    <w:rsid w:val="00F53875"/>
    <w:rsid w:val="00F53A47"/>
    <w:rsid w:val="00F53AB2"/>
    <w:rsid w:val="00F53CFA"/>
    <w:rsid w:val="00F53EC4"/>
    <w:rsid w:val="00F53FEE"/>
    <w:rsid w:val="00F54138"/>
    <w:rsid w:val="00F5428E"/>
    <w:rsid w:val="00F5434B"/>
    <w:rsid w:val="00F54358"/>
    <w:rsid w:val="00F543B1"/>
    <w:rsid w:val="00F544CC"/>
    <w:rsid w:val="00F544E4"/>
    <w:rsid w:val="00F5453C"/>
    <w:rsid w:val="00F54692"/>
    <w:rsid w:val="00F54853"/>
    <w:rsid w:val="00F548F5"/>
    <w:rsid w:val="00F54AD5"/>
    <w:rsid w:val="00F54C76"/>
    <w:rsid w:val="00F54CCB"/>
    <w:rsid w:val="00F54D58"/>
    <w:rsid w:val="00F54D5B"/>
    <w:rsid w:val="00F54D8E"/>
    <w:rsid w:val="00F54E73"/>
    <w:rsid w:val="00F54FE6"/>
    <w:rsid w:val="00F550B7"/>
    <w:rsid w:val="00F55128"/>
    <w:rsid w:val="00F552D2"/>
    <w:rsid w:val="00F55311"/>
    <w:rsid w:val="00F55354"/>
    <w:rsid w:val="00F553FB"/>
    <w:rsid w:val="00F55401"/>
    <w:rsid w:val="00F554E0"/>
    <w:rsid w:val="00F5558E"/>
    <w:rsid w:val="00F55871"/>
    <w:rsid w:val="00F5589D"/>
    <w:rsid w:val="00F558B6"/>
    <w:rsid w:val="00F558D9"/>
    <w:rsid w:val="00F559B7"/>
    <w:rsid w:val="00F559C7"/>
    <w:rsid w:val="00F55C66"/>
    <w:rsid w:val="00F55C7E"/>
    <w:rsid w:val="00F55CC4"/>
    <w:rsid w:val="00F55D56"/>
    <w:rsid w:val="00F55E2D"/>
    <w:rsid w:val="00F55E65"/>
    <w:rsid w:val="00F55FF6"/>
    <w:rsid w:val="00F5600A"/>
    <w:rsid w:val="00F5621D"/>
    <w:rsid w:val="00F562BD"/>
    <w:rsid w:val="00F56604"/>
    <w:rsid w:val="00F566F0"/>
    <w:rsid w:val="00F5684B"/>
    <w:rsid w:val="00F569EA"/>
    <w:rsid w:val="00F56AD3"/>
    <w:rsid w:val="00F56B1B"/>
    <w:rsid w:val="00F56B60"/>
    <w:rsid w:val="00F56B71"/>
    <w:rsid w:val="00F56DA0"/>
    <w:rsid w:val="00F56E3A"/>
    <w:rsid w:val="00F56F2D"/>
    <w:rsid w:val="00F56F46"/>
    <w:rsid w:val="00F56F78"/>
    <w:rsid w:val="00F570AD"/>
    <w:rsid w:val="00F570F8"/>
    <w:rsid w:val="00F571F7"/>
    <w:rsid w:val="00F573AD"/>
    <w:rsid w:val="00F573FB"/>
    <w:rsid w:val="00F5740C"/>
    <w:rsid w:val="00F57484"/>
    <w:rsid w:val="00F575AA"/>
    <w:rsid w:val="00F57718"/>
    <w:rsid w:val="00F5778B"/>
    <w:rsid w:val="00F57848"/>
    <w:rsid w:val="00F57A10"/>
    <w:rsid w:val="00F57D13"/>
    <w:rsid w:val="00F57D33"/>
    <w:rsid w:val="00F57D90"/>
    <w:rsid w:val="00F57EE4"/>
    <w:rsid w:val="00F60035"/>
    <w:rsid w:val="00F60514"/>
    <w:rsid w:val="00F60558"/>
    <w:rsid w:val="00F60576"/>
    <w:rsid w:val="00F605A9"/>
    <w:rsid w:val="00F605DF"/>
    <w:rsid w:val="00F60607"/>
    <w:rsid w:val="00F6068B"/>
    <w:rsid w:val="00F606AF"/>
    <w:rsid w:val="00F607C1"/>
    <w:rsid w:val="00F607F1"/>
    <w:rsid w:val="00F6084C"/>
    <w:rsid w:val="00F60AB8"/>
    <w:rsid w:val="00F60BCF"/>
    <w:rsid w:val="00F60C26"/>
    <w:rsid w:val="00F60EC4"/>
    <w:rsid w:val="00F60F3C"/>
    <w:rsid w:val="00F60FEE"/>
    <w:rsid w:val="00F611C9"/>
    <w:rsid w:val="00F611F6"/>
    <w:rsid w:val="00F61311"/>
    <w:rsid w:val="00F613F9"/>
    <w:rsid w:val="00F6164A"/>
    <w:rsid w:val="00F6180C"/>
    <w:rsid w:val="00F618CD"/>
    <w:rsid w:val="00F618F0"/>
    <w:rsid w:val="00F61995"/>
    <w:rsid w:val="00F619F5"/>
    <w:rsid w:val="00F61A0A"/>
    <w:rsid w:val="00F61A10"/>
    <w:rsid w:val="00F61A6A"/>
    <w:rsid w:val="00F61A99"/>
    <w:rsid w:val="00F61B4B"/>
    <w:rsid w:val="00F61BD5"/>
    <w:rsid w:val="00F61C52"/>
    <w:rsid w:val="00F61CB7"/>
    <w:rsid w:val="00F61CBE"/>
    <w:rsid w:val="00F61DC7"/>
    <w:rsid w:val="00F61EB2"/>
    <w:rsid w:val="00F61ECA"/>
    <w:rsid w:val="00F61FAF"/>
    <w:rsid w:val="00F61FF4"/>
    <w:rsid w:val="00F62038"/>
    <w:rsid w:val="00F6212A"/>
    <w:rsid w:val="00F621E1"/>
    <w:rsid w:val="00F622C6"/>
    <w:rsid w:val="00F6235A"/>
    <w:rsid w:val="00F62565"/>
    <w:rsid w:val="00F625BC"/>
    <w:rsid w:val="00F626ED"/>
    <w:rsid w:val="00F627F4"/>
    <w:rsid w:val="00F62BA4"/>
    <w:rsid w:val="00F62C0A"/>
    <w:rsid w:val="00F62E43"/>
    <w:rsid w:val="00F630DC"/>
    <w:rsid w:val="00F63100"/>
    <w:rsid w:val="00F6321F"/>
    <w:rsid w:val="00F6331D"/>
    <w:rsid w:val="00F6352A"/>
    <w:rsid w:val="00F6362D"/>
    <w:rsid w:val="00F63712"/>
    <w:rsid w:val="00F6375A"/>
    <w:rsid w:val="00F637C3"/>
    <w:rsid w:val="00F63A48"/>
    <w:rsid w:val="00F63A95"/>
    <w:rsid w:val="00F63AC2"/>
    <w:rsid w:val="00F63D49"/>
    <w:rsid w:val="00F63D74"/>
    <w:rsid w:val="00F63FB2"/>
    <w:rsid w:val="00F64073"/>
    <w:rsid w:val="00F640A4"/>
    <w:rsid w:val="00F64155"/>
    <w:rsid w:val="00F6417E"/>
    <w:rsid w:val="00F64385"/>
    <w:rsid w:val="00F64515"/>
    <w:rsid w:val="00F64567"/>
    <w:rsid w:val="00F6471C"/>
    <w:rsid w:val="00F64772"/>
    <w:rsid w:val="00F647A3"/>
    <w:rsid w:val="00F64A1F"/>
    <w:rsid w:val="00F64BC1"/>
    <w:rsid w:val="00F64BEF"/>
    <w:rsid w:val="00F64BF3"/>
    <w:rsid w:val="00F64D99"/>
    <w:rsid w:val="00F64FF4"/>
    <w:rsid w:val="00F6504C"/>
    <w:rsid w:val="00F65079"/>
    <w:rsid w:val="00F650BC"/>
    <w:rsid w:val="00F650D4"/>
    <w:rsid w:val="00F652C6"/>
    <w:rsid w:val="00F654FB"/>
    <w:rsid w:val="00F65609"/>
    <w:rsid w:val="00F6563C"/>
    <w:rsid w:val="00F65753"/>
    <w:rsid w:val="00F657A9"/>
    <w:rsid w:val="00F65AA3"/>
    <w:rsid w:val="00F65B4B"/>
    <w:rsid w:val="00F65B64"/>
    <w:rsid w:val="00F65BE8"/>
    <w:rsid w:val="00F65C1A"/>
    <w:rsid w:val="00F65D0B"/>
    <w:rsid w:val="00F65EBB"/>
    <w:rsid w:val="00F65F52"/>
    <w:rsid w:val="00F65F7D"/>
    <w:rsid w:val="00F65FA4"/>
    <w:rsid w:val="00F65FCC"/>
    <w:rsid w:val="00F66022"/>
    <w:rsid w:val="00F6608C"/>
    <w:rsid w:val="00F6612C"/>
    <w:rsid w:val="00F66189"/>
    <w:rsid w:val="00F66228"/>
    <w:rsid w:val="00F6630E"/>
    <w:rsid w:val="00F66462"/>
    <w:rsid w:val="00F66491"/>
    <w:rsid w:val="00F66545"/>
    <w:rsid w:val="00F6656F"/>
    <w:rsid w:val="00F66570"/>
    <w:rsid w:val="00F666CB"/>
    <w:rsid w:val="00F667BC"/>
    <w:rsid w:val="00F66824"/>
    <w:rsid w:val="00F6691C"/>
    <w:rsid w:val="00F66936"/>
    <w:rsid w:val="00F66969"/>
    <w:rsid w:val="00F66AEC"/>
    <w:rsid w:val="00F66B3D"/>
    <w:rsid w:val="00F66D90"/>
    <w:rsid w:val="00F66DC3"/>
    <w:rsid w:val="00F66EB9"/>
    <w:rsid w:val="00F66F11"/>
    <w:rsid w:val="00F66FA4"/>
    <w:rsid w:val="00F67015"/>
    <w:rsid w:val="00F67049"/>
    <w:rsid w:val="00F6710F"/>
    <w:rsid w:val="00F67120"/>
    <w:rsid w:val="00F67231"/>
    <w:rsid w:val="00F67303"/>
    <w:rsid w:val="00F67451"/>
    <w:rsid w:val="00F67481"/>
    <w:rsid w:val="00F674F1"/>
    <w:rsid w:val="00F675C8"/>
    <w:rsid w:val="00F6766D"/>
    <w:rsid w:val="00F67744"/>
    <w:rsid w:val="00F67A42"/>
    <w:rsid w:val="00F67AFC"/>
    <w:rsid w:val="00F67B48"/>
    <w:rsid w:val="00F67B66"/>
    <w:rsid w:val="00F67E3D"/>
    <w:rsid w:val="00F67E6A"/>
    <w:rsid w:val="00F67E71"/>
    <w:rsid w:val="00F67E74"/>
    <w:rsid w:val="00F67EB5"/>
    <w:rsid w:val="00F70109"/>
    <w:rsid w:val="00F7012C"/>
    <w:rsid w:val="00F703E5"/>
    <w:rsid w:val="00F70469"/>
    <w:rsid w:val="00F70523"/>
    <w:rsid w:val="00F7053A"/>
    <w:rsid w:val="00F7053B"/>
    <w:rsid w:val="00F70581"/>
    <w:rsid w:val="00F706D7"/>
    <w:rsid w:val="00F70753"/>
    <w:rsid w:val="00F7092E"/>
    <w:rsid w:val="00F709CA"/>
    <w:rsid w:val="00F709FA"/>
    <w:rsid w:val="00F70AE1"/>
    <w:rsid w:val="00F70B59"/>
    <w:rsid w:val="00F70B8C"/>
    <w:rsid w:val="00F70C8D"/>
    <w:rsid w:val="00F70DF4"/>
    <w:rsid w:val="00F70E84"/>
    <w:rsid w:val="00F70EC9"/>
    <w:rsid w:val="00F70F69"/>
    <w:rsid w:val="00F70FB5"/>
    <w:rsid w:val="00F70FC6"/>
    <w:rsid w:val="00F710BC"/>
    <w:rsid w:val="00F710CA"/>
    <w:rsid w:val="00F71292"/>
    <w:rsid w:val="00F71386"/>
    <w:rsid w:val="00F713B5"/>
    <w:rsid w:val="00F713FD"/>
    <w:rsid w:val="00F715C6"/>
    <w:rsid w:val="00F716C8"/>
    <w:rsid w:val="00F7172F"/>
    <w:rsid w:val="00F71735"/>
    <w:rsid w:val="00F7179D"/>
    <w:rsid w:val="00F71B19"/>
    <w:rsid w:val="00F71B4C"/>
    <w:rsid w:val="00F71BC8"/>
    <w:rsid w:val="00F71CB7"/>
    <w:rsid w:val="00F71D04"/>
    <w:rsid w:val="00F71DBA"/>
    <w:rsid w:val="00F71DBC"/>
    <w:rsid w:val="00F71E2C"/>
    <w:rsid w:val="00F71F81"/>
    <w:rsid w:val="00F722F5"/>
    <w:rsid w:val="00F72385"/>
    <w:rsid w:val="00F723DF"/>
    <w:rsid w:val="00F724CF"/>
    <w:rsid w:val="00F72699"/>
    <w:rsid w:val="00F7271F"/>
    <w:rsid w:val="00F72898"/>
    <w:rsid w:val="00F72C52"/>
    <w:rsid w:val="00F72DC3"/>
    <w:rsid w:val="00F72FA8"/>
    <w:rsid w:val="00F73091"/>
    <w:rsid w:val="00F73147"/>
    <w:rsid w:val="00F7327C"/>
    <w:rsid w:val="00F73288"/>
    <w:rsid w:val="00F732CF"/>
    <w:rsid w:val="00F73326"/>
    <w:rsid w:val="00F73360"/>
    <w:rsid w:val="00F73417"/>
    <w:rsid w:val="00F734DF"/>
    <w:rsid w:val="00F73565"/>
    <w:rsid w:val="00F735D4"/>
    <w:rsid w:val="00F7362F"/>
    <w:rsid w:val="00F73665"/>
    <w:rsid w:val="00F736D0"/>
    <w:rsid w:val="00F7373E"/>
    <w:rsid w:val="00F7395B"/>
    <w:rsid w:val="00F7395F"/>
    <w:rsid w:val="00F7396A"/>
    <w:rsid w:val="00F73E5A"/>
    <w:rsid w:val="00F73E69"/>
    <w:rsid w:val="00F740DB"/>
    <w:rsid w:val="00F740F8"/>
    <w:rsid w:val="00F741C6"/>
    <w:rsid w:val="00F741F4"/>
    <w:rsid w:val="00F74230"/>
    <w:rsid w:val="00F74260"/>
    <w:rsid w:val="00F7442A"/>
    <w:rsid w:val="00F745F9"/>
    <w:rsid w:val="00F74615"/>
    <w:rsid w:val="00F7461D"/>
    <w:rsid w:val="00F74693"/>
    <w:rsid w:val="00F7469B"/>
    <w:rsid w:val="00F7472D"/>
    <w:rsid w:val="00F7487E"/>
    <w:rsid w:val="00F74913"/>
    <w:rsid w:val="00F74B74"/>
    <w:rsid w:val="00F74BAF"/>
    <w:rsid w:val="00F74C04"/>
    <w:rsid w:val="00F74D6B"/>
    <w:rsid w:val="00F74D71"/>
    <w:rsid w:val="00F74D88"/>
    <w:rsid w:val="00F74DA8"/>
    <w:rsid w:val="00F74DDC"/>
    <w:rsid w:val="00F74E54"/>
    <w:rsid w:val="00F74F14"/>
    <w:rsid w:val="00F74F32"/>
    <w:rsid w:val="00F74FCE"/>
    <w:rsid w:val="00F7501B"/>
    <w:rsid w:val="00F75219"/>
    <w:rsid w:val="00F7522A"/>
    <w:rsid w:val="00F752DC"/>
    <w:rsid w:val="00F75302"/>
    <w:rsid w:val="00F753BA"/>
    <w:rsid w:val="00F75687"/>
    <w:rsid w:val="00F75760"/>
    <w:rsid w:val="00F757EB"/>
    <w:rsid w:val="00F758EA"/>
    <w:rsid w:val="00F758F3"/>
    <w:rsid w:val="00F75A30"/>
    <w:rsid w:val="00F75BBE"/>
    <w:rsid w:val="00F75CED"/>
    <w:rsid w:val="00F75D13"/>
    <w:rsid w:val="00F75D31"/>
    <w:rsid w:val="00F75D65"/>
    <w:rsid w:val="00F75D89"/>
    <w:rsid w:val="00F75E51"/>
    <w:rsid w:val="00F75E52"/>
    <w:rsid w:val="00F75FEB"/>
    <w:rsid w:val="00F760DC"/>
    <w:rsid w:val="00F7614B"/>
    <w:rsid w:val="00F76216"/>
    <w:rsid w:val="00F762D4"/>
    <w:rsid w:val="00F768A0"/>
    <w:rsid w:val="00F76944"/>
    <w:rsid w:val="00F76946"/>
    <w:rsid w:val="00F7695B"/>
    <w:rsid w:val="00F76980"/>
    <w:rsid w:val="00F769E7"/>
    <w:rsid w:val="00F76A30"/>
    <w:rsid w:val="00F76A4A"/>
    <w:rsid w:val="00F76AB2"/>
    <w:rsid w:val="00F76B59"/>
    <w:rsid w:val="00F76B9C"/>
    <w:rsid w:val="00F76D88"/>
    <w:rsid w:val="00F76D90"/>
    <w:rsid w:val="00F76DE2"/>
    <w:rsid w:val="00F7701E"/>
    <w:rsid w:val="00F77049"/>
    <w:rsid w:val="00F770B8"/>
    <w:rsid w:val="00F770EC"/>
    <w:rsid w:val="00F77195"/>
    <w:rsid w:val="00F7747F"/>
    <w:rsid w:val="00F77527"/>
    <w:rsid w:val="00F77545"/>
    <w:rsid w:val="00F77635"/>
    <w:rsid w:val="00F776BD"/>
    <w:rsid w:val="00F7774D"/>
    <w:rsid w:val="00F7779E"/>
    <w:rsid w:val="00F7797D"/>
    <w:rsid w:val="00F77989"/>
    <w:rsid w:val="00F77AB3"/>
    <w:rsid w:val="00F77B77"/>
    <w:rsid w:val="00F77D29"/>
    <w:rsid w:val="00F77E7D"/>
    <w:rsid w:val="00F77F94"/>
    <w:rsid w:val="00F80141"/>
    <w:rsid w:val="00F8023E"/>
    <w:rsid w:val="00F8025E"/>
    <w:rsid w:val="00F80293"/>
    <w:rsid w:val="00F80350"/>
    <w:rsid w:val="00F803E3"/>
    <w:rsid w:val="00F80431"/>
    <w:rsid w:val="00F804B8"/>
    <w:rsid w:val="00F80636"/>
    <w:rsid w:val="00F806EE"/>
    <w:rsid w:val="00F807AA"/>
    <w:rsid w:val="00F8090E"/>
    <w:rsid w:val="00F8098D"/>
    <w:rsid w:val="00F80998"/>
    <w:rsid w:val="00F8099D"/>
    <w:rsid w:val="00F809B4"/>
    <w:rsid w:val="00F80A30"/>
    <w:rsid w:val="00F80A52"/>
    <w:rsid w:val="00F80AAE"/>
    <w:rsid w:val="00F80B62"/>
    <w:rsid w:val="00F80BA5"/>
    <w:rsid w:val="00F80D46"/>
    <w:rsid w:val="00F80E20"/>
    <w:rsid w:val="00F80FD4"/>
    <w:rsid w:val="00F8103A"/>
    <w:rsid w:val="00F810CA"/>
    <w:rsid w:val="00F8124F"/>
    <w:rsid w:val="00F81361"/>
    <w:rsid w:val="00F81438"/>
    <w:rsid w:val="00F815E2"/>
    <w:rsid w:val="00F81693"/>
    <w:rsid w:val="00F81767"/>
    <w:rsid w:val="00F817FA"/>
    <w:rsid w:val="00F8180B"/>
    <w:rsid w:val="00F81830"/>
    <w:rsid w:val="00F8185F"/>
    <w:rsid w:val="00F819ED"/>
    <w:rsid w:val="00F81AC3"/>
    <w:rsid w:val="00F81B63"/>
    <w:rsid w:val="00F81BD0"/>
    <w:rsid w:val="00F81CF1"/>
    <w:rsid w:val="00F81D6F"/>
    <w:rsid w:val="00F81DA1"/>
    <w:rsid w:val="00F81DC3"/>
    <w:rsid w:val="00F81FB2"/>
    <w:rsid w:val="00F82046"/>
    <w:rsid w:val="00F82084"/>
    <w:rsid w:val="00F82113"/>
    <w:rsid w:val="00F821A1"/>
    <w:rsid w:val="00F821AC"/>
    <w:rsid w:val="00F821C6"/>
    <w:rsid w:val="00F82258"/>
    <w:rsid w:val="00F82377"/>
    <w:rsid w:val="00F8265D"/>
    <w:rsid w:val="00F82662"/>
    <w:rsid w:val="00F8268A"/>
    <w:rsid w:val="00F827BA"/>
    <w:rsid w:val="00F827FB"/>
    <w:rsid w:val="00F82815"/>
    <w:rsid w:val="00F8285D"/>
    <w:rsid w:val="00F8295F"/>
    <w:rsid w:val="00F8297A"/>
    <w:rsid w:val="00F82A94"/>
    <w:rsid w:val="00F82B75"/>
    <w:rsid w:val="00F82BF2"/>
    <w:rsid w:val="00F82C24"/>
    <w:rsid w:val="00F82E85"/>
    <w:rsid w:val="00F82FF1"/>
    <w:rsid w:val="00F8302E"/>
    <w:rsid w:val="00F83070"/>
    <w:rsid w:val="00F831BF"/>
    <w:rsid w:val="00F831F4"/>
    <w:rsid w:val="00F832E3"/>
    <w:rsid w:val="00F834A6"/>
    <w:rsid w:val="00F83551"/>
    <w:rsid w:val="00F83679"/>
    <w:rsid w:val="00F836DF"/>
    <w:rsid w:val="00F837BB"/>
    <w:rsid w:val="00F83836"/>
    <w:rsid w:val="00F8396B"/>
    <w:rsid w:val="00F83AE4"/>
    <w:rsid w:val="00F83DA4"/>
    <w:rsid w:val="00F83EC8"/>
    <w:rsid w:val="00F83FC9"/>
    <w:rsid w:val="00F83FCA"/>
    <w:rsid w:val="00F83FE8"/>
    <w:rsid w:val="00F8404A"/>
    <w:rsid w:val="00F84074"/>
    <w:rsid w:val="00F8407D"/>
    <w:rsid w:val="00F8407E"/>
    <w:rsid w:val="00F84254"/>
    <w:rsid w:val="00F8425E"/>
    <w:rsid w:val="00F8437B"/>
    <w:rsid w:val="00F843AD"/>
    <w:rsid w:val="00F84499"/>
    <w:rsid w:val="00F8456B"/>
    <w:rsid w:val="00F846A5"/>
    <w:rsid w:val="00F8474A"/>
    <w:rsid w:val="00F84911"/>
    <w:rsid w:val="00F84976"/>
    <w:rsid w:val="00F84980"/>
    <w:rsid w:val="00F849A9"/>
    <w:rsid w:val="00F84B22"/>
    <w:rsid w:val="00F84D73"/>
    <w:rsid w:val="00F84E56"/>
    <w:rsid w:val="00F84EFD"/>
    <w:rsid w:val="00F84EFF"/>
    <w:rsid w:val="00F84F91"/>
    <w:rsid w:val="00F8503C"/>
    <w:rsid w:val="00F852A6"/>
    <w:rsid w:val="00F85357"/>
    <w:rsid w:val="00F85415"/>
    <w:rsid w:val="00F854C8"/>
    <w:rsid w:val="00F854F1"/>
    <w:rsid w:val="00F85533"/>
    <w:rsid w:val="00F8564D"/>
    <w:rsid w:val="00F85920"/>
    <w:rsid w:val="00F85959"/>
    <w:rsid w:val="00F85AE1"/>
    <w:rsid w:val="00F85BA5"/>
    <w:rsid w:val="00F85C5D"/>
    <w:rsid w:val="00F85CAA"/>
    <w:rsid w:val="00F85CDC"/>
    <w:rsid w:val="00F85D03"/>
    <w:rsid w:val="00F85D43"/>
    <w:rsid w:val="00F85E03"/>
    <w:rsid w:val="00F85E19"/>
    <w:rsid w:val="00F85E5D"/>
    <w:rsid w:val="00F85E70"/>
    <w:rsid w:val="00F85F63"/>
    <w:rsid w:val="00F86109"/>
    <w:rsid w:val="00F86195"/>
    <w:rsid w:val="00F86298"/>
    <w:rsid w:val="00F862E1"/>
    <w:rsid w:val="00F863B2"/>
    <w:rsid w:val="00F863B8"/>
    <w:rsid w:val="00F864B1"/>
    <w:rsid w:val="00F866F8"/>
    <w:rsid w:val="00F867F4"/>
    <w:rsid w:val="00F86992"/>
    <w:rsid w:val="00F869A6"/>
    <w:rsid w:val="00F86A7A"/>
    <w:rsid w:val="00F86B74"/>
    <w:rsid w:val="00F87339"/>
    <w:rsid w:val="00F873A6"/>
    <w:rsid w:val="00F87446"/>
    <w:rsid w:val="00F8754F"/>
    <w:rsid w:val="00F876AF"/>
    <w:rsid w:val="00F8772C"/>
    <w:rsid w:val="00F87783"/>
    <w:rsid w:val="00F877EB"/>
    <w:rsid w:val="00F8795B"/>
    <w:rsid w:val="00F87B3E"/>
    <w:rsid w:val="00F87CE0"/>
    <w:rsid w:val="00F90056"/>
    <w:rsid w:val="00F900A9"/>
    <w:rsid w:val="00F900E7"/>
    <w:rsid w:val="00F9018F"/>
    <w:rsid w:val="00F90246"/>
    <w:rsid w:val="00F902B4"/>
    <w:rsid w:val="00F90413"/>
    <w:rsid w:val="00F9045E"/>
    <w:rsid w:val="00F904E4"/>
    <w:rsid w:val="00F90548"/>
    <w:rsid w:val="00F90710"/>
    <w:rsid w:val="00F90958"/>
    <w:rsid w:val="00F90AD6"/>
    <w:rsid w:val="00F90B56"/>
    <w:rsid w:val="00F90BB8"/>
    <w:rsid w:val="00F90BE0"/>
    <w:rsid w:val="00F90C55"/>
    <w:rsid w:val="00F90C90"/>
    <w:rsid w:val="00F90D1C"/>
    <w:rsid w:val="00F90E08"/>
    <w:rsid w:val="00F90F39"/>
    <w:rsid w:val="00F9100A"/>
    <w:rsid w:val="00F9118C"/>
    <w:rsid w:val="00F911C9"/>
    <w:rsid w:val="00F9136D"/>
    <w:rsid w:val="00F913C1"/>
    <w:rsid w:val="00F91500"/>
    <w:rsid w:val="00F91556"/>
    <w:rsid w:val="00F91568"/>
    <w:rsid w:val="00F916B7"/>
    <w:rsid w:val="00F916BD"/>
    <w:rsid w:val="00F91829"/>
    <w:rsid w:val="00F91895"/>
    <w:rsid w:val="00F918DB"/>
    <w:rsid w:val="00F91A6D"/>
    <w:rsid w:val="00F91A9C"/>
    <w:rsid w:val="00F91C31"/>
    <w:rsid w:val="00F91CCA"/>
    <w:rsid w:val="00F91D26"/>
    <w:rsid w:val="00F91DA8"/>
    <w:rsid w:val="00F92059"/>
    <w:rsid w:val="00F920C8"/>
    <w:rsid w:val="00F922A1"/>
    <w:rsid w:val="00F9235D"/>
    <w:rsid w:val="00F9240F"/>
    <w:rsid w:val="00F924E4"/>
    <w:rsid w:val="00F92547"/>
    <w:rsid w:val="00F9257E"/>
    <w:rsid w:val="00F927E9"/>
    <w:rsid w:val="00F928D5"/>
    <w:rsid w:val="00F92971"/>
    <w:rsid w:val="00F92A27"/>
    <w:rsid w:val="00F92A2C"/>
    <w:rsid w:val="00F92AE6"/>
    <w:rsid w:val="00F92C4A"/>
    <w:rsid w:val="00F92CB5"/>
    <w:rsid w:val="00F92E06"/>
    <w:rsid w:val="00F92FFF"/>
    <w:rsid w:val="00F9303B"/>
    <w:rsid w:val="00F9319E"/>
    <w:rsid w:val="00F934CF"/>
    <w:rsid w:val="00F9351C"/>
    <w:rsid w:val="00F9365D"/>
    <w:rsid w:val="00F937C2"/>
    <w:rsid w:val="00F93949"/>
    <w:rsid w:val="00F93ABE"/>
    <w:rsid w:val="00F93E58"/>
    <w:rsid w:val="00F93E78"/>
    <w:rsid w:val="00F93F57"/>
    <w:rsid w:val="00F93F75"/>
    <w:rsid w:val="00F93FCD"/>
    <w:rsid w:val="00F940B1"/>
    <w:rsid w:val="00F94147"/>
    <w:rsid w:val="00F94398"/>
    <w:rsid w:val="00F94440"/>
    <w:rsid w:val="00F94458"/>
    <w:rsid w:val="00F9464C"/>
    <w:rsid w:val="00F9466C"/>
    <w:rsid w:val="00F946DF"/>
    <w:rsid w:val="00F947EE"/>
    <w:rsid w:val="00F94803"/>
    <w:rsid w:val="00F9484A"/>
    <w:rsid w:val="00F94983"/>
    <w:rsid w:val="00F949CC"/>
    <w:rsid w:val="00F94A01"/>
    <w:rsid w:val="00F94BB2"/>
    <w:rsid w:val="00F94BCE"/>
    <w:rsid w:val="00F94D2D"/>
    <w:rsid w:val="00F94D40"/>
    <w:rsid w:val="00F94F0C"/>
    <w:rsid w:val="00F94FA6"/>
    <w:rsid w:val="00F94FBE"/>
    <w:rsid w:val="00F95014"/>
    <w:rsid w:val="00F95075"/>
    <w:rsid w:val="00F95169"/>
    <w:rsid w:val="00F9519F"/>
    <w:rsid w:val="00F953E0"/>
    <w:rsid w:val="00F954E3"/>
    <w:rsid w:val="00F9556D"/>
    <w:rsid w:val="00F9557E"/>
    <w:rsid w:val="00F955BC"/>
    <w:rsid w:val="00F9564E"/>
    <w:rsid w:val="00F9568D"/>
    <w:rsid w:val="00F95888"/>
    <w:rsid w:val="00F9593F"/>
    <w:rsid w:val="00F95993"/>
    <w:rsid w:val="00F95A36"/>
    <w:rsid w:val="00F95ACB"/>
    <w:rsid w:val="00F95B20"/>
    <w:rsid w:val="00F95B66"/>
    <w:rsid w:val="00F95C35"/>
    <w:rsid w:val="00F95CCD"/>
    <w:rsid w:val="00F95D44"/>
    <w:rsid w:val="00F95D8C"/>
    <w:rsid w:val="00F9600E"/>
    <w:rsid w:val="00F9613C"/>
    <w:rsid w:val="00F96264"/>
    <w:rsid w:val="00F9629F"/>
    <w:rsid w:val="00F9646A"/>
    <w:rsid w:val="00F96610"/>
    <w:rsid w:val="00F968DC"/>
    <w:rsid w:val="00F96948"/>
    <w:rsid w:val="00F9694A"/>
    <w:rsid w:val="00F96ACF"/>
    <w:rsid w:val="00F96AD7"/>
    <w:rsid w:val="00F96B20"/>
    <w:rsid w:val="00F96B40"/>
    <w:rsid w:val="00F96C88"/>
    <w:rsid w:val="00F96D9C"/>
    <w:rsid w:val="00F96DD0"/>
    <w:rsid w:val="00F96E5E"/>
    <w:rsid w:val="00F96EED"/>
    <w:rsid w:val="00F971C5"/>
    <w:rsid w:val="00F973C8"/>
    <w:rsid w:val="00F973DC"/>
    <w:rsid w:val="00F9745E"/>
    <w:rsid w:val="00F97468"/>
    <w:rsid w:val="00F97494"/>
    <w:rsid w:val="00F97646"/>
    <w:rsid w:val="00F97672"/>
    <w:rsid w:val="00F9777F"/>
    <w:rsid w:val="00F97789"/>
    <w:rsid w:val="00F9796E"/>
    <w:rsid w:val="00F979DC"/>
    <w:rsid w:val="00F97A01"/>
    <w:rsid w:val="00F97A0E"/>
    <w:rsid w:val="00F97A38"/>
    <w:rsid w:val="00F97A8F"/>
    <w:rsid w:val="00F97B32"/>
    <w:rsid w:val="00F97B35"/>
    <w:rsid w:val="00F97C42"/>
    <w:rsid w:val="00F97D25"/>
    <w:rsid w:val="00F97DF9"/>
    <w:rsid w:val="00F97F58"/>
    <w:rsid w:val="00FA00CC"/>
    <w:rsid w:val="00FA0147"/>
    <w:rsid w:val="00FA0184"/>
    <w:rsid w:val="00FA01CF"/>
    <w:rsid w:val="00FA0222"/>
    <w:rsid w:val="00FA02BF"/>
    <w:rsid w:val="00FA036F"/>
    <w:rsid w:val="00FA03F1"/>
    <w:rsid w:val="00FA047F"/>
    <w:rsid w:val="00FA0544"/>
    <w:rsid w:val="00FA0659"/>
    <w:rsid w:val="00FA0681"/>
    <w:rsid w:val="00FA07A7"/>
    <w:rsid w:val="00FA08AD"/>
    <w:rsid w:val="00FA08C3"/>
    <w:rsid w:val="00FA09FA"/>
    <w:rsid w:val="00FA0A02"/>
    <w:rsid w:val="00FA0A9C"/>
    <w:rsid w:val="00FA0C42"/>
    <w:rsid w:val="00FA0C5F"/>
    <w:rsid w:val="00FA0C81"/>
    <w:rsid w:val="00FA0D45"/>
    <w:rsid w:val="00FA0DCF"/>
    <w:rsid w:val="00FA0FB3"/>
    <w:rsid w:val="00FA0FBE"/>
    <w:rsid w:val="00FA1017"/>
    <w:rsid w:val="00FA11CC"/>
    <w:rsid w:val="00FA11D8"/>
    <w:rsid w:val="00FA123E"/>
    <w:rsid w:val="00FA14B8"/>
    <w:rsid w:val="00FA14C1"/>
    <w:rsid w:val="00FA14C7"/>
    <w:rsid w:val="00FA14FC"/>
    <w:rsid w:val="00FA1550"/>
    <w:rsid w:val="00FA158E"/>
    <w:rsid w:val="00FA161C"/>
    <w:rsid w:val="00FA1621"/>
    <w:rsid w:val="00FA1805"/>
    <w:rsid w:val="00FA1939"/>
    <w:rsid w:val="00FA196D"/>
    <w:rsid w:val="00FA1A9A"/>
    <w:rsid w:val="00FA1A9F"/>
    <w:rsid w:val="00FA1BE1"/>
    <w:rsid w:val="00FA1C3B"/>
    <w:rsid w:val="00FA1D02"/>
    <w:rsid w:val="00FA1D89"/>
    <w:rsid w:val="00FA1E77"/>
    <w:rsid w:val="00FA1E86"/>
    <w:rsid w:val="00FA2060"/>
    <w:rsid w:val="00FA20EB"/>
    <w:rsid w:val="00FA2184"/>
    <w:rsid w:val="00FA2366"/>
    <w:rsid w:val="00FA2520"/>
    <w:rsid w:val="00FA258D"/>
    <w:rsid w:val="00FA25FE"/>
    <w:rsid w:val="00FA270E"/>
    <w:rsid w:val="00FA2710"/>
    <w:rsid w:val="00FA2879"/>
    <w:rsid w:val="00FA28B5"/>
    <w:rsid w:val="00FA28D9"/>
    <w:rsid w:val="00FA290D"/>
    <w:rsid w:val="00FA2AC9"/>
    <w:rsid w:val="00FA2AF2"/>
    <w:rsid w:val="00FA2B9E"/>
    <w:rsid w:val="00FA2BB8"/>
    <w:rsid w:val="00FA2C1F"/>
    <w:rsid w:val="00FA2CBF"/>
    <w:rsid w:val="00FA2EA1"/>
    <w:rsid w:val="00FA304B"/>
    <w:rsid w:val="00FA33FA"/>
    <w:rsid w:val="00FA355B"/>
    <w:rsid w:val="00FA3614"/>
    <w:rsid w:val="00FA3632"/>
    <w:rsid w:val="00FA3641"/>
    <w:rsid w:val="00FA37E7"/>
    <w:rsid w:val="00FA3919"/>
    <w:rsid w:val="00FA3AA1"/>
    <w:rsid w:val="00FA3C18"/>
    <w:rsid w:val="00FA3C4B"/>
    <w:rsid w:val="00FA3CA7"/>
    <w:rsid w:val="00FA3CB5"/>
    <w:rsid w:val="00FA3DA0"/>
    <w:rsid w:val="00FA3DA7"/>
    <w:rsid w:val="00FA3DD0"/>
    <w:rsid w:val="00FA3E50"/>
    <w:rsid w:val="00FA3EAD"/>
    <w:rsid w:val="00FA41F1"/>
    <w:rsid w:val="00FA430B"/>
    <w:rsid w:val="00FA4352"/>
    <w:rsid w:val="00FA4371"/>
    <w:rsid w:val="00FA43D0"/>
    <w:rsid w:val="00FA445E"/>
    <w:rsid w:val="00FA4490"/>
    <w:rsid w:val="00FA4517"/>
    <w:rsid w:val="00FA4526"/>
    <w:rsid w:val="00FA4577"/>
    <w:rsid w:val="00FA464F"/>
    <w:rsid w:val="00FA469A"/>
    <w:rsid w:val="00FA47BF"/>
    <w:rsid w:val="00FA47DE"/>
    <w:rsid w:val="00FA4880"/>
    <w:rsid w:val="00FA4929"/>
    <w:rsid w:val="00FA4949"/>
    <w:rsid w:val="00FA4998"/>
    <w:rsid w:val="00FA49A4"/>
    <w:rsid w:val="00FA4A69"/>
    <w:rsid w:val="00FA4A70"/>
    <w:rsid w:val="00FA4BBF"/>
    <w:rsid w:val="00FA4C53"/>
    <w:rsid w:val="00FA4CCA"/>
    <w:rsid w:val="00FA4D31"/>
    <w:rsid w:val="00FA4E17"/>
    <w:rsid w:val="00FA4F3E"/>
    <w:rsid w:val="00FA4F55"/>
    <w:rsid w:val="00FA4F7C"/>
    <w:rsid w:val="00FA4FCB"/>
    <w:rsid w:val="00FA53B7"/>
    <w:rsid w:val="00FA5476"/>
    <w:rsid w:val="00FA590C"/>
    <w:rsid w:val="00FA5917"/>
    <w:rsid w:val="00FA5A19"/>
    <w:rsid w:val="00FA5A1A"/>
    <w:rsid w:val="00FA5B11"/>
    <w:rsid w:val="00FA5BCA"/>
    <w:rsid w:val="00FA5C97"/>
    <w:rsid w:val="00FA5CA6"/>
    <w:rsid w:val="00FA5CE3"/>
    <w:rsid w:val="00FA5D70"/>
    <w:rsid w:val="00FA5DC8"/>
    <w:rsid w:val="00FA5DFC"/>
    <w:rsid w:val="00FA5E52"/>
    <w:rsid w:val="00FA5FC4"/>
    <w:rsid w:val="00FA609D"/>
    <w:rsid w:val="00FA6184"/>
    <w:rsid w:val="00FA6188"/>
    <w:rsid w:val="00FA62CF"/>
    <w:rsid w:val="00FA62F0"/>
    <w:rsid w:val="00FA642F"/>
    <w:rsid w:val="00FA64FC"/>
    <w:rsid w:val="00FA653D"/>
    <w:rsid w:val="00FA6587"/>
    <w:rsid w:val="00FA65DD"/>
    <w:rsid w:val="00FA66E4"/>
    <w:rsid w:val="00FA67FB"/>
    <w:rsid w:val="00FA6A3D"/>
    <w:rsid w:val="00FA6AAA"/>
    <w:rsid w:val="00FA6B7E"/>
    <w:rsid w:val="00FA6CD9"/>
    <w:rsid w:val="00FA6D1C"/>
    <w:rsid w:val="00FA6D39"/>
    <w:rsid w:val="00FA6DCE"/>
    <w:rsid w:val="00FA6E7C"/>
    <w:rsid w:val="00FA6F04"/>
    <w:rsid w:val="00FA6FBF"/>
    <w:rsid w:val="00FA6FCD"/>
    <w:rsid w:val="00FA704D"/>
    <w:rsid w:val="00FA705C"/>
    <w:rsid w:val="00FA71F5"/>
    <w:rsid w:val="00FA76C0"/>
    <w:rsid w:val="00FA7727"/>
    <w:rsid w:val="00FA7774"/>
    <w:rsid w:val="00FA77A4"/>
    <w:rsid w:val="00FA7820"/>
    <w:rsid w:val="00FA7827"/>
    <w:rsid w:val="00FA78E8"/>
    <w:rsid w:val="00FA790E"/>
    <w:rsid w:val="00FA79EA"/>
    <w:rsid w:val="00FA7A16"/>
    <w:rsid w:val="00FA7A6D"/>
    <w:rsid w:val="00FA7AF6"/>
    <w:rsid w:val="00FA7B1F"/>
    <w:rsid w:val="00FA7B55"/>
    <w:rsid w:val="00FA7C72"/>
    <w:rsid w:val="00FA7D20"/>
    <w:rsid w:val="00FA7EC6"/>
    <w:rsid w:val="00FA7ED2"/>
    <w:rsid w:val="00FB0030"/>
    <w:rsid w:val="00FB00B4"/>
    <w:rsid w:val="00FB0242"/>
    <w:rsid w:val="00FB02C0"/>
    <w:rsid w:val="00FB0452"/>
    <w:rsid w:val="00FB0455"/>
    <w:rsid w:val="00FB04FE"/>
    <w:rsid w:val="00FB054A"/>
    <w:rsid w:val="00FB05B7"/>
    <w:rsid w:val="00FB07FA"/>
    <w:rsid w:val="00FB0A6C"/>
    <w:rsid w:val="00FB0B4C"/>
    <w:rsid w:val="00FB0B88"/>
    <w:rsid w:val="00FB0BD5"/>
    <w:rsid w:val="00FB0CA1"/>
    <w:rsid w:val="00FB0DE2"/>
    <w:rsid w:val="00FB0F03"/>
    <w:rsid w:val="00FB0F69"/>
    <w:rsid w:val="00FB1087"/>
    <w:rsid w:val="00FB11C7"/>
    <w:rsid w:val="00FB11DD"/>
    <w:rsid w:val="00FB121F"/>
    <w:rsid w:val="00FB1426"/>
    <w:rsid w:val="00FB14C7"/>
    <w:rsid w:val="00FB14EE"/>
    <w:rsid w:val="00FB155D"/>
    <w:rsid w:val="00FB1569"/>
    <w:rsid w:val="00FB158B"/>
    <w:rsid w:val="00FB1627"/>
    <w:rsid w:val="00FB16CD"/>
    <w:rsid w:val="00FB1830"/>
    <w:rsid w:val="00FB1872"/>
    <w:rsid w:val="00FB19D1"/>
    <w:rsid w:val="00FB1A53"/>
    <w:rsid w:val="00FB1B5B"/>
    <w:rsid w:val="00FB1BD3"/>
    <w:rsid w:val="00FB1BF2"/>
    <w:rsid w:val="00FB1C30"/>
    <w:rsid w:val="00FB1C53"/>
    <w:rsid w:val="00FB1D22"/>
    <w:rsid w:val="00FB1D64"/>
    <w:rsid w:val="00FB1DC3"/>
    <w:rsid w:val="00FB1F4F"/>
    <w:rsid w:val="00FB2016"/>
    <w:rsid w:val="00FB2177"/>
    <w:rsid w:val="00FB2212"/>
    <w:rsid w:val="00FB2325"/>
    <w:rsid w:val="00FB232F"/>
    <w:rsid w:val="00FB24CF"/>
    <w:rsid w:val="00FB2578"/>
    <w:rsid w:val="00FB258D"/>
    <w:rsid w:val="00FB2722"/>
    <w:rsid w:val="00FB27C0"/>
    <w:rsid w:val="00FB27CC"/>
    <w:rsid w:val="00FB2815"/>
    <w:rsid w:val="00FB2A01"/>
    <w:rsid w:val="00FB2A5B"/>
    <w:rsid w:val="00FB2AC0"/>
    <w:rsid w:val="00FB2B69"/>
    <w:rsid w:val="00FB2CA9"/>
    <w:rsid w:val="00FB2E50"/>
    <w:rsid w:val="00FB2EFB"/>
    <w:rsid w:val="00FB2F82"/>
    <w:rsid w:val="00FB2FD5"/>
    <w:rsid w:val="00FB3044"/>
    <w:rsid w:val="00FB313D"/>
    <w:rsid w:val="00FB3583"/>
    <w:rsid w:val="00FB361D"/>
    <w:rsid w:val="00FB3766"/>
    <w:rsid w:val="00FB3817"/>
    <w:rsid w:val="00FB3919"/>
    <w:rsid w:val="00FB39D0"/>
    <w:rsid w:val="00FB3A53"/>
    <w:rsid w:val="00FB3AC7"/>
    <w:rsid w:val="00FB3B68"/>
    <w:rsid w:val="00FB3C54"/>
    <w:rsid w:val="00FB3CCC"/>
    <w:rsid w:val="00FB3D80"/>
    <w:rsid w:val="00FB3F21"/>
    <w:rsid w:val="00FB4158"/>
    <w:rsid w:val="00FB4167"/>
    <w:rsid w:val="00FB4240"/>
    <w:rsid w:val="00FB4284"/>
    <w:rsid w:val="00FB444B"/>
    <w:rsid w:val="00FB44EE"/>
    <w:rsid w:val="00FB44EF"/>
    <w:rsid w:val="00FB451D"/>
    <w:rsid w:val="00FB46DE"/>
    <w:rsid w:val="00FB46E5"/>
    <w:rsid w:val="00FB47CF"/>
    <w:rsid w:val="00FB4883"/>
    <w:rsid w:val="00FB4D03"/>
    <w:rsid w:val="00FB4E51"/>
    <w:rsid w:val="00FB4F37"/>
    <w:rsid w:val="00FB4FAE"/>
    <w:rsid w:val="00FB50A4"/>
    <w:rsid w:val="00FB5134"/>
    <w:rsid w:val="00FB5142"/>
    <w:rsid w:val="00FB524D"/>
    <w:rsid w:val="00FB5272"/>
    <w:rsid w:val="00FB54A6"/>
    <w:rsid w:val="00FB5620"/>
    <w:rsid w:val="00FB582E"/>
    <w:rsid w:val="00FB5A7A"/>
    <w:rsid w:val="00FB5AC0"/>
    <w:rsid w:val="00FB5AEF"/>
    <w:rsid w:val="00FB5C26"/>
    <w:rsid w:val="00FB5CE7"/>
    <w:rsid w:val="00FB5D00"/>
    <w:rsid w:val="00FB5D2F"/>
    <w:rsid w:val="00FB5E23"/>
    <w:rsid w:val="00FB5EC6"/>
    <w:rsid w:val="00FB5EFE"/>
    <w:rsid w:val="00FB60B5"/>
    <w:rsid w:val="00FB60C5"/>
    <w:rsid w:val="00FB6273"/>
    <w:rsid w:val="00FB627E"/>
    <w:rsid w:val="00FB6297"/>
    <w:rsid w:val="00FB62CC"/>
    <w:rsid w:val="00FB62EE"/>
    <w:rsid w:val="00FB6305"/>
    <w:rsid w:val="00FB63A4"/>
    <w:rsid w:val="00FB64D3"/>
    <w:rsid w:val="00FB6509"/>
    <w:rsid w:val="00FB6579"/>
    <w:rsid w:val="00FB65F8"/>
    <w:rsid w:val="00FB66CB"/>
    <w:rsid w:val="00FB6815"/>
    <w:rsid w:val="00FB6855"/>
    <w:rsid w:val="00FB6899"/>
    <w:rsid w:val="00FB6907"/>
    <w:rsid w:val="00FB6972"/>
    <w:rsid w:val="00FB6996"/>
    <w:rsid w:val="00FB6A52"/>
    <w:rsid w:val="00FB6B6C"/>
    <w:rsid w:val="00FB6BF8"/>
    <w:rsid w:val="00FB6C14"/>
    <w:rsid w:val="00FB6D72"/>
    <w:rsid w:val="00FB6DB0"/>
    <w:rsid w:val="00FB6DF9"/>
    <w:rsid w:val="00FB6E07"/>
    <w:rsid w:val="00FB6F32"/>
    <w:rsid w:val="00FB6FF1"/>
    <w:rsid w:val="00FB700D"/>
    <w:rsid w:val="00FB7032"/>
    <w:rsid w:val="00FB710D"/>
    <w:rsid w:val="00FB7138"/>
    <w:rsid w:val="00FB71B6"/>
    <w:rsid w:val="00FB7298"/>
    <w:rsid w:val="00FB72C6"/>
    <w:rsid w:val="00FB7427"/>
    <w:rsid w:val="00FB74E0"/>
    <w:rsid w:val="00FB75AD"/>
    <w:rsid w:val="00FB75F4"/>
    <w:rsid w:val="00FB7660"/>
    <w:rsid w:val="00FB7680"/>
    <w:rsid w:val="00FB78F9"/>
    <w:rsid w:val="00FB7998"/>
    <w:rsid w:val="00FB7A1B"/>
    <w:rsid w:val="00FB7B18"/>
    <w:rsid w:val="00FB7BEE"/>
    <w:rsid w:val="00FB7E1E"/>
    <w:rsid w:val="00FB7EF6"/>
    <w:rsid w:val="00FB7FAE"/>
    <w:rsid w:val="00FC000E"/>
    <w:rsid w:val="00FC00CC"/>
    <w:rsid w:val="00FC0131"/>
    <w:rsid w:val="00FC01B6"/>
    <w:rsid w:val="00FC01F8"/>
    <w:rsid w:val="00FC030E"/>
    <w:rsid w:val="00FC031D"/>
    <w:rsid w:val="00FC050F"/>
    <w:rsid w:val="00FC0540"/>
    <w:rsid w:val="00FC0607"/>
    <w:rsid w:val="00FC07CA"/>
    <w:rsid w:val="00FC07D2"/>
    <w:rsid w:val="00FC0A55"/>
    <w:rsid w:val="00FC0C4A"/>
    <w:rsid w:val="00FC0D25"/>
    <w:rsid w:val="00FC0DC5"/>
    <w:rsid w:val="00FC0DCF"/>
    <w:rsid w:val="00FC0EB3"/>
    <w:rsid w:val="00FC0EEF"/>
    <w:rsid w:val="00FC0F82"/>
    <w:rsid w:val="00FC0FA8"/>
    <w:rsid w:val="00FC110D"/>
    <w:rsid w:val="00FC117B"/>
    <w:rsid w:val="00FC1248"/>
    <w:rsid w:val="00FC1306"/>
    <w:rsid w:val="00FC1315"/>
    <w:rsid w:val="00FC147B"/>
    <w:rsid w:val="00FC16C7"/>
    <w:rsid w:val="00FC1879"/>
    <w:rsid w:val="00FC192C"/>
    <w:rsid w:val="00FC195D"/>
    <w:rsid w:val="00FC1AAB"/>
    <w:rsid w:val="00FC1C17"/>
    <w:rsid w:val="00FC1CE2"/>
    <w:rsid w:val="00FC1F1E"/>
    <w:rsid w:val="00FC1F9E"/>
    <w:rsid w:val="00FC2223"/>
    <w:rsid w:val="00FC222B"/>
    <w:rsid w:val="00FC2261"/>
    <w:rsid w:val="00FC24FF"/>
    <w:rsid w:val="00FC258D"/>
    <w:rsid w:val="00FC25CE"/>
    <w:rsid w:val="00FC2641"/>
    <w:rsid w:val="00FC26EE"/>
    <w:rsid w:val="00FC279F"/>
    <w:rsid w:val="00FC27AF"/>
    <w:rsid w:val="00FC2844"/>
    <w:rsid w:val="00FC288E"/>
    <w:rsid w:val="00FC2890"/>
    <w:rsid w:val="00FC28D4"/>
    <w:rsid w:val="00FC28F9"/>
    <w:rsid w:val="00FC290C"/>
    <w:rsid w:val="00FC29E2"/>
    <w:rsid w:val="00FC2BBB"/>
    <w:rsid w:val="00FC2C33"/>
    <w:rsid w:val="00FC2F2A"/>
    <w:rsid w:val="00FC30AC"/>
    <w:rsid w:val="00FC312E"/>
    <w:rsid w:val="00FC32E7"/>
    <w:rsid w:val="00FC347C"/>
    <w:rsid w:val="00FC34FB"/>
    <w:rsid w:val="00FC3521"/>
    <w:rsid w:val="00FC352A"/>
    <w:rsid w:val="00FC354A"/>
    <w:rsid w:val="00FC3563"/>
    <w:rsid w:val="00FC3589"/>
    <w:rsid w:val="00FC35F4"/>
    <w:rsid w:val="00FC35F7"/>
    <w:rsid w:val="00FC36C4"/>
    <w:rsid w:val="00FC3751"/>
    <w:rsid w:val="00FC38B0"/>
    <w:rsid w:val="00FC38B2"/>
    <w:rsid w:val="00FC38F4"/>
    <w:rsid w:val="00FC3957"/>
    <w:rsid w:val="00FC398D"/>
    <w:rsid w:val="00FC39BA"/>
    <w:rsid w:val="00FC3A3C"/>
    <w:rsid w:val="00FC3A64"/>
    <w:rsid w:val="00FC3B47"/>
    <w:rsid w:val="00FC3BEA"/>
    <w:rsid w:val="00FC3C09"/>
    <w:rsid w:val="00FC3C34"/>
    <w:rsid w:val="00FC3CE5"/>
    <w:rsid w:val="00FC3CE7"/>
    <w:rsid w:val="00FC3CEE"/>
    <w:rsid w:val="00FC3CFD"/>
    <w:rsid w:val="00FC3E11"/>
    <w:rsid w:val="00FC3F21"/>
    <w:rsid w:val="00FC4062"/>
    <w:rsid w:val="00FC406C"/>
    <w:rsid w:val="00FC4185"/>
    <w:rsid w:val="00FC43BD"/>
    <w:rsid w:val="00FC4426"/>
    <w:rsid w:val="00FC4500"/>
    <w:rsid w:val="00FC4645"/>
    <w:rsid w:val="00FC4662"/>
    <w:rsid w:val="00FC46DC"/>
    <w:rsid w:val="00FC4700"/>
    <w:rsid w:val="00FC4702"/>
    <w:rsid w:val="00FC4744"/>
    <w:rsid w:val="00FC479B"/>
    <w:rsid w:val="00FC485C"/>
    <w:rsid w:val="00FC4982"/>
    <w:rsid w:val="00FC4C75"/>
    <w:rsid w:val="00FC4C7D"/>
    <w:rsid w:val="00FC4C80"/>
    <w:rsid w:val="00FC4E91"/>
    <w:rsid w:val="00FC4F57"/>
    <w:rsid w:val="00FC4F91"/>
    <w:rsid w:val="00FC5069"/>
    <w:rsid w:val="00FC516D"/>
    <w:rsid w:val="00FC51E7"/>
    <w:rsid w:val="00FC521F"/>
    <w:rsid w:val="00FC5260"/>
    <w:rsid w:val="00FC5299"/>
    <w:rsid w:val="00FC531B"/>
    <w:rsid w:val="00FC54E1"/>
    <w:rsid w:val="00FC567C"/>
    <w:rsid w:val="00FC5731"/>
    <w:rsid w:val="00FC57DE"/>
    <w:rsid w:val="00FC5961"/>
    <w:rsid w:val="00FC5AD3"/>
    <w:rsid w:val="00FC5AF2"/>
    <w:rsid w:val="00FC5BF1"/>
    <w:rsid w:val="00FC5C1F"/>
    <w:rsid w:val="00FC5CC9"/>
    <w:rsid w:val="00FC5E07"/>
    <w:rsid w:val="00FC5E98"/>
    <w:rsid w:val="00FC5EB6"/>
    <w:rsid w:val="00FC60CF"/>
    <w:rsid w:val="00FC61E2"/>
    <w:rsid w:val="00FC6246"/>
    <w:rsid w:val="00FC624D"/>
    <w:rsid w:val="00FC626A"/>
    <w:rsid w:val="00FC62C7"/>
    <w:rsid w:val="00FC62F2"/>
    <w:rsid w:val="00FC635B"/>
    <w:rsid w:val="00FC638B"/>
    <w:rsid w:val="00FC642C"/>
    <w:rsid w:val="00FC64F9"/>
    <w:rsid w:val="00FC6885"/>
    <w:rsid w:val="00FC69DF"/>
    <w:rsid w:val="00FC6AC3"/>
    <w:rsid w:val="00FC6BF2"/>
    <w:rsid w:val="00FC6E01"/>
    <w:rsid w:val="00FC6E72"/>
    <w:rsid w:val="00FC6E7F"/>
    <w:rsid w:val="00FC6E95"/>
    <w:rsid w:val="00FC6F48"/>
    <w:rsid w:val="00FC6F69"/>
    <w:rsid w:val="00FC701C"/>
    <w:rsid w:val="00FC702F"/>
    <w:rsid w:val="00FC721F"/>
    <w:rsid w:val="00FC7252"/>
    <w:rsid w:val="00FC72F7"/>
    <w:rsid w:val="00FC734C"/>
    <w:rsid w:val="00FC7364"/>
    <w:rsid w:val="00FC740A"/>
    <w:rsid w:val="00FC75DD"/>
    <w:rsid w:val="00FC776B"/>
    <w:rsid w:val="00FC776F"/>
    <w:rsid w:val="00FC78A8"/>
    <w:rsid w:val="00FC7933"/>
    <w:rsid w:val="00FC7939"/>
    <w:rsid w:val="00FC7C1D"/>
    <w:rsid w:val="00FC7C34"/>
    <w:rsid w:val="00FC7C73"/>
    <w:rsid w:val="00FC7CCE"/>
    <w:rsid w:val="00FC7D9F"/>
    <w:rsid w:val="00FC7DB2"/>
    <w:rsid w:val="00FC7EE2"/>
    <w:rsid w:val="00FC7EE7"/>
    <w:rsid w:val="00FC7F0B"/>
    <w:rsid w:val="00FC7FB3"/>
    <w:rsid w:val="00FCA5A7"/>
    <w:rsid w:val="00FD003D"/>
    <w:rsid w:val="00FD0134"/>
    <w:rsid w:val="00FD016C"/>
    <w:rsid w:val="00FD01DB"/>
    <w:rsid w:val="00FD02A1"/>
    <w:rsid w:val="00FD0408"/>
    <w:rsid w:val="00FD0424"/>
    <w:rsid w:val="00FD0453"/>
    <w:rsid w:val="00FD0479"/>
    <w:rsid w:val="00FD071C"/>
    <w:rsid w:val="00FD079F"/>
    <w:rsid w:val="00FD0819"/>
    <w:rsid w:val="00FD0886"/>
    <w:rsid w:val="00FD08FB"/>
    <w:rsid w:val="00FD0922"/>
    <w:rsid w:val="00FD0966"/>
    <w:rsid w:val="00FD0975"/>
    <w:rsid w:val="00FD098F"/>
    <w:rsid w:val="00FD09E6"/>
    <w:rsid w:val="00FD0AAC"/>
    <w:rsid w:val="00FD0B8C"/>
    <w:rsid w:val="00FD0C40"/>
    <w:rsid w:val="00FD0D65"/>
    <w:rsid w:val="00FD0D66"/>
    <w:rsid w:val="00FD0EEF"/>
    <w:rsid w:val="00FD1038"/>
    <w:rsid w:val="00FD10C1"/>
    <w:rsid w:val="00FD114D"/>
    <w:rsid w:val="00FD1289"/>
    <w:rsid w:val="00FD12E0"/>
    <w:rsid w:val="00FD1362"/>
    <w:rsid w:val="00FD13DB"/>
    <w:rsid w:val="00FD164B"/>
    <w:rsid w:val="00FD16B9"/>
    <w:rsid w:val="00FD18C1"/>
    <w:rsid w:val="00FD195A"/>
    <w:rsid w:val="00FD19EE"/>
    <w:rsid w:val="00FD1A42"/>
    <w:rsid w:val="00FD1A55"/>
    <w:rsid w:val="00FD1A6C"/>
    <w:rsid w:val="00FD1A9C"/>
    <w:rsid w:val="00FD1D98"/>
    <w:rsid w:val="00FD1DA3"/>
    <w:rsid w:val="00FD1F1F"/>
    <w:rsid w:val="00FD2180"/>
    <w:rsid w:val="00FD2295"/>
    <w:rsid w:val="00FD2530"/>
    <w:rsid w:val="00FD2687"/>
    <w:rsid w:val="00FD27CB"/>
    <w:rsid w:val="00FD2870"/>
    <w:rsid w:val="00FD2894"/>
    <w:rsid w:val="00FD28A3"/>
    <w:rsid w:val="00FD28A4"/>
    <w:rsid w:val="00FD297F"/>
    <w:rsid w:val="00FD2A3E"/>
    <w:rsid w:val="00FD2AC1"/>
    <w:rsid w:val="00FD2B69"/>
    <w:rsid w:val="00FD2B81"/>
    <w:rsid w:val="00FD2BC4"/>
    <w:rsid w:val="00FD2CC7"/>
    <w:rsid w:val="00FD2CDF"/>
    <w:rsid w:val="00FD2DB6"/>
    <w:rsid w:val="00FD2EC8"/>
    <w:rsid w:val="00FD2F06"/>
    <w:rsid w:val="00FD303C"/>
    <w:rsid w:val="00FD31B8"/>
    <w:rsid w:val="00FD32AF"/>
    <w:rsid w:val="00FD3511"/>
    <w:rsid w:val="00FD3596"/>
    <w:rsid w:val="00FD36E3"/>
    <w:rsid w:val="00FD3705"/>
    <w:rsid w:val="00FD37D3"/>
    <w:rsid w:val="00FD3989"/>
    <w:rsid w:val="00FD3AA7"/>
    <w:rsid w:val="00FD3ABE"/>
    <w:rsid w:val="00FD3AD3"/>
    <w:rsid w:val="00FD3B2F"/>
    <w:rsid w:val="00FD3BD9"/>
    <w:rsid w:val="00FD3BE2"/>
    <w:rsid w:val="00FD3CB4"/>
    <w:rsid w:val="00FD3CC1"/>
    <w:rsid w:val="00FD3DEE"/>
    <w:rsid w:val="00FD3EEB"/>
    <w:rsid w:val="00FD3F4E"/>
    <w:rsid w:val="00FD404A"/>
    <w:rsid w:val="00FD4054"/>
    <w:rsid w:val="00FD4061"/>
    <w:rsid w:val="00FD4087"/>
    <w:rsid w:val="00FD4114"/>
    <w:rsid w:val="00FD4149"/>
    <w:rsid w:val="00FD4251"/>
    <w:rsid w:val="00FD42D8"/>
    <w:rsid w:val="00FD43B0"/>
    <w:rsid w:val="00FD4474"/>
    <w:rsid w:val="00FD44DF"/>
    <w:rsid w:val="00FD44F2"/>
    <w:rsid w:val="00FD4507"/>
    <w:rsid w:val="00FD46CD"/>
    <w:rsid w:val="00FD470D"/>
    <w:rsid w:val="00FD4829"/>
    <w:rsid w:val="00FD483A"/>
    <w:rsid w:val="00FD49F6"/>
    <w:rsid w:val="00FD4A0C"/>
    <w:rsid w:val="00FD4A5B"/>
    <w:rsid w:val="00FD4B77"/>
    <w:rsid w:val="00FD4BD5"/>
    <w:rsid w:val="00FD4C39"/>
    <w:rsid w:val="00FD4D22"/>
    <w:rsid w:val="00FD4D3F"/>
    <w:rsid w:val="00FD4ED3"/>
    <w:rsid w:val="00FD4F43"/>
    <w:rsid w:val="00FD4F9C"/>
    <w:rsid w:val="00FD5211"/>
    <w:rsid w:val="00FD5220"/>
    <w:rsid w:val="00FD5290"/>
    <w:rsid w:val="00FD52BC"/>
    <w:rsid w:val="00FD53C1"/>
    <w:rsid w:val="00FD54B4"/>
    <w:rsid w:val="00FD54C7"/>
    <w:rsid w:val="00FD561E"/>
    <w:rsid w:val="00FD5745"/>
    <w:rsid w:val="00FD5758"/>
    <w:rsid w:val="00FD584D"/>
    <w:rsid w:val="00FD58C0"/>
    <w:rsid w:val="00FD58F4"/>
    <w:rsid w:val="00FD5915"/>
    <w:rsid w:val="00FD5984"/>
    <w:rsid w:val="00FD59D5"/>
    <w:rsid w:val="00FD59DD"/>
    <w:rsid w:val="00FD5A91"/>
    <w:rsid w:val="00FD5B32"/>
    <w:rsid w:val="00FD5C75"/>
    <w:rsid w:val="00FD5D2B"/>
    <w:rsid w:val="00FD5E06"/>
    <w:rsid w:val="00FD5EF7"/>
    <w:rsid w:val="00FD6010"/>
    <w:rsid w:val="00FD619B"/>
    <w:rsid w:val="00FD61BD"/>
    <w:rsid w:val="00FD628C"/>
    <w:rsid w:val="00FD62CF"/>
    <w:rsid w:val="00FD634B"/>
    <w:rsid w:val="00FD67D0"/>
    <w:rsid w:val="00FD6851"/>
    <w:rsid w:val="00FD6879"/>
    <w:rsid w:val="00FD6927"/>
    <w:rsid w:val="00FD69F5"/>
    <w:rsid w:val="00FD6A48"/>
    <w:rsid w:val="00FD6AFA"/>
    <w:rsid w:val="00FD6BE1"/>
    <w:rsid w:val="00FD6C55"/>
    <w:rsid w:val="00FD6E0C"/>
    <w:rsid w:val="00FD6F99"/>
    <w:rsid w:val="00FD706C"/>
    <w:rsid w:val="00FD70BF"/>
    <w:rsid w:val="00FD711F"/>
    <w:rsid w:val="00FD7247"/>
    <w:rsid w:val="00FD7450"/>
    <w:rsid w:val="00FD7619"/>
    <w:rsid w:val="00FD761A"/>
    <w:rsid w:val="00FD76CD"/>
    <w:rsid w:val="00FD7701"/>
    <w:rsid w:val="00FD7878"/>
    <w:rsid w:val="00FD790D"/>
    <w:rsid w:val="00FD7925"/>
    <w:rsid w:val="00FD7A4C"/>
    <w:rsid w:val="00FD7A4E"/>
    <w:rsid w:val="00FD7AED"/>
    <w:rsid w:val="00FD7B57"/>
    <w:rsid w:val="00FD7D06"/>
    <w:rsid w:val="00FD7D7B"/>
    <w:rsid w:val="00FD7DD2"/>
    <w:rsid w:val="00FE0013"/>
    <w:rsid w:val="00FE0171"/>
    <w:rsid w:val="00FE01CF"/>
    <w:rsid w:val="00FE0381"/>
    <w:rsid w:val="00FE0797"/>
    <w:rsid w:val="00FE07A8"/>
    <w:rsid w:val="00FE07D0"/>
    <w:rsid w:val="00FE0967"/>
    <w:rsid w:val="00FE0984"/>
    <w:rsid w:val="00FE09FE"/>
    <w:rsid w:val="00FE0A7C"/>
    <w:rsid w:val="00FE0B70"/>
    <w:rsid w:val="00FE0BBF"/>
    <w:rsid w:val="00FE0C3F"/>
    <w:rsid w:val="00FE0E65"/>
    <w:rsid w:val="00FE0F3C"/>
    <w:rsid w:val="00FE0FDC"/>
    <w:rsid w:val="00FE11B2"/>
    <w:rsid w:val="00FE1383"/>
    <w:rsid w:val="00FE1390"/>
    <w:rsid w:val="00FE146F"/>
    <w:rsid w:val="00FE147B"/>
    <w:rsid w:val="00FE14E5"/>
    <w:rsid w:val="00FE16CA"/>
    <w:rsid w:val="00FE16ED"/>
    <w:rsid w:val="00FE1779"/>
    <w:rsid w:val="00FE1881"/>
    <w:rsid w:val="00FE18EE"/>
    <w:rsid w:val="00FE1926"/>
    <w:rsid w:val="00FE193E"/>
    <w:rsid w:val="00FE1983"/>
    <w:rsid w:val="00FE19CF"/>
    <w:rsid w:val="00FE1A4C"/>
    <w:rsid w:val="00FE1BA5"/>
    <w:rsid w:val="00FE1BEF"/>
    <w:rsid w:val="00FE1C11"/>
    <w:rsid w:val="00FE1D03"/>
    <w:rsid w:val="00FE1DAE"/>
    <w:rsid w:val="00FE1DB1"/>
    <w:rsid w:val="00FE1E75"/>
    <w:rsid w:val="00FE1ED3"/>
    <w:rsid w:val="00FE20FA"/>
    <w:rsid w:val="00FE2151"/>
    <w:rsid w:val="00FE215D"/>
    <w:rsid w:val="00FE219D"/>
    <w:rsid w:val="00FE21F9"/>
    <w:rsid w:val="00FE244C"/>
    <w:rsid w:val="00FE2552"/>
    <w:rsid w:val="00FE2593"/>
    <w:rsid w:val="00FE2873"/>
    <w:rsid w:val="00FE28F6"/>
    <w:rsid w:val="00FE28FD"/>
    <w:rsid w:val="00FE291D"/>
    <w:rsid w:val="00FE2A0B"/>
    <w:rsid w:val="00FE2C72"/>
    <w:rsid w:val="00FE2D2A"/>
    <w:rsid w:val="00FE2DB3"/>
    <w:rsid w:val="00FE2DEA"/>
    <w:rsid w:val="00FE2F83"/>
    <w:rsid w:val="00FE3028"/>
    <w:rsid w:val="00FE322B"/>
    <w:rsid w:val="00FE3254"/>
    <w:rsid w:val="00FE3381"/>
    <w:rsid w:val="00FE33AD"/>
    <w:rsid w:val="00FE33ED"/>
    <w:rsid w:val="00FE3417"/>
    <w:rsid w:val="00FE3455"/>
    <w:rsid w:val="00FE34C3"/>
    <w:rsid w:val="00FE34E7"/>
    <w:rsid w:val="00FE35E4"/>
    <w:rsid w:val="00FE362D"/>
    <w:rsid w:val="00FE36A5"/>
    <w:rsid w:val="00FE372F"/>
    <w:rsid w:val="00FE3770"/>
    <w:rsid w:val="00FE37D8"/>
    <w:rsid w:val="00FE3860"/>
    <w:rsid w:val="00FE38A3"/>
    <w:rsid w:val="00FE398B"/>
    <w:rsid w:val="00FE3D1C"/>
    <w:rsid w:val="00FE3DCD"/>
    <w:rsid w:val="00FE3DD2"/>
    <w:rsid w:val="00FE3E1A"/>
    <w:rsid w:val="00FE3F33"/>
    <w:rsid w:val="00FE415A"/>
    <w:rsid w:val="00FE4215"/>
    <w:rsid w:val="00FE425E"/>
    <w:rsid w:val="00FE4382"/>
    <w:rsid w:val="00FE45A1"/>
    <w:rsid w:val="00FE45C7"/>
    <w:rsid w:val="00FE477B"/>
    <w:rsid w:val="00FE4969"/>
    <w:rsid w:val="00FE49CC"/>
    <w:rsid w:val="00FE4A43"/>
    <w:rsid w:val="00FE4AAF"/>
    <w:rsid w:val="00FE4AD8"/>
    <w:rsid w:val="00FE4B25"/>
    <w:rsid w:val="00FE4BE6"/>
    <w:rsid w:val="00FE4C8C"/>
    <w:rsid w:val="00FE4D93"/>
    <w:rsid w:val="00FE4EFC"/>
    <w:rsid w:val="00FE4F47"/>
    <w:rsid w:val="00FE50D3"/>
    <w:rsid w:val="00FE513B"/>
    <w:rsid w:val="00FE5198"/>
    <w:rsid w:val="00FE5225"/>
    <w:rsid w:val="00FE5249"/>
    <w:rsid w:val="00FE5318"/>
    <w:rsid w:val="00FE53D6"/>
    <w:rsid w:val="00FE546B"/>
    <w:rsid w:val="00FE5600"/>
    <w:rsid w:val="00FE563E"/>
    <w:rsid w:val="00FE5AD4"/>
    <w:rsid w:val="00FE5B72"/>
    <w:rsid w:val="00FE5B77"/>
    <w:rsid w:val="00FE5BA4"/>
    <w:rsid w:val="00FE5C8F"/>
    <w:rsid w:val="00FE5D44"/>
    <w:rsid w:val="00FE5D80"/>
    <w:rsid w:val="00FE5EA2"/>
    <w:rsid w:val="00FE5FC6"/>
    <w:rsid w:val="00FE6006"/>
    <w:rsid w:val="00FE61AC"/>
    <w:rsid w:val="00FE61DA"/>
    <w:rsid w:val="00FE627C"/>
    <w:rsid w:val="00FE62D8"/>
    <w:rsid w:val="00FE63BE"/>
    <w:rsid w:val="00FE64B2"/>
    <w:rsid w:val="00FE65AB"/>
    <w:rsid w:val="00FE65CE"/>
    <w:rsid w:val="00FE65DA"/>
    <w:rsid w:val="00FE678A"/>
    <w:rsid w:val="00FE67C8"/>
    <w:rsid w:val="00FE69DB"/>
    <w:rsid w:val="00FE6A01"/>
    <w:rsid w:val="00FE6A10"/>
    <w:rsid w:val="00FE6A78"/>
    <w:rsid w:val="00FE6ACA"/>
    <w:rsid w:val="00FE6B88"/>
    <w:rsid w:val="00FE6C9C"/>
    <w:rsid w:val="00FE6CED"/>
    <w:rsid w:val="00FE6D40"/>
    <w:rsid w:val="00FE6F6F"/>
    <w:rsid w:val="00FE6F99"/>
    <w:rsid w:val="00FE715E"/>
    <w:rsid w:val="00FE7390"/>
    <w:rsid w:val="00FE7502"/>
    <w:rsid w:val="00FE759F"/>
    <w:rsid w:val="00FE76F0"/>
    <w:rsid w:val="00FE77BD"/>
    <w:rsid w:val="00FE7853"/>
    <w:rsid w:val="00FE78CE"/>
    <w:rsid w:val="00FE78FE"/>
    <w:rsid w:val="00FE7903"/>
    <w:rsid w:val="00FE794E"/>
    <w:rsid w:val="00FE7A20"/>
    <w:rsid w:val="00FE7B89"/>
    <w:rsid w:val="00FE7C08"/>
    <w:rsid w:val="00FE7C19"/>
    <w:rsid w:val="00FE7C41"/>
    <w:rsid w:val="00FE7D84"/>
    <w:rsid w:val="00FE7E81"/>
    <w:rsid w:val="00FE7E9C"/>
    <w:rsid w:val="00FF0064"/>
    <w:rsid w:val="00FF0146"/>
    <w:rsid w:val="00FF0161"/>
    <w:rsid w:val="00FF0196"/>
    <w:rsid w:val="00FF02D5"/>
    <w:rsid w:val="00FF032B"/>
    <w:rsid w:val="00FF046C"/>
    <w:rsid w:val="00FF04A5"/>
    <w:rsid w:val="00FF05E5"/>
    <w:rsid w:val="00FF065E"/>
    <w:rsid w:val="00FF06A2"/>
    <w:rsid w:val="00FF075A"/>
    <w:rsid w:val="00FF07F4"/>
    <w:rsid w:val="00FF0964"/>
    <w:rsid w:val="00FF09C3"/>
    <w:rsid w:val="00FF0AAB"/>
    <w:rsid w:val="00FF0B7F"/>
    <w:rsid w:val="00FF0C91"/>
    <w:rsid w:val="00FF0CCE"/>
    <w:rsid w:val="00FF0D19"/>
    <w:rsid w:val="00FF0DA1"/>
    <w:rsid w:val="00FF0DD7"/>
    <w:rsid w:val="00FF0E3F"/>
    <w:rsid w:val="00FF0E9A"/>
    <w:rsid w:val="00FF0F4D"/>
    <w:rsid w:val="00FF1142"/>
    <w:rsid w:val="00FF1144"/>
    <w:rsid w:val="00FF123C"/>
    <w:rsid w:val="00FF1253"/>
    <w:rsid w:val="00FF1421"/>
    <w:rsid w:val="00FF155F"/>
    <w:rsid w:val="00FF1569"/>
    <w:rsid w:val="00FF16D1"/>
    <w:rsid w:val="00FF16D4"/>
    <w:rsid w:val="00FF177B"/>
    <w:rsid w:val="00FF17AA"/>
    <w:rsid w:val="00FF17F3"/>
    <w:rsid w:val="00FF1842"/>
    <w:rsid w:val="00FF1998"/>
    <w:rsid w:val="00FF1D01"/>
    <w:rsid w:val="00FF1D05"/>
    <w:rsid w:val="00FF1F5B"/>
    <w:rsid w:val="00FF1FA1"/>
    <w:rsid w:val="00FF1FA9"/>
    <w:rsid w:val="00FF203E"/>
    <w:rsid w:val="00FF207B"/>
    <w:rsid w:val="00FF22C8"/>
    <w:rsid w:val="00FF22F7"/>
    <w:rsid w:val="00FF230D"/>
    <w:rsid w:val="00FF2322"/>
    <w:rsid w:val="00FF24AF"/>
    <w:rsid w:val="00FF258D"/>
    <w:rsid w:val="00FF2677"/>
    <w:rsid w:val="00FF26F3"/>
    <w:rsid w:val="00FF2711"/>
    <w:rsid w:val="00FF28E4"/>
    <w:rsid w:val="00FF2978"/>
    <w:rsid w:val="00FF2A21"/>
    <w:rsid w:val="00FF2A22"/>
    <w:rsid w:val="00FF2A78"/>
    <w:rsid w:val="00FF2B70"/>
    <w:rsid w:val="00FF2B99"/>
    <w:rsid w:val="00FF2CFC"/>
    <w:rsid w:val="00FF2D57"/>
    <w:rsid w:val="00FF2EDB"/>
    <w:rsid w:val="00FF2FD9"/>
    <w:rsid w:val="00FF3226"/>
    <w:rsid w:val="00FF345A"/>
    <w:rsid w:val="00FF345F"/>
    <w:rsid w:val="00FF349E"/>
    <w:rsid w:val="00FF34AC"/>
    <w:rsid w:val="00FF3528"/>
    <w:rsid w:val="00FF39D2"/>
    <w:rsid w:val="00FF3A4B"/>
    <w:rsid w:val="00FF3AB0"/>
    <w:rsid w:val="00FF3AFB"/>
    <w:rsid w:val="00FF3C74"/>
    <w:rsid w:val="00FF3D35"/>
    <w:rsid w:val="00FF3EAA"/>
    <w:rsid w:val="00FF3EB6"/>
    <w:rsid w:val="00FF3EFB"/>
    <w:rsid w:val="00FF413B"/>
    <w:rsid w:val="00FF4213"/>
    <w:rsid w:val="00FF42C5"/>
    <w:rsid w:val="00FF4352"/>
    <w:rsid w:val="00FF44B5"/>
    <w:rsid w:val="00FF452F"/>
    <w:rsid w:val="00FF4576"/>
    <w:rsid w:val="00FF4643"/>
    <w:rsid w:val="00FF4648"/>
    <w:rsid w:val="00FF4783"/>
    <w:rsid w:val="00FF49C1"/>
    <w:rsid w:val="00FF4A50"/>
    <w:rsid w:val="00FF4B8F"/>
    <w:rsid w:val="00FF4B95"/>
    <w:rsid w:val="00FF4BF8"/>
    <w:rsid w:val="00FF4C26"/>
    <w:rsid w:val="00FF4C80"/>
    <w:rsid w:val="00FF4CA4"/>
    <w:rsid w:val="00FF4CE5"/>
    <w:rsid w:val="00FF4DF4"/>
    <w:rsid w:val="00FF4E48"/>
    <w:rsid w:val="00FF4EA0"/>
    <w:rsid w:val="00FF4ECD"/>
    <w:rsid w:val="00FF4F28"/>
    <w:rsid w:val="00FF50F3"/>
    <w:rsid w:val="00FF521F"/>
    <w:rsid w:val="00FF5257"/>
    <w:rsid w:val="00FF5291"/>
    <w:rsid w:val="00FF5292"/>
    <w:rsid w:val="00FF537F"/>
    <w:rsid w:val="00FF5467"/>
    <w:rsid w:val="00FF556A"/>
    <w:rsid w:val="00FF558C"/>
    <w:rsid w:val="00FF5678"/>
    <w:rsid w:val="00FF5737"/>
    <w:rsid w:val="00FF58A2"/>
    <w:rsid w:val="00FF5A87"/>
    <w:rsid w:val="00FF5AF3"/>
    <w:rsid w:val="00FF5C68"/>
    <w:rsid w:val="00FF5CF1"/>
    <w:rsid w:val="00FF5D1F"/>
    <w:rsid w:val="00FF5EB7"/>
    <w:rsid w:val="00FF5ECC"/>
    <w:rsid w:val="00FF5ED1"/>
    <w:rsid w:val="00FF5F21"/>
    <w:rsid w:val="00FF5FD1"/>
    <w:rsid w:val="00FF609F"/>
    <w:rsid w:val="00FF60EE"/>
    <w:rsid w:val="00FF6143"/>
    <w:rsid w:val="00FF61D9"/>
    <w:rsid w:val="00FF627B"/>
    <w:rsid w:val="00FF642D"/>
    <w:rsid w:val="00FF6475"/>
    <w:rsid w:val="00FF6484"/>
    <w:rsid w:val="00FF685F"/>
    <w:rsid w:val="00FF6A77"/>
    <w:rsid w:val="00FF6C33"/>
    <w:rsid w:val="00FF6C4C"/>
    <w:rsid w:val="00FF6C59"/>
    <w:rsid w:val="00FF6C90"/>
    <w:rsid w:val="00FF6D66"/>
    <w:rsid w:val="00FF6EB3"/>
    <w:rsid w:val="00FF6FC2"/>
    <w:rsid w:val="00FF6FE9"/>
    <w:rsid w:val="00FF7099"/>
    <w:rsid w:val="00FF713B"/>
    <w:rsid w:val="00FF7217"/>
    <w:rsid w:val="00FF7459"/>
    <w:rsid w:val="00FF753F"/>
    <w:rsid w:val="00FF75A0"/>
    <w:rsid w:val="00FF75FE"/>
    <w:rsid w:val="00FF7627"/>
    <w:rsid w:val="00FF76D6"/>
    <w:rsid w:val="00FF7706"/>
    <w:rsid w:val="00FF7791"/>
    <w:rsid w:val="00FF77BC"/>
    <w:rsid w:val="00FF780F"/>
    <w:rsid w:val="00FF7811"/>
    <w:rsid w:val="00FF786B"/>
    <w:rsid w:val="00FF78CD"/>
    <w:rsid w:val="00FF790F"/>
    <w:rsid w:val="00FF7936"/>
    <w:rsid w:val="00FF7954"/>
    <w:rsid w:val="00FF798D"/>
    <w:rsid w:val="00FF7B6C"/>
    <w:rsid w:val="00FF7B95"/>
    <w:rsid w:val="00FF7BBE"/>
    <w:rsid w:val="00FF7C75"/>
    <w:rsid w:val="00FF7C98"/>
    <w:rsid w:val="00FF7CA8"/>
    <w:rsid w:val="00FF7E5F"/>
    <w:rsid w:val="00FF7E9A"/>
    <w:rsid w:val="00FF7F27"/>
    <w:rsid w:val="00FF7F8A"/>
    <w:rsid w:val="0103AA50"/>
    <w:rsid w:val="01110426"/>
    <w:rsid w:val="0122FA26"/>
    <w:rsid w:val="01250A77"/>
    <w:rsid w:val="012BFAEF"/>
    <w:rsid w:val="0133C6BC"/>
    <w:rsid w:val="01414675"/>
    <w:rsid w:val="017612E6"/>
    <w:rsid w:val="017D8952"/>
    <w:rsid w:val="01BAD188"/>
    <w:rsid w:val="01BF8445"/>
    <w:rsid w:val="01D97858"/>
    <w:rsid w:val="02269913"/>
    <w:rsid w:val="024A5891"/>
    <w:rsid w:val="0268124C"/>
    <w:rsid w:val="026D6DA1"/>
    <w:rsid w:val="026D70D9"/>
    <w:rsid w:val="0273674D"/>
    <w:rsid w:val="02A5E494"/>
    <w:rsid w:val="02B10E26"/>
    <w:rsid w:val="02B3CDC5"/>
    <w:rsid w:val="02B691CD"/>
    <w:rsid w:val="02B8C5D2"/>
    <w:rsid w:val="02C36BDE"/>
    <w:rsid w:val="02C3FF83"/>
    <w:rsid w:val="02C87C6D"/>
    <w:rsid w:val="02CFD41B"/>
    <w:rsid w:val="02D2EA2E"/>
    <w:rsid w:val="02DC7F9F"/>
    <w:rsid w:val="02DD0B71"/>
    <w:rsid w:val="031233C9"/>
    <w:rsid w:val="033648D1"/>
    <w:rsid w:val="0337FB89"/>
    <w:rsid w:val="035CE971"/>
    <w:rsid w:val="0365DA12"/>
    <w:rsid w:val="039D361C"/>
    <w:rsid w:val="03A47465"/>
    <w:rsid w:val="03AE23DA"/>
    <w:rsid w:val="03F592AF"/>
    <w:rsid w:val="043E33A0"/>
    <w:rsid w:val="045F8192"/>
    <w:rsid w:val="04664338"/>
    <w:rsid w:val="0477AF8C"/>
    <w:rsid w:val="047FB002"/>
    <w:rsid w:val="048F20BA"/>
    <w:rsid w:val="04A5DBAF"/>
    <w:rsid w:val="04A5E27C"/>
    <w:rsid w:val="04C28018"/>
    <w:rsid w:val="04C5A8E6"/>
    <w:rsid w:val="04CFE58B"/>
    <w:rsid w:val="04FF8819"/>
    <w:rsid w:val="052DFB6E"/>
    <w:rsid w:val="05327F3C"/>
    <w:rsid w:val="053985D8"/>
    <w:rsid w:val="0559DF70"/>
    <w:rsid w:val="05600BC8"/>
    <w:rsid w:val="05636372"/>
    <w:rsid w:val="0564BBB9"/>
    <w:rsid w:val="058A4604"/>
    <w:rsid w:val="05C5B156"/>
    <w:rsid w:val="05D3F5D4"/>
    <w:rsid w:val="05D77313"/>
    <w:rsid w:val="05DEE96F"/>
    <w:rsid w:val="05DFBC8C"/>
    <w:rsid w:val="05F2A5A2"/>
    <w:rsid w:val="061FAC07"/>
    <w:rsid w:val="06363A66"/>
    <w:rsid w:val="063BB913"/>
    <w:rsid w:val="0655959C"/>
    <w:rsid w:val="065733CB"/>
    <w:rsid w:val="066CF4AD"/>
    <w:rsid w:val="066F1D04"/>
    <w:rsid w:val="067BC3BA"/>
    <w:rsid w:val="06C2F7B0"/>
    <w:rsid w:val="06F820A6"/>
    <w:rsid w:val="06FD14CA"/>
    <w:rsid w:val="07159BD4"/>
    <w:rsid w:val="073361FF"/>
    <w:rsid w:val="073E0D28"/>
    <w:rsid w:val="074B535F"/>
    <w:rsid w:val="0756FCFF"/>
    <w:rsid w:val="07600B13"/>
    <w:rsid w:val="07609202"/>
    <w:rsid w:val="076DB1E4"/>
    <w:rsid w:val="0787334C"/>
    <w:rsid w:val="07AFF4CD"/>
    <w:rsid w:val="07B0642D"/>
    <w:rsid w:val="07B19997"/>
    <w:rsid w:val="07D395F2"/>
    <w:rsid w:val="07E81A3E"/>
    <w:rsid w:val="07F2B9B8"/>
    <w:rsid w:val="07F5DCC5"/>
    <w:rsid w:val="081C87A4"/>
    <w:rsid w:val="0839C311"/>
    <w:rsid w:val="083C1B46"/>
    <w:rsid w:val="083D34DE"/>
    <w:rsid w:val="08519729"/>
    <w:rsid w:val="0857D1CA"/>
    <w:rsid w:val="08709FE4"/>
    <w:rsid w:val="087BD499"/>
    <w:rsid w:val="087FB4F7"/>
    <w:rsid w:val="08997C05"/>
    <w:rsid w:val="08B66ABE"/>
    <w:rsid w:val="08C5048A"/>
    <w:rsid w:val="08E5C414"/>
    <w:rsid w:val="0904F9EE"/>
    <w:rsid w:val="090D62B5"/>
    <w:rsid w:val="091C8709"/>
    <w:rsid w:val="09214DFA"/>
    <w:rsid w:val="0929C150"/>
    <w:rsid w:val="0938482D"/>
    <w:rsid w:val="09462A83"/>
    <w:rsid w:val="09513EC3"/>
    <w:rsid w:val="09812D62"/>
    <w:rsid w:val="09896F2C"/>
    <w:rsid w:val="098985D9"/>
    <w:rsid w:val="09924893"/>
    <w:rsid w:val="09A9179B"/>
    <w:rsid w:val="09C0E5F4"/>
    <w:rsid w:val="09C69C37"/>
    <w:rsid w:val="09CB0802"/>
    <w:rsid w:val="09D5C9BE"/>
    <w:rsid w:val="09D6A1CD"/>
    <w:rsid w:val="09D6D1BB"/>
    <w:rsid w:val="09E25217"/>
    <w:rsid w:val="09E46C44"/>
    <w:rsid w:val="09EC0779"/>
    <w:rsid w:val="09ECD6E6"/>
    <w:rsid w:val="09F812E5"/>
    <w:rsid w:val="0A07B7B6"/>
    <w:rsid w:val="0A0943E7"/>
    <w:rsid w:val="0A16D0E4"/>
    <w:rsid w:val="0A1CBDE1"/>
    <w:rsid w:val="0A1E0246"/>
    <w:rsid w:val="0A2DA1B0"/>
    <w:rsid w:val="0A37F0E0"/>
    <w:rsid w:val="0A421F4C"/>
    <w:rsid w:val="0A51D78B"/>
    <w:rsid w:val="0A6685C6"/>
    <w:rsid w:val="0AA2A58A"/>
    <w:rsid w:val="0AA575F7"/>
    <w:rsid w:val="0AD6BF19"/>
    <w:rsid w:val="0B01A85D"/>
    <w:rsid w:val="0B082199"/>
    <w:rsid w:val="0B0D8ACC"/>
    <w:rsid w:val="0B154BF9"/>
    <w:rsid w:val="0B1EF7C9"/>
    <w:rsid w:val="0B28F5D1"/>
    <w:rsid w:val="0B3B55B8"/>
    <w:rsid w:val="0B3D1889"/>
    <w:rsid w:val="0B3EE079"/>
    <w:rsid w:val="0B3F67B5"/>
    <w:rsid w:val="0B4AD73B"/>
    <w:rsid w:val="0B5AC8E4"/>
    <w:rsid w:val="0B65E0F2"/>
    <w:rsid w:val="0B966DC8"/>
    <w:rsid w:val="0B9BAC9A"/>
    <w:rsid w:val="0BA2D976"/>
    <w:rsid w:val="0BD6BBD6"/>
    <w:rsid w:val="0BF59030"/>
    <w:rsid w:val="0BF61677"/>
    <w:rsid w:val="0C022888"/>
    <w:rsid w:val="0C22ED0D"/>
    <w:rsid w:val="0C2E72DA"/>
    <w:rsid w:val="0C3336FE"/>
    <w:rsid w:val="0C3B159F"/>
    <w:rsid w:val="0C431380"/>
    <w:rsid w:val="0C4FF3A4"/>
    <w:rsid w:val="0C5CA27B"/>
    <w:rsid w:val="0C5E2AA4"/>
    <w:rsid w:val="0C7587D0"/>
    <w:rsid w:val="0C9DB6B5"/>
    <w:rsid w:val="0C9F0AF6"/>
    <w:rsid w:val="0CBBC7E7"/>
    <w:rsid w:val="0D0262DD"/>
    <w:rsid w:val="0D17C6FF"/>
    <w:rsid w:val="0D1833FF"/>
    <w:rsid w:val="0D19FB48"/>
    <w:rsid w:val="0D21D6F2"/>
    <w:rsid w:val="0D235E6C"/>
    <w:rsid w:val="0D809F9A"/>
    <w:rsid w:val="0D8995A4"/>
    <w:rsid w:val="0DA46583"/>
    <w:rsid w:val="0DCC230A"/>
    <w:rsid w:val="0DD3F1B5"/>
    <w:rsid w:val="0DD5E57F"/>
    <w:rsid w:val="0DDAD2B1"/>
    <w:rsid w:val="0E0B6EE0"/>
    <w:rsid w:val="0E28F7E1"/>
    <w:rsid w:val="0E2F40B7"/>
    <w:rsid w:val="0E382068"/>
    <w:rsid w:val="0E489715"/>
    <w:rsid w:val="0E491C72"/>
    <w:rsid w:val="0E536A17"/>
    <w:rsid w:val="0E60BFE2"/>
    <w:rsid w:val="0E649D6C"/>
    <w:rsid w:val="0E73E709"/>
    <w:rsid w:val="0E7CCB6B"/>
    <w:rsid w:val="0E7E970B"/>
    <w:rsid w:val="0E89F2A6"/>
    <w:rsid w:val="0E9248D8"/>
    <w:rsid w:val="0E9B4FFF"/>
    <w:rsid w:val="0EBE50AF"/>
    <w:rsid w:val="0ECD070A"/>
    <w:rsid w:val="0EDABA35"/>
    <w:rsid w:val="0EDF546C"/>
    <w:rsid w:val="0EFB2361"/>
    <w:rsid w:val="0F0A5D72"/>
    <w:rsid w:val="0F205578"/>
    <w:rsid w:val="0F23CC13"/>
    <w:rsid w:val="0F322216"/>
    <w:rsid w:val="0F4CE91E"/>
    <w:rsid w:val="0F4E366A"/>
    <w:rsid w:val="0F7F184B"/>
    <w:rsid w:val="0F9118E1"/>
    <w:rsid w:val="0FC8767C"/>
    <w:rsid w:val="0FFC9D93"/>
    <w:rsid w:val="100DB1AD"/>
    <w:rsid w:val="1026E533"/>
    <w:rsid w:val="103D0166"/>
    <w:rsid w:val="10410FC9"/>
    <w:rsid w:val="1041E3DA"/>
    <w:rsid w:val="104635A2"/>
    <w:rsid w:val="1048F73C"/>
    <w:rsid w:val="10560213"/>
    <w:rsid w:val="107382E0"/>
    <w:rsid w:val="109939F8"/>
    <w:rsid w:val="109D4AAB"/>
    <w:rsid w:val="10A23863"/>
    <w:rsid w:val="10B2C56E"/>
    <w:rsid w:val="10B7E847"/>
    <w:rsid w:val="10C443C8"/>
    <w:rsid w:val="10C4788A"/>
    <w:rsid w:val="10E5207D"/>
    <w:rsid w:val="10FA1030"/>
    <w:rsid w:val="10FFE06F"/>
    <w:rsid w:val="1120DD07"/>
    <w:rsid w:val="1129A1BD"/>
    <w:rsid w:val="1150CD22"/>
    <w:rsid w:val="1158DE5C"/>
    <w:rsid w:val="1159EABF"/>
    <w:rsid w:val="116511D2"/>
    <w:rsid w:val="1189D572"/>
    <w:rsid w:val="11927BDD"/>
    <w:rsid w:val="11A9363E"/>
    <w:rsid w:val="11BE509C"/>
    <w:rsid w:val="11C08320"/>
    <w:rsid w:val="11DF6D9D"/>
    <w:rsid w:val="11E076AD"/>
    <w:rsid w:val="11F05C07"/>
    <w:rsid w:val="120E54B1"/>
    <w:rsid w:val="1210D0B4"/>
    <w:rsid w:val="12396855"/>
    <w:rsid w:val="12475DB9"/>
    <w:rsid w:val="124EBCFA"/>
    <w:rsid w:val="12666A36"/>
    <w:rsid w:val="12727FDC"/>
    <w:rsid w:val="12B29A68"/>
    <w:rsid w:val="130286CF"/>
    <w:rsid w:val="131CF972"/>
    <w:rsid w:val="1324FD79"/>
    <w:rsid w:val="13480F54"/>
    <w:rsid w:val="1374739C"/>
    <w:rsid w:val="1379B495"/>
    <w:rsid w:val="13868ED0"/>
    <w:rsid w:val="13D3254A"/>
    <w:rsid w:val="13D768F5"/>
    <w:rsid w:val="13DA9BD8"/>
    <w:rsid w:val="13E17D93"/>
    <w:rsid w:val="13E81821"/>
    <w:rsid w:val="13EDECA8"/>
    <w:rsid w:val="13F294DC"/>
    <w:rsid w:val="13F57F95"/>
    <w:rsid w:val="140FD549"/>
    <w:rsid w:val="1412BDF7"/>
    <w:rsid w:val="14371A8C"/>
    <w:rsid w:val="14588BDA"/>
    <w:rsid w:val="14612A07"/>
    <w:rsid w:val="146C63D1"/>
    <w:rsid w:val="1490B4B6"/>
    <w:rsid w:val="14930794"/>
    <w:rsid w:val="14955C84"/>
    <w:rsid w:val="1498243E"/>
    <w:rsid w:val="149831AC"/>
    <w:rsid w:val="14A448E1"/>
    <w:rsid w:val="14AA25F0"/>
    <w:rsid w:val="14ADBE03"/>
    <w:rsid w:val="14B6A25A"/>
    <w:rsid w:val="14DBAD7B"/>
    <w:rsid w:val="14E414DF"/>
    <w:rsid w:val="14E62A95"/>
    <w:rsid w:val="14F9D673"/>
    <w:rsid w:val="14FB98FC"/>
    <w:rsid w:val="150A05A0"/>
    <w:rsid w:val="151661D8"/>
    <w:rsid w:val="1535AE2F"/>
    <w:rsid w:val="153E9125"/>
    <w:rsid w:val="153EB4C9"/>
    <w:rsid w:val="15451A68"/>
    <w:rsid w:val="15548DBD"/>
    <w:rsid w:val="15626C7C"/>
    <w:rsid w:val="1577055A"/>
    <w:rsid w:val="157ABFA8"/>
    <w:rsid w:val="1586B149"/>
    <w:rsid w:val="15876301"/>
    <w:rsid w:val="15A6C5D3"/>
    <w:rsid w:val="15A70203"/>
    <w:rsid w:val="15AEA8A7"/>
    <w:rsid w:val="15CB9213"/>
    <w:rsid w:val="160D7189"/>
    <w:rsid w:val="1610474C"/>
    <w:rsid w:val="1617D68C"/>
    <w:rsid w:val="163014E8"/>
    <w:rsid w:val="1650B4DE"/>
    <w:rsid w:val="1654BB24"/>
    <w:rsid w:val="165AEE92"/>
    <w:rsid w:val="16670B7D"/>
    <w:rsid w:val="16828D61"/>
    <w:rsid w:val="1692FAC1"/>
    <w:rsid w:val="16AB7E16"/>
    <w:rsid w:val="16CE2548"/>
    <w:rsid w:val="16D4F50B"/>
    <w:rsid w:val="16DA2582"/>
    <w:rsid w:val="16EED089"/>
    <w:rsid w:val="1703949B"/>
    <w:rsid w:val="170B8B71"/>
    <w:rsid w:val="171CA673"/>
    <w:rsid w:val="171D25EF"/>
    <w:rsid w:val="1722B224"/>
    <w:rsid w:val="174E0D73"/>
    <w:rsid w:val="1759DBD6"/>
    <w:rsid w:val="175F0911"/>
    <w:rsid w:val="1777794F"/>
    <w:rsid w:val="177ACA8E"/>
    <w:rsid w:val="17828331"/>
    <w:rsid w:val="17834B66"/>
    <w:rsid w:val="1796B379"/>
    <w:rsid w:val="17C07E9D"/>
    <w:rsid w:val="17D90DFB"/>
    <w:rsid w:val="1800A5BC"/>
    <w:rsid w:val="18218CAE"/>
    <w:rsid w:val="18240BA2"/>
    <w:rsid w:val="182473ED"/>
    <w:rsid w:val="1832AB3F"/>
    <w:rsid w:val="18822E0E"/>
    <w:rsid w:val="188382E9"/>
    <w:rsid w:val="18A95041"/>
    <w:rsid w:val="18AEEA33"/>
    <w:rsid w:val="18BFF942"/>
    <w:rsid w:val="18FFF238"/>
    <w:rsid w:val="191F13C6"/>
    <w:rsid w:val="192565C0"/>
    <w:rsid w:val="192D4E64"/>
    <w:rsid w:val="1960F283"/>
    <w:rsid w:val="1988C43A"/>
    <w:rsid w:val="19903BB5"/>
    <w:rsid w:val="199CBF72"/>
    <w:rsid w:val="19BEB74D"/>
    <w:rsid w:val="19DF3F29"/>
    <w:rsid w:val="19F1127E"/>
    <w:rsid w:val="1A0A9644"/>
    <w:rsid w:val="1A3D029A"/>
    <w:rsid w:val="1A449964"/>
    <w:rsid w:val="1A45FDA0"/>
    <w:rsid w:val="1A4743F1"/>
    <w:rsid w:val="1A561E3D"/>
    <w:rsid w:val="1A5F269A"/>
    <w:rsid w:val="1A63473F"/>
    <w:rsid w:val="1A78ED5C"/>
    <w:rsid w:val="1A79253F"/>
    <w:rsid w:val="1A7D666C"/>
    <w:rsid w:val="1A8D439D"/>
    <w:rsid w:val="1AA6D397"/>
    <w:rsid w:val="1AB06B65"/>
    <w:rsid w:val="1AB06B6A"/>
    <w:rsid w:val="1ACC25B9"/>
    <w:rsid w:val="1ACFACC1"/>
    <w:rsid w:val="1AD9B735"/>
    <w:rsid w:val="1AE268BB"/>
    <w:rsid w:val="1AEECB92"/>
    <w:rsid w:val="1AF1E71A"/>
    <w:rsid w:val="1AF5B675"/>
    <w:rsid w:val="1B4126CD"/>
    <w:rsid w:val="1B503C9D"/>
    <w:rsid w:val="1B51A7F8"/>
    <w:rsid w:val="1B56D792"/>
    <w:rsid w:val="1B845492"/>
    <w:rsid w:val="1B9B92DF"/>
    <w:rsid w:val="1BB1FFB8"/>
    <w:rsid w:val="1BD0D164"/>
    <w:rsid w:val="1BD7ADF1"/>
    <w:rsid w:val="1BEFC861"/>
    <w:rsid w:val="1BF1B46B"/>
    <w:rsid w:val="1BFEFFBD"/>
    <w:rsid w:val="1C119DE6"/>
    <w:rsid w:val="1C245746"/>
    <w:rsid w:val="1C3CBCF7"/>
    <w:rsid w:val="1C4AD187"/>
    <w:rsid w:val="1C4E6910"/>
    <w:rsid w:val="1C692384"/>
    <w:rsid w:val="1C750C42"/>
    <w:rsid w:val="1C793B3E"/>
    <w:rsid w:val="1CBC9C4E"/>
    <w:rsid w:val="1CC01DF8"/>
    <w:rsid w:val="1CCD39EA"/>
    <w:rsid w:val="1CECE54F"/>
    <w:rsid w:val="1CEE855B"/>
    <w:rsid w:val="1CF35B19"/>
    <w:rsid w:val="1D1BBBF6"/>
    <w:rsid w:val="1D2CF365"/>
    <w:rsid w:val="1D4841DA"/>
    <w:rsid w:val="1D540929"/>
    <w:rsid w:val="1D5E1EAC"/>
    <w:rsid w:val="1D7313F1"/>
    <w:rsid w:val="1D9DF5B1"/>
    <w:rsid w:val="1DA4FB80"/>
    <w:rsid w:val="1DB58CE3"/>
    <w:rsid w:val="1E24D426"/>
    <w:rsid w:val="1E540AF5"/>
    <w:rsid w:val="1E6FD640"/>
    <w:rsid w:val="1E89EB29"/>
    <w:rsid w:val="1E9D8B62"/>
    <w:rsid w:val="1EA645EA"/>
    <w:rsid w:val="1EBDAD06"/>
    <w:rsid w:val="1EC00A20"/>
    <w:rsid w:val="1EE391FE"/>
    <w:rsid w:val="1EE4021B"/>
    <w:rsid w:val="1F143341"/>
    <w:rsid w:val="1F1AE8E1"/>
    <w:rsid w:val="1F1D4BD2"/>
    <w:rsid w:val="1F1F5356"/>
    <w:rsid w:val="1F47D253"/>
    <w:rsid w:val="1F5735C1"/>
    <w:rsid w:val="1F707444"/>
    <w:rsid w:val="1F74AB93"/>
    <w:rsid w:val="1F9541F8"/>
    <w:rsid w:val="1F95FC74"/>
    <w:rsid w:val="1FABB0D9"/>
    <w:rsid w:val="1FE33E5E"/>
    <w:rsid w:val="1FF74F45"/>
    <w:rsid w:val="1FFBC0FB"/>
    <w:rsid w:val="2013D609"/>
    <w:rsid w:val="201BF9BE"/>
    <w:rsid w:val="201D76FE"/>
    <w:rsid w:val="201F6C17"/>
    <w:rsid w:val="2055006E"/>
    <w:rsid w:val="2060B856"/>
    <w:rsid w:val="20658548"/>
    <w:rsid w:val="209E47C2"/>
    <w:rsid w:val="209E5150"/>
    <w:rsid w:val="20A26838"/>
    <w:rsid w:val="20AE872C"/>
    <w:rsid w:val="20C20BE1"/>
    <w:rsid w:val="20CAAFD1"/>
    <w:rsid w:val="20CAB98C"/>
    <w:rsid w:val="20D195DF"/>
    <w:rsid w:val="20D5C020"/>
    <w:rsid w:val="20E6CA0A"/>
    <w:rsid w:val="20EABD6A"/>
    <w:rsid w:val="20F9C7CD"/>
    <w:rsid w:val="210DC742"/>
    <w:rsid w:val="21253168"/>
    <w:rsid w:val="21321251"/>
    <w:rsid w:val="21366D19"/>
    <w:rsid w:val="213E48BE"/>
    <w:rsid w:val="2145E1EA"/>
    <w:rsid w:val="215BA23F"/>
    <w:rsid w:val="21640E2A"/>
    <w:rsid w:val="216E7D5A"/>
    <w:rsid w:val="21C08583"/>
    <w:rsid w:val="21C0C31A"/>
    <w:rsid w:val="21CEBBA5"/>
    <w:rsid w:val="21E3E7A9"/>
    <w:rsid w:val="21FD8E8D"/>
    <w:rsid w:val="2205E6C1"/>
    <w:rsid w:val="2224F01D"/>
    <w:rsid w:val="223BCBB0"/>
    <w:rsid w:val="223C6B38"/>
    <w:rsid w:val="224D57C5"/>
    <w:rsid w:val="22508B07"/>
    <w:rsid w:val="22530064"/>
    <w:rsid w:val="2253889F"/>
    <w:rsid w:val="225CF752"/>
    <w:rsid w:val="225E7AAC"/>
    <w:rsid w:val="22967736"/>
    <w:rsid w:val="22969D5A"/>
    <w:rsid w:val="22EAA520"/>
    <w:rsid w:val="22FA6B0C"/>
    <w:rsid w:val="22FFBE66"/>
    <w:rsid w:val="230CC2DE"/>
    <w:rsid w:val="233C50DA"/>
    <w:rsid w:val="233D160F"/>
    <w:rsid w:val="2386E92D"/>
    <w:rsid w:val="2389B648"/>
    <w:rsid w:val="238C5FB1"/>
    <w:rsid w:val="239880B2"/>
    <w:rsid w:val="239BEA39"/>
    <w:rsid w:val="23A685AA"/>
    <w:rsid w:val="23B8564B"/>
    <w:rsid w:val="23C2E072"/>
    <w:rsid w:val="23CA9223"/>
    <w:rsid w:val="23CC8410"/>
    <w:rsid w:val="23D9F4DC"/>
    <w:rsid w:val="23F1CEE4"/>
    <w:rsid w:val="23F3BE15"/>
    <w:rsid w:val="24042435"/>
    <w:rsid w:val="24188C49"/>
    <w:rsid w:val="241D10C9"/>
    <w:rsid w:val="242A7CF4"/>
    <w:rsid w:val="2466C6E9"/>
    <w:rsid w:val="2474DAA2"/>
    <w:rsid w:val="24854416"/>
    <w:rsid w:val="249A476B"/>
    <w:rsid w:val="24AB4F1A"/>
    <w:rsid w:val="24E023FF"/>
    <w:rsid w:val="24E683F9"/>
    <w:rsid w:val="24F721D4"/>
    <w:rsid w:val="252F98D6"/>
    <w:rsid w:val="2530438F"/>
    <w:rsid w:val="253088DE"/>
    <w:rsid w:val="253907EE"/>
    <w:rsid w:val="254FC2F1"/>
    <w:rsid w:val="2552B5EA"/>
    <w:rsid w:val="256C7EC3"/>
    <w:rsid w:val="2578006E"/>
    <w:rsid w:val="258339A0"/>
    <w:rsid w:val="2589EC0A"/>
    <w:rsid w:val="2591A2D9"/>
    <w:rsid w:val="259BC235"/>
    <w:rsid w:val="259E6701"/>
    <w:rsid w:val="25DB30FE"/>
    <w:rsid w:val="25EA2664"/>
    <w:rsid w:val="25EB20AD"/>
    <w:rsid w:val="2613A81D"/>
    <w:rsid w:val="2619990C"/>
    <w:rsid w:val="2626FBFA"/>
    <w:rsid w:val="262A43F6"/>
    <w:rsid w:val="2633FAF9"/>
    <w:rsid w:val="2642F31F"/>
    <w:rsid w:val="264707E2"/>
    <w:rsid w:val="26495A2A"/>
    <w:rsid w:val="264E4005"/>
    <w:rsid w:val="26719904"/>
    <w:rsid w:val="267BCE02"/>
    <w:rsid w:val="2689EA42"/>
    <w:rsid w:val="268B62A7"/>
    <w:rsid w:val="26929EFB"/>
    <w:rsid w:val="26BE19D0"/>
    <w:rsid w:val="26D7918F"/>
    <w:rsid w:val="26DA7172"/>
    <w:rsid w:val="26F0F8EB"/>
    <w:rsid w:val="2719BF1B"/>
    <w:rsid w:val="273A680F"/>
    <w:rsid w:val="2755FA73"/>
    <w:rsid w:val="275E6333"/>
    <w:rsid w:val="27610C02"/>
    <w:rsid w:val="2764DE3F"/>
    <w:rsid w:val="276D9974"/>
    <w:rsid w:val="2783F852"/>
    <w:rsid w:val="278E3849"/>
    <w:rsid w:val="27B01B09"/>
    <w:rsid w:val="27C4556C"/>
    <w:rsid w:val="27C73BB8"/>
    <w:rsid w:val="27E0AF30"/>
    <w:rsid w:val="27EE36AA"/>
    <w:rsid w:val="27F2A9E5"/>
    <w:rsid w:val="27F71ECD"/>
    <w:rsid w:val="27FAAFD2"/>
    <w:rsid w:val="27FC5456"/>
    <w:rsid w:val="27FF2656"/>
    <w:rsid w:val="28066BAB"/>
    <w:rsid w:val="28371F44"/>
    <w:rsid w:val="28426ACA"/>
    <w:rsid w:val="286B60D9"/>
    <w:rsid w:val="287490A4"/>
    <w:rsid w:val="28B04FC0"/>
    <w:rsid w:val="28C7654C"/>
    <w:rsid w:val="28D676C7"/>
    <w:rsid w:val="291EAB02"/>
    <w:rsid w:val="29318140"/>
    <w:rsid w:val="293DE3B7"/>
    <w:rsid w:val="294A2FBC"/>
    <w:rsid w:val="296B3448"/>
    <w:rsid w:val="297BE82A"/>
    <w:rsid w:val="29827EA7"/>
    <w:rsid w:val="299FDE76"/>
    <w:rsid w:val="29B48114"/>
    <w:rsid w:val="29BF4C82"/>
    <w:rsid w:val="29BFAFDE"/>
    <w:rsid w:val="29D014B1"/>
    <w:rsid w:val="29F06BFF"/>
    <w:rsid w:val="29FD057E"/>
    <w:rsid w:val="2A2B7827"/>
    <w:rsid w:val="2A3E8029"/>
    <w:rsid w:val="2A699B78"/>
    <w:rsid w:val="2A78CF24"/>
    <w:rsid w:val="2A7F137A"/>
    <w:rsid w:val="2A867EE1"/>
    <w:rsid w:val="2A8F1162"/>
    <w:rsid w:val="2A90AABC"/>
    <w:rsid w:val="2A92DC48"/>
    <w:rsid w:val="2AB5A718"/>
    <w:rsid w:val="2AB99138"/>
    <w:rsid w:val="2AD6DCD6"/>
    <w:rsid w:val="2AD9083E"/>
    <w:rsid w:val="2ADB78A6"/>
    <w:rsid w:val="2ADE2B81"/>
    <w:rsid w:val="2AE1C8B5"/>
    <w:rsid w:val="2AE2244C"/>
    <w:rsid w:val="2B058AD6"/>
    <w:rsid w:val="2B374E94"/>
    <w:rsid w:val="2B3B0EE2"/>
    <w:rsid w:val="2B3E9EC8"/>
    <w:rsid w:val="2B4957DF"/>
    <w:rsid w:val="2B61E1C4"/>
    <w:rsid w:val="2B71C420"/>
    <w:rsid w:val="2B79ECE7"/>
    <w:rsid w:val="2B8B902F"/>
    <w:rsid w:val="2B8C211C"/>
    <w:rsid w:val="2BAFB17C"/>
    <w:rsid w:val="2BD69DE9"/>
    <w:rsid w:val="2BD82D6C"/>
    <w:rsid w:val="2BDB9BD5"/>
    <w:rsid w:val="2C073A9C"/>
    <w:rsid w:val="2C12DCA5"/>
    <w:rsid w:val="2C1AEF7D"/>
    <w:rsid w:val="2C212AD5"/>
    <w:rsid w:val="2C224C9F"/>
    <w:rsid w:val="2C23A7E4"/>
    <w:rsid w:val="2C2480AB"/>
    <w:rsid w:val="2C42FB36"/>
    <w:rsid w:val="2C52F6E8"/>
    <w:rsid w:val="2C956F3E"/>
    <w:rsid w:val="2CA913CF"/>
    <w:rsid w:val="2CB1CB4A"/>
    <w:rsid w:val="2CCED401"/>
    <w:rsid w:val="2CD3B737"/>
    <w:rsid w:val="2CD9413D"/>
    <w:rsid w:val="2CDE4DB4"/>
    <w:rsid w:val="2D080AFC"/>
    <w:rsid w:val="2D23EBBE"/>
    <w:rsid w:val="2D4D4ACA"/>
    <w:rsid w:val="2D6338FA"/>
    <w:rsid w:val="2D63960C"/>
    <w:rsid w:val="2D6B229D"/>
    <w:rsid w:val="2D720DF2"/>
    <w:rsid w:val="2D77F2AB"/>
    <w:rsid w:val="2DB3EAB3"/>
    <w:rsid w:val="2DD929A9"/>
    <w:rsid w:val="2DDB4D0A"/>
    <w:rsid w:val="2DDF3597"/>
    <w:rsid w:val="2DE0B75A"/>
    <w:rsid w:val="2E0358D6"/>
    <w:rsid w:val="2E147E7C"/>
    <w:rsid w:val="2E15B82F"/>
    <w:rsid w:val="2E222991"/>
    <w:rsid w:val="2E591F34"/>
    <w:rsid w:val="2E59D932"/>
    <w:rsid w:val="2E6956CF"/>
    <w:rsid w:val="2E78ACDE"/>
    <w:rsid w:val="2E8D9C12"/>
    <w:rsid w:val="2EAF8617"/>
    <w:rsid w:val="2EBCD577"/>
    <w:rsid w:val="2EEB100C"/>
    <w:rsid w:val="2EFF9269"/>
    <w:rsid w:val="2F0B8E83"/>
    <w:rsid w:val="2F35CB89"/>
    <w:rsid w:val="2F41A779"/>
    <w:rsid w:val="2F6032BF"/>
    <w:rsid w:val="2F73E9D1"/>
    <w:rsid w:val="2F853391"/>
    <w:rsid w:val="2F9C00D9"/>
    <w:rsid w:val="2FA93887"/>
    <w:rsid w:val="2FCE1DD6"/>
    <w:rsid w:val="2FE04B31"/>
    <w:rsid w:val="2FE3639C"/>
    <w:rsid w:val="2FFEE686"/>
    <w:rsid w:val="303CF917"/>
    <w:rsid w:val="3062E944"/>
    <w:rsid w:val="306929C9"/>
    <w:rsid w:val="30778780"/>
    <w:rsid w:val="307CEBA5"/>
    <w:rsid w:val="308C19EA"/>
    <w:rsid w:val="308F83B3"/>
    <w:rsid w:val="309E207D"/>
    <w:rsid w:val="30AFCD91"/>
    <w:rsid w:val="30CAA5C9"/>
    <w:rsid w:val="30D88AA1"/>
    <w:rsid w:val="30F03E9B"/>
    <w:rsid w:val="30F27179"/>
    <w:rsid w:val="31017066"/>
    <w:rsid w:val="310D427E"/>
    <w:rsid w:val="311BCEFB"/>
    <w:rsid w:val="311C27C8"/>
    <w:rsid w:val="314D8E35"/>
    <w:rsid w:val="314FB9C4"/>
    <w:rsid w:val="315637C6"/>
    <w:rsid w:val="3157CF06"/>
    <w:rsid w:val="3163B10C"/>
    <w:rsid w:val="317D875B"/>
    <w:rsid w:val="31925D3C"/>
    <w:rsid w:val="31BDB578"/>
    <w:rsid w:val="31CAE92B"/>
    <w:rsid w:val="31DAF619"/>
    <w:rsid w:val="31F75EA5"/>
    <w:rsid w:val="32185B41"/>
    <w:rsid w:val="32256646"/>
    <w:rsid w:val="322BBA82"/>
    <w:rsid w:val="322C43CD"/>
    <w:rsid w:val="322D207F"/>
    <w:rsid w:val="32428EDF"/>
    <w:rsid w:val="324FAE36"/>
    <w:rsid w:val="32641197"/>
    <w:rsid w:val="327A0839"/>
    <w:rsid w:val="32A47633"/>
    <w:rsid w:val="32BA16EE"/>
    <w:rsid w:val="32BC6509"/>
    <w:rsid w:val="32C165C8"/>
    <w:rsid w:val="32C194A7"/>
    <w:rsid w:val="32CAD697"/>
    <w:rsid w:val="32D22383"/>
    <w:rsid w:val="32D90BCD"/>
    <w:rsid w:val="32E57CD0"/>
    <w:rsid w:val="32F58C2C"/>
    <w:rsid w:val="32FF4CC7"/>
    <w:rsid w:val="33270CA3"/>
    <w:rsid w:val="3348BC64"/>
    <w:rsid w:val="33555CF7"/>
    <w:rsid w:val="33705AE3"/>
    <w:rsid w:val="3372BE96"/>
    <w:rsid w:val="3380B79C"/>
    <w:rsid w:val="339513EA"/>
    <w:rsid w:val="33B2531B"/>
    <w:rsid w:val="33C64045"/>
    <w:rsid w:val="33F53B78"/>
    <w:rsid w:val="340F4634"/>
    <w:rsid w:val="34221275"/>
    <w:rsid w:val="342961AF"/>
    <w:rsid w:val="343206FD"/>
    <w:rsid w:val="3442032D"/>
    <w:rsid w:val="3450D4A8"/>
    <w:rsid w:val="345327AB"/>
    <w:rsid w:val="349E1AD6"/>
    <w:rsid w:val="34A1BBFA"/>
    <w:rsid w:val="34ADB14E"/>
    <w:rsid w:val="34AE214E"/>
    <w:rsid w:val="34B5AF24"/>
    <w:rsid w:val="34BF4D5E"/>
    <w:rsid w:val="34E21537"/>
    <w:rsid w:val="34E61D85"/>
    <w:rsid w:val="3505766C"/>
    <w:rsid w:val="350BD360"/>
    <w:rsid w:val="3512EF8B"/>
    <w:rsid w:val="356ADF97"/>
    <w:rsid w:val="3594D926"/>
    <w:rsid w:val="35C96BE7"/>
    <w:rsid w:val="35D8A25E"/>
    <w:rsid w:val="35DA989B"/>
    <w:rsid w:val="35E6E533"/>
    <w:rsid w:val="35EAFF71"/>
    <w:rsid w:val="35F8B8A9"/>
    <w:rsid w:val="36001071"/>
    <w:rsid w:val="360D8770"/>
    <w:rsid w:val="361903B1"/>
    <w:rsid w:val="364F2F98"/>
    <w:rsid w:val="3654548E"/>
    <w:rsid w:val="365E3D2A"/>
    <w:rsid w:val="3661481B"/>
    <w:rsid w:val="36654B5D"/>
    <w:rsid w:val="367083B5"/>
    <w:rsid w:val="3677475B"/>
    <w:rsid w:val="367C23C4"/>
    <w:rsid w:val="367F7FBC"/>
    <w:rsid w:val="3692F05A"/>
    <w:rsid w:val="36A64361"/>
    <w:rsid w:val="36BB3AE8"/>
    <w:rsid w:val="36EA814D"/>
    <w:rsid w:val="36FE17E2"/>
    <w:rsid w:val="3701392F"/>
    <w:rsid w:val="3703E780"/>
    <w:rsid w:val="3709A1A3"/>
    <w:rsid w:val="370D9641"/>
    <w:rsid w:val="37289816"/>
    <w:rsid w:val="3737A59D"/>
    <w:rsid w:val="374F1EC3"/>
    <w:rsid w:val="37507678"/>
    <w:rsid w:val="377C97D9"/>
    <w:rsid w:val="377D3FAD"/>
    <w:rsid w:val="3797CE4D"/>
    <w:rsid w:val="37A7FF66"/>
    <w:rsid w:val="37AAFA98"/>
    <w:rsid w:val="37EFC121"/>
    <w:rsid w:val="383CCC8C"/>
    <w:rsid w:val="38402BDC"/>
    <w:rsid w:val="38629849"/>
    <w:rsid w:val="3874C60D"/>
    <w:rsid w:val="3879DDD4"/>
    <w:rsid w:val="387EC30C"/>
    <w:rsid w:val="388B9A51"/>
    <w:rsid w:val="388E1130"/>
    <w:rsid w:val="3890579F"/>
    <w:rsid w:val="389118B2"/>
    <w:rsid w:val="38A4A92C"/>
    <w:rsid w:val="38A60F51"/>
    <w:rsid w:val="38ACD295"/>
    <w:rsid w:val="38ADE72B"/>
    <w:rsid w:val="38B7F406"/>
    <w:rsid w:val="38B8B5A1"/>
    <w:rsid w:val="38C6F887"/>
    <w:rsid w:val="38CB2D72"/>
    <w:rsid w:val="38CFE800"/>
    <w:rsid w:val="38DD3760"/>
    <w:rsid w:val="38DD9709"/>
    <w:rsid w:val="38E163B5"/>
    <w:rsid w:val="38FA7F0D"/>
    <w:rsid w:val="38FDF7CF"/>
    <w:rsid w:val="390E5F3C"/>
    <w:rsid w:val="3927ABA2"/>
    <w:rsid w:val="392A76D8"/>
    <w:rsid w:val="3932EDAC"/>
    <w:rsid w:val="3936287E"/>
    <w:rsid w:val="39587F52"/>
    <w:rsid w:val="395930C0"/>
    <w:rsid w:val="397B5243"/>
    <w:rsid w:val="397BA6A3"/>
    <w:rsid w:val="39807954"/>
    <w:rsid w:val="398C5436"/>
    <w:rsid w:val="398F7DCD"/>
    <w:rsid w:val="399EA4B6"/>
    <w:rsid w:val="39A5F3B7"/>
    <w:rsid w:val="39AAB9AA"/>
    <w:rsid w:val="39BFE2D3"/>
    <w:rsid w:val="39C5D5D7"/>
    <w:rsid w:val="39D517F0"/>
    <w:rsid w:val="39EBEB34"/>
    <w:rsid w:val="3A0F39D8"/>
    <w:rsid w:val="3A19A666"/>
    <w:rsid w:val="3A342C93"/>
    <w:rsid w:val="3A349148"/>
    <w:rsid w:val="3A6563C9"/>
    <w:rsid w:val="3A812F34"/>
    <w:rsid w:val="3A831E03"/>
    <w:rsid w:val="3A8A8C35"/>
    <w:rsid w:val="3A94DF79"/>
    <w:rsid w:val="3AA14404"/>
    <w:rsid w:val="3AA17DBD"/>
    <w:rsid w:val="3AC4B853"/>
    <w:rsid w:val="3B1344CB"/>
    <w:rsid w:val="3B1EF396"/>
    <w:rsid w:val="3B2D343C"/>
    <w:rsid w:val="3B34D069"/>
    <w:rsid w:val="3B92254F"/>
    <w:rsid w:val="3B992056"/>
    <w:rsid w:val="3B9DAB28"/>
    <w:rsid w:val="3BB9E4DA"/>
    <w:rsid w:val="3BCB4011"/>
    <w:rsid w:val="3BE400A7"/>
    <w:rsid w:val="3BF798D3"/>
    <w:rsid w:val="3BF8E989"/>
    <w:rsid w:val="3BFF028F"/>
    <w:rsid w:val="3C018E03"/>
    <w:rsid w:val="3C023152"/>
    <w:rsid w:val="3C0C516E"/>
    <w:rsid w:val="3C1606E4"/>
    <w:rsid w:val="3C3A7FBB"/>
    <w:rsid w:val="3C610891"/>
    <w:rsid w:val="3C65EBCE"/>
    <w:rsid w:val="3C6C3570"/>
    <w:rsid w:val="3C7A0E8B"/>
    <w:rsid w:val="3C809A4D"/>
    <w:rsid w:val="3C87E803"/>
    <w:rsid w:val="3C8B9A31"/>
    <w:rsid w:val="3CAF17C0"/>
    <w:rsid w:val="3CD47E3E"/>
    <w:rsid w:val="3CECA71C"/>
    <w:rsid w:val="3CF384FD"/>
    <w:rsid w:val="3CFBB367"/>
    <w:rsid w:val="3D07B940"/>
    <w:rsid w:val="3D212841"/>
    <w:rsid w:val="3D34DBC8"/>
    <w:rsid w:val="3D3A4B69"/>
    <w:rsid w:val="3D4A7921"/>
    <w:rsid w:val="3D67D239"/>
    <w:rsid w:val="3D6F200A"/>
    <w:rsid w:val="3D7139EC"/>
    <w:rsid w:val="3D83C0A4"/>
    <w:rsid w:val="3D85C740"/>
    <w:rsid w:val="3D9B902C"/>
    <w:rsid w:val="3DA50A57"/>
    <w:rsid w:val="3DAAA624"/>
    <w:rsid w:val="3DBFB922"/>
    <w:rsid w:val="3DD1E9DE"/>
    <w:rsid w:val="3DD39CDB"/>
    <w:rsid w:val="3DDEAD8F"/>
    <w:rsid w:val="3DEF5CE4"/>
    <w:rsid w:val="3E174408"/>
    <w:rsid w:val="3E1813D8"/>
    <w:rsid w:val="3E394201"/>
    <w:rsid w:val="3E3F063F"/>
    <w:rsid w:val="3E43DC59"/>
    <w:rsid w:val="3E46D331"/>
    <w:rsid w:val="3E49D726"/>
    <w:rsid w:val="3E507D33"/>
    <w:rsid w:val="3E77AEA7"/>
    <w:rsid w:val="3E8AD003"/>
    <w:rsid w:val="3E9E6FC3"/>
    <w:rsid w:val="3EEF2A52"/>
    <w:rsid w:val="3F072CCF"/>
    <w:rsid w:val="3F0885BE"/>
    <w:rsid w:val="3F0CC180"/>
    <w:rsid w:val="3F2BEC9C"/>
    <w:rsid w:val="3F2DB864"/>
    <w:rsid w:val="3F326571"/>
    <w:rsid w:val="3F618640"/>
    <w:rsid w:val="3F6A3257"/>
    <w:rsid w:val="3F71E70C"/>
    <w:rsid w:val="3F81438D"/>
    <w:rsid w:val="3F91529A"/>
    <w:rsid w:val="3F9B06CA"/>
    <w:rsid w:val="3FA8AD38"/>
    <w:rsid w:val="3FB8D59A"/>
    <w:rsid w:val="3FD79589"/>
    <w:rsid w:val="3FE39E22"/>
    <w:rsid w:val="3FEF5DA0"/>
    <w:rsid w:val="3FF4CE86"/>
    <w:rsid w:val="3FFE3B62"/>
    <w:rsid w:val="4007C2A5"/>
    <w:rsid w:val="40161146"/>
    <w:rsid w:val="40194E45"/>
    <w:rsid w:val="402210AE"/>
    <w:rsid w:val="403114C3"/>
    <w:rsid w:val="40534C85"/>
    <w:rsid w:val="4056BC0A"/>
    <w:rsid w:val="409C44CF"/>
    <w:rsid w:val="409E30FB"/>
    <w:rsid w:val="40B4A50B"/>
    <w:rsid w:val="40CE4596"/>
    <w:rsid w:val="40DE30C5"/>
    <w:rsid w:val="40EEA9EF"/>
    <w:rsid w:val="40F19DDA"/>
    <w:rsid w:val="40F49667"/>
    <w:rsid w:val="41168C9F"/>
    <w:rsid w:val="413E75A4"/>
    <w:rsid w:val="4157BEDC"/>
    <w:rsid w:val="416A20FB"/>
    <w:rsid w:val="41794F01"/>
    <w:rsid w:val="4193C6C6"/>
    <w:rsid w:val="41949A43"/>
    <w:rsid w:val="419A1AFB"/>
    <w:rsid w:val="41A42C43"/>
    <w:rsid w:val="41B8C4C8"/>
    <w:rsid w:val="41C3DFF9"/>
    <w:rsid w:val="41C4BFFB"/>
    <w:rsid w:val="41C9EE6D"/>
    <w:rsid w:val="41CEBAE8"/>
    <w:rsid w:val="41CF6007"/>
    <w:rsid w:val="41E82E2C"/>
    <w:rsid w:val="41F144C6"/>
    <w:rsid w:val="4204CC03"/>
    <w:rsid w:val="42217B9E"/>
    <w:rsid w:val="4245F28E"/>
    <w:rsid w:val="425CE570"/>
    <w:rsid w:val="427E286A"/>
    <w:rsid w:val="4280BF11"/>
    <w:rsid w:val="428557A2"/>
    <w:rsid w:val="42AA2EC5"/>
    <w:rsid w:val="42B13AC8"/>
    <w:rsid w:val="42CA7427"/>
    <w:rsid w:val="42D01AFB"/>
    <w:rsid w:val="42D2DA14"/>
    <w:rsid w:val="42F251DC"/>
    <w:rsid w:val="42FCD72E"/>
    <w:rsid w:val="432039F7"/>
    <w:rsid w:val="434DDA49"/>
    <w:rsid w:val="4356ABDC"/>
    <w:rsid w:val="4359F708"/>
    <w:rsid w:val="43856334"/>
    <w:rsid w:val="4388498B"/>
    <w:rsid w:val="43A6FF16"/>
    <w:rsid w:val="43AE933D"/>
    <w:rsid w:val="43CA457E"/>
    <w:rsid w:val="43FE713F"/>
    <w:rsid w:val="440DACFD"/>
    <w:rsid w:val="44255B93"/>
    <w:rsid w:val="447781D3"/>
    <w:rsid w:val="4480A977"/>
    <w:rsid w:val="44911F5D"/>
    <w:rsid w:val="44974525"/>
    <w:rsid w:val="44BCEFFB"/>
    <w:rsid w:val="44C29E1C"/>
    <w:rsid w:val="44D25509"/>
    <w:rsid w:val="44EFA035"/>
    <w:rsid w:val="44F3279A"/>
    <w:rsid w:val="4514B742"/>
    <w:rsid w:val="45203E30"/>
    <w:rsid w:val="453A371A"/>
    <w:rsid w:val="4582DDD1"/>
    <w:rsid w:val="459843A5"/>
    <w:rsid w:val="459FA3AA"/>
    <w:rsid w:val="45AA7EC0"/>
    <w:rsid w:val="45B5303E"/>
    <w:rsid w:val="45BD08B4"/>
    <w:rsid w:val="45C55446"/>
    <w:rsid w:val="45E08588"/>
    <w:rsid w:val="45F3AFA4"/>
    <w:rsid w:val="45FF3F80"/>
    <w:rsid w:val="45FFC906"/>
    <w:rsid w:val="460B4084"/>
    <w:rsid w:val="461340BB"/>
    <w:rsid w:val="46338DAD"/>
    <w:rsid w:val="46388718"/>
    <w:rsid w:val="465289D0"/>
    <w:rsid w:val="466FFB01"/>
    <w:rsid w:val="46764DAE"/>
    <w:rsid w:val="46943BA7"/>
    <w:rsid w:val="46B4D132"/>
    <w:rsid w:val="46BA5EDE"/>
    <w:rsid w:val="46BB259A"/>
    <w:rsid w:val="46BF5741"/>
    <w:rsid w:val="46CF2FB0"/>
    <w:rsid w:val="46D9D8F5"/>
    <w:rsid w:val="46EB23AB"/>
    <w:rsid w:val="46F18CDB"/>
    <w:rsid w:val="46F4E5C1"/>
    <w:rsid w:val="4702ABB3"/>
    <w:rsid w:val="47077F7D"/>
    <w:rsid w:val="4711FB8C"/>
    <w:rsid w:val="4719CAF0"/>
    <w:rsid w:val="474A6826"/>
    <w:rsid w:val="47534688"/>
    <w:rsid w:val="4763FA09"/>
    <w:rsid w:val="4768A43A"/>
    <w:rsid w:val="47726984"/>
    <w:rsid w:val="47752596"/>
    <w:rsid w:val="47791830"/>
    <w:rsid w:val="4784F387"/>
    <w:rsid w:val="47913128"/>
    <w:rsid w:val="47AD41B5"/>
    <w:rsid w:val="47BC0F0F"/>
    <w:rsid w:val="47BF0793"/>
    <w:rsid w:val="47BF9227"/>
    <w:rsid w:val="47DBFA31"/>
    <w:rsid w:val="47E0540C"/>
    <w:rsid w:val="47E0F1A8"/>
    <w:rsid w:val="47E3831A"/>
    <w:rsid w:val="47FCAF60"/>
    <w:rsid w:val="482A2249"/>
    <w:rsid w:val="4840E6FD"/>
    <w:rsid w:val="484B9B4D"/>
    <w:rsid w:val="4856F6FF"/>
    <w:rsid w:val="48939763"/>
    <w:rsid w:val="48AC47AA"/>
    <w:rsid w:val="48CDD867"/>
    <w:rsid w:val="48EE8108"/>
    <w:rsid w:val="490BD191"/>
    <w:rsid w:val="4924D045"/>
    <w:rsid w:val="494C5203"/>
    <w:rsid w:val="49599A25"/>
    <w:rsid w:val="495E585A"/>
    <w:rsid w:val="496014AB"/>
    <w:rsid w:val="49BFA278"/>
    <w:rsid w:val="49C097A7"/>
    <w:rsid w:val="49C6DF8F"/>
    <w:rsid w:val="49D7DA09"/>
    <w:rsid w:val="49EDB918"/>
    <w:rsid w:val="49F62E40"/>
    <w:rsid w:val="49FA08A3"/>
    <w:rsid w:val="4A1A4CE0"/>
    <w:rsid w:val="4A379721"/>
    <w:rsid w:val="4A578C21"/>
    <w:rsid w:val="4A58904F"/>
    <w:rsid w:val="4A68A541"/>
    <w:rsid w:val="4A76BA44"/>
    <w:rsid w:val="4A7703C6"/>
    <w:rsid w:val="4A7B7DB1"/>
    <w:rsid w:val="4AC499EF"/>
    <w:rsid w:val="4AF0A5E1"/>
    <w:rsid w:val="4B10FFDC"/>
    <w:rsid w:val="4B243BA5"/>
    <w:rsid w:val="4B33DA99"/>
    <w:rsid w:val="4B4B45D0"/>
    <w:rsid w:val="4B5F03D0"/>
    <w:rsid w:val="4B616559"/>
    <w:rsid w:val="4B866CAF"/>
    <w:rsid w:val="4BDE4C36"/>
    <w:rsid w:val="4C0BC9DA"/>
    <w:rsid w:val="4C329D24"/>
    <w:rsid w:val="4C34967C"/>
    <w:rsid w:val="4C3E598A"/>
    <w:rsid w:val="4C495C42"/>
    <w:rsid w:val="4C6D298D"/>
    <w:rsid w:val="4C760E86"/>
    <w:rsid w:val="4C7CAB11"/>
    <w:rsid w:val="4C83EFBE"/>
    <w:rsid w:val="4C888C06"/>
    <w:rsid w:val="4C97D81C"/>
    <w:rsid w:val="4CCBD440"/>
    <w:rsid w:val="4CD1A88B"/>
    <w:rsid w:val="4CEE3F84"/>
    <w:rsid w:val="4D1E0E16"/>
    <w:rsid w:val="4D309F89"/>
    <w:rsid w:val="4D4697E0"/>
    <w:rsid w:val="4D4927BA"/>
    <w:rsid w:val="4D49320A"/>
    <w:rsid w:val="4D509696"/>
    <w:rsid w:val="4D730E0A"/>
    <w:rsid w:val="4D74A6CD"/>
    <w:rsid w:val="4D84AB81"/>
    <w:rsid w:val="4D8D7507"/>
    <w:rsid w:val="4DC138A6"/>
    <w:rsid w:val="4DD9985D"/>
    <w:rsid w:val="4DDADE00"/>
    <w:rsid w:val="4DE98286"/>
    <w:rsid w:val="4DF00D19"/>
    <w:rsid w:val="4DF87D05"/>
    <w:rsid w:val="4DF9BC08"/>
    <w:rsid w:val="4E15B028"/>
    <w:rsid w:val="4E222E1E"/>
    <w:rsid w:val="4E29E532"/>
    <w:rsid w:val="4E3E7891"/>
    <w:rsid w:val="4E4D3FA0"/>
    <w:rsid w:val="4E686F87"/>
    <w:rsid w:val="4E833664"/>
    <w:rsid w:val="4EBE75CC"/>
    <w:rsid w:val="4EE9CD9A"/>
    <w:rsid w:val="4F1D5D49"/>
    <w:rsid w:val="4F3C9B7B"/>
    <w:rsid w:val="4F3F792A"/>
    <w:rsid w:val="4F41D0E4"/>
    <w:rsid w:val="4F52A93E"/>
    <w:rsid w:val="4F5F7FE2"/>
    <w:rsid w:val="4F69663D"/>
    <w:rsid w:val="4F8A7574"/>
    <w:rsid w:val="4F9C2886"/>
    <w:rsid w:val="4FA15FB8"/>
    <w:rsid w:val="4FADEB0C"/>
    <w:rsid w:val="4FBA877B"/>
    <w:rsid w:val="4FBFA9D7"/>
    <w:rsid w:val="4FD133F4"/>
    <w:rsid w:val="4FD70B43"/>
    <w:rsid w:val="4FE91F39"/>
    <w:rsid w:val="502E0628"/>
    <w:rsid w:val="5062C3D9"/>
    <w:rsid w:val="508240A3"/>
    <w:rsid w:val="50BC4A36"/>
    <w:rsid w:val="50DF2B93"/>
    <w:rsid w:val="50F41B72"/>
    <w:rsid w:val="50F59AED"/>
    <w:rsid w:val="50F7E434"/>
    <w:rsid w:val="511ED55A"/>
    <w:rsid w:val="51489DC9"/>
    <w:rsid w:val="5151F781"/>
    <w:rsid w:val="518A1288"/>
    <w:rsid w:val="5194643F"/>
    <w:rsid w:val="5195723F"/>
    <w:rsid w:val="51A692C5"/>
    <w:rsid w:val="51AC9979"/>
    <w:rsid w:val="51B2AFDE"/>
    <w:rsid w:val="51B6F0EC"/>
    <w:rsid w:val="51BFAA23"/>
    <w:rsid w:val="51CB5073"/>
    <w:rsid w:val="51CB8F50"/>
    <w:rsid w:val="51CC39EE"/>
    <w:rsid w:val="52301B00"/>
    <w:rsid w:val="523167D8"/>
    <w:rsid w:val="5248E9E7"/>
    <w:rsid w:val="5252EC70"/>
    <w:rsid w:val="525A592B"/>
    <w:rsid w:val="52721F76"/>
    <w:rsid w:val="5281A88D"/>
    <w:rsid w:val="528C714D"/>
    <w:rsid w:val="529CB34C"/>
    <w:rsid w:val="52B34C06"/>
    <w:rsid w:val="52BDBB22"/>
    <w:rsid w:val="52D17DD4"/>
    <w:rsid w:val="52D2A475"/>
    <w:rsid w:val="52EB580C"/>
    <w:rsid w:val="53115D61"/>
    <w:rsid w:val="531CC5B4"/>
    <w:rsid w:val="531FDAF9"/>
    <w:rsid w:val="533384AB"/>
    <w:rsid w:val="533B8FF9"/>
    <w:rsid w:val="535F252E"/>
    <w:rsid w:val="53721669"/>
    <w:rsid w:val="538DADC9"/>
    <w:rsid w:val="539C18EA"/>
    <w:rsid w:val="53A50742"/>
    <w:rsid w:val="53A757EC"/>
    <w:rsid w:val="53A7C3B8"/>
    <w:rsid w:val="53A9A3F5"/>
    <w:rsid w:val="53AE60D3"/>
    <w:rsid w:val="53D1FB53"/>
    <w:rsid w:val="53DB057D"/>
    <w:rsid w:val="53DD7ABF"/>
    <w:rsid w:val="540C2597"/>
    <w:rsid w:val="5419E557"/>
    <w:rsid w:val="545B2A8D"/>
    <w:rsid w:val="54912814"/>
    <w:rsid w:val="5495B999"/>
    <w:rsid w:val="54AAF357"/>
    <w:rsid w:val="54ABE426"/>
    <w:rsid w:val="54B5F232"/>
    <w:rsid w:val="54C1BD53"/>
    <w:rsid w:val="54D88E6F"/>
    <w:rsid w:val="54DA31C8"/>
    <w:rsid w:val="54E902A3"/>
    <w:rsid w:val="54F70380"/>
    <w:rsid w:val="54F93A51"/>
    <w:rsid w:val="550F54F0"/>
    <w:rsid w:val="552DD48B"/>
    <w:rsid w:val="552F9A7E"/>
    <w:rsid w:val="55359CE2"/>
    <w:rsid w:val="5536161F"/>
    <w:rsid w:val="55506196"/>
    <w:rsid w:val="55512858"/>
    <w:rsid w:val="5582DF31"/>
    <w:rsid w:val="559B8DF4"/>
    <w:rsid w:val="55AD27DA"/>
    <w:rsid w:val="55B1E805"/>
    <w:rsid w:val="55BC2A43"/>
    <w:rsid w:val="55C39FFB"/>
    <w:rsid w:val="55D8517B"/>
    <w:rsid w:val="55D94A33"/>
    <w:rsid w:val="55EBB73E"/>
    <w:rsid w:val="55F6A0A4"/>
    <w:rsid w:val="55FDC1B8"/>
    <w:rsid w:val="56062BC6"/>
    <w:rsid w:val="5646838E"/>
    <w:rsid w:val="56581C03"/>
    <w:rsid w:val="5659C9B5"/>
    <w:rsid w:val="5662DD48"/>
    <w:rsid w:val="568C7231"/>
    <w:rsid w:val="5693D4BF"/>
    <w:rsid w:val="56A3E426"/>
    <w:rsid w:val="56A91192"/>
    <w:rsid w:val="56B6D7A0"/>
    <w:rsid w:val="56BC8754"/>
    <w:rsid w:val="56CB14C2"/>
    <w:rsid w:val="570499B0"/>
    <w:rsid w:val="57058A22"/>
    <w:rsid w:val="570B7ABF"/>
    <w:rsid w:val="572048EF"/>
    <w:rsid w:val="5752E756"/>
    <w:rsid w:val="57672924"/>
    <w:rsid w:val="5772409C"/>
    <w:rsid w:val="57744AAB"/>
    <w:rsid w:val="57773285"/>
    <w:rsid w:val="5783105D"/>
    <w:rsid w:val="57ACC568"/>
    <w:rsid w:val="57B39920"/>
    <w:rsid w:val="57C05764"/>
    <w:rsid w:val="57D64DA9"/>
    <w:rsid w:val="57EFC539"/>
    <w:rsid w:val="57F9BF58"/>
    <w:rsid w:val="5821E21F"/>
    <w:rsid w:val="5831E0CD"/>
    <w:rsid w:val="58350ABB"/>
    <w:rsid w:val="5836AD3C"/>
    <w:rsid w:val="585C37DA"/>
    <w:rsid w:val="587018B8"/>
    <w:rsid w:val="5871D138"/>
    <w:rsid w:val="58854A96"/>
    <w:rsid w:val="588C9FF3"/>
    <w:rsid w:val="588CAE6C"/>
    <w:rsid w:val="5893EB36"/>
    <w:rsid w:val="58BCF6F1"/>
    <w:rsid w:val="58C6D9C6"/>
    <w:rsid w:val="58CDB3DD"/>
    <w:rsid w:val="58D9A644"/>
    <w:rsid w:val="58E425F2"/>
    <w:rsid w:val="59017368"/>
    <w:rsid w:val="5917E049"/>
    <w:rsid w:val="59334A99"/>
    <w:rsid w:val="59362AED"/>
    <w:rsid w:val="594F0C15"/>
    <w:rsid w:val="5950E561"/>
    <w:rsid w:val="5956FCE6"/>
    <w:rsid w:val="5976830E"/>
    <w:rsid w:val="59949508"/>
    <w:rsid w:val="59ACAE21"/>
    <w:rsid w:val="59B1FF45"/>
    <w:rsid w:val="59E42771"/>
    <w:rsid w:val="59E616F8"/>
    <w:rsid w:val="59ECFCC3"/>
    <w:rsid w:val="59EFC625"/>
    <w:rsid w:val="59FA3ECE"/>
    <w:rsid w:val="5A0C292A"/>
    <w:rsid w:val="5A0EC4B0"/>
    <w:rsid w:val="5A2128DD"/>
    <w:rsid w:val="5A312C8D"/>
    <w:rsid w:val="5A46FC50"/>
    <w:rsid w:val="5A5E67E9"/>
    <w:rsid w:val="5A6C1836"/>
    <w:rsid w:val="5A72A67E"/>
    <w:rsid w:val="5A72E0CE"/>
    <w:rsid w:val="5A7AD2E8"/>
    <w:rsid w:val="5A8EC18A"/>
    <w:rsid w:val="5A947197"/>
    <w:rsid w:val="5AA00BE1"/>
    <w:rsid w:val="5ABCB1F6"/>
    <w:rsid w:val="5AD84248"/>
    <w:rsid w:val="5ADA9DED"/>
    <w:rsid w:val="5ADCAE63"/>
    <w:rsid w:val="5AF02C88"/>
    <w:rsid w:val="5AF16615"/>
    <w:rsid w:val="5AF3F5DB"/>
    <w:rsid w:val="5AF9ED75"/>
    <w:rsid w:val="5B0FAEAF"/>
    <w:rsid w:val="5B1D8E8A"/>
    <w:rsid w:val="5B537B65"/>
    <w:rsid w:val="5B6304EF"/>
    <w:rsid w:val="5B653E30"/>
    <w:rsid w:val="5B762F34"/>
    <w:rsid w:val="5B76B2A7"/>
    <w:rsid w:val="5B7E6F38"/>
    <w:rsid w:val="5B811302"/>
    <w:rsid w:val="5B826323"/>
    <w:rsid w:val="5BCA1CC3"/>
    <w:rsid w:val="5BCC4769"/>
    <w:rsid w:val="5BD21EA9"/>
    <w:rsid w:val="5BDC0A4B"/>
    <w:rsid w:val="5C1FB6F3"/>
    <w:rsid w:val="5C22A125"/>
    <w:rsid w:val="5C53B8F2"/>
    <w:rsid w:val="5C5BDC89"/>
    <w:rsid w:val="5C60C669"/>
    <w:rsid w:val="5C6F988D"/>
    <w:rsid w:val="5C79DA82"/>
    <w:rsid w:val="5C7DEF88"/>
    <w:rsid w:val="5C84A63C"/>
    <w:rsid w:val="5C8B2586"/>
    <w:rsid w:val="5C96DBDA"/>
    <w:rsid w:val="5C9EFFE6"/>
    <w:rsid w:val="5C9F7EE9"/>
    <w:rsid w:val="5CADB370"/>
    <w:rsid w:val="5CAE07F4"/>
    <w:rsid w:val="5CBCCA7E"/>
    <w:rsid w:val="5CC01398"/>
    <w:rsid w:val="5CCBF1EF"/>
    <w:rsid w:val="5CD8BF02"/>
    <w:rsid w:val="5CEA704F"/>
    <w:rsid w:val="5D030D3D"/>
    <w:rsid w:val="5D086292"/>
    <w:rsid w:val="5D09F4AA"/>
    <w:rsid w:val="5D1C7F77"/>
    <w:rsid w:val="5D1F6B94"/>
    <w:rsid w:val="5D22A719"/>
    <w:rsid w:val="5D32B59D"/>
    <w:rsid w:val="5D37DDD9"/>
    <w:rsid w:val="5D64229A"/>
    <w:rsid w:val="5D6CD93A"/>
    <w:rsid w:val="5DB1B308"/>
    <w:rsid w:val="5DC5973D"/>
    <w:rsid w:val="5E2B2DC0"/>
    <w:rsid w:val="5E55F9AD"/>
    <w:rsid w:val="5E6516BB"/>
    <w:rsid w:val="5E7EC48C"/>
    <w:rsid w:val="5EAC9F1F"/>
    <w:rsid w:val="5EAD53E3"/>
    <w:rsid w:val="5EAF0033"/>
    <w:rsid w:val="5EB09D65"/>
    <w:rsid w:val="5EBB4FE6"/>
    <w:rsid w:val="5EC16CE8"/>
    <w:rsid w:val="5EF7F984"/>
    <w:rsid w:val="5F04772E"/>
    <w:rsid w:val="5F04F0D3"/>
    <w:rsid w:val="5F1E71CC"/>
    <w:rsid w:val="5F1FCFC4"/>
    <w:rsid w:val="5F227F06"/>
    <w:rsid w:val="5F27730B"/>
    <w:rsid w:val="5F28E6B7"/>
    <w:rsid w:val="5F3BB2AD"/>
    <w:rsid w:val="5F44E39B"/>
    <w:rsid w:val="5F47645C"/>
    <w:rsid w:val="5F485740"/>
    <w:rsid w:val="5F5151EC"/>
    <w:rsid w:val="5F7B4410"/>
    <w:rsid w:val="5F7D8349"/>
    <w:rsid w:val="5F8343C4"/>
    <w:rsid w:val="5F8435C5"/>
    <w:rsid w:val="5F8EA36A"/>
    <w:rsid w:val="5F938075"/>
    <w:rsid w:val="5FAC8956"/>
    <w:rsid w:val="5FC7A661"/>
    <w:rsid w:val="5FCAA752"/>
    <w:rsid w:val="5FD03809"/>
    <w:rsid w:val="5FD30341"/>
    <w:rsid w:val="5FD7E2B4"/>
    <w:rsid w:val="5FFB0463"/>
    <w:rsid w:val="6011E057"/>
    <w:rsid w:val="6014CCD8"/>
    <w:rsid w:val="6019D031"/>
    <w:rsid w:val="601B2D87"/>
    <w:rsid w:val="601EA4A9"/>
    <w:rsid w:val="6024981C"/>
    <w:rsid w:val="60512734"/>
    <w:rsid w:val="6061102A"/>
    <w:rsid w:val="6088E53B"/>
    <w:rsid w:val="60892EB7"/>
    <w:rsid w:val="6091C685"/>
    <w:rsid w:val="60AFD1B3"/>
    <w:rsid w:val="60BB86E4"/>
    <w:rsid w:val="60DE24EA"/>
    <w:rsid w:val="60F5DE09"/>
    <w:rsid w:val="610535A7"/>
    <w:rsid w:val="610B30AF"/>
    <w:rsid w:val="610BD38C"/>
    <w:rsid w:val="611B1FFA"/>
    <w:rsid w:val="6126355B"/>
    <w:rsid w:val="612D7E4A"/>
    <w:rsid w:val="613AFFDC"/>
    <w:rsid w:val="614C8B23"/>
    <w:rsid w:val="6162EDEA"/>
    <w:rsid w:val="616EB1C0"/>
    <w:rsid w:val="616FF1F3"/>
    <w:rsid w:val="61703A80"/>
    <w:rsid w:val="61758189"/>
    <w:rsid w:val="6184C009"/>
    <w:rsid w:val="61B08421"/>
    <w:rsid w:val="61B5CB80"/>
    <w:rsid w:val="61BAA33E"/>
    <w:rsid w:val="61C24811"/>
    <w:rsid w:val="61CC7463"/>
    <w:rsid w:val="61CFA39F"/>
    <w:rsid w:val="61D01F12"/>
    <w:rsid w:val="61D713ED"/>
    <w:rsid w:val="61F289C2"/>
    <w:rsid w:val="6251378A"/>
    <w:rsid w:val="6261B04E"/>
    <w:rsid w:val="62743C13"/>
    <w:rsid w:val="62886944"/>
    <w:rsid w:val="629C850C"/>
    <w:rsid w:val="62B3D298"/>
    <w:rsid w:val="62B4945B"/>
    <w:rsid w:val="62BB26C0"/>
    <w:rsid w:val="62C00470"/>
    <w:rsid w:val="62C42BB2"/>
    <w:rsid w:val="62D0DA8C"/>
    <w:rsid w:val="62D84A11"/>
    <w:rsid w:val="62D86FF3"/>
    <w:rsid w:val="62D9F500"/>
    <w:rsid w:val="62E6F6B4"/>
    <w:rsid w:val="62EB95AA"/>
    <w:rsid w:val="62F09E20"/>
    <w:rsid w:val="633E8497"/>
    <w:rsid w:val="6344F0B8"/>
    <w:rsid w:val="634A6974"/>
    <w:rsid w:val="636FA52A"/>
    <w:rsid w:val="63740A71"/>
    <w:rsid w:val="637FAE46"/>
    <w:rsid w:val="6394F973"/>
    <w:rsid w:val="639A3D6B"/>
    <w:rsid w:val="63B829ED"/>
    <w:rsid w:val="63C192F2"/>
    <w:rsid w:val="63C5C163"/>
    <w:rsid w:val="63DCC5AD"/>
    <w:rsid w:val="63F00641"/>
    <w:rsid w:val="64007B3F"/>
    <w:rsid w:val="64244478"/>
    <w:rsid w:val="643118AE"/>
    <w:rsid w:val="647684D1"/>
    <w:rsid w:val="648261A1"/>
    <w:rsid w:val="64873F9E"/>
    <w:rsid w:val="64A07C52"/>
    <w:rsid w:val="64A09132"/>
    <w:rsid w:val="64C6397A"/>
    <w:rsid w:val="64D54241"/>
    <w:rsid w:val="64DF9A5D"/>
    <w:rsid w:val="64F308F4"/>
    <w:rsid w:val="650DA46B"/>
    <w:rsid w:val="650FA66A"/>
    <w:rsid w:val="651B18DE"/>
    <w:rsid w:val="65244E70"/>
    <w:rsid w:val="6543D723"/>
    <w:rsid w:val="654B4D7E"/>
    <w:rsid w:val="65714E88"/>
    <w:rsid w:val="65936545"/>
    <w:rsid w:val="659A3683"/>
    <w:rsid w:val="65AA40EA"/>
    <w:rsid w:val="65BA5CF9"/>
    <w:rsid w:val="65D2E0ED"/>
    <w:rsid w:val="65DB8B51"/>
    <w:rsid w:val="65E02C8A"/>
    <w:rsid w:val="65E9ADA4"/>
    <w:rsid w:val="6617528B"/>
    <w:rsid w:val="661A4C15"/>
    <w:rsid w:val="6655BA95"/>
    <w:rsid w:val="66760C72"/>
    <w:rsid w:val="667F28F3"/>
    <w:rsid w:val="66851568"/>
    <w:rsid w:val="668DC5AC"/>
    <w:rsid w:val="66B8D6B0"/>
    <w:rsid w:val="66D90E14"/>
    <w:rsid w:val="66E149BE"/>
    <w:rsid w:val="66E8FCA8"/>
    <w:rsid w:val="66FB87A9"/>
    <w:rsid w:val="6706C322"/>
    <w:rsid w:val="67115176"/>
    <w:rsid w:val="67155162"/>
    <w:rsid w:val="672E9BF1"/>
    <w:rsid w:val="672F5385"/>
    <w:rsid w:val="67396FD1"/>
    <w:rsid w:val="6758846C"/>
    <w:rsid w:val="67636AAD"/>
    <w:rsid w:val="678524CE"/>
    <w:rsid w:val="679122A3"/>
    <w:rsid w:val="67A83BA9"/>
    <w:rsid w:val="67A90763"/>
    <w:rsid w:val="67AB846E"/>
    <w:rsid w:val="67AD2B39"/>
    <w:rsid w:val="67C56DDD"/>
    <w:rsid w:val="67D11413"/>
    <w:rsid w:val="67D6DAD6"/>
    <w:rsid w:val="67DA777B"/>
    <w:rsid w:val="67E31E35"/>
    <w:rsid w:val="67F3F454"/>
    <w:rsid w:val="67FCE64C"/>
    <w:rsid w:val="67FFB9DF"/>
    <w:rsid w:val="6802656C"/>
    <w:rsid w:val="68142AF9"/>
    <w:rsid w:val="681F27B7"/>
    <w:rsid w:val="6820933B"/>
    <w:rsid w:val="682EC826"/>
    <w:rsid w:val="6835C121"/>
    <w:rsid w:val="683FFB99"/>
    <w:rsid w:val="684278CD"/>
    <w:rsid w:val="684E01F6"/>
    <w:rsid w:val="688E2AE3"/>
    <w:rsid w:val="689AA2DB"/>
    <w:rsid w:val="68B01D4B"/>
    <w:rsid w:val="68B42B7B"/>
    <w:rsid w:val="68C20B40"/>
    <w:rsid w:val="68FD1D6F"/>
    <w:rsid w:val="691EA66E"/>
    <w:rsid w:val="692849D0"/>
    <w:rsid w:val="693AB7F4"/>
    <w:rsid w:val="694602A5"/>
    <w:rsid w:val="6954FC47"/>
    <w:rsid w:val="69775728"/>
    <w:rsid w:val="69847E95"/>
    <w:rsid w:val="6992FA11"/>
    <w:rsid w:val="69A00BBF"/>
    <w:rsid w:val="69B02251"/>
    <w:rsid w:val="69BF179C"/>
    <w:rsid w:val="69CA1A6C"/>
    <w:rsid w:val="69D2EF3D"/>
    <w:rsid w:val="69D3D05D"/>
    <w:rsid w:val="69DAC725"/>
    <w:rsid w:val="69FAFC15"/>
    <w:rsid w:val="69FF5C7F"/>
    <w:rsid w:val="6A06AE3B"/>
    <w:rsid w:val="6A079021"/>
    <w:rsid w:val="6A288368"/>
    <w:rsid w:val="6A2EA0A4"/>
    <w:rsid w:val="6A33AE0B"/>
    <w:rsid w:val="6A75D06B"/>
    <w:rsid w:val="6A85795E"/>
    <w:rsid w:val="6AA2A4E0"/>
    <w:rsid w:val="6AB9BC03"/>
    <w:rsid w:val="6ABBAEFE"/>
    <w:rsid w:val="6ABEC70D"/>
    <w:rsid w:val="6ADC08C9"/>
    <w:rsid w:val="6ADFFCFC"/>
    <w:rsid w:val="6AFC973B"/>
    <w:rsid w:val="6AFFC506"/>
    <w:rsid w:val="6B04E981"/>
    <w:rsid w:val="6B0CF71B"/>
    <w:rsid w:val="6B24C910"/>
    <w:rsid w:val="6B396374"/>
    <w:rsid w:val="6B3B69BF"/>
    <w:rsid w:val="6B4F1671"/>
    <w:rsid w:val="6B5112C3"/>
    <w:rsid w:val="6B53314D"/>
    <w:rsid w:val="6B56D02D"/>
    <w:rsid w:val="6B5972F4"/>
    <w:rsid w:val="6B5C04DC"/>
    <w:rsid w:val="6B61D435"/>
    <w:rsid w:val="6B648CAC"/>
    <w:rsid w:val="6B68C9F0"/>
    <w:rsid w:val="6B6ABC4E"/>
    <w:rsid w:val="6B6C5286"/>
    <w:rsid w:val="6B6CE498"/>
    <w:rsid w:val="6B8E15B9"/>
    <w:rsid w:val="6B903632"/>
    <w:rsid w:val="6B9E35B3"/>
    <w:rsid w:val="6BAC9930"/>
    <w:rsid w:val="6BBE01A6"/>
    <w:rsid w:val="6BF68C45"/>
    <w:rsid w:val="6BFC0FFC"/>
    <w:rsid w:val="6C091C97"/>
    <w:rsid w:val="6C1FAFB8"/>
    <w:rsid w:val="6C2ECD55"/>
    <w:rsid w:val="6C405DF4"/>
    <w:rsid w:val="6C834A3C"/>
    <w:rsid w:val="6CA9A10F"/>
    <w:rsid w:val="6CB84E6B"/>
    <w:rsid w:val="6CBD7A80"/>
    <w:rsid w:val="6CCFF951"/>
    <w:rsid w:val="6CD0D00D"/>
    <w:rsid w:val="6CFB2B8C"/>
    <w:rsid w:val="6CFFF30E"/>
    <w:rsid w:val="6D00176E"/>
    <w:rsid w:val="6D261E8A"/>
    <w:rsid w:val="6D36AFEC"/>
    <w:rsid w:val="6D4A4D67"/>
    <w:rsid w:val="6D5C547B"/>
    <w:rsid w:val="6D636683"/>
    <w:rsid w:val="6D6D327B"/>
    <w:rsid w:val="6DA10B5F"/>
    <w:rsid w:val="6DA3D13E"/>
    <w:rsid w:val="6DB3A5E8"/>
    <w:rsid w:val="6DB5858D"/>
    <w:rsid w:val="6DB8AB64"/>
    <w:rsid w:val="6DC56626"/>
    <w:rsid w:val="6DD228B2"/>
    <w:rsid w:val="6DD2FD58"/>
    <w:rsid w:val="6DE87B5E"/>
    <w:rsid w:val="6E109E8C"/>
    <w:rsid w:val="6E17E311"/>
    <w:rsid w:val="6E1B9440"/>
    <w:rsid w:val="6E3DBF50"/>
    <w:rsid w:val="6E5B7863"/>
    <w:rsid w:val="6E5D9561"/>
    <w:rsid w:val="6E809A32"/>
    <w:rsid w:val="6E999B88"/>
    <w:rsid w:val="6EA80313"/>
    <w:rsid w:val="6EEC432B"/>
    <w:rsid w:val="6EF2BB5C"/>
    <w:rsid w:val="6EF45167"/>
    <w:rsid w:val="6EF51B27"/>
    <w:rsid w:val="6EFFE49B"/>
    <w:rsid w:val="6F0084AD"/>
    <w:rsid w:val="6F1CC5D0"/>
    <w:rsid w:val="6F209699"/>
    <w:rsid w:val="6F28C443"/>
    <w:rsid w:val="6F42CD38"/>
    <w:rsid w:val="6F4950D5"/>
    <w:rsid w:val="6F6C2A7D"/>
    <w:rsid w:val="6F81286A"/>
    <w:rsid w:val="6F933830"/>
    <w:rsid w:val="6F9881AC"/>
    <w:rsid w:val="6FC0294C"/>
    <w:rsid w:val="6FCA8BD5"/>
    <w:rsid w:val="6FD16A5E"/>
    <w:rsid w:val="7007765A"/>
    <w:rsid w:val="700A710D"/>
    <w:rsid w:val="70116701"/>
    <w:rsid w:val="701436B6"/>
    <w:rsid w:val="701BC0D8"/>
    <w:rsid w:val="7056792A"/>
    <w:rsid w:val="7063ECC4"/>
    <w:rsid w:val="706F9FCA"/>
    <w:rsid w:val="707BA6AD"/>
    <w:rsid w:val="70835EB2"/>
    <w:rsid w:val="70887309"/>
    <w:rsid w:val="709646CA"/>
    <w:rsid w:val="70A52F19"/>
    <w:rsid w:val="70ADEEA2"/>
    <w:rsid w:val="70C09AB7"/>
    <w:rsid w:val="70C765E0"/>
    <w:rsid w:val="70D59604"/>
    <w:rsid w:val="70EAC0AD"/>
    <w:rsid w:val="70F19F96"/>
    <w:rsid w:val="710CF470"/>
    <w:rsid w:val="7127FC9A"/>
    <w:rsid w:val="7132F29C"/>
    <w:rsid w:val="7159021C"/>
    <w:rsid w:val="715BA696"/>
    <w:rsid w:val="716DD378"/>
    <w:rsid w:val="7171D468"/>
    <w:rsid w:val="7182A50E"/>
    <w:rsid w:val="7189F206"/>
    <w:rsid w:val="71915A79"/>
    <w:rsid w:val="71AF6195"/>
    <w:rsid w:val="71BE2BA0"/>
    <w:rsid w:val="71CFE5F4"/>
    <w:rsid w:val="71E982B5"/>
    <w:rsid w:val="72327AFF"/>
    <w:rsid w:val="72526A80"/>
    <w:rsid w:val="7253814F"/>
    <w:rsid w:val="72538538"/>
    <w:rsid w:val="7261E830"/>
    <w:rsid w:val="7290A835"/>
    <w:rsid w:val="72AFCDFC"/>
    <w:rsid w:val="72C0AB33"/>
    <w:rsid w:val="72D48098"/>
    <w:rsid w:val="72DF5269"/>
    <w:rsid w:val="72E3BB12"/>
    <w:rsid w:val="72EB018C"/>
    <w:rsid w:val="72FAAC5B"/>
    <w:rsid w:val="73027AE1"/>
    <w:rsid w:val="730B86E4"/>
    <w:rsid w:val="734EB395"/>
    <w:rsid w:val="7354FE77"/>
    <w:rsid w:val="7365A385"/>
    <w:rsid w:val="736A60FA"/>
    <w:rsid w:val="737433DC"/>
    <w:rsid w:val="73789819"/>
    <w:rsid w:val="73806B05"/>
    <w:rsid w:val="73A70094"/>
    <w:rsid w:val="73AAD35F"/>
    <w:rsid w:val="73C2A648"/>
    <w:rsid w:val="73C656B9"/>
    <w:rsid w:val="73E4E390"/>
    <w:rsid w:val="73E6EAE0"/>
    <w:rsid w:val="73EF6B9D"/>
    <w:rsid w:val="740540E1"/>
    <w:rsid w:val="740B8DD6"/>
    <w:rsid w:val="74188935"/>
    <w:rsid w:val="74256DF0"/>
    <w:rsid w:val="742FAB45"/>
    <w:rsid w:val="74319B7E"/>
    <w:rsid w:val="743858D7"/>
    <w:rsid w:val="744A804A"/>
    <w:rsid w:val="746FB962"/>
    <w:rsid w:val="7471F2EC"/>
    <w:rsid w:val="74A499A1"/>
    <w:rsid w:val="74AC6920"/>
    <w:rsid w:val="74B70C0E"/>
    <w:rsid w:val="74BBD377"/>
    <w:rsid w:val="74C3FA3A"/>
    <w:rsid w:val="74C474E8"/>
    <w:rsid w:val="74C77488"/>
    <w:rsid w:val="74E456C8"/>
    <w:rsid w:val="74E7D7D4"/>
    <w:rsid w:val="74F6A786"/>
    <w:rsid w:val="74FE6FC9"/>
    <w:rsid w:val="74FEC2CB"/>
    <w:rsid w:val="750A1731"/>
    <w:rsid w:val="7517E6EB"/>
    <w:rsid w:val="752624EC"/>
    <w:rsid w:val="752786DC"/>
    <w:rsid w:val="752BCF97"/>
    <w:rsid w:val="752D299C"/>
    <w:rsid w:val="7538062C"/>
    <w:rsid w:val="753A75F1"/>
    <w:rsid w:val="754A83FE"/>
    <w:rsid w:val="7557BFA5"/>
    <w:rsid w:val="75703989"/>
    <w:rsid w:val="758BCB5A"/>
    <w:rsid w:val="75995072"/>
    <w:rsid w:val="75A67ABC"/>
    <w:rsid w:val="75BDCC17"/>
    <w:rsid w:val="75C03463"/>
    <w:rsid w:val="75C245F3"/>
    <w:rsid w:val="75D412C2"/>
    <w:rsid w:val="75DBCD4C"/>
    <w:rsid w:val="75DC24AC"/>
    <w:rsid w:val="75EAD01F"/>
    <w:rsid w:val="760BCD96"/>
    <w:rsid w:val="76111480"/>
    <w:rsid w:val="761C4651"/>
    <w:rsid w:val="7644402B"/>
    <w:rsid w:val="765A7472"/>
    <w:rsid w:val="76680F50"/>
    <w:rsid w:val="7677BAEF"/>
    <w:rsid w:val="7677BB9F"/>
    <w:rsid w:val="768121BE"/>
    <w:rsid w:val="7695EB3D"/>
    <w:rsid w:val="76ABFA5F"/>
    <w:rsid w:val="76AD453D"/>
    <w:rsid w:val="76B0170A"/>
    <w:rsid w:val="76BE6432"/>
    <w:rsid w:val="76DCF94A"/>
    <w:rsid w:val="76E6DF7B"/>
    <w:rsid w:val="76E7E3E2"/>
    <w:rsid w:val="770E08F4"/>
    <w:rsid w:val="7722FC87"/>
    <w:rsid w:val="772CA40A"/>
    <w:rsid w:val="774F6620"/>
    <w:rsid w:val="77516DD1"/>
    <w:rsid w:val="775372BF"/>
    <w:rsid w:val="778ADE11"/>
    <w:rsid w:val="7795863E"/>
    <w:rsid w:val="779B50A7"/>
    <w:rsid w:val="77A774C7"/>
    <w:rsid w:val="77BE8D5E"/>
    <w:rsid w:val="77C7CA40"/>
    <w:rsid w:val="77CFE537"/>
    <w:rsid w:val="77D6D1DD"/>
    <w:rsid w:val="77EBD859"/>
    <w:rsid w:val="77F2B2C7"/>
    <w:rsid w:val="77FDF8C8"/>
    <w:rsid w:val="781865B7"/>
    <w:rsid w:val="78207CB8"/>
    <w:rsid w:val="7829911B"/>
    <w:rsid w:val="785528CD"/>
    <w:rsid w:val="78681015"/>
    <w:rsid w:val="78752856"/>
    <w:rsid w:val="787940D7"/>
    <w:rsid w:val="78832332"/>
    <w:rsid w:val="788FB652"/>
    <w:rsid w:val="78AA9522"/>
    <w:rsid w:val="78DC34AF"/>
    <w:rsid w:val="78F2BF78"/>
    <w:rsid w:val="78F61C94"/>
    <w:rsid w:val="792557F7"/>
    <w:rsid w:val="792B6381"/>
    <w:rsid w:val="793932C3"/>
    <w:rsid w:val="793EF873"/>
    <w:rsid w:val="7955BADE"/>
    <w:rsid w:val="79800A44"/>
    <w:rsid w:val="799B9316"/>
    <w:rsid w:val="799C2DC2"/>
    <w:rsid w:val="79B14A8B"/>
    <w:rsid w:val="79C965B7"/>
    <w:rsid w:val="79CDB56F"/>
    <w:rsid w:val="79DDA1CC"/>
    <w:rsid w:val="79F161D2"/>
    <w:rsid w:val="79FFE0D6"/>
    <w:rsid w:val="7A008B2C"/>
    <w:rsid w:val="7A02E9D9"/>
    <w:rsid w:val="7A0EE3C5"/>
    <w:rsid w:val="7A17AEF5"/>
    <w:rsid w:val="7A3ADCD0"/>
    <w:rsid w:val="7A4488EF"/>
    <w:rsid w:val="7A4FECEA"/>
    <w:rsid w:val="7A5F07AF"/>
    <w:rsid w:val="7A6000BB"/>
    <w:rsid w:val="7A6553FD"/>
    <w:rsid w:val="7A6E7C5A"/>
    <w:rsid w:val="7A79375C"/>
    <w:rsid w:val="7A8BA667"/>
    <w:rsid w:val="7A97B3F6"/>
    <w:rsid w:val="7AB29878"/>
    <w:rsid w:val="7ABA2511"/>
    <w:rsid w:val="7ABB32AF"/>
    <w:rsid w:val="7ABC81F7"/>
    <w:rsid w:val="7AC07645"/>
    <w:rsid w:val="7AD6A857"/>
    <w:rsid w:val="7ADCA881"/>
    <w:rsid w:val="7AEF4EDC"/>
    <w:rsid w:val="7B0F7FC4"/>
    <w:rsid w:val="7B2D2A56"/>
    <w:rsid w:val="7B915E7F"/>
    <w:rsid w:val="7B96A936"/>
    <w:rsid w:val="7BCDB631"/>
    <w:rsid w:val="7BD214CF"/>
    <w:rsid w:val="7BFC936B"/>
    <w:rsid w:val="7C19D232"/>
    <w:rsid w:val="7C1ABF24"/>
    <w:rsid w:val="7C28E1BD"/>
    <w:rsid w:val="7C2AB1E2"/>
    <w:rsid w:val="7C2B2CC5"/>
    <w:rsid w:val="7C5EA790"/>
    <w:rsid w:val="7C7F4A6B"/>
    <w:rsid w:val="7C9AE746"/>
    <w:rsid w:val="7CA4A22B"/>
    <w:rsid w:val="7CB4D650"/>
    <w:rsid w:val="7CB58EAB"/>
    <w:rsid w:val="7CCA6BB4"/>
    <w:rsid w:val="7CD2E84F"/>
    <w:rsid w:val="7CF159CB"/>
    <w:rsid w:val="7D042C59"/>
    <w:rsid w:val="7D1661D0"/>
    <w:rsid w:val="7D427496"/>
    <w:rsid w:val="7D79820E"/>
    <w:rsid w:val="7DAE9A4C"/>
    <w:rsid w:val="7DB17CA7"/>
    <w:rsid w:val="7DBE86FB"/>
    <w:rsid w:val="7DCBBFB6"/>
    <w:rsid w:val="7DCCC89D"/>
    <w:rsid w:val="7DD496AA"/>
    <w:rsid w:val="7DF942D4"/>
    <w:rsid w:val="7E052798"/>
    <w:rsid w:val="7E0E030A"/>
    <w:rsid w:val="7E308221"/>
    <w:rsid w:val="7E5FC91E"/>
    <w:rsid w:val="7E6B47DC"/>
    <w:rsid w:val="7ED65B61"/>
    <w:rsid w:val="7ED90214"/>
    <w:rsid w:val="7EDF1508"/>
    <w:rsid w:val="7EECA315"/>
    <w:rsid w:val="7EF34CC8"/>
    <w:rsid w:val="7EF3F982"/>
    <w:rsid w:val="7F14BBF9"/>
    <w:rsid w:val="7F26417B"/>
    <w:rsid w:val="7F294AA6"/>
    <w:rsid w:val="7F29E539"/>
    <w:rsid w:val="7F51E61E"/>
    <w:rsid w:val="7F620E91"/>
    <w:rsid w:val="7F7D3EED"/>
    <w:rsid w:val="7F7DDBE7"/>
    <w:rsid w:val="7F832286"/>
    <w:rsid w:val="7FCAF830"/>
    <w:rsid w:val="7FD24372"/>
    <w:rsid w:val="7FD2B1F2"/>
    <w:rsid w:val="7FD79754"/>
    <w:rsid w:val="7FE4BD20"/>
    <w:rsid w:val="7FFA7D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875F94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60C6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660C6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60C61"/>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660C61"/>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660C61"/>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660C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0C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0C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0C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C6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660C61"/>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660C61"/>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660C61"/>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660C61"/>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660C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0C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0C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0C61"/>
    <w:rPr>
      <w:rFonts w:eastAsiaTheme="majorEastAsia" w:cstheme="majorBidi"/>
      <w:color w:val="272727" w:themeColor="text1" w:themeTint="D8"/>
    </w:rPr>
  </w:style>
  <w:style w:type="paragraph" w:styleId="Title">
    <w:name w:val="Title"/>
    <w:basedOn w:val="Normal"/>
    <w:next w:val="Normal"/>
    <w:link w:val="TitleChar"/>
    <w:uiPriority w:val="10"/>
    <w:qFormat/>
    <w:rsid w:val="00660C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0C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0C6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0C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0C6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0C61"/>
    <w:rPr>
      <w:i/>
      <w:iCs/>
      <w:color w:val="404040" w:themeColor="text1" w:themeTint="BF"/>
    </w:rPr>
  </w:style>
  <w:style w:type="paragraph" w:styleId="ListParagraph">
    <w:name w:val="List Paragraph"/>
    <w:basedOn w:val="Normal"/>
    <w:uiPriority w:val="34"/>
    <w:qFormat/>
    <w:rsid w:val="00660C61"/>
    <w:pPr>
      <w:ind w:left="720"/>
      <w:contextualSpacing/>
    </w:pPr>
  </w:style>
  <w:style w:type="character" w:styleId="IntenseEmphasis">
    <w:name w:val="Intense Emphasis"/>
    <w:basedOn w:val="DefaultParagraphFont"/>
    <w:uiPriority w:val="21"/>
    <w:qFormat/>
    <w:rsid w:val="00660C61"/>
    <w:rPr>
      <w:i/>
      <w:iCs/>
      <w:color w:val="365F91" w:themeColor="accent1" w:themeShade="BF"/>
    </w:rPr>
  </w:style>
  <w:style w:type="paragraph" w:styleId="IntenseQuote">
    <w:name w:val="Intense Quote"/>
    <w:basedOn w:val="Normal"/>
    <w:next w:val="Normal"/>
    <w:link w:val="IntenseQuoteChar"/>
    <w:uiPriority w:val="30"/>
    <w:qFormat/>
    <w:rsid w:val="00660C6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60C61"/>
    <w:rPr>
      <w:i/>
      <w:iCs/>
      <w:color w:val="365F91" w:themeColor="accent1" w:themeShade="BF"/>
    </w:rPr>
  </w:style>
  <w:style w:type="character" w:styleId="IntenseReference">
    <w:name w:val="Intense Reference"/>
    <w:basedOn w:val="DefaultParagraphFont"/>
    <w:uiPriority w:val="32"/>
    <w:qFormat/>
    <w:rsid w:val="00660C61"/>
    <w:rPr>
      <w:b/>
      <w:bCs/>
      <w:smallCaps/>
      <w:color w:val="365F91" w:themeColor="accent1" w:themeShade="BF"/>
      <w:spacing w:val="5"/>
    </w:rPr>
  </w:style>
  <w:style w:type="character" w:customStyle="1" w:styleId="Marker">
    <w:name w:val="Marker"/>
    <w:basedOn w:val="DefaultParagraphFont"/>
    <w:rsid w:val="00660C61"/>
    <w:rPr>
      <w:color w:val="0000FF"/>
      <w:shd w:val="clear" w:color="auto" w:fill="auto"/>
    </w:rPr>
  </w:style>
  <w:style w:type="paragraph" w:styleId="Header">
    <w:name w:val="header"/>
    <w:basedOn w:val="Normal"/>
    <w:link w:val="HeaderChar"/>
    <w:uiPriority w:val="99"/>
    <w:unhideWhenUsed/>
    <w:rsid w:val="00660C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C61"/>
  </w:style>
  <w:style w:type="paragraph" w:styleId="Footer">
    <w:name w:val="footer"/>
    <w:basedOn w:val="Normal"/>
    <w:link w:val="FooterChar"/>
    <w:uiPriority w:val="99"/>
    <w:unhideWhenUsed/>
    <w:rsid w:val="00660C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0C61"/>
  </w:style>
  <w:style w:type="paragraph" w:customStyle="1" w:styleId="Pagedecouverture">
    <w:name w:val="Page de couverture"/>
    <w:basedOn w:val="Normal"/>
    <w:next w:val="Normal"/>
    <w:rsid w:val="00660C61"/>
    <w:pPr>
      <w:spacing w:after="0" w:line="240" w:lineRule="auto"/>
      <w:jc w:val="both"/>
    </w:pPr>
    <w:rPr>
      <w:rFonts w:ascii="Times New Roman" w:hAnsi="Times New Roman" w:cs="Times New Roman"/>
      <w:kern w:val="0"/>
      <w:sz w:val="24"/>
      <w14:ligatures w14:val="none"/>
    </w:rPr>
  </w:style>
  <w:style w:type="paragraph" w:customStyle="1" w:styleId="FooterCoverPage">
    <w:name w:val="Footer Cover Page"/>
    <w:basedOn w:val="Normal"/>
    <w:link w:val="FooterCoverPageChar"/>
    <w:rsid w:val="00660C61"/>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660C61"/>
    <w:rPr>
      <w:rFonts w:ascii="Times New Roman" w:hAnsi="Times New Roman" w:cs="Times New Roman"/>
      <w:sz w:val="24"/>
    </w:rPr>
  </w:style>
  <w:style w:type="paragraph" w:customStyle="1" w:styleId="FooterSensitivity">
    <w:name w:val="Footer Sensitivity"/>
    <w:basedOn w:val="Normal"/>
    <w:link w:val="FooterSensitivityChar"/>
    <w:rsid w:val="00660C61"/>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660C61"/>
    <w:rPr>
      <w:rFonts w:ascii="Times New Roman" w:hAnsi="Times New Roman" w:cs="Times New Roman"/>
      <w:b/>
      <w:sz w:val="32"/>
    </w:rPr>
  </w:style>
  <w:style w:type="paragraph" w:customStyle="1" w:styleId="HeaderCoverPage">
    <w:name w:val="Header Cover Page"/>
    <w:basedOn w:val="Normal"/>
    <w:link w:val="HeaderCoverPageChar"/>
    <w:rsid w:val="00660C61"/>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660C61"/>
    <w:rPr>
      <w:rFonts w:ascii="Times New Roman" w:hAnsi="Times New Roman" w:cs="Times New Roman"/>
      <w:sz w:val="24"/>
    </w:rPr>
  </w:style>
  <w:style w:type="paragraph" w:customStyle="1" w:styleId="HeaderSensitivity">
    <w:name w:val="Header Sensitivity"/>
    <w:basedOn w:val="Normal"/>
    <w:link w:val="HeaderSensitivityChar"/>
    <w:rsid w:val="00660C61"/>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660C61"/>
    <w:rPr>
      <w:rFonts w:ascii="Times New Roman" w:hAnsi="Times New Roman" w:cs="Times New Roman"/>
      <w:b/>
      <w:sz w:val="32"/>
    </w:rPr>
  </w:style>
  <w:style w:type="paragraph" w:customStyle="1" w:styleId="HeaderSensitivityRight">
    <w:name w:val="Header Sensitivity Right"/>
    <w:basedOn w:val="Normal"/>
    <w:link w:val="HeaderSensitivityRightChar"/>
    <w:rsid w:val="009476AE"/>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660C61"/>
    <w:rPr>
      <w:rFonts w:ascii="Times New Roman" w:hAnsi="Times New Roman" w:cs="Times New Roman"/>
      <w:sz w:val="28"/>
    </w:rPr>
  </w:style>
  <w:style w:type="character" w:styleId="Hyperlink">
    <w:name w:val="Hyperlink"/>
    <w:basedOn w:val="DefaultParagraphFont"/>
    <w:uiPriority w:val="99"/>
    <w:unhideWhenUsed/>
    <w:rsid w:val="00660C61"/>
    <w:rPr>
      <w:color w:val="0000FF" w:themeColor="hyperlink"/>
      <w:u w:val="single"/>
    </w:rPr>
  </w:style>
  <w:style w:type="table" w:styleId="TableGrid">
    <w:name w:val="Table Grid"/>
    <w:basedOn w:val="TableNormal"/>
    <w:uiPriority w:val="59"/>
    <w:rsid w:val="00660C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
    <w:basedOn w:val="Normal"/>
    <w:link w:val="FootnoteTextChar"/>
    <w:uiPriority w:val="99"/>
    <w:unhideWhenUsed/>
    <w:qFormat/>
    <w:rsid w:val="00D842FC"/>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
    <w:basedOn w:val="DefaultParagraphFont"/>
    <w:link w:val="FootnoteText"/>
    <w:uiPriority w:val="99"/>
    <w:qFormat/>
    <w:rsid w:val="00D842FC"/>
    <w:rPr>
      <w:sz w:val="20"/>
      <w:szCs w:val="20"/>
    </w:rPr>
  </w:style>
  <w:style w:type="character" w:styleId="FootnoteReference">
    <w:name w:val="footnote reference"/>
    <w:aliases w:val="stylish,Ref,de nota al pie,Footnote reference number,Footnote symbol,note TESI,Footnote Reference1,Times 10 Point,Exposant 3 Point,Footnote,Voetnootverwijzing,SUPERS,EN Footnote Reference,Ref1,de nota al pie1,Ref2,de nota al pie2,fr,E"/>
    <w:basedOn w:val="DefaultParagraphFont"/>
    <w:link w:val="FootnoteReferenceCharCarCharCharCarCharCarCharCarCharCarCharCharCarCarCharCharCharCharCharCarCharCarCharCharCarCharCar"/>
    <w:uiPriority w:val="99"/>
    <w:unhideWhenUsed/>
    <w:qFormat/>
    <w:rsid w:val="00D842FC"/>
    <w:rPr>
      <w:vertAlign w:val="superscript"/>
    </w:rPr>
  </w:style>
  <w:style w:type="paragraph" w:customStyle="1" w:styleId="paragraph">
    <w:name w:val="paragraph"/>
    <w:basedOn w:val="Normal"/>
    <w:rsid w:val="00F118B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F118B2"/>
  </w:style>
  <w:style w:type="character" w:customStyle="1" w:styleId="eop">
    <w:name w:val="eop"/>
    <w:basedOn w:val="DefaultParagraphFont"/>
    <w:rsid w:val="00F118B2"/>
  </w:style>
  <w:style w:type="paragraph" w:styleId="Revision">
    <w:name w:val="Revision"/>
    <w:hidden/>
    <w:uiPriority w:val="99"/>
    <w:semiHidden/>
    <w:rsid w:val="00D14BC2"/>
    <w:pPr>
      <w:spacing w:after="0" w:line="240" w:lineRule="auto"/>
    </w:pPr>
  </w:style>
  <w:style w:type="paragraph" w:styleId="NormalWeb">
    <w:name w:val="Normal (Web)"/>
    <w:basedOn w:val="Normal"/>
    <w:uiPriority w:val="99"/>
    <w:unhideWhenUsed/>
    <w:rsid w:val="007F747B"/>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Strong">
    <w:name w:val="Strong"/>
    <w:basedOn w:val="DefaultParagraphFont"/>
    <w:uiPriority w:val="22"/>
    <w:qFormat/>
    <w:rsid w:val="007F747B"/>
    <w:rPr>
      <w:b/>
      <w:bCs/>
    </w:rPr>
  </w:style>
  <w:style w:type="character" w:styleId="CommentReference">
    <w:name w:val="annotation reference"/>
    <w:basedOn w:val="DefaultParagraphFont"/>
    <w:uiPriority w:val="99"/>
    <w:semiHidden/>
    <w:unhideWhenUsed/>
    <w:rsid w:val="000D6231"/>
    <w:rPr>
      <w:sz w:val="16"/>
      <w:szCs w:val="16"/>
    </w:rPr>
  </w:style>
  <w:style w:type="paragraph" w:styleId="CommentText">
    <w:name w:val="annotation text"/>
    <w:basedOn w:val="Normal"/>
    <w:link w:val="CommentTextChar"/>
    <w:uiPriority w:val="99"/>
    <w:unhideWhenUsed/>
    <w:rsid w:val="000D6231"/>
    <w:pPr>
      <w:spacing w:line="240" w:lineRule="auto"/>
    </w:pPr>
    <w:rPr>
      <w:sz w:val="20"/>
      <w:szCs w:val="20"/>
    </w:rPr>
  </w:style>
  <w:style w:type="character" w:customStyle="1" w:styleId="CommentTextChar">
    <w:name w:val="Comment Text Char"/>
    <w:basedOn w:val="DefaultParagraphFont"/>
    <w:link w:val="CommentText"/>
    <w:uiPriority w:val="99"/>
    <w:rsid w:val="000D6231"/>
    <w:rPr>
      <w:sz w:val="20"/>
      <w:szCs w:val="20"/>
    </w:rPr>
  </w:style>
  <w:style w:type="paragraph" w:styleId="CommentSubject">
    <w:name w:val="annotation subject"/>
    <w:basedOn w:val="CommentText"/>
    <w:next w:val="CommentText"/>
    <w:link w:val="CommentSubjectChar"/>
    <w:uiPriority w:val="99"/>
    <w:semiHidden/>
    <w:unhideWhenUsed/>
    <w:rsid w:val="000D6231"/>
    <w:rPr>
      <w:b/>
      <w:bCs/>
    </w:rPr>
  </w:style>
  <w:style w:type="character" w:customStyle="1" w:styleId="CommentSubjectChar">
    <w:name w:val="Comment Subject Char"/>
    <w:basedOn w:val="CommentTextChar"/>
    <w:link w:val="CommentSubject"/>
    <w:uiPriority w:val="99"/>
    <w:semiHidden/>
    <w:rsid w:val="000D6231"/>
    <w:rPr>
      <w:b/>
      <w:bCs/>
      <w:sz w:val="20"/>
      <w:szCs w:val="20"/>
    </w:rPr>
  </w:style>
  <w:style w:type="character" w:customStyle="1" w:styleId="Mention">
    <w:name w:val="Mention"/>
    <w:basedOn w:val="DefaultParagraphFont"/>
    <w:uiPriority w:val="99"/>
    <w:unhideWhenUsed/>
    <w:rsid w:val="000D6231"/>
    <w:rPr>
      <w:color w:val="2B579A"/>
      <w:shd w:val="clear" w:color="auto" w:fill="E1DFDD"/>
    </w:rPr>
  </w:style>
  <w:style w:type="character" w:customStyle="1" w:styleId="UnresolvedMention">
    <w:name w:val="Unresolved Mention"/>
    <w:basedOn w:val="DefaultParagraphFont"/>
    <w:uiPriority w:val="99"/>
    <w:semiHidden/>
    <w:unhideWhenUsed/>
    <w:rsid w:val="002265AB"/>
    <w:rPr>
      <w:color w:val="605E5C"/>
      <w:shd w:val="clear" w:color="auto" w:fill="E1DFDD"/>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rsid w:val="00A47271"/>
    <w:pPr>
      <w:keepLines/>
      <w:spacing w:after="160" w:line="240" w:lineRule="exact"/>
      <w:jc w:val="both"/>
    </w:pPr>
    <w:rPr>
      <w:vertAlign w:val="superscript"/>
    </w:rPr>
  </w:style>
  <w:style w:type="character" w:styleId="FollowedHyperlink">
    <w:name w:val="FollowedHyperlink"/>
    <w:basedOn w:val="DefaultParagraphFont"/>
    <w:uiPriority w:val="99"/>
    <w:semiHidden/>
    <w:unhideWhenUsed/>
    <w:rsid w:val="00B26BDB"/>
    <w:rPr>
      <w:color w:val="800080" w:themeColor="followedHyperlink"/>
      <w:u w:val="single"/>
    </w:rPr>
  </w:style>
  <w:style w:type="paragraph" w:customStyle="1" w:styleId="Disclaimer">
    <w:name w:val="Disclaimer"/>
    <w:basedOn w:val="Normal"/>
    <w:rsid w:val="009476AE"/>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kern w:val="0"/>
      <w:sz w:val="24"/>
      <w14:ligatures w14:val="none"/>
    </w:rPr>
  </w:style>
  <w:style w:type="paragraph" w:customStyle="1" w:styleId="SecurityMarking">
    <w:name w:val="SecurityMarking"/>
    <w:basedOn w:val="Normal"/>
    <w:rsid w:val="009476AE"/>
    <w:pPr>
      <w:spacing w:after="0"/>
      <w:ind w:left="5103"/>
    </w:pPr>
    <w:rPr>
      <w:rFonts w:ascii="Times New Roman" w:hAnsi="Times New Roman" w:cs="Times New Roman"/>
      <w:kern w:val="0"/>
      <w:sz w:val="28"/>
      <w14:ligatures w14:val="none"/>
    </w:rPr>
  </w:style>
  <w:style w:type="paragraph" w:customStyle="1" w:styleId="DateMarking">
    <w:name w:val="DateMarking"/>
    <w:basedOn w:val="Normal"/>
    <w:rsid w:val="009476AE"/>
    <w:pPr>
      <w:spacing w:after="0"/>
      <w:ind w:left="5103"/>
    </w:pPr>
    <w:rPr>
      <w:rFonts w:ascii="Times New Roman" w:hAnsi="Times New Roman" w:cs="Times New Roman"/>
      <w:i/>
      <w:kern w:val="0"/>
      <w:sz w:val="28"/>
      <w14:ligatures w14:val="none"/>
    </w:rPr>
  </w:style>
  <w:style w:type="paragraph" w:customStyle="1" w:styleId="ReleasableTo">
    <w:name w:val="ReleasableTo"/>
    <w:basedOn w:val="Normal"/>
    <w:rsid w:val="009476AE"/>
    <w:pPr>
      <w:spacing w:after="0"/>
      <w:ind w:left="5103"/>
    </w:pPr>
    <w:rPr>
      <w:rFonts w:ascii="Times New Roman" w:hAnsi="Times New Roman" w:cs="Times New Roman"/>
      <w:i/>
      <w:kern w:val="0"/>
      <w:sz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687952">
      <w:bodyDiv w:val="1"/>
      <w:marLeft w:val="0"/>
      <w:marRight w:val="0"/>
      <w:marTop w:val="0"/>
      <w:marBottom w:val="0"/>
      <w:divBdr>
        <w:top w:val="none" w:sz="0" w:space="0" w:color="auto"/>
        <w:left w:val="none" w:sz="0" w:space="0" w:color="auto"/>
        <w:bottom w:val="none" w:sz="0" w:space="0" w:color="auto"/>
        <w:right w:val="none" w:sz="0" w:space="0" w:color="auto"/>
      </w:divBdr>
      <w:divsChild>
        <w:div w:id="181282062">
          <w:marLeft w:val="0"/>
          <w:marRight w:val="0"/>
          <w:marTop w:val="0"/>
          <w:marBottom w:val="0"/>
          <w:divBdr>
            <w:top w:val="none" w:sz="0" w:space="0" w:color="auto"/>
            <w:left w:val="none" w:sz="0" w:space="0" w:color="auto"/>
            <w:bottom w:val="none" w:sz="0" w:space="0" w:color="auto"/>
            <w:right w:val="none" w:sz="0" w:space="0" w:color="auto"/>
          </w:divBdr>
        </w:div>
        <w:div w:id="551968118">
          <w:marLeft w:val="0"/>
          <w:marRight w:val="0"/>
          <w:marTop w:val="0"/>
          <w:marBottom w:val="0"/>
          <w:divBdr>
            <w:top w:val="none" w:sz="0" w:space="0" w:color="auto"/>
            <w:left w:val="none" w:sz="0" w:space="0" w:color="auto"/>
            <w:bottom w:val="none" w:sz="0" w:space="0" w:color="auto"/>
            <w:right w:val="none" w:sz="0" w:space="0" w:color="auto"/>
          </w:divBdr>
        </w:div>
        <w:div w:id="654065022">
          <w:marLeft w:val="0"/>
          <w:marRight w:val="0"/>
          <w:marTop w:val="0"/>
          <w:marBottom w:val="0"/>
          <w:divBdr>
            <w:top w:val="none" w:sz="0" w:space="0" w:color="auto"/>
            <w:left w:val="none" w:sz="0" w:space="0" w:color="auto"/>
            <w:bottom w:val="none" w:sz="0" w:space="0" w:color="auto"/>
            <w:right w:val="none" w:sz="0" w:space="0" w:color="auto"/>
          </w:divBdr>
        </w:div>
        <w:div w:id="740638764">
          <w:marLeft w:val="0"/>
          <w:marRight w:val="0"/>
          <w:marTop w:val="0"/>
          <w:marBottom w:val="0"/>
          <w:divBdr>
            <w:top w:val="none" w:sz="0" w:space="0" w:color="auto"/>
            <w:left w:val="none" w:sz="0" w:space="0" w:color="auto"/>
            <w:bottom w:val="none" w:sz="0" w:space="0" w:color="auto"/>
            <w:right w:val="none" w:sz="0" w:space="0" w:color="auto"/>
          </w:divBdr>
        </w:div>
        <w:div w:id="1450902779">
          <w:marLeft w:val="0"/>
          <w:marRight w:val="0"/>
          <w:marTop w:val="0"/>
          <w:marBottom w:val="0"/>
          <w:divBdr>
            <w:top w:val="none" w:sz="0" w:space="0" w:color="auto"/>
            <w:left w:val="none" w:sz="0" w:space="0" w:color="auto"/>
            <w:bottom w:val="none" w:sz="0" w:space="0" w:color="auto"/>
            <w:right w:val="none" w:sz="0" w:space="0" w:color="auto"/>
          </w:divBdr>
        </w:div>
        <w:div w:id="1577783764">
          <w:marLeft w:val="0"/>
          <w:marRight w:val="0"/>
          <w:marTop w:val="0"/>
          <w:marBottom w:val="0"/>
          <w:divBdr>
            <w:top w:val="none" w:sz="0" w:space="0" w:color="auto"/>
            <w:left w:val="none" w:sz="0" w:space="0" w:color="auto"/>
            <w:bottom w:val="none" w:sz="0" w:space="0" w:color="auto"/>
            <w:right w:val="none" w:sz="0" w:space="0" w:color="auto"/>
          </w:divBdr>
        </w:div>
        <w:div w:id="2005279061">
          <w:marLeft w:val="0"/>
          <w:marRight w:val="0"/>
          <w:marTop w:val="0"/>
          <w:marBottom w:val="0"/>
          <w:divBdr>
            <w:top w:val="none" w:sz="0" w:space="0" w:color="auto"/>
            <w:left w:val="none" w:sz="0" w:space="0" w:color="auto"/>
            <w:bottom w:val="none" w:sz="0" w:space="0" w:color="auto"/>
            <w:right w:val="none" w:sz="0" w:space="0" w:color="auto"/>
          </w:divBdr>
        </w:div>
      </w:divsChild>
    </w:div>
    <w:div w:id="180752528">
      <w:bodyDiv w:val="1"/>
      <w:marLeft w:val="0"/>
      <w:marRight w:val="0"/>
      <w:marTop w:val="0"/>
      <w:marBottom w:val="0"/>
      <w:divBdr>
        <w:top w:val="none" w:sz="0" w:space="0" w:color="auto"/>
        <w:left w:val="none" w:sz="0" w:space="0" w:color="auto"/>
        <w:bottom w:val="none" w:sz="0" w:space="0" w:color="auto"/>
        <w:right w:val="none" w:sz="0" w:space="0" w:color="auto"/>
      </w:divBdr>
      <w:divsChild>
        <w:div w:id="116679475">
          <w:marLeft w:val="0"/>
          <w:marRight w:val="0"/>
          <w:marTop w:val="0"/>
          <w:marBottom w:val="0"/>
          <w:divBdr>
            <w:top w:val="none" w:sz="0" w:space="0" w:color="auto"/>
            <w:left w:val="none" w:sz="0" w:space="0" w:color="auto"/>
            <w:bottom w:val="none" w:sz="0" w:space="0" w:color="auto"/>
            <w:right w:val="none" w:sz="0" w:space="0" w:color="auto"/>
          </w:divBdr>
        </w:div>
        <w:div w:id="223293193">
          <w:marLeft w:val="0"/>
          <w:marRight w:val="0"/>
          <w:marTop w:val="0"/>
          <w:marBottom w:val="0"/>
          <w:divBdr>
            <w:top w:val="none" w:sz="0" w:space="0" w:color="auto"/>
            <w:left w:val="none" w:sz="0" w:space="0" w:color="auto"/>
            <w:bottom w:val="none" w:sz="0" w:space="0" w:color="auto"/>
            <w:right w:val="none" w:sz="0" w:space="0" w:color="auto"/>
          </w:divBdr>
        </w:div>
        <w:div w:id="829953117">
          <w:marLeft w:val="0"/>
          <w:marRight w:val="0"/>
          <w:marTop w:val="0"/>
          <w:marBottom w:val="0"/>
          <w:divBdr>
            <w:top w:val="none" w:sz="0" w:space="0" w:color="auto"/>
            <w:left w:val="none" w:sz="0" w:space="0" w:color="auto"/>
            <w:bottom w:val="none" w:sz="0" w:space="0" w:color="auto"/>
            <w:right w:val="none" w:sz="0" w:space="0" w:color="auto"/>
          </w:divBdr>
        </w:div>
        <w:div w:id="845052880">
          <w:marLeft w:val="0"/>
          <w:marRight w:val="0"/>
          <w:marTop w:val="0"/>
          <w:marBottom w:val="0"/>
          <w:divBdr>
            <w:top w:val="none" w:sz="0" w:space="0" w:color="auto"/>
            <w:left w:val="none" w:sz="0" w:space="0" w:color="auto"/>
            <w:bottom w:val="none" w:sz="0" w:space="0" w:color="auto"/>
            <w:right w:val="none" w:sz="0" w:space="0" w:color="auto"/>
          </w:divBdr>
        </w:div>
        <w:div w:id="1417746958">
          <w:marLeft w:val="0"/>
          <w:marRight w:val="0"/>
          <w:marTop w:val="0"/>
          <w:marBottom w:val="0"/>
          <w:divBdr>
            <w:top w:val="none" w:sz="0" w:space="0" w:color="auto"/>
            <w:left w:val="none" w:sz="0" w:space="0" w:color="auto"/>
            <w:bottom w:val="none" w:sz="0" w:space="0" w:color="auto"/>
            <w:right w:val="none" w:sz="0" w:space="0" w:color="auto"/>
          </w:divBdr>
        </w:div>
        <w:div w:id="1463843572">
          <w:marLeft w:val="0"/>
          <w:marRight w:val="0"/>
          <w:marTop w:val="0"/>
          <w:marBottom w:val="0"/>
          <w:divBdr>
            <w:top w:val="none" w:sz="0" w:space="0" w:color="auto"/>
            <w:left w:val="none" w:sz="0" w:space="0" w:color="auto"/>
            <w:bottom w:val="none" w:sz="0" w:space="0" w:color="auto"/>
            <w:right w:val="none" w:sz="0" w:space="0" w:color="auto"/>
          </w:divBdr>
        </w:div>
        <w:div w:id="1929970333">
          <w:marLeft w:val="0"/>
          <w:marRight w:val="0"/>
          <w:marTop w:val="0"/>
          <w:marBottom w:val="0"/>
          <w:divBdr>
            <w:top w:val="none" w:sz="0" w:space="0" w:color="auto"/>
            <w:left w:val="none" w:sz="0" w:space="0" w:color="auto"/>
            <w:bottom w:val="none" w:sz="0" w:space="0" w:color="auto"/>
            <w:right w:val="none" w:sz="0" w:space="0" w:color="auto"/>
          </w:divBdr>
        </w:div>
      </w:divsChild>
    </w:div>
    <w:div w:id="235554439">
      <w:bodyDiv w:val="1"/>
      <w:marLeft w:val="0"/>
      <w:marRight w:val="0"/>
      <w:marTop w:val="0"/>
      <w:marBottom w:val="0"/>
      <w:divBdr>
        <w:top w:val="none" w:sz="0" w:space="0" w:color="auto"/>
        <w:left w:val="none" w:sz="0" w:space="0" w:color="auto"/>
        <w:bottom w:val="none" w:sz="0" w:space="0" w:color="auto"/>
        <w:right w:val="none" w:sz="0" w:space="0" w:color="auto"/>
      </w:divBdr>
      <w:divsChild>
        <w:div w:id="553345605">
          <w:marLeft w:val="0"/>
          <w:marRight w:val="0"/>
          <w:marTop w:val="0"/>
          <w:marBottom w:val="0"/>
          <w:divBdr>
            <w:top w:val="none" w:sz="0" w:space="0" w:color="auto"/>
            <w:left w:val="none" w:sz="0" w:space="0" w:color="auto"/>
            <w:bottom w:val="none" w:sz="0" w:space="0" w:color="auto"/>
            <w:right w:val="none" w:sz="0" w:space="0" w:color="auto"/>
          </w:divBdr>
        </w:div>
        <w:div w:id="1914201443">
          <w:marLeft w:val="0"/>
          <w:marRight w:val="0"/>
          <w:marTop w:val="0"/>
          <w:marBottom w:val="0"/>
          <w:divBdr>
            <w:top w:val="none" w:sz="0" w:space="0" w:color="auto"/>
            <w:left w:val="none" w:sz="0" w:space="0" w:color="auto"/>
            <w:bottom w:val="none" w:sz="0" w:space="0" w:color="auto"/>
            <w:right w:val="none" w:sz="0" w:space="0" w:color="auto"/>
          </w:divBdr>
        </w:div>
        <w:div w:id="2032758508">
          <w:marLeft w:val="0"/>
          <w:marRight w:val="0"/>
          <w:marTop w:val="0"/>
          <w:marBottom w:val="0"/>
          <w:divBdr>
            <w:top w:val="none" w:sz="0" w:space="0" w:color="auto"/>
            <w:left w:val="none" w:sz="0" w:space="0" w:color="auto"/>
            <w:bottom w:val="none" w:sz="0" w:space="0" w:color="auto"/>
            <w:right w:val="none" w:sz="0" w:space="0" w:color="auto"/>
          </w:divBdr>
        </w:div>
      </w:divsChild>
    </w:div>
    <w:div w:id="241961465">
      <w:bodyDiv w:val="1"/>
      <w:marLeft w:val="0"/>
      <w:marRight w:val="0"/>
      <w:marTop w:val="0"/>
      <w:marBottom w:val="0"/>
      <w:divBdr>
        <w:top w:val="none" w:sz="0" w:space="0" w:color="auto"/>
        <w:left w:val="none" w:sz="0" w:space="0" w:color="auto"/>
        <w:bottom w:val="none" w:sz="0" w:space="0" w:color="auto"/>
        <w:right w:val="none" w:sz="0" w:space="0" w:color="auto"/>
      </w:divBdr>
      <w:divsChild>
        <w:div w:id="367804260">
          <w:marLeft w:val="0"/>
          <w:marRight w:val="0"/>
          <w:marTop w:val="0"/>
          <w:marBottom w:val="0"/>
          <w:divBdr>
            <w:top w:val="none" w:sz="0" w:space="0" w:color="auto"/>
            <w:left w:val="none" w:sz="0" w:space="0" w:color="auto"/>
            <w:bottom w:val="none" w:sz="0" w:space="0" w:color="auto"/>
            <w:right w:val="none" w:sz="0" w:space="0" w:color="auto"/>
          </w:divBdr>
        </w:div>
        <w:div w:id="1401633423">
          <w:marLeft w:val="0"/>
          <w:marRight w:val="0"/>
          <w:marTop w:val="0"/>
          <w:marBottom w:val="0"/>
          <w:divBdr>
            <w:top w:val="none" w:sz="0" w:space="0" w:color="auto"/>
            <w:left w:val="none" w:sz="0" w:space="0" w:color="auto"/>
            <w:bottom w:val="none" w:sz="0" w:space="0" w:color="auto"/>
            <w:right w:val="none" w:sz="0" w:space="0" w:color="auto"/>
          </w:divBdr>
        </w:div>
        <w:div w:id="2030522874">
          <w:marLeft w:val="0"/>
          <w:marRight w:val="0"/>
          <w:marTop w:val="0"/>
          <w:marBottom w:val="0"/>
          <w:divBdr>
            <w:top w:val="none" w:sz="0" w:space="0" w:color="auto"/>
            <w:left w:val="none" w:sz="0" w:space="0" w:color="auto"/>
            <w:bottom w:val="none" w:sz="0" w:space="0" w:color="auto"/>
            <w:right w:val="none" w:sz="0" w:space="0" w:color="auto"/>
          </w:divBdr>
        </w:div>
      </w:divsChild>
    </w:div>
    <w:div w:id="267321546">
      <w:bodyDiv w:val="1"/>
      <w:marLeft w:val="0"/>
      <w:marRight w:val="0"/>
      <w:marTop w:val="0"/>
      <w:marBottom w:val="0"/>
      <w:divBdr>
        <w:top w:val="none" w:sz="0" w:space="0" w:color="auto"/>
        <w:left w:val="none" w:sz="0" w:space="0" w:color="auto"/>
        <w:bottom w:val="none" w:sz="0" w:space="0" w:color="auto"/>
        <w:right w:val="none" w:sz="0" w:space="0" w:color="auto"/>
      </w:divBdr>
    </w:div>
    <w:div w:id="272129371">
      <w:bodyDiv w:val="1"/>
      <w:marLeft w:val="0"/>
      <w:marRight w:val="0"/>
      <w:marTop w:val="0"/>
      <w:marBottom w:val="0"/>
      <w:divBdr>
        <w:top w:val="none" w:sz="0" w:space="0" w:color="auto"/>
        <w:left w:val="none" w:sz="0" w:space="0" w:color="auto"/>
        <w:bottom w:val="none" w:sz="0" w:space="0" w:color="auto"/>
        <w:right w:val="none" w:sz="0" w:space="0" w:color="auto"/>
      </w:divBdr>
      <w:divsChild>
        <w:div w:id="429473024">
          <w:marLeft w:val="0"/>
          <w:marRight w:val="0"/>
          <w:marTop w:val="0"/>
          <w:marBottom w:val="0"/>
          <w:divBdr>
            <w:top w:val="none" w:sz="0" w:space="0" w:color="auto"/>
            <w:left w:val="none" w:sz="0" w:space="0" w:color="auto"/>
            <w:bottom w:val="none" w:sz="0" w:space="0" w:color="auto"/>
            <w:right w:val="none" w:sz="0" w:space="0" w:color="auto"/>
          </w:divBdr>
        </w:div>
        <w:div w:id="896277529">
          <w:marLeft w:val="0"/>
          <w:marRight w:val="0"/>
          <w:marTop w:val="0"/>
          <w:marBottom w:val="0"/>
          <w:divBdr>
            <w:top w:val="none" w:sz="0" w:space="0" w:color="auto"/>
            <w:left w:val="none" w:sz="0" w:space="0" w:color="auto"/>
            <w:bottom w:val="none" w:sz="0" w:space="0" w:color="auto"/>
            <w:right w:val="none" w:sz="0" w:space="0" w:color="auto"/>
          </w:divBdr>
        </w:div>
        <w:div w:id="986322041">
          <w:marLeft w:val="0"/>
          <w:marRight w:val="0"/>
          <w:marTop w:val="0"/>
          <w:marBottom w:val="0"/>
          <w:divBdr>
            <w:top w:val="none" w:sz="0" w:space="0" w:color="auto"/>
            <w:left w:val="none" w:sz="0" w:space="0" w:color="auto"/>
            <w:bottom w:val="none" w:sz="0" w:space="0" w:color="auto"/>
            <w:right w:val="none" w:sz="0" w:space="0" w:color="auto"/>
          </w:divBdr>
        </w:div>
        <w:div w:id="1030491376">
          <w:marLeft w:val="0"/>
          <w:marRight w:val="0"/>
          <w:marTop w:val="0"/>
          <w:marBottom w:val="0"/>
          <w:divBdr>
            <w:top w:val="none" w:sz="0" w:space="0" w:color="auto"/>
            <w:left w:val="none" w:sz="0" w:space="0" w:color="auto"/>
            <w:bottom w:val="none" w:sz="0" w:space="0" w:color="auto"/>
            <w:right w:val="none" w:sz="0" w:space="0" w:color="auto"/>
          </w:divBdr>
        </w:div>
        <w:div w:id="1405838420">
          <w:marLeft w:val="0"/>
          <w:marRight w:val="0"/>
          <w:marTop w:val="0"/>
          <w:marBottom w:val="0"/>
          <w:divBdr>
            <w:top w:val="none" w:sz="0" w:space="0" w:color="auto"/>
            <w:left w:val="none" w:sz="0" w:space="0" w:color="auto"/>
            <w:bottom w:val="none" w:sz="0" w:space="0" w:color="auto"/>
            <w:right w:val="none" w:sz="0" w:space="0" w:color="auto"/>
          </w:divBdr>
        </w:div>
        <w:div w:id="1590651527">
          <w:marLeft w:val="0"/>
          <w:marRight w:val="0"/>
          <w:marTop w:val="0"/>
          <w:marBottom w:val="0"/>
          <w:divBdr>
            <w:top w:val="none" w:sz="0" w:space="0" w:color="auto"/>
            <w:left w:val="none" w:sz="0" w:space="0" w:color="auto"/>
            <w:bottom w:val="none" w:sz="0" w:space="0" w:color="auto"/>
            <w:right w:val="none" w:sz="0" w:space="0" w:color="auto"/>
          </w:divBdr>
        </w:div>
        <w:div w:id="1675188592">
          <w:marLeft w:val="0"/>
          <w:marRight w:val="0"/>
          <w:marTop w:val="0"/>
          <w:marBottom w:val="0"/>
          <w:divBdr>
            <w:top w:val="none" w:sz="0" w:space="0" w:color="auto"/>
            <w:left w:val="none" w:sz="0" w:space="0" w:color="auto"/>
            <w:bottom w:val="none" w:sz="0" w:space="0" w:color="auto"/>
            <w:right w:val="none" w:sz="0" w:space="0" w:color="auto"/>
          </w:divBdr>
        </w:div>
        <w:div w:id="1823619115">
          <w:marLeft w:val="0"/>
          <w:marRight w:val="0"/>
          <w:marTop w:val="0"/>
          <w:marBottom w:val="0"/>
          <w:divBdr>
            <w:top w:val="none" w:sz="0" w:space="0" w:color="auto"/>
            <w:left w:val="none" w:sz="0" w:space="0" w:color="auto"/>
            <w:bottom w:val="none" w:sz="0" w:space="0" w:color="auto"/>
            <w:right w:val="none" w:sz="0" w:space="0" w:color="auto"/>
          </w:divBdr>
        </w:div>
        <w:div w:id="1846550824">
          <w:marLeft w:val="0"/>
          <w:marRight w:val="0"/>
          <w:marTop w:val="0"/>
          <w:marBottom w:val="0"/>
          <w:divBdr>
            <w:top w:val="none" w:sz="0" w:space="0" w:color="auto"/>
            <w:left w:val="none" w:sz="0" w:space="0" w:color="auto"/>
            <w:bottom w:val="none" w:sz="0" w:space="0" w:color="auto"/>
            <w:right w:val="none" w:sz="0" w:space="0" w:color="auto"/>
          </w:divBdr>
        </w:div>
        <w:div w:id="1881430055">
          <w:marLeft w:val="0"/>
          <w:marRight w:val="0"/>
          <w:marTop w:val="0"/>
          <w:marBottom w:val="0"/>
          <w:divBdr>
            <w:top w:val="none" w:sz="0" w:space="0" w:color="auto"/>
            <w:left w:val="none" w:sz="0" w:space="0" w:color="auto"/>
            <w:bottom w:val="none" w:sz="0" w:space="0" w:color="auto"/>
            <w:right w:val="none" w:sz="0" w:space="0" w:color="auto"/>
          </w:divBdr>
        </w:div>
        <w:div w:id="1932813038">
          <w:marLeft w:val="0"/>
          <w:marRight w:val="0"/>
          <w:marTop w:val="0"/>
          <w:marBottom w:val="0"/>
          <w:divBdr>
            <w:top w:val="none" w:sz="0" w:space="0" w:color="auto"/>
            <w:left w:val="none" w:sz="0" w:space="0" w:color="auto"/>
            <w:bottom w:val="none" w:sz="0" w:space="0" w:color="auto"/>
            <w:right w:val="none" w:sz="0" w:space="0" w:color="auto"/>
          </w:divBdr>
        </w:div>
        <w:div w:id="2066367539">
          <w:marLeft w:val="0"/>
          <w:marRight w:val="0"/>
          <w:marTop w:val="0"/>
          <w:marBottom w:val="0"/>
          <w:divBdr>
            <w:top w:val="none" w:sz="0" w:space="0" w:color="auto"/>
            <w:left w:val="none" w:sz="0" w:space="0" w:color="auto"/>
            <w:bottom w:val="none" w:sz="0" w:space="0" w:color="auto"/>
            <w:right w:val="none" w:sz="0" w:space="0" w:color="auto"/>
          </w:divBdr>
        </w:div>
        <w:div w:id="2121794589">
          <w:marLeft w:val="0"/>
          <w:marRight w:val="0"/>
          <w:marTop w:val="0"/>
          <w:marBottom w:val="0"/>
          <w:divBdr>
            <w:top w:val="none" w:sz="0" w:space="0" w:color="auto"/>
            <w:left w:val="none" w:sz="0" w:space="0" w:color="auto"/>
            <w:bottom w:val="none" w:sz="0" w:space="0" w:color="auto"/>
            <w:right w:val="none" w:sz="0" w:space="0" w:color="auto"/>
          </w:divBdr>
        </w:div>
        <w:div w:id="2125692754">
          <w:marLeft w:val="0"/>
          <w:marRight w:val="0"/>
          <w:marTop w:val="0"/>
          <w:marBottom w:val="0"/>
          <w:divBdr>
            <w:top w:val="none" w:sz="0" w:space="0" w:color="auto"/>
            <w:left w:val="none" w:sz="0" w:space="0" w:color="auto"/>
            <w:bottom w:val="none" w:sz="0" w:space="0" w:color="auto"/>
            <w:right w:val="none" w:sz="0" w:space="0" w:color="auto"/>
          </w:divBdr>
        </w:div>
      </w:divsChild>
    </w:div>
    <w:div w:id="314141060">
      <w:bodyDiv w:val="1"/>
      <w:marLeft w:val="0"/>
      <w:marRight w:val="0"/>
      <w:marTop w:val="0"/>
      <w:marBottom w:val="0"/>
      <w:divBdr>
        <w:top w:val="none" w:sz="0" w:space="0" w:color="auto"/>
        <w:left w:val="none" w:sz="0" w:space="0" w:color="auto"/>
        <w:bottom w:val="none" w:sz="0" w:space="0" w:color="auto"/>
        <w:right w:val="none" w:sz="0" w:space="0" w:color="auto"/>
      </w:divBdr>
    </w:div>
    <w:div w:id="356347651">
      <w:bodyDiv w:val="1"/>
      <w:marLeft w:val="0"/>
      <w:marRight w:val="0"/>
      <w:marTop w:val="0"/>
      <w:marBottom w:val="0"/>
      <w:divBdr>
        <w:top w:val="none" w:sz="0" w:space="0" w:color="auto"/>
        <w:left w:val="none" w:sz="0" w:space="0" w:color="auto"/>
        <w:bottom w:val="none" w:sz="0" w:space="0" w:color="auto"/>
        <w:right w:val="none" w:sz="0" w:space="0" w:color="auto"/>
      </w:divBdr>
    </w:div>
    <w:div w:id="454907691">
      <w:bodyDiv w:val="1"/>
      <w:marLeft w:val="0"/>
      <w:marRight w:val="0"/>
      <w:marTop w:val="0"/>
      <w:marBottom w:val="0"/>
      <w:divBdr>
        <w:top w:val="none" w:sz="0" w:space="0" w:color="auto"/>
        <w:left w:val="none" w:sz="0" w:space="0" w:color="auto"/>
        <w:bottom w:val="none" w:sz="0" w:space="0" w:color="auto"/>
        <w:right w:val="none" w:sz="0" w:space="0" w:color="auto"/>
      </w:divBdr>
    </w:div>
    <w:div w:id="475299548">
      <w:bodyDiv w:val="1"/>
      <w:marLeft w:val="0"/>
      <w:marRight w:val="0"/>
      <w:marTop w:val="0"/>
      <w:marBottom w:val="0"/>
      <w:divBdr>
        <w:top w:val="none" w:sz="0" w:space="0" w:color="auto"/>
        <w:left w:val="none" w:sz="0" w:space="0" w:color="auto"/>
        <w:bottom w:val="none" w:sz="0" w:space="0" w:color="auto"/>
        <w:right w:val="none" w:sz="0" w:space="0" w:color="auto"/>
      </w:divBdr>
    </w:div>
    <w:div w:id="520750942">
      <w:bodyDiv w:val="1"/>
      <w:marLeft w:val="0"/>
      <w:marRight w:val="0"/>
      <w:marTop w:val="0"/>
      <w:marBottom w:val="0"/>
      <w:divBdr>
        <w:top w:val="none" w:sz="0" w:space="0" w:color="auto"/>
        <w:left w:val="none" w:sz="0" w:space="0" w:color="auto"/>
        <w:bottom w:val="none" w:sz="0" w:space="0" w:color="auto"/>
        <w:right w:val="none" w:sz="0" w:space="0" w:color="auto"/>
      </w:divBdr>
    </w:div>
    <w:div w:id="537007011">
      <w:bodyDiv w:val="1"/>
      <w:marLeft w:val="0"/>
      <w:marRight w:val="0"/>
      <w:marTop w:val="0"/>
      <w:marBottom w:val="0"/>
      <w:divBdr>
        <w:top w:val="none" w:sz="0" w:space="0" w:color="auto"/>
        <w:left w:val="none" w:sz="0" w:space="0" w:color="auto"/>
        <w:bottom w:val="none" w:sz="0" w:space="0" w:color="auto"/>
        <w:right w:val="none" w:sz="0" w:space="0" w:color="auto"/>
      </w:divBdr>
    </w:div>
    <w:div w:id="545029467">
      <w:bodyDiv w:val="1"/>
      <w:marLeft w:val="0"/>
      <w:marRight w:val="0"/>
      <w:marTop w:val="0"/>
      <w:marBottom w:val="0"/>
      <w:divBdr>
        <w:top w:val="none" w:sz="0" w:space="0" w:color="auto"/>
        <w:left w:val="none" w:sz="0" w:space="0" w:color="auto"/>
        <w:bottom w:val="none" w:sz="0" w:space="0" w:color="auto"/>
        <w:right w:val="none" w:sz="0" w:space="0" w:color="auto"/>
      </w:divBdr>
    </w:div>
    <w:div w:id="675156581">
      <w:bodyDiv w:val="1"/>
      <w:marLeft w:val="0"/>
      <w:marRight w:val="0"/>
      <w:marTop w:val="0"/>
      <w:marBottom w:val="0"/>
      <w:divBdr>
        <w:top w:val="none" w:sz="0" w:space="0" w:color="auto"/>
        <w:left w:val="none" w:sz="0" w:space="0" w:color="auto"/>
        <w:bottom w:val="none" w:sz="0" w:space="0" w:color="auto"/>
        <w:right w:val="none" w:sz="0" w:space="0" w:color="auto"/>
      </w:divBdr>
      <w:divsChild>
        <w:div w:id="804277733">
          <w:marLeft w:val="0"/>
          <w:marRight w:val="0"/>
          <w:marTop w:val="0"/>
          <w:marBottom w:val="0"/>
          <w:divBdr>
            <w:top w:val="none" w:sz="0" w:space="0" w:color="auto"/>
            <w:left w:val="none" w:sz="0" w:space="0" w:color="auto"/>
            <w:bottom w:val="none" w:sz="0" w:space="0" w:color="auto"/>
            <w:right w:val="none" w:sz="0" w:space="0" w:color="auto"/>
          </w:divBdr>
          <w:divsChild>
            <w:div w:id="27143787">
              <w:marLeft w:val="0"/>
              <w:marRight w:val="0"/>
              <w:marTop w:val="0"/>
              <w:marBottom w:val="0"/>
              <w:divBdr>
                <w:top w:val="none" w:sz="0" w:space="0" w:color="auto"/>
                <w:left w:val="none" w:sz="0" w:space="0" w:color="auto"/>
                <w:bottom w:val="none" w:sz="0" w:space="0" w:color="auto"/>
                <w:right w:val="none" w:sz="0" w:space="0" w:color="auto"/>
              </w:divBdr>
            </w:div>
            <w:div w:id="99421273">
              <w:marLeft w:val="0"/>
              <w:marRight w:val="0"/>
              <w:marTop w:val="0"/>
              <w:marBottom w:val="0"/>
              <w:divBdr>
                <w:top w:val="none" w:sz="0" w:space="0" w:color="auto"/>
                <w:left w:val="none" w:sz="0" w:space="0" w:color="auto"/>
                <w:bottom w:val="none" w:sz="0" w:space="0" w:color="auto"/>
                <w:right w:val="none" w:sz="0" w:space="0" w:color="auto"/>
              </w:divBdr>
            </w:div>
            <w:div w:id="407658953">
              <w:marLeft w:val="0"/>
              <w:marRight w:val="0"/>
              <w:marTop w:val="0"/>
              <w:marBottom w:val="0"/>
              <w:divBdr>
                <w:top w:val="none" w:sz="0" w:space="0" w:color="auto"/>
                <w:left w:val="none" w:sz="0" w:space="0" w:color="auto"/>
                <w:bottom w:val="none" w:sz="0" w:space="0" w:color="auto"/>
                <w:right w:val="none" w:sz="0" w:space="0" w:color="auto"/>
              </w:divBdr>
            </w:div>
            <w:div w:id="453064299">
              <w:marLeft w:val="0"/>
              <w:marRight w:val="0"/>
              <w:marTop w:val="0"/>
              <w:marBottom w:val="0"/>
              <w:divBdr>
                <w:top w:val="none" w:sz="0" w:space="0" w:color="auto"/>
                <w:left w:val="none" w:sz="0" w:space="0" w:color="auto"/>
                <w:bottom w:val="none" w:sz="0" w:space="0" w:color="auto"/>
                <w:right w:val="none" w:sz="0" w:space="0" w:color="auto"/>
              </w:divBdr>
            </w:div>
            <w:div w:id="493567471">
              <w:marLeft w:val="0"/>
              <w:marRight w:val="0"/>
              <w:marTop w:val="0"/>
              <w:marBottom w:val="0"/>
              <w:divBdr>
                <w:top w:val="none" w:sz="0" w:space="0" w:color="auto"/>
                <w:left w:val="none" w:sz="0" w:space="0" w:color="auto"/>
                <w:bottom w:val="none" w:sz="0" w:space="0" w:color="auto"/>
                <w:right w:val="none" w:sz="0" w:space="0" w:color="auto"/>
              </w:divBdr>
            </w:div>
            <w:div w:id="641663361">
              <w:marLeft w:val="0"/>
              <w:marRight w:val="0"/>
              <w:marTop w:val="0"/>
              <w:marBottom w:val="0"/>
              <w:divBdr>
                <w:top w:val="none" w:sz="0" w:space="0" w:color="auto"/>
                <w:left w:val="none" w:sz="0" w:space="0" w:color="auto"/>
                <w:bottom w:val="none" w:sz="0" w:space="0" w:color="auto"/>
                <w:right w:val="none" w:sz="0" w:space="0" w:color="auto"/>
              </w:divBdr>
            </w:div>
            <w:div w:id="662898997">
              <w:marLeft w:val="0"/>
              <w:marRight w:val="0"/>
              <w:marTop w:val="0"/>
              <w:marBottom w:val="0"/>
              <w:divBdr>
                <w:top w:val="none" w:sz="0" w:space="0" w:color="auto"/>
                <w:left w:val="none" w:sz="0" w:space="0" w:color="auto"/>
                <w:bottom w:val="none" w:sz="0" w:space="0" w:color="auto"/>
                <w:right w:val="none" w:sz="0" w:space="0" w:color="auto"/>
              </w:divBdr>
            </w:div>
            <w:div w:id="999890395">
              <w:marLeft w:val="0"/>
              <w:marRight w:val="0"/>
              <w:marTop w:val="0"/>
              <w:marBottom w:val="0"/>
              <w:divBdr>
                <w:top w:val="none" w:sz="0" w:space="0" w:color="auto"/>
                <w:left w:val="none" w:sz="0" w:space="0" w:color="auto"/>
                <w:bottom w:val="none" w:sz="0" w:space="0" w:color="auto"/>
                <w:right w:val="none" w:sz="0" w:space="0" w:color="auto"/>
              </w:divBdr>
            </w:div>
            <w:div w:id="1043142385">
              <w:marLeft w:val="0"/>
              <w:marRight w:val="0"/>
              <w:marTop w:val="0"/>
              <w:marBottom w:val="0"/>
              <w:divBdr>
                <w:top w:val="none" w:sz="0" w:space="0" w:color="auto"/>
                <w:left w:val="none" w:sz="0" w:space="0" w:color="auto"/>
                <w:bottom w:val="none" w:sz="0" w:space="0" w:color="auto"/>
                <w:right w:val="none" w:sz="0" w:space="0" w:color="auto"/>
              </w:divBdr>
            </w:div>
            <w:div w:id="1124351110">
              <w:marLeft w:val="0"/>
              <w:marRight w:val="0"/>
              <w:marTop w:val="0"/>
              <w:marBottom w:val="0"/>
              <w:divBdr>
                <w:top w:val="none" w:sz="0" w:space="0" w:color="auto"/>
                <w:left w:val="none" w:sz="0" w:space="0" w:color="auto"/>
                <w:bottom w:val="none" w:sz="0" w:space="0" w:color="auto"/>
                <w:right w:val="none" w:sz="0" w:space="0" w:color="auto"/>
              </w:divBdr>
            </w:div>
            <w:div w:id="1229919766">
              <w:marLeft w:val="0"/>
              <w:marRight w:val="0"/>
              <w:marTop w:val="0"/>
              <w:marBottom w:val="0"/>
              <w:divBdr>
                <w:top w:val="none" w:sz="0" w:space="0" w:color="auto"/>
                <w:left w:val="none" w:sz="0" w:space="0" w:color="auto"/>
                <w:bottom w:val="none" w:sz="0" w:space="0" w:color="auto"/>
                <w:right w:val="none" w:sz="0" w:space="0" w:color="auto"/>
              </w:divBdr>
            </w:div>
            <w:div w:id="1335456360">
              <w:marLeft w:val="0"/>
              <w:marRight w:val="0"/>
              <w:marTop w:val="0"/>
              <w:marBottom w:val="0"/>
              <w:divBdr>
                <w:top w:val="none" w:sz="0" w:space="0" w:color="auto"/>
                <w:left w:val="none" w:sz="0" w:space="0" w:color="auto"/>
                <w:bottom w:val="none" w:sz="0" w:space="0" w:color="auto"/>
                <w:right w:val="none" w:sz="0" w:space="0" w:color="auto"/>
              </w:divBdr>
            </w:div>
            <w:div w:id="1565487233">
              <w:marLeft w:val="0"/>
              <w:marRight w:val="0"/>
              <w:marTop w:val="0"/>
              <w:marBottom w:val="0"/>
              <w:divBdr>
                <w:top w:val="none" w:sz="0" w:space="0" w:color="auto"/>
                <w:left w:val="none" w:sz="0" w:space="0" w:color="auto"/>
                <w:bottom w:val="none" w:sz="0" w:space="0" w:color="auto"/>
                <w:right w:val="none" w:sz="0" w:space="0" w:color="auto"/>
              </w:divBdr>
            </w:div>
            <w:div w:id="1596327571">
              <w:marLeft w:val="0"/>
              <w:marRight w:val="0"/>
              <w:marTop w:val="0"/>
              <w:marBottom w:val="0"/>
              <w:divBdr>
                <w:top w:val="none" w:sz="0" w:space="0" w:color="auto"/>
                <w:left w:val="none" w:sz="0" w:space="0" w:color="auto"/>
                <w:bottom w:val="none" w:sz="0" w:space="0" w:color="auto"/>
                <w:right w:val="none" w:sz="0" w:space="0" w:color="auto"/>
              </w:divBdr>
            </w:div>
            <w:div w:id="1720934830">
              <w:marLeft w:val="0"/>
              <w:marRight w:val="0"/>
              <w:marTop w:val="0"/>
              <w:marBottom w:val="0"/>
              <w:divBdr>
                <w:top w:val="none" w:sz="0" w:space="0" w:color="auto"/>
                <w:left w:val="none" w:sz="0" w:space="0" w:color="auto"/>
                <w:bottom w:val="none" w:sz="0" w:space="0" w:color="auto"/>
                <w:right w:val="none" w:sz="0" w:space="0" w:color="auto"/>
              </w:divBdr>
            </w:div>
            <w:div w:id="1924488519">
              <w:marLeft w:val="0"/>
              <w:marRight w:val="0"/>
              <w:marTop w:val="0"/>
              <w:marBottom w:val="0"/>
              <w:divBdr>
                <w:top w:val="none" w:sz="0" w:space="0" w:color="auto"/>
                <w:left w:val="none" w:sz="0" w:space="0" w:color="auto"/>
                <w:bottom w:val="none" w:sz="0" w:space="0" w:color="auto"/>
                <w:right w:val="none" w:sz="0" w:space="0" w:color="auto"/>
              </w:divBdr>
            </w:div>
            <w:div w:id="1940333973">
              <w:marLeft w:val="0"/>
              <w:marRight w:val="0"/>
              <w:marTop w:val="0"/>
              <w:marBottom w:val="0"/>
              <w:divBdr>
                <w:top w:val="none" w:sz="0" w:space="0" w:color="auto"/>
                <w:left w:val="none" w:sz="0" w:space="0" w:color="auto"/>
                <w:bottom w:val="none" w:sz="0" w:space="0" w:color="auto"/>
                <w:right w:val="none" w:sz="0" w:space="0" w:color="auto"/>
              </w:divBdr>
            </w:div>
            <w:div w:id="2126804501">
              <w:marLeft w:val="0"/>
              <w:marRight w:val="0"/>
              <w:marTop w:val="0"/>
              <w:marBottom w:val="0"/>
              <w:divBdr>
                <w:top w:val="none" w:sz="0" w:space="0" w:color="auto"/>
                <w:left w:val="none" w:sz="0" w:space="0" w:color="auto"/>
                <w:bottom w:val="none" w:sz="0" w:space="0" w:color="auto"/>
                <w:right w:val="none" w:sz="0" w:space="0" w:color="auto"/>
              </w:divBdr>
            </w:div>
          </w:divsChild>
        </w:div>
        <w:div w:id="1718048622">
          <w:marLeft w:val="0"/>
          <w:marRight w:val="0"/>
          <w:marTop w:val="0"/>
          <w:marBottom w:val="0"/>
          <w:divBdr>
            <w:top w:val="none" w:sz="0" w:space="0" w:color="auto"/>
            <w:left w:val="none" w:sz="0" w:space="0" w:color="auto"/>
            <w:bottom w:val="none" w:sz="0" w:space="0" w:color="auto"/>
            <w:right w:val="none" w:sz="0" w:space="0" w:color="auto"/>
          </w:divBdr>
          <w:divsChild>
            <w:div w:id="479544380">
              <w:marLeft w:val="0"/>
              <w:marRight w:val="0"/>
              <w:marTop w:val="0"/>
              <w:marBottom w:val="0"/>
              <w:divBdr>
                <w:top w:val="none" w:sz="0" w:space="0" w:color="auto"/>
                <w:left w:val="none" w:sz="0" w:space="0" w:color="auto"/>
                <w:bottom w:val="none" w:sz="0" w:space="0" w:color="auto"/>
                <w:right w:val="none" w:sz="0" w:space="0" w:color="auto"/>
              </w:divBdr>
            </w:div>
            <w:div w:id="641932146">
              <w:marLeft w:val="0"/>
              <w:marRight w:val="0"/>
              <w:marTop w:val="0"/>
              <w:marBottom w:val="0"/>
              <w:divBdr>
                <w:top w:val="none" w:sz="0" w:space="0" w:color="auto"/>
                <w:left w:val="none" w:sz="0" w:space="0" w:color="auto"/>
                <w:bottom w:val="none" w:sz="0" w:space="0" w:color="auto"/>
                <w:right w:val="none" w:sz="0" w:space="0" w:color="auto"/>
              </w:divBdr>
            </w:div>
            <w:div w:id="643894855">
              <w:marLeft w:val="0"/>
              <w:marRight w:val="0"/>
              <w:marTop w:val="0"/>
              <w:marBottom w:val="0"/>
              <w:divBdr>
                <w:top w:val="none" w:sz="0" w:space="0" w:color="auto"/>
                <w:left w:val="none" w:sz="0" w:space="0" w:color="auto"/>
                <w:bottom w:val="none" w:sz="0" w:space="0" w:color="auto"/>
                <w:right w:val="none" w:sz="0" w:space="0" w:color="auto"/>
              </w:divBdr>
            </w:div>
            <w:div w:id="874199484">
              <w:marLeft w:val="0"/>
              <w:marRight w:val="0"/>
              <w:marTop w:val="0"/>
              <w:marBottom w:val="0"/>
              <w:divBdr>
                <w:top w:val="none" w:sz="0" w:space="0" w:color="auto"/>
                <w:left w:val="none" w:sz="0" w:space="0" w:color="auto"/>
                <w:bottom w:val="none" w:sz="0" w:space="0" w:color="auto"/>
                <w:right w:val="none" w:sz="0" w:space="0" w:color="auto"/>
              </w:divBdr>
            </w:div>
            <w:div w:id="936136422">
              <w:marLeft w:val="0"/>
              <w:marRight w:val="0"/>
              <w:marTop w:val="0"/>
              <w:marBottom w:val="0"/>
              <w:divBdr>
                <w:top w:val="none" w:sz="0" w:space="0" w:color="auto"/>
                <w:left w:val="none" w:sz="0" w:space="0" w:color="auto"/>
                <w:bottom w:val="none" w:sz="0" w:space="0" w:color="auto"/>
                <w:right w:val="none" w:sz="0" w:space="0" w:color="auto"/>
              </w:divBdr>
            </w:div>
            <w:div w:id="1177962392">
              <w:marLeft w:val="0"/>
              <w:marRight w:val="0"/>
              <w:marTop w:val="0"/>
              <w:marBottom w:val="0"/>
              <w:divBdr>
                <w:top w:val="none" w:sz="0" w:space="0" w:color="auto"/>
                <w:left w:val="none" w:sz="0" w:space="0" w:color="auto"/>
                <w:bottom w:val="none" w:sz="0" w:space="0" w:color="auto"/>
                <w:right w:val="none" w:sz="0" w:space="0" w:color="auto"/>
              </w:divBdr>
            </w:div>
            <w:div w:id="1348946461">
              <w:marLeft w:val="0"/>
              <w:marRight w:val="0"/>
              <w:marTop w:val="0"/>
              <w:marBottom w:val="0"/>
              <w:divBdr>
                <w:top w:val="none" w:sz="0" w:space="0" w:color="auto"/>
                <w:left w:val="none" w:sz="0" w:space="0" w:color="auto"/>
                <w:bottom w:val="none" w:sz="0" w:space="0" w:color="auto"/>
                <w:right w:val="none" w:sz="0" w:space="0" w:color="auto"/>
              </w:divBdr>
            </w:div>
            <w:div w:id="1578977813">
              <w:marLeft w:val="0"/>
              <w:marRight w:val="0"/>
              <w:marTop w:val="0"/>
              <w:marBottom w:val="0"/>
              <w:divBdr>
                <w:top w:val="none" w:sz="0" w:space="0" w:color="auto"/>
                <w:left w:val="none" w:sz="0" w:space="0" w:color="auto"/>
                <w:bottom w:val="none" w:sz="0" w:space="0" w:color="auto"/>
                <w:right w:val="none" w:sz="0" w:space="0" w:color="auto"/>
              </w:divBdr>
            </w:div>
            <w:div w:id="1580869686">
              <w:marLeft w:val="0"/>
              <w:marRight w:val="0"/>
              <w:marTop w:val="0"/>
              <w:marBottom w:val="0"/>
              <w:divBdr>
                <w:top w:val="none" w:sz="0" w:space="0" w:color="auto"/>
                <w:left w:val="none" w:sz="0" w:space="0" w:color="auto"/>
                <w:bottom w:val="none" w:sz="0" w:space="0" w:color="auto"/>
                <w:right w:val="none" w:sz="0" w:space="0" w:color="auto"/>
              </w:divBdr>
            </w:div>
            <w:div w:id="1776974487">
              <w:marLeft w:val="0"/>
              <w:marRight w:val="0"/>
              <w:marTop w:val="0"/>
              <w:marBottom w:val="0"/>
              <w:divBdr>
                <w:top w:val="none" w:sz="0" w:space="0" w:color="auto"/>
                <w:left w:val="none" w:sz="0" w:space="0" w:color="auto"/>
                <w:bottom w:val="none" w:sz="0" w:space="0" w:color="auto"/>
                <w:right w:val="none" w:sz="0" w:space="0" w:color="auto"/>
              </w:divBdr>
            </w:div>
            <w:div w:id="1787776028">
              <w:marLeft w:val="0"/>
              <w:marRight w:val="0"/>
              <w:marTop w:val="0"/>
              <w:marBottom w:val="0"/>
              <w:divBdr>
                <w:top w:val="none" w:sz="0" w:space="0" w:color="auto"/>
                <w:left w:val="none" w:sz="0" w:space="0" w:color="auto"/>
                <w:bottom w:val="none" w:sz="0" w:space="0" w:color="auto"/>
                <w:right w:val="none" w:sz="0" w:space="0" w:color="auto"/>
              </w:divBdr>
            </w:div>
            <w:div w:id="1821539165">
              <w:marLeft w:val="0"/>
              <w:marRight w:val="0"/>
              <w:marTop w:val="0"/>
              <w:marBottom w:val="0"/>
              <w:divBdr>
                <w:top w:val="none" w:sz="0" w:space="0" w:color="auto"/>
                <w:left w:val="none" w:sz="0" w:space="0" w:color="auto"/>
                <w:bottom w:val="none" w:sz="0" w:space="0" w:color="auto"/>
                <w:right w:val="none" w:sz="0" w:space="0" w:color="auto"/>
              </w:divBdr>
            </w:div>
            <w:div w:id="19811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953230">
      <w:bodyDiv w:val="1"/>
      <w:marLeft w:val="0"/>
      <w:marRight w:val="0"/>
      <w:marTop w:val="0"/>
      <w:marBottom w:val="0"/>
      <w:divBdr>
        <w:top w:val="none" w:sz="0" w:space="0" w:color="auto"/>
        <w:left w:val="none" w:sz="0" w:space="0" w:color="auto"/>
        <w:bottom w:val="none" w:sz="0" w:space="0" w:color="auto"/>
        <w:right w:val="none" w:sz="0" w:space="0" w:color="auto"/>
      </w:divBdr>
    </w:div>
    <w:div w:id="738328619">
      <w:bodyDiv w:val="1"/>
      <w:marLeft w:val="0"/>
      <w:marRight w:val="0"/>
      <w:marTop w:val="0"/>
      <w:marBottom w:val="0"/>
      <w:divBdr>
        <w:top w:val="none" w:sz="0" w:space="0" w:color="auto"/>
        <w:left w:val="none" w:sz="0" w:space="0" w:color="auto"/>
        <w:bottom w:val="none" w:sz="0" w:space="0" w:color="auto"/>
        <w:right w:val="none" w:sz="0" w:space="0" w:color="auto"/>
      </w:divBdr>
    </w:div>
    <w:div w:id="803041944">
      <w:bodyDiv w:val="1"/>
      <w:marLeft w:val="0"/>
      <w:marRight w:val="0"/>
      <w:marTop w:val="0"/>
      <w:marBottom w:val="0"/>
      <w:divBdr>
        <w:top w:val="none" w:sz="0" w:space="0" w:color="auto"/>
        <w:left w:val="none" w:sz="0" w:space="0" w:color="auto"/>
        <w:bottom w:val="none" w:sz="0" w:space="0" w:color="auto"/>
        <w:right w:val="none" w:sz="0" w:space="0" w:color="auto"/>
      </w:divBdr>
      <w:divsChild>
        <w:div w:id="111215144">
          <w:marLeft w:val="0"/>
          <w:marRight w:val="0"/>
          <w:marTop w:val="0"/>
          <w:marBottom w:val="0"/>
          <w:divBdr>
            <w:top w:val="none" w:sz="0" w:space="0" w:color="auto"/>
            <w:left w:val="none" w:sz="0" w:space="0" w:color="auto"/>
            <w:bottom w:val="none" w:sz="0" w:space="0" w:color="auto"/>
            <w:right w:val="none" w:sz="0" w:space="0" w:color="auto"/>
          </w:divBdr>
        </w:div>
        <w:div w:id="216749010">
          <w:marLeft w:val="0"/>
          <w:marRight w:val="0"/>
          <w:marTop w:val="0"/>
          <w:marBottom w:val="0"/>
          <w:divBdr>
            <w:top w:val="none" w:sz="0" w:space="0" w:color="auto"/>
            <w:left w:val="none" w:sz="0" w:space="0" w:color="auto"/>
            <w:bottom w:val="none" w:sz="0" w:space="0" w:color="auto"/>
            <w:right w:val="none" w:sz="0" w:space="0" w:color="auto"/>
          </w:divBdr>
        </w:div>
        <w:div w:id="378674993">
          <w:marLeft w:val="0"/>
          <w:marRight w:val="0"/>
          <w:marTop w:val="0"/>
          <w:marBottom w:val="0"/>
          <w:divBdr>
            <w:top w:val="none" w:sz="0" w:space="0" w:color="auto"/>
            <w:left w:val="none" w:sz="0" w:space="0" w:color="auto"/>
            <w:bottom w:val="none" w:sz="0" w:space="0" w:color="auto"/>
            <w:right w:val="none" w:sz="0" w:space="0" w:color="auto"/>
          </w:divBdr>
        </w:div>
        <w:div w:id="389957792">
          <w:marLeft w:val="0"/>
          <w:marRight w:val="0"/>
          <w:marTop w:val="0"/>
          <w:marBottom w:val="0"/>
          <w:divBdr>
            <w:top w:val="none" w:sz="0" w:space="0" w:color="auto"/>
            <w:left w:val="none" w:sz="0" w:space="0" w:color="auto"/>
            <w:bottom w:val="none" w:sz="0" w:space="0" w:color="auto"/>
            <w:right w:val="none" w:sz="0" w:space="0" w:color="auto"/>
          </w:divBdr>
        </w:div>
        <w:div w:id="442192265">
          <w:marLeft w:val="0"/>
          <w:marRight w:val="0"/>
          <w:marTop w:val="0"/>
          <w:marBottom w:val="0"/>
          <w:divBdr>
            <w:top w:val="none" w:sz="0" w:space="0" w:color="auto"/>
            <w:left w:val="none" w:sz="0" w:space="0" w:color="auto"/>
            <w:bottom w:val="none" w:sz="0" w:space="0" w:color="auto"/>
            <w:right w:val="none" w:sz="0" w:space="0" w:color="auto"/>
          </w:divBdr>
        </w:div>
        <w:div w:id="551619048">
          <w:marLeft w:val="0"/>
          <w:marRight w:val="0"/>
          <w:marTop w:val="0"/>
          <w:marBottom w:val="0"/>
          <w:divBdr>
            <w:top w:val="none" w:sz="0" w:space="0" w:color="auto"/>
            <w:left w:val="none" w:sz="0" w:space="0" w:color="auto"/>
            <w:bottom w:val="none" w:sz="0" w:space="0" w:color="auto"/>
            <w:right w:val="none" w:sz="0" w:space="0" w:color="auto"/>
          </w:divBdr>
        </w:div>
        <w:div w:id="646055537">
          <w:marLeft w:val="0"/>
          <w:marRight w:val="0"/>
          <w:marTop w:val="0"/>
          <w:marBottom w:val="0"/>
          <w:divBdr>
            <w:top w:val="none" w:sz="0" w:space="0" w:color="auto"/>
            <w:left w:val="none" w:sz="0" w:space="0" w:color="auto"/>
            <w:bottom w:val="none" w:sz="0" w:space="0" w:color="auto"/>
            <w:right w:val="none" w:sz="0" w:space="0" w:color="auto"/>
          </w:divBdr>
        </w:div>
        <w:div w:id="814369660">
          <w:marLeft w:val="0"/>
          <w:marRight w:val="0"/>
          <w:marTop w:val="0"/>
          <w:marBottom w:val="0"/>
          <w:divBdr>
            <w:top w:val="none" w:sz="0" w:space="0" w:color="auto"/>
            <w:left w:val="none" w:sz="0" w:space="0" w:color="auto"/>
            <w:bottom w:val="none" w:sz="0" w:space="0" w:color="auto"/>
            <w:right w:val="none" w:sz="0" w:space="0" w:color="auto"/>
          </w:divBdr>
        </w:div>
        <w:div w:id="934823587">
          <w:marLeft w:val="0"/>
          <w:marRight w:val="0"/>
          <w:marTop w:val="0"/>
          <w:marBottom w:val="0"/>
          <w:divBdr>
            <w:top w:val="none" w:sz="0" w:space="0" w:color="auto"/>
            <w:left w:val="none" w:sz="0" w:space="0" w:color="auto"/>
            <w:bottom w:val="none" w:sz="0" w:space="0" w:color="auto"/>
            <w:right w:val="none" w:sz="0" w:space="0" w:color="auto"/>
          </w:divBdr>
        </w:div>
        <w:div w:id="1026641533">
          <w:marLeft w:val="0"/>
          <w:marRight w:val="0"/>
          <w:marTop w:val="0"/>
          <w:marBottom w:val="0"/>
          <w:divBdr>
            <w:top w:val="none" w:sz="0" w:space="0" w:color="auto"/>
            <w:left w:val="none" w:sz="0" w:space="0" w:color="auto"/>
            <w:bottom w:val="none" w:sz="0" w:space="0" w:color="auto"/>
            <w:right w:val="none" w:sz="0" w:space="0" w:color="auto"/>
          </w:divBdr>
        </w:div>
        <w:div w:id="1202131337">
          <w:marLeft w:val="0"/>
          <w:marRight w:val="0"/>
          <w:marTop w:val="0"/>
          <w:marBottom w:val="0"/>
          <w:divBdr>
            <w:top w:val="none" w:sz="0" w:space="0" w:color="auto"/>
            <w:left w:val="none" w:sz="0" w:space="0" w:color="auto"/>
            <w:bottom w:val="none" w:sz="0" w:space="0" w:color="auto"/>
            <w:right w:val="none" w:sz="0" w:space="0" w:color="auto"/>
          </w:divBdr>
        </w:div>
        <w:div w:id="1306088892">
          <w:marLeft w:val="0"/>
          <w:marRight w:val="0"/>
          <w:marTop w:val="0"/>
          <w:marBottom w:val="0"/>
          <w:divBdr>
            <w:top w:val="none" w:sz="0" w:space="0" w:color="auto"/>
            <w:left w:val="none" w:sz="0" w:space="0" w:color="auto"/>
            <w:bottom w:val="none" w:sz="0" w:space="0" w:color="auto"/>
            <w:right w:val="none" w:sz="0" w:space="0" w:color="auto"/>
          </w:divBdr>
        </w:div>
        <w:div w:id="1697073880">
          <w:marLeft w:val="0"/>
          <w:marRight w:val="0"/>
          <w:marTop w:val="0"/>
          <w:marBottom w:val="0"/>
          <w:divBdr>
            <w:top w:val="none" w:sz="0" w:space="0" w:color="auto"/>
            <w:left w:val="none" w:sz="0" w:space="0" w:color="auto"/>
            <w:bottom w:val="none" w:sz="0" w:space="0" w:color="auto"/>
            <w:right w:val="none" w:sz="0" w:space="0" w:color="auto"/>
          </w:divBdr>
        </w:div>
        <w:div w:id="1742169549">
          <w:marLeft w:val="0"/>
          <w:marRight w:val="0"/>
          <w:marTop w:val="0"/>
          <w:marBottom w:val="0"/>
          <w:divBdr>
            <w:top w:val="none" w:sz="0" w:space="0" w:color="auto"/>
            <w:left w:val="none" w:sz="0" w:space="0" w:color="auto"/>
            <w:bottom w:val="none" w:sz="0" w:space="0" w:color="auto"/>
            <w:right w:val="none" w:sz="0" w:space="0" w:color="auto"/>
          </w:divBdr>
        </w:div>
        <w:div w:id="1800878274">
          <w:marLeft w:val="0"/>
          <w:marRight w:val="0"/>
          <w:marTop w:val="0"/>
          <w:marBottom w:val="0"/>
          <w:divBdr>
            <w:top w:val="none" w:sz="0" w:space="0" w:color="auto"/>
            <w:left w:val="none" w:sz="0" w:space="0" w:color="auto"/>
            <w:bottom w:val="none" w:sz="0" w:space="0" w:color="auto"/>
            <w:right w:val="none" w:sz="0" w:space="0" w:color="auto"/>
          </w:divBdr>
        </w:div>
        <w:div w:id="1809666166">
          <w:marLeft w:val="0"/>
          <w:marRight w:val="0"/>
          <w:marTop w:val="0"/>
          <w:marBottom w:val="0"/>
          <w:divBdr>
            <w:top w:val="none" w:sz="0" w:space="0" w:color="auto"/>
            <w:left w:val="none" w:sz="0" w:space="0" w:color="auto"/>
            <w:bottom w:val="none" w:sz="0" w:space="0" w:color="auto"/>
            <w:right w:val="none" w:sz="0" w:space="0" w:color="auto"/>
          </w:divBdr>
        </w:div>
        <w:div w:id="1928491096">
          <w:marLeft w:val="0"/>
          <w:marRight w:val="0"/>
          <w:marTop w:val="0"/>
          <w:marBottom w:val="0"/>
          <w:divBdr>
            <w:top w:val="none" w:sz="0" w:space="0" w:color="auto"/>
            <w:left w:val="none" w:sz="0" w:space="0" w:color="auto"/>
            <w:bottom w:val="none" w:sz="0" w:space="0" w:color="auto"/>
            <w:right w:val="none" w:sz="0" w:space="0" w:color="auto"/>
          </w:divBdr>
        </w:div>
      </w:divsChild>
    </w:div>
    <w:div w:id="832452189">
      <w:bodyDiv w:val="1"/>
      <w:marLeft w:val="0"/>
      <w:marRight w:val="0"/>
      <w:marTop w:val="0"/>
      <w:marBottom w:val="0"/>
      <w:divBdr>
        <w:top w:val="none" w:sz="0" w:space="0" w:color="auto"/>
        <w:left w:val="none" w:sz="0" w:space="0" w:color="auto"/>
        <w:bottom w:val="none" w:sz="0" w:space="0" w:color="auto"/>
        <w:right w:val="none" w:sz="0" w:space="0" w:color="auto"/>
      </w:divBdr>
    </w:div>
    <w:div w:id="850920196">
      <w:bodyDiv w:val="1"/>
      <w:marLeft w:val="0"/>
      <w:marRight w:val="0"/>
      <w:marTop w:val="0"/>
      <w:marBottom w:val="0"/>
      <w:divBdr>
        <w:top w:val="none" w:sz="0" w:space="0" w:color="auto"/>
        <w:left w:val="none" w:sz="0" w:space="0" w:color="auto"/>
        <w:bottom w:val="none" w:sz="0" w:space="0" w:color="auto"/>
        <w:right w:val="none" w:sz="0" w:space="0" w:color="auto"/>
      </w:divBdr>
    </w:div>
    <w:div w:id="859783230">
      <w:bodyDiv w:val="1"/>
      <w:marLeft w:val="0"/>
      <w:marRight w:val="0"/>
      <w:marTop w:val="0"/>
      <w:marBottom w:val="0"/>
      <w:divBdr>
        <w:top w:val="none" w:sz="0" w:space="0" w:color="auto"/>
        <w:left w:val="none" w:sz="0" w:space="0" w:color="auto"/>
        <w:bottom w:val="none" w:sz="0" w:space="0" w:color="auto"/>
        <w:right w:val="none" w:sz="0" w:space="0" w:color="auto"/>
      </w:divBdr>
    </w:div>
    <w:div w:id="859853910">
      <w:bodyDiv w:val="1"/>
      <w:marLeft w:val="0"/>
      <w:marRight w:val="0"/>
      <w:marTop w:val="0"/>
      <w:marBottom w:val="0"/>
      <w:divBdr>
        <w:top w:val="none" w:sz="0" w:space="0" w:color="auto"/>
        <w:left w:val="none" w:sz="0" w:space="0" w:color="auto"/>
        <w:bottom w:val="none" w:sz="0" w:space="0" w:color="auto"/>
        <w:right w:val="none" w:sz="0" w:space="0" w:color="auto"/>
      </w:divBdr>
    </w:div>
    <w:div w:id="882212474">
      <w:bodyDiv w:val="1"/>
      <w:marLeft w:val="0"/>
      <w:marRight w:val="0"/>
      <w:marTop w:val="0"/>
      <w:marBottom w:val="0"/>
      <w:divBdr>
        <w:top w:val="none" w:sz="0" w:space="0" w:color="auto"/>
        <w:left w:val="none" w:sz="0" w:space="0" w:color="auto"/>
        <w:bottom w:val="none" w:sz="0" w:space="0" w:color="auto"/>
        <w:right w:val="none" w:sz="0" w:space="0" w:color="auto"/>
      </w:divBdr>
    </w:div>
    <w:div w:id="943070220">
      <w:bodyDiv w:val="1"/>
      <w:marLeft w:val="0"/>
      <w:marRight w:val="0"/>
      <w:marTop w:val="0"/>
      <w:marBottom w:val="0"/>
      <w:divBdr>
        <w:top w:val="none" w:sz="0" w:space="0" w:color="auto"/>
        <w:left w:val="none" w:sz="0" w:space="0" w:color="auto"/>
        <w:bottom w:val="none" w:sz="0" w:space="0" w:color="auto"/>
        <w:right w:val="none" w:sz="0" w:space="0" w:color="auto"/>
      </w:divBdr>
      <w:divsChild>
        <w:div w:id="137263833">
          <w:marLeft w:val="0"/>
          <w:marRight w:val="0"/>
          <w:marTop w:val="0"/>
          <w:marBottom w:val="0"/>
          <w:divBdr>
            <w:top w:val="none" w:sz="0" w:space="0" w:color="auto"/>
            <w:left w:val="none" w:sz="0" w:space="0" w:color="auto"/>
            <w:bottom w:val="none" w:sz="0" w:space="0" w:color="auto"/>
            <w:right w:val="none" w:sz="0" w:space="0" w:color="auto"/>
          </w:divBdr>
        </w:div>
        <w:div w:id="168907284">
          <w:marLeft w:val="0"/>
          <w:marRight w:val="0"/>
          <w:marTop w:val="0"/>
          <w:marBottom w:val="0"/>
          <w:divBdr>
            <w:top w:val="none" w:sz="0" w:space="0" w:color="auto"/>
            <w:left w:val="none" w:sz="0" w:space="0" w:color="auto"/>
            <w:bottom w:val="none" w:sz="0" w:space="0" w:color="auto"/>
            <w:right w:val="none" w:sz="0" w:space="0" w:color="auto"/>
          </w:divBdr>
        </w:div>
        <w:div w:id="205879253">
          <w:marLeft w:val="0"/>
          <w:marRight w:val="0"/>
          <w:marTop w:val="0"/>
          <w:marBottom w:val="0"/>
          <w:divBdr>
            <w:top w:val="none" w:sz="0" w:space="0" w:color="auto"/>
            <w:left w:val="none" w:sz="0" w:space="0" w:color="auto"/>
            <w:bottom w:val="none" w:sz="0" w:space="0" w:color="auto"/>
            <w:right w:val="none" w:sz="0" w:space="0" w:color="auto"/>
          </w:divBdr>
        </w:div>
        <w:div w:id="266813610">
          <w:marLeft w:val="0"/>
          <w:marRight w:val="0"/>
          <w:marTop w:val="0"/>
          <w:marBottom w:val="0"/>
          <w:divBdr>
            <w:top w:val="none" w:sz="0" w:space="0" w:color="auto"/>
            <w:left w:val="none" w:sz="0" w:space="0" w:color="auto"/>
            <w:bottom w:val="none" w:sz="0" w:space="0" w:color="auto"/>
            <w:right w:val="none" w:sz="0" w:space="0" w:color="auto"/>
          </w:divBdr>
        </w:div>
        <w:div w:id="566303444">
          <w:marLeft w:val="0"/>
          <w:marRight w:val="0"/>
          <w:marTop w:val="0"/>
          <w:marBottom w:val="0"/>
          <w:divBdr>
            <w:top w:val="none" w:sz="0" w:space="0" w:color="auto"/>
            <w:left w:val="none" w:sz="0" w:space="0" w:color="auto"/>
            <w:bottom w:val="none" w:sz="0" w:space="0" w:color="auto"/>
            <w:right w:val="none" w:sz="0" w:space="0" w:color="auto"/>
          </w:divBdr>
        </w:div>
        <w:div w:id="590432175">
          <w:marLeft w:val="0"/>
          <w:marRight w:val="0"/>
          <w:marTop w:val="0"/>
          <w:marBottom w:val="0"/>
          <w:divBdr>
            <w:top w:val="none" w:sz="0" w:space="0" w:color="auto"/>
            <w:left w:val="none" w:sz="0" w:space="0" w:color="auto"/>
            <w:bottom w:val="none" w:sz="0" w:space="0" w:color="auto"/>
            <w:right w:val="none" w:sz="0" w:space="0" w:color="auto"/>
          </w:divBdr>
        </w:div>
        <w:div w:id="657732430">
          <w:marLeft w:val="0"/>
          <w:marRight w:val="0"/>
          <w:marTop w:val="0"/>
          <w:marBottom w:val="0"/>
          <w:divBdr>
            <w:top w:val="none" w:sz="0" w:space="0" w:color="auto"/>
            <w:left w:val="none" w:sz="0" w:space="0" w:color="auto"/>
            <w:bottom w:val="none" w:sz="0" w:space="0" w:color="auto"/>
            <w:right w:val="none" w:sz="0" w:space="0" w:color="auto"/>
          </w:divBdr>
        </w:div>
        <w:div w:id="700013471">
          <w:marLeft w:val="0"/>
          <w:marRight w:val="0"/>
          <w:marTop w:val="0"/>
          <w:marBottom w:val="0"/>
          <w:divBdr>
            <w:top w:val="none" w:sz="0" w:space="0" w:color="auto"/>
            <w:left w:val="none" w:sz="0" w:space="0" w:color="auto"/>
            <w:bottom w:val="none" w:sz="0" w:space="0" w:color="auto"/>
            <w:right w:val="none" w:sz="0" w:space="0" w:color="auto"/>
          </w:divBdr>
        </w:div>
        <w:div w:id="1054082114">
          <w:marLeft w:val="0"/>
          <w:marRight w:val="0"/>
          <w:marTop w:val="0"/>
          <w:marBottom w:val="0"/>
          <w:divBdr>
            <w:top w:val="none" w:sz="0" w:space="0" w:color="auto"/>
            <w:left w:val="none" w:sz="0" w:space="0" w:color="auto"/>
            <w:bottom w:val="none" w:sz="0" w:space="0" w:color="auto"/>
            <w:right w:val="none" w:sz="0" w:space="0" w:color="auto"/>
          </w:divBdr>
        </w:div>
        <w:div w:id="1253659334">
          <w:marLeft w:val="0"/>
          <w:marRight w:val="0"/>
          <w:marTop w:val="0"/>
          <w:marBottom w:val="0"/>
          <w:divBdr>
            <w:top w:val="none" w:sz="0" w:space="0" w:color="auto"/>
            <w:left w:val="none" w:sz="0" w:space="0" w:color="auto"/>
            <w:bottom w:val="none" w:sz="0" w:space="0" w:color="auto"/>
            <w:right w:val="none" w:sz="0" w:space="0" w:color="auto"/>
          </w:divBdr>
        </w:div>
        <w:div w:id="1409427266">
          <w:marLeft w:val="0"/>
          <w:marRight w:val="0"/>
          <w:marTop w:val="0"/>
          <w:marBottom w:val="0"/>
          <w:divBdr>
            <w:top w:val="none" w:sz="0" w:space="0" w:color="auto"/>
            <w:left w:val="none" w:sz="0" w:space="0" w:color="auto"/>
            <w:bottom w:val="none" w:sz="0" w:space="0" w:color="auto"/>
            <w:right w:val="none" w:sz="0" w:space="0" w:color="auto"/>
          </w:divBdr>
        </w:div>
        <w:div w:id="1453015338">
          <w:marLeft w:val="0"/>
          <w:marRight w:val="0"/>
          <w:marTop w:val="0"/>
          <w:marBottom w:val="0"/>
          <w:divBdr>
            <w:top w:val="none" w:sz="0" w:space="0" w:color="auto"/>
            <w:left w:val="none" w:sz="0" w:space="0" w:color="auto"/>
            <w:bottom w:val="none" w:sz="0" w:space="0" w:color="auto"/>
            <w:right w:val="none" w:sz="0" w:space="0" w:color="auto"/>
          </w:divBdr>
        </w:div>
        <w:div w:id="1487744549">
          <w:marLeft w:val="0"/>
          <w:marRight w:val="0"/>
          <w:marTop w:val="0"/>
          <w:marBottom w:val="0"/>
          <w:divBdr>
            <w:top w:val="none" w:sz="0" w:space="0" w:color="auto"/>
            <w:left w:val="none" w:sz="0" w:space="0" w:color="auto"/>
            <w:bottom w:val="none" w:sz="0" w:space="0" w:color="auto"/>
            <w:right w:val="none" w:sz="0" w:space="0" w:color="auto"/>
          </w:divBdr>
        </w:div>
        <w:div w:id="1497502134">
          <w:marLeft w:val="0"/>
          <w:marRight w:val="0"/>
          <w:marTop w:val="0"/>
          <w:marBottom w:val="0"/>
          <w:divBdr>
            <w:top w:val="none" w:sz="0" w:space="0" w:color="auto"/>
            <w:left w:val="none" w:sz="0" w:space="0" w:color="auto"/>
            <w:bottom w:val="none" w:sz="0" w:space="0" w:color="auto"/>
            <w:right w:val="none" w:sz="0" w:space="0" w:color="auto"/>
          </w:divBdr>
        </w:div>
        <w:div w:id="1508250140">
          <w:marLeft w:val="0"/>
          <w:marRight w:val="0"/>
          <w:marTop w:val="0"/>
          <w:marBottom w:val="0"/>
          <w:divBdr>
            <w:top w:val="none" w:sz="0" w:space="0" w:color="auto"/>
            <w:left w:val="none" w:sz="0" w:space="0" w:color="auto"/>
            <w:bottom w:val="none" w:sz="0" w:space="0" w:color="auto"/>
            <w:right w:val="none" w:sz="0" w:space="0" w:color="auto"/>
          </w:divBdr>
        </w:div>
        <w:div w:id="1774520630">
          <w:marLeft w:val="0"/>
          <w:marRight w:val="0"/>
          <w:marTop w:val="0"/>
          <w:marBottom w:val="0"/>
          <w:divBdr>
            <w:top w:val="none" w:sz="0" w:space="0" w:color="auto"/>
            <w:left w:val="none" w:sz="0" w:space="0" w:color="auto"/>
            <w:bottom w:val="none" w:sz="0" w:space="0" w:color="auto"/>
            <w:right w:val="none" w:sz="0" w:space="0" w:color="auto"/>
          </w:divBdr>
        </w:div>
        <w:div w:id="2118863318">
          <w:marLeft w:val="0"/>
          <w:marRight w:val="0"/>
          <w:marTop w:val="0"/>
          <w:marBottom w:val="0"/>
          <w:divBdr>
            <w:top w:val="none" w:sz="0" w:space="0" w:color="auto"/>
            <w:left w:val="none" w:sz="0" w:space="0" w:color="auto"/>
            <w:bottom w:val="none" w:sz="0" w:space="0" w:color="auto"/>
            <w:right w:val="none" w:sz="0" w:space="0" w:color="auto"/>
          </w:divBdr>
        </w:div>
      </w:divsChild>
    </w:div>
    <w:div w:id="994337703">
      <w:bodyDiv w:val="1"/>
      <w:marLeft w:val="0"/>
      <w:marRight w:val="0"/>
      <w:marTop w:val="0"/>
      <w:marBottom w:val="0"/>
      <w:divBdr>
        <w:top w:val="none" w:sz="0" w:space="0" w:color="auto"/>
        <w:left w:val="none" w:sz="0" w:space="0" w:color="auto"/>
        <w:bottom w:val="none" w:sz="0" w:space="0" w:color="auto"/>
        <w:right w:val="none" w:sz="0" w:space="0" w:color="auto"/>
      </w:divBdr>
    </w:div>
    <w:div w:id="998070976">
      <w:bodyDiv w:val="1"/>
      <w:marLeft w:val="0"/>
      <w:marRight w:val="0"/>
      <w:marTop w:val="0"/>
      <w:marBottom w:val="0"/>
      <w:divBdr>
        <w:top w:val="none" w:sz="0" w:space="0" w:color="auto"/>
        <w:left w:val="none" w:sz="0" w:space="0" w:color="auto"/>
        <w:bottom w:val="none" w:sz="0" w:space="0" w:color="auto"/>
        <w:right w:val="none" w:sz="0" w:space="0" w:color="auto"/>
      </w:divBdr>
      <w:divsChild>
        <w:div w:id="160628865">
          <w:marLeft w:val="0"/>
          <w:marRight w:val="0"/>
          <w:marTop w:val="0"/>
          <w:marBottom w:val="0"/>
          <w:divBdr>
            <w:top w:val="none" w:sz="0" w:space="0" w:color="auto"/>
            <w:left w:val="none" w:sz="0" w:space="0" w:color="auto"/>
            <w:bottom w:val="none" w:sz="0" w:space="0" w:color="auto"/>
            <w:right w:val="none" w:sz="0" w:space="0" w:color="auto"/>
          </w:divBdr>
        </w:div>
        <w:div w:id="188178562">
          <w:marLeft w:val="0"/>
          <w:marRight w:val="0"/>
          <w:marTop w:val="0"/>
          <w:marBottom w:val="0"/>
          <w:divBdr>
            <w:top w:val="none" w:sz="0" w:space="0" w:color="auto"/>
            <w:left w:val="none" w:sz="0" w:space="0" w:color="auto"/>
            <w:bottom w:val="none" w:sz="0" w:space="0" w:color="auto"/>
            <w:right w:val="none" w:sz="0" w:space="0" w:color="auto"/>
          </w:divBdr>
        </w:div>
        <w:div w:id="496965868">
          <w:marLeft w:val="0"/>
          <w:marRight w:val="0"/>
          <w:marTop w:val="0"/>
          <w:marBottom w:val="0"/>
          <w:divBdr>
            <w:top w:val="none" w:sz="0" w:space="0" w:color="auto"/>
            <w:left w:val="none" w:sz="0" w:space="0" w:color="auto"/>
            <w:bottom w:val="none" w:sz="0" w:space="0" w:color="auto"/>
            <w:right w:val="none" w:sz="0" w:space="0" w:color="auto"/>
          </w:divBdr>
          <w:divsChild>
            <w:div w:id="459954350">
              <w:marLeft w:val="-75"/>
              <w:marRight w:val="0"/>
              <w:marTop w:val="30"/>
              <w:marBottom w:val="30"/>
              <w:divBdr>
                <w:top w:val="none" w:sz="0" w:space="0" w:color="auto"/>
                <w:left w:val="none" w:sz="0" w:space="0" w:color="auto"/>
                <w:bottom w:val="none" w:sz="0" w:space="0" w:color="auto"/>
                <w:right w:val="none" w:sz="0" w:space="0" w:color="auto"/>
              </w:divBdr>
              <w:divsChild>
                <w:div w:id="148206760">
                  <w:marLeft w:val="0"/>
                  <w:marRight w:val="0"/>
                  <w:marTop w:val="0"/>
                  <w:marBottom w:val="0"/>
                  <w:divBdr>
                    <w:top w:val="none" w:sz="0" w:space="0" w:color="auto"/>
                    <w:left w:val="none" w:sz="0" w:space="0" w:color="auto"/>
                    <w:bottom w:val="none" w:sz="0" w:space="0" w:color="auto"/>
                    <w:right w:val="none" w:sz="0" w:space="0" w:color="auto"/>
                  </w:divBdr>
                  <w:divsChild>
                    <w:div w:id="422385309">
                      <w:marLeft w:val="0"/>
                      <w:marRight w:val="0"/>
                      <w:marTop w:val="0"/>
                      <w:marBottom w:val="0"/>
                      <w:divBdr>
                        <w:top w:val="none" w:sz="0" w:space="0" w:color="auto"/>
                        <w:left w:val="none" w:sz="0" w:space="0" w:color="auto"/>
                        <w:bottom w:val="none" w:sz="0" w:space="0" w:color="auto"/>
                        <w:right w:val="none" w:sz="0" w:space="0" w:color="auto"/>
                      </w:divBdr>
                    </w:div>
                  </w:divsChild>
                </w:div>
                <w:div w:id="180245536">
                  <w:marLeft w:val="0"/>
                  <w:marRight w:val="0"/>
                  <w:marTop w:val="0"/>
                  <w:marBottom w:val="0"/>
                  <w:divBdr>
                    <w:top w:val="none" w:sz="0" w:space="0" w:color="auto"/>
                    <w:left w:val="none" w:sz="0" w:space="0" w:color="auto"/>
                    <w:bottom w:val="none" w:sz="0" w:space="0" w:color="auto"/>
                    <w:right w:val="none" w:sz="0" w:space="0" w:color="auto"/>
                  </w:divBdr>
                  <w:divsChild>
                    <w:div w:id="840389852">
                      <w:marLeft w:val="0"/>
                      <w:marRight w:val="0"/>
                      <w:marTop w:val="0"/>
                      <w:marBottom w:val="0"/>
                      <w:divBdr>
                        <w:top w:val="none" w:sz="0" w:space="0" w:color="auto"/>
                        <w:left w:val="none" w:sz="0" w:space="0" w:color="auto"/>
                        <w:bottom w:val="none" w:sz="0" w:space="0" w:color="auto"/>
                        <w:right w:val="none" w:sz="0" w:space="0" w:color="auto"/>
                      </w:divBdr>
                    </w:div>
                  </w:divsChild>
                </w:div>
                <w:div w:id="576282769">
                  <w:marLeft w:val="0"/>
                  <w:marRight w:val="0"/>
                  <w:marTop w:val="0"/>
                  <w:marBottom w:val="0"/>
                  <w:divBdr>
                    <w:top w:val="none" w:sz="0" w:space="0" w:color="auto"/>
                    <w:left w:val="none" w:sz="0" w:space="0" w:color="auto"/>
                    <w:bottom w:val="none" w:sz="0" w:space="0" w:color="auto"/>
                    <w:right w:val="none" w:sz="0" w:space="0" w:color="auto"/>
                  </w:divBdr>
                  <w:divsChild>
                    <w:div w:id="70547986">
                      <w:marLeft w:val="0"/>
                      <w:marRight w:val="0"/>
                      <w:marTop w:val="0"/>
                      <w:marBottom w:val="0"/>
                      <w:divBdr>
                        <w:top w:val="none" w:sz="0" w:space="0" w:color="auto"/>
                        <w:left w:val="none" w:sz="0" w:space="0" w:color="auto"/>
                        <w:bottom w:val="none" w:sz="0" w:space="0" w:color="auto"/>
                        <w:right w:val="none" w:sz="0" w:space="0" w:color="auto"/>
                      </w:divBdr>
                    </w:div>
                    <w:div w:id="1251817768">
                      <w:marLeft w:val="0"/>
                      <w:marRight w:val="0"/>
                      <w:marTop w:val="0"/>
                      <w:marBottom w:val="0"/>
                      <w:divBdr>
                        <w:top w:val="none" w:sz="0" w:space="0" w:color="auto"/>
                        <w:left w:val="none" w:sz="0" w:space="0" w:color="auto"/>
                        <w:bottom w:val="none" w:sz="0" w:space="0" w:color="auto"/>
                        <w:right w:val="none" w:sz="0" w:space="0" w:color="auto"/>
                      </w:divBdr>
                    </w:div>
                  </w:divsChild>
                </w:div>
                <w:div w:id="1280333616">
                  <w:marLeft w:val="0"/>
                  <w:marRight w:val="0"/>
                  <w:marTop w:val="0"/>
                  <w:marBottom w:val="0"/>
                  <w:divBdr>
                    <w:top w:val="none" w:sz="0" w:space="0" w:color="auto"/>
                    <w:left w:val="none" w:sz="0" w:space="0" w:color="auto"/>
                    <w:bottom w:val="none" w:sz="0" w:space="0" w:color="auto"/>
                    <w:right w:val="none" w:sz="0" w:space="0" w:color="auto"/>
                  </w:divBdr>
                  <w:divsChild>
                    <w:div w:id="322586704">
                      <w:marLeft w:val="0"/>
                      <w:marRight w:val="0"/>
                      <w:marTop w:val="0"/>
                      <w:marBottom w:val="0"/>
                      <w:divBdr>
                        <w:top w:val="none" w:sz="0" w:space="0" w:color="auto"/>
                        <w:left w:val="none" w:sz="0" w:space="0" w:color="auto"/>
                        <w:bottom w:val="none" w:sz="0" w:space="0" w:color="auto"/>
                        <w:right w:val="none" w:sz="0" w:space="0" w:color="auto"/>
                      </w:divBdr>
                    </w:div>
                    <w:div w:id="1565524174">
                      <w:marLeft w:val="0"/>
                      <w:marRight w:val="0"/>
                      <w:marTop w:val="0"/>
                      <w:marBottom w:val="0"/>
                      <w:divBdr>
                        <w:top w:val="none" w:sz="0" w:space="0" w:color="auto"/>
                        <w:left w:val="none" w:sz="0" w:space="0" w:color="auto"/>
                        <w:bottom w:val="none" w:sz="0" w:space="0" w:color="auto"/>
                        <w:right w:val="none" w:sz="0" w:space="0" w:color="auto"/>
                      </w:divBdr>
                    </w:div>
                  </w:divsChild>
                </w:div>
                <w:div w:id="1715234454">
                  <w:marLeft w:val="0"/>
                  <w:marRight w:val="0"/>
                  <w:marTop w:val="0"/>
                  <w:marBottom w:val="0"/>
                  <w:divBdr>
                    <w:top w:val="none" w:sz="0" w:space="0" w:color="auto"/>
                    <w:left w:val="none" w:sz="0" w:space="0" w:color="auto"/>
                    <w:bottom w:val="none" w:sz="0" w:space="0" w:color="auto"/>
                    <w:right w:val="none" w:sz="0" w:space="0" w:color="auto"/>
                  </w:divBdr>
                  <w:divsChild>
                    <w:div w:id="691610139">
                      <w:marLeft w:val="0"/>
                      <w:marRight w:val="0"/>
                      <w:marTop w:val="0"/>
                      <w:marBottom w:val="0"/>
                      <w:divBdr>
                        <w:top w:val="none" w:sz="0" w:space="0" w:color="auto"/>
                        <w:left w:val="none" w:sz="0" w:space="0" w:color="auto"/>
                        <w:bottom w:val="none" w:sz="0" w:space="0" w:color="auto"/>
                        <w:right w:val="none" w:sz="0" w:space="0" w:color="auto"/>
                      </w:divBdr>
                    </w:div>
                  </w:divsChild>
                </w:div>
                <w:div w:id="1963803770">
                  <w:marLeft w:val="0"/>
                  <w:marRight w:val="0"/>
                  <w:marTop w:val="0"/>
                  <w:marBottom w:val="0"/>
                  <w:divBdr>
                    <w:top w:val="none" w:sz="0" w:space="0" w:color="auto"/>
                    <w:left w:val="none" w:sz="0" w:space="0" w:color="auto"/>
                    <w:bottom w:val="none" w:sz="0" w:space="0" w:color="auto"/>
                    <w:right w:val="none" w:sz="0" w:space="0" w:color="auto"/>
                  </w:divBdr>
                  <w:divsChild>
                    <w:div w:id="1292176668">
                      <w:marLeft w:val="0"/>
                      <w:marRight w:val="0"/>
                      <w:marTop w:val="0"/>
                      <w:marBottom w:val="0"/>
                      <w:divBdr>
                        <w:top w:val="none" w:sz="0" w:space="0" w:color="auto"/>
                        <w:left w:val="none" w:sz="0" w:space="0" w:color="auto"/>
                        <w:bottom w:val="none" w:sz="0" w:space="0" w:color="auto"/>
                        <w:right w:val="none" w:sz="0" w:space="0" w:color="auto"/>
                      </w:divBdr>
                    </w:div>
                  </w:divsChild>
                </w:div>
                <w:div w:id="1979414741">
                  <w:marLeft w:val="0"/>
                  <w:marRight w:val="0"/>
                  <w:marTop w:val="0"/>
                  <w:marBottom w:val="0"/>
                  <w:divBdr>
                    <w:top w:val="none" w:sz="0" w:space="0" w:color="auto"/>
                    <w:left w:val="none" w:sz="0" w:space="0" w:color="auto"/>
                    <w:bottom w:val="none" w:sz="0" w:space="0" w:color="auto"/>
                    <w:right w:val="none" w:sz="0" w:space="0" w:color="auto"/>
                  </w:divBdr>
                  <w:divsChild>
                    <w:div w:id="1898010396">
                      <w:marLeft w:val="0"/>
                      <w:marRight w:val="0"/>
                      <w:marTop w:val="0"/>
                      <w:marBottom w:val="0"/>
                      <w:divBdr>
                        <w:top w:val="none" w:sz="0" w:space="0" w:color="auto"/>
                        <w:left w:val="none" w:sz="0" w:space="0" w:color="auto"/>
                        <w:bottom w:val="none" w:sz="0" w:space="0" w:color="auto"/>
                        <w:right w:val="none" w:sz="0" w:space="0" w:color="auto"/>
                      </w:divBdr>
                    </w:div>
                  </w:divsChild>
                </w:div>
                <w:div w:id="2020545148">
                  <w:marLeft w:val="0"/>
                  <w:marRight w:val="0"/>
                  <w:marTop w:val="0"/>
                  <w:marBottom w:val="0"/>
                  <w:divBdr>
                    <w:top w:val="none" w:sz="0" w:space="0" w:color="auto"/>
                    <w:left w:val="none" w:sz="0" w:space="0" w:color="auto"/>
                    <w:bottom w:val="none" w:sz="0" w:space="0" w:color="auto"/>
                    <w:right w:val="none" w:sz="0" w:space="0" w:color="auto"/>
                  </w:divBdr>
                  <w:divsChild>
                    <w:div w:id="18485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71407">
          <w:marLeft w:val="0"/>
          <w:marRight w:val="0"/>
          <w:marTop w:val="0"/>
          <w:marBottom w:val="0"/>
          <w:divBdr>
            <w:top w:val="none" w:sz="0" w:space="0" w:color="auto"/>
            <w:left w:val="none" w:sz="0" w:space="0" w:color="auto"/>
            <w:bottom w:val="none" w:sz="0" w:space="0" w:color="auto"/>
            <w:right w:val="none" w:sz="0" w:space="0" w:color="auto"/>
          </w:divBdr>
        </w:div>
        <w:div w:id="673608980">
          <w:marLeft w:val="0"/>
          <w:marRight w:val="0"/>
          <w:marTop w:val="0"/>
          <w:marBottom w:val="0"/>
          <w:divBdr>
            <w:top w:val="none" w:sz="0" w:space="0" w:color="auto"/>
            <w:left w:val="none" w:sz="0" w:space="0" w:color="auto"/>
            <w:bottom w:val="none" w:sz="0" w:space="0" w:color="auto"/>
            <w:right w:val="none" w:sz="0" w:space="0" w:color="auto"/>
          </w:divBdr>
        </w:div>
        <w:div w:id="1074357539">
          <w:marLeft w:val="0"/>
          <w:marRight w:val="0"/>
          <w:marTop w:val="0"/>
          <w:marBottom w:val="0"/>
          <w:divBdr>
            <w:top w:val="none" w:sz="0" w:space="0" w:color="auto"/>
            <w:left w:val="none" w:sz="0" w:space="0" w:color="auto"/>
            <w:bottom w:val="none" w:sz="0" w:space="0" w:color="auto"/>
            <w:right w:val="none" w:sz="0" w:space="0" w:color="auto"/>
          </w:divBdr>
        </w:div>
        <w:div w:id="1420255350">
          <w:marLeft w:val="0"/>
          <w:marRight w:val="0"/>
          <w:marTop w:val="0"/>
          <w:marBottom w:val="0"/>
          <w:divBdr>
            <w:top w:val="none" w:sz="0" w:space="0" w:color="auto"/>
            <w:left w:val="none" w:sz="0" w:space="0" w:color="auto"/>
            <w:bottom w:val="none" w:sz="0" w:space="0" w:color="auto"/>
            <w:right w:val="none" w:sz="0" w:space="0" w:color="auto"/>
          </w:divBdr>
        </w:div>
        <w:div w:id="1725913318">
          <w:marLeft w:val="0"/>
          <w:marRight w:val="0"/>
          <w:marTop w:val="0"/>
          <w:marBottom w:val="0"/>
          <w:divBdr>
            <w:top w:val="none" w:sz="0" w:space="0" w:color="auto"/>
            <w:left w:val="none" w:sz="0" w:space="0" w:color="auto"/>
            <w:bottom w:val="none" w:sz="0" w:space="0" w:color="auto"/>
            <w:right w:val="none" w:sz="0" w:space="0" w:color="auto"/>
          </w:divBdr>
        </w:div>
        <w:div w:id="1967537703">
          <w:marLeft w:val="0"/>
          <w:marRight w:val="0"/>
          <w:marTop w:val="0"/>
          <w:marBottom w:val="0"/>
          <w:divBdr>
            <w:top w:val="none" w:sz="0" w:space="0" w:color="auto"/>
            <w:left w:val="none" w:sz="0" w:space="0" w:color="auto"/>
            <w:bottom w:val="none" w:sz="0" w:space="0" w:color="auto"/>
            <w:right w:val="none" w:sz="0" w:space="0" w:color="auto"/>
          </w:divBdr>
        </w:div>
        <w:div w:id="2129857554">
          <w:marLeft w:val="0"/>
          <w:marRight w:val="0"/>
          <w:marTop w:val="0"/>
          <w:marBottom w:val="0"/>
          <w:divBdr>
            <w:top w:val="none" w:sz="0" w:space="0" w:color="auto"/>
            <w:left w:val="none" w:sz="0" w:space="0" w:color="auto"/>
            <w:bottom w:val="none" w:sz="0" w:space="0" w:color="auto"/>
            <w:right w:val="none" w:sz="0" w:space="0" w:color="auto"/>
          </w:divBdr>
        </w:div>
      </w:divsChild>
    </w:div>
    <w:div w:id="1056051999">
      <w:bodyDiv w:val="1"/>
      <w:marLeft w:val="0"/>
      <w:marRight w:val="0"/>
      <w:marTop w:val="0"/>
      <w:marBottom w:val="0"/>
      <w:divBdr>
        <w:top w:val="none" w:sz="0" w:space="0" w:color="auto"/>
        <w:left w:val="none" w:sz="0" w:space="0" w:color="auto"/>
        <w:bottom w:val="none" w:sz="0" w:space="0" w:color="auto"/>
        <w:right w:val="none" w:sz="0" w:space="0" w:color="auto"/>
      </w:divBdr>
    </w:div>
    <w:div w:id="1064063878">
      <w:bodyDiv w:val="1"/>
      <w:marLeft w:val="0"/>
      <w:marRight w:val="0"/>
      <w:marTop w:val="0"/>
      <w:marBottom w:val="0"/>
      <w:divBdr>
        <w:top w:val="none" w:sz="0" w:space="0" w:color="auto"/>
        <w:left w:val="none" w:sz="0" w:space="0" w:color="auto"/>
        <w:bottom w:val="none" w:sz="0" w:space="0" w:color="auto"/>
        <w:right w:val="none" w:sz="0" w:space="0" w:color="auto"/>
      </w:divBdr>
    </w:div>
    <w:div w:id="1120610808">
      <w:bodyDiv w:val="1"/>
      <w:marLeft w:val="0"/>
      <w:marRight w:val="0"/>
      <w:marTop w:val="0"/>
      <w:marBottom w:val="0"/>
      <w:divBdr>
        <w:top w:val="none" w:sz="0" w:space="0" w:color="auto"/>
        <w:left w:val="none" w:sz="0" w:space="0" w:color="auto"/>
        <w:bottom w:val="none" w:sz="0" w:space="0" w:color="auto"/>
        <w:right w:val="none" w:sz="0" w:space="0" w:color="auto"/>
      </w:divBdr>
      <w:divsChild>
        <w:div w:id="634062390">
          <w:marLeft w:val="0"/>
          <w:marRight w:val="0"/>
          <w:marTop w:val="0"/>
          <w:marBottom w:val="0"/>
          <w:divBdr>
            <w:top w:val="none" w:sz="0" w:space="0" w:color="auto"/>
            <w:left w:val="none" w:sz="0" w:space="0" w:color="auto"/>
            <w:bottom w:val="none" w:sz="0" w:space="0" w:color="auto"/>
            <w:right w:val="none" w:sz="0" w:space="0" w:color="auto"/>
          </w:divBdr>
        </w:div>
        <w:div w:id="1129974750">
          <w:marLeft w:val="0"/>
          <w:marRight w:val="0"/>
          <w:marTop w:val="0"/>
          <w:marBottom w:val="0"/>
          <w:divBdr>
            <w:top w:val="none" w:sz="0" w:space="0" w:color="auto"/>
            <w:left w:val="none" w:sz="0" w:space="0" w:color="auto"/>
            <w:bottom w:val="none" w:sz="0" w:space="0" w:color="auto"/>
            <w:right w:val="none" w:sz="0" w:space="0" w:color="auto"/>
          </w:divBdr>
        </w:div>
      </w:divsChild>
    </w:div>
    <w:div w:id="1258174336">
      <w:bodyDiv w:val="1"/>
      <w:marLeft w:val="0"/>
      <w:marRight w:val="0"/>
      <w:marTop w:val="0"/>
      <w:marBottom w:val="0"/>
      <w:divBdr>
        <w:top w:val="none" w:sz="0" w:space="0" w:color="auto"/>
        <w:left w:val="none" w:sz="0" w:space="0" w:color="auto"/>
        <w:bottom w:val="none" w:sz="0" w:space="0" w:color="auto"/>
        <w:right w:val="none" w:sz="0" w:space="0" w:color="auto"/>
      </w:divBdr>
      <w:divsChild>
        <w:div w:id="289240855">
          <w:marLeft w:val="0"/>
          <w:marRight w:val="0"/>
          <w:marTop w:val="0"/>
          <w:marBottom w:val="0"/>
          <w:divBdr>
            <w:top w:val="none" w:sz="0" w:space="0" w:color="auto"/>
            <w:left w:val="none" w:sz="0" w:space="0" w:color="auto"/>
            <w:bottom w:val="none" w:sz="0" w:space="0" w:color="auto"/>
            <w:right w:val="none" w:sz="0" w:space="0" w:color="auto"/>
          </w:divBdr>
        </w:div>
        <w:div w:id="614363918">
          <w:marLeft w:val="0"/>
          <w:marRight w:val="0"/>
          <w:marTop w:val="0"/>
          <w:marBottom w:val="0"/>
          <w:divBdr>
            <w:top w:val="none" w:sz="0" w:space="0" w:color="auto"/>
            <w:left w:val="none" w:sz="0" w:space="0" w:color="auto"/>
            <w:bottom w:val="none" w:sz="0" w:space="0" w:color="auto"/>
            <w:right w:val="none" w:sz="0" w:space="0" w:color="auto"/>
          </w:divBdr>
        </w:div>
        <w:div w:id="1108113192">
          <w:marLeft w:val="0"/>
          <w:marRight w:val="0"/>
          <w:marTop w:val="0"/>
          <w:marBottom w:val="0"/>
          <w:divBdr>
            <w:top w:val="none" w:sz="0" w:space="0" w:color="auto"/>
            <w:left w:val="none" w:sz="0" w:space="0" w:color="auto"/>
            <w:bottom w:val="none" w:sz="0" w:space="0" w:color="auto"/>
            <w:right w:val="none" w:sz="0" w:space="0" w:color="auto"/>
          </w:divBdr>
        </w:div>
        <w:div w:id="1243373058">
          <w:marLeft w:val="0"/>
          <w:marRight w:val="0"/>
          <w:marTop w:val="0"/>
          <w:marBottom w:val="0"/>
          <w:divBdr>
            <w:top w:val="none" w:sz="0" w:space="0" w:color="auto"/>
            <w:left w:val="none" w:sz="0" w:space="0" w:color="auto"/>
            <w:bottom w:val="none" w:sz="0" w:space="0" w:color="auto"/>
            <w:right w:val="none" w:sz="0" w:space="0" w:color="auto"/>
          </w:divBdr>
        </w:div>
        <w:div w:id="1663969835">
          <w:marLeft w:val="0"/>
          <w:marRight w:val="0"/>
          <w:marTop w:val="0"/>
          <w:marBottom w:val="0"/>
          <w:divBdr>
            <w:top w:val="none" w:sz="0" w:space="0" w:color="auto"/>
            <w:left w:val="none" w:sz="0" w:space="0" w:color="auto"/>
            <w:bottom w:val="none" w:sz="0" w:space="0" w:color="auto"/>
            <w:right w:val="none" w:sz="0" w:space="0" w:color="auto"/>
          </w:divBdr>
        </w:div>
      </w:divsChild>
    </w:div>
    <w:div w:id="1297028065">
      <w:bodyDiv w:val="1"/>
      <w:marLeft w:val="0"/>
      <w:marRight w:val="0"/>
      <w:marTop w:val="0"/>
      <w:marBottom w:val="0"/>
      <w:divBdr>
        <w:top w:val="none" w:sz="0" w:space="0" w:color="auto"/>
        <w:left w:val="none" w:sz="0" w:space="0" w:color="auto"/>
        <w:bottom w:val="none" w:sz="0" w:space="0" w:color="auto"/>
        <w:right w:val="none" w:sz="0" w:space="0" w:color="auto"/>
      </w:divBdr>
      <w:divsChild>
        <w:div w:id="31461177">
          <w:marLeft w:val="0"/>
          <w:marRight w:val="0"/>
          <w:marTop w:val="0"/>
          <w:marBottom w:val="0"/>
          <w:divBdr>
            <w:top w:val="none" w:sz="0" w:space="0" w:color="auto"/>
            <w:left w:val="none" w:sz="0" w:space="0" w:color="auto"/>
            <w:bottom w:val="none" w:sz="0" w:space="0" w:color="auto"/>
            <w:right w:val="none" w:sz="0" w:space="0" w:color="auto"/>
          </w:divBdr>
        </w:div>
        <w:div w:id="142087021">
          <w:marLeft w:val="0"/>
          <w:marRight w:val="0"/>
          <w:marTop w:val="0"/>
          <w:marBottom w:val="0"/>
          <w:divBdr>
            <w:top w:val="none" w:sz="0" w:space="0" w:color="auto"/>
            <w:left w:val="none" w:sz="0" w:space="0" w:color="auto"/>
            <w:bottom w:val="none" w:sz="0" w:space="0" w:color="auto"/>
            <w:right w:val="none" w:sz="0" w:space="0" w:color="auto"/>
          </w:divBdr>
        </w:div>
        <w:div w:id="222064011">
          <w:marLeft w:val="0"/>
          <w:marRight w:val="0"/>
          <w:marTop w:val="0"/>
          <w:marBottom w:val="0"/>
          <w:divBdr>
            <w:top w:val="none" w:sz="0" w:space="0" w:color="auto"/>
            <w:left w:val="none" w:sz="0" w:space="0" w:color="auto"/>
            <w:bottom w:val="none" w:sz="0" w:space="0" w:color="auto"/>
            <w:right w:val="none" w:sz="0" w:space="0" w:color="auto"/>
          </w:divBdr>
        </w:div>
        <w:div w:id="313879082">
          <w:marLeft w:val="0"/>
          <w:marRight w:val="0"/>
          <w:marTop w:val="0"/>
          <w:marBottom w:val="0"/>
          <w:divBdr>
            <w:top w:val="none" w:sz="0" w:space="0" w:color="auto"/>
            <w:left w:val="none" w:sz="0" w:space="0" w:color="auto"/>
            <w:bottom w:val="none" w:sz="0" w:space="0" w:color="auto"/>
            <w:right w:val="none" w:sz="0" w:space="0" w:color="auto"/>
          </w:divBdr>
        </w:div>
        <w:div w:id="853424982">
          <w:marLeft w:val="0"/>
          <w:marRight w:val="0"/>
          <w:marTop w:val="0"/>
          <w:marBottom w:val="0"/>
          <w:divBdr>
            <w:top w:val="none" w:sz="0" w:space="0" w:color="auto"/>
            <w:left w:val="none" w:sz="0" w:space="0" w:color="auto"/>
            <w:bottom w:val="none" w:sz="0" w:space="0" w:color="auto"/>
            <w:right w:val="none" w:sz="0" w:space="0" w:color="auto"/>
          </w:divBdr>
          <w:divsChild>
            <w:div w:id="1251162998">
              <w:marLeft w:val="-75"/>
              <w:marRight w:val="0"/>
              <w:marTop w:val="30"/>
              <w:marBottom w:val="30"/>
              <w:divBdr>
                <w:top w:val="none" w:sz="0" w:space="0" w:color="auto"/>
                <w:left w:val="none" w:sz="0" w:space="0" w:color="auto"/>
                <w:bottom w:val="none" w:sz="0" w:space="0" w:color="auto"/>
                <w:right w:val="none" w:sz="0" w:space="0" w:color="auto"/>
              </w:divBdr>
              <w:divsChild>
                <w:div w:id="50737486">
                  <w:marLeft w:val="0"/>
                  <w:marRight w:val="0"/>
                  <w:marTop w:val="0"/>
                  <w:marBottom w:val="0"/>
                  <w:divBdr>
                    <w:top w:val="none" w:sz="0" w:space="0" w:color="auto"/>
                    <w:left w:val="none" w:sz="0" w:space="0" w:color="auto"/>
                    <w:bottom w:val="none" w:sz="0" w:space="0" w:color="auto"/>
                    <w:right w:val="none" w:sz="0" w:space="0" w:color="auto"/>
                  </w:divBdr>
                  <w:divsChild>
                    <w:div w:id="944508218">
                      <w:marLeft w:val="0"/>
                      <w:marRight w:val="0"/>
                      <w:marTop w:val="0"/>
                      <w:marBottom w:val="0"/>
                      <w:divBdr>
                        <w:top w:val="none" w:sz="0" w:space="0" w:color="auto"/>
                        <w:left w:val="none" w:sz="0" w:space="0" w:color="auto"/>
                        <w:bottom w:val="none" w:sz="0" w:space="0" w:color="auto"/>
                        <w:right w:val="none" w:sz="0" w:space="0" w:color="auto"/>
                      </w:divBdr>
                    </w:div>
                  </w:divsChild>
                </w:div>
                <w:div w:id="71045377">
                  <w:marLeft w:val="0"/>
                  <w:marRight w:val="0"/>
                  <w:marTop w:val="0"/>
                  <w:marBottom w:val="0"/>
                  <w:divBdr>
                    <w:top w:val="none" w:sz="0" w:space="0" w:color="auto"/>
                    <w:left w:val="none" w:sz="0" w:space="0" w:color="auto"/>
                    <w:bottom w:val="none" w:sz="0" w:space="0" w:color="auto"/>
                    <w:right w:val="none" w:sz="0" w:space="0" w:color="auto"/>
                  </w:divBdr>
                  <w:divsChild>
                    <w:div w:id="1876430302">
                      <w:marLeft w:val="0"/>
                      <w:marRight w:val="0"/>
                      <w:marTop w:val="0"/>
                      <w:marBottom w:val="0"/>
                      <w:divBdr>
                        <w:top w:val="none" w:sz="0" w:space="0" w:color="auto"/>
                        <w:left w:val="none" w:sz="0" w:space="0" w:color="auto"/>
                        <w:bottom w:val="none" w:sz="0" w:space="0" w:color="auto"/>
                        <w:right w:val="none" w:sz="0" w:space="0" w:color="auto"/>
                      </w:divBdr>
                    </w:div>
                  </w:divsChild>
                </w:div>
                <w:div w:id="933711438">
                  <w:marLeft w:val="0"/>
                  <w:marRight w:val="0"/>
                  <w:marTop w:val="0"/>
                  <w:marBottom w:val="0"/>
                  <w:divBdr>
                    <w:top w:val="none" w:sz="0" w:space="0" w:color="auto"/>
                    <w:left w:val="none" w:sz="0" w:space="0" w:color="auto"/>
                    <w:bottom w:val="none" w:sz="0" w:space="0" w:color="auto"/>
                    <w:right w:val="none" w:sz="0" w:space="0" w:color="auto"/>
                  </w:divBdr>
                  <w:divsChild>
                    <w:div w:id="2076009574">
                      <w:marLeft w:val="0"/>
                      <w:marRight w:val="0"/>
                      <w:marTop w:val="0"/>
                      <w:marBottom w:val="0"/>
                      <w:divBdr>
                        <w:top w:val="none" w:sz="0" w:space="0" w:color="auto"/>
                        <w:left w:val="none" w:sz="0" w:space="0" w:color="auto"/>
                        <w:bottom w:val="none" w:sz="0" w:space="0" w:color="auto"/>
                        <w:right w:val="none" w:sz="0" w:space="0" w:color="auto"/>
                      </w:divBdr>
                    </w:div>
                  </w:divsChild>
                </w:div>
                <w:div w:id="1660962921">
                  <w:marLeft w:val="0"/>
                  <w:marRight w:val="0"/>
                  <w:marTop w:val="0"/>
                  <w:marBottom w:val="0"/>
                  <w:divBdr>
                    <w:top w:val="none" w:sz="0" w:space="0" w:color="auto"/>
                    <w:left w:val="none" w:sz="0" w:space="0" w:color="auto"/>
                    <w:bottom w:val="none" w:sz="0" w:space="0" w:color="auto"/>
                    <w:right w:val="none" w:sz="0" w:space="0" w:color="auto"/>
                  </w:divBdr>
                  <w:divsChild>
                    <w:div w:id="1305816273">
                      <w:marLeft w:val="0"/>
                      <w:marRight w:val="0"/>
                      <w:marTop w:val="0"/>
                      <w:marBottom w:val="0"/>
                      <w:divBdr>
                        <w:top w:val="none" w:sz="0" w:space="0" w:color="auto"/>
                        <w:left w:val="none" w:sz="0" w:space="0" w:color="auto"/>
                        <w:bottom w:val="none" w:sz="0" w:space="0" w:color="auto"/>
                        <w:right w:val="none" w:sz="0" w:space="0" w:color="auto"/>
                      </w:divBdr>
                    </w:div>
                  </w:divsChild>
                </w:div>
                <w:div w:id="1715811771">
                  <w:marLeft w:val="0"/>
                  <w:marRight w:val="0"/>
                  <w:marTop w:val="0"/>
                  <w:marBottom w:val="0"/>
                  <w:divBdr>
                    <w:top w:val="none" w:sz="0" w:space="0" w:color="auto"/>
                    <w:left w:val="none" w:sz="0" w:space="0" w:color="auto"/>
                    <w:bottom w:val="none" w:sz="0" w:space="0" w:color="auto"/>
                    <w:right w:val="none" w:sz="0" w:space="0" w:color="auto"/>
                  </w:divBdr>
                  <w:divsChild>
                    <w:div w:id="808979625">
                      <w:marLeft w:val="0"/>
                      <w:marRight w:val="0"/>
                      <w:marTop w:val="0"/>
                      <w:marBottom w:val="0"/>
                      <w:divBdr>
                        <w:top w:val="none" w:sz="0" w:space="0" w:color="auto"/>
                        <w:left w:val="none" w:sz="0" w:space="0" w:color="auto"/>
                        <w:bottom w:val="none" w:sz="0" w:space="0" w:color="auto"/>
                        <w:right w:val="none" w:sz="0" w:space="0" w:color="auto"/>
                      </w:divBdr>
                    </w:div>
                    <w:div w:id="1399085405">
                      <w:marLeft w:val="0"/>
                      <w:marRight w:val="0"/>
                      <w:marTop w:val="0"/>
                      <w:marBottom w:val="0"/>
                      <w:divBdr>
                        <w:top w:val="none" w:sz="0" w:space="0" w:color="auto"/>
                        <w:left w:val="none" w:sz="0" w:space="0" w:color="auto"/>
                        <w:bottom w:val="none" w:sz="0" w:space="0" w:color="auto"/>
                        <w:right w:val="none" w:sz="0" w:space="0" w:color="auto"/>
                      </w:divBdr>
                    </w:div>
                  </w:divsChild>
                </w:div>
                <w:div w:id="1789349646">
                  <w:marLeft w:val="0"/>
                  <w:marRight w:val="0"/>
                  <w:marTop w:val="0"/>
                  <w:marBottom w:val="0"/>
                  <w:divBdr>
                    <w:top w:val="none" w:sz="0" w:space="0" w:color="auto"/>
                    <w:left w:val="none" w:sz="0" w:space="0" w:color="auto"/>
                    <w:bottom w:val="none" w:sz="0" w:space="0" w:color="auto"/>
                    <w:right w:val="none" w:sz="0" w:space="0" w:color="auto"/>
                  </w:divBdr>
                  <w:divsChild>
                    <w:div w:id="1064336905">
                      <w:marLeft w:val="0"/>
                      <w:marRight w:val="0"/>
                      <w:marTop w:val="0"/>
                      <w:marBottom w:val="0"/>
                      <w:divBdr>
                        <w:top w:val="none" w:sz="0" w:space="0" w:color="auto"/>
                        <w:left w:val="none" w:sz="0" w:space="0" w:color="auto"/>
                        <w:bottom w:val="none" w:sz="0" w:space="0" w:color="auto"/>
                        <w:right w:val="none" w:sz="0" w:space="0" w:color="auto"/>
                      </w:divBdr>
                    </w:div>
                    <w:div w:id="1072772836">
                      <w:marLeft w:val="0"/>
                      <w:marRight w:val="0"/>
                      <w:marTop w:val="0"/>
                      <w:marBottom w:val="0"/>
                      <w:divBdr>
                        <w:top w:val="none" w:sz="0" w:space="0" w:color="auto"/>
                        <w:left w:val="none" w:sz="0" w:space="0" w:color="auto"/>
                        <w:bottom w:val="none" w:sz="0" w:space="0" w:color="auto"/>
                        <w:right w:val="none" w:sz="0" w:space="0" w:color="auto"/>
                      </w:divBdr>
                    </w:div>
                  </w:divsChild>
                </w:div>
                <w:div w:id="1789471960">
                  <w:marLeft w:val="0"/>
                  <w:marRight w:val="0"/>
                  <w:marTop w:val="0"/>
                  <w:marBottom w:val="0"/>
                  <w:divBdr>
                    <w:top w:val="none" w:sz="0" w:space="0" w:color="auto"/>
                    <w:left w:val="none" w:sz="0" w:space="0" w:color="auto"/>
                    <w:bottom w:val="none" w:sz="0" w:space="0" w:color="auto"/>
                    <w:right w:val="none" w:sz="0" w:space="0" w:color="auto"/>
                  </w:divBdr>
                  <w:divsChild>
                    <w:div w:id="1958364821">
                      <w:marLeft w:val="0"/>
                      <w:marRight w:val="0"/>
                      <w:marTop w:val="0"/>
                      <w:marBottom w:val="0"/>
                      <w:divBdr>
                        <w:top w:val="none" w:sz="0" w:space="0" w:color="auto"/>
                        <w:left w:val="none" w:sz="0" w:space="0" w:color="auto"/>
                        <w:bottom w:val="none" w:sz="0" w:space="0" w:color="auto"/>
                        <w:right w:val="none" w:sz="0" w:space="0" w:color="auto"/>
                      </w:divBdr>
                    </w:div>
                  </w:divsChild>
                </w:div>
                <w:div w:id="1813060895">
                  <w:marLeft w:val="0"/>
                  <w:marRight w:val="0"/>
                  <w:marTop w:val="0"/>
                  <w:marBottom w:val="0"/>
                  <w:divBdr>
                    <w:top w:val="none" w:sz="0" w:space="0" w:color="auto"/>
                    <w:left w:val="none" w:sz="0" w:space="0" w:color="auto"/>
                    <w:bottom w:val="none" w:sz="0" w:space="0" w:color="auto"/>
                    <w:right w:val="none" w:sz="0" w:space="0" w:color="auto"/>
                  </w:divBdr>
                  <w:divsChild>
                    <w:div w:id="122174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05784">
          <w:marLeft w:val="0"/>
          <w:marRight w:val="0"/>
          <w:marTop w:val="0"/>
          <w:marBottom w:val="0"/>
          <w:divBdr>
            <w:top w:val="none" w:sz="0" w:space="0" w:color="auto"/>
            <w:left w:val="none" w:sz="0" w:space="0" w:color="auto"/>
            <w:bottom w:val="none" w:sz="0" w:space="0" w:color="auto"/>
            <w:right w:val="none" w:sz="0" w:space="0" w:color="auto"/>
          </w:divBdr>
        </w:div>
        <w:div w:id="1665354060">
          <w:marLeft w:val="0"/>
          <w:marRight w:val="0"/>
          <w:marTop w:val="0"/>
          <w:marBottom w:val="0"/>
          <w:divBdr>
            <w:top w:val="none" w:sz="0" w:space="0" w:color="auto"/>
            <w:left w:val="none" w:sz="0" w:space="0" w:color="auto"/>
            <w:bottom w:val="none" w:sz="0" w:space="0" w:color="auto"/>
            <w:right w:val="none" w:sz="0" w:space="0" w:color="auto"/>
          </w:divBdr>
        </w:div>
        <w:div w:id="1732270829">
          <w:marLeft w:val="0"/>
          <w:marRight w:val="0"/>
          <w:marTop w:val="0"/>
          <w:marBottom w:val="0"/>
          <w:divBdr>
            <w:top w:val="none" w:sz="0" w:space="0" w:color="auto"/>
            <w:left w:val="none" w:sz="0" w:space="0" w:color="auto"/>
            <w:bottom w:val="none" w:sz="0" w:space="0" w:color="auto"/>
            <w:right w:val="none" w:sz="0" w:space="0" w:color="auto"/>
          </w:divBdr>
        </w:div>
        <w:div w:id="1799103065">
          <w:marLeft w:val="0"/>
          <w:marRight w:val="0"/>
          <w:marTop w:val="0"/>
          <w:marBottom w:val="0"/>
          <w:divBdr>
            <w:top w:val="none" w:sz="0" w:space="0" w:color="auto"/>
            <w:left w:val="none" w:sz="0" w:space="0" w:color="auto"/>
            <w:bottom w:val="none" w:sz="0" w:space="0" w:color="auto"/>
            <w:right w:val="none" w:sz="0" w:space="0" w:color="auto"/>
          </w:divBdr>
        </w:div>
        <w:div w:id="2084569634">
          <w:marLeft w:val="0"/>
          <w:marRight w:val="0"/>
          <w:marTop w:val="0"/>
          <w:marBottom w:val="0"/>
          <w:divBdr>
            <w:top w:val="none" w:sz="0" w:space="0" w:color="auto"/>
            <w:left w:val="none" w:sz="0" w:space="0" w:color="auto"/>
            <w:bottom w:val="none" w:sz="0" w:space="0" w:color="auto"/>
            <w:right w:val="none" w:sz="0" w:space="0" w:color="auto"/>
          </w:divBdr>
        </w:div>
      </w:divsChild>
    </w:div>
    <w:div w:id="1298417572">
      <w:bodyDiv w:val="1"/>
      <w:marLeft w:val="0"/>
      <w:marRight w:val="0"/>
      <w:marTop w:val="0"/>
      <w:marBottom w:val="0"/>
      <w:divBdr>
        <w:top w:val="none" w:sz="0" w:space="0" w:color="auto"/>
        <w:left w:val="none" w:sz="0" w:space="0" w:color="auto"/>
        <w:bottom w:val="none" w:sz="0" w:space="0" w:color="auto"/>
        <w:right w:val="none" w:sz="0" w:space="0" w:color="auto"/>
      </w:divBdr>
    </w:div>
    <w:div w:id="1303342408">
      <w:bodyDiv w:val="1"/>
      <w:marLeft w:val="0"/>
      <w:marRight w:val="0"/>
      <w:marTop w:val="0"/>
      <w:marBottom w:val="0"/>
      <w:divBdr>
        <w:top w:val="none" w:sz="0" w:space="0" w:color="auto"/>
        <w:left w:val="none" w:sz="0" w:space="0" w:color="auto"/>
        <w:bottom w:val="none" w:sz="0" w:space="0" w:color="auto"/>
        <w:right w:val="none" w:sz="0" w:space="0" w:color="auto"/>
      </w:divBdr>
    </w:div>
    <w:div w:id="1303541370">
      <w:bodyDiv w:val="1"/>
      <w:marLeft w:val="0"/>
      <w:marRight w:val="0"/>
      <w:marTop w:val="0"/>
      <w:marBottom w:val="0"/>
      <w:divBdr>
        <w:top w:val="none" w:sz="0" w:space="0" w:color="auto"/>
        <w:left w:val="none" w:sz="0" w:space="0" w:color="auto"/>
        <w:bottom w:val="none" w:sz="0" w:space="0" w:color="auto"/>
        <w:right w:val="none" w:sz="0" w:space="0" w:color="auto"/>
      </w:divBdr>
    </w:div>
    <w:div w:id="1306198379">
      <w:bodyDiv w:val="1"/>
      <w:marLeft w:val="0"/>
      <w:marRight w:val="0"/>
      <w:marTop w:val="0"/>
      <w:marBottom w:val="0"/>
      <w:divBdr>
        <w:top w:val="none" w:sz="0" w:space="0" w:color="auto"/>
        <w:left w:val="none" w:sz="0" w:space="0" w:color="auto"/>
        <w:bottom w:val="none" w:sz="0" w:space="0" w:color="auto"/>
        <w:right w:val="none" w:sz="0" w:space="0" w:color="auto"/>
      </w:divBdr>
    </w:div>
    <w:div w:id="1307934051">
      <w:bodyDiv w:val="1"/>
      <w:marLeft w:val="0"/>
      <w:marRight w:val="0"/>
      <w:marTop w:val="0"/>
      <w:marBottom w:val="0"/>
      <w:divBdr>
        <w:top w:val="none" w:sz="0" w:space="0" w:color="auto"/>
        <w:left w:val="none" w:sz="0" w:space="0" w:color="auto"/>
        <w:bottom w:val="none" w:sz="0" w:space="0" w:color="auto"/>
        <w:right w:val="none" w:sz="0" w:space="0" w:color="auto"/>
      </w:divBdr>
      <w:divsChild>
        <w:div w:id="219294655">
          <w:marLeft w:val="0"/>
          <w:marRight w:val="0"/>
          <w:marTop w:val="0"/>
          <w:marBottom w:val="0"/>
          <w:divBdr>
            <w:top w:val="none" w:sz="0" w:space="0" w:color="auto"/>
            <w:left w:val="none" w:sz="0" w:space="0" w:color="auto"/>
            <w:bottom w:val="none" w:sz="0" w:space="0" w:color="auto"/>
            <w:right w:val="none" w:sz="0" w:space="0" w:color="auto"/>
          </w:divBdr>
        </w:div>
        <w:div w:id="1025593182">
          <w:marLeft w:val="0"/>
          <w:marRight w:val="0"/>
          <w:marTop w:val="0"/>
          <w:marBottom w:val="0"/>
          <w:divBdr>
            <w:top w:val="none" w:sz="0" w:space="0" w:color="auto"/>
            <w:left w:val="none" w:sz="0" w:space="0" w:color="auto"/>
            <w:bottom w:val="none" w:sz="0" w:space="0" w:color="auto"/>
            <w:right w:val="none" w:sz="0" w:space="0" w:color="auto"/>
          </w:divBdr>
        </w:div>
        <w:div w:id="1408578464">
          <w:marLeft w:val="0"/>
          <w:marRight w:val="0"/>
          <w:marTop w:val="0"/>
          <w:marBottom w:val="0"/>
          <w:divBdr>
            <w:top w:val="none" w:sz="0" w:space="0" w:color="auto"/>
            <w:left w:val="none" w:sz="0" w:space="0" w:color="auto"/>
            <w:bottom w:val="none" w:sz="0" w:space="0" w:color="auto"/>
            <w:right w:val="none" w:sz="0" w:space="0" w:color="auto"/>
          </w:divBdr>
        </w:div>
        <w:div w:id="1654915935">
          <w:marLeft w:val="0"/>
          <w:marRight w:val="0"/>
          <w:marTop w:val="0"/>
          <w:marBottom w:val="0"/>
          <w:divBdr>
            <w:top w:val="none" w:sz="0" w:space="0" w:color="auto"/>
            <w:left w:val="none" w:sz="0" w:space="0" w:color="auto"/>
            <w:bottom w:val="none" w:sz="0" w:space="0" w:color="auto"/>
            <w:right w:val="none" w:sz="0" w:space="0" w:color="auto"/>
          </w:divBdr>
        </w:div>
        <w:div w:id="1783458192">
          <w:marLeft w:val="0"/>
          <w:marRight w:val="0"/>
          <w:marTop w:val="0"/>
          <w:marBottom w:val="0"/>
          <w:divBdr>
            <w:top w:val="none" w:sz="0" w:space="0" w:color="auto"/>
            <w:left w:val="none" w:sz="0" w:space="0" w:color="auto"/>
            <w:bottom w:val="none" w:sz="0" w:space="0" w:color="auto"/>
            <w:right w:val="none" w:sz="0" w:space="0" w:color="auto"/>
          </w:divBdr>
        </w:div>
      </w:divsChild>
    </w:div>
    <w:div w:id="1311791209">
      <w:bodyDiv w:val="1"/>
      <w:marLeft w:val="0"/>
      <w:marRight w:val="0"/>
      <w:marTop w:val="0"/>
      <w:marBottom w:val="0"/>
      <w:divBdr>
        <w:top w:val="none" w:sz="0" w:space="0" w:color="auto"/>
        <w:left w:val="none" w:sz="0" w:space="0" w:color="auto"/>
        <w:bottom w:val="none" w:sz="0" w:space="0" w:color="auto"/>
        <w:right w:val="none" w:sz="0" w:space="0" w:color="auto"/>
      </w:divBdr>
    </w:div>
    <w:div w:id="1326931191">
      <w:bodyDiv w:val="1"/>
      <w:marLeft w:val="0"/>
      <w:marRight w:val="0"/>
      <w:marTop w:val="0"/>
      <w:marBottom w:val="0"/>
      <w:divBdr>
        <w:top w:val="none" w:sz="0" w:space="0" w:color="auto"/>
        <w:left w:val="none" w:sz="0" w:space="0" w:color="auto"/>
        <w:bottom w:val="none" w:sz="0" w:space="0" w:color="auto"/>
        <w:right w:val="none" w:sz="0" w:space="0" w:color="auto"/>
      </w:divBdr>
    </w:div>
    <w:div w:id="1391615085">
      <w:bodyDiv w:val="1"/>
      <w:marLeft w:val="0"/>
      <w:marRight w:val="0"/>
      <w:marTop w:val="0"/>
      <w:marBottom w:val="0"/>
      <w:divBdr>
        <w:top w:val="none" w:sz="0" w:space="0" w:color="auto"/>
        <w:left w:val="none" w:sz="0" w:space="0" w:color="auto"/>
        <w:bottom w:val="none" w:sz="0" w:space="0" w:color="auto"/>
        <w:right w:val="none" w:sz="0" w:space="0" w:color="auto"/>
      </w:divBdr>
      <w:divsChild>
        <w:div w:id="148986127">
          <w:marLeft w:val="0"/>
          <w:marRight w:val="0"/>
          <w:marTop w:val="0"/>
          <w:marBottom w:val="0"/>
          <w:divBdr>
            <w:top w:val="none" w:sz="0" w:space="0" w:color="auto"/>
            <w:left w:val="none" w:sz="0" w:space="0" w:color="auto"/>
            <w:bottom w:val="none" w:sz="0" w:space="0" w:color="auto"/>
            <w:right w:val="none" w:sz="0" w:space="0" w:color="auto"/>
          </w:divBdr>
        </w:div>
        <w:div w:id="341931099">
          <w:marLeft w:val="0"/>
          <w:marRight w:val="0"/>
          <w:marTop w:val="0"/>
          <w:marBottom w:val="0"/>
          <w:divBdr>
            <w:top w:val="none" w:sz="0" w:space="0" w:color="auto"/>
            <w:left w:val="none" w:sz="0" w:space="0" w:color="auto"/>
            <w:bottom w:val="none" w:sz="0" w:space="0" w:color="auto"/>
            <w:right w:val="none" w:sz="0" w:space="0" w:color="auto"/>
          </w:divBdr>
        </w:div>
        <w:div w:id="466894003">
          <w:marLeft w:val="0"/>
          <w:marRight w:val="0"/>
          <w:marTop w:val="0"/>
          <w:marBottom w:val="0"/>
          <w:divBdr>
            <w:top w:val="none" w:sz="0" w:space="0" w:color="auto"/>
            <w:left w:val="none" w:sz="0" w:space="0" w:color="auto"/>
            <w:bottom w:val="none" w:sz="0" w:space="0" w:color="auto"/>
            <w:right w:val="none" w:sz="0" w:space="0" w:color="auto"/>
          </w:divBdr>
        </w:div>
        <w:div w:id="528880742">
          <w:marLeft w:val="0"/>
          <w:marRight w:val="0"/>
          <w:marTop w:val="0"/>
          <w:marBottom w:val="0"/>
          <w:divBdr>
            <w:top w:val="none" w:sz="0" w:space="0" w:color="auto"/>
            <w:left w:val="none" w:sz="0" w:space="0" w:color="auto"/>
            <w:bottom w:val="none" w:sz="0" w:space="0" w:color="auto"/>
            <w:right w:val="none" w:sz="0" w:space="0" w:color="auto"/>
          </w:divBdr>
        </w:div>
        <w:div w:id="683942061">
          <w:marLeft w:val="0"/>
          <w:marRight w:val="0"/>
          <w:marTop w:val="0"/>
          <w:marBottom w:val="0"/>
          <w:divBdr>
            <w:top w:val="none" w:sz="0" w:space="0" w:color="auto"/>
            <w:left w:val="none" w:sz="0" w:space="0" w:color="auto"/>
            <w:bottom w:val="none" w:sz="0" w:space="0" w:color="auto"/>
            <w:right w:val="none" w:sz="0" w:space="0" w:color="auto"/>
          </w:divBdr>
        </w:div>
        <w:div w:id="737173853">
          <w:marLeft w:val="0"/>
          <w:marRight w:val="0"/>
          <w:marTop w:val="0"/>
          <w:marBottom w:val="0"/>
          <w:divBdr>
            <w:top w:val="none" w:sz="0" w:space="0" w:color="auto"/>
            <w:left w:val="none" w:sz="0" w:space="0" w:color="auto"/>
            <w:bottom w:val="none" w:sz="0" w:space="0" w:color="auto"/>
            <w:right w:val="none" w:sz="0" w:space="0" w:color="auto"/>
          </w:divBdr>
        </w:div>
        <w:div w:id="866136533">
          <w:marLeft w:val="0"/>
          <w:marRight w:val="0"/>
          <w:marTop w:val="0"/>
          <w:marBottom w:val="0"/>
          <w:divBdr>
            <w:top w:val="none" w:sz="0" w:space="0" w:color="auto"/>
            <w:left w:val="none" w:sz="0" w:space="0" w:color="auto"/>
            <w:bottom w:val="none" w:sz="0" w:space="0" w:color="auto"/>
            <w:right w:val="none" w:sz="0" w:space="0" w:color="auto"/>
          </w:divBdr>
        </w:div>
        <w:div w:id="983972340">
          <w:marLeft w:val="0"/>
          <w:marRight w:val="0"/>
          <w:marTop w:val="0"/>
          <w:marBottom w:val="0"/>
          <w:divBdr>
            <w:top w:val="none" w:sz="0" w:space="0" w:color="auto"/>
            <w:left w:val="none" w:sz="0" w:space="0" w:color="auto"/>
            <w:bottom w:val="none" w:sz="0" w:space="0" w:color="auto"/>
            <w:right w:val="none" w:sz="0" w:space="0" w:color="auto"/>
          </w:divBdr>
        </w:div>
        <w:div w:id="1056204401">
          <w:marLeft w:val="0"/>
          <w:marRight w:val="0"/>
          <w:marTop w:val="0"/>
          <w:marBottom w:val="0"/>
          <w:divBdr>
            <w:top w:val="none" w:sz="0" w:space="0" w:color="auto"/>
            <w:left w:val="none" w:sz="0" w:space="0" w:color="auto"/>
            <w:bottom w:val="none" w:sz="0" w:space="0" w:color="auto"/>
            <w:right w:val="none" w:sz="0" w:space="0" w:color="auto"/>
          </w:divBdr>
        </w:div>
        <w:div w:id="1115758201">
          <w:marLeft w:val="0"/>
          <w:marRight w:val="0"/>
          <w:marTop w:val="0"/>
          <w:marBottom w:val="0"/>
          <w:divBdr>
            <w:top w:val="none" w:sz="0" w:space="0" w:color="auto"/>
            <w:left w:val="none" w:sz="0" w:space="0" w:color="auto"/>
            <w:bottom w:val="none" w:sz="0" w:space="0" w:color="auto"/>
            <w:right w:val="none" w:sz="0" w:space="0" w:color="auto"/>
          </w:divBdr>
        </w:div>
        <w:div w:id="1803108361">
          <w:marLeft w:val="0"/>
          <w:marRight w:val="0"/>
          <w:marTop w:val="0"/>
          <w:marBottom w:val="0"/>
          <w:divBdr>
            <w:top w:val="none" w:sz="0" w:space="0" w:color="auto"/>
            <w:left w:val="none" w:sz="0" w:space="0" w:color="auto"/>
            <w:bottom w:val="none" w:sz="0" w:space="0" w:color="auto"/>
            <w:right w:val="none" w:sz="0" w:space="0" w:color="auto"/>
          </w:divBdr>
        </w:div>
        <w:div w:id="1885679019">
          <w:marLeft w:val="0"/>
          <w:marRight w:val="0"/>
          <w:marTop w:val="0"/>
          <w:marBottom w:val="0"/>
          <w:divBdr>
            <w:top w:val="none" w:sz="0" w:space="0" w:color="auto"/>
            <w:left w:val="none" w:sz="0" w:space="0" w:color="auto"/>
            <w:bottom w:val="none" w:sz="0" w:space="0" w:color="auto"/>
            <w:right w:val="none" w:sz="0" w:space="0" w:color="auto"/>
          </w:divBdr>
        </w:div>
        <w:div w:id="1931351455">
          <w:marLeft w:val="0"/>
          <w:marRight w:val="0"/>
          <w:marTop w:val="0"/>
          <w:marBottom w:val="0"/>
          <w:divBdr>
            <w:top w:val="none" w:sz="0" w:space="0" w:color="auto"/>
            <w:left w:val="none" w:sz="0" w:space="0" w:color="auto"/>
            <w:bottom w:val="none" w:sz="0" w:space="0" w:color="auto"/>
            <w:right w:val="none" w:sz="0" w:space="0" w:color="auto"/>
          </w:divBdr>
        </w:div>
        <w:div w:id="2097246938">
          <w:marLeft w:val="0"/>
          <w:marRight w:val="0"/>
          <w:marTop w:val="0"/>
          <w:marBottom w:val="0"/>
          <w:divBdr>
            <w:top w:val="none" w:sz="0" w:space="0" w:color="auto"/>
            <w:left w:val="none" w:sz="0" w:space="0" w:color="auto"/>
            <w:bottom w:val="none" w:sz="0" w:space="0" w:color="auto"/>
            <w:right w:val="none" w:sz="0" w:space="0" w:color="auto"/>
          </w:divBdr>
        </w:div>
      </w:divsChild>
    </w:div>
    <w:div w:id="1519082914">
      <w:bodyDiv w:val="1"/>
      <w:marLeft w:val="0"/>
      <w:marRight w:val="0"/>
      <w:marTop w:val="0"/>
      <w:marBottom w:val="0"/>
      <w:divBdr>
        <w:top w:val="none" w:sz="0" w:space="0" w:color="auto"/>
        <w:left w:val="none" w:sz="0" w:space="0" w:color="auto"/>
        <w:bottom w:val="none" w:sz="0" w:space="0" w:color="auto"/>
        <w:right w:val="none" w:sz="0" w:space="0" w:color="auto"/>
      </w:divBdr>
    </w:div>
    <w:div w:id="1531533462">
      <w:bodyDiv w:val="1"/>
      <w:marLeft w:val="0"/>
      <w:marRight w:val="0"/>
      <w:marTop w:val="0"/>
      <w:marBottom w:val="0"/>
      <w:divBdr>
        <w:top w:val="none" w:sz="0" w:space="0" w:color="auto"/>
        <w:left w:val="none" w:sz="0" w:space="0" w:color="auto"/>
        <w:bottom w:val="none" w:sz="0" w:space="0" w:color="auto"/>
        <w:right w:val="none" w:sz="0" w:space="0" w:color="auto"/>
      </w:divBdr>
      <w:divsChild>
        <w:div w:id="951476060">
          <w:marLeft w:val="0"/>
          <w:marRight w:val="0"/>
          <w:marTop w:val="0"/>
          <w:marBottom w:val="0"/>
          <w:divBdr>
            <w:top w:val="none" w:sz="0" w:space="0" w:color="auto"/>
            <w:left w:val="none" w:sz="0" w:space="0" w:color="auto"/>
            <w:bottom w:val="none" w:sz="0" w:space="0" w:color="auto"/>
            <w:right w:val="none" w:sz="0" w:space="0" w:color="auto"/>
          </w:divBdr>
          <w:divsChild>
            <w:div w:id="43910001">
              <w:marLeft w:val="0"/>
              <w:marRight w:val="0"/>
              <w:marTop w:val="0"/>
              <w:marBottom w:val="0"/>
              <w:divBdr>
                <w:top w:val="none" w:sz="0" w:space="0" w:color="auto"/>
                <w:left w:val="none" w:sz="0" w:space="0" w:color="auto"/>
                <w:bottom w:val="none" w:sz="0" w:space="0" w:color="auto"/>
                <w:right w:val="none" w:sz="0" w:space="0" w:color="auto"/>
              </w:divBdr>
            </w:div>
            <w:div w:id="94175752">
              <w:marLeft w:val="0"/>
              <w:marRight w:val="0"/>
              <w:marTop w:val="0"/>
              <w:marBottom w:val="0"/>
              <w:divBdr>
                <w:top w:val="none" w:sz="0" w:space="0" w:color="auto"/>
                <w:left w:val="none" w:sz="0" w:space="0" w:color="auto"/>
                <w:bottom w:val="none" w:sz="0" w:space="0" w:color="auto"/>
                <w:right w:val="none" w:sz="0" w:space="0" w:color="auto"/>
              </w:divBdr>
            </w:div>
            <w:div w:id="251547893">
              <w:marLeft w:val="0"/>
              <w:marRight w:val="0"/>
              <w:marTop w:val="0"/>
              <w:marBottom w:val="0"/>
              <w:divBdr>
                <w:top w:val="none" w:sz="0" w:space="0" w:color="auto"/>
                <w:left w:val="none" w:sz="0" w:space="0" w:color="auto"/>
                <w:bottom w:val="none" w:sz="0" w:space="0" w:color="auto"/>
                <w:right w:val="none" w:sz="0" w:space="0" w:color="auto"/>
              </w:divBdr>
            </w:div>
            <w:div w:id="272053730">
              <w:marLeft w:val="0"/>
              <w:marRight w:val="0"/>
              <w:marTop w:val="0"/>
              <w:marBottom w:val="0"/>
              <w:divBdr>
                <w:top w:val="none" w:sz="0" w:space="0" w:color="auto"/>
                <w:left w:val="none" w:sz="0" w:space="0" w:color="auto"/>
                <w:bottom w:val="none" w:sz="0" w:space="0" w:color="auto"/>
                <w:right w:val="none" w:sz="0" w:space="0" w:color="auto"/>
              </w:divBdr>
            </w:div>
            <w:div w:id="775828886">
              <w:marLeft w:val="0"/>
              <w:marRight w:val="0"/>
              <w:marTop w:val="0"/>
              <w:marBottom w:val="0"/>
              <w:divBdr>
                <w:top w:val="none" w:sz="0" w:space="0" w:color="auto"/>
                <w:left w:val="none" w:sz="0" w:space="0" w:color="auto"/>
                <w:bottom w:val="none" w:sz="0" w:space="0" w:color="auto"/>
                <w:right w:val="none" w:sz="0" w:space="0" w:color="auto"/>
              </w:divBdr>
            </w:div>
            <w:div w:id="1009529909">
              <w:marLeft w:val="0"/>
              <w:marRight w:val="0"/>
              <w:marTop w:val="0"/>
              <w:marBottom w:val="0"/>
              <w:divBdr>
                <w:top w:val="none" w:sz="0" w:space="0" w:color="auto"/>
                <w:left w:val="none" w:sz="0" w:space="0" w:color="auto"/>
                <w:bottom w:val="none" w:sz="0" w:space="0" w:color="auto"/>
                <w:right w:val="none" w:sz="0" w:space="0" w:color="auto"/>
              </w:divBdr>
            </w:div>
            <w:div w:id="1103913500">
              <w:marLeft w:val="0"/>
              <w:marRight w:val="0"/>
              <w:marTop w:val="0"/>
              <w:marBottom w:val="0"/>
              <w:divBdr>
                <w:top w:val="none" w:sz="0" w:space="0" w:color="auto"/>
                <w:left w:val="none" w:sz="0" w:space="0" w:color="auto"/>
                <w:bottom w:val="none" w:sz="0" w:space="0" w:color="auto"/>
                <w:right w:val="none" w:sz="0" w:space="0" w:color="auto"/>
              </w:divBdr>
            </w:div>
            <w:div w:id="1136947217">
              <w:marLeft w:val="0"/>
              <w:marRight w:val="0"/>
              <w:marTop w:val="0"/>
              <w:marBottom w:val="0"/>
              <w:divBdr>
                <w:top w:val="none" w:sz="0" w:space="0" w:color="auto"/>
                <w:left w:val="none" w:sz="0" w:space="0" w:color="auto"/>
                <w:bottom w:val="none" w:sz="0" w:space="0" w:color="auto"/>
                <w:right w:val="none" w:sz="0" w:space="0" w:color="auto"/>
              </w:divBdr>
            </w:div>
            <w:div w:id="1251083638">
              <w:marLeft w:val="0"/>
              <w:marRight w:val="0"/>
              <w:marTop w:val="0"/>
              <w:marBottom w:val="0"/>
              <w:divBdr>
                <w:top w:val="none" w:sz="0" w:space="0" w:color="auto"/>
                <w:left w:val="none" w:sz="0" w:space="0" w:color="auto"/>
                <w:bottom w:val="none" w:sz="0" w:space="0" w:color="auto"/>
                <w:right w:val="none" w:sz="0" w:space="0" w:color="auto"/>
              </w:divBdr>
            </w:div>
            <w:div w:id="1286496746">
              <w:marLeft w:val="0"/>
              <w:marRight w:val="0"/>
              <w:marTop w:val="0"/>
              <w:marBottom w:val="0"/>
              <w:divBdr>
                <w:top w:val="none" w:sz="0" w:space="0" w:color="auto"/>
                <w:left w:val="none" w:sz="0" w:space="0" w:color="auto"/>
                <w:bottom w:val="none" w:sz="0" w:space="0" w:color="auto"/>
                <w:right w:val="none" w:sz="0" w:space="0" w:color="auto"/>
              </w:divBdr>
            </w:div>
            <w:div w:id="1396467764">
              <w:marLeft w:val="0"/>
              <w:marRight w:val="0"/>
              <w:marTop w:val="0"/>
              <w:marBottom w:val="0"/>
              <w:divBdr>
                <w:top w:val="none" w:sz="0" w:space="0" w:color="auto"/>
                <w:left w:val="none" w:sz="0" w:space="0" w:color="auto"/>
                <w:bottom w:val="none" w:sz="0" w:space="0" w:color="auto"/>
                <w:right w:val="none" w:sz="0" w:space="0" w:color="auto"/>
              </w:divBdr>
            </w:div>
            <w:div w:id="1587375035">
              <w:marLeft w:val="0"/>
              <w:marRight w:val="0"/>
              <w:marTop w:val="0"/>
              <w:marBottom w:val="0"/>
              <w:divBdr>
                <w:top w:val="none" w:sz="0" w:space="0" w:color="auto"/>
                <w:left w:val="none" w:sz="0" w:space="0" w:color="auto"/>
                <w:bottom w:val="none" w:sz="0" w:space="0" w:color="auto"/>
                <w:right w:val="none" w:sz="0" w:space="0" w:color="auto"/>
              </w:divBdr>
            </w:div>
            <w:div w:id="1601331027">
              <w:marLeft w:val="0"/>
              <w:marRight w:val="0"/>
              <w:marTop w:val="0"/>
              <w:marBottom w:val="0"/>
              <w:divBdr>
                <w:top w:val="none" w:sz="0" w:space="0" w:color="auto"/>
                <w:left w:val="none" w:sz="0" w:space="0" w:color="auto"/>
                <w:bottom w:val="none" w:sz="0" w:space="0" w:color="auto"/>
                <w:right w:val="none" w:sz="0" w:space="0" w:color="auto"/>
              </w:divBdr>
            </w:div>
            <w:div w:id="1721782650">
              <w:marLeft w:val="0"/>
              <w:marRight w:val="0"/>
              <w:marTop w:val="0"/>
              <w:marBottom w:val="0"/>
              <w:divBdr>
                <w:top w:val="none" w:sz="0" w:space="0" w:color="auto"/>
                <w:left w:val="none" w:sz="0" w:space="0" w:color="auto"/>
                <w:bottom w:val="none" w:sz="0" w:space="0" w:color="auto"/>
                <w:right w:val="none" w:sz="0" w:space="0" w:color="auto"/>
              </w:divBdr>
            </w:div>
            <w:div w:id="1760174789">
              <w:marLeft w:val="0"/>
              <w:marRight w:val="0"/>
              <w:marTop w:val="0"/>
              <w:marBottom w:val="0"/>
              <w:divBdr>
                <w:top w:val="none" w:sz="0" w:space="0" w:color="auto"/>
                <w:left w:val="none" w:sz="0" w:space="0" w:color="auto"/>
                <w:bottom w:val="none" w:sz="0" w:space="0" w:color="auto"/>
                <w:right w:val="none" w:sz="0" w:space="0" w:color="auto"/>
              </w:divBdr>
            </w:div>
            <w:div w:id="1839072341">
              <w:marLeft w:val="0"/>
              <w:marRight w:val="0"/>
              <w:marTop w:val="0"/>
              <w:marBottom w:val="0"/>
              <w:divBdr>
                <w:top w:val="none" w:sz="0" w:space="0" w:color="auto"/>
                <w:left w:val="none" w:sz="0" w:space="0" w:color="auto"/>
                <w:bottom w:val="none" w:sz="0" w:space="0" w:color="auto"/>
                <w:right w:val="none" w:sz="0" w:space="0" w:color="auto"/>
              </w:divBdr>
            </w:div>
            <w:div w:id="2132238217">
              <w:marLeft w:val="0"/>
              <w:marRight w:val="0"/>
              <w:marTop w:val="0"/>
              <w:marBottom w:val="0"/>
              <w:divBdr>
                <w:top w:val="none" w:sz="0" w:space="0" w:color="auto"/>
                <w:left w:val="none" w:sz="0" w:space="0" w:color="auto"/>
                <w:bottom w:val="none" w:sz="0" w:space="0" w:color="auto"/>
                <w:right w:val="none" w:sz="0" w:space="0" w:color="auto"/>
              </w:divBdr>
            </w:div>
          </w:divsChild>
        </w:div>
        <w:div w:id="1025908844">
          <w:marLeft w:val="0"/>
          <w:marRight w:val="0"/>
          <w:marTop w:val="0"/>
          <w:marBottom w:val="0"/>
          <w:divBdr>
            <w:top w:val="none" w:sz="0" w:space="0" w:color="auto"/>
            <w:left w:val="none" w:sz="0" w:space="0" w:color="auto"/>
            <w:bottom w:val="none" w:sz="0" w:space="0" w:color="auto"/>
            <w:right w:val="none" w:sz="0" w:space="0" w:color="auto"/>
          </w:divBdr>
          <w:divsChild>
            <w:div w:id="61224889">
              <w:marLeft w:val="0"/>
              <w:marRight w:val="0"/>
              <w:marTop w:val="0"/>
              <w:marBottom w:val="0"/>
              <w:divBdr>
                <w:top w:val="none" w:sz="0" w:space="0" w:color="auto"/>
                <w:left w:val="none" w:sz="0" w:space="0" w:color="auto"/>
                <w:bottom w:val="none" w:sz="0" w:space="0" w:color="auto"/>
                <w:right w:val="none" w:sz="0" w:space="0" w:color="auto"/>
              </w:divBdr>
            </w:div>
            <w:div w:id="143813121">
              <w:marLeft w:val="0"/>
              <w:marRight w:val="0"/>
              <w:marTop w:val="0"/>
              <w:marBottom w:val="0"/>
              <w:divBdr>
                <w:top w:val="none" w:sz="0" w:space="0" w:color="auto"/>
                <w:left w:val="none" w:sz="0" w:space="0" w:color="auto"/>
                <w:bottom w:val="none" w:sz="0" w:space="0" w:color="auto"/>
                <w:right w:val="none" w:sz="0" w:space="0" w:color="auto"/>
              </w:divBdr>
            </w:div>
            <w:div w:id="155390654">
              <w:marLeft w:val="0"/>
              <w:marRight w:val="0"/>
              <w:marTop w:val="0"/>
              <w:marBottom w:val="0"/>
              <w:divBdr>
                <w:top w:val="none" w:sz="0" w:space="0" w:color="auto"/>
                <w:left w:val="none" w:sz="0" w:space="0" w:color="auto"/>
                <w:bottom w:val="none" w:sz="0" w:space="0" w:color="auto"/>
                <w:right w:val="none" w:sz="0" w:space="0" w:color="auto"/>
              </w:divBdr>
            </w:div>
            <w:div w:id="1248685512">
              <w:marLeft w:val="0"/>
              <w:marRight w:val="0"/>
              <w:marTop w:val="0"/>
              <w:marBottom w:val="0"/>
              <w:divBdr>
                <w:top w:val="none" w:sz="0" w:space="0" w:color="auto"/>
                <w:left w:val="none" w:sz="0" w:space="0" w:color="auto"/>
                <w:bottom w:val="none" w:sz="0" w:space="0" w:color="auto"/>
                <w:right w:val="none" w:sz="0" w:space="0" w:color="auto"/>
              </w:divBdr>
            </w:div>
            <w:div w:id="1899852103">
              <w:marLeft w:val="0"/>
              <w:marRight w:val="0"/>
              <w:marTop w:val="0"/>
              <w:marBottom w:val="0"/>
              <w:divBdr>
                <w:top w:val="none" w:sz="0" w:space="0" w:color="auto"/>
                <w:left w:val="none" w:sz="0" w:space="0" w:color="auto"/>
                <w:bottom w:val="none" w:sz="0" w:space="0" w:color="auto"/>
                <w:right w:val="none" w:sz="0" w:space="0" w:color="auto"/>
              </w:divBdr>
            </w:div>
            <w:div w:id="2080324085">
              <w:marLeft w:val="0"/>
              <w:marRight w:val="0"/>
              <w:marTop w:val="0"/>
              <w:marBottom w:val="0"/>
              <w:divBdr>
                <w:top w:val="none" w:sz="0" w:space="0" w:color="auto"/>
                <w:left w:val="none" w:sz="0" w:space="0" w:color="auto"/>
                <w:bottom w:val="none" w:sz="0" w:space="0" w:color="auto"/>
                <w:right w:val="none" w:sz="0" w:space="0" w:color="auto"/>
              </w:divBdr>
            </w:div>
          </w:divsChild>
        </w:div>
        <w:div w:id="1028064577">
          <w:marLeft w:val="0"/>
          <w:marRight w:val="0"/>
          <w:marTop w:val="0"/>
          <w:marBottom w:val="0"/>
          <w:divBdr>
            <w:top w:val="none" w:sz="0" w:space="0" w:color="auto"/>
            <w:left w:val="none" w:sz="0" w:space="0" w:color="auto"/>
            <w:bottom w:val="none" w:sz="0" w:space="0" w:color="auto"/>
            <w:right w:val="none" w:sz="0" w:space="0" w:color="auto"/>
          </w:divBdr>
          <w:divsChild>
            <w:div w:id="2631745">
              <w:marLeft w:val="0"/>
              <w:marRight w:val="0"/>
              <w:marTop w:val="0"/>
              <w:marBottom w:val="0"/>
              <w:divBdr>
                <w:top w:val="none" w:sz="0" w:space="0" w:color="auto"/>
                <w:left w:val="none" w:sz="0" w:space="0" w:color="auto"/>
                <w:bottom w:val="none" w:sz="0" w:space="0" w:color="auto"/>
                <w:right w:val="none" w:sz="0" w:space="0" w:color="auto"/>
              </w:divBdr>
            </w:div>
            <w:div w:id="119613541">
              <w:marLeft w:val="0"/>
              <w:marRight w:val="0"/>
              <w:marTop w:val="0"/>
              <w:marBottom w:val="0"/>
              <w:divBdr>
                <w:top w:val="none" w:sz="0" w:space="0" w:color="auto"/>
                <w:left w:val="none" w:sz="0" w:space="0" w:color="auto"/>
                <w:bottom w:val="none" w:sz="0" w:space="0" w:color="auto"/>
                <w:right w:val="none" w:sz="0" w:space="0" w:color="auto"/>
              </w:divBdr>
            </w:div>
            <w:div w:id="193814995">
              <w:marLeft w:val="0"/>
              <w:marRight w:val="0"/>
              <w:marTop w:val="0"/>
              <w:marBottom w:val="0"/>
              <w:divBdr>
                <w:top w:val="none" w:sz="0" w:space="0" w:color="auto"/>
                <w:left w:val="none" w:sz="0" w:space="0" w:color="auto"/>
                <w:bottom w:val="none" w:sz="0" w:space="0" w:color="auto"/>
                <w:right w:val="none" w:sz="0" w:space="0" w:color="auto"/>
              </w:divBdr>
            </w:div>
            <w:div w:id="307245057">
              <w:marLeft w:val="0"/>
              <w:marRight w:val="0"/>
              <w:marTop w:val="0"/>
              <w:marBottom w:val="0"/>
              <w:divBdr>
                <w:top w:val="none" w:sz="0" w:space="0" w:color="auto"/>
                <w:left w:val="none" w:sz="0" w:space="0" w:color="auto"/>
                <w:bottom w:val="none" w:sz="0" w:space="0" w:color="auto"/>
                <w:right w:val="none" w:sz="0" w:space="0" w:color="auto"/>
              </w:divBdr>
            </w:div>
            <w:div w:id="469177058">
              <w:marLeft w:val="0"/>
              <w:marRight w:val="0"/>
              <w:marTop w:val="0"/>
              <w:marBottom w:val="0"/>
              <w:divBdr>
                <w:top w:val="none" w:sz="0" w:space="0" w:color="auto"/>
                <w:left w:val="none" w:sz="0" w:space="0" w:color="auto"/>
                <w:bottom w:val="none" w:sz="0" w:space="0" w:color="auto"/>
                <w:right w:val="none" w:sz="0" w:space="0" w:color="auto"/>
              </w:divBdr>
            </w:div>
            <w:div w:id="627901220">
              <w:marLeft w:val="0"/>
              <w:marRight w:val="0"/>
              <w:marTop w:val="0"/>
              <w:marBottom w:val="0"/>
              <w:divBdr>
                <w:top w:val="none" w:sz="0" w:space="0" w:color="auto"/>
                <w:left w:val="none" w:sz="0" w:space="0" w:color="auto"/>
                <w:bottom w:val="none" w:sz="0" w:space="0" w:color="auto"/>
                <w:right w:val="none" w:sz="0" w:space="0" w:color="auto"/>
              </w:divBdr>
            </w:div>
            <w:div w:id="635527883">
              <w:marLeft w:val="0"/>
              <w:marRight w:val="0"/>
              <w:marTop w:val="0"/>
              <w:marBottom w:val="0"/>
              <w:divBdr>
                <w:top w:val="none" w:sz="0" w:space="0" w:color="auto"/>
                <w:left w:val="none" w:sz="0" w:space="0" w:color="auto"/>
                <w:bottom w:val="none" w:sz="0" w:space="0" w:color="auto"/>
                <w:right w:val="none" w:sz="0" w:space="0" w:color="auto"/>
              </w:divBdr>
            </w:div>
            <w:div w:id="687221910">
              <w:marLeft w:val="0"/>
              <w:marRight w:val="0"/>
              <w:marTop w:val="0"/>
              <w:marBottom w:val="0"/>
              <w:divBdr>
                <w:top w:val="none" w:sz="0" w:space="0" w:color="auto"/>
                <w:left w:val="none" w:sz="0" w:space="0" w:color="auto"/>
                <w:bottom w:val="none" w:sz="0" w:space="0" w:color="auto"/>
                <w:right w:val="none" w:sz="0" w:space="0" w:color="auto"/>
              </w:divBdr>
            </w:div>
            <w:div w:id="1020665513">
              <w:marLeft w:val="0"/>
              <w:marRight w:val="0"/>
              <w:marTop w:val="0"/>
              <w:marBottom w:val="0"/>
              <w:divBdr>
                <w:top w:val="none" w:sz="0" w:space="0" w:color="auto"/>
                <w:left w:val="none" w:sz="0" w:space="0" w:color="auto"/>
                <w:bottom w:val="none" w:sz="0" w:space="0" w:color="auto"/>
                <w:right w:val="none" w:sz="0" w:space="0" w:color="auto"/>
              </w:divBdr>
            </w:div>
            <w:div w:id="1099790846">
              <w:marLeft w:val="0"/>
              <w:marRight w:val="0"/>
              <w:marTop w:val="0"/>
              <w:marBottom w:val="0"/>
              <w:divBdr>
                <w:top w:val="none" w:sz="0" w:space="0" w:color="auto"/>
                <w:left w:val="none" w:sz="0" w:space="0" w:color="auto"/>
                <w:bottom w:val="none" w:sz="0" w:space="0" w:color="auto"/>
                <w:right w:val="none" w:sz="0" w:space="0" w:color="auto"/>
              </w:divBdr>
            </w:div>
            <w:div w:id="1333142786">
              <w:marLeft w:val="0"/>
              <w:marRight w:val="0"/>
              <w:marTop w:val="0"/>
              <w:marBottom w:val="0"/>
              <w:divBdr>
                <w:top w:val="none" w:sz="0" w:space="0" w:color="auto"/>
                <w:left w:val="none" w:sz="0" w:space="0" w:color="auto"/>
                <w:bottom w:val="none" w:sz="0" w:space="0" w:color="auto"/>
                <w:right w:val="none" w:sz="0" w:space="0" w:color="auto"/>
              </w:divBdr>
            </w:div>
            <w:div w:id="1377895971">
              <w:marLeft w:val="0"/>
              <w:marRight w:val="0"/>
              <w:marTop w:val="0"/>
              <w:marBottom w:val="0"/>
              <w:divBdr>
                <w:top w:val="none" w:sz="0" w:space="0" w:color="auto"/>
                <w:left w:val="none" w:sz="0" w:space="0" w:color="auto"/>
                <w:bottom w:val="none" w:sz="0" w:space="0" w:color="auto"/>
                <w:right w:val="none" w:sz="0" w:space="0" w:color="auto"/>
              </w:divBdr>
            </w:div>
            <w:div w:id="1387141403">
              <w:marLeft w:val="0"/>
              <w:marRight w:val="0"/>
              <w:marTop w:val="0"/>
              <w:marBottom w:val="0"/>
              <w:divBdr>
                <w:top w:val="none" w:sz="0" w:space="0" w:color="auto"/>
                <w:left w:val="none" w:sz="0" w:space="0" w:color="auto"/>
                <w:bottom w:val="none" w:sz="0" w:space="0" w:color="auto"/>
                <w:right w:val="none" w:sz="0" w:space="0" w:color="auto"/>
              </w:divBdr>
            </w:div>
            <w:div w:id="1448312565">
              <w:marLeft w:val="0"/>
              <w:marRight w:val="0"/>
              <w:marTop w:val="0"/>
              <w:marBottom w:val="0"/>
              <w:divBdr>
                <w:top w:val="none" w:sz="0" w:space="0" w:color="auto"/>
                <w:left w:val="none" w:sz="0" w:space="0" w:color="auto"/>
                <w:bottom w:val="none" w:sz="0" w:space="0" w:color="auto"/>
                <w:right w:val="none" w:sz="0" w:space="0" w:color="auto"/>
              </w:divBdr>
            </w:div>
            <w:div w:id="1515341302">
              <w:marLeft w:val="0"/>
              <w:marRight w:val="0"/>
              <w:marTop w:val="0"/>
              <w:marBottom w:val="0"/>
              <w:divBdr>
                <w:top w:val="none" w:sz="0" w:space="0" w:color="auto"/>
                <w:left w:val="none" w:sz="0" w:space="0" w:color="auto"/>
                <w:bottom w:val="none" w:sz="0" w:space="0" w:color="auto"/>
                <w:right w:val="none" w:sz="0" w:space="0" w:color="auto"/>
              </w:divBdr>
            </w:div>
            <w:div w:id="1519274359">
              <w:marLeft w:val="0"/>
              <w:marRight w:val="0"/>
              <w:marTop w:val="0"/>
              <w:marBottom w:val="0"/>
              <w:divBdr>
                <w:top w:val="none" w:sz="0" w:space="0" w:color="auto"/>
                <w:left w:val="none" w:sz="0" w:space="0" w:color="auto"/>
                <w:bottom w:val="none" w:sz="0" w:space="0" w:color="auto"/>
                <w:right w:val="none" w:sz="0" w:space="0" w:color="auto"/>
              </w:divBdr>
            </w:div>
            <w:div w:id="1861384550">
              <w:marLeft w:val="0"/>
              <w:marRight w:val="0"/>
              <w:marTop w:val="0"/>
              <w:marBottom w:val="0"/>
              <w:divBdr>
                <w:top w:val="none" w:sz="0" w:space="0" w:color="auto"/>
                <w:left w:val="none" w:sz="0" w:space="0" w:color="auto"/>
                <w:bottom w:val="none" w:sz="0" w:space="0" w:color="auto"/>
                <w:right w:val="none" w:sz="0" w:space="0" w:color="auto"/>
              </w:divBdr>
            </w:div>
            <w:div w:id="1927153112">
              <w:marLeft w:val="0"/>
              <w:marRight w:val="0"/>
              <w:marTop w:val="0"/>
              <w:marBottom w:val="0"/>
              <w:divBdr>
                <w:top w:val="none" w:sz="0" w:space="0" w:color="auto"/>
                <w:left w:val="none" w:sz="0" w:space="0" w:color="auto"/>
                <w:bottom w:val="none" w:sz="0" w:space="0" w:color="auto"/>
                <w:right w:val="none" w:sz="0" w:space="0" w:color="auto"/>
              </w:divBdr>
            </w:div>
            <w:div w:id="2123255694">
              <w:marLeft w:val="0"/>
              <w:marRight w:val="0"/>
              <w:marTop w:val="0"/>
              <w:marBottom w:val="0"/>
              <w:divBdr>
                <w:top w:val="none" w:sz="0" w:space="0" w:color="auto"/>
                <w:left w:val="none" w:sz="0" w:space="0" w:color="auto"/>
                <w:bottom w:val="none" w:sz="0" w:space="0" w:color="auto"/>
                <w:right w:val="none" w:sz="0" w:space="0" w:color="auto"/>
              </w:divBdr>
            </w:div>
            <w:div w:id="212966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87072">
      <w:bodyDiv w:val="1"/>
      <w:marLeft w:val="0"/>
      <w:marRight w:val="0"/>
      <w:marTop w:val="0"/>
      <w:marBottom w:val="0"/>
      <w:divBdr>
        <w:top w:val="none" w:sz="0" w:space="0" w:color="auto"/>
        <w:left w:val="none" w:sz="0" w:space="0" w:color="auto"/>
        <w:bottom w:val="none" w:sz="0" w:space="0" w:color="auto"/>
        <w:right w:val="none" w:sz="0" w:space="0" w:color="auto"/>
      </w:divBdr>
    </w:div>
    <w:div w:id="1586913837">
      <w:bodyDiv w:val="1"/>
      <w:marLeft w:val="0"/>
      <w:marRight w:val="0"/>
      <w:marTop w:val="0"/>
      <w:marBottom w:val="0"/>
      <w:divBdr>
        <w:top w:val="none" w:sz="0" w:space="0" w:color="auto"/>
        <w:left w:val="none" w:sz="0" w:space="0" w:color="auto"/>
        <w:bottom w:val="none" w:sz="0" w:space="0" w:color="auto"/>
        <w:right w:val="none" w:sz="0" w:space="0" w:color="auto"/>
      </w:divBdr>
    </w:div>
    <w:div w:id="1646812279">
      <w:bodyDiv w:val="1"/>
      <w:marLeft w:val="0"/>
      <w:marRight w:val="0"/>
      <w:marTop w:val="0"/>
      <w:marBottom w:val="0"/>
      <w:divBdr>
        <w:top w:val="none" w:sz="0" w:space="0" w:color="auto"/>
        <w:left w:val="none" w:sz="0" w:space="0" w:color="auto"/>
        <w:bottom w:val="none" w:sz="0" w:space="0" w:color="auto"/>
        <w:right w:val="none" w:sz="0" w:space="0" w:color="auto"/>
      </w:divBdr>
    </w:div>
    <w:div w:id="1660890658">
      <w:bodyDiv w:val="1"/>
      <w:marLeft w:val="0"/>
      <w:marRight w:val="0"/>
      <w:marTop w:val="0"/>
      <w:marBottom w:val="0"/>
      <w:divBdr>
        <w:top w:val="none" w:sz="0" w:space="0" w:color="auto"/>
        <w:left w:val="none" w:sz="0" w:space="0" w:color="auto"/>
        <w:bottom w:val="none" w:sz="0" w:space="0" w:color="auto"/>
        <w:right w:val="none" w:sz="0" w:space="0" w:color="auto"/>
      </w:divBdr>
    </w:div>
    <w:div w:id="1708946911">
      <w:bodyDiv w:val="1"/>
      <w:marLeft w:val="0"/>
      <w:marRight w:val="0"/>
      <w:marTop w:val="0"/>
      <w:marBottom w:val="0"/>
      <w:divBdr>
        <w:top w:val="none" w:sz="0" w:space="0" w:color="auto"/>
        <w:left w:val="none" w:sz="0" w:space="0" w:color="auto"/>
        <w:bottom w:val="none" w:sz="0" w:space="0" w:color="auto"/>
        <w:right w:val="none" w:sz="0" w:space="0" w:color="auto"/>
      </w:divBdr>
    </w:div>
    <w:div w:id="1767186611">
      <w:bodyDiv w:val="1"/>
      <w:marLeft w:val="0"/>
      <w:marRight w:val="0"/>
      <w:marTop w:val="0"/>
      <w:marBottom w:val="0"/>
      <w:divBdr>
        <w:top w:val="none" w:sz="0" w:space="0" w:color="auto"/>
        <w:left w:val="none" w:sz="0" w:space="0" w:color="auto"/>
        <w:bottom w:val="none" w:sz="0" w:space="0" w:color="auto"/>
        <w:right w:val="none" w:sz="0" w:space="0" w:color="auto"/>
      </w:divBdr>
      <w:divsChild>
        <w:div w:id="1851724544">
          <w:marLeft w:val="0"/>
          <w:marRight w:val="0"/>
          <w:marTop w:val="0"/>
          <w:marBottom w:val="0"/>
          <w:divBdr>
            <w:top w:val="none" w:sz="0" w:space="0" w:color="auto"/>
            <w:left w:val="none" w:sz="0" w:space="0" w:color="auto"/>
            <w:bottom w:val="none" w:sz="0" w:space="0" w:color="auto"/>
            <w:right w:val="none" w:sz="0" w:space="0" w:color="auto"/>
          </w:divBdr>
          <w:divsChild>
            <w:div w:id="490489492">
              <w:marLeft w:val="0"/>
              <w:marRight w:val="0"/>
              <w:marTop w:val="0"/>
              <w:marBottom w:val="0"/>
              <w:divBdr>
                <w:top w:val="none" w:sz="0" w:space="0" w:color="auto"/>
                <w:left w:val="none" w:sz="0" w:space="0" w:color="auto"/>
                <w:bottom w:val="none" w:sz="0" w:space="0" w:color="auto"/>
                <w:right w:val="none" w:sz="0" w:space="0" w:color="auto"/>
              </w:divBdr>
            </w:div>
            <w:div w:id="800153685">
              <w:marLeft w:val="0"/>
              <w:marRight w:val="0"/>
              <w:marTop w:val="0"/>
              <w:marBottom w:val="0"/>
              <w:divBdr>
                <w:top w:val="none" w:sz="0" w:space="0" w:color="auto"/>
                <w:left w:val="none" w:sz="0" w:space="0" w:color="auto"/>
                <w:bottom w:val="none" w:sz="0" w:space="0" w:color="auto"/>
                <w:right w:val="none" w:sz="0" w:space="0" w:color="auto"/>
              </w:divBdr>
            </w:div>
            <w:div w:id="824396471">
              <w:marLeft w:val="0"/>
              <w:marRight w:val="0"/>
              <w:marTop w:val="0"/>
              <w:marBottom w:val="0"/>
              <w:divBdr>
                <w:top w:val="none" w:sz="0" w:space="0" w:color="auto"/>
                <w:left w:val="none" w:sz="0" w:space="0" w:color="auto"/>
                <w:bottom w:val="none" w:sz="0" w:space="0" w:color="auto"/>
                <w:right w:val="none" w:sz="0" w:space="0" w:color="auto"/>
              </w:divBdr>
            </w:div>
            <w:div w:id="1472750453">
              <w:marLeft w:val="0"/>
              <w:marRight w:val="0"/>
              <w:marTop w:val="0"/>
              <w:marBottom w:val="0"/>
              <w:divBdr>
                <w:top w:val="none" w:sz="0" w:space="0" w:color="auto"/>
                <w:left w:val="none" w:sz="0" w:space="0" w:color="auto"/>
                <w:bottom w:val="none" w:sz="0" w:space="0" w:color="auto"/>
                <w:right w:val="none" w:sz="0" w:space="0" w:color="auto"/>
              </w:divBdr>
            </w:div>
          </w:divsChild>
        </w:div>
        <w:div w:id="1969050466">
          <w:marLeft w:val="0"/>
          <w:marRight w:val="0"/>
          <w:marTop w:val="0"/>
          <w:marBottom w:val="0"/>
          <w:divBdr>
            <w:top w:val="none" w:sz="0" w:space="0" w:color="auto"/>
            <w:left w:val="none" w:sz="0" w:space="0" w:color="auto"/>
            <w:bottom w:val="none" w:sz="0" w:space="0" w:color="auto"/>
            <w:right w:val="none" w:sz="0" w:space="0" w:color="auto"/>
          </w:divBdr>
          <w:divsChild>
            <w:div w:id="181286182">
              <w:marLeft w:val="0"/>
              <w:marRight w:val="0"/>
              <w:marTop w:val="0"/>
              <w:marBottom w:val="0"/>
              <w:divBdr>
                <w:top w:val="none" w:sz="0" w:space="0" w:color="auto"/>
                <w:left w:val="none" w:sz="0" w:space="0" w:color="auto"/>
                <w:bottom w:val="none" w:sz="0" w:space="0" w:color="auto"/>
                <w:right w:val="none" w:sz="0" w:space="0" w:color="auto"/>
              </w:divBdr>
            </w:div>
            <w:div w:id="253435768">
              <w:marLeft w:val="0"/>
              <w:marRight w:val="0"/>
              <w:marTop w:val="0"/>
              <w:marBottom w:val="0"/>
              <w:divBdr>
                <w:top w:val="none" w:sz="0" w:space="0" w:color="auto"/>
                <w:left w:val="none" w:sz="0" w:space="0" w:color="auto"/>
                <w:bottom w:val="none" w:sz="0" w:space="0" w:color="auto"/>
                <w:right w:val="none" w:sz="0" w:space="0" w:color="auto"/>
              </w:divBdr>
            </w:div>
            <w:div w:id="1524858252">
              <w:marLeft w:val="0"/>
              <w:marRight w:val="0"/>
              <w:marTop w:val="0"/>
              <w:marBottom w:val="0"/>
              <w:divBdr>
                <w:top w:val="none" w:sz="0" w:space="0" w:color="auto"/>
                <w:left w:val="none" w:sz="0" w:space="0" w:color="auto"/>
                <w:bottom w:val="none" w:sz="0" w:space="0" w:color="auto"/>
                <w:right w:val="none" w:sz="0" w:space="0" w:color="auto"/>
              </w:divBdr>
            </w:div>
            <w:div w:id="1600723042">
              <w:marLeft w:val="0"/>
              <w:marRight w:val="0"/>
              <w:marTop w:val="0"/>
              <w:marBottom w:val="0"/>
              <w:divBdr>
                <w:top w:val="none" w:sz="0" w:space="0" w:color="auto"/>
                <w:left w:val="none" w:sz="0" w:space="0" w:color="auto"/>
                <w:bottom w:val="none" w:sz="0" w:space="0" w:color="auto"/>
                <w:right w:val="none" w:sz="0" w:space="0" w:color="auto"/>
              </w:divBdr>
            </w:div>
            <w:div w:id="20393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71291">
      <w:bodyDiv w:val="1"/>
      <w:marLeft w:val="0"/>
      <w:marRight w:val="0"/>
      <w:marTop w:val="0"/>
      <w:marBottom w:val="0"/>
      <w:divBdr>
        <w:top w:val="none" w:sz="0" w:space="0" w:color="auto"/>
        <w:left w:val="none" w:sz="0" w:space="0" w:color="auto"/>
        <w:bottom w:val="none" w:sz="0" w:space="0" w:color="auto"/>
        <w:right w:val="none" w:sz="0" w:space="0" w:color="auto"/>
      </w:divBdr>
    </w:div>
    <w:div w:id="1835147124">
      <w:bodyDiv w:val="1"/>
      <w:marLeft w:val="0"/>
      <w:marRight w:val="0"/>
      <w:marTop w:val="0"/>
      <w:marBottom w:val="0"/>
      <w:divBdr>
        <w:top w:val="none" w:sz="0" w:space="0" w:color="auto"/>
        <w:left w:val="none" w:sz="0" w:space="0" w:color="auto"/>
        <w:bottom w:val="none" w:sz="0" w:space="0" w:color="auto"/>
        <w:right w:val="none" w:sz="0" w:space="0" w:color="auto"/>
      </w:divBdr>
    </w:div>
    <w:div w:id="1849127407">
      <w:bodyDiv w:val="1"/>
      <w:marLeft w:val="0"/>
      <w:marRight w:val="0"/>
      <w:marTop w:val="0"/>
      <w:marBottom w:val="0"/>
      <w:divBdr>
        <w:top w:val="none" w:sz="0" w:space="0" w:color="auto"/>
        <w:left w:val="none" w:sz="0" w:space="0" w:color="auto"/>
        <w:bottom w:val="none" w:sz="0" w:space="0" w:color="auto"/>
        <w:right w:val="none" w:sz="0" w:space="0" w:color="auto"/>
      </w:divBdr>
      <w:divsChild>
        <w:div w:id="282076729">
          <w:marLeft w:val="0"/>
          <w:marRight w:val="0"/>
          <w:marTop w:val="0"/>
          <w:marBottom w:val="0"/>
          <w:divBdr>
            <w:top w:val="none" w:sz="0" w:space="0" w:color="auto"/>
            <w:left w:val="none" w:sz="0" w:space="0" w:color="auto"/>
            <w:bottom w:val="none" w:sz="0" w:space="0" w:color="auto"/>
            <w:right w:val="none" w:sz="0" w:space="0" w:color="auto"/>
          </w:divBdr>
          <w:divsChild>
            <w:div w:id="161775089">
              <w:marLeft w:val="0"/>
              <w:marRight w:val="0"/>
              <w:marTop w:val="0"/>
              <w:marBottom w:val="0"/>
              <w:divBdr>
                <w:top w:val="none" w:sz="0" w:space="0" w:color="auto"/>
                <w:left w:val="none" w:sz="0" w:space="0" w:color="auto"/>
                <w:bottom w:val="none" w:sz="0" w:space="0" w:color="auto"/>
                <w:right w:val="none" w:sz="0" w:space="0" w:color="auto"/>
              </w:divBdr>
            </w:div>
            <w:div w:id="283730281">
              <w:marLeft w:val="0"/>
              <w:marRight w:val="0"/>
              <w:marTop w:val="0"/>
              <w:marBottom w:val="0"/>
              <w:divBdr>
                <w:top w:val="none" w:sz="0" w:space="0" w:color="auto"/>
                <w:left w:val="none" w:sz="0" w:space="0" w:color="auto"/>
                <w:bottom w:val="none" w:sz="0" w:space="0" w:color="auto"/>
                <w:right w:val="none" w:sz="0" w:space="0" w:color="auto"/>
              </w:divBdr>
            </w:div>
            <w:div w:id="400182768">
              <w:marLeft w:val="0"/>
              <w:marRight w:val="0"/>
              <w:marTop w:val="0"/>
              <w:marBottom w:val="0"/>
              <w:divBdr>
                <w:top w:val="none" w:sz="0" w:space="0" w:color="auto"/>
                <w:left w:val="none" w:sz="0" w:space="0" w:color="auto"/>
                <w:bottom w:val="none" w:sz="0" w:space="0" w:color="auto"/>
                <w:right w:val="none" w:sz="0" w:space="0" w:color="auto"/>
              </w:divBdr>
            </w:div>
            <w:div w:id="496500880">
              <w:marLeft w:val="0"/>
              <w:marRight w:val="0"/>
              <w:marTop w:val="0"/>
              <w:marBottom w:val="0"/>
              <w:divBdr>
                <w:top w:val="none" w:sz="0" w:space="0" w:color="auto"/>
                <w:left w:val="none" w:sz="0" w:space="0" w:color="auto"/>
                <w:bottom w:val="none" w:sz="0" w:space="0" w:color="auto"/>
                <w:right w:val="none" w:sz="0" w:space="0" w:color="auto"/>
              </w:divBdr>
            </w:div>
            <w:div w:id="565652090">
              <w:marLeft w:val="0"/>
              <w:marRight w:val="0"/>
              <w:marTop w:val="0"/>
              <w:marBottom w:val="0"/>
              <w:divBdr>
                <w:top w:val="none" w:sz="0" w:space="0" w:color="auto"/>
                <w:left w:val="none" w:sz="0" w:space="0" w:color="auto"/>
                <w:bottom w:val="none" w:sz="0" w:space="0" w:color="auto"/>
                <w:right w:val="none" w:sz="0" w:space="0" w:color="auto"/>
              </w:divBdr>
            </w:div>
            <w:div w:id="575869501">
              <w:marLeft w:val="0"/>
              <w:marRight w:val="0"/>
              <w:marTop w:val="0"/>
              <w:marBottom w:val="0"/>
              <w:divBdr>
                <w:top w:val="none" w:sz="0" w:space="0" w:color="auto"/>
                <w:left w:val="none" w:sz="0" w:space="0" w:color="auto"/>
                <w:bottom w:val="none" w:sz="0" w:space="0" w:color="auto"/>
                <w:right w:val="none" w:sz="0" w:space="0" w:color="auto"/>
              </w:divBdr>
            </w:div>
            <w:div w:id="692413527">
              <w:marLeft w:val="0"/>
              <w:marRight w:val="0"/>
              <w:marTop w:val="0"/>
              <w:marBottom w:val="0"/>
              <w:divBdr>
                <w:top w:val="none" w:sz="0" w:space="0" w:color="auto"/>
                <w:left w:val="none" w:sz="0" w:space="0" w:color="auto"/>
                <w:bottom w:val="none" w:sz="0" w:space="0" w:color="auto"/>
                <w:right w:val="none" w:sz="0" w:space="0" w:color="auto"/>
              </w:divBdr>
            </w:div>
            <w:div w:id="880167269">
              <w:marLeft w:val="0"/>
              <w:marRight w:val="0"/>
              <w:marTop w:val="0"/>
              <w:marBottom w:val="0"/>
              <w:divBdr>
                <w:top w:val="none" w:sz="0" w:space="0" w:color="auto"/>
                <w:left w:val="none" w:sz="0" w:space="0" w:color="auto"/>
                <w:bottom w:val="none" w:sz="0" w:space="0" w:color="auto"/>
                <w:right w:val="none" w:sz="0" w:space="0" w:color="auto"/>
              </w:divBdr>
            </w:div>
            <w:div w:id="928543089">
              <w:marLeft w:val="0"/>
              <w:marRight w:val="0"/>
              <w:marTop w:val="0"/>
              <w:marBottom w:val="0"/>
              <w:divBdr>
                <w:top w:val="none" w:sz="0" w:space="0" w:color="auto"/>
                <w:left w:val="none" w:sz="0" w:space="0" w:color="auto"/>
                <w:bottom w:val="none" w:sz="0" w:space="0" w:color="auto"/>
                <w:right w:val="none" w:sz="0" w:space="0" w:color="auto"/>
              </w:divBdr>
            </w:div>
            <w:div w:id="1157184420">
              <w:marLeft w:val="0"/>
              <w:marRight w:val="0"/>
              <w:marTop w:val="0"/>
              <w:marBottom w:val="0"/>
              <w:divBdr>
                <w:top w:val="none" w:sz="0" w:space="0" w:color="auto"/>
                <w:left w:val="none" w:sz="0" w:space="0" w:color="auto"/>
                <w:bottom w:val="none" w:sz="0" w:space="0" w:color="auto"/>
                <w:right w:val="none" w:sz="0" w:space="0" w:color="auto"/>
              </w:divBdr>
            </w:div>
            <w:div w:id="1394041100">
              <w:marLeft w:val="0"/>
              <w:marRight w:val="0"/>
              <w:marTop w:val="0"/>
              <w:marBottom w:val="0"/>
              <w:divBdr>
                <w:top w:val="none" w:sz="0" w:space="0" w:color="auto"/>
                <w:left w:val="none" w:sz="0" w:space="0" w:color="auto"/>
                <w:bottom w:val="none" w:sz="0" w:space="0" w:color="auto"/>
                <w:right w:val="none" w:sz="0" w:space="0" w:color="auto"/>
              </w:divBdr>
            </w:div>
            <w:div w:id="1880435508">
              <w:marLeft w:val="0"/>
              <w:marRight w:val="0"/>
              <w:marTop w:val="0"/>
              <w:marBottom w:val="0"/>
              <w:divBdr>
                <w:top w:val="none" w:sz="0" w:space="0" w:color="auto"/>
                <w:left w:val="none" w:sz="0" w:space="0" w:color="auto"/>
                <w:bottom w:val="none" w:sz="0" w:space="0" w:color="auto"/>
                <w:right w:val="none" w:sz="0" w:space="0" w:color="auto"/>
              </w:divBdr>
            </w:div>
            <w:div w:id="1943101434">
              <w:marLeft w:val="0"/>
              <w:marRight w:val="0"/>
              <w:marTop w:val="0"/>
              <w:marBottom w:val="0"/>
              <w:divBdr>
                <w:top w:val="none" w:sz="0" w:space="0" w:color="auto"/>
                <w:left w:val="none" w:sz="0" w:space="0" w:color="auto"/>
                <w:bottom w:val="none" w:sz="0" w:space="0" w:color="auto"/>
                <w:right w:val="none" w:sz="0" w:space="0" w:color="auto"/>
              </w:divBdr>
            </w:div>
          </w:divsChild>
        </w:div>
        <w:div w:id="1932346312">
          <w:marLeft w:val="0"/>
          <w:marRight w:val="0"/>
          <w:marTop w:val="0"/>
          <w:marBottom w:val="0"/>
          <w:divBdr>
            <w:top w:val="none" w:sz="0" w:space="0" w:color="auto"/>
            <w:left w:val="none" w:sz="0" w:space="0" w:color="auto"/>
            <w:bottom w:val="none" w:sz="0" w:space="0" w:color="auto"/>
            <w:right w:val="none" w:sz="0" w:space="0" w:color="auto"/>
          </w:divBdr>
          <w:divsChild>
            <w:div w:id="37626401">
              <w:marLeft w:val="0"/>
              <w:marRight w:val="0"/>
              <w:marTop w:val="0"/>
              <w:marBottom w:val="0"/>
              <w:divBdr>
                <w:top w:val="none" w:sz="0" w:space="0" w:color="auto"/>
                <w:left w:val="none" w:sz="0" w:space="0" w:color="auto"/>
                <w:bottom w:val="none" w:sz="0" w:space="0" w:color="auto"/>
                <w:right w:val="none" w:sz="0" w:space="0" w:color="auto"/>
              </w:divBdr>
            </w:div>
            <w:div w:id="109208281">
              <w:marLeft w:val="0"/>
              <w:marRight w:val="0"/>
              <w:marTop w:val="0"/>
              <w:marBottom w:val="0"/>
              <w:divBdr>
                <w:top w:val="none" w:sz="0" w:space="0" w:color="auto"/>
                <w:left w:val="none" w:sz="0" w:space="0" w:color="auto"/>
                <w:bottom w:val="none" w:sz="0" w:space="0" w:color="auto"/>
                <w:right w:val="none" w:sz="0" w:space="0" w:color="auto"/>
              </w:divBdr>
            </w:div>
            <w:div w:id="161165825">
              <w:marLeft w:val="0"/>
              <w:marRight w:val="0"/>
              <w:marTop w:val="0"/>
              <w:marBottom w:val="0"/>
              <w:divBdr>
                <w:top w:val="none" w:sz="0" w:space="0" w:color="auto"/>
                <w:left w:val="none" w:sz="0" w:space="0" w:color="auto"/>
                <w:bottom w:val="none" w:sz="0" w:space="0" w:color="auto"/>
                <w:right w:val="none" w:sz="0" w:space="0" w:color="auto"/>
              </w:divBdr>
            </w:div>
            <w:div w:id="161437550">
              <w:marLeft w:val="0"/>
              <w:marRight w:val="0"/>
              <w:marTop w:val="0"/>
              <w:marBottom w:val="0"/>
              <w:divBdr>
                <w:top w:val="none" w:sz="0" w:space="0" w:color="auto"/>
                <w:left w:val="none" w:sz="0" w:space="0" w:color="auto"/>
                <w:bottom w:val="none" w:sz="0" w:space="0" w:color="auto"/>
                <w:right w:val="none" w:sz="0" w:space="0" w:color="auto"/>
              </w:divBdr>
            </w:div>
            <w:div w:id="178007924">
              <w:marLeft w:val="0"/>
              <w:marRight w:val="0"/>
              <w:marTop w:val="0"/>
              <w:marBottom w:val="0"/>
              <w:divBdr>
                <w:top w:val="none" w:sz="0" w:space="0" w:color="auto"/>
                <w:left w:val="none" w:sz="0" w:space="0" w:color="auto"/>
                <w:bottom w:val="none" w:sz="0" w:space="0" w:color="auto"/>
                <w:right w:val="none" w:sz="0" w:space="0" w:color="auto"/>
              </w:divBdr>
            </w:div>
            <w:div w:id="591160636">
              <w:marLeft w:val="0"/>
              <w:marRight w:val="0"/>
              <w:marTop w:val="0"/>
              <w:marBottom w:val="0"/>
              <w:divBdr>
                <w:top w:val="none" w:sz="0" w:space="0" w:color="auto"/>
                <w:left w:val="none" w:sz="0" w:space="0" w:color="auto"/>
                <w:bottom w:val="none" w:sz="0" w:space="0" w:color="auto"/>
                <w:right w:val="none" w:sz="0" w:space="0" w:color="auto"/>
              </w:divBdr>
            </w:div>
            <w:div w:id="785851599">
              <w:marLeft w:val="0"/>
              <w:marRight w:val="0"/>
              <w:marTop w:val="0"/>
              <w:marBottom w:val="0"/>
              <w:divBdr>
                <w:top w:val="none" w:sz="0" w:space="0" w:color="auto"/>
                <w:left w:val="none" w:sz="0" w:space="0" w:color="auto"/>
                <w:bottom w:val="none" w:sz="0" w:space="0" w:color="auto"/>
                <w:right w:val="none" w:sz="0" w:space="0" w:color="auto"/>
              </w:divBdr>
            </w:div>
            <w:div w:id="839540973">
              <w:marLeft w:val="0"/>
              <w:marRight w:val="0"/>
              <w:marTop w:val="0"/>
              <w:marBottom w:val="0"/>
              <w:divBdr>
                <w:top w:val="none" w:sz="0" w:space="0" w:color="auto"/>
                <w:left w:val="none" w:sz="0" w:space="0" w:color="auto"/>
                <w:bottom w:val="none" w:sz="0" w:space="0" w:color="auto"/>
                <w:right w:val="none" w:sz="0" w:space="0" w:color="auto"/>
              </w:divBdr>
            </w:div>
            <w:div w:id="989867471">
              <w:marLeft w:val="0"/>
              <w:marRight w:val="0"/>
              <w:marTop w:val="0"/>
              <w:marBottom w:val="0"/>
              <w:divBdr>
                <w:top w:val="none" w:sz="0" w:space="0" w:color="auto"/>
                <w:left w:val="none" w:sz="0" w:space="0" w:color="auto"/>
                <w:bottom w:val="none" w:sz="0" w:space="0" w:color="auto"/>
                <w:right w:val="none" w:sz="0" w:space="0" w:color="auto"/>
              </w:divBdr>
            </w:div>
            <w:div w:id="1161507310">
              <w:marLeft w:val="0"/>
              <w:marRight w:val="0"/>
              <w:marTop w:val="0"/>
              <w:marBottom w:val="0"/>
              <w:divBdr>
                <w:top w:val="none" w:sz="0" w:space="0" w:color="auto"/>
                <w:left w:val="none" w:sz="0" w:space="0" w:color="auto"/>
                <w:bottom w:val="none" w:sz="0" w:space="0" w:color="auto"/>
                <w:right w:val="none" w:sz="0" w:space="0" w:color="auto"/>
              </w:divBdr>
            </w:div>
            <w:div w:id="1181550230">
              <w:marLeft w:val="0"/>
              <w:marRight w:val="0"/>
              <w:marTop w:val="0"/>
              <w:marBottom w:val="0"/>
              <w:divBdr>
                <w:top w:val="none" w:sz="0" w:space="0" w:color="auto"/>
                <w:left w:val="none" w:sz="0" w:space="0" w:color="auto"/>
                <w:bottom w:val="none" w:sz="0" w:space="0" w:color="auto"/>
                <w:right w:val="none" w:sz="0" w:space="0" w:color="auto"/>
              </w:divBdr>
            </w:div>
            <w:div w:id="1211530286">
              <w:marLeft w:val="0"/>
              <w:marRight w:val="0"/>
              <w:marTop w:val="0"/>
              <w:marBottom w:val="0"/>
              <w:divBdr>
                <w:top w:val="none" w:sz="0" w:space="0" w:color="auto"/>
                <w:left w:val="none" w:sz="0" w:space="0" w:color="auto"/>
                <w:bottom w:val="none" w:sz="0" w:space="0" w:color="auto"/>
                <w:right w:val="none" w:sz="0" w:space="0" w:color="auto"/>
              </w:divBdr>
            </w:div>
            <w:div w:id="1300258307">
              <w:marLeft w:val="0"/>
              <w:marRight w:val="0"/>
              <w:marTop w:val="0"/>
              <w:marBottom w:val="0"/>
              <w:divBdr>
                <w:top w:val="none" w:sz="0" w:space="0" w:color="auto"/>
                <w:left w:val="none" w:sz="0" w:space="0" w:color="auto"/>
                <w:bottom w:val="none" w:sz="0" w:space="0" w:color="auto"/>
                <w:right w:val="none" w:sz="0" w:space="0" w:color="auto"/>
              </w:divBdr>
            </w:div>
            <w:div w:id="1374882863">
              <w:marLeft w:val="0"/>
              <w:marRight w:val="0"/>
              <w:marTop w:val="0"/>
              <w:marBottom w:val="0"/>
              <w:divBdr>
                <w:top w:val="none" w:sz="0" w:space="0" w:color="auto"/>
                <w:left w:val="none" w:sz="0" w:space="0" w:color="auto"/>
                <w:bottom w:val="none" w:sz="0" w:space="0" w:color="auto"/>
                <w:right w:val="none" w:sz="0" w:space="0" w:color="auto"/>
              </w:divBdr>
            </w:div>
            <w:div w:id="1545173032">
              <w:marLeft w:val="0"/>
              <w:marRight w:val="0"/>
              <w:marTop w:val="0"/>
              <w:marBottom w:val="0"/>
              <w:divBdr>
                <w:top w:val="none" w:sz="0" w:space="0" w:color="auto"/>
                <w:left w:val="none" w:sz="0" w:space="0" w:color="auto"/>
                <w:bottom w:val="none" w:sz="0" w:space="0" w:color="auto"/>
                <w:right w:val="none" w:sz="0" w:space="0" w:color="auto"/>
              </w:divBdr>
            </w:div>
            <w:div w:id="1695227106">
              <w:marLeft w:val="0"/>
              <w:marRight w:val="0"/>
              <w:marTop w:val="0"/>
              <w:marBottom w:val="0"/>
              <w:divBdr>
                <w:top w:val="none" w:sz="0" w:space="0" w:color="auto"/>
                <w:left w:val="none" w:sz="0" w:space="0" w:color="auto"/>
                <w:bottom w:val="none" w:sz="0" w:space="0" w:color="auto"/>
                <w:right w:val="none" w:sz="0" w:space="0" w:color="auto"/>
              </w:divBdr>
            </w:div>
            <w:div w:id="1712730474">
              <w:marLeft w:val="0"/>
              <w:marRight w:val="0"/>
              <w:marTop w:val="0"/>
              <w:marBottom w:val="0"/>
              <w:divBdr>
                <w:top w:val="none" w:sz="0" w:space="0" w:color="auto"/>
                <w:left w:val="none" w:sz="0" w:space="0" w:color="auto"/>
                <w:bottom w:val="none" w:sz="0" w:space="0" w:color="auto"/>
                <w:right w:val="none" w:sz="0" w:space="0" w:color="auto"/>
              </w:divBdr>
            </w:div>
            <w:div w:id="193215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7293">
      <w:bodyDiv w:val="1"/>
      <w:marLeft w:val="0"/>
      <w:marRight w:val="0"/>
      <w:marTop w:val="0"/>
      <w:marBottom w:val="0"/>
      <w:divBdr>
        <w:top w:val="none" w:sz="0" w:space="0" w:color="auto"/>
        <w:left w:val="none" w:sz="0" w:space="0" w:color="auto"/>
        <w:bottom w:val="none" w:sz="0" w:space="0" w:color="auto"/>
        <w:right w:val="none" w:sz="0" w:space="0" w:color="auto"/>
      </w:divBdr>
    </w:div>
    <w:div w:id="2031183385">
      <w:bodyDiv w:val="1"/>
      <w:marLeft w:val="0"/>
      <w:marRight w:val="0"/>
      <w:marTop w:val="0"/>
      <w:marBottom w:val="0"/>
      <w:divBdr>
        <w:top w:val="none" w:sz="0" w:space="0" w:color="auto"/>
        <w:left w:val="none" w:sz="0" w:space="0" w:color="auto"/>
        <w:bottom w:val="none" w:sz="0" w:space="0" w:color="auto"/>
        <w:right w:val="none" w:sz="0" w:space="0" w:color="auto"/>
      </w:divBdr>
      <w:divsChild>
        <w:div w:id="662054244">
          <w:marLeft w:val="0"/>
          <w:marRight w:val="0"/>
          <w:marTop w:val="0"/>
          <w:marBottom w:val="0"/>
          <w:divBdr>
            <w:top w:val="none" w:sz="0" w:space="0" w:color="auto"/>
            <w:left w:val="none" w:sz="0" w:space="0" w:color="auto"/>
            <w:bottom w:val="none" w:sz="0" w:space="0" w:color="auto"/>
            <w:right w:val="none" w:sz="0" w:space="0" w:color="auto"/>
          </w:divBdr>
          <w:divsChild>
            <w:div w:id="54937580">
              <w:marLeft w:val="0"/>
              <w:marRight w:val="0"/>
              <w:marTop w:val="0"/>
              <w:marBottom w:val="0"/>
              <w:divBdr>
                <w:top w:val="none" w:sz="0" w:space="0" w:color="auto"/>
                <w:left w:val="none" w:sz="0" w:space="0" w:color="auto"/>
                <w:bottom w:val="none" w:sz="0" w:space="0" w:color="auto"/>
                <w:right w:val="none" w:sz="0" w:space="0" w:color="auto"/>
              </w:divBdr>
            </w:div>
            <w:div w:id="685643208">
              <w:marLeft w:val="0"/>
              <w:marRight w:val="0"/>
              <w:marTop w:val="0"/>
              <w:marBottom w:val="0"/>
              <w:divBdr>
                <w:top w:val="none" w:sz="0" w:space="0" w:color="auto"/>
                <w:left w:val="none" w:sz="0" w:space="0" w:color="auto"/>
                <w:bottom w:val="none" w:sz="0" w:space="0" w:color="auto"/>
                <w:right w:val="none" w:sz="0" w:space="0" w:color="auto"/>
              </w:divBdr>
            </w:div>
            <w:div w:id="1075519492">
              <w:marLeft w:val="0"/>
              <w:marRight w:val="0"/>
              <w:marTop w:val="0"/>
              <w:marBottom w:val="0"/>
              <w:divBdr>
                <w:top w:val="none" w:sz="0" w:space="0" w:color="auto"/>
                <w:left w:val="none" w:sz="0" w:space="0" w:color="auto"/>
                <w:bottom w:val="none" w:sz="0" w:space="0" w:color="auto"/>
                <w:right w:val="none" w:sz="0" w:space="0" w:color="auto"/>
              </w:divBdr>
            </w:div>
            <w:div w:id="1480227955">
              <w:marLeft w:val="0"/>
              <w:marRight w:val="0"/>
              <w:marTop w:val="0"/>
              <w:marBottom w:val="0"/>
              <w:divBdr>
                <w:top w:val="none" w:sz="0" w:space="0" w:color="auto"/>
                <w:left w:val="none" w:sz="0" w:space="0" w:color="auto"/>
                <w:bottom w:val="none" w:sz="0" w:space="0" w:color="auto"/>
                <w:right w:val="none" w:sz="0" w:space="0" w:color="auto"/>
              </w:divBdr>
            </w:div>
            <w:div w:id="1558125201">
              <w:marLeft w:val="0"/>
              <w:marRight w:val="0"/>
              <w:marTop w:val="0"/>
              <w:marBottom w:val="0"/>
              <w:divBdr>
                <w:top w:val="none" w:sz="0" w:space="0" w:color="auto"/>
                <w:left w:val="none" w:sz="0" w:space="0" w:color="auto"/>
                <w:bottom w:val="none" w:sz="0" w:space="0" w:color="auto"/>
                <w:right w:val="none" w:sz="0" w:space="0" w:color="auto"/>
              </w:divBdr>
            </w:div>
            <w:div w:id="2042589636">
              <w:marLeft w:val="0"/>
              <w:marRight w:val="0"/>
              <w:marTop w:val="0"/>
              <w:marBottom w:val="0"/>
              <w:divBdr>
                <w:top w:val="none" w:sz="0" w:space="0" w:color="auto"/>
                <w:left w:val="none" w:sz="0" w:space="0" w:color="auto"/>
                <w:bottom w:val="none" w:sz="0" w:space="0" w:color="auto"/>
                <w:right w:val="none" w:sz="0" w:space="0" w:color="auto"/>
              </w:divBdr>
            </w:div>
          </w:divsChild>
        </w:div>
        <w:div w:id="677579291">
          <w:marLeft w:val="0"/>
          <w:marRight w:val="0"/>
          <w:marTop w:val="0"/>
          <w:marBottom w:val="0"/>
          <w:divBdr>
            <w:top w:val="none" w:sz="0" w:space="0" w:color="auto"/>
            <w:left w:val="none" w:sz="0" w:space="0" w:color="auto"/>
            <w:bottom w:val="none" w:sz="0" w:space="0" w:color="auto"/>
            <w:right w:val="none" w:sz="0" w:space="0" w:color="auto"/>
          </w:divBdr>
          <w:divsChild>
            <w:div w:id="179469145">
              <w:marLeft w:val="0"/>
              <w:marRight w:val="0"/>
              <w:marTop w:val="0"/>
              <w:marBottom w:val="0"/>
              <w:divBdr>
                <w:top w:val="none" w:sz="0" w:space="0" w:color="auto"/>
                <w:left w:val="none" w:sz="0" w:space="0" w:color="auto"/>
                <w:bottom w:val="none" w:sz="0" w:space="0" w:color="auto"/>
                <w:right w:val="none" w:sz="0" w:space="0" w:color="auto"/>
              </w:divBdr>
            </w:div>
            <w:div w:id="202521789">
              <w:marLeft w:val="0"/>
              <w:marRight w:val="0"/>
              <w:marTop w:val="0"/>
              <w:marBottom w:val="0"/>
              <w:divBdr>
                <w:top w:val="none" w:sz="0" w:space="0" w:color="auto"/>
                <w:left w:val="none" w:sz="0" w:space="0" w:color="auto"/>
                <w:bottom w:val="none" w:sz="0" w:space="0" w:color="auto"/>
                <w:right w:val="none" w:sz="0" w:space="0" w:color="auto"/>
              </w:divBdr>
            </w:div>
            <w:div w:id="272907513">
              <w:marLeft w:val="0"/>
              <w:marRight w:val="0"/>
              <w:marTop w:val="0"/>
              <w:marBottom w:val="0"/>
              <w:divBdr>
                <w:top w:val="none" w:sz="0" w:space="0" w:color="auto"/>
                <w:left w:val="none" w:sz="0" w:space="0" w:color="auto"/>
                <w:bottom w:val="none" w:sz="0" w:space="0" w:color="auto"/>
                <w:right w:val="none" w:sz="0" w:space="0" w:color="auto"/>
              </w:divBdr>
            </w:div>
            <w:div w:id="327564467">
              <w:marLeft w:val="0"/>
              <w:marRight w:val="0"/>
              <w:marTop w:val="0"/>
              <w:marBottom w:val="0"/>
              <w:divBdr>
                <w:top w:val="none" w:sz="0" w:space="0" w:color="auto"/>
                <w:left w:val="none" w:sz="0" w:space="0" w:color="auto"/>
                <w:bottom w:val="none" w:sz="0" w:space="0" w:color="auto"/>
                <w:right w:val="none" w:sz="0" w:space="0" w:color="auto"/>
              </w:divBdr>
            </w:div>
            <w:div w:id="497961400">
              <w:marLeft w:val="0"/>
              <w:marRight w:val="0"/>
              <w:marTop w:val="0"/>
              <w:marBottom w:val="0"/>
              <w:divBdr>
                <w:top w:val="none" w:sz="0" w:space="0" w:color="auto"/>
                <w:left w:val="none" w:sz="0" w:space="0" w:color="auto"/>
                <w:bottom w:val="none" w:sz="0" w:space="0" w:color="auto"/>
                <w:right w:val="none" w:sz="0" w:space="0" w:color="auto"/>
              </w:divBdr>
            </w:div>
            <w:div w:id="594166360">
              <w:marLeft w:val="0"/>
              <w:marRight w:val="0"/>
              <w:marTop w:val="0"/>
              <w:marBottom w:val="0"/>
              <w:divBdr>
                <w:top w:val="none" w:sz="0" w:space="0" w:color="auto"/>
                <w:left w:val="none" w:sz="0" w:space="0" w:color="auto"/>
                <w:bottom w:val="none" w:sz="0" w:space="0" w:color="auto"/>
                <w:right w:val="none" w:sz="0" w:space="0" w:color="auto"/>
              </w:divBdr>
            </w:div>
            <w:div w:id="616067003">
              <w:marLeft w:val="0"/>
              <w:marRight w:val="0"/>
              <w:marTop w:val="0"/>
              <w:marBottom w:val="0"/>
              <w:divBdr>
                <w:top w:val="none" w:sz="0" w:space="0" w:color="auto"/>
                <w:left w:val="none" w:sz="0" w:space="0" w:color="auto"/>
                <w:bottom w:val="none" w:sz="0" w:space="0" w:color="auto"/>
                <w:right w:val="none" w:sz="0" w:space="0" w:color="auto"/>
              </w:divBdr>
            </w:div>
            <w:div w:id="818155726">
              <w:marLeft w:val="0"/>
              <w:marRight w:val="0"/>
              <w:marTop w:val="0"/>
              <w:marBottom w:val="0"/>
              <w:divBdr>
                <w:top w:val="none" w:sz="0" w:space="0" w:color="auto"/>
                <w:left w:val="none" w:sz="0" w:space="0" w:color="auto"/>
                <w:bottom w:val="none" w:sz="0" w:space="0" w:color="auto"/>
                <w:right w:val="none" w:sz="0" w:space="0" w:color="auto"/>
              </w:divBdr>
            </w:div>
            <w:div w:id="836069345">
              <w:marLeft w:val="0"/>
              <w:marRight w:val="0"/>
              <w:marTop w:val="0"/>
              <w:marBottom w:val="0"/>
              <w:divBdr>
                <w:top w:val="none" w:sz="0" w:space="0" w:color="auto"/>
                <w:left w:val="none" w:sz="0" w:space="0" w:color="auto"/>
                <w:bottom w:val="none" w:sz="0" w:space="0" w:color="auto"/>
                <w:right w:val="none" w:sz="0" w:space="0" w:color="auto"/>
              </w:divBdr>
            </w:div>
            <w:div w:id="954217494">
              <w:marLeft w:val="0"/>
              <w:marRight w:val="0"/>
              <w:marTop w:val="0"/>
              <w:marBottom w:val="0"/>
              <w:divBdr>
                <w:top w:val="none" w:sz="0" w:space="0" w:color="auto"/>
                <w:left w:val="none" w:sz="0" w:space="0" w:color="auto"/>
                <w:bottom w:val="none" w:sz="0" w:space="0" w:color="auto"/>
                <w:right w:val="none" w:sz="0" w:space="0" w:color="auto"/>
              </w:divBdr>
            </w:div>
            <w:div w:id="1093017610">
              <w:marLeft w:val="0"/>
              <w:marRight w:val="0"/>
              <w:marTop w:val="0"/>
              <w:marBottom w:val="0"/>
              <w:divBdr>
                <w:top w:val="none" w:sz="0" w:space="0" w:color="auto"/>
                <w:left w:val="none" w:sz="0" w:space="0" w:color="auto"/>
                <w:bottom w:val="none" w:sz="0" w:space="0" w:color="auto"/>
                <w:right w:val="none" w:sz="0" w:space="0" w:color="auto"/>
              </w:divBdr>
            </w:div>
            <w:div w:id="1117723975">
              <w:marLeft w:val="0"/>
              <w:marRight w:val="0"/>
              <w:marTop w:val="0"/>
              <w:marBottom w:val="0"/>
              <w:divBdr>
                <w:top w:val="none" w:sz="0" w:space="0" w:color="auto"/>
                <w:left w:val="none" w:sz="0" w:space="0" w:color="auto"/>
                <w:bottom w:val="none" w:sz="0" w:space="0" w:color="auto"/>
                <w:right w:val="none" w:sz="0" w:space="0" w:color="auto"/>
              </w:divBdr>
            </w:div>
            <w:div w:id="1162086929">
              <w:marLeft w:val="0"/>
              <w:marRight w:val="0"/>
              <w:marTop w:val="0"/>
              <w:marBottom w:val="0"/>
              <w:divBdr>
                <w:top w:val="none" w:sz="0" w:space="0" w:color="auto"/>
                <w:left w:val="none" w:sz="0" w:space="0" w:color="auto"/>
                <w:bottom w:val="none" w:sz="0" w:space="0" w:color="auto"/>
                <w:right w:val="none" w:sz="0" w:space="0" w:color="auto"/>
              </w:divBdr>
            </w:div>
            <w:div w:id="1302266715">
              <w:marLeft w:val="0"/>
              <w:marRight w:val="0"/>
              <w:marTop w:val="0"/>
              <w:marBottom w:val="0"/>
              <w:divBdr>
                <w:top w:val="none" w:sz="0" w:space="0" w:color="auto"/>
                <w:left w:val="none" w:sz="0" w:space="0" w:color="auto"/>
                <w:bottom w:val="none" w:sz="0" w:space="0" w:color="auto"/>
                <w:right w:val="none" w:sz="0" w:space="0" w:color="auto"/>
              </w:divBdr>
            </w:div>
            <w:div w:id="1351688569">
              <w:marLeft w:val="0"/>
              <w:marRight w:val="0"/>
              <w:marTop w:val="0"/>
              <w:marBottom w:val="0"/>
              <w:divBdr>
                <w:top w:val="none" w:sz="0" w:space="0" w:color="auto"/>
                <w:left w:val="none" w:sz="0" w:space="0" w:color="auto"/>
                <w:bottom w:val="none" w:sz="0" w:space="0" w:color="auto"/>
                <w:right w:val="none" w:sz="0" w:space="0" w:color="auto"/>
              </w:divBdr>
            </w:div>
            <w:div w:id="1700469820">
              <w:marLeft w:val="0"/>
              <w:marRight w:val="0"/>
              <w:marTop w:val="0"/>
              <w:marBottom w:val="0"/>
              <w:divBdr>
                <w:top w:val="none" w:sz="0" w:space="0" w:color="auto"/>
                <w:left w:val="none" w:sz="0" w:space="0" w:color="auto"/>
                <w:bottom w:val="none" w:sz="0" w:space="0" w:color="auto"/>
                <w:right w:val="none" w:sz="0" w:space="0" w:color="auto"/>
              </w:divBdr>
            </w:div>
            <w:div w:id="1998459934">
              <w:marLeft w:val="0"/>
              <w:marRight w:val="0"/>
              <w:marTop w:val="0"/>
              <w:marBottom w:val="0"/>
              <w:divBdr>
                <w:top w:val="none" w:sz="0" w:space="0" w:color="auto"/>
                <w:left w:val="none" w:sz="0" w:space="0" w:color="auto"/>
                <w:bottom w:val="none" w:sz="0" w:space="0" w:color="auto"/>
                <w:right w:val="none" w:sz="0" w:space="0" w:color="auto"/>
              </w:divBdr>
            </w:div>
          </w:divsChild>
        </w:div>
        <w:div w:id="2075856219">
          <w:marLeft w:val="0"/>
          <w:marRight w:val="0"/>
          <w:marTop w:val="0"/>
          <w:marBottom w:val="0"/>
          <w:divBdr>
            <w:top w:val="none" w:sz="0" w:space="0" w:color="auto"/>
            <w:left w:val="none" w:sz="0" w:space="0" w:color="auto"/>
            <w:bottom w:val="none" w:sz="0" w:space="0" w:color="auto"/>
            <w:right w:val="none" w:sz="0" w:space="0" w:color="auto"/>
          </w:divBdr>
          <w:divsChild>
            <w:div w:id="244531949">
              <w:marLeft w:val="0"/>
              <w:marRight w:val="0"/>
              <w:marTop w:val="0"/>
              <w:marBottom w:val="0"/>
              <w:divBdr>
                <w:top w:val="none" w:sz="0" w:space="0" w:color="auto"/>
                <w:left w:val="none" w:sz="0" w:space="0" w:color="auto"/>
                <w:bottom w:val="none" w:sz="0" w:space="0" w:color="auto"/>
                <w:right w:val="none" w:sz="0" w:space="0" w:color="auto"/>
              </w:divBdr>
            </w:div>
            <w:div w:id="301807869">
              <w:marLeft w:val="0"/>
              <w:marRight w:val="0"/>
              <w:marTop w:val="0"/>
              <w:marBottom w:val="0"/>
              <w:divBdr>
                <w:top w:val="none" w:sz="0" w:space="0" w:color="auto"/>
                <w:left w:val="none" w:sz="0" w:space="0" w:color="auto"/>
                <w:bottom w:val="none" w:sz="0" w:space="0" w:color="auto"/>
                <w:right w:val="none" w:sz="0" w:space="0" w:color="auto"/>
              </w:divBdr>
            </w:div>
            <w:div w:id="386301848">
              <w:marLeft w:val="0"/>
              <w:marRight w:val="0"/>
              <w:marTop w:val="0"/>
              <w:marBottom w:val="0"/>
              <w:divBdr>
                <w:top w:val="none" w:sz="0" w:space="0" w:color="auto"/>
                <w:left w:val="none" w:sz="0" w:space="0" w:color="auto"/>
                <w:bottom w:val="none" w:sz="0" w:space="0" w:color="auto"/>
                <w:right w:val="none" w:sz="0" w:space="0" w:color="auto"/>
              </w:divBdr>
            </w:div>
            <w:div w:id="722758769">
              <w:marLeft w:val="0"/>
              <w:marRight w:val="0"/>
              <w:marTop w:val="0"/>
              <w:marBottom w:val="0"/>
              <w:divBdr>
                <w:top w:val="none" w:sz="0" w:space="0" w:color="auto"/>
                <w:left w:val="none" w:sz="0" w:space="0" w:color="auto"/>
                <w:bottom w:val="none" w:sz="0" w:space="0" w:color="auto"/>
                <w:right w:val="none" w:sz="0" w:space="0" w:color="auto"/>
              </w:divBdr>
            </w:div>
            <w:div w:id="886382703">
              <w:marLeft w:val="0"/>
              <w:marRight w:val="0"/>
              <w:marTop w:val="0"/>
              <w:marBottom w:val="0"/>
              <w:divBdr>
                <w:top w:val="none" w:sz="0" w:space="0" w:color="auto"/>
                <w:left w:val="none" w:sz="0" w:space="0" w:color="auto"/>
                <w:bottom w:val="none" w:sz="0" w:space="0" w:color="auto"/>
                <w:right w:val="none" w:sz="0" w:space="0" w:color="auto"/>
              </w:divBdr>
            </w:div>
            <w:div w:id="905458500">
              <w:marLeft w:val="0"/>
              <w:marRight w:val="0"/>
              <w:marTop w:val="0"/>
              <w:marBottom w:val="0"/>
              <w:divBdr>
                <w:top w:val="none" w:sz="0" w:space="0" w:color="auto"/>
                <w:left w:val="none" w:sz="0" w:space="0" w:color="auto"/>
                <w:bottom w:val="none" w:sz="0" w:space="0" w:color="auto"/>
                <w:right w:val="none" w:sz="0" w:space="0" w:color="auto"/>
              </w:divBdr>
            </w:div>
            <w:div w:id="962468004">
              <w:marLeft w:val="0"/>
              <w:marRight w:val="0"/>
              <w:marTop w:val="0"/>
              <w:marBottom w:val="0"/>
              <w:divBdr>
                <w:top w:val="none" w:sz="0" w:space="0" w:color="auto"/>
                <w:left w:val="none" w:sz="0" w:space="0" w:color="auto"/>
                <w:bottom w:val="none" w:sz="0" w:space="0" w:color="auto"/>
                <w:right w:val="none" w:sz="0" w:space="0" w:color="auto"/>
              </w:divBdr>
            </w:div>
            <w:div w:id="983269322">
              <w:marLeft w:val="0"/>
              <w:marRight w:val="0"/>
              <w:marTop w:val="0"/>
              <w:marBottom w:val="0"/>
              <w:divBdr>
                <w:top w:val="none" w:sz="0" w:space="0" w:color="auto"/>
                <w:left w:val="none" w:sz="0" w:space="0" w:color="auto"/>
                <w:bottom w:val="none" w:sz="0" w:space="0" w:color="auto"/>
                <w:right w:val="none" w:sz="0" w:space="0" w:color="auto"/>
              </w:divBdr>
            </w:div>
            <w:div w:id="1037049322">
              <w:marLeft w:val="0"/>
              <w:marRight w:val="0"/>
              <w:marTop w:val="0"/>
              <w:marBottom w:val="0"/>
              <w:divBdr>
                <w:top w:val="none" w:sz="0" w:space="0" w:color="auto"/>
                <w:left w:val="none" w:sz="0" w:space="0" w:color="auto"/>
                <w:bottom w:val="none" w:sz="0" w:space="0" w:color="auto"/>
                <w:right w:val="none" w:sz="0" w:space="0" w:color="auto"/>
              </w:divBdr>
            </w:div>
            <w:div w:id="1108543879">
              <w:marLeft w:val="0"/>
              <w:marRight w:val="0"/>
              <w:marTop w:val="0"/>
              <w:marBottom w:val="0"/>
              <w:divBdr>
                <w:top w:val="none" w:sz="0" w:space="0" w:color="auto"/>
                <w:left w:val="none" w:sz="0" w:space="0" w:color="auto"/>
                <w:bottom w:val="none" w:sz="0" w:space="0" w:color="auto"/>
                <w:right w:val="none" w:sz="0" w:space="0" w:color="auto"/>
              </w:divBdr>
            </w:div>
            <w:div w:id="1376346551">
              <w:marLeft w:val="0"/>
              <w:marRight w:val="0"/>
              <w:marTop w:val="0"/>
              <w:marBottom w:val="0"/>
              <w:divBdr>
                <w:top w:val="none" w:sz="0" w:space="0" w:color="auto"/>
                <w:left w:val="none" w:sz="0" w:space="0" w:color="auto"/>
                <w:bottom w:val="none" w:sz="0" w:space="0" w:color="auto"/>
                <w:right w:val="none" w:sz="0" w:space="0" w:color="auto"/>
              </w:divBdr>
            </w:div>
            <w:div w:id="1531798918">
              <w:marLeft w:val="0"/>
              <w:marRight w:val="0"/>
              <w:marTop w:val="0"/>
              <w:marBottom w:val="0"/>
              <w:divBdr>
                <w:top w:val="none" w:sz="0" w:space="0" w:color="auto"/>
                <w:left w:val="none" w:sz="0" w:space="0" w:color="auto"/>
                <w:bottom w:val="none" w:sz="0" w:space="0" w:color="auto"/>
                <w:right w:val="none" w:sz="0" w:space="0" w:color="auto"/>
              </w:divBdr>
            </w:div>
            <w:div w:id="1614743972">
              <w:marLeft w:val="0"/>
              <w:marRight w:val="0"/>
              <w:marTop w:val="0"/>
              <w:marBottom w:val="0"/>
              <w:divBdr>
                <w:top w:val="none" w:sz="0" w:space="0" w:color="auto"/>
                <w:left w:val="none" w:sz="0" w:space="0" w:color="auto"/>
                <w:bottom w:val="none" w:sz="0" w:space="0" w:color="auto"/>
                <w:right w:val="none" w:sz="0" w:space="0" w:color="auto"/>
              </w:divBdr>
            </w:div>
            <w:div w:id="1805661868">
              <w:marLeft w:val="0"/>
              <w:marRight w:val="0"/>
              <w:marTop w:val="0"/>
              <w:marBottom w:val="0"/>
              <w:divBdr>
                <w:top w:val="none" w:sz="0" w:space="0" w:color="auto"/>
                <w:left w:val="none" w:sz="0" w:space="0" w:color="auto"/>
                <w:bottom w:val="none" w:sz="0" w:space="0" w:color="auto"/>
                <w:right w:val="none" w:sz="0" w:space="0" w:color="auto"/>
              </w:divBdr>
            </w:div>
            <w:div w:id="1849326010">
              <w:marLeft w:val="0"/>
              <w:marRight w:val="0"/>
              <w:marTop w:val="0"/>
              <w:marBottom w:val="0"/>
              <w:divBdr>
                <w:top w:val="none" w:sz="0" w:space="0" w:color="auto"/>
                <w:left w:val="none" w:sz="0" w:space="0" w:color="auto"/>
                <w:bottom w:val="none" w:sz="0" w:space="0" w:color="auto"/>
                <w:right w:val="none" w:sz="0" w:space="0" w:color="auto"/>
              </w:divBdr>
            </w:div>
            <w:div w:id="1942684638">
              <w:marLeft w:val="0"/>
              <w:marRight w:val="0"/>
              <w:marTop w:val="0"/>
              <w:marBottom w:val="0"/>
              <w:divBdr>
                <w:top w:val="none" w:sz="0" w:space="0" w:color="auto"/>
                <w:left w:val="none" w:sz="0" w:space="0" w:color="auto"/>
                <w:bottom w:val="none" w:sz="0" w:space="0" w:color="auto"/>
                <w:right w:val="none" w:sz="0" w:space="0" w:color="auto"/>
              </w:divBdr>
            </w:div>
            <w:div w:id="2072540413">
              <w:marLeft w:val="0"/>
              <w:marRight w:val="0"/>
              <w:marTop w:val="0"/>
              <w:marBottom w:val="0"/>
              <w:divBdr>
                <w:top w:val="none" w:sz="0" w:space="0" w:color="auto"/>
                <w:left w:val="none" w:sz="0" w:space="0" w:color="auto"/>
                <w:bottom w:val="none" w:sz="0" w:space="0" w:color="auto"/>
                <w:right w:val="none" w:sz="0" w:space="0" w:color="auto"/>
              </w:divBdr>
            </w:div>
            <w:div w:id="2077243329">
              <w:marLeft w:val="0"/>
              <w:marRight w:val="0"/>
              <w:marTop w:val="0"/>
              <w:marBottom w:val="0"/>
              <w:divBdr>
                <w:top w:val="none" w:sz="0" w:space="0" w:color="auto"/>
                <w:left w:val="none" w:sz="0" w:space="0" w:color="auto"/>
                <w:bottom w:val="none" w:sz="0" w:space="0" w:color="auto"/>
                <w:right w:val="none" w:sz="0" w:space="0" w:color="auto"/>
              </w:divBdr>
            </w:div>
            <w:div w:id="2095780160">
              <w:marLeft w:val="0"/>
              <w:marRight w:val="0"/>
              <w:marTop w:val="0"/>
              <w:marBottom w:val="0"/>
              <w:divBdr>
                <w:top w:val="none" w:sz="0" w:space="0" w:color="auto"/>
                <w:left w:val="none" w:sz="0" w:space="0" w:color="auto"/>
                <w:bottom w:val="none" w:sz="0" w:space="0" w:color="auto"/>
                <w:right w:val="none" w:sz="0" w:space="0" w:color="auto"/>
              </w:divBdr>
            </w:div>
            <w:div w:id="21199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12586">
      <w:bodyDiv w:val="1"/>
      <w:marLeft w:val="0"/>
      <w:marRight w:val="0"/>
      <w:marTop w:val="0"/>
      <w:marBottom w:val="0"/>
      <w:divBdr>
        <w:top w:val="none" w:sz="0" w:space="0" w:color="auto"/>
        <w:left w:val="none" w:sz="0" w:space="0" w:color="auto"/>
        <w:bottom w:val="none" w:sz="0" w:space="0" w:color="auto"/>
        <w:right w:val="none" w:sz="0" w:space="0" w:color="auto"/>
      </w:divBdr>
    </w:div>
    <w:div w:id="2105373931">
      <w:bodyDiv w:val="1"/>
      <w:marLeft w:val="0"/>
      <w:marRight w:val="0"/>
      <w:marTop w:val="0"/>
      <w:marBottom w:val="0"/>
      <w:divBdr>
        <w:top w:val="none" w:sz="0" w:space="0" w:color="auto"/>
        <w:left w:val="none" w:sz="0" w:space="0" w:color="auto"/>
        <w:bottom w:val="none" w:sz="0" w:space="0" w:color="auto"/>
        <w:right w:val="none" w:sz="0" w:space="0" w:color="auto"/>
      </w:divBdr>
    </w:div>
    <w:div w:id="2106532080">
      <w:bodyDiv w:val="1"/>
      <w:marLeft w:val="0"/>
      <w:marRight w:val="0"/>
      <w:marTop w:val="0"/>
      <w:marBottom w:val="0"/>
      <w:divBdr>
        <w:top w:val="none" w:sz="0" w:space="0" w:color="auto"/>
        <w:left w:val="none" w:sz="0" w:space="0" w:color="auto"/>
        <w:bottom w:val="none" w:sz="0" w:space="0" w:color="auto"/>
        <w:right w:val="none" w:sz="0" w:space="0" w:color="auto"/>
      </w:divBdr>
      <w:divsChild>
        <w:div w:id="1029528909">
          <w:marLeft w:val="0"/>
          <w:marRight w:val="0"/>
          <w:marTop w:val="0"/>
          <w:marBottom w:val="0"/>
          <w:divBdr>
            <w:top w:val="none" w:sz="0" w:space="0" w:color="auto"/>
            <w:left w:val="none" w:sz="0" w:space="0" w:color="auto"/>
            <w:bottom w:val="none" w:sz="0" w:space="0" w:color="auto"/>
            <w:right w:val="none" w:sz="0" w:space="0" w:color="auto"/>
          </w:divBdr>
          <w:divsChild>
            <w:div w:id="143741602">
              <w:marLeft w:val="0"/>
              <w:marRight w:val="0"/>
              <w:marTop w:val="0"/>
              <w:marBottom w:val="0"/>
              <w:divBdr>
                <w:top w:val="none" w:sz="0" w:space="0" w:color="auto"/>
                <w:left w:val="none" w:sz="0" w:space="0" w:color="auto"/>
                <w:bottom w:val="none" w:sz="0" w:space="0" w:color="auto"/>
                <w:right w:val="none" w:sz="0" w:space="0" w:color="auto"/>
              </w:divBdr>
            </w:div>
            <w:div w:id="361057238">
              <w:marLeft w:val="0"/>
              <w:marRight w:val="0"/>
              <w:marTop w:val="0"/>
              <w:marBottom w:val="0"/>
              <w:divBdr>
                <w:top w:val="none" w:sz="0" w:space="0" w:color="auto"/>
                <w:left w:val="none" w:sz="0" w:space="0" w:color="auto"/>
                <w:bottom w:val="none" w:sz="0" w:space="0" w:color="auto"/>
                <w:right w:val="none" w:sz="0" w:space="0" w:color="auto"/>
              </w:divBdr>
            </w:div>
            <w:div w:id="540243066">
              <w:marLeft w:val="0"/>
              <w:marRight w:val="0"/>
              <w:marTop w:val="0"/>
              <w:marBottom w:val="0"/>
              <w:divBdr>
                <w:top w:val="none" w:sz="0" w:space="0" w:color="auto"/>
                <w:left w:val="none" w:sz="0" w:space="0" w:color="auto"/>
                <w:bottom w:val="none" w:sz="0" w:space="0" w:color="auto"/>
                <w:right w:val="none" w:sz="0" w:space="0" w:color="auto"/>
              </w:divBdr>
            </w:div>
            <w:div w:id="1722636699">
              <w:marLeft w:val="0"/>
              <w:marRight w:val="0"/>
              <w:marTop w:val="0"/>
              <w:marBottom w:val="0"/>
              <w:divBdr>
                <w:top w:val="none" w:sz="0" w:space="0" w:color="auto"/>
                <w:left w:val="none" w:sz="0" w:space="0" w:color="auto"/>
                <w:bottom w:val="none" w:sz="0" w:space="0" w:color="auto"/>
                <w:right w:val="none" w:sz="0" w:space="0" w:color="auto"/>
              </w:divBdr>
            </w:div>
          </w:divsChild>
        </w:div>
        <w:div w:id="1190337883">
          <w:marLeft w:val="0"/>
          <w:marRight w:val="0"/>
          <w:marTop w:val="0"/>
          <w:marBottom w:val="0"/>
          <w:divBdr>
            <w:top w:val="none" w:sz="0" w:space="0" w:color="auto"/>
            <w:left w:val="none" w:sz="0" w:space="0" w:color="auto"/>
            <w:bottom w:val="none" w:sz="0" w:space="0" w:color="auto"/>
            <w:right w:val="none" w:sz="0" w:space="0" w:color="auto"/>
          </w:divBdr>
          <w:divsChild>
            <w:div w:id="797377281">
              <w:marLeft w:val="0"/>
              <w:marRight w:val="0"/>
              <w:marTop w:val="0"/>
              <w:marBottom w:val="0"/>
              <w:divBdr>
                <w:top w:val="none" w:sz="0" w:space="0" w:color="auto"/>
                <w:left w:val="none" w:sz="0" w:space="0" w:color="auto"/>
                <w:bottom w:val="none" w:sz="0" w:space="0" w:color="auto"/>
                <w:right w:val="none" w:sz="0" w:space="0" w:color="auto"/>
              </w:divBdr>
            </w:div>
            <w:div w:id="931202347">
              <w:marLeft w:val="0"/>
              <w:marRight w:val="0"/>
              <w:marTop w:val="0"/>
              <w:marBottom w:val="0"/>
              <w:divBdr>
                <w:top w:val="none" w:sz="0" w:space="0" w:color="auto"/>
                <w:left w:val="none" w:sz="0" w:space="0" w:color="auto"/>
                <w:bottom w:val="none" w:sz="0" w:space="0" w:color="auto"/>
                <w:right w:val="none" w:sz="0" w:space="0" w:color="auto"/>
              </w:divBdr>
            </w:div>
            <w:div w:id="1295020080">
              <w:marLeft w:val="0"/>
              <w:marRight w:val="0"/>
              <w:marTop w:val="0"/>
              <w:marBottom w:val="0"/>
              <w:divBdr>
                <w:top w:val="none" w:sz="0" w:space="0" w:color="auto"/>
                <w:left w:val="none" w:sz="0" w:space="0" w:color="auto"/>
                <w:bottom w:val="none" w:sz="0" w:space="0" w:color="auto"/>
                <w:right w:val="none" w:sz="0" w:space="0" w:color="auto"/>
              </w:divBdr>
            </w:div>
            <w:div w:id="1405100423">
              <w:marLeft w:val="0"/>
              <w:marRight w:val="0"/>
              <w:marTop w:val="0"/>
              <w:marBottom w:val="0"/>
              <w:divBdr>
                <w:top w:val="none" w:sz="0" w:space="0" w:color="auto"/>
                <w:left w:val="none" w:sz="0" w:space="0" w:color="auto"/>
                <w:bottom w:val="none" w:sz="0" w:space="0" w:color="auto"/>
                <w:right w:val="none" w:sz="0" w:space="0" w:color="auto"/>
              </w:divBdr>
            </w:div>
            <w:div w:id="183267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1281">
      <w:bodyDiv w:val="1"/>
      <w:marLeft w:val="0"/>
      <w:marRight w:val="0"/>
      <w:marTop w:val="0"/>
      <w:marBottom w:val="0"/>
      <w:divBdr>
        <w:top w:val="none" w:sz="0" w:space="0" w:color="auto"/>
        <w:left w:val="none" w:sz="0" w:space="0" w:color="auto"/>
        <w:bottom w:val="none" w:sz="0" w:space="0" w:color="auto"/>
        <w:right w:val="none" w:sz="0" w:space="0" w:color="auto"/>
      </w:divBdr>
    </w:div>
    <w:div w:id="213532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commission.europa.eu/topics/eu-competitiveness/draghi-report_en" TargetMode="External"/><Relationship Id="rId2" Type="http://schemas.openxmlformats.org/officeDocument/2006/relationships/hyperlink" Target="https://citizens.ec.europa.eu/european-citizens-panels/european-citizens-panel-new-european-budget_fi" TargetMode="External"/><Relationship Id="rId1" Type="http://schemas.openxmlformats.org/officeDocument/2006/relationships/hyperlink" Target="https://ec.europa.eu/info/law/better-regulation/have-your-say/initiatives/14520-EUn-seuraava-pitkan-aikavalin-talousarvio-EUn-varat-joita-toteutetaan-yhteistyossa-jasenmaiden-ja-alueiden-kanssa_fi" TargetMode="External"/><Relationship Id="rId6" Type="http://schemas.openxmlformats.org/officeDocument/2006/relationships/hyperlink" Target="https://www.eca.europa.eu/ECAPublications/AR-2022/AR-2022_EN.pdf" TargetMode="External"/><Relationship Id="rId5" Type="http://schemas.openxmlformats.org/officeDocument/2006/relationships/hyperlink" Target="https://commission.europa.eu/document/download/5bb2881f-9e29-42f2-8b77-8739b19d047c_en?filename=2024_Niinisto-report_Book_VF.pdf" TargetMode="External"/><Relationship Id="rId4" Type="http://schemas.openxmlformats.org/officeDocument/2006/relationships/hyperlink" Target="https://www.consilium.europa.eu/media/ny3j24sm/much-more-than-a-market-report-by-enrico-lett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160E0-5CDD-4936-85E0-716B7D5D3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11843</Words>
  <Characters>67509</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2025-07-16T16:44:00Z</dcterms:created>
  <dcterms:modified xsi:type="dcterms:W3CDTF">2025-07-17T07:37:00Z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9.1, Build 20240808</vt:lpwstr>
  </property>
  <property fmtid="{D5CDD505-2E9C-101B-9397-08002B2CF9AE}" pid="4" name="MSIP_Label_6bd9ddd1-4d20-43f6-abfa-fc3c07406f94_Enabled">
    <vt:lpwstr>true</vt:lpwstr>
  </property>
  <property fmtid="{D5CDD505-2E9C-101B-9397-08002B2CF9AE}" pid="5" name="MSIP_Label_6bd9ddd1-4d20-43f6-abfa-fc3c07406f94_SetDate">
    <vt:lpwstr>2025-07-16T16:44:48Z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2542e6a2-f80a-48c0-b902-ec61f93bf82f</vt:lpwstr>
  </property>
  <property fmtid="{D5CDD505-2E9C-101B-9397-08002B2CF9AE}" pid="10" name="MSIP_Label_6bd9ddd1-4d20-43f6-abfa-fc3c07406f94_ContentBits">
    <vt:lpwstr>0</vt:lpwstr>
  </property>
  <property fmtid="{D5CDD505-2E9C-101B-9397-08002B2CF9AE}" pid="11" name="Level of sensitivity">
    <vt:lpwstr>Standard treatment</vt:lpwstr>
  </property>
  <property fmtid="{D5CDD505-2E9C-101B-9397-08002B2CF9AE}" pid="12" name="Part">
    <vt:lpwstr>1</vt:lpwstr>
  </property>
  <property fmtid="{D5CDD505-2E9C-101B-9397-08002B2CF9AE}" pid="13" name="Total parts">
    <vt:lpwstr>1</vt:lpwstr>
  </property>
  <property fmtid="{D5CDD505-2E9C-101B-9397-08002B2CF9AE}" pid="14" name="CPTemplateID">
    <vt:lpwstr>CP-009</vt:lpwstr>
  </property>
</Properties>
</file>